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D4375B">
      <w:pPr>
        <w:pStyle w:val="71"/>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 xml:space="preserve">EDITAL DE PREGÃO ELETRÔNICO (AQUISIÇÃO DE BENS) </w:t>
      </w:r>
    </w:p>
    <w:p w14:paraId="5D5C98DD">
      <w:pPr>
        <w:pStyle w:val="71"/>
        <w:spacing w:line="360" w:lineRule="auto"/>
        <w:ind w:right="-285" w:firstLine="142"/>
        <w:jc w:val="center"/>
        <w:rPr>
          <w:rFonts w:ascii="Times New Roman" w:hAnsi="Times New Roman" w:cs="Times New Roman"/>
          <w:b/>
          <w:sz w:val="24"/>
          <w:szCs w:val="24"/>
          <w:highlight w:val="yellow"/>
        </w:rPr>
      </w:pPr>
      <w:r>
        <w:rPr>
          <w:rFonts w:ascii="Times New Roman" w:hAnsi="Times New Roman" w:cs="Times New Roman"/>
          <w:b/>
          <w:sz w:val="24"/>
          <w:szCs w:val="24"/>
        </w:rPr>
        <w:t>PREGÃO ELETRÔNICO PE – Nº 900</w:t>
      </w:r>
      <w:r>
        <w:rPr>
          <w:rFonts w:hint="default" w:ascii="Times New Roman" w:hAnsi="Times New Roman" w:cs="Times New Roman"/>
          <w:b/>
          <w:sz w:val="24"/>
          <w:szCs w:val="24"/>
          <w:lang w:val="pt-BR"/>
        </w:rPr>
        <w:t>48</w:t>
      </w:r>
      <w:r>
        <w:rPr>
          <w:rFonts w:ascii="Times New Roman" w:hAnsi="Times New Roman" w:cs="Times New Roman"/>
          <w:b/>
          <w:sz w:val="24"/>
          <w:szCs w:val="24"/>
        </w:rPr>
        <w:t xml:space="preserve">/2026/FMS – </w:t>
      </w:r>
      <w:r>
        <w:rPr>
          <w:rFonts w:ascii="Times New Roman" w:hAnsi="Times New Roman" w:cs="Times New Roman"/>
          <w:b/>
          <w:sz w:val="24"/>
          <w:szCs w:val="24"/>
          <w:highlight w:val="yellow"/>
        </w:rPr>
        <w:t>Registro de Preços</w:t>
      </w:r>
    </w:p>
    <w:p w14:paraId="5A6A7B38">
      <w:pPr>
        <w:pStyle w:val="71"/>
        <w:spacing w:line="360" w:lineRule="auto"/>
        <w:ind w:right="-285" w:firstLine="142"/>
        <w:jc w:val="center"/>
        <w:rPr>
          <w:rFonts w:hint="default" w:ascii="Calibri" w:hAnsi="Calibri" w:cs="Calibri"/>
          <w:b/>
          <w:bCs/>
          <w:i/>
          <w:iCs/>
          <w:sz w:val="24"/>
          <w:szCs w:val="24"/>
          <w:highlight w:val="yellow"/>
          <w:u w:val="single"/>
        </w:rPr>
      </w:pPr>
      <w:r>
        <w:rPr>
          <w:rFonts w:hint="default" w:ascii="Calibri" w:hAnsi="Calibri" w:eastAsia="ui-serif" w:cs="Calibri"/>
          <w:b/>
          <w:bCs/>
          <w:i/>
          <w:iCs/>
          <w:caps w:val="0"/>
          <w:color w:val="333333"/>
          <w:spacing w:val="0"/>
          <w:sz w:val="24"/>
          <w:szCs w:val="24"/>
          <w:u w:val="single"/>
          <w:shd w:val="clear" w:fill="FFFFFF"/>
        </w:rPr>
        <w:t>Contratação: SRP 985921-136/2026</w:t>
      </w:r>
    </w:p>
    <w:p w14:paraId="44614B66">
      <w:pPr>
        <w:spacing w:line="288" w:lineRule="auto"/>
        <w:contextualSpacing/>
        <w:jc w:val="both"/>
        <w:rPr>
          <w:color w:val="405CA1"/>
          <w:sz w:val="24"/>
          <w:szCs w:val="24"/>
        </w:rPr>
      </w:pPr>
      <w:r>
        <w:rPr>
          <w:sz w:val="24"/>
          <w:szCs w:val="24"/>
        </w:rPr>
        <w:t xml:space="preserve">                                              </w:t>
      </w:r>
    </w:p>
    <w:p w14:paraId="63965E38">
      <w:pPr>
        <w:spacing w:line="288" w:lineRule="auto"/>
        <w:contextualSpacing/>
        <w:jc w:val="both"/>
        <w:rPr>
          <w:b/>
          <w:bCs/>
          <w:color w:val="405CA1"/>
          <w:sz w:val="24"/>
          <w:szCs w:val="24"/>
        </w:rPr>
      </w:pPr>
    </w:p>
    <w:p w14:paraId="1AA98634">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ÓRGÃO/ENTIDADE GERENCIADORA - Unidade Gestora – UG: 985921(PMV)</w:t>
      </w:r>
    </w:p>
    <w:p w14:paraId="748E3607">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MUNICÍPIO DE VALENÇA RJ, PELA SECRETARIA MUNICIPAL DE SAÚDE</w:t>
      </w:r>
    </w:p>
    <w:p w14:paraId="0EBBB324">
      <w:pPr>
        <w:spacing w:line="288" w:lineRule="auto"/>
        <w:contextualSpacing/>
        <w:jc w:val="both"/>
        <w:rPr>
          <w:color w:val="000000" w:themeColor="text1"/>
          <w:sz w:val="24"/>
          <w:szCs w:val="24"/>
          <w14:textFill>
            <w14:solidFill>
              <w14:schemeClr w14:val="tx1"/>
            </w14:solidFill>
          </w14:textFill>
        </w:rPr>
      </w:pPr>
    </w:p>
    <w:p w14:paraId="51D424A6">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OBJETO</w:t>
      </w:r>
    </w:p>
    <w:p w14:paraId="0D5656C5">
      <w:pPr>
        <w:pStyle w:val="24"/>
        <w:spacing w:line="360" w:lineRule="auto"/>
        <w:jc w:val="both"/>
      </w:pPr>
      <w:r>
        <w:t>A aquisição 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3248172A">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VALOR TOTAL ESTIMADO DA CONTRATAÇÃO</w:t>
      </w:r>
    </w:p>
    <w:p w14:paraId="12AD68B9">
      <w:pPr>
        <w:rPr>
          <w:color w:val="000000" w:themeColor="text1"/>
          <w:sz w:val="24"/>
          <w:szCs w:val="24"/>
          <w14:textFill>
            <w14:solidFill>
              <w14:schemeClr w14:val="tx1"/>
            </w14:solidFill>
          </w14:textFill>
        </w:rPr>
      </w:pPr>
    </w:p>
    <w:p w14:paraId="2197391B">
      <w:pPr>
        <w:spacing w:line="288" w:lineRule="auto"/>
        <w:contextualSpacing/>
        <w:jc w:val="both"/>
        <w:rPr>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R$ </w:t>
      </w:r>
      <w:r>
        <w:rPr>
          <w:b/>
          <w:color w:val="000000"/>
          <w:sz w:val="24"/>
          <w:szCs w:val="24"/>
          <w:lang w:eastAsia="zh-CN"/>
        </w:rPr>
        <w:t>1.506.850,00</w:t>
      </w:r>
      <w:r>
        <w:rPr>
          <w:b/>
          <w:bCs/>
          <w:color w:val="000000" w:themeColor="text1"/>
          <w:sz w:val="24"/>
          <w:szCs w:val="24"/>
          <w14:textFill>
            <w14:solidFill>
              <w14:schemeClr w14:val="tx1"/>
            </w14:solidFill>
          </w14:textFill>
        </w:rPr>
        <w:t xml:space="preserve"> (um milhão, quinhentos e seis mil, oitocentos e cinquenta reais)</w:t>
      </w:r>
    </w:p>
    <w:p w14:paraId="4176879E">
      <w:pPr>
        <w:spacing w:line="288" w:lineRule="auto"/>
        <w:contextualSpacing/>
        <w:jc w:val="both"/>
        <w:rPr>
          <w:color w:val="000000" w:themeColor="text1"/>
          <w:sz w:val="24"/>
          <w:szCs w:val="24"/>
          <w14:textFill>
            <w14:solidFill>
              <w14:schemeClr w14:val="tx1"/>
            </w14:solidFill>
          </w14:textFill>
        </w:rPr>
      </w:pPr>
    </w:p>
    <w:p w14:paraId="7B3D84D2">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DATA DA SESSÃO PÚBLICA</w:t>
      </w:r>
    </w:p>
    <w:p w14:paraId="021D76FC">
      <w:pPr>
        <w:spacing w:line="288" w:lineRule="auto"/>
        <w:contextualSpacing/>
        <w:jc w:val="both"/>
        <w:rPr>
          <w:b/>
          <w:bCs/>
          <w:color w:val="000000" w:themeColor="text1"/>
          <w:sz w:val="24"/>
          <w:szCs w:val="24"/>
          <w14:textFill>
            <w14:solidFill>
              <w14:schemeClr w14:val="tx1"/>
            </w14:solidFill>
          </w14:textFill>
        </w:rPr>
      </w:pPr>
    </w:p>
    <w:p w14:paraId="3F6A5D6A">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Dia </w:t>
      </w:r>
      <w:r>
        <w:rPr>
          <w:rFonts w:hint="default"/>
          <w:color w:val="000000" w:themeColor="text1"/>
          <w:sz w:val="24"/>
          <w:szCs w:val="24"/>
          <w:lang w:val="pt-BR"/>
          <w14:textFill>
            <w14:solidFill>
              <w14:schemeClr w14:val="tx1"/>
            </w14:solidFill>
          </w14:textFill>
        </w:rPr>
        <w:t>29</w:t>
      </w:r>
      <w:bookmarkStart w:id="49" w:name="_GoBack"/>
      <w:bookmarkEnd w:id="49"/>
      <w:r>
        <w:rPr>
          <w:color w:val="000000" w:themeColor="text1"/>
          <w:sz w:val="24"/>
          <w:szCs w:val="24"/>
          <w14:textFill>
            <w14:solidFill>
              <w14:schemeClr w14:val="tx1"/>
            </w14:solidFill>
          </w14:textFill>
        </w:rPr>
        <w:t>/</w:t>
      </w:r>
      <w:r>
        <w:rPr>
          <w:rFonts w:hint="default"/>
          <w:color w:val="000000" w:themeColor="text1"/>
          <w:sz w:val="24"/>
          <w:szCs w:val="24"/>
          <w:lang w:val="pt-BR"/>
          <w14:textFill>
            <w14:solidFill>
              <w14:schemeClr w14:val="tx1"/>
            </w14:solidFill>
          </w14:textFill>
        </w:rPr>
        <w:t>07</w:t>
      </w:r>
      <w:r>
        <w:rPr>
          <w:color w:val="000000" w:themeColor="text1"/>
          <w:sz w:val="24"/>
          <w:szCs w:val="24"/>
          <w14:textFill>
            <w14:solidFill>
              <w14:schemeClr w14:val="tx1"/>
            </w14:solidFill>
          </w14:textFill>
        </w:rPr>
        <w:t xml:space="preserve">/2026 às </w:t>
      </w:r>
      <w:r>
        <w:rPr>
          <w:rFonts w:hint="default"/>
          <w:color w:val="000000" w:themeColor="text1"/>
          <w:sz w:val="24"/>
          <w:szCs w:val="24"/>
          <w:lang w:val="pt-BR"/>
          <w14:textFill>
            <w14:solidFill>
              <w14:schemeClr w14:val="tx1"/>
            </w14:solidFill>
          </w14:textFill>
        </w:rPr>
        <w:t>13</w:t>
      </w:r>
      <w:r>
        <w:rPr>
          <w:color w:val="000000" w:themeColor="text1"/>
          <w:sz w:val="24"/>
          <w:szCs w:val="24"/>
          <w14:textFill>
            <w14:solidFill>
              <w14:schemeClr w14:val="tx1"/>
            </w14:solidFill>
          </w14:textFill>
        </w:rPr>
        <w:t xml:space="preserve"> (horário de Brasília)</w:t>
      </w:r>
    </w:p>
    <w:p w14:paraId="6E8E8A5E">
      <w:pPr>
        <w:spacing w:line="288" w:lineRule="auto"/>
        <w:contextualSpacing/>
        <w:jc w:val="both"/>
        <w:rPr>
          <w:color w:val="000000" w:themeColor="text1"/>
          <w:sz w:val="24"/>
          <w:szCs w:val="24"/>
          <w14:textFill>
            <w14:solidFill>
              <w14:schemeClr w14:val="tx1"/>
            </w14:solidFill>
          </w14:textFill>
        </w:rPr>
      </w:pPr>
    </w:p>
    <w:p w14:paraId="6D5F2757">
      <w:pPr>
        <w:spacing w:line="288" w:lineRule="auto"/>
        <w:contextualSpacing/>
        <w:jc w:val="both"/>
        <w:rPr>
          <w:caps/>
          <w:color w:val="558ED5" w:themeColor="text2" w:themeTint="99"/>
          <w:sz w:val="24"/>
          <w:szCs w:val="24"/>
          <w14:textFill>
            <w14:solidFill>
              <w14:schemeClr w14:val="tx2">
                <w14:lumMod w14:val="60000"/>
                <w14:lumOff w14:val="40000"/>
              </w14:schemeClr>
            </w14:solidFill>
          </w14:textFill>
        </w:rPr>
      </w:pPr>
      <w:r>
        <w:rPr>
          <w:b/>
          <w:bCs/>
          <w:caps/>
          <w:color w:val="558ED5" w:themeColor="text2" w:themeTint="99"/>
          <w:sz w:val="24"/>
          <w:szCs w:val="24"/>
          <w14:textFill>
            <w14:solidFill>
              <w14:schemeClr w14:val="tx2">
                <w14:lumMod w14:val="60000"/>
                <w14:lumOff w14:val="40000"/>
              </w14:schemeClr>
            </w14:solidFill>
          </w14:textFill>
        </w:rPr>
        <w:t>Critério de Julgamento:</w:t>
      </w:r>
    </w:p>
    <w:p w14:paraId="767523B9">
      <w:pPr>
        <w:spacing w:line="288" w:lineRule="auto"/>
        <w:contextualSpacing/>
        <w:jc w:val="both"/>
        <w:rPr>
          <w:sz w:val="24"/>
          <w:szCs w:val="24"/>
        </w:rPr>
      </w:pPr>
      <w:r>
        <w:rPr>
          <w:sz w:val="24"/>
          <w:szCs w:val="24"/>
        </w:rPr>
        <w:t xml:space="preserve">MENOR PREÇO POR LOTE </w:t>
      </w:r>
    </w:p>
    <w:p w14:paraId="06E85870">
      <w:pPr>
        <w:spacing w:line="288" w:lineRule="auto"/>
        <w:contextualSpacing/>
        <w:jc w:val="both"/>
        <w:rPr>
          <w:color w:val="000000" w:themeColor="text1"/>
          <w:sz w:val="24"/>
          <w:szCs w:val="24"/>
          <w14:textFill>
            <w14:solidFill>
              <w14:schemeClr w14:val="tx1"/>
            </w14:solidFill>
          </w14:textFill>
        </w:rPr>
      </w:pPr>
    </w:p>
    <w:p w14:paraId="1A956747">
      <w:pPr>
        <w:spacing w:line="288" w:lineRule="auto"/>
        <w:contextualSpacing/>
        <w:jc w:val="both"/>
        <w:rPr>
          <w:caps/>
          <w:color w:val="558ED5" w:themeColor="text2" w:themeTint="99"/>
          <w:sz w:val="24"/>
          <w:szCs w:val="24"/>
          <w14:textFill>
            <w14:solidFill>
              <w14:schemeClr w14:val="tx2">
                <w14:lumMod w14:val="60000"/>
                <w14:lumOff w14:val="40000"/>
              </w14:schemeClr>
            </w14:solidFill>
          </w14:textFill>
        </w:rPr>
      </w:pPr>
      <w:r>
        <w:rPr>
          <w:b/>
          <w:bCs/>
          <w:caps/>
          <w:color w:val="558ED5" w:themeColor="text2" w:themeTint="99"/>
          <w:sz w:val="24"/>
          <w:szCs w:val="24"/>
          <w14:textFill>
            <w14:solidFill>
              <w14:schemeClr w14:val="tx2">
                <w14:lumMod w14:val="60000"/>
                <w14:lumOff w14:val="40000"/>
              </w14:schemeClr>
            </w14:solidFill>
          </w14:textFill>
        </w:rPr>
        <w:t>Modo de disputa:</w:t>
      </w:r>
    </w:p>
    <w:p w14:paraId="70A7D72C">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ABERTO E FECHADO</w:t>
      </w:r>
    </w:p>
    <w:p w14:paraId="71F69EA7">
      <w:pPr>
        <w:pStyle w:val="97"/>
        <w:spacing w:before="0" w:beforeAutospacing="0" w:after="0" w:afterAutospacing="0" w:line="288" w:lineRule="auto"/>
        <w:ind w:right="-1"/>
        <w:contextualSpacing/>
        <w:jc w:val="both"/>
        <w:rPr>
          <w:rFonts w:eastAsia="Calibri"/>
          <w:b/>
          <w:bCs/>
          <w:color w:val="000000" w:themeColor="text1"/>
          <w:lang w:eastAsia="en-US"/>
          <w14:textFill>
            <w14:solidFill>
              <w14:schemeClr w14:val="tx1"/>
            </w14:solidFill>
          </w14:textFill>
        </w:rPr>
      </w:pPr>
    </w:p>
    <w:p w14:paraId="1D316D9F">
      <w:pPr>
        <w:spacing w:line="288" w:lineRule="auto"/>
        <w:ind w:firstLine="567"/>
        <w:contextualSpacing/>
        <w:jc w:val="center"/>
        <w:rPr>
          <w:b/>
          <w:i/>
          <w:color w:val="000000" w:themeColor="text1"/>
          <w:sz w:val="24"/>
          <w:szCs w:val="24"/>
          <w14:textFill>
            <w14:solidFill>
              <w14:schemeClr w14:val="tx1"/>
            </w14:solidFill>
          </w14:textFill>
        </w:rPr>
      </w:pPr>
    </w:p>
    <w:p w14:paraId="0C473778">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MUNICÍPIO DE VALENÇA RJ, PELA SECRETARIA MUNICIPAL DE SAÚDE</w:t>
      </w:r>
    </w:p>
    <w:p w14:paraId="2327ADBE">
      <w:pPr>
        <w:spacing w:before="288" w:beforeLines="120" w:after="288" w:afterLines="120" w:line="288" w:lineRule="auto"/>
        <w:ind w:firstLine="567"/>
        <w:contextualSpacing/>
        <w:jc w:val="center"/>
        <w:rPr>
          <w:b/>
          <w:color w:val="000000" w:themeColor="text1"/>
          <w:sz w:val="24"/>
          <w:szCs w:val="24"/>
          <w14:textFill>
            <w14:solidFill>
              <w14:schemeClr w14:val="tx1"/>
            </w14:solidFill>
          </w14:textFill>
        </w:rPr>
      </w:pPr>
    </w:p>
    <w:p w14:paraId="44411FE0">
      <w:pPr>
        <w:spacing w:before="288" w:beforeLines="120" w:after="288" w:afterLines="120" w:line="288" w:lineRule="auto"/>
        <w:contextualSpacing/>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PREGÃO ELETRÔNICO Nº 900</w:t>
      </w:r>
      <w:r>
        <w:rPr>
          <w:rFonts w:hint="default"/>
          <w:b/>
          <w:color w:val="000000" w:themeColor="text1"/>
          <w:sz w:val="24"/>
          <w:szCs w:val="24"/>
          <w:lang w:val="pt-BR"/>
          <w14:textFill>
            <w14:solidFill>
              <w14:schemeClr w14:val="tx1"/>
            </w14:solidFill>
          </w14:textFill>
        </w:rPr>
        <w:t>48</w:t>
      </w:r>
      <w:r>
        <w:rPr>
          <w:b/>
          <w:color w:val="000000" w:themeColor="text1"/>
          <w:sz w:val="24"/>
          <w:szCs w:val="24"/>
          <w14:textFill>
            <w14:solidFill>
              <w14:schemeClr w14:val="tx1"/>
            </w14:solidFill>
          </w14:textFill>
        </w:rPr>
        <w:t>/2026/FMS</w:t>
      </w:r>
    </w:p>
    <w:p w14:paraId="1170A3A7">
      <w:pPr>
        <w:spacing w:before="288" w:beforeLines="120" w:after="288" w:afterLines="120" w:line="288" w:lineRule="auto"/>
        <w:ind w:firstLine="567"/>
        <w:contextualSpacing/>
        <w:jc w:val="center"/>
        <w:rPr>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p>
    <w:p w14:paraId="2942F7E4">
      <w:pPr>
        <w:spacing w:line="288" w:lineRule="auto"/>
        <w:contextualSpacing/>
        <w:jc w:val="both"/>
        <w:rPr>
          <w:rFonts w:asciiTheme="minorHAnsi" w:hAnsiTheme="minorHAnsi" w:cstheme="minorHAnsi"/>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Torna-se público que o </w:t>
      </w:r>
      <w:r>
        <w:rPr>
          <w:iCs/>
          <w:color w:val="000000" w:themeColor="text1"/>
          <w:sz w:val="24"/>
          <w:szCs w:val="24"/>
          <w14:textFill>
            <w14:solidFill>
              <w14:schemeClr w14:val="tx1"/>
            </w14:solidFill>
          </w14:textFill>
        </w:rPr>
        <w:t>MUNICÍPIO DE VALENÇA</w:t>
      </w:r>
      <w:r>
        <w:rPr>
          <w:color w:val="000000" w:themeColor="text1"/>
          <w:sz w:val="24"/>
          <w:szCs w:val="24"/>
          <w14:textFill>
            <w14:solidFill>
              <w14:schemeClr w14:val="tx1"/>
            </w14:solidFill>
          </w14:textFill>
        </w:rPr>
        <w:t>, PELA SECRETARIA MUNICIPAL DE SAÚDE</w:t>
      </w:r>
      <w:r>
        <w:rPr>
          <w:iCs/>
          <w:color w:val="000000" w:themeColor="text1"/>
          <w:sz w:val="24"/>
          <w:szCs w:val="24"/>
          <w14:textFill>
            <w14:solidFill>
              <w14:schemeClr w14:val="tx1"/>
            </w14:solidFill>
          </w14:textFill>
        </w:rPr>
        <w:t xml:space="preserve">, sediada Rua Dr. Figueiredo n° 320, Centro, Valença, RJ, </w:t>
      </w:r>
      <w:r>
        <w:rPr>
          <w:color w:val="000000" w:themeColor="text1"/>
          <w:sz w:val="24"/>
          <w:szCs w:val="24"/>
          <w14:textFill>
            <w14:solidFill>
              <w14:schemeClr w14:val="tx1"/>
            </w14:solidFill>
          </w14:textFill>
        </w:rPr>
        <w:t xml:space="preserve"> realizará licitação, na modalidade PREGÃO, na forma ELETRÔNICA, nos termos do processo nº VLC-020508/000288/2025, da </w:t>
      </w:r>
      <w:r>
        <w:fldChar w:fldCharType="begin"/>
      </w:r>
      <w:r>
        <w:instrText xml:space="preserve"> HYPERLINK "http://www.planalto.gov.br/ccivil_03/_ato2019-2022/2021/lei/L14133.htm" </w:instrText>
      </w:r>
      <w:r>
        <w:fldChar w:fldCharType="separate"/>
      </w:r>
      <w:r>
        <w:rPr>
          <w:rStyle w:val="16"/>
          <w:rFonts w:eastAsiaTheme="minorHAnsi"/>
          <w:color w:val="000000" w:themeColor="text1"/>
          <w:sz w:val="24"/>
          <w:szCs w:val="24"/>
          <w14:textFill>
            <w14:solidFill>
              <w14:schemeClr w14:val="tx1"/>
            </w14:solidFill>
          </w14:textFill>
        </w:rPr>
        <w:t>Lei nº 14.133, de 1º de abril de 2021</w:t>
      </w:r>
      <w:r>
        <w:rPr>
          <w:rStyle w:val="16"/>
          <w:rFonts w:eastAsiaTheme="minorHAnsi"/>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t xml:space="preserve">, do Decreto nº 46 de 25 de fevereiro de 2025, </w:t>
      </w:r>
      <w:r>
        <w:rPr>
          <w:rFonts w:eastAsia="Arial"/>
          <w:color w:val="000000" w:themeColor="text1"/>
          <w:sz w:val="24"/>
          <w:szCs w:val="24"/>
          <w14:textFill>
            <w14:solidFill>
              <w14:schemeClr w14:val="tx1"/>
            </w14:solidFill>
          </w14:textFill>
        </w:rPr>
        <w:t xml:space="preserve">e dos demais normativos municipais aplicáveis, todos disponíveis </w:t>
      </w:r>
      <w:r>
        <w:rPr>
          <w:color w:val="000000" w:themeColor="text1"/>
          <w:sz w:val="24"/>
          <w:szCs w:val="24"/>
          <w14:textFill>
            <w14:solidFill>
              <w14:schemeClr w14:val="tx1"/>
            </w14:solidFill>
          </w14:textFill>
        </w:rPr>
        <w:t xml:space="preserve">no endereço eletrônico </w:t>
      </w:r>
      <w:r>
        <w:rPr>
          <w:rFonts w:hint="default"/>
          <w:color w:val="000000" w:themeColor="text1"/>
          <w:sz w:val="24"/>
          <w:szCs w:val="24"/>
          <w14:textFill>
            <w14:solidFill>
              <w14:schemeClr w14:val="tx1"/>
            </w14:solidFill>
          </w14:textFill>
        </w:rPr>
        <w:t>https://valenca.rj.gov.br/page/80ba465b-1b70-4294-8f64-4edab2e03b39/licitacoes</w:t>
      </w:r>
      <w:r>
        <w:rPr>
          <w:color w:val="000000" w:themeColor="text1"/>
          <w:sz w:val="24"/>
          <w:szCs w:val="24"/>
          <w14:textFill>
            <w14:solidFill>
              <w14:schemeClr w14:val="tx1"/>
            </w14:solidFill>
          </w14:textFill>
        </w:rPr>
        <w:t>, e, ainda, de acordo com as condições estabelecidas neste Edital.</w:t>
      </w:r>
    </w:p>
    <w:p w14:paraId="092C9E7A">
      <w:pPr>
        <w:pStyle w:val="97"/>
        <w:spacing w:before="0" w:beforeAutospacing="0" w:after="0" w:afterAutospacing="0" w:line="288" w:lineRule="auto"/>
        <w:ind w:right="-1"/>
        <w:contextualSpacing/>
        <w:jc w:val="both"/>
        <w:rPr>
          <w:rFonts w:eastAsia="Calibri" w:asciiTheme="minorHAnsi" w:hAnsiTheme="minorHAnsi" w:cstheme="minorHAnsi"/>
          <w:b/>
          <w:bCs/>
          <w:lang w:eastAsia="en-US"/>
        </w:rPr>
      </w:pPr>
    </w:p>
    <w:p w14:paraId="0FC86E16">
      <w:pPr>
        <w:pStyle w:val="97"/>
        <w:numPr>
          <w:ilvl w:val="0"/>
          <w:numId w:val="5"/>
        </w:numPr>
        <w:spacing w:before="0" w:beforeAutospacing="0" w:after="0" w:afterAutospacing="0" w:line="288" w:lineRule="auto"/>
        <w:ind w:right="-1"/>
        <w:contextualSpacing/>
        <w:jc w:val="both"/>
        <w:rPr>
          <w:rFonts w:eastAsia="Calibri"/>
          <w:b/>
          <w:bCs/>
          <w:lang w:eastAsia="en-US"/>
        </w:rPr>
      </w:pPr>
      <w:r>
        <w:rPr>
          <w:rFonts w:eastAsia="Calibri"/>
          <w:b/>
          <w:bCs/>
          <w:lang w:eastAsia="en-US"/>
        </w:rPr>
        <w:t>OBJETO</w:t>
      </w:r>
    </w:p>
    <w:p w14:paraId="6486E96D">
      <w:pPr>
        <w:pStyle w:val="97"/>
        <w:spacing w:before="0" w:beforeAutospacing="0" w:after="0" w:afterAutospacing="0" w:line="288" w:lineRule="auto"/>
        <w:ind w:right="-1"/>
        <w:contextualSpacing/>
        <w:jc w:val="both"/>
        <w:rPr>
          <w:rFonts w:eastAsia="Calibri"/>
          <w:b/>
          <w:bCs/>
          <w:lang w:eastAsia="en-US"/>
        </w:rPr>
      </w:pPr>
    </w:p>
    <w:p w14:paraId="37C53E88">
      <w:pPr>
        <w:pStyle w:val="24"/>
        <w:spacing w:line="360" w:lineRule="auto"/>
        <w:jc w:val="both"/>
      </w:pPr>
      <w:r>
        <w:rPr>
          <w:rFonts w:eastAsia="Cambria Math"/>
        </w:rPr>
        <w:t xml:space="preserve">1.1 </w:t>
      </w:r>
      <w:r>
        <w:t>A aquisição 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1D8329B6">
      <w:pPr>
        <w:jc w:val="center"/>
        <w:rPr>
          <w:rFonts w:eastAsia="Cambria Math"/>
          <w:b/>
          <w:sz w:val="24"/>
          <w:szCs w:val="24"/>
        </w:rPr>
      </w:pPr>
      <w:r>
        <w:rPr>
          <w:rFonts w:eastAsia="Cambria Math"/>
          <w:b/>
          <w:sz w:val="24"/>
          <w:szCs w:val="24"/>
        </w:rPr>
        <w:t>GRUPO III</w:t>
      </w:r>
    </w:p>
    <w:tbl>
      <w:tblPr>
        <w:tblStyle w:val="10"/>
        <w:tblpPr w:leftFromText="180" w:rightFromText="180" w:vertAnchor="text" w:horzAnchor="page" w:tblpX="339" w:tblpY="248"/>
        <w:tblOverlap w:val="never"/>
        <w:tblW w:w="11464" w:type="dxa"/>
        <w:tblInd w:w="0" w:type="dxa"/>
        <w:tblLayout w:type="fixed"/>
        <w:tblCellMar>
          <w:top w:w="0" w:type="dxa"/>
          <w:left w:w="108" w:type="dxa"/>
          <w:bottom w:w="0" w:type="dxa"/>
          <w:right w:w="108" w:type="dxa"/>
        </w:tblCellMar>
      </w:tblPr>
      <w:tblGrid>
        <w:gridCol w:w="900"/>
        <w:gridCol w:w="862"/>
        <w:gridCol w:w="862"/>
        <w:gridCol w:w="5845"/>
        <w:gridCol w:w="917"/>
        <w:gridCol w:w="862"/>
        <w:gridCol w:w="1216"/>
      </w:tblGrid>
      <w:tr w14:paraId="156E7B0E">
        <w:tblPrEx>
          <w:tblCellMar>
            <w:top w:w="0" w:type="dxa"/>
            <w:left w:w="108" w:type="dxa"/>
            <w:bottom w:w="0" w:type="dxa"/>
            <w:right w:w="108" w:type="dxa"/>
          </w:tblCellMar>
        </w:tblPrEx>
        <w:trPr>
          <w:trHeight w:val="300" w:hRule="atLeast"/>
        </w:trPr>
        <w:tc>
          <w:tcPr>
            <w:tcW w:w="900"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4BE3EF3A">
            <w:pPr>
              <w:jc w:val="center"/>
              <w:textAlignment w:val="bottom"/>
              <w:rPr>
                <w:rFonts w:eastAsia="SimSun"/>
                <w:color w:val="000000"/>
                <w:sz w:val="18"/>
                <w:szCs w:val="18"/>
                <w:lang w:eastAsia="zh-CN" w:bidi="ar"/>
              </w:rPr>
            </w:pPr>
            <w:r>
              <w:rPr>
                <w:rFonts w:eastAsia="SimSun"/>
                <w:color w:val="000000"/>
                <w:sz w:val="18"/>
                <w:szCs w:val="18"/>
                <w:lang w:eastAsia="zh-CN" w:bidi="ar"/>
              </w:rPr>
              <w:t>Item</w:t>
            </w:r>
          </w:p>
        </w:tc>
        <w:tc>
          <w:tcPr>
            <w:tcW w:w="862"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025D622F">
            <w:pPr>
              <w:jc w:val="center"/>
              <w:textAlignment w:val="bottom"/>
              <w:rPr>
                <w:rFonts w:eastAsia="SimSun"/>
                <w:color w:val="000000"/>
                <w:sz w:val="18"/>
                <w:szCs w:val="18"/>
                <w:lang w:eastAsia="zh-CN" w:bidi="ar"/>
              </w:rPr>
            </w:pPr>
            <w:r>
              <w:rPr>
                <w:rFonts w:eastAsia="SimSun"/>
                <w:color w:val="000000"/>
                <w:sz w:val="18"/>
                <w:szCs w:val="18"/>
                <w:lang w:eastAsia="zh-CN" w:bidi="ar"/>
              </w:rPr>
              <w:t>Unid</w:t>
            </w:r>
          </w:p>
        </w:tc>
        <w:tc>
          <w:tcPr>
            <w:tcW w:w="862"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538C5DF2">
            <w:pPr>
              <w:jc w:val="center"/>
              <w:textAlignment w:val="bottom"/>
              <w:rPr>
                <w:rFonts w:eastAsia="SimSun"/>
                <w:color w:val="000000"/>
                <w:sz w:val="18"/>
                <w:szCs w:val="18"/>
                <w:lang w:eastAsia="hi-IN" w:bidi="ar"/>
              </w:rPr>
            </w:pPr>
            <w:r>
              <w:rPr>
                <w:rFonts w:eastAsia="SimSun"/>
                <w:color w:val="000000"/>
                <w:sz w:val="18"/>
                <w:szCs w:val="18"/>
                <w:lang w:eastAsia="zh-CN" w:bidi="ar"/>
              </w:rPr>
              <w:t>Quant</w:t>
            </w:r>
          </w:p>
        </w:tc>
        <w:tc>
          <w:tcPr>
            <w:tcW w:w="5845"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4AFCE196">
            <w:pPr>
              <w:jc w:val="center"/>
              <w:textAlignment w:val="bottom"/>
              <w:rPr>
                <w:rFonts w:eastAsia="SimSun"/>
                <w:color w:val="000000"/>
                <w:sz w:val="18"/>
                <w:szCs w:val="18"/>
                <w:lang w:eastAsia="zh-CN" w:bidi="ar"/>
              </w:rPr>
            </w:pPr>
            <w:r>
              <w:rPr>
                <w:rFonts w:eastAsia="SimSun"/>
                <w:color w:val="000000"/>
                <w:sz w:val="18"/>
                <w:szCs w:val="18"/>
                <w:lang w:eastAsia="zh-CN" w:bidi="ar"/>
              </w:rPr>
              <w:t>Especificação</w:t>
            </w:r>
          </w:p>
        </w:tc>
        <w:tc>
          <w:tcPr>
            <w:tcW w:w="917"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62670BB6">
            <w:pPr>
              <w:jc w:val="center"/>
              <w:textAlignment w:val="bottom"/>
              <w:rPr>
                <w:rFonts w:eastAsia="SimSun"/>
                <w:color w:val="000000"/>
                <w:sz w:val="18"/>
                <w:szCs w:val="18"/>
                <w:lang w:eastAsia="zh-CN" w:bidi="ar"/>
              </w:rPr>
            </w:pPr>
            <w:r>
              <w:rPr>
                <w:rFonts w:eastAsia="SimSun"/>
                <w:color w:val="000000"/>
                <w:sz w:val="18"/>
                <w:szCs w:val="18"/>
                <w:lang w:eastAsia="zh-CN" w:bidi="ar"/>
              </w:rPr>
              <w:t>Catmat</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6392541">
            <w:pPr>
              <w:jc w:val="center"/>
              <w:textAlignment w:val="bottom"/>
              <w:rPr>
                <w:rFonts w:eastAsia="SimSun"/>
                <w:color w:val="000000"/>
                <w:sz w:val="18"/>
                <w:szCs w:val="18"/>
                <w:lang w:eastAsia="zh-CN" w:bidi="ar"/>
              </w:rPr>
            </w:pPr>
            <w:r>
              <w:rPr>
                <w:rFonts w:eastAsia="SimSun"/>
                <w:color w:val="000000"/>
                <w:sz w:val="18"/>
                <w:szCs w:val="18"/>
                <w:lang w:eastAsia="zh-CN" w:bidi="ar"/>
              </w:rPr>
              <w:t>Valor unitario</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956E3CF">
            <w:pPr>
              <w:jc w:val="center"/>
              <w:textAlignment w:val="bottom"/>
              <w:rPr>
                <w:rFonts w:eastAsia="SimSun"/>
                <w:color w:val="000000"/>
                <w:sz w:val="18"/>
                <w:szCs w:val="18"/>
                <w:lang w:eastAsia="zh-CN" w:bidi="ar"/>
              </w:rPr>
            </w:pPr>
            <w:r>
              <w:rPr>
                <w:rFonts w:eastAsia="SimSun"/>
                <w:color w:val="000000"/>
                <w:sz w:val="18"/>
                <w:szCs w:val="18"/>
                <w:lang w:eastAsia="zh-CN" w:bidi="ar"/>
              </w:rPr>
              <w:t>Valor total</w:t>
            </w:r>
          </w:p>
        </w:tc>
      </w:tr>
      <w:tr w14:paraId="082E1978">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A738F7E">
            <w:pPr>
              <w:jc w:val="center"/>
              <w:textAlignment w:val="bottom"/>
              <w:rPr>
                <w:rFonts w:eastAsia="SimSun"/>
                <w:b/>
                <w:bCs/>
                <w:sz w:val="18"/>
                <w:szCs w:val="18"/>
                <w:lang w:eastAsia="zh-CN" w:bidi="ar"/>
              </w:rPr>
            </w:pPr>
            <w:r>
              <w:rPr>
                <w:rFonts w:eastAsia="SimSun"/>
                <w:b/>
                <w:bCs/>
                <w:sz w:val="18"/>
                <w:szCs w:val="18"/>
                <w:lang w:eastAsia="zh-CN" w:bidi="ar"/>
              </w:rPr>
              <w:t>1</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4E54B295">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2253E7DB">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07F27B5A">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7C72E769">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p w14:paraId="5F249E6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1ADEC265">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ED46DC3">
            <w:pPr>
              <w:jc w:val="center"/>
              <w:textAlignment w:val="bottom"/>
              <w:rPr>
                <w:rFonts w:eastAsia="SimSun"/>
                <w:b/>
                <w:bCs/>
                <w:kern w:val="3"/>
                <w:sz w:val="18"/>
                <w:szCs w:val="18"/>
                <w:lang w:eastAsia="zh-CN" w:bidi="hi-IN"/>
              </w:rPr>
            </w:pPr>
            <w:r>
              <w:rPr>
                <w:b/>
                <w:bCs/>
                <w:kern w:val="3"/>
                <w:sz w:val="18"/>
                <w:szCs w:val="18"/>
                <w:lang w:eastAsia="hi-IN" w:bidi="hi-IN"/>
              </w:rPr>
              <w:t>1800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6683C035">
            <w:pPr>
              <w:jc w:val="both"/>
              <w:rPr>
                <w:sz w:val="18"/>
                <w:szCs w:val="18"/>
              </w:rPr>
            </w:pPr>
            <w:r>
              <w:rPr>
                <w:b/>
                <w:bCs/>
                <w:sz w:val="18"/>
                <w:szCs w:val="18"/>
              </w:rPr>
              <w:t>SUPLEMENTO ALIMENTAR</w:t>
            </w:r>
            <w:r>
              <w:rPr>
                <w:sz w:val="18"/>
                <w:szCs w:val="18"/>
              </w:rPr>
              <w:t xml:space="preserve"> para lactantes e de seguimento, constituída de aminoácidos elementar, nutricional mente completa, em pó, para crianças com alergias alimentares ou distúrbio da digestão e absorção de de nutrientes. Única fórmula de aminoácidos para crianças com segurança e eficácia comprovadas em pacientes com alergias alimentares. Isenta de proteína láctea, lactose, sacarose, galactose, frutose e glúten. Indicada para crianças de até 01 ano. Deve atender todas as legislações pertinentes de micronutrientes e demanda proteica.</w:t>
            </w:r>
          </w:p>
          <w:p w14:paraId="6771A085">
            <w:pPr>
              <w:jc w:val="both"/>
              <w:rPr>
                <w:sz w:val="18"/>
                <w:szCs w:val="18"/>
              </w:rPr>
            </w:pPr>
            <w:r>
              <w:rPr>
                <w:b/>
                <w:sz w:val="18"/>
                <w:szCs w:val="18"/>
              </w:rPr>
              <w:t>Apresentação</w:t>
            </w:r>
            <w:r>
              <w:rPr>
                <w:sz w:val="18"/>
                <w:szCs w:val="18"/>
              </w:rPr>
              <w:t>: latas contendo 400g, com validade de 75% na data de entrega.</w:t>
            </w:r>
          </w:p>
          <w:p w14:paraId="0D280468">
            <w:pPr>
              <w:jc w:val="both"/>
              <w:rPr>
                <w:rFonts w:eastAsia="SimSun"/>
                <w:b/>
                <w:kern w:val="3"/>
                <w:sz w:val="18"/>
                <w:szCs w:val="18"/>
                <w:lang w:eastAsia="zh-CN" w:bidi="hi-IN"/>
              </w:rPr>
            </w:pPr>
            <w:r>
              <w:rPr>
                <w:b/>
                <w:sz w:val="18"/>
                <w:szCs w:val="18"/>
              </w:rPr>
              <w:t>Marca pré-aprovada: Neocate LCP</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33DC772">
            <w:pPr>
              <w:jc w:val="center"/>
              <w:textAlignment w:val="bottom"/>
              <w:rPr>
                <w:rFonts w:eastAsia="SimSun"/>
                <w:color w:val="000000"/>
                <w:sz w:val="18"/>
                <w:szCs w:val="18"/>
                <w:lang w:eastAsia="zh-CN" w:bidi="ar"/>
              </w:rPr>
            </w:pPr>
            <w:r>
              <w:rPr>
                <w:rFonts w:eastAsia="SimSun"/>
                <w:color w:val="000000"/>
                <w:sz w:val="18"/>
                <w:szCs w:val="18"/>
                <w:lang w:eastAsia="zh-CN" w:bidi="ar"/>
              </w:rPr>
              <w:t>469929</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4194D10">
            <w:pPr>
              <w:jc w:val="center"/>
              <w:textAlignment w:val="bottom"/>
              <w:rPr>
                <w:rFonts w:eastAsia="SimSun"/>
                <w:color w:val="000000"/>
                <w:sz w:val="18"/>
                <w:szCs w:val="18"/>
                <w:lang w:eastAsia="zh-CN" w:bidi="ar"/>
              </w:rPr>
            </w:pPr>
            <w:r>
              <w:rPr>
                <w:rFonts w:eastAsia="SimSun"/>
                <w:color w:val="000000"/>
                <w:sz w:val="18"/>
                <w:szCs w:val="18"/>
                <w:lang w:eastAsia="zh-CN" w:bidi="ar"/>
              </w:rPr>
              <w:t>259,90</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9AE20D3">
            <w:pPr>
              <w:jc w:val="center"/>
              <w:textAlignment w:val="bottom"/>
              <w:rPr>
                <w:rFonts w:eastAsia="SimSun"/>
                <w:color w:val="000000"/>
                <w:sz w:val="18"/>
                <w:szCs w:val="18"/>
                <w:lang w:eastAsia="zh-CN" w:bidi="ar"/>
              </w:rPr>
            </w:pPr>
            <w:r>
              <w:rPr>
                <w:rFonts w:eastAsia="SimSun"/>
                <w:color w:val="000000"/>
                <w:sz w:val="18"/>
                <w:szCs w:val="18"/>
                <w:lang w:eastAsia="zh-CN" w:bidi="ar"/>
              </w:rPr>
              <w:t>467.820,00</w:t>
            </w:r>
          </w:p>
        </w:tc>
      </w:tr>
      <w:tr w14:paraId="2955CF72">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B93C9C3">
            <w:pPr>
              <w:jc w:val="center"/>
              <w:textAlignment w:val="bottom"/>
              <w:rPr>
                <w:rFonts w:eastAsia="SimSun"/>
                <w:b/>
                <w:bCs/>
                <w:sz w:val="18"/>
                <w:szCs w:val="18"/>
                <w:lang w:eastAsia="zh-CN" w:bidi="ar"/>
              </w:rPr>
            </w:pPr>
            <w:r>
              <w:rPr>
                <w:rFonts w:eastAsia="SimSun"/>
                <w:b/>
                <w:bCs/>
                <w:sz w:val="18"/>
                <w:szCs w:val="18"/>
                <w:lang w:eastAsia="zh-CN" w:bidi="ar"/>
              </w:rPr>
              <w:t>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1FB02E62">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4F038D9">
            <w:pPr>
              <w:jc w:val="center"/>
              <w:textAlignment w:val="bottom"/>
              <w:rPr>
                <w:rFonts w:eastAsia="SimSun"/>
                <w:b/>
                <w:bCs/>
                <w:kern w:val="3"/>
                <w:sz w:val="18"/>
                <w:szCs w:val="18"/>
                <w:lang w:eastAsia="zh-CN" w:bidi="hi-IN"/>
              </w:rPr>
            </w:pPr>
            <w:r>
              <w:rPr>
                <w:b/>
                <w:bCs/>
                <w:kern w:val="3"/>
                <w:sz w:val="18"/>
                <w:szCs w:val="18"/>
                <w:lang w:eastAsia="hi-IN" w:bidi="hi-IN"/>
              </w:rPr>
              <w:t>2500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4EC1AF1A">
            <w:pPr>
              <w:jc w:val="both"/>
              <w:rPr>
                <w:sz w:val="18"/>
                <w:szCs w:val="18"/>
              </w:rPr>
            </w:pPr>
            <w:r>
              <w:rPr>
                <w:b/>
                <w:bCs/>
                <w:sz w:val="18"/>
                <w:szCs w:val="18"/>
              </w:rPr>
              <w:t>FÓRMULA INFANTIL</w:t>
            </w:r>
            <w:r>
              <w:rPr>
                <w:sz w:val="18"/>
                <w:szCs w:val="18"/>
              </w:rPr>
              <w:t xml:space="preserve"> para alergia a proteína do leite de vaca e/ou de soja, sem quadro diarreico. Dieta hipoalergênica, formulada com proteína extensamente hidrolisada para alimentação de lactantes desde o nascimento com alergia às proteínas do leite de vaca que não apresentem diarreia. Possui em sua formulação prebióticos, DHA e ARA e nucleotídeos. Isenta de glúten.</w:t>
            </w:r>
          </w:p>
          <w:p w14:paraId="77676337">
            <w:pPr>
              <w:jc w:val="both"/>
              <w:rPr>
                <w:sz w:val="18"/>
                <w:szCs w:val="18"/>
              </w:rPr>
            </w:pPr>
            <w:r>
              <w:rPr>
                <w:b/>
                <w:sz w:val="18"/>
                <w:szCs w:val="18"/>
              </w:rPr>
              <w:t>Apresentação:</w:t>
            </w:r>
            <w:r>
              <w:rPr>
                <w:sz w:val="18"/>
                <w:szCs w:val="18"/>
              </w:rPr>
              <w:t xml:space="preserve"> latas contendo 400g, com validade de 75% na data de entrega.</w:t>
            </w:r>
          </w:p>
          <w:p w14:paraId="54562EF6">
            <w:pPr>
              <w:jc w:val="both"/>
              <w:rPr>
                <w:rFonts w:eastAsia="SimSun"/>
                <w:b/>
                <w:kern w:val="3"/>
                <w:sz w:val="18"/>
                <w:szCs w:val="18"/>
                <w:lang w:eastAsia="zh-CN" w:bidi="hi-IN"/>
              </w:rPr>
            </w:pPr>
            <w:r>
              <w:rPr>
                <w:b/>
                <w:sz w:val="18"/>
                <w:szCs w:val="18"/>
              </w:rPr>
              <w:t>Marca pré-aprovadas: AptamilPepti</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954887C">
            <w:pPr>
              <w:jc w:val="center"/>
              <w:textAlignment w:val="bottom"/>
              <w:rPr>
                <w:rFonts w:eastAsia="SimSun"/>
                <w:color w:val="000000"/>
                <w:sz w:val="18"/>
                <w:szCs w:val="18"/>
                <w:lang w:eastAsia="zh-CN" w:bidi="ar"/>
              </w:rPr>
            </w:pPr>
            <w:r>
              <w:rPr>
                <w:rFonts w:eastAsia="SimSun"/>
                <w:color w:val="000000"/>
                <w:sz w:val="18"/>
                <w:szCs w:val="18"/>
                <w:lang w:eastAsia="zh-CN" w:bidi="ar"/>
              </w:rPr>
              <w:t>617809</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B04ACDB">
            <w:pPr>
              <w:jc w:val="center"/>
              <w:textAlignment w:val="bottom"/>
              <w:rPr>
                <w:rFonts w:eastAsia="SimSun"/>
                <w:color w:val="000000"/>
                <w:sz w:val="18"/>
                <w:szCs w:val="18"/>
                <w:lang w:eastAsia="zh-CN" w:bidi="ar"/>
              </w:rPr>
            </w:pPr>
            <w:r>
              <w:rPr>
                <w:rFonts w:eastAsia="SimSun"/>
                <w:color w:val="000000"/>
                <w:sz w:val="18"/>
                <w:szCs w:val="18"/>
                <w:lang w:eastAsia="zh-CN" w:bidi="ar"/>
              </w:rPr>
              <w:t>122,95</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D67FCB0">
            <w:pPr>
              <w:jc w:val="center"/>
              <w:textAlignment w:val="bottom"/>
              <w:rPr>
                <w:rFonts w:eastAsia="SimSun"/>
                <w:color w:val="000000"/>
                <w:sz w:val="18"/>
                <w:szCs w:val="18"/>
                <w:lang w:eastAsia="zh-CN" w:bidi="ar"/>
              </w:rPr>
            </w:pPr>
            <w:r>
              <w:rPr>
                <w:rFonts w:eastAsia="SimSun"/>
                <w:color w:val="000000"/>
                <w:sz w:val="18"/>
                <w:szCs w:val="18"/>
                <w:lang w:eastAsia="zh-CN" w:bidi="ar"/>
              </w:rPr>
              <w:t>307.375,00</w:t>
            </w:r>
          </w:p>
        </w:tc>
      </w:tr>
      <w:tr w14:paraId="5C9C3AF3">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C040448">
            <w:pPr>
              <w:jc w:val="center"/>
              <w:textAlignment w:val="bottom"/>
              <w:rPr>
                <w:rFonts w:eastAsia="SimSun"/>
                <w:b/>
                <w:bCs/>
                <w:sz w:val="18"/>
                <w:szCs w:val="18"/>
                <w:lang w:eastAsia="zh-CN" w:bidi="ar"/>
              </w:rPr>
            </w:pPr>
            <w:r>
              <w:rPr>
                <w:rFonts w:eastAsia="SimSun"/>
                <w:b/>
                <w:bCs/>
                <w:sz w:val="18"/>
                <w:szCs w:val="18"/>
                <w:lang w:eastAsia="zh-CN" w:bidi="ar"/>
              </w:rPr>
              <w:t>3</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21251D05">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7D6FAA5">
            <w:pPr>
              <w:jc w:val="center"/>
              <w:textAlignment w:val="bottom"/>
              <w:rPr>
                <w:rFonts w:eastAsia="SimSun"/>
                <w:b/>
                <w:bCs/>
                <w:kern w:val="3"/>
                <w:sz w:val="18"/>
                <w:szCs w:val="18"/>
                <w:lang w:eastAsia="zh-CN" w:bidi="hi-IN"/>
              </w:rPr>
            </w:pPr>
            <w:r>
              <w:rPr>
                <w:b/>
                <w:bCs/>
                <w:kern w:val="3"/>
                <w:sz w:val="18"/>
                <w:szCs w:val="18"/>
                <w:lang w:eastAsia="hi-IN" w:bidi="hi-IN"/>
              </w:rPr>
              <w:t>3800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7D5A5DC2">
            <w:pPr>
              <w:jc w:val="both"/>
              <w:rPr>
                <w:sz w:val="18"/>
                <w:szCs w:val="18"/>
              </w:rPr>
            </w:pPr>
            <w:r>
              <w:rPr>
                <w:b/>
                <w:bCs/>
                <w:sz w:val="18"/>
                <w:szCs w:val="18"/>
              </w:rPr>
              <w:t>FÓRMULA INFANTIL</w:t>
            </w:r>
            <w:r>
              <w:rPr>
                <w:sz w:val="18"/>
                <w:szCs w:val="18"/>
              </w:rPr>
              <w:t xml:space="preserve"> para alergia à proteína do leite de vaca o/ou soja distúrbios absortivos ou outras condições clínicas que requerem terapia nutricional com dieta ou fórmula semielementar e hipoalergênica.</w:t>
            </w:r>
          </w:p>
          <w:p w14:paraId="0ECBE92B">
            <w:pPr>
              <w:jc w:val="both"/>
              <w:rPr>
                <w:sz w:val="18"/>
                <w:szCs w:val="18"/>
              </w:rPr>
            </w:pPr>
            <w:r>
              <w:rPr>
                <w:sz w:val="18"/>
                <w:szCs w:val="18"/>
              </w:rPr>
              <w:t>Dieta semi-elementar e hipoalergênica, à base de proteína extensamente hidrolisada de soro de leite, TCM, óleos vegetais, de Mortierella alpina e de peixe; maltodextrina, vitaminas, minerais, nucleotídes e oligoelementos. Apresenta baixa osmoralidade, ótima tolerabilidade e aceitação. 100% proteína extensamente hidrolisada do solro do leite. Isento de lactose, sacarose, frutose e glúten.</w:t>
            </w:r>
          </w:p>
          <w:p w14:paraId="3FBCDCAE">
            <w:pPr>
              <w:jc w:val="both"/>
              <w:rPr>
                <w:sz w:val="18"/>
                <w:szCs w:val="18"/>
              </w:rPr>
            </w:pPr>
            <w:r>
              <w:rPr>
                <w:b/>
                <w:sz w:val="18"/>
                <w:szCs w:val="18"/>
              </w:rPr>
              <w:t>Apresentação:</w:t>
            </w:r>
            <w:r>
              <w:rPr>
                <w:sz w:val="18"/>
                <w:szCs w:val="18"/>
              </w:rPr>
              <w:t xml:space="preserve"> latas contendo 400g, com validade de 24 meses da   data de entrega.</w:t>
            </w:r>
          </w:p>
          <w:p w14:paraId="4B6AD2AE">
            <w:pPr>
              <w:jc w:val="both"/>
              <w:rPr>
                <w:rFonts w:eastAsia="SimSun"/>
                <w:b/>
                <w:kern w:val="3"/>
                <w:sz w:val="18"/>
                <w:szCs w:val="18"/>
                <w:lang w:eastAsia="zh-CN" w:bidi="hi-IN"/>
              </w:rPr>
            </w:pPr>
            <w:r>
              <w:rPr>
                <w:b/>
                <w:sz w:val="18"/>
                <w:szCs w:val="18"/>
              </w:rPr>
              <w:t>Marca pré-aprovada: PregominPepti</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C214463">
            <w:pPr>
              <w:jc w:val="center"/>
              <w:textAlignment w:val="bottom"/>
              <w:rPr>
                <w:rFonts w:eastAsia="SimSun"/>
                <w:color w:val="000000"/>
                <w:sz w:val="18"/>
                <w:szCs w:val="18"/>
                <w:lang w:eastAsia="zh-CN" w:bidi="ar"/>
              </w:rPr>
            </w:pPr>
            <w:r>
              <w:rPr>
                <w:rFonts w:eastAsia="SimSun"/>
                <w:color w:val="000000"/>
                <w:sz w:val="18"/>
                <w:szCs w:val="18"/>
                <w:lang w:eastAsia="zh-CN" w:bidi="ar"/>
              </w:rPr>
              <w:t>618654</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3496861">
            <w:pPr>
              <w:jc w:val="center"/>
              <w:textAlignment w:val="bottom"/>
              <w:rPr>
                <w:rFonts w:eastAsia="SimSun"/>
                <w:color w:val="000000"/>
                <w:sz w:val="18"/>
                <w:szCs w:val="18"/>
                <w:lang w:eastAsia="zh-CN" w:bidi="ar"/>
              </w:rPr>
            </w:pPr>
            <w:r>
              <w:rPr>
                <w:rFonts w:eastAsia="SimSun"/>
                <w:color w:val="000000"/>
                <w:sz w:val="18"/>
                <w:szCs w:val="18"/>
                <w:lang w:eastAsia="zh-CN" w:bidi="ar"/>
              </w:rPr>
              <w:t>153,90</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235FF9F">
            <w:pPr>
              <w:jc w:val="center"/>
              <w:textAlignment w:val="bottom"/>
              <w:rPr>
                <w:rFonts w:eastAsia="SimSun"/>
                <w:color w:val="000000"/>
                <w:sz w:val="18"/>
                <w:szCs w:val="18"/>
                <w:lang w:eastAsia="zh-CN" w:bidi="ar"/>
              </w:rPr>
            </w:pPr>
            <w:r>
              <w:rPr>
                <w:rFonts w:eastAsia="SimSun"/>
                <w:color w:val="000000"/>
                <w:sz w:val="18"/>
                <w:szCs w:val="18"/>
                <w:lang w:eastAsia="zh-CN" w:bidi="ar"/>
              </w:rPr>
              <w:t>584,820,00</w:t>
            </w:r>
          </w:p>
        </w:tc>
      </w:tr>
      <w:tr w14:paraId="66530CA5">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8E51FE">
            <w:pPr>
              <w:jc w:val="center"/>
              <w:textAlignment w:val="bottom"/>
              <w:rPr>
                <w:rFonts w:eastAsia="SimSun"/>
                <w:b/>
                <w:bCs/>
                <w:sz w:val="18"/>
                <w:szCs w:val="18"/>
                <w:lang w:eastAsia="zh-CN" w:bidi="ar"/>
              </w:rPr>
            </w:pPr>
            <w:r>
              <w:rPr>
                <w:rFonts w:eastAsia="SimSun"/>
                <w:b/>
                <w:bCs/>
                <w:sz w:val="18"/>
                <w:szCs w:val="18"/>
                <w:lang w:eastAsia="zh-CN" w:bidi="ar"/>
              </w:rPr>
              <w:t>4</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1EEC75B0">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6B9084">
            <w:pPr>
              <w:jc w:val="center"/>
              <w:textAlignment w:val="bottom"/>
              <w:rPr>
                <w:rFonts w:eastAsia="SimSun"/>
                <w:b/>
                <w:bCs/>
                <w:kern w:val="3"/>
                <w:sz w:val="18"/>
                <w:szCs w:val="18"/>
                <w:lang w:eastAsia="zh-CN" w:bidi="hi-IN"/>
              </w:rPr>
            </w:pPr>
            <w:r>
              <w:rPr>
                <w:b/>
                <w:bCs/>
                <w:kern w:val="3"/>
                <w:sz w:val="18"/>
                <w:szCs w:val="18"/>
                <w:lang w:eastAsia="hi-IN" w:bidi="hi-IN"/>
              </w:rPr>
              <w:t>300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6993FEE7">
            <w:pPr>
              <w:jc w:val="both"/>
              <w:rPr>
                <w:sz w:val="18"/>
                <w:szCs w:val="18"/>
              </w:rPr>
            </w:pPr>
            <w:r>
              <w:rPr>
                <w:b/>
                <w:bCs/>
                <w:sz w:val="18"/>
                <w:szCs w:val="18"/>
              </w:rPr>
              <w:t>FORMULA INFANTIL</w:t>
            </w:r>
            <w:r>
              <w:rPr>
                <w:sz w:val="18"/>
                <w:szCs w:val="18"/>
              </w:rPr>
              <w:t xml:space="preserve"> para lactantes e de seguimento para lactantes e crianças de primeira infância destinada a necessidades dietoterápicas especificas com 1 Kcal/ml. Uma formula polimérica, hipercalórica e nutricionalmente completa indicada para alimentação oral ou enteral de crianças de 0 a 3 anos de idade.</w:t>
            </w:r>
          </w:p>
          <w:p w14:paraId="6DA6D3EF">
            <w:pPr>
              <w:jc w:val="both"/>
              <w:rPr>
                <w:sz w:val="18"/>
                <w:szCs w:val="18"/>
              </w:rPr>
            </w:pPr>
            <w:r>
              <w:rPr>
                <w:sz w:val="18"/>
                <w:szCs w:val="18"/>
              </w:rPr>
              <w:t>Formula adicionada de LCPufas (ARA/DHA), nucleotídeos, beta-caroteno e prebióticos (GOS/FOS). Isento de sacarose. Não contém glúten.</w:t>
            </w:r>
          </w:p>
          <w:p w14:paraId="341D66DE">
            <w:pPr>
              <w:jc w:val="both"/>
              <w:rPr>
                <w:sz w:val="18"/>
                <w:szCs w:val="18"/>
              </w:rPr>
            </w:pPr>
            <w:r>
              <w:rPr>
                <w:b/>
                <w:sz w:val="18"/>
                <w:szCs w:val="18"/>
              </w:rPr>
              <w:t>Apresentação:</w:t>
            </w:r>
            <w:r>
              <w:rPr>
                <w:sz w:val="18"/>
                <w:szCs w:val="18"/>
              </w:rPr>
              <w:t xml:space="preserve"> latas contendo 400g, com validade de 75% na data de entrega.</w:t>
            </w:r>
          </w:p>
          <w:p w14:paraId="670033FA">
            <w:pPr>
              <w:jc w:val="both"/>
              <w:rPr>
                <w:rFonts w:eastAsia="SimSun"/>
                <w:b/>
                <w:kern w:val="3"/>
                <w:sz w:val="18"/>
                <w:szCs w:val="18"/>
                <w:lang w:eastAsia="zh-CN" w:bidi="hi-IN"/>
              </w:rPr>
            </w:pPr>
            <w:r>
              <w:rPr>
                <w:b/>
                <w:sz w:val="18"/>
                <w:szCs w:val="18"/>
              </w:rPr>
              <w:t xml:space="preserve">Marca pré-aprovada: Infatrini Pó  </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DD6FC27">
            <w:pPr>
              <w:jc w:val="center"/>
              <w:textAlignment w:val="bottom"/>
              <w:rPr>
                <w:rFonts w:eastAsia="SimSun"/>
                <w:color w:val="000000"/>
                <w:sz w:val="18"/>
                <w:szCs w:val="18"/>
                <w:lang w:eastAsia="zh-CN" w:bidi="ar"/>
              </w:rPr>
            </w:pPr>
            <w:r>
              <w:rPr>
                <w:rFonts w:eastAsia="SimSun"/>
                <w:color w:val="000000"/>
                <w:sz w:val="18"/>
                <w:szCs w:val="18"/>
                <w:lang w:eastAsia="zh-CN" w:bidi="ar"/>
              </w:rPr>
              <w:t>485142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B942117">
            <w:pPr>
              <w:jc w:val="center"/>
              <w:textAlignment w:val="bottom"/>
              <w:rPr>
                <w:rFonts w:eastAsia="SimSun"/>
                <w:color w:val="000000"/>
                <w:sz w:val="18"/>
                <w:szCs w:val="18"/>
                <w:lang w:eastAsia="zh-CN" w:bidi="ar"/>
              </w:rPr>
            </w:pPr>
            <w:r>
              <w:rPr>
                <w:rFonts w:eastAsia="SimSun"/>
                <w:color w:val="000000"/>
                <w:sz w:val="18"/>
                <w:szCs w:val="18"/>
                <w:lang w:eastAsia="zh-CN" w:bidi="ar"/>
              </w:rPr>
              <w:t>174,15</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C61651">
            <w:pPr>
              <w:jc w:val="center"/>
              <w:textAlignment w:val="bottom"/>
              <w:rPr>
                <w:rFonts w:eastAsia="SimSun"/>
                <w:color w:val="000000"/>
                <w:sz w:val="18"/>
                <w:szCs w:val="18"/>
                <w:lang w:eastAsia="zh-CN" w:bidi="ar"/>
              </w:rPr>
            </w:pPr>
            <w:r>
              <w:rPr>
                <w:rFonts w:eastAsia="SimSun"/>
                <w:color w:val="000000"/>
                <w:sz w:val="18"/>
                <w:szCs w:val="18"/>
                <w:lang w:eastAsia="zh-CN" w:bidi="ar"/>
              </w:rPr>
              <w:t>52.245,00</w:t>
            </w:r>
          </w:p>
        </w:tc>
      </w:tr>
      <w:tr w14:paraId="3B1DA96E">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1B191360">
            <w:pPr>
              <w:jc w:val="center"/>
              <w:textAlignment w:val="bottom"/>
              <w:rPr>
                <w:rFonts w:eastAsia="SimSun"/>
                <w:b/>
                <w:bCs/>
                <w:sz w:val="18"/>
                <w:szCs w:val="18"/>
                <w:lang w:eastAsia="zh-CN" w:bidi="ar"/>
              </w:rPr>
            </w:pPr>
            <w:r>
              <w:rPr>
                <w:rFonts w:eastAsia="SimSun"/>
                <w:b/>
                <w:bCs/>
                <w:sz w:val="18"/>
                <w:szCs w:val="18"/>
                <w:lang w:eastAsia="zh-CN" w:bidi="ar"/>
              </w:rPr>
              <w:t>5</w:t>
            </w:r>
          </w:p>
        </w:tc>
        <w:tc>
          <w:tcPr>
            <w:tcW w:w="862" w:type="dxa"/>
            <w:tcBorders>
              <w:top w:val="single" w:color="000000" w:sz="2" w:space="0"/>
              <w:left w:val="single" w:color="000000" w:sz="2" w:space="0"/>
              <w:bottom w:val="single" w:color="auto" w:sz="4" w:space="0"/>
              <w:right w:val="single" w:color="000000" w:sz="2" w:space="0"/>
            </w:tcBorders>
            <w:shd w:val="clear" w:color="auto" w:fill="auto"/>
            <w:noWrap/>
          </w:tcPr>
          <w:p w14:paraId="2C08FFE6">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862"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704DF2F8">
            <w:pPr>
              <w:jc w:val="center"/>
              <w:textAlignment w:val="bottom"/>
              <w:rPr>
                <w:rFonts w:eastAsia="SimSun"/>
                <w:b/>
                <w:bCs/>
                <w:kern w:val="3"/>
                <w:sz w:val="18"/>
                <w:szCs w:val="18"/>
                <w:lang w:eastAsia="zh-CN" w:bidi="hi-IN"/>
              </w:rPr>
            </w:pPr>
            <w:r>
              <w:rPr>
                <w:b/>
                <w:bCs/>
                <w:kern w:val="3"/>
                <w:sz w:val="18"/>
                <w:szCs w:val="18"/>
                <w:lang w:eastAsia="hi-IN" w:bidi="hi-IN"/>
              </w:rPr>
              <w:t>1500</w:t>
            </w:r>
          </w:p>
        </w:tc>
        <w:tc>
          <w:tcPr>
            <w:tcW w:w="5845" w:type="dxa"/>
            <w:tcBorders>
              <w:top w:val="single" w:color="000000" w:sz="2" w:space="0"/>
              <w:left w:val="single" w:color="000000" w:sz="2" w:space="0"/>
              <w:bottom w:val="single" w:color="auto" w:sz="4" w:space="0"/>
              <w:right w:val="single" w:color="000000" w:sz="2" w:space="0"/>
            </w:tcBorders>
            <w:shd w:val="clear" w:color="auto" w:fill="auto"/>
            <w:noWrap/>
          </w:tcPr>
          <w:p w14:paraId="796EFAD1">
            <w:pPr>
              <w:jc w:val="both"/>
              <w:rPr>
                <w:sz w:val="18"/>
                <w:szCs w:val="18"/>
              </w:rPr>
            </w:pPr>
            <w:r>
              <w:rPr>
                <w:sz w:val="18"/>
                <w:szCs w:val="18"/>
              </w:rPr>
              <w:t>Formula alimentar hipoercalorica de 1,5kcal/ml para idade de 3 a 10 anos</w:t>
            </w:r>
          </w:p>
          <w:p w14:paraId="31992554">
            <w:pPr>
              <w:jc w:val="both"/>
              <w:rPr>
                <w:sz w:val="18"/>
                <w:szCs w:val="18"/>
              </w:rPr>
            </w:pPr>
            <w:r>
              <w:rPr>
                <w:b/>
                <w:bCs/>
                <w:sz w:val="18"/>
                <w:szCs w:val="18"/>
              </w:rPr>
              <w:t xml:space="preserve">Apresentação: </w:t>
            </w:r>
            <w:r>
              <w:rPr>
                <w:sz w:val="18"/>
                <w:szCs w:val="18"/>
              </w:rPr>
              <w:t>lata com 400g, com validade minima de 75% a contar da data de entrega</w:t>
            </w:r>
          </w:p>
          <w:p w14:paraId="5B39D5AA">
            <w:pPr>
              <w:jc w:val="both"/>
              <w:rPr>
                <w:rFonts w:eastAsia="SimSun"/>
                <w:b/>
                <w:bCs/>
                <w:kern w:val="3"/>
                <w:sz w:val="18"/>
                <w:szCs w:val="18"/>
                <w:shd w:val="clear" w:color="auto" w:fill="FFFFFF"/>
                <w:lang w:eastAsia="zh-CN" w:bidi="hi-IN"/>
              </w:rPr>
            </w:pPr>
            <w:r>
              <w:rPr>
                <w:b/>
                <w:sz w:val="18"/>
                <w:szCs w:val="18"/>
                <w:shd w:val="clear" w:color="auto" w:fill="FFFFFF"/>
              </w:rPr>
              <w:t>Marca: Fortini Plus</w:t>
            </w:r>
          </w:p>
        </w:tc>
        <w:tc>
          <w:tcPr>
            <w:tcW w:w="917"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54C6C5E8">
            <w:pPr>
              <w:jc w:val="center"/>
              <w:textAlignment w:val="bottom"/>
              <w:rPr>
                <w:rFonts w:eastAsia="SimSun"/>
                <w:color w:val="000000"/>
                <w:sz w:val="18"/>
                <w:szCs w:val="18"/>
                <w:lang w:eastAsia="zh-CN" w:bidi="ar"/>
              </w:rPr>
            </w:pPr>
            <w:r>
              <w:rPr>
                <w:rFonts w:eastAsia="SimSun"/>
                <w:color w:val="000000"/>
                <w:sz w:val="18"/>
                <w:szCs w:val="18"/>
                <w:lang w:eastAsia="zh-CN" w:bidi="ar"/>
              </w:rPr>
              <w:t>465751</w:t>
            </w:r>
          </w:p>
        </w:tc>
        <w:tc>
          <w:tcPr>
            <w:tcW w:w="862"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68A32561">
            <w:pPr>
              <w:jc w:val="center"/>
              <w:textAlignment w:val="bottom"/>
              <w:rPr>
                <w:rFonts w:eastAsia="SimSun"/>
                <w:color w:val="000000"/>
                <w:sz w:val="18"/>
                <w:szCs w:val="18"/>
                <w:lang w:eastAsia="zh-CN" w:bidi="ar"/>
              </w:rPr>
            </w:pPr>
            <w:r>
              <w:rPr>
                <w:rFonts w:eastAsia="SimSun"/>
                <w:color w:val="000000"/>
                <w:sz w:val="18"/>
                <w:szCs w:val="18"/>
                <w:lang w:eastAsia="zh-CN" w:bidi="ar"/>
              </w:rPr>
              <w:t>63,06</w:t>
            </w:r>
          </w:p>
        </w:tc>
        <w:tc>
          <w:tcPr>
            <w:tcW w:w="1216"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55DDDABF">
            <w:pPr>
              <w:jc w:val="center"/>
              <w:textAlignment w:val="bottom"/>
              <w:rPr>
                <w:rFonts w:eastAsia="SimSun"/>
                <w:color w:val="000000"/>
                <w:sz w:val="18"/>
                <w:szCs w:val="18"/>
                <w:lang w:eastAsia="zh-CN" w:bidi="ar"/>
              </w:rPr>
            </w:pPr>
            <w:r>
              <w:rPr>
                <w:rFonts w:eastAsia="SimSun"/>
                <w:color w:val="000000"/>
                <w:sz w:val="18"/>
                <w:szCs w:val="18"/>
                <w:lang w:eastAsia="zh-CN" w:bidi="ar"/>
              </w:rPr>
              <w:t>94.590,00</w:t>
            </w:r>
          </w:p>
        </w:tc>
      </w:tr>
      <w:tr w14:paraId="31071BA9">
        <w:tblPrEx>
          <w:tblCellMar>
            <w:top w:w="0" w:type="dxa"/>
            <w:left w:w="108" w:type="dxa"/>
            <w:bottom w:w="0" w:type="dxa"/>
            <w:right w:w="108" w:type="dxa"/>
          </w:tblCellMar>
        </w:tblPrEx>
        <w:trPr>
          <w:trHeight w:val="300" w:hRule="atLeast"/>
        </w:trPr>
        <w:tc>
          <w:tcPr>
            <w:tcW w:w="900" w:type="dxa"/>
            <w:tcBorders>
              <w:top w:val="single" w:color="auto" w:sz="4" w:space="0"/>
              <w:left w:val="single" w:color="auto" w:sz="4" w:space="0"/>
              <w:bottom w:val="single" w:color="auto" w:sz="4" w:space="0"/>
              <w:right w:val="single" w:color="auto" w:sz="4" w:space="0"/>
            </w:tcBorders>
            <w:shd w:val="clear" w:color="auto" w:fill="auto"/>
          </w:tcPr>
          <w:p w14:paraId="7BF9A4D8">
            <w:pPr>
              <w:jc w:val="center"/>
              <w:textAlignment w:val="bottom"/>
              <w:rPr>
                <w:rFonts w:eastAsia="SimSun"/>
                <w:b/>
                <w:bCs/>
                <w:sz w:val="18"/>
                <w:szCs w:val="18"/>
                <w:lang w:eastAsia="zh-CN" w:bidi="ar"/>
              </w:rPr>
            </w:pPr>
          </w:p>
        </w:tc>
        <w:tc>
          <w:tcPr>
            <w:tcW w:w="862" w:type="dxa"/>
            <w:tcBorders>
              <w:top w:val="single" w:color="auto" w:sz="4" w:space="0"/>
              <w:left w:val="single" w:color="auto" w:sz="4" w:space="0"/>
              <w:bottom w:val="single" w:color="auto" w:sz="4" w:space="0"/>
              <w:right w:val="single" w:color="auto" w:sz="4" w:space="0"/>
            </w:tcBorders>
            <w:shd w:val="clear" w:color="auto" w:fill="auto"/>
          </w:tcPr>
          <w:p w14:paraId="3335E20A">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tc>
        <w:tc>
          <w:tcPr>
            <w:tcW w:w="862" w:type="dxa"/>
            <w:tcBorders>
              <w:top w:val="single" w:color="auto" w:sz="4" w:space="0"/>
              <w:left w:val="single" w:color="auto" w:sz="4" w:space="0"/>
              <w:bottom w:val="single" w:color="auto" w:sz="4" w:space="0"/>
              <w:right w:val="single" w:color="auto" w:sz="4" w:space="0"/>
            </w:tcBorders>
            <w:shd w:val="clear" w:color="auto" w:fill="auto"/>
          </w:tcPr>
          <w:p w14:paraId="352D5EF1">
            <w:pPr>
              <w:jc w:val="center"/>
              <w:textAlignment w:val="bottom"/>
              <w:rPr>
                <w:rFonts w:eastAsia="SimSun"/>
                <w:b/>
                <w:bCs/>
                <w:kern w:val="3"/>
                <w:sz w:val="18"/>
                <w:szCs w:val="18"/>
                <w:lang w:eastAsia="zh-CN" w:bidi="hi-IN"/>
              </w:rPr>
            </w:pPr>
          </w:p>
        </w:tc>
        <w:tc>
          <w:tcPr>
            <w:tcW w:w="5845" w:type="dxa"/>
            <w:tcBorders>
              <w:top w:val="single" w:color="auto" w:sz="4" w:space="0"/>
              <w:left w:val="single" w:color="auto" w:sz="4" w:space="0"/>
              <w:bottom w:val="single" w:color="auto" w:sz="4" w:space="0"/>
              <w:right w:val="single" w:color="auto" w:sz="4" w:space="0"/>
            </w:tcBorders>
            <w:shd w:val="clear" w:color="auto" w:fill="auto"/>
          </w:tcPr>
          <w:p w14:paraId="28A01E11">
            <w:pPr>
              <w:jc w:val="both"/>
              <w:rPr>
                <w:rFonts w:eastAsia="SimSun"/>
                <w:b/>
                <w:bCs/>
                <w:kern w:val="3"/>
                <w:sz w:val="18"/>
                <w:szCs w:val="18"/>
                <w:shd w:val="clear" w:color="auto" w:fill="FFFFFF"/>
                <w:lang w:eastAsia="zh-CN" w:bidi="hi-IN"/>
              </w:rPr>
            </w:pPr>
          </w:p>
        </w:tc>
        <w:tc>
          <w:tcPr>
            <w:tcW w:w="917" w:type="dxa"/>
            <w:tcBorders>
              <w:top w:val="single" w:color="auto" w:sz="4" w:space="0"/>
              <w:left w:val="single" w:color="auto" w:sz="4" w:space="0"/>
              <w:bottom w:val="single" w:color="auto" w:sz="4" w:space="0"/>
              <w:right w:val="single" w:color="auto" w:sz="4" w:space="0"/>
            </w:tcBorders>
            <w:shd w:val="clear" w:color="auto" w:fill="auto"/>
          </w:tcPr>
          <w:p w14:paraId="21AE35D7">
            <w:pPr>
              <w:jc w:val="center"/>
              <w:textAlignment w:val="bottom"/>
              <w:rPr>
                <w:rFonts w:eastAsia="SimSun"/>
                <w:color w:val="000000"/>
                <w:sz w:val="18"/>
                <w:szCs w:val="18"/>
                <w:lang w:eastAsia="zh-CN" w:bidi="ar"/>
              </w:rPr>
            </w:pPr>
          </w:p>
        </w:tc>
        <w:tc>
          <w:tcPr>
            <w:tcW w:w="862" w:type="dxa"/>
            <w:tcBorders>
              <w:top w:val="single" w:color="auto" w:sz="4" w:space="0"/>
              <w:left w:val="single" w:color="auto" w:sz="4" w:space="0"/>
              <w:bottom w:val="single" w:color="auto" w:sz="4" w:space="0"/>
              <w:right w:val="single" w:color="auto" w:sz="4" w:space="0"/>
            </w:tcBorders>
            <w:shd w:val="clear" w:color="auto" w:fill="auto"/>
            <w:vAlign w:val="bottom"/>
          </w:tcPr>
          <w:p w14:paraId="33542D68">
            <w:pPr>
              <w:jc w:val="center"/>
              <w:textAlignment w:val="bottom"/>
              <w:rPr>
                <w:color w:val="000000"/>
                <w:sz w:val="18"/>
                <w:szCs w:val="18"/>
                <w:lang w:eastAsia="zh-CN"/>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bottom"/>
          </w:tcPr>
          <w:p w14:paraId="3F5EC061">
            <w:pPr>
              <w:jc w:val="center"/>
              <w:textAlignment w:val="bottom"/>
              <w:rPr>
                <w:color w:val="000000"/>
                <w:sz w:val="18"/>
                <w:szCs w:val="18"/>
                <w:lang w:eastAsia="zh-CN"/>
              </w:rPr>
            </w:pPr>
            <w:r>
              <w:rPr>
                <w:color w:val="000000"/>
                <w:sz w:val="18"/>
                <w:szCs w:val="18"/>
                <w:lang w:eastAsia="zh-CN"/>
              </w:rPr>
              <w:t>1.506.850,00</w:t>
            </w:r>
          </w:p>
        </w:tc>
      </w:tr>
    </w:tbl>
    <w:p w14:paraId="418A1A3B">
      <w:pPr>
        <w:pStyle w:val="77"/>
        <w:spacing w:line="360" w:lineRule="auto"/>
        <w:jc w:val="center"/>
        <w:rPr>
          <w:rFonts w:ascii="Times New Roman" w:hAnsi="Times New Roman" w:eastAsia="Times New Roman" w:cs="Times New Roman"/>
          <w:b/>
          <w:sz w:val="24"/>
          <w:szCs w:val="24"/>
        </w:rPr>
      </w:pPr>
    </w:p>
    <w:p w14:paraId="38806CF5">
      <w:pPr>
        <w:pStyle w:val="99"/>
        <w:spacing w:before="288" w:beforeLines="120" w:after="288" w:afterLines="120" w:line="288" w:lineRule="auto"/>
        <w:ind w:left="0" w:firstLine="0"/>
        <w:contextualSpacing/>
        <w:rPr>
          <w:rFonts w:asciiTheme="minorHAnsi" w:hAnsiTheme="minorHAnsi" w:cstheme="minorHAnsi"/>
          <w:b/>
          <w:bCs/>
          <w:color w:val="auto"/>
          <w:sz w:val="24"/>
          <w:szCs w:val="24"/>
        </w:rPr>
      </w:pPr>
    </w:p>
    <w:p w14:paraId="195CD4CB">
      <w:pPr>
        <w:pStyle w:val="99"/>
        <w:spacing w:before="288" w:beforeLines="120" w:after="288" w:afterLines="12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2. DO REGISTRO DE PREÇOS</w:t>
      </w:r>
    </w:p>
    <w:p w14:paraId="195C3A74">
      <w:pPr>
        <w:pStyle w:val="24"/>
        <w:spacing w:before="0" w:beforeAutospacing="0" w:after="0" w:afterAutospacing="0" w:line="288" w:lineRule="auto"/>
        <w:contextualSpacing/>
        <w:jc w:val="both"/>
        <w:rPr>
          <w:color w:val="000000"/>
        </w:rPr>
      </w:pPr>
      <w:r>
        <w:rPr>
          <w:color w:val="000000"/>
        </w:rPr>
        <w:t>2.1 O órgão/entidade gerenciador(a) e o(s) órgão(s)/entidade(s) participante(s), ora em diante, serão denominados gerenciador e participantes, respectivamente.</w:t>
      </w:r>
    </w:p>
    <w:p w14:paraId="023B2B4B">
      <w:pPr>
        <w:pStyle w:val="24"/>
        <w:spacing w:before="0" w:beforeAutospacing="0" w:after="0" w:afterAutospacing="0" w:line="288" w:lineRule="auto"/>
        <w:contextualSpacing/>
        <w:jc w:val="both"/>
        <w:rPr>
          <w:color w:val="000000"/>
        </w:rPr>
      </w:pPr>
      <w:r>
        <w:rPr>
          <w:color w:val="000000"/>
        </w:rPr>
        <w:t> </w:t>
      </w:r>
    </w:p>
    <w:p w14:paraId="32F883BC">
      <w:pPr>
        <w:pStyle w:val="24"/>
        <w:spacing w:before="0" w:beforeAutospacing="0" w:after="0" w:afterAutospacing="0" w:line="288" w:lineRule="auto"/>
        <w:contextualSpacing/>
        <w:jc w:val="both"/>
        <w:rPr>
          <w:color w:val="000000"/>
        </w:rPr>
      </w:pPr>
      <w:r>
        <w:rPr>
          <w:color w:val="000000"/>
        </w:rPr>
        <w:t>2.1.2 Aplicam-se ao gerenciador e aos participantes, quando houver, as regras estabelecidas no Termo de Referência, na Ata de Registro de Preços e nos demais anexos a este Edital, que devem ser observadas, também, no que se refere às quantidades, prazos e locais de entrega e demais obrigações. ​</w:t>
      </w:r>
    </w:p>
    <w:p w14:paraId="02E29294">
      <w:pPr>
        <w:autoSpaceDE w:val="0"/>
        <w:autoSpaceDN w:val="0"/>
        <w:adjustRightInd w:val="0"/>
        <w:spacing w:line="288" w:lineRule="auto"/>
        <w:contextualSpacing/>
        <w:jc w:val="both"/>
        <w:rPr>
          <w:b/>
          <w:color w:val="FF0000"/>
          <w:sz w:val="24"/>
          <w:szCs w:val="24"/>
        </w:rPr>
      </w:pPr>
    </w:p>
    <w:p w14:paraId="491DE2A0">
      <w:pPr>
        <w:autoSpaceDE w:val="0"/>
        <w:autoSpaceDN w:val="0"/>
        <w:adjustRightInd w:val="0"/>
        <w:spacing w:line="288" w:lineRule="auto"/>
        <w:contextualSpacing/>
        <w:jc w:val="both"/>
        <w:rPr>
          <w:bCs/>
          <w:sz w:val="24"/>
          <w:szCs w:val="24"/>
        </w:rPr>
      </w:pPr>
      <w:r>
        <w:rPr>
          <w:bCs/>
          <w:sz w:val="24"/>
          <w:szCs w:val="24"/>
        </w:rPr>
        <w:t xml:space="preserve">2.2 A Ata de Registro de Preços conforme Anexo VI, poderá ser aderida por quaisquer órgãos ou entidades do Município que não tenham participado do certame licitatório, ora denominados não-participantes.  </w:t>
      </w:r>
    </w:p>
    <w:p w14:paraId="1A8BEA13">
      <w:pPr>
        <w:autoSpaceDE w:val="0"/>
        <w:autoSpaceDN w:val="0"/>
        <w:adjustRightInd w:val="0"/>
        <w:spacing w:line="288" w:lineRule="auto"/>
        <w:contextualSpacing/>
        <w:jc w:val="both"/>
        <w:rPr>
          <w:bCs/>
          <w:sz w:val="24"/>
          <w:szCs w:val="24"/>
        </w:rPr>
      </w:pPr>
    </w:p>
    <w:p w14:paraId="049F8C22">
      <w:pPr>
        <w:autoSpaceDE w:val="0"/>
        <w:autoSpaceDN w:val="0"/>
        <w:adjustRightInd w:val="0"/>
        <w:spacing w:line="288" w:lineRule="auto"/>
        <w:contextualSpacing/>
        <w:jc w:val="both"/>
        <w:rPr>
          <w:bCs/>
          <w:sz w:val="24"/>
          <w:szCs w:val="24"/>
        </w:rPr>
      </w:pPr>
      <w:r>
        <w:rPr>
          <w:bCs/>
          <w:sz w:val="24"/>
          <w:szCs w:val="24"/>
        </w:rPr>
        <w:t xml:space="preserve">2.2.1 Podem também ser considerados não-participantes os órgãos ou entidades municipais, distritais, de outros Estados e federais, resguardadas as disposições de cada ente, desde que atendidas as condições do presente Edital e da Ata de Registro de Preços. </w:t>
      </w:r>
    </w:p>
    <w:p w14:paraId="77CFB4C9">
      <w:pPr>
        <w:autoSpaceDE w:val="0"/>
        <w:autoSpaceDN w:val="0"/>
        <w:adjustRightInd w:val="0"/>
        <w:spacing w:line="288" w:lineRule="auto"/>
        <w:contextualSpacing/>
        <w:jc w:val="both"/>
        <w:rPr>
          <w:bCs/>
          <w:color w:val="231F20"/>
          <w:sz w:val="24"/>
          <w:szCs w:val="24"/>
        </w:rPr>
      </w:pPr>
    </w:p>
    <w:p w14:paraId="76578B50">
      <w:pPr>
        <w:autoSpaceDE w:val="0"/>
        <w:autoSpaceDN w:val="0"/>
        <w:adjustRightInd w:val="0"/>
        <w:spacing w:line="288" w:lineRule="auto"/>
        <w:contextualSpacing/>
        <w:jc w:val="both"/>
        <w:rPr>
          <w:bCs/>
          <w:sz w:val="24"/>
          <w:szCs w:val="24"/>
        </w:rPr>
      </w:pPr>
      <w:r>
        <w:rPr>
          <w:bCs/>
          <w:color w:val="231F20"/>
          <w:sz w:val="24"/>
          <w:szCs w:val="24"/>
        </w:rPr>
        <w:t>2.3 S</w:t>
      </w:r>
      <w:r>
        <w:rPr>
          <w:bCs/>
          <w:sz w:val="24"/>
          <w:szCs w:val="24"/>
        </w:rPr>
        <w:t xml:space="preserve">ão as seguintes as quantidades estimadas para a contratação, conforme descrição no Termo de Referência: </w:t>
      </w:r>
    </w:p>
    <w:p w14:paraId="1788657D">
      <w:pPr>
        <w:pStyle w:val="99"/>
        <w:spacing w:before="288" w:beforeLines="120" w:after="288" w:afterLines="120" w:line="288" w:lineRule="auto"/>
        <w:ind w:left="0" w:hanging="7"/>
        <w:contextualSpacing/>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2.3.2.1 As contratações adicionais pelos não-participantes não poderão exceder, por órgão ou entidade, a 200 % (duzentos por cento) dos quantitativos dos itens registrados na Ata de Registro de Preços para o gerenciador e para os participantes, quando houver. </w:t>
      </w:r>
    </w:p>
    <w:p w14:paraId="66AA35C3">
      <w:pPr>
        <w:pStyle w:val="99"/>
        <w:spacing w:before="288" w:beforeLines="120" w:after="288" w:afterLines="120" w:line="288" w:lineRule="auto"/>
        <w:ind w:left="0" w:hanging="7"/>
        <w:contextualSpacing/>
        <w:rPr>
          <w:rFonts w:ascii="Times New Roman" w:hAnsi="Times New Roman" w:cs="Times New Roman"/>
          <w:bCs/>
          <w:color w:val="auto"/>
          <w:sz w:val="24"/>
          <w:szCs w:val="24"/>
        </w:rPr>
      </w:pPr>
    </w:p>
    <w:p w14:paraId="2ADD7360">
      <w:pPr>
        <w:pStyle w:val="99"/>
        <w:spacing w:before="288" w:beforeLines="120" w:after="288" w:afterLines="120" w:line="288" w:lineRule="auto"/>
        <w:ind w:left="0" w:hanging="7"/>
        <w:contextualSpacing/>
        <w:rPr>
          <w:rFonts w:ascii="Times New Roman" w:hAnsi="Times New Roman" w:cs="Times New Roman"/>
          <w:bCs/>
          <w:color w:val="auto"/>
          <w:sz w:val="24"/>
          <w:szCs w:val="24"/>
        </w:rPr>
      </w:pPr>
      <w:r>
        <w:rPr>
          <w:rFonts w:ascii="Times New Roman" w:hAnsi="Times New Roman" w:cs="Times New Roman"/>
          <w:bCs/>
          <w:color w:val="auto"/>
          <w:sz w:val="24"/>
          <w:szCs w:val="24"/>
        </w:rPr>
        <w:t>2.3.2.2 O quantitativo decorrente das adesões à Ata de Registro de Preços não poderá exceder, na totalidade, ao limite de 200 % ( duzentos</w:t>
      </w:r>
      <w:r>
        <w:rPr>
          <w:rFonts w:ascii="Times New Roman" w:hAnsi="Times New Roman" w:cs="Times New Roman"/>
          <w:bCs/>
          <w:color w:val="FF0000"/>
          <w:sz w:val="24"/>
          <w:szCs w:val="24"/>
        </w:rPr>
        <w:t xml:space="preserve"> </w:t>
      </w:r>
      <w:r>
        <w:rPr>
          <w:rFonts w:ascii="Times New Roman" w:hAnsi="Times New Roman" w:cs="Times New Roman"/>
          <w:bCs/>
          <w:color w:val="auto"/>
          <w:sz w:val="24"/>
          <w:szCs w:val="24"/>
        </w:rPr>
        <w:t>por cento) do quantitativo de cada item registrado na Ata para o gerenciador e para os participantes, quando houver, independentemente do número de órgãos ou entidades não-participantes que aderirem.</w:t>
      </w:r>
    </w:p>
    <w:p w14:paraId="0C9FF52E">
      <w:pPr>
        <w:pStyle w:val="99"/>
        <w:spacing w:before="288" w:beforeLines="120" w:after="288" w:afterLines="120" w:line="288" w:lineRule="auto"/>
        <w:ind w:left="0" w:firstLine="0"/>
        <w:contextualSpacing/>
        <w:rPr>
          <w:rFonts w:ascii="Times New Roman" w:hAnsi="Times New Roman" w:cs="Times New Roman"/>
          <w:bCs/>
          <w:color w:val="auto"/>
          <w:sz w:val="24"/>
          <w:szCs w:val="24"/>
        </w:rPr>
      </w:pPr>
    </w:p>
    <w:p w14:paraId="6F8DAE3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2.4 É vedada a participação do órgão ou da entidade em mais de uma Ata de Registro de Preços com o mesmo objeto no prazo de validade daquela de que já tiver participado, salvo na ocorrência de ata que tenha registrado quantitativo inferior ao máximo previsto no edital da licitação.</w:t>
      </w:r>
    </w:p>
    <w:p w14:paraId="296253C5">
      <w:pPr>
        <w:pStyle w:val="99"/>
        <w:spacing w:before="288" w:beforeLines="120" w:after="288" w:afterLines="120" w:line="288" w:lineRule="auto"/>
        <w:ind w:left="0" w:firstLine="0"/>
        <w:contextualSpacing/>
        <w:rPr>
          <w:rFonts w:ascii="Times New Roman" w:hAnsi="Times New Roman" w:cs="Times New Roman"/>
          <w:sz w:val="24"/>
          <w:szCs w:val="24"/>
        </w:rPr>
      </w:pPr>
    </w:p>
    <w:p w14:paraId="3C347EEA">
      <w:pPr>
        <w:pStyle w:val="99"/>
        <w:spacing w:before="288" w:beforeLines="120" w:after="288" w:afterLines="12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3. DA PARTICIPAÇÃO NA LICITAÇÃO</w:t>
      </w:r>
    </w:p>
    <w:p w14:paraId="44F5A263">
      <w:pPr>
        <w:pStyle w:val="103"/>
        <w:spacing w:before="288" w:beforeLines="120" w:after="288" w:afterLines="120"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 Poderão participar deste Pregão os interessados que estiverem previamente credenciados no Sistema de Cadastramento Unificado de Fornecedores - SICAF e no sistema de compras do governo federal (</w:t>
      </w:r>
      <w:r>
        <w:fldChar w:fldCharType="begin"/>
      </w:r>
      <w:r>
        <w:instrText xml:space="preserve"> HYPERLINK "http://www.gov.br/compras" </w:instrText>
      </w:r>
      <w:r>
        <w:fldChar w:fldCharType="separate"/>
      </w:r>
      <w:r>
        <w:rPr>
          <w:rStyle w:val="16"/>
          <w:rFonts w:ascii="Times New Roman" w:hAnsi="Times New Roman" w:cs="Times New Roman" w:eastAsiaTheme="minorHAnsi"/>
          <w:color w:val="auto"/>
          <w:sz w:val="24"/>
          <w:szCs w:val="24"/>
        </w:rPr>
        <w:t>www.gov.br/compras</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por meio de Certificado Digital conferido pela Infraestrutura de Chaves Públicas Brasileira – ICP – Brasil.</w:t>
      </w:r>
    </w:p>
    <w:p w14:paraId="1E637F77">
      <w:pPr>
        <w:pStyle w:val="103"/>
        <w:spacing w:before="288" w:beforeLines="120" w:after="288" w:afterLines="120" w:line="288" w:lineRule="auto"/>
        <w:ind w:left="567" w:right="565" w:firstLine="0"/>
        <w:contextualSpacing/>
        <w:rPr>
          <w:rFonts w:ascii="Times New Roman" w:hAnsi="Times New Roman" w:cs="Times New Roman"/>
          <w:color w:val="auto"/>
          <w:sz w:val="24"/>
          <w:szCs w:val="24"/>
        </w:rPr>
      </w:pPr>
    </w:p>
    <w:p w14:paraId="6A1DC75A">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3.1.1 Os interessados deverão atender às condições exigidas no cadastramento no SICAF até o terceiro dia útil anterior à data prevista para recebimento das propostas.</w:t>
      </w:r>
    </w:p>
    <w:p w14:paraId="1375C0B5">
      <w:pPr>
        <w:pStyle w:val="103"/>
        <w:spacing w:before="288" w:beforeLines="120" w:after="288" w:afterLines="120" w:line="288" w:lineRule="auto"/>
        <w:ind w:left="567" w:right="565" w:firstLine="0"/>
        <w:contextualSpacing/>
        <w:rPr>
          <w:rFonts w:ascii="Times New Roman" w:hAnsi="Times New Roman" w:eastAsia="Calibri" w:cs="Times New Roman"/>
          <w:sz w:val="24"/>
          <w:szCs w:val="24"/>
          <w:lang w:eastAsia="en-US"/>
        </w:rPr>
      </w:pPr>
    </w:p>
    <w:p w14:paraId="276EA0A5">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eastAsia="Calibri" w:cs="Times New Roman"/>
          <w:sz w:val="24"/>
          <w:szCs w:val="24"/>
          <w:lang w:eastAsia="en-US"/>
        </w:rPr>
        <w:t xml:space="preserve">3.1.2 </w:t>
      </w:r>
      <w:r>
        <w:rPr>
          <w:rFonts w:ascii="Times New Roman" w:hAnsi="Times New Roman" w:cs="Times New Roman"/>
          <w:sz w:val="24"/>
          <w:szCs w:val="24"/>
        </w:rPr>
        <w:t xml:space="preserve">O procedimento será divulgado </w:t>
      </w:r>
      <w:r>
        <w:rPr>
          <w:rFonts w:ascii="Times New Roman" w:hAnsi="Times New Roman" w:cs="Times New Roman"/>
          <w:color w:val="auto"/>
          <w:sz w:val="24"/>
          <w:szCs w:val="24"/>
        </w:rPr>
        <w:t>no sítio eletrônico mencionado no item 3.1</w:t>
      </w:r>
      <w:r>
        <w:rPr>
          <w:rFonts w:ascii="Times New Roman" w:hAnsi="Times New Roman" w:cs="Times New Roman"/>
          <w:color w:val="FF0000"/>
          <w:sz w:val="24"/>
          <w:szCs w:val="24"/>
        </w:rPr>
        <w:t xml:space="preserve"> </w:t>
      </w:r>
      <w:r>
        <w:rPr>
          <w:rFonts w:ascii="Times New Roman" w:hAnsi="Times New Roman" w:cs="Times New Roman"/>
          <w:sz w:val="24"/>
          <w:szCs w:val="24"/>
        </w:rPr>
        <w:t>e no Portal Nacional de Contratações Públicas – PNCP.</w:t>
      </w:r>
      <w:r>
        <w:rPr>
          <w:rFonts w:ascii="Times New Roman" w:hAnsi="Times New Roman" w:cs="Times New Roman"/>
          <w:strike/>
          <w:sz w:val="24"/>
          <w:szCs w:val="24"/>
        </w:rPr>
        <w:t xml:space="preserve"> </w:t>
      </w:r>
    </w:p>
    <w:p w14:paraId="5A1598F4">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99BFA1">
      <w:pPr>
        <w:pStyle w:val="99"/>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6A59480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3.3 </w:t>
      </w:r>
      <w:r>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7E2DD5EA">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3F745EE1">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3.4 A não observância do disposto no item anterior poderá ensejar desclassificação no momento da habilitação.</w:t>
      </w:r>
    </w:p>
    <w:p w14:paraId="6E68B4BA">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1EA3F5A">
      <w:pPr>
        <w:pStyle w:val="99"/>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3.5 Será reservada cota de 25% (vinte e cinco por cento) para microempresas e empresas de pequeno porte, na forma do art. 48, III, da Lei Complementar n° 123/2006, e do art. 8º do Decreto n.º 42.063, de 06 de outubro de 2009.</w:t>
      </w:r>
    </w:p>
    <w:p w14:paraId="528D3C3B">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0F4C89CA">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3.5.1 Na hipótese de não haver vencedor para a cota reservada, esta poderá ser adjudicada ao vencedor da cota principal ou, diante de sua recusa, aos licitantes remanescentes, desde que pratiquem o preço do primeiro colocado da cota principal.</w:t>
      </w:r>
    </w:p>
    <w:p w14:paraId="064EC282">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1688AA94">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3.5.2 Se a mesma empresa vencer a cota reservada e a cota principal, a contratação das cotas deverá ocorrer pelo menor preço.</w:t>
      </w:r>
    </w:p>
    <w:p w14:paraId="1404AFD5">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12DA3D79">
      <w:pPr>
        <w:pStyle w:val="99"/>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 xml:space="preserve">3.5.3 </w:t>
      </w:r>
      <w:r>
        <w:rPr>
          <w:rFonts w:ascii="Times New Roman" w:hAnsi="Times New Roman" w:eastAsia="Calibri" w:cs="Times New Roman"/>
          <w:color w:val="auto"/>
          <w:sz w:val="24"/>
          <w:szCs w:val="24"/>
          <w:lang w:eastAsia="en-US"/>
        </w:rPr>
        <w:tab/>
      </w:r>
      <w:r>
        <w:rPr>
          <w:rFonts w:ascii="Times New Roman" w:hAnsi="Times New Roman" w:eastAsia="Calibri" w:cs="Times New Roman"/>
          <w:color w:val="auto"/>
          <w:sz w:val="24"/>
          <w:szCs w:val="24"/>
          <w:lang w:eastAsia="en-US"/>
        </w:rPr>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Lei Municipal nº 2367 /2007  e Lei complementar Municipal nº 122/2009.</w:t>
      </w:r>
    </w:p>
    <w:p w14:paraId="5974FC2F">
      <w:pPr>
        <w:pStyle w:val="99"/>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77FB7DDF">
      <w:pPr>
        <w:pStyle w:val="99"/>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sz w:val="24"/>
          <w:szCs w:val="24"/>
          <w:lang w:eastAsia="en-US"/>
        </w:rPr>
        <w:t xml:space="preserve">3.6 </w:t>
      </w:r>
      <w:r>
        <w:rPr>
          <w:rFonts w:ascii="Times New Roman" w:hAnsi="Times New Roman" w:cs="Times New Roman"/>
          <w:color w:val="auto"/>
          <w:sz w:val="24"/>
          <w:szCs w:val="24"/>
        </w:rPr>
        <w:t xml:space="preserve">Será concedido o tratamento favorecido previsto nos arts. 42 a 49 da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Lei Municipal n° 2367/2027</w:t>
      </w:r>
      <w:r>
        <w:rPr>
          <w:rFonts w:ascii="Times New Roman" w:hAnsi="Times New Roman" w:eastAsia="Calibri" w:cs="Times New Roman"/>
          <w:color w:val="auto"/>
          <w:sz w:val="24"/>
          <w:szCs w:val="24"/>
          <w:lang w:eastAsia="en-US"/>
        </w:rPr>
        <w:t xml:space="preserve"> e Lei complementar Municipal nº 122/2009.</w:t>
      </w:r>
    </w:p>
    <w:p w14:paraId="0618DC4F">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para as microempresas e empresas de pequeno porte, para o agricultor familiar, o produtor rural pessoa física e para o microempreendedor individual - MEI.</w:t>
      </w:r>
      <w:bookmarkStart w:id="0" w:name="_Ref117015508"/>
    </w:p>
    <w:p w14:paraId="02C885C4">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61C0531E">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3.6.1 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2A419878">
      <w:pPr>
        <w:tabs>
          <w:tab w:val="left" w:pos="1440"/>
        </w:tabs>
        <w:autoSpaceDE w:val="0"/>
        <w:snapToGrid w:val="0"/>
        <w:spacing w:before="288" w:beforeLines="120" w:after="288" w:afterLines="120" w:line="288" w:lineRule="auto"/>
        <w:contextualSpacing/>
        <w:jc w:val="both"/>
        <w:rPr>
          <w:sz w:val="24"/>
          <w:szCs w:val="24"/>
        </w:rPr>
      </w:pPr>
      <w:r>
        <w:rPr>
          <w:sz w:val="24"/>
          <w:szCs w:val="24"/>
        </w:rPr>
        <w:t>3.6.2 Nas contratações com prazo de vigência superior a 1 (um) ano, será considerado o valor anual do contrato.</w:t>
      </w:r>
    </w:p>
    <w:p w14:paraId="3182F3A9">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 w:name="_Ref117000692"/>
      <w:r>
        <w:rPr>
          <w:rFonts w:ascii="Times New Roman" w:hAnsi="Times New Roman" w:cs="Times New Roman"/>
          <w:color w:val="auto"/>
          <w:sz w:val="24"/>
          <w:szCs w:val="24"/>
        </w:rPr>
        <w:t>3.7 Não poderão disputar esta licitação:</w:t>
      </w:r>
      <w:bookmarkEnd w:id="1"/>
    </w:p>
    <w:p w14:paraId="07CA597D">
      <w:pPr>
        <w:tabs>
          <w:tab w:val="left" w:pos="1440"/>
        </w:tabs>
        <w:autoSpaceDE w:val="0"/>
        <w:snapToGrid w:val="0"/>
        <w:spacing w:before="288" w:beforeLines="120" w:after="288" w:afterLines="120" w:line="288" w:lineRule="auto"/>
        <w:contextualSpacing/>
        <w:jc w:val="both"/>
        <w:rPr>
          <w:sz w:val="24"/>
          <w:szCs w:val="24"/>
        </w:rPr>
      </w:pPr>
      <w:bookmarkStart w:id="2" w:name="_Ref113883338"/>
      <w:r>
        <w:rPr>
          <w:sz w:val="24"/>
          <w:szCs w:val="24"/>
        </w:rPr>
        <w:t>3.7.1 aquele que não atenda às condições deste Edital e seu(s) anexo(s);</w:t>
      </w:r>
    </w:p>
    <w:p w14:paraId="78D7C1A3">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3" w:name="_Ref113883003"/>
      <w:bookmarkStart w:id="4" w:name="_Ref114659912"/>
      <w:r>
        <w:rPr>
          <w:rFonts w:ascii="Times New Roman" w:hAnsi="Times New Roman" w:cs="Times New Roman"/>
          <w:color w:val="auto"/>
          <w:sz w:val="24"/>
          <w:szCs w:val="24"/>
        </w:rPr>
        <w:t>3.</w:t>
      </w:r>
      <w:r>
        <w:rPr>
          <w:rFonts w:ascii="Times New Roman" w:hAnsi="Times New Roman" w:cs="Times New Roman"/>
          <w:sz w:val="24"/>
          <w:szCs w:val="24"/>
        </w:rPr>
        <w:t>7</w:t>
      </w:r>
      <w:r>
        <w:rPr>
          <w:rFonts w:ascii="Times New Roman" w:hAnsi="Times New Roman" w:cs="Times New Roman"/>
          <w:color w:val="auto"/>
          <w:sz w:val="24"/>
          <w:szCs w:val="24"/>
        </w:rPr>
        <w:t>.2 pessoa física ou jurídica que se encontre, ao tempo da licitação, impossibilitada de participar da licitação em decorrência de sanção que lhe foi imposta;</w:t>
      </w:r>
      <w:bookmarkEnd w:id="3"/>
    </w:p>
    <w:p w14:paraId="082C7105">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2BF88863">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3.7.3 autor do anteprojeto, do projeto básico ou do projeto executivo, pessoa física ou jurídica, quando a licitação versar sobre serviços ou fornecimento de bens a ele relacionados;</w:t>
      </w:r>
      <w:bookmarkEnd w:id="2"/>
      <w:bookmarkEnd w:id="4"/>
    </w:p>
    <w:p w14:paraId="789500F3">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5" w:name="_Ref114659913"/>
      <w:bookmarkStart w:id="6" w:name="_Ref113883339"/>
    </w:p>
    <w:p w14:paraId="075252F5">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rFonts w:ascii="Times New Roman" w:hAnsi="Times New Roman" w:cs="Times New Roman"/>
          <w:color w:val="auto"/>
          <w:sz w:val="24"/>
          <w:szCs w:val="24"/>
        </w:rPr>
        <w:t xml:space="preserve"> </w:t>
      </w:r>
      <w:bookmarkEnd w:id="6"/>
    </w:p>
    <w:p w14:paraId="7C452B09">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0490F4A8">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067239">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7" w:name="_Ref113883579"/>
    </w:p>
    <w:p w14:paraId="3A58E074">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3.7.6 empresas controladoras, controladas ou coligadas, nos termos da Lei nº 6.404, de 15 de dezembro de 1976, concorrendo entre si;</w:t>
      </w:r>
      <w:bookmarkEnd w:id="7"/>
    </w:p>
    <w:p w14:paraId="7EA7A39E">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003CF0AB">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E984CC">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8" w:name="_Ref113962336"/>
    </w:p>
    <w:p w14:paraId="6598542F">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3.7.8 agente público do órgão ou entidade licitante, na qualidade de pessoa física ou de representante de pessoa jurídica;</w:t>
      </w:r>
      <w:bookmarkEnd w:id="8"/>
    </w:p>
    <w:p w14:paraId="1FE281A4">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4F944000">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3.7.9 </w:t>
      </w:r>
      <w:r>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6"/>
          <w:rFonts w:ascii="Times New Roman" w:hAnsi="Times New Roman" w:cs="Times New Roman" w:eastAsiaTheme="minorHAnsi"/>
          <w:color w:val="auto"/>
          <w:sz w:val="24"/>
          <w:szCs w:val="24"/>
        </w:rPr>
        <w:t>§ 1º do art. 9º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05682E86">
      <w:pPr>
        <w:pStyle w:val="103"/>
        <w:spacing w:before="288" w:beforeLines="120" w:after="288" w:afterLines="120" w:line="288" w:lineRule="auto"/>
        <w:ind w:left="567" w:right="565" w:firstLine="0"/>
        <w:contextualSpacing/>
        <w:rPr>
          <w:rFonts w:ascii="Times New Roman" w:hAnsi="Times New Roman" w:cs="Times New Roman"/>
          <w:color w:val="FF0000"/>
          <w:sz w:val="24"/>
          <w:szCs w:val="24"/>
        </w:rPr>
      </w:pPr>
      <w:bookmarkStart w:id="9" w:name="_Hlk154223269"/>
    </w:p>
    <w:bookmarkEnd w:id="9"/>
    <w:p w14:paraId="08CD7B1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3.8 </w:t>
      </w:r>
      <w:r>
        <w:rPr>
          <w:rFonts w:ascii="Times New Roman" w:hAnsi="Times New Roman" w:cs="Times New Roman"/>
          <w:sz w:val="24"/>
          <w:szCs w:val="24"/>
        </w:rPr>
        <w:t>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F7BB81">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0" w:name="art14§2"/>
      <w:bookmarkEnd w:id="10"/>
    </w:p>
    <w:p w14:paraId="33E12CC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3.9 A critério da Administração e exclusivamente a seu serviço, o autor dos projetos e a empresa a que se referem os itens 3.7.3 e 3.7.4 poderão participar no apoio das atividades de planejamento da contratação, de execução da licitação ou de gestão do contrato, desde que sob supervisão exclusiva de agentes públicos do órgão ou entidade.</w:t>
      </w:r>
    </w:p>
    <w:p w14:paraId="607F1A11">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1" w:name="art14§3"/>
      <w:bookmarkEnd w:id="11"/>
    </w:p>
    <w:p w14:paraId="0717E73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3.9.1 Equiparam-se aos autores do projeto as empresas integrantes do mesmo grupo econômico.</w:t>
      </w:r>
    </w:p>
    <w:p w14:paraId="3B0E68DF">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2" w:name="art14§4"/>
      <w:bookmarkEnd w:id="12"/>
    </w:p>
    <w:p w14:paraId="32DA13D2">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3.9.2 O disposto nos itens 3.7.3 e 3.7.4 não impede a licitação ou a contratação de serviço que inclua como encargo do contratado a elaboração do projeto básico e do projeto executivo, nas contratações integradas, e do projeto executivo, nos demais regimes de execução.</w:t>
      </w:r>
    </w:p>
    <w:p w14:paraId="73372CD6">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3" w:name="art14§5"/>
      <w:bookmarkEnd w:id="13"/>
    </w:p>
    <w:p w14:paraId="26C00DDF">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30E0EEDE">
      <w:pPr>
        <w:pStyle w:val="99"/>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40387FB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3.11 A vedação de que trata o item </w:t>
      </w:r>
      <w:r>
        <w:rPr>
          <w:rFonts w:ascii="Times New Roman" w:hAnsi="Times New Roman" w:cs="Times New Roman"/>
          <w:color w:val="auto"/>
          <w:sz w:val="24"/>
          <w:szCs w:val="24"/>
        </w:rPr>
        <w:t xml:space="preserve">3.7.8 </w:t>
      </w:r>
      <w:r>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528914E8">
      <w:pPr>
        <w:pStyle w:val="99"/>
        <w:spacing w:before="288" w:beforeLines="120" w:after="288" w:afterLines="120" w:line="288" w:lineRule="auto"/>
        <w:ind w:left="0" w:firstLine="0"/>
        <w:contextualSpacing/>
        <w:rPr>
          <w:rFonts w:ascii="Times New Roman" w:hAnsi="Times New Roman" w:cs="Times New Roman"/>
          <w:sz w:val="24"/>
          <w:szCs w:val="24"/>
        </w:rPr>
      </w:pPr>
    </w:p>
    <w:p w14:paraId="6FF3D84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3.12 Será permitida a participação de pessoas jurídicas reunidas em consórcio, observadas as seguintes regras:</w:t>
      </w:r>
    </w:p>
    <w:p w14:paraId="78BE01DF">
      <w:pPr>
        <w:pStyle w:val="99"/>
        <w:spacing w:before="288" w:beforeLines="120" w:after="288" w:afterLines="120" w:line="288" w:lineRule="auto"/>
        <w:ind w:left="0" w:firstLine="0"/>
        <w:contextualSpacing/>
        <w:rPr>
          <w:rFonts w:ascii="Times New Roman" w:hAnsi="Times New Roman" w:cs="Times New Roman"/>
          <w:sz w:val="24"/>
          <w:szCs w:val="24"/>
        </w:rPr>
      </w:pPr>
    </w:p>
    <w:p w14:paraId="2C5ACA9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3.12.1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321BB397">
      <w:pPr>
        <w:tabs>
          <w:tab w:val="left" w:pos="1440"/>
        </w:tabs>
        <w:autoSpaceDE w:val="0"/>
        <w:snapToGrid w:val="0"/>
        <w:spacing w:before="288" w:beforeLines="120" w:after="288" w:afterLines="120" w:line="288" w:lineRule="auto"/>
        <w:contextualSpacing/>
        <w:jc w:val="both"/>
        <w:rPr>
          <w:sz w:val="24"/>
          <w:szCs w:val="24"/>
        </w:rPr>
      </w:pPr>
      <w:r>
        <w:rPr>
          <w:sz w:val="24"/>
          <w:szCs w:val="24"/>
        </w:rPr>
        <w:t>3.12.2 impedimento de a empresa consorciada participar, na mesma licitação, de mais de um consórcio ou de forma isolada;</w:t>
      </w:r>
    </w:p>
    <w:p w14:paraId="6BC5776D">
      <w:pPr>
        <w:tabs>
          <w:tab w:val="left" w:pos="1440"/>
        </w:tabs>
        <w:autoSpaceDE w:val="0"/>
        <w:snapToGrid w:val="0"/>
        <w:spacing w:before="288" w:beforeLines="120" w:after="288" w:afterLines="120" w:line="288" w:lineRule="auto"/>
        <w:contextualSpacing/>
        <w:jc w:val="both"/>
        <w:rPr>
          <w:sz w:val="24"/>
          <w:szCs w:val="24"/>
        </w:rPr>
      </w:pPr>
    </w:p>
    <w:p w14:paraId="11838D0F">
      <w:pPr>
        <w:tabs>
          <w:tab w:val="left" w:pos="1440"/>
        </w:tabs>
        <w:autoSpaceDE w:val="0"/>
        <w:snapToGrid w:val="0"/>
        <w:spacing w:before="288" w:beforeLines="120" w:after="288" w:afterLines="120" w:line="288" w:lineRule="auto"/>
        <w:contextualSpacing/>
        <w:jc w:val="both"/>
        <w:rPr>
          <w:sz w:val="24"/>
          <w:szCs w:val="24"/>
        </w:rPr>
      </w:pPr>
      <w:r>
        <w:rPr>
          <w:sz w:val="24"/>
          <w:szCs w:val="24"/>
        </w:rPr>
        <w:t>3.12.3 o consórcio vencedor, quando for o caso, ficará obrigado a promover a sua constituição e registro antes da celebração do Contrato, nos termos do compromisso firmado conforme item 3.12.1;</w:t>
      </w:r>
    </w:p>
    <w:p w14:paraId="7EC720AF">
      <w:pPr>
        <w:tabs>
          <w:tab w:val="left" w:pos="1440"/>
        </w:tabs>
        <w:autoSpaceDE w:val="0"/>
        <w:snapToGrid w:val="0"/>
        <w:spacing w:before="288" w:beforeLines="120" w:after="288" w:afterLines="120" w:line="288" w:lineRule="auto"/>
        <w:contextualSpacing/>
        <w:jc w:val="both"/>
        <w:rPr>
          <w:sz w:val="24"/>
          <w:szCs w:val="24"/>
        </w:rPr>
      </w:pPr>
    </w:p>
    <w:p w14:paraId="383DC82B">
      <w:pPr>
        <w:tabs>
          <w:tab w:val="left" w:pos="1440"/>
        </w:tabs>
        <w:autoSpaceDE w:val="0"/>
        <w:snapToGrid w:val="0"/>
        <w:spacing w:before="288" w:beforeLines="120" w:after="288" w:afterLines="120" w:line="288" w:lineRule="auto"/>
        <w:contextualSpacing/>
        <w:jc w:val="both"/>
        <w:rPr>
          <w:sz w:val="24"/>
          <w:szCs w:val="24"/>
        </w:rPr>
      </w:pPr>
      <w:r>
        <w:rPr>
          <w:sz w:val="24"/>
          <w:szCs w:val="24"/>
        </w:rPr>
        <w:t>3.12.4 as empresas consorciadas responderão solidariamente pelos atos praticados em consórcio, tanto na fase da licitação quanto na da execução do Contrato;</w:t>
      </w:r>
    </w:p>
    <w:p w14:paraId="3534F75B">
      <w:pPr>
        <w:tabs>
          <w:tab w:val="left" w:pos="1440"/>
        </w:tabs>
        <w:autoSpaceDE w:val="0"/>
        <w:snapToGrid w:val="0"/>
        <w:spacing w:before="288" w:beforeLines="120" w:after="288" w:afterLines="120" w:line="288" w:lineRule="auto"/>
        <w:contextualSpacing/>
        <w:jc w:val="both"/>
        <w:rPr>
          <w:sz w:val="24"/>
          <w:szCs w:val="24"/>
        </w:rPr>
      </w:pPr>
    </w:p>
    <w:p w14:paraId="4C0240D0">
      <w:pPr>
        <w:tabs>
          <w:tab w:val="left" w:pos="1440"/>
        </w:tabs>
        <w:autoSpaceDE w:val="0"/>
        <w:snapToGrid w:val="0"/>
        <w:spacing w:before="288" w:beforeLines="120" w:after="288" w:afterLines="120" w:line="288" w:lineRule="auto"/>
        <w:contextualSpacing/>
        <w:jc w:val="both"/>
        <w:rPr>
          <w:sz w:val="24"/>
          <w:szCs w:val="24"/>
        </w:rPr>
      </w:pPr>
      <w:r>
        <w:rPr>
          <w:sz w:val="24"/>
          <w:szCs w:val="24"/>
        </w:rPr>
        <w:t>3.12.5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D7D54D7">
      <w:pPr>
        <w:pStyle w:val="97"/>
        <w:spacing w:before="0" w:beforeAutospacing="0" w:after="0" w:afterAutospacing="0" w:line="288" w:lineRule="auto"/>
        <w:contextualSpacing/>
        <w:jc w:val="both"/>
        <w:rPr>
          <w:rFonts w:eastAsia="Calibri"/>
          <w:b/>
          <w:bCs/>
          <w:lang w:eastAsia="en-US"/>
        </w:rPr>
      </w:pPr>
      <w:r>
        <w:rPr>
          <w:rFonts w:eastAsia="Calibri"/>
          <w:b/>
          <w:bCs/>
          <w:lang w:eastAsia="en-US"/>
        </w:rPr>
        <w:t>4. DAS DECLARAÇÕES E DA APRESENTAÇÃO DA PROPOSTA</w:t>
      </w:r>
    </w:p>
    <w:p w14:paraId="1C2C7774">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 Na presente licitação, a fase de habilitação será realizada após as fases de apresentação de propostas e lances e de julgamento.</w:t>
      </w:r>
    </w:p>
    <w:p w14:paraId="70EF4B38">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4" w:name="_Ref113886867"/>
    </w:p>
    <w:p w14:paraId="27259862">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4.2 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bookmarkStart w:id="15" w:name="_Ref113968921"/>
    </w:p>
    <w:p w14:paraId="6853B6F3">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6E9E6FD3">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 No cadastramento da proposta inicial, o licitante declarará, em campo próprio do sistema, que:</w:t>
      </w:r>
      <w:bookmarkEnd w:id="15"/>
    </w:p>
    <w:p w14:paraId="4F34F2E7">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4.3.1 está ciente e concorda com as condições contidas no Edital e seus anexos</w:t>
      </w:r>
      <w:bookmarkStart w:id="16" w:name="_Hlk154224613"/>
      <w:r>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6"/>
    <w:p w14:paraId="3D576E7F">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5E36CB29">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4.3.2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6"/>
          <w:rFonts w:ascii="Times New Roman" w:hAnsi="Times New Roman" w:cs="Times New Roman" w:eastAsiaTheme="minorHAnsi"/>
          <w:color w:val="auto"/>
          <w:sz w:val="24"/>
          <w:szCs w:val="24"/>
        </w:rPr>
        <w:t>art. 7°, XXXIII,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771CD99B">
      <w:pPr>
        <w:pStyle w:val="103"/>
        <w:spacing w:before="288" w:beforeLines="120" w:after="288" w:afterLines="120" w:line="288" w:lineRule="auto"/>
        <w:ind w:left="0" w:firstLine="0"/>
        <w:contextualSpacing/>
        <w:rPr>
          <w:rFonts w:ascii="Times New Roman" w:hAnsi="Times New Roman" w:cs="Times New Roman"/>
          <w:sz w:val="24"/>
          <w:szCs w:val="24"/>
        </w:rPr>
      </w:pPr>
      <w:bookmarkStart w:id="17" w:name="_Hlk154224321"/>
    </w:p>
    <w:p w14:paraId="28D4F6D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4.3.3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incisos III e IV do art. 1º e no inciso III do art. 5º da Constituição Federal</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bookmarkEnd w:id="17"/>
    <w:p w14:paraId="0D0F30F7">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1AD61B72">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4.3.4 cumpre as exigências de reserva de cargos para pessoa com deficiência e para reabilitado da Previdência Social, previstas em lei e em outras normas específicas;</w:t>
      </w:r>
    </w:p>
    <w:p w14:paraId="22E7A23B">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2B4785A8">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18" w:name="_Hlk154224365"/>
      <w:r>
        <w:rPr>
          <w:rFonts w:ascii="Times New Roman" w:hAnsi="Times New Roman" w:cs="Times New Roman"/>
          <w:color w:val="auto"/>
          <w:sz w:val="24"/>
          <w:szCs w:val="24"/>
        </w:rPr>
        <w:t>4.3.5 está ciente da obrigação de cumprimento de cota de aprendiz, na forma dos artigos 429 e seguintes da Consolidação das Leis do Trabalho, e da necessidade de comprovar o cumprimento dessa exigência, por meio de certidão, no momento de assinatura do contrato;</w:t>
      </w:r>
    </w:p>
    <w:bookmarkEnd w:id="18"/>
    <w:p w14:paraId="71DF37CC">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19" w:name="_Hlk154224840"/>
    </w:p>
    <w:p w14:paraId="1B6C8F0A">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4.3.6 não foram aplicadas penalidades de suspensão temporária da participação em licitação, impedimento de contratar ou declaração de inidoneidade para licitar e contratar cujos efeitos ainda vigorem e sejam aplicáveis no âmbito do Município de Valença RJ.</w:t>
      </w:r>
    </w:p>
    <w:bookmarkEnd w:id="19"/>
    <w:p w14:paraId="2EB824E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Style w:val="16"/>
          <w:rFonts w:ascii="Times New Roman" w:hAnsi="Times New Roman" w:cs="Times New Roman" w:eastAsiaTheme="minorHAnsi"/>
          <w:color w:val="auto"/>
          <w:sz w:val="24"/>
          <w:szCs w:val="24"/>
        </w:rPr>
        <w:t>art. 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696CD3E9">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20" w:name="_Ref117000019"/>
    </w:p>
    <w:p w14:paraId="0F0A869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4.5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Style w:val="16"/>
          <w:rFonts w:ascii="Times New Roman" w:hAnsi="Times New Roman" w:cs="Times New Roman" w:eastAsiaTheme="minorHAnsi"/>
          <w:color w:val="auto"/>
          <w:sz w:val="24"/>
          <w:szCs w:val="24"/>
        </w:rPr>
        <w:t>art. 3° da 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estando apto a usufruir do tratamento favorecido estabelecido em seus </w:t>
      </w:r>
      <w:bookmarkEnd w:id="20"/>
      <w:r>
        <w:fldChar w:fldCharType="begin"/>
      </w:r>
      <w:r>
        <w:rPr>
          <w:rFonts w:ascii="Times New Roman" w:hAnsi="Times New Roman" w:cs="Times New Roman"/>
          <w:color w:val="auto"/>
          <w:sz w:val="24"/>
          <w:szCs w:val="24"/>
        </w:rPr>
        <w:instrText xml:space="preserve">HYPERLINK "https://www.planalto.gov.br/ccivil_03/leis/lcp/lcp123.htm" \l "art42"</w:instrText>
      </w:r>
      <w:r>
        <w:fldChar w:fldCharType="separate"/>
      </w:r>
      <w:r>
        <w:rPr>
          <w:rStyle w:val="16"/>
          <w:rFonts w:ascii="Times New Roman" w:hAnsi="Times New Roman" w:cs="Times New Roman" w:eastAsiaTheme="minorHAnsi"/>
          <w:color w:val="auto"/>
          <w:sz w:val="24"/>
          <w:szCs w:val="24"/>
        </w:rPr>
        <w:t>arts. 42 a 49</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observado o disposto nos </w:t>
      </w:r>
      <w:r>
        <w:fldChar w:fldCharType="begin"/>
      </w:r>
      <w:r>
        <w:instrText xml:space="preserve"> HYPERLINK "http://www.planalto.gov.br/ccivil_03/_ato2019-2022/2021/lei/L14133.htm" \l "art4§1" </w:instrText>
      </w:r>
      <w:r>
        <w:fldChar w:fldCharType="separate"/>
      </w:r>
      <w:r>
        <w:rPr>
          <w:rStyle w:val="16"/>
          <w:rFonts w:ascii="Times New Roman" w:hAnsi="Times New Roman" w:cs="Times New Roman" w:eastAsiaTheme="minorHAnsi"/>
          <w:color w:val="auto"/>
          <w:sz w:val="24"/>
          <w:szCs w:val="24"/>
        </w:rPr>
        <w:t>§§ 1º ao 3º do art. 4º da Lei n.º 14.133/2021.</w:t>
      </w:r>
      <w:r>
        <w:rPr>
          <w:rStyle w:val="16"/>
          <w:rFonts w:ascii="Times New Roman" w:hAnsi="Times New Roman" w:cs="Times New Roman" w:eastAsiaTheme="minorHAnsi"/>
          <w:color w:val="auto"/>
          <w:sz w:val="24"/>
          <w:szCs w:val="24"/>
        </w:rPr>
        <w:fldChar w:fldCharType="end"/>
      </w:r>
    </w:p>
    <w:p w14:paraId="21DAD6E8">
      <w:pPr>
        <w:pStyle w:val="103"/>
        <w:spacing w:before="288" w:beforeLines="120" w:after="288" w:afterLines="120" w:line="288" w:lineRule="auto"/>
        <w:ind w:left="0" w:firstLine="0"/>
        <w:contextualSpacing/>
        <w:rPr>
          <w:rFonts w:ascii="Times New Roman" w:hAnsi="Times New Roman" w:cs="Times New Roman"/>
          <w:sz w:val="24"/>
          <w:szCs w:val="24"/>
        </w:rPr>
      </w:pPr>
      <w:bookmarkStart w:id="21" w:name="_Hlk154225179"/>
      <w:r>
        <w:rPr>
          <w:rFonts w:ascii="Times New Roman" w:hAnsi="Times New Roman" w:cs="Times New Roman"/>
          <w:sz w:val="24"/>
          <w:szCs w:val="24"/>
        </w:rPr>
        <w:t>4.5.1 no item exclusivo para participação de microempresas e empresas de pequeno porte, a ausência de declaração na forma do item anterior impedirá o prosseguimento no certame, para aquele item;</w:t>
      </w:r>
    </w:p>
    <w:p w14:paraId="637339A7">
      <w:pPr>
        <w:pStyle w:val="103"/>
        <w:spacing w:before="288" w:beforeLines="120" w:after="288" w:afterLines="120" w:line="288" w:lineRule="auto"/>
        <w:ind w:left="0" w:firstLine="0"/>
        <w:contextualSpacing/>
        <w:rPr>
          <w:rFonts w:ascii="Times New Roman" w:hAnsi="Times New Roman" w:cs="Times New Roman"/>
          <w:sz w:val="24"/>
          <w:szCs w:val="24"/>
        </w:rPr>
      </w:pPr>
    </w:p>
    <w:p w14:paraId="56779E6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4.5.2 nos itens em que a participação não for exclusiva para microempresas e empresas de pequeno porte, a ausência de declaração na forma do item 4.5 apenas produzirá o efeito de o licitante não ter direito ao tratamento favorecido previsto </w:t>
      </w:r>
      <w:r>
        <w:rPr>
          <w:rFonts w:ascii="Times New Roman" w:hAnsi="Times New Roman" w:cs="Times New Roman"/>
          <w:color w:val="auto"/>
          <w:sz w:val="24"/>
          <w:szCs w:val="24"/>
        </w:rPr>
        <w:t xml:space="preserve">na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mesmo que microempresa, empresa de pequeno porte ou sociedade cooperativa.</w:t>
      </w:r>
    </w:p>
    <w:p w14:paraId="46057E82">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4.6 A falsidade das declarações de que tratam os itens 4.3 a 4.5 sujeitará o licitante às sanções previstas na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neste Edital.</w:t>
      </w:r>
    </w:p>
    <w:bookmarkEnd w:id="21"/>
    <w:p w14:paraId="5BD322EF">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DEFFF45">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4.7 Os licitantes poderão retirar ou substituir a proposta ou, </w:t>
      </w:r>
      <w:r>
        <w:rPr>
          <w:rFonts w:ascii="Times New Roman" w:hAnsi="Times New Roman" w:cs="Times New Roman"/>
          <w:sz w:val="24"/>
          <w:szCs w:val="24"/>
        </w:rPr>
        <w:t xml:space="preserve">na hipótese de a fase de habilitação anteceder as fases de apresentação de propostas e lances e de julgamento, </w:t>
      </w:r>
      <w:r>
        <w:rPr>
          <w:rFonts w:ascii="Times New Roman" w:hAnsi="Times New Roman" w:cs="Times New Roman"/>
          <w:color w:val="auto"/>
          <w:sz w:val="24"/>
          <w:szCs w:val="24"/>
        </w:rPr>
        <w:t>os documentos de habilitação anteriormente inseridos no sistema, até a abertura da sessão pública.</w:t>
      </w:r>
    </w:p>
    <w:p w14:paraId="0B20C8BF">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03C1F03A">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4.8 Não haverá ordem de classificação na etapa de apresentação da proposta e das declarações pelo licitante, o que ocorrerá somente após os procedimentos de abertura da sessão pública e da fase de envio de lances.</w:t>
      </w:r>
    </w:p>
    <w:p w14:paraId="42299452">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02BF0E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4.9 Após a fase de envio de lances, serão disponibilizados para acesso público os documentos que compõem a proposta dos licitantes convocados para apresentação de propostas.</w:t>
      </w:r>
    </w:p>
    <w:p w14:paraId="40C64D20">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128991B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2A862E3">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0E681E5">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4.11 O licitante deverá comunicar imediatamente ao provedor do sistema qualquer acontecimento que possa comprometer o sigilo ou a segurança, para imediato bloqueio de acesso.</w:t>
      </w:r>
    </w:p>
    <w:p w14:paraId="36120974">
      <w:pPr>
        <w:pStyle w:val="99"/>
        <w:spacing w:before="288" w:beforeLines="120" w:after="288" w:afterLines="120" w:line="288" w:lineRule="auto"/>
        <w:ind w:left="567" w:right="565" w:firstLine="0"/>
        <w:contextualSpacing/>
        <w:rPr>
          <w:rFonts w:ascii="Times New Roman" w:hAnsi="Times New Roman" w:cs="Times New Roman"/>
          <w:color w:val="FF0000"/>
          <w:sz w:val="24"/>
          <w:szCs w:val="24"/>
        </w:rPr>
      </w:pPr>
    </w:p>
    <w:p w14:paraId="6D018A1E">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4.12 Desde que disponibilizada a funcionalidade no sistema, o licitante poderá parametrizar o seu valor final mínimo ou o seu percentual de desconto máximo quando do cadastramento da proposta e obedecerá às seguintes regras:</w:t>
      </w:r>
    </w:p>
    <w:p w14:paraId="6F1C9F13">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4.12.1 a aplicação do intervalo mínimo de diferença de valores ou de percentuais entre os lances, conforme disposto no item 6.8, que incidirá tanto em relação aos lances intermediários quanto em relação ao lance que cobrir a melhor oferta;  </w:t>
      </w:r>
    </w:p>
    <w:p w14:paraId="380F979C">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p>
    <w:p w14:paraId="49381151">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4.12.2 os lances serão de envio automático pelo sistema, respeitado o valor final mínimo, caso estabelecido, e o intervalo de que trata o subitem acima.</w:t>
      </w:r>
    </w:p>
    <w:p w14:paraId="06FD1B82">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4.13 O valor final mínimo ou o percentual de desconto final máximo parametrizado no sistema poderá ser alterado pelo fornecedor durante a fase de disputa, sendo vedado:</w:t>
      </w:r>
    </w:p>
    <w:p w14:paraId="3714FDDA">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4.13.1 valor superior a lance já registrado pelo fornecedor no sistema, quando adotado o critério de julgamento por menor preço; e</w:t>
      </w:r>
    </w:p>
    <w:p w14:paraId="3B5B73CE">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p>
    <w:p w14:paraId="3E7676FC">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4.13.2 percentual de desconto inferior a lance já registrado pelo fornecedor no sistema, quando adotado o critério de julgamento por maior desconto.</w:t>
      </w:r>
    </w:p>
    <w:p w14:paraId="61BF7085">
      <w:pPr>
        <w:pStyle w:val="99"/>
        <w:spacing w:before="288" w:beforeLines="120" w:after="288" w:afterLines="120"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4.14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084C8965">
      <w:pPr>
        <w:pStyle w:val="97"/>
        <w:spacing w:before="0" w:beforeAutospacing="0" w:after="0" w:afterAutospacing="0" w:line="288" w:lineRule="auto"/>
        <w:contextualSpacing/>
        <w:jc w:val="both"/>
        <w:rPr>
          <w:rFonts w:eastAsia="Calibri"/>
          <w:b/>
          <w:bCs/>
          <w:lang w:eastAsia="en-US"/>
        </w:rPr>
      </w:pPr>
      <w:r>
        <w:rPr>
          <w:rFonts w:eastAsia="Calibri"/>
          <w:b/>
          <w:bCs/>
          <w:lang w:eastAsia="en-US"/>
        </w:rPr>
        <w:t>5. DO PREENCHIMENTO DA PROPOSTA</w:t>
      </w:r>
    </w:p>
    <w:p w14:paraId="7B3F8A7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 O licitante deverá enviar sua proposta mediante o preenchimento, no sistema eletrônico, dos seguintes campos:</w:t>
      </w:r>
    </w:p>
    <w:p w14:paraId="4FAF8F22">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 Valor unitário do item;</w:t>
      </w:r>
    </w:p>
    <w:p w14:paraId="1D12E318">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789EDE17">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5.1.2 </w:t>
      </w:r>
      <w:r>
        <w:rPr>
          <w:rFonts w:ascii="Times New Roman" w:hAnsi="Times New Roman" w:cs="Times New Roman"/>
          <w:sz w:val="24"/>
          <w:szCs w:val="24"/>
        </w:rPr>
        <w:t xml:space="preserve">Serão aceitos marcas e fabricantes que comprovem o atendimento a essas especificações. A apresentação de ficha técnica e certificados de qualidade é obrigatória. </w:t>
      </w:r>
    </w:p>
    <w:p w14:paraId="01BB1869">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01A437F5">
      <w:pPr>
        <w:pStyle w:val="103"/>
        <w:spacing w:before="288" w:beforeLines="120" w:after="288" w:afterLines="120" w:line="288" w:lineRule="auto"/>
        <w:ind w:left="0" w:firstLine="0"/>
        <w:contextualSpacing/>
        <w:rPr>
          <w:rFonts w:ascii="Times New Roman" w:hAnsi="Times New Roman" w:cs="Times New Roman"/>
          <w:iCs/>
          <w:color w:val="auto"/>
          <w:sz w:val="24"/>
          <w:szCs w:val="24"/>
        </w:rPr>
      </w:pPr>
      <w:r>
        <w:rPr>
          <w:rFonts w:ascii="Times New Roman" w:hAnsi="Times New Roman" w:cs="Times New Roman"/>
          <w:color w:val="auto"/>
          <w:sz w:val="24"/>
          <w:szCs w:val="24"/>
        </w:rPr>
        <w:t xml:space="preserve">5.1.3 </w:t>
      </w:r>
      <w:r>
        <w:rPr>
          <w:rFonts w:ascii="Times New Roman" w:hAnsi="Times New Roman" w:cs="Times New Roman"/>
          <w:sz w:val="24"/>
          <w:szCs w:val="24"/>
        </w:rPr>
        <w:t>Descrição do objeto, contendo as informações similares à especificação do Termo de Referência</w:t>
      </w:r>
      <w:r>
        <w:rPr>
          <w:rFonts w:ascii="Times New Roman" w:hAnsi="Times New Roman" w:cs="Times New Roman"/>
          <w:iCs/>
          <w:color w:val="auto"/>
          <w:sz w:val="24"/>
          <w:szCs w:val="24"/>
        </w:rPr>
        <w:t xml:space="preserve">; </w:t>
      </w:r>
    </w:p>
    <w:p w14:paraId="1403743F">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p>
    <w:p w14:paraId="638F4EE0">
      <w:pPr>
        <w:pStyle w:val="103"/>
        <w:spacing w:before="288" w:beforeLines="120" w:after="288" w:afterLines="120" w:line="288" w:lineRule="auto"/>
        <w:ind w:left="0" w:right="565" w:firstLine="0"/>
        <w:contextualSpacing/>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5.1.4 Quantidade cotada, que não poderá ser inferior ao quantitativo máximo de cada item que poderá ser adquirido.</w:t>
      </w:r>
    </w:p>
    <w:p w14:paraId="0BD1C4B8">
      <w:pPr>
        <w:pStyle w:val="99"/>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5.2 Todas as especificações do objeto contidas na proposta vinculam o licitante.</w:t>
      </w:r>
    </w:p>
    <w:p w14:paraId="09748EA1">
      <w:pPr>
        <w:pStyle w:val="103"/>
        <w:spacing w:line="288" w:lineRule="auto"/>
        <w:ind w:left="0" w:right="565"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5.2.1 O licitante não poderá oferecer proposta em quantitativo inferior ao máximo previsto para contratação.</w:t>
      </w:r>
    </w:p>
    <w:p w14:paraId="57906A6A">
      <w:pPr>
        <w:pStyle w:val="103"/>
        <w:spacing w:line="288" w:lineRule="auto"/>
        <w:ind w:left="0" w:firstLine="0"/>
        <w:contextualSpacing/>
        <w:rPr>
          <w:rFonts w:ascii="Times New Roman" w:hAnsi="Times New Roman" w:cs="Times New Roman"/>
          <w:color w:val="auto"/>
          <w:sz w:val="24"/>
          <w:szCs w:val="24"/>
        </w:rPr>
      </w:pPr>
    </w:p>
    <w:p w14:paraId="5A4F39A0">
      <w:pPr>
        <w:pStyle w:val="103"/>
        <w:spacing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2C629627">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5D2726A4">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2023E90">
      <w:pPr>
        <w:pStyle w:val="99"/>
        <w:spacing w:before="288" w:beforeLines="120" w:after="288" w:afterLines="120" w:line="288" w:lineRule="auto"/>
        <w:ind w:left="0" w:firstLine="0"/>
        <w:contextualSpacing/>
        <w:rPr>
          <w:rFonts w:ascii="Times New Roman" w:hAnsi="Times New Roman" w:cs="Times New Roman"/>
          <w:color w:val="FF66FF"/>
          <w:sz w:val="24"/>
          <w:szCs w:val="24"/>
        </w:rPr>
      </w:pPr>
      <w:r>
        <w:rPr>
          <w:rFonts w:ascii="Times New Roman" w:hAnsi="Times New Roman" w:cs="Times New Roman"/>
          <w:color w:val="auto"/>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6B27041C">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2D5924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5.6 Independentemente do percentual de tributo inserido na planilha, no pagamento serão retidos na fonte os percentuais estabelecidos na legislação vigente.</w:t>
      </w:r>
    </w:p>
    <w:p w14:paraId="665A2547">
      <w:pPr>
        <w:pStyle w:val="99"/>
        <w:spacing w:before="288" w:beforeLines="120" w:after="288" w:afterLines="120" w:line="288" w:lineRule="auto"/>
        <w:ind w:left="0" w:firstLine="0"/>
        <w:contextualSpacing/>
        <w:rPr>
          <w:rFonts w:ascii="Times New Roman" w:hAnsi="Times New Roman" w:cs="Times New Roman"/>
          <w:i/>
          <w:iCs/>
          <w:color w:val="FF0000"/>
          <w:sz w:val="24"/>
          <w:szCs w:val="24"/>
        </w:rPr>
      </w:pPr>
      <w:bookmarkStart w:id="22" w:name="_Hlk154227498"/>
    </w:p>
    <w:p w14:paraId="2B55136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5.7</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79D6EF05">
      <w:pPr>
        <w:pStyle w:val="99"/>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sz w:val="24"/>
          <w:szCs w:val="24"/>
        </w:rPr>
        <w:t>5.8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2"/>
    </w:p>
    <w:p w14:paraId="459C9C62">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24284853">
      <w:pPr>
        <w:pStyle w:val="99"/>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color w:val="auto"/>
          <w:sz w:val="24"/>
          <w:szCs w:val="24"/>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86B6122">
      <w:pPr>
        <w:pStyle w:val="99"/>
        <w:spacing w:before="288" w:beforeLines="120" w:after="288" w:afterLines="120" w:line="288" w:lineRule="auto"/>
        <w:ind w:left="0" w:firstLine="0"/>
        <w:contextualSpacing/>
        <w:rPr>
          <w:rFonts w:ascii="Times New Roman" w:hAnsi="Times New Roman" w:cs="Times New Roman"/>
          <w:sz w:val="24"/>
          <w:szCs w:val="24"/>
        </w:rPr>
      </w:pPr>
    </w:p>
    <w:p w14:paraId="0A7A2C0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5.10 O prazo de validade da proposta não será inferior </w:t>
      </w:r>
      <w:r>
        <w:rPr>
          <w:rFonts w:ascii="Times New Roman" w:hAnsi="Times New Roman" w:cs="Times New Roman"/>
          <w:color w:val="000000" w:themeColor="text1"/>
          <w:sz w:val="24"/>
          <w:szCs w:val="24"/>
          <w14:textFill>
            <w14:solidFill>
              <w14:schemeClr w14:val="tx1"/>
            </w14:solidFill>
          </w14:textFill>
        </w:rPr>
        <w:t>a 60 (sessenta) dias corridos</w:t>
      </w:r>
      <w:r>
        <w:rPr>
          <w:rFonts w:ascii="Times New Roman" w:hAnsi="Times New Roman" w:cs="Times New Roman"/>
          <w:b/>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a contar da data de sua apresentação, podendo ser prorrogado, por igual período, salvo se houver justificativa para prazo diverso aceita pela Administração.</w:t>
      </w:r>
    </w:p>
    <w:p w14:paraId="0BF881E8">
      <w:pPr>
        <w:pStyle w:val="99"/>
        <w:spacing w:before="288" w:beforeLines="120" w:after="288" w:afterLines="120" w:line="288" w:lineRule="auto"/>
        <w:ind w:left="0" w:firstLine="0"/>
        <w:contextualSpacing/>
        <w:rPr>
          <w:rFonts w:ascii="Times New Roman" w:hAnsi="Times New Roman" w:cs="Times New Roman"/>
          <w:sz w:val="24"/>
          <w:szCs w:val="24"/>
        </w:rPr>
      </w:pPr>
      <w:bookmarkStart w:id="23" w:name="_Hlk154229074"/>
    </w:p>
    <w:p w14:paraId="579C67F0">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5.11 Os licitantes devem respeitar os preços máximos estabelecidos no Anexo deste Edital referente ao orçamento estimado (art. 59, III, da Lei nº 14.133/2021).</w:t>
      </w:r>
    </w:p>
    <w:p w14:paraId="264C470B">
      <w:pPr>
        <w:pStyle w:val="99"/>
        <w:spacing w:before="288" w:beforeLines="120" w:after="288" w:afterLines="120" w:line="288" w:lineRule="auto"/>
        <w:ind w:left="0" w:firstLine="0"/>
        <w:contextualSpacing/>
        <w:rPr>
          <w:rFonts w:ascii="Times New Roman" w:hAnsi="Times New Roman" w:cs="Times New Roman"/>
          <w:sz w:val="24"/>
          <w:szCs w:val="24"/>
        </w:rPr>
      </w:pPr>
    </w:p>
    <w:p w14:paraId="574E373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art. 71, inciso IX,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bookmarkEnd w:id="23"/>
    <w:p w14:paraId="6EA8A74B">
      <w:pPr>
        <w:pStyle w:val="97"/>
        <w:spacing w:before="0" w:beforeAutospacing="0" w:after="0" w:afterAutospacing="0" w:line="288" w:lineRule="auto"/>
        <w:contextualSpacing/>
        <w:jc w:val="both"/>
        <w:rPr>
          <w:rFonts w:eastAsia="Calibri"/>
          <w:b/>
          <w:bCs/>
          <w:lang w:eastAsia="en-US"/>
        </w:rPr>
      </w:pPr>
      <w:r>
        <w:rPr>
          <w:rFonts w:eastAsia="Calibri"/>
          <w:b/>
          <w:bCs/>
          <w:lang w:eastAsia="en-US"/>
        </w:rPr>
        <w:t>6. DA ABERTURA DA SESSÃO, CLASSIFICAÇÃO DAS PROPOSTAS E FORMULAÇÃO DE LANCES</w:t>
      </w:r>
    </w:p>
    <w:p w14:paraId="5726ED8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 A abertura da presente licitação dar-se-á em sessão pública, por meio de sistema eletrônico, na data, horário e local indicados neste Edital.</w:t>
      </w:r>
    </w:p>
    <w:p w14:paraId="0B73CCBC">
      <w:pPr>
        <w:pStyle w:val="99"/>
        <w:spacing w:before="288" w:beforeLines="120" w:after="288" w:afterLines="120" w:line="288" w:lineRule="auto"/>
        <w:ind w:left="0" w:firstLine="0"/>
        <w:contextualSpacing/>
        <w:rPr>
          <w:rFonts w:ascii="Times New Roman" w:hAnsi="Times New Roman" w:cs="Times New Roman"/>
          <w:sz w:val="24"/>
          <w:szCs w:val="24"/>
        </w:rPr>
      </w:pPr>
    </w:p>
    <w:p w14:paraId="7481F69A">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6.2 Os licitantes poderão retirar ou substituir a proposta </w:t>
      </w:r>
      <w:r>
        <w:rPr>
          <w:rFonts w:ascii="Times New Roman" w:hAnsi="Times New Roman" w:cs="Times New Roman"/>
          <w:color w:val="auto"/>
          <w:sz w:val="24"/>
          <w:szCs w:val="24"/>
        </w:rPr>
        <w:t>ou os documentos de habilitação</w:t>
      </w:r>
      <w:r>
        <w:rPr>
          <w:rFonts w:ascii="Times New Roman" w:hAnsi="Times New Roman" w:cs="Times New Roman"/>
          <w:sz w:val="24"/>
          <w:szCs w:val="24"/>
        </w:rPr>
        <w:t>, quando for o caso, anteriormente inseridos no sistema, até a abertura da sessão pública.</w:t>
      </w:r>
    </w:p>
    <w:p w14:paraId="38DE5587">
      <w:pPr>
        <w:pStyle w:val="99"/>
        <w:spacing w:before="288" w:beforeLines="120" w:after="288" w:afterLines="120" w:line="288" w:lineRule="auto"/>
        <w:ind w:left="0" w:firstLine="0"/>
        <w:contextualSpacing/>
        <w:rPr>
          <w:rFonts w:ascii="Times New Roman" w:hAnsi="Times New Roman" w:cs="Times New Roman"/>
          <w:sz w:val="24"/>
          <w:szCs w:val="24"/>
        </w:rPr>
      </w:pPr>
    </w:p>
    <w:p w14:paraId="4483DEF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6.3 O sistema disponibilizará campo próprio para troca de mensagens entre o Pregoeiro e os licitantes.</w:t>
      </w:r>
    </w:p>
    <w:p w14:paraId="120D185A">
      <w:pPr>
        <w:pStyle w:val="99"/>
        <w:spacing w:before="288" w:beforeLines="120" w:after="288" w:afterLines="120" w:line="288" w:lineRule="auto"/>
        <w:ind w:left="0" w:firstLine="0"/>
        <w:contextualSpacing/>
        <w:rPr>
          <w:rFonts w:ascii="Times New Roman" w:hAnsi="Times New Roman" w:cs="Times New Roman"/>
          <w:sz w:val="24"/>
          <w:szCs w:val="24"/>
        </w:rPr>
      </w:pPr>
    </w:p>
    <w:p w14:paraId="1B6BE2C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6.4 Iniciada a etapa competitiva, os licitantes deverão encaminhar lances exclusivamente por meio de sistema eletrônico, sendo imediatamente informados do seu recebimento e do valor consignado no registro. </w:t>
      </w:r>
    </w:p>
    <w:p w14:paraId="14E7BAF8">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18FC8B4C">
      <w:pPr>
        <w:pStyle w:val="99"/>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6.5 O lance deverá ser ofertado pelo valor unitário do item.</w:t>
      </w:r>
    </w:p>
    <w:p w14:paraId="2B7895DD">
      <w:pPr>
        <w:pStyle w:val="99"/>
        <w:spacing w:before="288" w:beforeLines="120" w:after="288" w:afterLines="120" w:line="288" w:lineRule="auto"/>
        <w:ind w:left="0" w:firstLine="0"/>
        <w:contextualSpacing/>
        <w:rPr>
          <w:rFonts w:ascii="Times New Roman" w:hAnsi="Times New Roman" w:cs="Times New Roman"/>
          <w:sz w:val="24"/>
          <w:szCs w:val="24"/>
        </w:rPr>
      </w:pPr>
    </w:p>
    <w:p w14:paraId="4C19FC0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6.6 Os licitantes poderão oferecer lances sucessivos, observando o horário fixado para abertura da sessão e as regras estabelecidas no Edital.</w:t>
      </w:r>
    </w:p>
    <w:p w14:paraId="1BE7647A">
      <w:pPr>
        <w:pStyle w:val="99"/>
        <w:spacing w:before="288" w:beforeLines="120" w:after="288" w:afterLines="120" w:line="288" w:lineRule="auto"/>
        <w:ind w:left="0" w:firstLine="0"/>
        <w:contextualSpacing/>
        <w:rPr>
          <w:rFonts w:ascii="Times New Roman" w:hAnsi="Times New Roman" w:cs="Times New Roman"/>
          <w:sz w:val="24"/>
          <w:szCs w:val="24"/>
        </w:rPr>
      </w:pPr>
    </w:p>
    <w:p w14:paraId="1706696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6.7 O licitante somente poderá oferecer lance </w:t>
      </w:r>
      <w:r>
        <w:rPr>
          <w:rFonts w:ascii="Times New Roman" w:hAnsi="Times New Roman" w:cs="Times New Roman"/>
          <w:iCs/>
          <w:color w:val="auto"/>
          <w:sz w:val="24"/>
          <w:szCs w:val="24"/>
        </w:rPr>
        <w:t>de valor inferior ou percentual de desconto superior</w:t>
      </w:r>
      <w:r>
        <w:rPr>
          <w:rFonts w:ascii="Times New Roman" w:hAnsi="Times New Roman" w:cs="Times New Roman"/>
          <w:color w:val="auto"/>
          <w:sz w:val="24"/>
          <w:szCs w:val="24"/>
        </w:rPr>
        <w:t xml:space="preserve"> </w:t>
      </w:r>
      <w:r>
        <w:rPr>
          <w:rFonts w:ascii="Times New Roman" w:hAnsi="Times New Roman" w:cs="Times New Roman"/>
          <w:sz w:val="24"/>
          <w:szCs w:val="24"/>
        </w:rPr>
        <w:t xml:space="preserve">ao último por ele ofertado e registrado pelo sistema. </w:t>
      </w:r>
    </w:p>
    <w:p w14:paraId="6C072A8D">
      <w:pPr>
        <w:pStyle w:val="99"/>
        <w:spacing w:before="288" w:beforeLines="120" w:after="288" w:afterLines="120" w:line="288" w:lineRule="auto"/>
        <w:ind w:left="0" w:firstLine="0"/>
        <w:contextualSpacing/>
        <w:rPr>
          <w:rFonts w:ascii="Times New Roman" w:hAnsi="Times New Roman" w:cs="Times New Roman"/>
          <w:sz w:val="24"/>
          <w:szCs w:val="24"/>
        </w:rPr>
      </w:pPr>
    </w:p>
    <w:p w14:paraId="69F846A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6.8 O intervalo mínimo de diferença de valores ou percentuais entre os lances, que incidirá tanto em relação aos lances intermediários quanto em relação à proposta que cobrir a melhor oferta, deverá </w:t>
      </w:r>
      <w:r>
        <w:rPr>
          <w:rFonts w:ascii="Times New Roman" w:hAnsi="Times New Roman" w:cs="Times New Roman"/>
          <w:color w:val="auto"/>
          <w:sz w:val="24"/>
          <w:szCs w:val="24"/>
        </w:rPr>
        <w:t>ser de 0,01(um centavo)</w:t>
      </w:r>
      <w:r>
        <w:rPr>
          <w:rFonts w:ascii="Times New Roman" w:hAnsi="Times New Roman" w:cs="Times New Roman"/>
          <w:i/>
          <w:iCs/>
          <w:sz w:val="24"/>
          <w:szCs w:val="24"/>
        </w:rPr>
        <w:t>.</w:t>
      </w:r>
    </w:p>
    <w:p w14:paraId="74BB5001">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50F92050">
      <w:pPr>
        <w:pStyle w:val="99"/>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6.9</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005970E9">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024D57F1">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6.9.1 O licitante poderá, uma única vez, excluir seu último lance ofertado, no intervalo de quinze segundos após o registro no sistema, na hipótese de lance inconsistente ou inexequível.</w:t>
      </w:r>
    </w:p>
    <w:p w14:paraId="6C335BFE">
      <w:pPr>
        <w:pStyle w:val="99"/>
        <w:spacing w:before="288" w:beforeLines="120" w:after="288" w:afterLines="120" w:line="288" w:lineRule="auto"/>
        <w:ind w:left="567" w:right="565" w:firstLine="0"/>
        <w:contextualSpacing/>
        <w:rPr>
          <w:rFonts w:ascii="Times New Roman" w:hAnsi="Times New Roman" w:cs="Times New Roman"/>
          <w:sz w:val="24"/>
          <w:szCs w:val="24"/>
        </w:rPr>
      </w:pPr>
    </w:p>
    <w:p w14:paraId="095D0445">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6.10 O procedimento seguirá de acordo com o modo de disputa adotado.</w:t>
      </w:r>
    </w:p>
    <w:p w14:paraId="507978FF">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bookmarkStart w:id="24" w:name="_Hlk113631522"/>
      <w:r>
        <w:rPr>
          <w:rFonts w:ascii="Times New Roman" w:hAnsi="Times New Roman" w:cs="Times New Roman"/>
          <w:color w:val="000000" w:themeColor="text1"/>
          <w:sz w:val="24"/>
          <w:szCs w:val="24"/>
          <w14:textFill>
            <w14:solidFill>
              <w14:schemeClr w14:val="tx1"/>
            </w14:solidFill>
          </w14:textFill>
        </w:rPr>
        <w:t>6.11 O envio de lances no pregão eletrônico se dará pelo modo de disputa “aberto e fechado”, devendo os licitantes apresentar lances públicos e sucessivos, com lance final e fechado.</w:t>
      </w:r>
    </w:p>
    <w:p w14:paraId="5F23B5BD">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77FFEB19">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FEB1D50">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69D04A05">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B4985A">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09459C2D">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6.11.3 No procedimento de que trata o subitem supra, o licitante poderá optar por manter o seu último lance da etapa aberta, ou por ofertar melhor lance.</w:t>
      </w:r>
    </w:p>
    <w:p w14:paraId="4E8517FA">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62F5C369">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9567B13">
      <w:pPr>
        <w:pStyle w:val="120"/>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55BC38E8">
      <w:pPr>
        <w:pStyle w:val="120"/>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6.11.5 Após o término dos prazos estabelecidos nos itens anteriores, o sistema ordenará e divulgará os lances segundo a ordem crescente de valores.</w:t>
      </w:r>
    </w:p>
    <w:p w14:paraId="30DFEE2E">
      <w:pPr>
        <w:pStyle w:val="120"/>
        <w:spacing w:line="288" w:lineRule="auto"/>
        <w:ind w:left="567" w:right="565"/>
        <w:contextualSpacing/>
        <w:rPr>
          <w:rFonts w:ascii="Times New Roman" w:hAnsi="Times New Roman" w:cs="Times New Roman"/>
          <w:color w:val="FF0000"/>
          <w:sz w:val="24"/>
          <w:szCs w:val="24"/>
        </w:rPr>
      </w:pPr>
    </w:p>
    <w:bookmarkEnd w:id="24"/>
    <w:p w14:paraId="19C122A5">
      <w:pPr>
        <w:pStyle w:val="120"/>
        <w:spacing w:line="288" w:lineRule="auto"/>
        <w:ind w:left="0"/>
        <w:contextualSpacing/>
        <w:rPr>
          <w:rFonts w:ascii="Times New Roman" w:hAnsi="Times New Roman" w:cs="Times New Roman"/>
          <w:i/>
          <w:sz w:val="24"/>
          <w:szCs w:val="24"/>
        </w:rPr>
      </w:pPr>
      <w:r>
        <w:rPr>
          <w:rFonts w:ascii="Times New Roman" w:hAnsi="Times New Roman" w:cs="Times New Roman"/>
          <w:sz w:val="24"/>
          <w:szCs w:val="24"/>
        </w:rPr>
        <w:t>6.12 Após o término dos prazos estabelecidos nos subitens anteriores, o sistema ordenará e divulgará os lances segundo a ordem crescente de valores</w:t>
      </w:r>
      <w:r>
        <w:rPr>
          <w:rFonts w:ascii="Times New Roman" w:hAnsi="Times New Roman" w:cs="Times New Roman"/>
          <w:i/>
          <w:iCs/>
          <w:sz w:val="24"/>
          <w:szCs w:val="24"/>
        </w:rPr>
        <w:t>.</w:t>
      </w:r>
    </w:p>
    <w:p w14:paraId="215AD5C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6.13 Não serão aceitos dois ou mais lances de mesmo valor, prevalecendo aquele que for recebido e registrado em primeiro lugar. </w:t>
      </w:r>
    </w:p>
    <w:p w14:paraId="34C90CB7">
      <w:pPr>
        <w:pStyle w:val="99"/>
        <w:spacing w:before="288" w:beforeLines="120" w:after="288" w:afterLines="120" w:line="288" w:lineRule="auto"/>
        <w:ind w:left="0" w:firstLine="0"/>
        <w:contextualSpacing/>
        <w:rPr>
          <w:rFonts w:ascii="Times New Roman" w:hAnsi="Times New Roman" w:cs="Times New Roman"/>
          <w:sz w:val="24"/>
          <w:szCs w:val="24"/>
        </w:rPr>
      </w:pPr>
    </w:p>
    <w:p w14:paraId="1FF989E5">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6.14 Durante o transcurso da sessão pública, os licitantes serão informados, em tempo real, do valor do menor lance registrado, vedada a identificação do licitante. </w:t>
      </w:r>
    </w:p>
    <w:p w14:paraId="432BDF9F">
      <w:pPr>
        <w:pStyle w:val="99"/>
        <w:spacing w:before="288" w:beforeLines="120" w:after="288" w:afterLines="120" w:line="288" w:lineRule="auto"/>
        <w:ind w:left="0" w:firstLine="0"/>
        <w:contextualSpacing/>
        <w:rPr>
          <w:rFonts w:ascii="Times New Roman" w:hAnsi="Times New Roman" w:cs="Times New Roman"/>
          <w:sz w:val="24"/>
          <w:szCs w:val="24"/>
        </w:rPr>
      </w:pPr>
    </w:p>
    <w:p w14:paraId="052EB0E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6.15 No caso de desconexão com o Pregoeiro, no decorrer da etapa competitiva do Pregão, o sistema eletrônico poderá permanecer acessível aos licitantes para a recepção dos lances. </w:t>
      </w:r>
    </w:p>
    <w:p w14:paraId="6B455519">
      <w:pPr>
        <w:pStyle w:val="99"/>
        <w:spacing w:before="288" w:beforeLines="120" w:after="288" w:afterLines="120" w:line="288" w:lineRule="auto"/>
        <w:ind w:left="0" w:firstLine="0"/>
        <w:contextualSpacing/>
        <w:rPr>
          <w:rFonts w:ascii="Times New Roman" w:hAnsi="Times New Roman" w:cs="Times New Roman"/>
          <w:sz w:val="24"/>
          <w:szCs w:val="24"/>
        </w:rPr>
      </w:pPr>
    </w:p>
    <w:p w14:paraId="5DDE8F5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3E2E3F7F">
      <w:pPr>
        <w:pStyle w:val="99"/>
        <w:spacing w:before="288" w:beforeLines="120" w:after="288" w:afterLines="120" w:line="288" w:lineRule="auto"/>
        <w:ind w:left="0" w:firstLine="0"/>
        <w:contextualSpacing/>
        <w:rPr>
          <w:rFonts w:ascii="Times New Roman" w:hAnsi="Times New Roman" w:cs="Times New Roman"/>
          <w:sz w:val="24"/>
          <w:szCs w:val="24"/>
        </w:rPr>
      </w:pPr>
    </w:p>
    <w:p w14:paraId="0F46AFC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6.17 Caso o licitante não apresente lances, concorrerá com o valor de sua proposta.</w:t>
      </w:r>
    </w:p>
    <w:p w14:paraId="25D20118">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0480B81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6.18 Em relação a itens não exclusivos para participação de microempresas e empresas de pequeno porte, uma vez encerrada a etapa de lances</w:t>
      </w:r>
      <w:r>
        <w:rPr>
          <w:rFonts w:ascii="Times New Roman" w:hAnsi="Times New Roman" w:eastAsia="Zurich BT"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Style w:val="16"/>
          <w:rFonts w:ascii="Times New Roman" w:hAnsi="Times New Roman" w:eastAsia="Zurich BT" w:cs="Times New Roman"/>
          <w:color w:val="auto"/>
          <w:sz w:val="24"/>
          <w:szCs w:val="24"/>
        </w:rPr>
        <w:t>arts. 44 e 45 da Lei Complementar nº 123/2006</w:t>
      </w:r>
      <w:r>
        <w:rPr>
          <w:rStyle w:val="16"/>
          <w:rFonts w:ascii="Times New Roman" w:hAnsi="Times New Roman" w:eastAsia="Zurich BT" w:cs="Times New Roman"/>
          <w:color w:val="auto"/>
          <w:sz w:val="24"/>
          <w:szCs w:val="24"/>
        </w:rPr>
        <w:fldChar w:fldCharType="end"/>
      </w:r>
      <w:r>
        <w:rPr>
          <w:rFonts w:ascii="Times New Roman" w:hAnsi="Times New Roman" w:eastAsia="Zurich BT" w:cs="Times New Roman"/>
          <w:color w:val="auto"/>
          <w:sz w:val="24"/>
          <w:szCs w:val="24"/>
        </w:rPr>
        <w:t xml:space="preserve">, regulamentada pelo </w:t>
      </w:r>
      <w:r>
        <w:rPr>
          <w:rFonts w:ascii="Times New Roman" w:hAnsi="Times New Roman" w:cs="Times New Roman"/>
          <w:sz w:val="24"/>
          <w:szCs w:val="24"/>
        </w:rPr>
        <w:t>Lei Municipal nº 2367/2007.</w:t>
      </w:r>
    </w:p>
    <w:p w14:paraId="5923BB19">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ACD9F60">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4D67F1ED">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27B8F8F3">
      <w:pPr>
        <w:pStyle w:val="99"/>
        <w:spacing w:before="288" w:beforeLines="120" w:after="288" w:afterLines="120" w:line="288" w:lineRule="auto"/>
        <w:ind w:left="0" w:right="-2" w:firstLine="0"/>
        <w:contextualSpacing/>
        <w:rPr>
          <w:rFonts w:ascii="Times New Roman" w:hAnsi="Times New Roman" w:cs="Times New Roman"/>
          <w:sz w:val="24"/>
          <w:szCs w:val="24"/>
        </w:rPr>
      </w:pPr>
    </w:p>
    <w:p w14:paraId="7E3352A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6.18.1 Nessas condições, as propostas de </w:t>
      </w:r>
      <w:r>
        <w:rPr>
          <w:rFonts w:ascii="Times New Roman" w:hAnsi="Times New Roman" w:eastAsia="Zurich BT" w:cs="Times New Roman"/>
          <w:sz w:val="24"/>
          <w:szCs w:val="24"/>
        </w:rPr>
        <w:t xml:space="preserve">microempresas e empresas de pequeno porte </w:t>
      </w:r>
      <w:r>
        <w:rPr>
          <w:rFonts w:ascii="Times New Roman" w:hAnsi="Times New Roman" w:cs="Times New Roman"/>
          <w:sz w:val="24"/>
          <w:szCs w:val="24"/>
        </w:rPr>
        <w:t>que se encontrarem na faixa de até 5% (cinco por cento) acima da melhor proposta ou melhor lance serão consideradas empatadas com a primeira colocada.</w:t>
      </w:r>
    </w:p>
    <w:p w14:paraId="11F78CDE">
      <w:pPr>
        <w:pStyle w:val="103"/>
        <w:spacing w:before="288" w:beforeLines="120" w:after="288" w:afterLines="120" w:line="288" w:lineRule="auto"/>
        <w:ind w:left="0" w:firstLine="0"/>
        <w:contextualSpacing/>
        <w:rPr>
          <w:rFonts w:ascii="Times New Roman" w:hAnsi="Times New Roman" w:cs="Times New Roman"/>
          <w:sz w:val="24"/>
          <w:szCs w:val="24"/>
        </w:rPr>
      </w:pPr>
    </w:p>
    <w:p w14:paraId="60E3E834">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24FFEA4">
      <w:pPr>
        <w:pStyle w:val="103"/>
        <w:spacing w:before="288" w:beforeLines="120" w:after="288" w:afterLines="120" w:line="288" w:lineRule="auto"/>
        <w:ind w:left="0" w:firstLine="0"/>
        <w:contextualSpacing/>
        <w:rPr>
          <w:rFonts w:ascii="Times New Roman" w:hAnsi="Times New Roman" w:cs="Times New Roman"/>
          <w:sz w:val="24"/>
          <w:szCs w:val="24"/>
        </w:rPr>
      </w:pPr>
    </w:p>
    <w:p w14:paraId="71E894B2">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6.18.3 Caso a </w:t>
      </w:r>
      <w:r>
        <w:rPr>
          <w:rFonts w:ascii="Times New Roman" w:hAnsi="Times New Roman" w:eastAsia="Zurich BT" w:cs="Times New Roman"/>
          <w:sz w:val="24"/>
          <w:szCs w:val="24"/>
        </w:rPr>
        <w:t>microempresa ou a empresa de pequeno porte</w:t>
      </w:r>
      <w:r>
        <w:rPr>
          <w:rFonts w:ascii="Times New Roman" w:hAnsi="Times New Roman" w:cs="Times New Roman"/>
          <w:sz w:val="24"/>
          <w:szCs w:val="24"/>
        </w:rPr>
        <w:t xml:space="preserve"> melhor classificada desista ou não se manifeste no prazo estabelecido, serão convocadas as demais licitantes </w:t>
      </w:r>
      <w:r>
        <w:rPr>
          <w:rFonts w:ascii="Times New Roman" w:hAnsi="Times New Roman" w:eastAsia="Zurich BT" w:cs="Times New Roman"/>
          <w:sz w:val="24"/>
          <w:szCs w:val="24"/>
        </w:rPr>
        <w:t>microempresa e empresa de pequeno porte</w:t>
      </w:r>
      <w:r>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029D5692">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0ED3B6">
      <w:pPr>
        <w:pStyle w:val="99"/>
        <w:spacing w:before="288" w:beforeLines="120" w:after="288" w:afterLines="120" w:line="288" w:lineRule="auto"/>
        <w:ind w:left="0" w:firstLine="0"/>
        <w:contextualSpacing/>
        <w:rPr>
          <w:rFonts w:ascii="Times New Roman" w:hAnsi="Times New Roman" w:cs="Times New Roman"/>
          <w:sz w:val="24"/>
          <w:szCs w:val="24"/>
        </w:rPr>
      </w:pPr>
    </w:p>
    <w:p w14:paraId="78DCE18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6.19 Só poderá haver empate entre propostas iguais (não seguidas de lances) ou entre lances finais da fase fechada do modo de disputa aberto e fechado. </w:t>
      </w:r>
    </w:p>
    <w:p w14:paraId="4CC5FFC5">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6.19.1 Havendo eventual empate entre propostas ou lances, o critério de desempate será o abaixo previsto, nesta ordem:</w:t>
      </w:r>
    </w:p>
    <w:p w14:paraId="62F1F3B8">
      <w:pPr>
        <w:pStyle w:val="103"/>
        <w:spacing w:before="288" w:beforeLines="120" w:after="288" w:afterLines="120" w:line="288" w:lineRule="auto"/>
        <w:ind w:left="0" w:firstLine="0"/>
        <w:contextualSpacing/>
        <w:jc w:val="left"/>
        <w:rPr>
          <w:rFonts w:ascii="Times New Roman" w:hAnsi="Times New Roman" w:cs="Times New Roman"/>
          <w:color w:val="auto"/>
          <w:sz w:val="24"/>
          <w:szCs w:val="24"/>
        </w:rPr>
      </w:pPr>
      <w:r>
        <w:rPr>
          <w:rFonts w:ascii="Times New Roman" w:hAnsi="Times New Roman" w:cs="Times New Roman"/>
          <w:color w:val="333333"/>
          <w:sz w:val="24"/>
          <w:szCs w:val="24"/>
        </w:rPr>
        <w:br w:type="textWrapping"/>
      </w:r>
      <w:r>
        <w:rPr>
          <w:rFonts w:ascii="Times New Roman" w:hAnsi="Times New Roman" w:cs="Times New Roman"/>
          <w:color w:val="auto"/>
          <w:sz w:val="24"/>
          <w:szCs w:val="24"/>
          <w:shd w:val="clear" w:color="auto" w:fill="F5F5F5"/>
        </w:rPr>
        <w:t>I - contratação de microempresas e empresas de pequeno porte, nos termos dos arts. 44 e 45 da Lei Complementar nº </w:t>
      </w:r>
      <w:r>
        <w:fldChar w:fldCharType="begin"/>
      </w:r>
      <w:r>
        <w:instrText xml:space="preserve"> HYPERLINK "http://www.planalto.gov.br/ccivil_03/leis/lcp/lcp123.htm" </w:instrText>
      </w:r>
      <w:r>
        <w:fldChar w:fldCharType="separate"/>
      </w:r>
      <w:r>
        <w:rPr>
          <w:rStyle w:val="16"/>
          <w:rFonts w:ascii="Times New Roman" w:hAnsi="Times New Roman" w:cs="Times New Roman" w:eastAsiaTheme="minorHAnsi"/>
          <w:color w:val="auto"/>
          <w:sz w:val="24"/>
          <w:szCs w:val="24"/>
          <w:shd w:val="clear" w:color="auto" w:fill="F5F5F5"/>
        </w:rPr>
        <w:t>123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14 de dezembro de 2006, observado o disposto no art. 4º da Lei nº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shd w:val="clear" w:color="auto" w:fill="F5F5F5"/>
        </w:rPr>
        <w:t>14.133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2021;</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 - disputa final, hipótese em que os licitantes empatados poderão apresentar nova proposta em ato contínuo à classificação;</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III - avaliação do desempenho contratual prévio dos licitantes;</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IV - desenvolvimento pelo licitante de ações de equidade entre homens e mulheres no ambiente de trabalho, conforme regulamento; 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V - desenvolvimento pelo licitante de programa de integridade, conforme orientações dos órgãos de controle.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Parágrafo único. Os critérios de desempate previstos nos incisos II, III, IV e V deste artigo serão aplicados nas hipóteses em que não haja envio de lances após o início da fase competitiva.</w:t>
      </w:r>
    </w:p>
    <w:p w14:paraId="771FBACC">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6.19.1.1 contratação de microempresas e empresas de pequeno porte, nos termos dos arts. 44 e 45 da Lei Complementar nº 123/2006, observado o disposto no art. 4º da Lei nº 14.133/2021;</w:t>
      </w:r>
    </w:p>
    <w:p w14:paraId="174E25F7">
      <w:pPr>
        <w:pStyle w:val="120"/>
        <w:spacing w:before="288" w:beforeLines="120" w:after="288" w:afterLines="120" w:line="288" w:lineRule="auto"/>
        <w:ind w:left="0"/>
        <w:contextualSpacing/>
        <w:rPr>
          <w:rFonts w:ascii="Times New Roman" w:hAnsi="Times New Roman" w:cs="Times New Roman"/>
          <w:sz w:val="24"/>
          <w:szCs w:val="24"/>
        </w:rPr>
      </w:pPr>
    </w:p>
    <w:p w14:paraId="2C131FF7">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6.19.1.2 disputa final, hipótese em que os licitantes empatados poderão apresentar nova proposta em ato contínuo à classificação;</w:t>
      </w:r>
    </w:p>
    <w:p w14:paraId="74BE1926">
      <w:pPr>
        <w:pStyle w:val="120"/>
        <w:spacing w:before="288" w:beforeLines="120" w:after="288" w:afterLines="120" w:line="288" w:lineRule="auto"/>
        <w:ind w:left="0"/>
        <w:contextualSpacing/>
        <w:rPr>
          <w:rFonts w:ascii="Times New Roman" w:hAnsi="Times New Roman" w:cs="Times New Roman"/>
          <w:sz w:val="24"/>
          <w:szCs w:val="24"/>
        </w:rPr>
      </w:pPr>
    </w:p>
    <w:p w14:paraId="3BD7BF84">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6.19.1.3 avaliação do desempenho contratual prévio dos licitantes, para a qual deverão preferencialmente ser utilizados registros cadastrais para efeito de atesto de cumprimento de obrigações previstos na Lei;</w:t>
      </w:r>
    </w:p>
    <w:p w14:paraId="5EDAF668">
      <w:pPr>
        <w:pStyle w:val="120"/>
        <w:spacing w:before="288" w:beforeLines="120" w:after="288" w:afterLines="120" w:line="288" w:lineRule="auto"/>
        <w:ind w:left="0"/>
        <w:contextualSpacing/>
        <w:rPr>
          <w:rFonts w:ascii="Times New Roman" w:hAnsi="Times New Roman" w:cs="Times New Roman"/>
          <w:sz w:val="24"/>
          <w:szCs w:val="24"/>
        </w:rPr>
      </w:pPr>
    </w:p>
    <w:p w14:paraId="112BCA40">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6.19.1.4 desenvolvimento pelo licitante de ações de equidade entre homens e mulheres no ambiente de trabalho;</w:t>
      </w:r>
    </w:p>
    <w:p w14:paraId="57FAC441">
      <w:pPr>
        <w:pStyle w:val="120"/>
        <w:spacing w:before="288" w:beforeLines="120" w:after="288" w:afterLines="120" w:line="288" w:lineRule="auto"/>
        <w:ind w:left="0"/>
        <w:contextualSpacing/>
        <w:rPr>
          <w:rFonts w:ascii="Times New Roman" w:hAnsi="Times New Roman" w:cs="Times New Roman"/>
          <w:sz w:val="24"/>
          <w:szCs w:val="24"/>
        </w:rPr>
      </w:pPr>
    </w:p>
    <w:p w14:paraId="4A47C4A2">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6.19.1.5 desenvolvimento pelo licitante de programa de integridade, conforme orientações dos órgãos de controle.</w:t>
      </w:r>
    </w:p>
    <w:p w14:paraId="3E4F5E95">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6.19.2 Persistindo o empate, será assegurada preferência, sucessivamente, aos bens e serviços produzidos ou prestados por:</w:t>
      </w:r>
    </w:p>
    <w:p w14:paraId="05EC4AE8">
      <w:pPr>
        <w:pStyle w:val="120"/>
        <w:spacing w:before="288" w:beforeLines="120" w:after="288" w:afterLines="120" w:line="288" w:lineRule="auto"/>
        <w:ind w:left="0"/>
        <w:contextualSpacing/>
        <w:rPr>
          <w:rFonts w:ascii="Times New Roman" w:hAnsi="Times New Roman" w:cs="Times New Roman"/>
          <w:sz w:val="24"/>
          <w:szCs w:val="24"/>
        </w:rPr>
      </w:pPr>
      <w:bookmarkStart w:id="25" w:name="art60§1i"/>
      <w:bookmarkEnd w:id="25"/>
      <w:r>
        <w:rPr>
          <w:rFonts w:ascii="Times New Roman" w:hAnsi="Times New Roman" w:cs="Times New Roman"/>
          <w:sz w:val="24"/>
          <w:szCs w:val="24"/>
        </w:rPr>
        <w:t>6.19.2.1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502526A">
      <w:pPr>
        <w:pStyle w:val="120"/>
        <w:spacing w:before="288" w:beforeLines="120" w:after="288" w:afterLines="120" w:line="288" w:lineRule="auto"/>
        <w:ind w:left="0"/>
        <w:contextualSpacing/>
        <w:rPr>
          <w:rFonts w:ascii="Times New Roman" w:hAnsi="Times New Roman" w:cs="Times New Roman"/>
          <w:sz w:val="24"/>
          <w:szCs w:val="24"/>
        </w:rPr>
      </w:pPr>
      <w:bookmarkStart w:id="26" w:name="art60§1ii"/>
      <w:bookmarkEnd w:id="26"/>
    </w:p>
    <w:p w14:paraId="552085D2">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6.19.2.2 empresas brasileiras;</w:t>
      </w:r>
    </w:p>
    <w:p w14:paraId="5BBAB6E8">
      <w:pPr>
        <w:pStyle w:val="120"/>
        <w:spacing w:before="288" w:beforeLines="120" w:after="288" w:afterLines="120" w:line="288" w:lineRule="auto"/>
        <w:ind w:left="0"/>
        <w:contextualSpacing/>
        <w:rPr>
          <w:rFonts w:ascii="Times New Roman" w:hAnsi="Times New Roman" w:cs="Times New Roman"/>
          <w:sz w:val="24"/>
          <w:szCs w:val="24"/>
        </w:rPr>
      </w:pPr>
      <w:bookmarkStart w:id="27" w:name="art60§1iii"/>
      <w:bookmarkEnd w:id="27"/>
    </w:p>
    <w:p w14:paraId="2507D885">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6.19.2.3 empresas que invistam em pesquisa e no desenvolvimento de tecnologia no País;</w:t>
      </w:r>
    </w:p>
    <w:p w14:paraId="390A31EB">
      <w:pPr>
        <w:pStyle w:val="120"/>
        <w:spacing w:before="288" w:beforeLines="120" w:after="288" w:afterLines="120" w:line="288" w:lineRule="auto"/>
        <w:ind w:left="0"/>
        <w:contextualSpacing/>
        <w:rPr>
          <w:rFonts w:ascii="Times New Roman" w:hAnsi="Times New Roman" w:cs="Times New Roman"/>
          <w:sz w:val="24"/>
          <w:szCs w:val="24"/>
        </w:rPr>
      </w:pPr>
      <w:bookmarkStart w:id="28" w:name="art60§1iv"/>
      <w:bookmarkEnd w:id="28"/>
    </w:p>
    <w:p w14:paraId="5729E8C6">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6"/>
          <w:rFonts w:ascii="Times New Roman" w:hAnsi="Times New Roman" w:cs="Times New Roman"/>
          <w:sz w:val="24"/>
          <w:szCs w:val="24"/>
        </w:rPr>
        <w:t>Lei nº 12.187, de 29 de dezembro de 2009</w:t>
      </w:r>
      <w:r>
        <w:rPr>
          <w:rStyle w:val="16"/>
          <w:rFonts w:ascii="Times New Roman" w:hAnsi="Times New Roman" w:cs="Times New Roman"/>
          <w:sz w:val="24"/>
          <w:szCs w:val="24"/>
        </w:rPr>
        <w:fldChar w:fldCharType="end"/>
      </w:r>
      <w:r>
        <w:rPr>
          <w:rFonts w:ascii="Times New Roman" w:hAnsi="Times New Roman" w:cs="Times New Roman"/>
          <w:sz w:val="24"/>
          <w:szCs w:val="24"/>
        </w:rPr>
        <w:t>.</w:t>
      </w:r>
    </w:p>
    <w:p w14:paraId="7DD3DD0D">
      <w:pPr>
        <w:pStyle w:val="97"/>
        <w:spacing w:before="0" w:beforeAutospacing="0" w:after="0" w:afterAutospacing="0" w:line="288" w:lineRule="auto"/>
        <w:contextualSpacing/>
        <w:jc w:val="both"/>
        <w:rPr>
          <w:rFonts w:eastAsia="Calibri"/>
          <w:b/>
          <w:bCs/>
          <w:lang w:eastAsia="en-US"/>
        </w:rPr>
      </w:pPr>
      <w:r>
        <w:rPr>
          <w:rFonts w:eastAsia="Calibri"/>
          <w:b/>
          <w:bCs/>
          <w:lang w:eastAsia="en-US"/>
        </w:rPr>
        <w:t>7. DA FASE DE JULGAMENTO</w:t>
      </w:r>
    </w:p>
    <w:p w14:paraId="43D435D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3F22EF65">
      <w:pPr>
        <w:pStyle w:val="99"/>
        <w:spacing w:before="288" w:beforeLines="120" w:after="288" w:afterLines="120" w:line="288" w:lineRule="auto"/>
        <w:ind w:left="0" w:firstLine="0"/>
        <w:contextualSpacing/>
        <w:rPr>
          <w:rFonts w:ascii="Times New Roman" w:hAnsi="Times New Roman" w:cs="Times New Roman"/>
          <w:sz w:val="24"/>
          <w:szCs w:val="24"/>
        </w:rPr>
      </w:pPr>
    </w:p>
    <w:p w14:paraId="3A46D18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E20296">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7.1.2 A negociação será realizada por meio do sistema, podendo ser acompanhada pelos demais licitantes.</w:t>
      </w:r>
    </w:p>
    <w:p w14:paraId="7E8A11B3">
      <w:pPr>
        <w:pStyle w:val="103"/>
        <w:spacing w:before="288" w:beforeLines="120" w:after="288" w:afterLines="120" w:line="288" w:lineRule="auto"/>
        <w:ind w:left="0" w:firstLine="0"/>
        <w:contextualSpacing/>
        <w:rPr>
          <w:rFonts w:ascii="Times New Roman" w:hAnsi="Times New Roman" w:cs="Times New Roman"/>
          <w:sz w:val="24"/>
          <w:szCs w:val="24"/>
        </w:rPr>
      </w:pPr>
    </w:p>
    <w:p w14:paraId="11D5FEB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7.1.3 O resultado da negociação será divulgado a todos os licitantes e anexado aos autos do processo licitatório.</w:t>
      </w:r>
    </w:p>
    <w:p w14:paraId="599A2BC4">
      <w:pPr>
        <w:pStyle w:val="103"/>
        <w:spacing w:before="288" w:beforeLines="120" w:after="288" w:afterLines="120" w:line="288" w:lineRule="auto"/>
        <w:ind w:left="0" w:firstLine="0"/>
        <w:contextualSpacing/>
        <w:rPr>
          <w:rFonts w:ascii="Times New Roman" w:hAnsi="Times New Roman" w:cs="Times New Roman"/>
          <w:sz w:val="24"/>
          <w:szCs w:val="24"/>
        </w:rPr>
      </w:pPr>
    </w:p>
    <w:p w14:paraId="0A8DE442">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7.1.4 O Pregoeiro solicitará ao licitante mais bem classificado que, no </w:t>
      </w:r>
      <w:bookmarkStart w:id="29" w:name="_Hlk178773510"/>
      <w:r>
        <w:rPr>
          <w:rFonts w:ascii="Times New Roman" w:hAnsi="Times New Roman" w:cs="Times New Roman"/>
          <w:color w:val="auto"/>
          <w:sz w:val="24"/>
          <w:szCs w:val="24"/>
        </w:rPr>
        <w:t xml:space="preserve">prazo mínimo </w:t>
      </w:r>
      <w:r>
        <w:rPr>
          <w:rFonts w:ascii="Times New Roman" w:hAnsi="Times New Roman" w:cs="Times New Roman"/>
          <w:color w:val="000000" w:themeColor="text1"/>
          <w:sz w:val="24"/>
          <w:szCs w:val="24"/>
          <w14:textFill>
            <w14:solidFill>
              <w14:schemeClr w14:val="tx1"/>
            </w14:solidFill>
          </w14:textFill>
        </w:rPr>
        <w:t>de 2 (duas) horas</w:t>
      </w:r>
      <w:bookmarkEnd w:id="29"/>
      <w:r>
        <w:rPr>
          <w:rFonts w:ascii="Times New Roman" w:hAnsi="Times New Roman" w:cs="Times New Roman"/>
          <w:color w:val="000000" w:themeColor="text1"/>
          <w:sz w:val="24"/>
          <w:szCs w:val="24"/>
          <w14:textFill>
            <w14:solidFill>
              <w14:schemeClr w14:val="tx1"/>
            </w14:solidFill>
          </w14:textFill>
        </w:rPr>
        <w:t xml:space="preserve">, envie </w:t>
      </w:r>
      <w:r>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007A7A98">
      <w:pPr>
        <w:pStyle w:val="103"/>
        <w:spacing w:before="288" w:beforeLines="120" w:after="288" w:afterLines="120" w:line="288" w:lineRule="auto"/>
        <w:ind w:left="0" w:firstLine="0"/>
        <w:contextualSpacing/>
        <w:rPr>
          <w:rFonts w:ascii="Times New Roman" w:hAnsi="Times New Roman" w:cs="Times New Roman"/>
          <w:sz w:val="24"/>
          <w:szCs w:val="24"/>
        </w:rPr>
      </w:pPr>
    </w:p>
    <w:p w14:paraId="75BDB8B0">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 É facultado ao Pregoeiro prorrogar o prazo estabelecido, por igual período, de ofício ou a partir de solicitação fundamentada feita no chat pelo licitante, antes de findo o prazo.</w:t>
      </w:r>
    </w:p>
    <w:p w14:paraId="0A631CDF">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7.2 Encerrada a negociação, o Pregoeiro examinará a proposta classificada em primeiro lugar quanto à adequação ao objeto e à compatibilidade do preço em relação ao máximo estipulado para contratação neste Edital e em seus anexos.</w:t>
      </w:r>
    </w:p>
    <w:p w14:paraId="17574971">
      <w:pPr>
        <w:pStyle w:val="99"/>
        <w:spacing w:before="288" w:beforeLines="120" w:after="288" w:afterLines="120" w:line="288" w:lineRule="auto"/>
        <w:ind w:left="0" w:firstLine="0"/>
        <w:contextualSpacing/>
        <w:rPr>
          <w:rFonts w:ascii="Times New Roman" w:hAnsi="Times New Roman" w:cs="Times New Roman"/>
          <w:sz w:val="24"/>
          <w:szCs w:val="24"/>
        </w:rPr>
      </w:pPr>
    </w:p>
    <w:p w14:paraId="0AA930E5">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 xml:space="preserve">7.3 Será desclassificada a proposta vencedora que: </w:t>
      </w:r>
    </w:p>
    <w:p w14:paraId="17C5878D">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7.3.1 contiver vícios insanáveis;</w:t>
      </w:r>
    </w:p>
    <w:p w14:paraId="0FEDF535">
      <w:pPr>
        <w:pStyle w:val="103"/>
        <w:spacing w:before="288" w:beforeLines="120" w:after="288" w:afterLines="120" w:line="288" w:lineRule="auto"/>
        <w:ind w:left="0" w:firstLine="0"/>
        <w:contextualSpacing/>
        <w:rPr>
          <w:rFonts w:ascii="Times New Roman" w:hAnsi="Times New Roman" w:cs="Times New Roman"/>
          <w:sz w:val="24"/>
          <w:szCs w:val="24"/>
        </w:rPr>
      </w:pPr>
    </w:p>
    <w:p w14:paraId="36E4A295">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7.3.2 não obedecer às especificações técnicas contidas no Termo de Referência;</w:t>
      </w:r>
    </w:p>
    <w:p w14:paraId="7C3E0E09">
      <w:pPr>
        <w:pStyle w:val="103"/>
        <w:spacing w:before="288" w:beforeLines="120" w:after="288" w:afterLines="120" w:line="288" w:lineRule="auto"/>
        <w:ind w:left="0" w:firstLine="0"/>
        <w:contextualSpacing/>
        <w:rPr>
          <w:rFonts w:ascii="Times New Roman" w:hAnsi="Times New Roman" w:cs="Times New Roman"/>
          <w:sz w:val="24"/>
          <w:szCs w:val="24"/>
        </w:rPr>
      </w:pPr>
    </w:p>
    <w:p w14:paraId="73AD5C4A">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7.3.3 apresentar preços inexequíveis ou permanecerem acima do preço máximo definido para a contratação;</w:t>
      </w:r>
    </w:p>
    <w:p w14:paraId="5CBA67CF">
      <w:pPr>
        <w:pStyle w:val="103"/>
        <w:spacing w:before="288" w:beforeLines="120" w:after="288" w:afterLines="120" w:line="288" w:lineRule="auto"/>
        <w:ind w:left="0" w:firstLine="0"/>
        <w:contextualSpacing/>
        <w:rPr>
          <w:rFonts w:ascii="Times New Roman" w:hAnsi="Times New Roman" w:cs="Times New Roman"/>
          <w:sz w:val="24"/>
          <w:szCs w:val="24"/>
        </w:rPr>
      </w:pPr>
    </w:p>
    <w:p w14:paraId="762D63D0">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7.3.4 não tiverem sua exequibilidade demonstrada, quando exigido pela Administração;</w:t>
      </w:r>
    </w:p>
    <w:p w14:paraId="465B06D1">
      <w:pPr>
        <w:pStyle w:val="103"/>
        <w:spacing w:before="288" w:beforeLines="120" w:after="288" w:afterLines="120" w:line="288" w:lineRule="auto"/>
        <w:ind w:left="0" w:firstLine="0"/>
        <w:contextualSpacing/>
        <w:rPr>
          <w:rFonts w:ascii="Times New Roman" w:hAnsi="Times New Roman" w:cs="Times New Roman"/>
          <w:sz w:val="24"/>
          <w:szCs w:val="24"/>
        </w:rPr>
      </w:pPr>
    </w:p>
    <w:p w14:paraId="2D215B44">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7.3.5 apresentar desconformidade com quaisquer outras exigências deste Edital ou seus anexos, desde que insanável.</w:t>
      </w:r>
    </w:p>
    <w:p w14:paraId="73B70349">
      <w:pPr>
        <w:pStyle w:val="99"/>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7.4 A desclassificação será sempre fundamentada e registrada no sistema, com acompanhamento por todos os participantes.</w:t>
      </w:r>
    </w:p>
    <w:p w14:paraId="4F060194">
      <w:pPr>
        <w:pStyle w:val="99"/>
        <w:spacing w:before="288" w:beforeLines="120" w:after="288" w:afterLines="120" w:line="288" w:lineRule="auto"/>
        <w:ind w:left="0" w:firstLine="0"/>
        <w:contextualSpacing/>
        <w:rPr>
          <w:rFonts w:ascii="Times New Roman" w:hAnsi="Times New Roman" w:cs="Times New Roman"/>
          <w:sz w:val="24"/>
          <w:szCs w:val="24"/>
        </w:rPr>
      </w:pPr>
    </w:p>
    <w:p w14:paraId="3477608F">
      <w:pPr>
        <w:pStyle w:val="99"/>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 xml:space="preserve">7.5 É indício de inexequibilidade das propostas valores inferiores a 50% (cinquenta por cento) do valor orçado pela Administração, conforme art. 59 da Lei 14.133/2021 e Instrução Normativa/ME 73/2022. </w:t>
      </w:r>
    </w:p>
    <w:p w14:paraId="62C026F6">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7.5.1 A inexequibilidade, na hipótese de que trata o </w:t>
      </w:r>
      <w:r>
        <w:rPr>
          <w:rFonts w:ascii="Times New Roman" w:hAnsi="Times New Roman" w:cs="Times New Roman"/>
          <w:i/>
          <w:iCs/>
          <w:sz w:val="24"/>
          <w:szCs w:val="24"/>
        </w:rPr>
        <w:t>caput</w:t>
      </w:r>
      <w:r>
        <w:rPr>
          <w:rFonts w:ascii="Times New Roman" w:hAnsi="Times New Roman" w:cs="Times New Roman"/>
          <w:sz w:val="24"/>
          <w:szCs w:val="24"/>
        </w:rPr>
        <w:t>, só será considerada após diligência do Pregoeiro, que comprove:</w:t>
      </w:r>
    </w:p>
    <w:p w14:paraId="00A3A37B">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7.5.1.1 que o custo do licitante ultrapassa o valor da proposta; e</w:t>
      </w:r>
    </w:p>
    <w:p w14:paraId="20C35FAE">
      <w:pPr>
        <w:pStyle w:val="120"/>
        <w:spacing w:before="288" w:beforeLines="120" w:after="288" w:afterLines="120" w:line="288" w:lineRule="auto"/>
        <w:ind w:left="0"/>
        <w:contextualSpacing/>
        <w:rPr>
          <w:rFonts w:ascii="Times New Roman" w:hAnsi="Times New Roman" w:cs="Times New Roman"/>
          <w:sz w:val="24"/>
          <w:szCs w:val="24"/>
        </w:rPr>
      </w:pPr>
    </w:p>
    <w:p w14:paraId="023A6052">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7.5.1.2 inexistirem custos de oportunidade capazes de justificar o vulto da oferta.</w:t>
      </w:r>
    </w:p>
    <w:p w14:paraId="148DDB0F">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7.6 Se houver indícios de inexequibilidade da proposta de preço, ou em caso da necessidade de esclarecimentos complementares, poderão ser efetuadas diligências, para que a empresa comprove a exequibilidade da proposta.</w:t>
      </w:r>
    </w:p>
    <w:p w14:paraId="21197F32">
      <w:pPr>
        <w:pStyle w:val="99"/>
        <w:spacing w:before="288" w:beforeLines="120" w:after="288" w:afterLines="120" w:line="288" w:lineRule="auto"/>
        <w:ind w:left="0" w:firstLine="0"/>
        <w:contextualSpacing/>
        <w:rPr>
          <w:rFonts w:ascii="Times New Roman" w:hAnsi="Times New Roman" w:cs="Times New Roman"/>
          <w:sz w:val="24"/>
          <w:szCs w:val="24"/>
        </w:rPr>
      </w:pPr>
    </w:p>
    <w:p w14:paraId="6A315E7E">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302E83F">
      <w:pPr>
        <w:pStyle w:val="99"/>
        <w:spacing w:before="288" w:beforeLines="120" w:after="288" w:afterLines="120" w:line="288" w:lineRule="auto"/>
        <w:ind w:left="0" w:firstLine="0"/>
        <w:contextualSpacing/>
        <w:rPr>
          <w:rFonts w:ascii="Times New Roman" w:hAnsi="Times New Roman" w:cs="Times New Roman"/>
          <w:sz w:val="24"/>
          <w:szCs w:val="24"/>
        </w:rPr>
      </w:pPr>
    </w:p>
    <w:p w14:paraId="21947A3A">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821C588">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7.8.1 O ajuste de que trata este dispositivo se limita a sanar erros ou falhas que não alterem a substância das propostas.</w:t>
      </w:r>
    </w:p>
    <w:p w14:paraId="22A3E7AC">
      <w:pPr>
        <w:pStyle w:val="103"/>
        <w:spacing w:before="288" w:beforeLines="120" w:after="288" w:afterLines="120" w:line="288" w:lineRule="auto"/>
        <w:ind w:left="0" w:firstLine="0"/>
        <w:contextualSpacing/>
        <w:rPr>
          <w:rFonts w:ascii="Times New Roman" w:hAnsi="Times New Roman" w:cs="Times New Roman"/>
          <w:sz w:val="24"/>
          <w:szCs w:val="24"/>
        </w:rPr>
      </w:pPr>
    </w:p>
    <w:p w14:paraId="04FB6F3B">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7.8.2 Considera-se erro no preenchimento da planilha passível de correção a indicação de recolhimento de impostos e contribuições na forma do Simples Nacional, quando não cabível esse regime.</w:t>
      </w:r>
    </w:p>
    <w:p w14:paraId="3CE6D152">
      <w:pPr>
        <w:pStyle w:val="99"/>
        <w:spacing w:before="288" w:beforeLines="120" w:after="288" w:afterLines="120" w:line="288" w:lineRule="auto"/>
        <w:ind w:left="0" w:firstLine="0"/>
        <w:contextualSpacing/>
        <w:rPr>
          <w:rFonts w:ascii="Times New Roman" w:hAnsi="Times New Roman" w:cs="Times New Roman"/>
          <w:sz w:val="24"/>
          <w:szCs w:val="24"/>
          <w:lang w:eastAsia="en-US"/>
        </w:rPr>
      </w:pPr>
      <w:r>
        <w:rPr>
          <w:rFonts w:ascii="Times New Roman" w:hAnsi="Times New Roman" w:cs="Times New Roman"/>
          <w:sz w:val="24"/>
          <w:szCs w:val="24"/>
          <w:lang w:eastAsia="en-US"/>
        </w:rPr>
        <w:t xml:space="preserve">7.9 Para fins de análise da proposta quanto ao cumprimento </w:t>
      </w:r>
      <w:r>
        <w:rPr>
          <w:rFonts w:ascii="Times New Roman" w:hAnsi="Times New Roman" w:cs="Times New Roman"/>
          <w:sz w:val="24"/>
          <w:szCs w:val="24"/>
        </w:rPr>
        <w:t>das</w:t>
      </w:r>
      <w:r>
        <w:rPr>
          <w:rFonts w:ascii="Times New Roman" w:hAnsi="Times New Roman" w:cs="Times New Roman"/>
          <w:sz w:val="24"/>
          <w:szCs w:val="24"/>
          <w:lang w:eastAsia="en-US"/>
        </w:rPr>
        <w:t xml:space="preserve"> especificações do objeto, poderá ser colhida a </w:t>
      </w:r>
      <w:r>
        <w:rPr>
          <w:rFonts w:ascii="Times New Roman" w:hAnsi="Times New Roman" w:cs="Times New Roman"/>
          <w:sz w:val="24"/>
          <w:szCs w:val="24"/>
        </w:rPr>
        <w:t>manifestação</w:t>
      </w:r>
      <w:r>
        <w:rPr>
          <w:rFonts w:ascii="Times New Roman" w:hAnsi="Times New Roman" w:cs="Times New Roman"/>
          <w:sz w:val="24"/>
          <w:szCs w:val="24"/>
          <w:lang w:eastAsia="en-US"/>
        </w:rPr>
        <w:t xml:space="preserve"> escrita do setor requisitante da área especializada no objeto.</w:t>
      </w:r>
    </w:p>
    <w:p w14:paraId="7DF91B0A">
      <w:pPr>
        <w:pStyle w:val="99"/>
        <w:spacing w:before="288" w:beforeLines="120" w:after="288" w:afterLines="120" w:line="288" w:lineRule="auto"/>
        <w:ind w:left="0" w:firstLine="0"/>
        <w:contextualSpacing/>
        <w:rPr>
          <w:rFonts w:ascii="Times New Roman" w:hAnsi="Times New Roman" w:cs="Times New Roman"/>
          <w:sz w:val="24"/>
          <w:szCs w:val="24"/>
        </w:rPr>
      </w:pPr>
    </w:p>
    <w:p w14:paraId="588F502F">
      <w:pPr>
        <w:pStyle w:val="99"/>
        <w:spacing w:before="288" w:beforeLines="120" w:after="288" w:afterLines="120" w:line="288" w:lineRule="auto"/>
        <w:ind w:left="0" w:firstLine="0"/>
        <w:contextualSpacing/>
        <w:rPr>
          <w:rFonts w:ascii="Times New Roman" w:hAnsi="Times New Roman" w:cs="Times New Roman"/>
          <w:b/>
          <w:bCs/>
          <w:sz w:val="24"/>
          <w:szCs w:val="24"/>
          <w:lang w:eastAsia="ar-SA"/>
        </w:rPr>
      </w:pPr>
      <w:r>
        <w:rPr>
          <w:rFonts w:ascii="Times New Roman" w:hAnsi="Times New Roman" w:cs="Times New Roman"/>
          <w:sz w:val="24"/>
          <w:szCs w:val="24"/>
        </w:rPr>
        <w:t xml:space="preserve">7.10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6"/>
          <w:rFonts w:ascii="Times New Roman" w:hAnsi="Times New Roman" w:cs="Times New Roman" w:eastAsiaTheme="minorHAnsi"/>
          <w:color w:val="auto"/>
          <w:sz w:val="24"/>
          <w:szCs w:val="24"/>
        </w:rPr>
        <w:t>art. 14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legislação correlata e no item 3.9 do Edital, </w:t>
      </w:r>
      <w:r>
        <w:rPr>
          <w:rFonts w:ascii="Times New Roman" w:hAnsi="Times New Roman" w:cs="Times New Roman"/>
          <w:color w:val="auto"/>
          <w:sz w:val="24"/>
          <w:szCs w:val="24"/>
          <w:lang w:eastAsia="ar-SA"/>
        </w:rPr>
        <w:t>especialmente quanto à existência de sanção que impeça a participação no certame ou a futura contratação,</w:t>
      </w:r>
      <w:r>
        <w:rPr>
          <w:rFonts w:ascii="Times New Roman" w:hAnsi="Times New Roman" w:cs="Times New Roman"/>
          <w:sz w:val="24"/>
          <w:szCs w:val="24"/>
          <w:lang w:eastAsia="ar-SA"/>
        </w:rPr>
        <w:t xml:space="preserve"> mediante a consulta aos seguintes cadastros:</w:t>
      </w:r>
    </w:p>
    <w:p w14:paraId="0D03F72A">
      <w:pPr>
        <w:pStyle w:val="61"/>
        <w:spacing w:before="288" w:beforeLines="120" w:after="288" w:afterLines="120" w:line="288" w:lineRule="auto"/>
        <w:ind w:left="0"/>
        <w:jc w:val="both"/>
        <w:rPr>
          <w:sz w:val="24"/>
          <w:szCs w:val="24"/>
          <w:lang w:eastAsia="ar-SA"/>
        </w:rPr>
      </w:pPr>
      <w:r>
        <w:rPr>
          <w:sz w:val="24"/>
          <w:szCs w:val="24"/>
          <w:lang w:eastAsia="ar-SA"/>
        </w:rPr>
        <w:t xml:space="preserve">a) SICAF;  </w:t>
      </w:r>
    </w:p>
    <w:p w14:paraId="6C2DC2CC">
      <w:pPr>
        <w:pStyle w:val="61"/>
        <w:spacing w:before="288" w:beforeLines="120" w:after="288" w:afterLines="120" w:line="288" w:lineRule="auto"/>
        <w:ind w:left="0"/>
        <w:jc w:val="both"/>
        <w:rPr>
          <w:sz w:val="24"/>
          <w:szCs w:val="24"/>
          <w:lang w:eastAsia="ar-SA"/>
        </w:rPr>
      </w:pPr>
    </w:p>
    <w:p w14:paraId="32970352">
      <w:pPr>
        <w:pStyle w:val="61"/>
        <w:spacing w:before="288" w:beforeLines="120" w:after="288" w:afterLines="120" w:line="288" w:lineRule="auto"/>
        <w:ind w:left="0"/>
        <w:jc w:val="both"/>
        <w:rPr>
          <w:sz w:val="24"/>
          <w:szCs w:val="24"/>
          <w:lang w:eastAsia="ar-SA"/>
        </w:rPr>
      </w:pPr>
      <w:r>
        <w:rPr>
          <w:sz w:val="24"/>
          <w:szCs w:val="24"/>
          <w:lang w:eastAsia="ar-SA"/>
        </w:rPr>
        <w:t>b)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6"/>
          <w:rFonts w:eastAsiaTheme="minorHAnsi"/>
          <w:sz w:val="24"/>
          <w:szCs w:val="24"/>
          <w:lang w:eastAsia="ar-SA"/>
        </w:rPr>
        <w:t>https://www.portaltransparencia.gov.br/sancoes/ceis</w:t>
      </w:r>
      <w:r>
        <w:rPr>
          <w:rStyle w:val="16"/>
          <w:rFonts w:eastAsiaTheme="minorHAnsi"/>
          <w:sz w:val="24"/>
          <w:szCs w:val="24"/>
          <w:lang w:eastAsia="ar-SA"/>
        </w:rPr>
        <w:fldChar w:fldCharType="end"/>
      </w:r>
      <w:r>
        <w:rPr>
          <w:sz w:val="24"/>
          <w:szCs w:val="24"/>
          <w:lang w:eastAsia="ar-SA"/>
        </w:rPr>
        <w:t xml:space="preserve">); </w:t>
      </w:r>
    </w:p>
    <w:p w14:paraId="66673A54">
      <w:pPr>
        <w:pStyle w:val="61"/>
        <w:spacing w:before="288" w:beforeLines="120" w:after="288" w:afterLines="120" w:line="288" w:lineRule="auto"/>
        <w:ind w:left="0"/>
        <w:jc w:val="both"/>
        <w:rPr>
          <w:sz w:val="24"/>
          <w:szCs w:val="24"/>
          <w:lang w:eastAsia="ar-SA"/>
        </w:rPr>
      </w:pPr>
    </w:p>
    <w:p w14:paraId="213584AE">
      <w:pPr>
        <w:pStyle w:val="61"/>
        <w:spacing w:before="288" w:beforeLines="120" w:after="288" w:afterLines="120" w:line="288" w:lineRule="auto"/>
        <w:ind w:left="0"/>
        <w:jc w:val="both"/>
        <w:rPr>
          <w:sz w:val="24"/>
          <w:szCs w:val="24"/>
          <w:lang w:eastAsia="ar-SA"/>
        </w:rPr>
      </w:pPr>
      <w:r>
        <w:rPr>
          <w:sz w:val="24"/>
          <w:szCs w:val="24"/>
          <w:lang w:eastAsia="ar-SA"/>
        </w:rPr>
        <w:t>c) Cadastro Nacional de Condenações Cíveis por Atos de Improbidade Administrativa, mantido pelo Conselho Nacional de Justiça (www.cnj.jus.br/improbidade_adm/consultar_requerido.php);</w:t>
      </w:r>
    </w:p>
    <w:p w14:paraId="1D2FCAB9">
      <w:pPr>
        <w:pStyle w:val="61"/>
        <w:spacing w:before="288" w:beforeLines="120" w:after="288" w:afterLines="120" w:line="288" w:lineRule="auto"/>
        <w:ind w:left="0"/>
        <w:jc w:val="both"/>
        <w:rPr>
          <w:sz w:val="24"/>
          <w:szCs w:val="24"/>
          <w:lang w:eastAsia="ar-SA"/>
        </w:rPr>
      </w:pPr>
    </w:p>
    <w:p w14:paraId="4D80E7EF">
      <w:pPr>
        <w:pStyle w:val="61"/>
        <w:spacing w:before="288" w:beforeLines="120" w:after="288" w:afterLines="120" w:line="288" w:lineRule="auto"/>
        <w:ind w:left="0"/>
        <w:jc w:val="both"/>
        <w:rPr>
          <w:sz w:val="24"/>
          <w:szCs w:val="24"/>
          <w:lang w:eastAsia="ar-SA"/>
        </w:rPr>
      </w:pPr>
      <w:r>
        <w:rPr>
          <w:sz w:val="24"/>
          <w:szCs w:val="24"/>
          <w:lang w:eastAsia="ar-SA"/>
        </w:rPr>
        <w:t>d)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6"/>
          <w:rFonts w:eastAsiaTheme="minorHAnsi"/>
          <w:sz w:val="24"/>
          <w:szCs w:val="24"/>
          <w:lang w:eastAsia="ar-SA"/>
        </w:rPr>
        <w:t>https://www.portaltransparencia.gov.br/sancoes/cnep</w:t>
      </w:r>
      <w:r>
        <w:rPr>
          <w:rStyle w:val="16"/>
          <w:rFonts w:eastAsiaTheme="minorHAnsi"/>
          <w:sz w:val="24"/>
          <w:szCs w:val="24"/>
          <w:lang w:eastAsia="ar-SA"/>
        </w:rPr>
        <w:fldChar w:fldCharType="end"/>
      </w:r>
      <w:r>
        <w:rPr>
          <w:sz w:val="24"/>
          <w:szCs w:val="24"/>
          <w:lang w:eastAsia="ar-SA"/>
        </w:rPr>
        <w:t>);</w:t>
      </w:r>
    </w:p>
    <w:p w14:paraId="654E95A9">
      <w:pPr>
        <w:pStyle w:val="61"/>
        <w:spacing w:before="288" w:beforeLines="120" w:after="288" w:afterLines="120" w:line="288" w:lineRule="auto"/>
        <w:ind w:left="0"/>
        <w:jc w:val="both"/>
        <w:rPr>
          <w:sz w:val="24"/>
          <w:szCs w:val="24"/>
          <w:lang w:eastAsia="ar-SA"/>
        </w:rPr>
      </w:pPr>
    </w:p>
    <w:p w14:paraId="12D06C6F">
      <w:pPr>
        <w:pStyle w:val="61"/>
        <w:spacing w:before="288" w:beforeLines="120" w:after="288" w:afterLines="120" w:line="288" w:lineRule="auto"/>
        <w:ind w:left="0"/>
        <w:jc w:val="both"/>
        <w:rPr>
          <w:sz w:val="24"/>
          <w:szCs w:val="24"/>
          <w:lang w:eastAsia="ar-SA"/>
        </w:rPr>
      </w:pPr>
      <w:r>
        <w:rPr>
          <w:sz w:val="24"/>
          <w:szCs w:val="24"/>
          <w:lang w:eastAsia="ar-SA"/>
        </w:rPr>
        <w:t>e) Lista de inidôneos mantida pelo Tribunal de Contas da União; e</w:t>
      </w:r>
    </w:p>
    <w:p w14:paraId="60DC9159">
      <w:pPr>
        <w:pStyle w:val="61"/>
        <w:spacing w:before="288" w:beforeLines="120" w:after="288" w:afterLines="120" w:line="288" w:lineRule="auto"/>
        <w:ind w:left="0"/>
        <w:jc w:val="both"/>
        <w:rPr>
          <w:sz w:val="24"/>
          <w:szCs w:val="24"/>
          <w:lang w:eastAsia="ar-SA"/>
        </w:rPr>
      </w:pPr>
    </w:p>
    <w:p w14:paraId="08C0F7ED">
      <w:pPr>
        <w:pStyle w:val="61"/>
        <w:spacing w:before="288" w:beforeLines="120" w:after="288" w:afterLines="120" w:line="288" w:lineRule="auto"/>
        <w:ind w:left="0"/>
        <w:jc w:val="both"/>
        <w:rPr>
          <w:sz w:val="24"/>
          <w:szCs w:val="24"/>
          <w:lang w:eastAsia="ar-SA"/>
        </w:rPr>
      </w:pPr>
      <w:r>
        <w:rPr>
          <w:sz w:val="24"/>
          <w:szCs w:val="24"/>
          <w:lang w:eastAsia="ar-SA"/>
        </w:rPr>
        <w:t>f) módulo Registro de Ocorrências do Comprasnet.</w:t>
      </w:r>
    </w:p>
    <w:p w14:paraId="6DF3E47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Caso o licitante provisoriamente classificado em primeiro lugar tenha se utilizado de algum tratamento favorecido às ME/EPPs, o Pregoeiro verificará se faz jus ao benefício, em conformidade com os itens 3.8 e 4.5 deste Edital.</w:t>
      </w:r>
    </w:p>
    <w:p w14:paraId="40915B63">
      <w:pPr>
        <w:pStyle w:val="97"/>
        <w:spacing w:before="0" w:beforeAutospacing="0" w:after="0" w:afterAutospacing="0" w:line="288" w:lineRule="auto"/>
        <w:contextualSpacing/>
        <w:jc w:val="both"/>
        <w:rPr>
          <w:rFonts w:eastAsia="Calibri"/>
          <w:b/>
          <w:bCs/>
          <w:lang w:eastAsia="en-US"/>
        </w:rPr>
      </w:pPr>
      <w:r>
        <w:rPr>
          <w:rFonts w:eastAsia="Calibri"/>
          <w:b/>
          <w:bCs/>
          <w:lang w:eastAsia="en-US"/>
        </w:rPr>
        <w:t>8. DA FASE DE HABILITAÇÃO</w:t>
      </w:r>
    </w:p>
    <w:p w14:paraId="236BC600">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 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6"/>
          <w:rFonts w:ascii="Times New Roman" w:hAnsi="Times New Roman" w:cs="Times New Roman" w:eastAsiaTheme="minorHAnsi"/>
          <w:color w:val="auto"/>
          <w:sz w:val="24"/>
          <w:szCs w:val="24"/>
        </w:rPr>
        <w:t>art. 12 da Lei nº 8.429/1992</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7897AA17">
      <w:pPr>
        <w:pStyle w:val="99"/>
        <w:spacing w:before="288" w:beforeLines="120" w:after="288" w:afterLines="120" w:line="288" w:lineRule="auto"/>
        <w:ind w:left="0" w:firstLine="0"/>
        <w:contextualSpacing/>
        <w:rPr>
          <w:rFonts w:ascii="Times New Roman" w:hAnsi="Times New Roman" w:cs="Times New Roman"/>
          <w:sz w:val="24"/>
          <w:szCs w:val="24"/>
        </w:rPr>
      </w:pPr>
    </w:p>
    <w:p w14:paraId="6D65281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 Caso conste na Consulta de Situação do l</w:t>
      </w:r>
      <w:r>
        <w:rPr>
          <w:rFonts w:ascii="Times New Roman" w:hAnsi="Times New Roman" w:cs="Times New Roman"/>
          <w:color w:val="auto"/>
          <w:sz w:val="24"/>
          <w:szCs w:val="24"/>
        </w:rPr>
        <w:t xml:space="preserve">icitante </w:t>
      </w:r>
      <w:r>
        <w:rPr>
          <w:rFonts w:ascii="Times New Roman" w:hAnsi="Times New Roman" w:cs="Times New Roman"/>
          <w:sz w:val="24"/>
          <w:szCs w:val="24"/>
        </w:rPr>
        <w:t xml:space="preserve">a existência de Ocorrências Impeditivas Indiretas, o </w:t>
      </w:r>
      <w:r>
        <w:rPr>
          <w:rFonts w:ascii="Times New Roman" w:hAnsi="Times New Roman" w:cs="Times New Roman"/>
          <w:color w:val="auto"/>
          <w:sz w:val="24"/>
          <w:szCs w:val="24"/>
        </w:rPr>
        <w:t>Pregoeiro diligenciará para v</w:t>
      </w:r>
      <w:r>
        <w:rPr>
          <w:rFonts w:ascii="Times New Roman" w:hAnsi="Times New Roman" w:cs="Times New Roman"/>
          <w:sz w:val="24"/>
          <w:szCs w:val="24"/>
        </w:rPr>
        <w:t xml:space="preserve">erificar se houve fraude por parte das empresas apontadas no Relatório de Ocorrências Impeditivas Indiretas. </w:t>
      </w:r>
    </w:p>
    <w:p w14:paraId="5CC0F92A">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8.3.1 A tentativa de burla será verificada por meio dos vínculos societários, linhas de fornecimento similares, dentre outros. </w:t>
      </w:r>
    </w:p>
    <w:p w14:paraId="72239A3E">
      <w:pPr>
        <w:pStyle w:val="103"/>
        <w:spacing w:before="288" w:beforeLines="120" w:after="288" w:afterLines="120" w:line="288" w:lineRule="auto"/>
        <w:ind w:left="0" w:firstLine="0"/>
        <w:contextualSpacing/>
        <w:rPr>
          <w:rFonts w:ascii="Times New Roman" w:hAnsi="Times New Roman" w:cs="Times New Roman"/>
          <w:sz w:val="24"/>
          <w:szCs w:val="24"/>
        </w:rPr>
      </w:pPr>
    </w:p>
    <w:p w14:paraId="5AE1427E">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8.3.2 O licitante será convocado para manifestação previamente a uma eventual desclassificação. </w:t>
      </w:r>
    </w:p>
    <w:p w14:paraId="0EC0D34A">
      <w:pPr>
        <w:pStyle w:val="103"/>
        <w:spacing w:before="288" w:beforeLines="120" w:after="288" w:afterLines="120" w:line="288" w:lineRule="auto"/>
        <w:ind w:left="0" w:firstLine="0"/>
        <w:contextualSpacing/>
        <w:rPr>
          <w:rFonts w:ascii="Times New Roman" w:hAnsi="Times New Roman" w:cs="Times New Roman"/>
          <w:sz w:val="24"/>
          <w:szCs w:val="24"/>
        </w:rPr>
      </w:pPr>
    </w:p>
    <w:p w14:paraId="1676667F">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8.3.3 Constatada a existência de sanção, o licitante será reputado inabilitado, por falta de condição de participação.</w:t>
      </w:r>
    </w:p>
    <w:p w14:paraId="5746DAD8">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8.5 Será exigida a apresentação dos documentos de habilitação que trata o </w:t>
      </w:r>
      <w:r>
        <w:rPr>
          <w:rFonts w:ascii="Times New Roman" w:hAnsi="Times New Roman" w:cs="Times New Roman"/>
          <w:color w:val="auto"/>
          <w:sz w:val="24"/>
          <w:szCs w:val="24"/>
        </w:rPr>
        <w:t xml:space="preserve">Anexo referente aos requisitos de habilitação </w:t>
      </w:r>
      <w:r>
        <w:rPr>
          <w:rFonts w:ascii="Times New Roman" w:hAnsi="Times New Roman" w:cs="Times New Roman"/>
          <w:sz w:val="24"/>
          <w:szCs w:val="24"/>
        </w:rPr>
        <w:t>deste Edital apenas ao licitante vencedor.</w:t>
      </w:r>
    </w:p>
    <w:p w14:paraId="54467FF6">
      <w:pPr>
        <w:pStyle w:val="99"/>
        <w:spacing w:before="57" w:beforeLines="24" w:after="57" w:afterLines="24" w:line="288" w:lineRule="auto"/>
        <w:ind w:left="0" w:right="-2" w:firstLine="0"/>
        <w:contextualSpacing/>
        <w:rPr>
          <w:rFonts w:ascii="Times New Roman" w:hAnsi="Times New Roman" w:cs="Times New Roman"/>
          <w:color w:val="auto"/>
          <w:sz w:val="24"/>
          <w:szCs w:val="24"/>
        </w:rPr>
      </w:pPr>
      <w:bookmarkStart w:id="30" w:name="_Hlk178688754"/>
    </w:p>
    <w:p w14:paraId="2FA7E4FF">
      <w:pPr>
        <w:pStyle w:val="99"/>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8.6 Caso atendidas as condições de participação, a habilitação do licitante provisoriamente classificado em primeiro lugar será verificada pelo Pregoeiro por meio do registro cadastral no SICAF, quanto aos documentos por este abrangidos.</w:t>
      </w:r>
    </w:p>
    <w:p w14:paraId="5708E24D">
      <w:pPr>
        <w:pStyle w:val="10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8.6.1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ADE91BF">
      <w:pPr>
        <w:pStyle w:val="10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8.6.2 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14:paraId="178A03D6">
      <w:pPr>
        <w:pStyle w:val="10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8.6.3 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24C1EC1B">
      <w:pPr>
        <w:pStyle w:val="103"/>
        <w:spacing w:before="57" w:beforeLines="24" w:after="57" w:afterLines="24"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8.6.4 Somente haverá a necessidade de comprovação do preenchimento de requisitos mediante apresentação dos documentos originais não-digitais quando houver dúvida em relação à integridade do documento digital ou quando a lei expressamente o exigir.</w:t>
      </w:r>
    </w:p>
    <w:bookmarkEnd w:id="30"/>
    <w:p w14:paraId="3E8B8699">
      <w:pPr>
        <w:pStyle w:val="99"/>
        <w:spacing w:before="57" w:beforeLines="24" w:after="57" w:afterLines="24" w:line="288" w:lineRule="auto"/>
        <w:ind w:left="0" w:firstLine="0"/>
        <w:contextualSpacing/>
        <w:rPr>
          <w:rFonts w:ascii="Times New Roman" w:hAnsi="Times New Roman" w:cs="Times New Roman"/>
          <w:sz w:val="24"/>
          <w:szCs w:val="24"/>
        </w:rPr>
      </w:pPr>
    </w:p>
    <w:p w14:paraId="09B77DAB">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8.7 Após a apresentação dos documentos de habilitação, fica vedada a substituição ou a apresentação de novos documentos, salvo em sede de diligência, para:</w:t>
      </w:r>
    </w:p>
    <w:p w14:paraId="5F5CB3AE">
      <w:pPr>
        <w:pStyle w:val="99"/>
        <w:spacing w:before="57" w:beforeLines="24" w:after="57" w:afterLines="24" w:line="288" w:lineRule="auto"/>
        <w:ind w:left="0" w:firstLine="0"/>
        <w:contextualSpacing/>
        <w:rPr>
          <w:rFonts w:ascii="Times New Roman" w:hAnsi="Times New Roman" w:cs="Times New Roman"/>
          <w:sz w:val="24"/>
          <w:szCs w:val="24"/>
        </w:rPr>
      </w:pPr>
    </w:p>
    <w:p w14:paraId="0265FAA6">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1D4D5D04">
      <w:pPr>
        <w:pStyle w:val="99"/>
        <w:spacing w:before="57" w:beforeLines="24" w:after="57" w:afterLines="24" w:line="288" w:lineRule="auto"/>
        <w:ind w:left="0" w:firstLine="0"/>
        <w:contextualSpacing/>
        <w:rPr>
          <w:rFonts w:ascii="Times New Roman" w:hAnsi="Times New Roman" w:cs="Times New Roman"/>
          <w:sz w:val="24"/>
          <w:szCs w:val="24"/>
        </w:rPr>
      </w:pPr>
    </w:p>
    <w:p w14:paraId="3BF62A76">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atualização de documentos cuja validade tenha expirado após a data de recebimento das propostas.</w:t>
      </w:r>
    </w:p>
    <w:p w14:paraId="6DC7D0B3">
      <w:pPr>
        <w:pStyle w:val="99"/>
        <w:spacing w:before="57" w:beforeLines="24" w:after="57" w:afterLines="24" w:line="288" w:lineRule="auto"/>
        <w:ind w:left="0" w:firstLine="0"/>
        <w:contextualSpacing/>
        <w:rPr>
          <w:rFonts w:ascii="Times New Roman" w:hAnsi="Times New Roman" w:cs="Times New Roman"/>
          <w:sz w:val="24"/>
          <w:szCs w:val="24"/>
        </w:rPr>
      </w:pPr>
    </w:p>
    <w:p w14:paraId="259E4915">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4666D64">
      <w:pPr>
        <w:pStyle w:val="99"/>
        <w:spacing w:before="57" w:beforeLines="24" w:after="57" w:afterLines="24" w:line="288" w:lineRule="auto"/>
        <w:ind w:left="0" w:firstLine="0"/>
        <w:contextualSpacing/>
        <w:rPr>
          <w:rFonts w:ascii="Times New Roman" w:hAnsi="Times New Roman" w:cs="Times New Roman"/>
          <w:sz w:val="24"/>
          <w:szCs w:val="24"/>
        </w:rPr>
      </w:pPr>
    </w:p>
    <w:p w14:paraId="287F691A">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3AEFC0C5">
      <w:pPr>
        <w:pStyle w:val="103"/>
        <w:spacing w:before="57" w:beforeLines="24" w:after="57" w:afterLines="24" w:line="288" w:lineRule="auto"/>
        <w:ind w:left="0" w:firstLine="0"/>
        <w:contextualSpacing/>
        <w:rPr>
          <w:rFonts w:ascii="Times New Roman" w:hAnsi="Times New Roman" w:cs="Times New Roman"/>
          <w:sz w:val="24"/>
          <w:szCs w:val="24"/>
        </w:rPr>
      </w:pPr>
    </w:p>
    <w:p w14:paraId="1AC3137F">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8CF9F04">
      <w:pPr>
        <w:pStyle w:val="99"/>
        <w:spacing w:before="57" w:beforeLines="24" w:after="57" w:afterLines="24" w:line="288" w:lineRule="auto"/>
        <w:ind w:left="0" w:firstLine="0"/>
        <w:contextualSpacing/>
        <w:rPr>
          <w:rFonts w:ascii="Times New Roman" w:hAnsi="Times New Roman" w:cs="Times New Roman"/>
          <w:sz w:val="24"/>
          <w:szCs w:val="24"/>
        </w:rPr>
      </w:pPr>
    </w:p>
    <w:p w14:paraId="601438EA">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8.10 Constatado o atendimento às exigências de habilitação, o licitante será habilitado.</w:t>
      </w:r>
    </w:p>
    <w:p w14:paraId="02D84865">
      <w:pPr>
        <w:pStyle w:val="99"/>
        <w:spacing w:before="57" w:beforeLines="24" w:after="57" w:afterLines="24" w:line="288" w:lineRule="auto"/>
        <w:ind w:left="0" w:firstLine="0"/>
        <w:contextualSpacing/>
        <w:rPr>
          <w:rFonts w:ascii="Times New Roman" w:hAnsi="Times New Roman" w:cs="Times New Roman"/>
          <w:sz w:val="24"/>
          <w:szCs w:val="24"/>
        </w:rPr>
      </w:pPr>
    </w:p>
    <w:p w14:paraId="3E5E06EF">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 Somente serão disponibilizados para acesso público os documentos de habilitação do licitante cuja proposta atenda ao edital de licitação, após declarada sua habilitação. </w:t>
      </w:r>
    </w:p>
    <w:p w14:paraId="383CDA2A">
      <w:pPr>
        <w:pStyle w:val="99"/>
        <w:spacing w:before="57" w:beforeLines="24" w:after="57" w:afterLines="24" w:line="288" w:lineRule="auto"/>
        <w:ind w:left="0" w:firstLine="0"/>
        <w:contextualSpacing/>
        <w:rPr>
          <w:rFonts w:ascii="Times New Roman" w:hAnsi="Times New Roman" w:cs="Times New Roman"/>
          <w:sz w:val="24"/>
          <w:szCs w:val="24"/>
        </w:rPr>
      </w:pPr>
    </w:p>
    <w:p w14:paraId="118A57D9">
      <w:pPr>
        <w:pStyle w:val="99"/>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8.12 Não serão aceitos documentos de habilitação com indicação de CNPJ/CPF diferentes, salvo aqueles legalmente permitidos.</w:t>
      </w:r>
    </w:p>
    <w:p w14:paraId="0358EA77">
      <w:pPr>
        <w:pStyle w:val="99"/>
        <w:spacing w:before="57" w:beforeLines="24" w:after="57" w:afterLines="24" w:line="288" w:lineRule="auto"/>
        <w:ind w:left="0" w:firstLine="0"/>
        <w:contextualSpacing/>
        <w:rPr>
          <w:rFonts w:ascii="Times New Roman" w:hAnsi="Times New Roman" w:cs="Times New Roman"/>
          <w:color w:val="auto"/>
          <w:sz w:val="24"/>
          <w:szCs w:val="24"/>
        </w:rPr>
      </w:pPr>
    </w:p>
    <w:p w14:paraId="0527876A">
      <w:pPr>
        <w:pStyle w:val="103"/>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5882991D">
      <w:pPr>
        <w:pStyle w:val="103"/>
        <w:spacing w:before="57" w:beforeLines="24" w:after="57" w:afterLines="24" w:line="288" w:lineRule="auto"/>
        <w:ind w:left="0" w:firstLine="0"/>
        <w:contextualSpacing/>
        <w:rPr>
          <w:rFonts w:ascii="Times New Roman" w:hAnsi="Times New Roman" w:cs="Times New Roman"/>
          <w:color w:val="auto"/>
          <w:sz w:val="24"/>
          <w:szCs w:val="24"/>
        </w:rPr>
      </w:pPr>
    </w:p>
    <w:p w14:paraId="2538E2CD">
      <w:pPr>
        <w:pStyle w:val="103"/>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8.12.2 Serão aceitos registros de CNPJ de licitante matriz e filial com diferenças de números de documentos pertinentes ao CND e ao CRF/FGTS, quando for comprovada a centralização do recolhimento dessas contribuições.</w:t>
      </w:r>
    </w:p>
    <w:p w14:paraId="12619037">
      <w:pPr>
        <w:pStyle w:val="103"/>
        <w:spacing w:before="57" w:beforeLines="24" w:after="57" w:afterLines="24" w:line="288" w:lineRule="auto"/>
        <w:ind w:left="0" w:firstLine="0"/>
        <w:contextualSpacing/>
        <w:rPr>
          <w:rFonts w:ascii="Times New Roman" w:hAnsi="Times New Roman" w:cs="Times New Roman"/>
          <w:sz w:val="24"/>
          <w:szCs w:val="24"/>
        </w:rPr>
      </w:pPr>
    </w:p>
    <w:p w14:paraId="43E65B3B">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31" w:name="_Hlk154307107"/>
      <w:r>
        <w:rPr>
          <w:rFonts w:ascii="Times New Roman" w:hAnsi="Times New Roman" w:cs="Times New Roman"/>
          <w:sz w:val="24"/>
          <w:szCs w:val="24"/>
        </w:rPr>
        <w:t xml:space="preserve">8.13 A comprovação de regularidade fiscal e trabalhista das microempresas e das empresas de pequeno porte será exigida nos termos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7746CAAF">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71DA9D1F">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6ACAB0B6">
      <w:pPr>
        <w:pStyle w:val="99"/>
        <w:spacing w:before="57" w:beforeLines="24" w:after="57" w:afterLines="24" w:line="288" w:lineRule="auto"/>
        <w:ind w:left="0" w:firstLine="0"/>
        <w:contextualSpacing/>
        <w:rPr>
          <w:rFonts w:ascii="Times New Roman" w:hAnsi="Times New Roman" w:cs="Times New Roman"/>
          <w:sz w:val="24"/>
          <w:szCs w:val="24"/>
        </w:rPr>
      </w:pPr>
    </w:p>
    <w:p w14:paraId="7CEA1918">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das pessoas jurídicas, a comprovação relativa à habilitação jurídica, regularidade fiscal estadual, à Seguridade Social e ao FGTS e a regularidade perante a Justiça do Trabalho; e</w:t>
      </w:r>
    </w:p>
    <w:p w14:paraId="3BD1ABF9">
      <w:pPr>
        <w:pStyle w:val="99"/>
        <w:spacing w:before="57" w:beforeLines="24" w:after="57" w:afterLines="24" w:line="288" w:lineRule="auto"/>
        <w:ind w:left="0" w:firstLine="0"/>
        <w:contextualSpacing/>
        <w:rPr>
          <w:rFonts w:ascii="Times New Roman" w:hAnsi="Times New Roman" w:cs="Times New Roman"/>
          <w:sz w:val="24"/>
          <w:szCs w:val="24"/>
        </w:rPr>
      </w:pPr>
    </w:p>
    <w:p w14:paraId="75BF4BD7">
      <w:pPr>
        <w:pStyle w:val="99"/>
        <w:spacing w:before="57" w:beforeLines="24" w:after="57" w:afterLines="24"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b) das pessoas físicas, a comprovação da regularidade fiscal com a Fazenda </w:t>
      </w:r>
      <w:r>
        <w:rPr>
          <w:rFonts w:ascii="Times New Roman" w:hAnsi="Times New Roman" w:cs="Times New Roman"/>
          <w:color w:val="000000" w:themeColor="text1"/>
          <w:sz w:val="24"/>
          <w:szCs w:val="24"/>
          <w14:textFill>
            <w14:solidFill>
              <w14:schemeClr w14:val="tx1"/>
            </w14:solidFill>
          </w14:textFill>
        </w:rPr>
        <w:t>Estadual, c</w:t>
      </w:r>
      <w:r>
        <w:rPr>
          <w:rFonts w:ascii="Times New Roman" w:hAnsi="Times New Roman" w:cs="Times New Roman"/>
          <w:color w:val="000000" w:themeColor="text1"/>
          <w:sz w:val="24"/>
          <w:szCs w:val="24"/>
          <w:lang w:eastAsia="en-US"/>
          <w14:textFill>
            <w14:solidFill>
              <w14:schemeClr w14:val="tx1"/>
            </w14:solidFill>
          </w14:textFill>
        </w:rPr>
        <w:t>onforme art. 17, §2º, do Decreto nº 45/2025.</w:t>
      </w:r>
    </w:p>
    <w:p w14:paraId="46CD75E2">
      <w:pPr>
        <w:pStyle w:val="99"/>
        <w:spacing w:before="57" w:beforeLines="24" w:after="57" w:afterLines="24" w:line="288" w:lineRule="auto"/>
        <w:ind w:left="0" w:firstLine="0"/>
        <w:contextualSpacing/>
        <w:rPr>
          <w:rFonts w:ascii="Times New Roman" w:hAnsi="Times New Roman" w:cs="Times New Roman"/>
          <w:sz w:val="24"/>
          <w:szCs w:val="24"/>
        </w:rPr>
      </w:pPr>
    </w:p>
    <w:bookmarkEnd w:id="31"/>
    <w:p w14:paraId="533045D4">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 Quando permitida a participação de empresas estrangeiras que não funcionem no País, as exigências de habilitação serão atendidas mediante documentos equivalentes, inicialmente apresentados em tradução livre.</w:t>
      </w:r>
    </w:p>
    <w:p w14:paraId="7DF3B0FA">
      <w:pPr>
        <w:pStyle w:val="99"/>
        <w:spacing w:before="57" w:beforeLines="24" w:after="57" w:afterLines="24" w:line="288" w:lineRule="auto"/>
        <w:ind w:left="0" w:firstLine="0"/>
        <w:contextualSpacing/>
        <w:rPr>
          <w:rFonts w:ascii="Times New Roman" w:hAnsi="Times New Roman" w:cs="Times New Roman"/>
          <w:sz w:val="24"/>
          <w:szCs w:val="24"/>
        </w:rPr>
      </w:pPr>
    </w:p>
    <w:p w14:paraId="08D9544B">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8.15.1 O licitante deverá ter procurador residente e domiciliado no Brasil, com poderes para receber citação, intimação e responder administrativa e judicialmente por seus atos, juntando o instrumento de mandato com os documentos de habilitação.</w:t>
      </w:r>
    </w:p>
    <w:p w14:paraId="14838343">
      <w:pPr>
        <w:pStyle w:val="103"/>
        <w:spacing w:before="57" w:beforeLines="24" w:after="57" w:afterLines="24" w:line="288" w:lineRule="auto"/>
        <w:ind w:left="0" w:firstLine="0"/>
        <w:contextualSpacing/>
        <w:rPr>
          <w:rFonts w:ascii="Times New Roman" w:hAnsi="Times New Roman" w:cs="Times New Roman"/>
          <w:sz w:val="24"/>
          <w:szCs w:val="24"/>
        </w:rPr>
      </w:pPr>
    </w:p>
    <w:p w14:paraId="144F55CB">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8.15.2 Na hipótese de o licitante vencedor ser empresa estrangeira que não funcione no País, para fins de assinatura do contrato ou da ata de registro de preços, os documentos exigidos para a habilitação serão traduzidos por tradutor juramentado no País e apostilados, ou consularizados pelos respectivos consulados ou embaixadas.</w:t>
      </w:r>
    </w:p>
    <w:p w14:paraId="429B05EB">
      <w:pPr>
        <w:pStyle w:val="103"/>
        <w:spacing w:before="57" w:beforeLines="24" w:after="57" w:afterLines="24" w:line="288" w:lineRule="auto"/>
        <w:ind w:left="0" w:firstLine="0"/>
        <w:contextualSpacing/>
        <w:rPr>
          <w:rFonts w:ascii="Times New Roman" w:hAnsi="Times New Roman" w:cs="Times New Roman"/>
          <w:sz w:val="24"/>
          <w:szCs w:val="24"/>
        </w:rPr>
      </w:pPr>
    </w:p>
    <w:p w14:paraId="503ED28D">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5203E52">
      <w:pPr>
        <w:pStyle w:val="99"/>
        <w:spacing w:before="57" w:beforeLines="24" w:after="57" w:afterLines="24" w:line="288" w:lineRule="auto"/>
        <w:ind w:left="0" w:firstLine="0"/>
        <w:contextualSpacing/>
        <w:rPr>
          <w:rFonts w:ascii="Times New Roman" w:hAnsi="Times New Roman" w:cs="Times New Roman"/>
          <w:sz w:val="24"/>
          <w:szCs w:val="24"/>
        </w:rPr>
      </w:pPr>
    </w:p>
    <w:p w14:paraId="11039420">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8.16.1 Se o consórcio não for formado integralmente por microempresas ou empresas de pequeno porte e forem exigidos neste Edital requisitos de habilitação econômico-financeira, haverá um acréscimo </w:t>
      </w:r>
      <w:r>
        <w:rPr>
          <w:rFonts w:ascii="Times New Roman" w:hAnsi="Times New Roman" w:cs="Times New Roman"/>
          <w:color w:val="000000" w:themeColor="text1"/>
          <w:sz w:val="24"/>
          <w:szCs w:val="24"/>
          <w14:textFill>
            <w14:solidFill>
              <w14:schemeClr w14:val="tx1"/>
            </w14:solidFill>
          </w14:textFill>
        </w:rPr>
        <w:t xml:space="preserve">de 10% A 30 % </w:t>
      </w:r>
      <w:r>
        <w:rPr>
          <w:rFonts w:ascii="Times New Roman" w:hAnsi="Times New Roman" w:cs="Times New Roman"/>
          <w:sz w:val="24"/>
          <w:szCs w:val="24"/>
        </w:rPr>
        <w:t>para o consórcio em relação ao valor exigido para os licitantes individuais.</w:t>
      </w:r>
    </w:p>
    <w:p w14:paraId="51565C47">
      <w:pPr>
        <w:pStyle w:val="103"/>
        <w:spacing w:before="57" w:beforeLines="24" w:after="57" w:afterLines="24" w:line="288" w:lineRule="auto"/>
        <w:ind w:left="0" w:firstLine="0"/>
        <w:contextualSpacing/>
        <w:rPr>
          <w:rFonts w:ascii="Times New Roman" w:hAnsi="Times New Roman" w:cs="Times New Roman"/>
          <w:sz w:val="24"/>
          <w:szCs w:val="24"/>
        </w:rPr>
      </w:pPr>
    </w:p>
    <w:p w14:paraId="791EE2A9">
      <w:pPr>
        <w:spacing w:line="288" w:lineRule="auto"/>
        <w:contextualSpacing/>
        <w:jc w:val="both"/>
        <w:rPr>
          <w:color w:val="000000"/>
          <w:sz w:val="24"/>
          <w:szCs w:val="24"/>
        </w:rPr>
      </w:pPr>
      <w:r>
        <w:rPr>
          <w:color w:val="000000"/>
          <w:sz w:val="24"/>
          <w:szCs w:val="24"/>
        </w:rPr>
        <w:t>8.17 As certidões valerão nos prazos que lhes são próprios. Inexistindo esse prazo, reputar-se-ão válidas por 90 (noventa) dias, contados de sua expedição.</w:t>
      </w:r>
    </w:p>
    <w:p w14:paraId="30EA698D">
      <w:pPr>
        <w:spacing w:line="288" w:lineRule="auto"/>
        <w:contextualSpacing/>
        <w:jc w:val="both"/>
        <w:rPr>
          <w:color w:val="000000"/>
          <w:sz w:val="24"/>
          <w:szCs w:val="24"/>
        </w:rPr>
      </w:pPr>
    </w:p>
    <w:p w14:paraId="2BE01F50">
      <w:pPr>
        <w:spacing w:line="288" w:lineRule="auto"/>
        <w:contextualSpacing/>
        <w:jc w:val="both"/>
        <w:rPr>
          <w:color w:val="000000"/>
          <w:sz w:val="24"/>
          <w:szCs w:val="24"/>
        </w:rPr>
      </w:pPr>
      <w:r>
        <w:rPr>
          <w:color w:val="000000"/>
          <w:sz w:val="24"/>
          <w:szCs w:val="24"/>
        </w:rPr>
        <w:t>8.17.1 Caso seja feita a opção pela opção da certidão referida no item 8.6.2, esta seguirá, como prazo de validade, a sistemática própria estabelecida em âmbito federal constante do SICAF.</w:t>
      </w:r>
    </w:p>
    <w:p w14:paraId="501E18C7">
      <w:pPr>
        <w:pStyle w:val="101"/>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 DA IMPUGNAÇÃO AO EDITAL, DO PEDIDO DE ESCLARECIMENTO E DOS RECURSOS</w:t>
      </w:r>
    </w:p>
    <w:p w14:paraId="2DA9668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devendo protocolar o pedido até 3 (três) dias úteis antes da data da abertura do certame.</w:t>
      </w:r>
    </w:p>
    <w:p w14:paraId="56CF39E2">
      <w:pPr>
        <w:pStyle w:val="99"/>
        <w:spacing w:before="288" w:beforeLines="120" w:after="288" w:afterLines="120" w:line="288" w:lineRule="auto"/>
        <w:ind w:left="0" w:firstLine="0"/>
        <w:contextualSpacing/>
        <w:rPr>
          <w:rFonts w:ascii="Times New Roman" w:hAnsi="Times New Roman" w:cs="Times New Roman"/>
          <w:sz w:val="24"/>
          <w:szCs w:val="24"/>
        </w:rPr>
      </w:pPr>
    </w:p>
    <w:p w14:paraId="66EC8211">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 A impugnação e o pedido de esclarecimento poderão ser realizados por forma eletrônica, através do e-mail funcional </w:t>
      </w:r>
      <w:r>
        <w:rPr>
          <w:rFonts w:ascii="Times New Roman" w:hAnsi="Times New Roman" w:cs="Times New Roman"/>
          <w:b/>
          <w:bCs/>
          <w:i/>
          <w:iCs/>
          <w:sz w:val="24"/>
          <w:szCs w:val="24"/>
          <w:u w:val="single"/>
        </w:rPr>
        <w:t>licitacoespmvrj@gmail.com</w:t>
      </w:r>
      <w:r>
        <w:rPr>
          <w:rFonts w:ascii="Times New Roman" w:hAnsi="Times New Roman" w:cs="Times New Roman"/>
          <w:color w:val="auto"/>
          <w:sz w:val="24"/>
          <w:szCs w:val="24"/>
        </w:rPr>
        <w:t xml:space="preserve">, </w:t>
      </w:r>
      <w:r>
        <w:rPr>
          <w:rFonts w:ascii="Times New Roman" w:hAnsi="Times New Roman" w:cs="Times New Roman"/>
          <w:sz w:val="24"/>
          <w:szCs w:val="24"/>
        </w:rPr>
        <w:t>mediante confirmação de recebimento.</w:t>
      </w:r>
    </w:p>
    <w:p w14:paraId="1A46C6C1">
      <w:pPr>
        <w:pStyle w:val="99"/>
        <w:spacing w:before="288" w:beforeLines="120" w:after="288" w:afterLines="120" w:line="288" w:lineRule="auto"/>
        <w:ind w:left="0" w:firstLine="0"/>
        <w:contextualSpacing/>
        <w:rPr>
          <w:rFonts w:ascii="Times New Roman" w:hAnsi="Times New Roman" w:cs="Times New Roman"/>
          <w:sz w:val="24"/>
          <w:szCs w:val="24"/>
        </w:rPr>
      </w:pPr>
    </w:p>
    <w:p w14:paraId="2843A84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9.1.2 A resposta à impugnação ou ao pedido de esclarecimento será divulgado em sítio eletrônico oficial no prazo de até 3 (três) dias úteis, limitado ao último dia útil anterior à data da abertura do certame.</w:t>
      </w:r>
    </w:p>
    <w:p w14:paraId="469AFD7D">
      <w:pPr>
        <w:pStyle w:val="99"/>
        <w:spacing w:before="288" w:beforeLines="120" w:after="288" w:afterLines="120" w:line="288" w:lineRule="auto"/>
        <w:ind w:left="0" w:firstLine="0"/>
        <w:contextualSpacing/>
        <w:rPr>
          <w:rFonts w:ascii="Times New Roman" w:hAnsi="Times New Roman" w:cs="Times New Roman"/>
          <w:sz w:val="24"/>
          <w:szCs w:val="24"/>
        </w:rPr>
      </w:pPr>
    </w:p>
    <w:p w14:paraId="42FB7482">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9.1.3 As impugnações e pedidos de esclarecimentos não suspendem os prazos previstos no certame.</w:t>
      </w:r>
    </w:p>
    <w:p w14:paraId="43B17FB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9.1.4 A concessão de efeito suspensivo à impugnação é medida excepcional e deverá ser motivada pela autoridade competente, nos autos do processo de licitação.</w:t>
      </w:r>
    </w:p>
    <w:p w14:paraId="0B7E275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9.1.5 Modificado substancialmente o edital como resultado da resposta à impugnação ou ao pedido de esclarecimento, será definida e publicada nova data para a realização do certame.</w:t>
      </w:r>
    </w:p>
    <w:p w14:paraId="01B7F87F">
      <w:pPr>
        <w:pStyle w:val="99"/>
        <w:spacing w:before="57" w:beforeLines="24" w:after="57" w:afterLines="24" w:line="288" w:lineRule="auto"/>
        <w:ind w:left="0" w:firstLine="0"/>
        <w:contextualSpacing/>
        <w:rPr>
          <w:rFonts w:ascii="Times New Roman" w:hAnsi="Times New Roman" w:cs="Times New Roman"/>
          <w:sz w:val="24"/>
          <w:szCs w:val="24"/>
        </w:rPr>
      </w:pPr>
    </w:p>
    <w:p w14:paraId="09C4C2FB">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5C78DC6B">
      <w:pPr>
        <w:pStyle w:val="103"/>
        <w:spacing w:before="57" w:beforeLines="24" w:after="57" w:afterLines="24" w:line="288" w:lineRule="auto"/>
        <w:ind w:left="0" w:firstLine="0"/>
        <w:contextualSpacing/>
        <w:rPr>
          <w:rFonts w:ascii="Times New Roman" w:hAnsi="Times New Roman" w:cs="Times New Roman"/>
          <w:sz w:val="24"/>
          <w:szCs w:val="24"/>
        </w:rPr>
      </w:pPr>
    </w:p>
    <w:p w14:paraId="23ACDF69">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9.2.1 As razões do recurso deverão ser apresentadas em momento único, no prazo de três dias úteis, em campo próprio do sistema eletrônico de contratações ou, em sua indisponibilidade, para o e-mail funcional </w:t>
      </w:r>
      <w:r>
        <w:rPr>
          <w:rFonts w:ascii="Times New Roman" w:hAnsi="Times New Roman" w:cs="Times New Roman"/>
          <w:b/>
          <w:i/>
          <w:sz w:val="24"/>
          <w:szCs w:val="24"/>
          <w:u w:val="single"/>
        </w:rPr>
        <w:t>licitacoespmvrj@gmail.com</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sz w:val="24"/>
          <w:szCs w:val="24"/>
        </w:rPr>
        <w:t xml:space="preserve"> mediante confirmação de recebimento, contados:</w:t>
      </w:r>
    </w:p>
    <w:p w14:paraId="3A0394F0">
      <w:pPr>
        <w:pStyle w:val="103"/>
        <w:spacing w:before="57" w:beforeLines="24" w:after="57" w:afterLines="24" w:line="288" w:lineRule="auto"/>
        <w:ind w:left="0" w:firstLine="0"/>
        <w:contextualSpacing/>
        <w:rPr>
          <w:rFonts w:ascii="Times New Roman" w:hAnsi="Times New Roman" w:cs="Times New Roman"/>
          <w:sz w:val="24"/>
          <w:szCs w:val="24"/>
        </w:rPr>
      </w:pPr>
    </w:p>
    <w:p w14:paraId="36759434">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a partir da data de intimação ou de lavratura da ata de habilitação ou inabilitação;</w:t>
      </w:r>
    </w:p>
    <w:p w14:paraId="57C360A3">
      <w:pPr>
        <w:pStyle w:val="103"/>
        <w:spacing w:before="57" w:beforeLines="24" w:after="57" w:afterLines="24" w:line="288" w:lineRule="auto"/>
        <w:ind w:left="0" w:firstLine="0"/>
        <w:contextualSpacing/>
        <w:rPr>
          <w:rFonts w:ascii="Times New Roman" w:hAnsi="Times New Roman" w:cs="Times New Roman"/>
          <w:sz w:val="24"/>
          <w:szCs w:val="24"/>
        </w:rPr>
      </w:pPr>
    </w:p>
    <w:p w14:paraId="7D5F2D92">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ata de julgamento, nas licitações com inversão de fases.</w:t>
      </w:r>
    </w:p>
    <w:p w14:paraId="47642A82">
      <w:pPr>
        <w:pStyle w:val="103"/>
        <w:spacing w:before="57" w:beforeLines="24" w:after="57" w:afterLines="24" w:line="288" w:lineRule="auto"/>
        <w:ind w:left="0" w:firstLine="0"/>
        <w:contextualSpacing/>
        <w:rPr>
          <w:rFonts w:ascii="Times New Roman" w:hAnsi="Times New Roman" w:cs="Times New Roman"/>
          <w:sz w:val="24"/>
          <w:szCs w:val="24"/>
        </w:rPr>
      </w:pPr>
    </w:p>
    <w:p w14:paraId="68BF896D">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9.2.2 Os demais licitantes ficarão intimados para, se desejarem, apresentar suas contrarrazões, no prazo de três dias úteis, contado da data de intimação pessoal ou de divulgação da interposição do recurso.</w:t>
      </w:r>
    </w:p>
    <w:p w14:paraId="17081063">
      <w:pPr>
        <w:pStyle w:val="103"/>
        <w:spacing w:before="57" w:beforeLines="24" w:after="57" w:afterLines="24" w:line="288" w:lineRule="auto"/>
        <w:ind w:left="0" w:firstLine="0"/>
        <w:contextualSpacing/>
        <w:rPr>
          <w:rFonts w:ascii="Times New Roman" w:hAnsi="Times New Roman" w:cs="Times New Roman"/>
          <w:sz w:val="24"/>
          <w:szCs w:val="24"/>
        </w:rPr>
      </w:pPr>
    </w:p>
    <w:p w14:paraId="2B696E1F">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9.2.3 Os recursos interpostos fora do prazo não serão conhecidos.</w:t>
      </w:r>
    </w:p>
    <w:p w14:paraId="06B27208">
      <w:pPr>
        <w:pStyle w:val="103"/>
        <w:spacing w:before="57" w:beforeLines="24" w:after="57" w:afterLines="24" w:line="288" w:lineRule="auto"/>
        <w:ind w:left="0" w:firstLine="0"/>
        <w:contextualSpacing/>
        <w:rPr>
          <w:rFonts w:ascii="Times New Roman" w:hAnsi="Times New Roman" w:cs="Times New Roman"/>
          <w:sz w:val="24"/>
          <w:szCs w:val="24"/>
        </w:rPr>
      </w:pPr>
    </w:p>
    <w:p w14:paraId="06CD5D6C">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0F85BAC6">
      <w:pPr>
        <w:pStyle w:val="99"/>
        <w:spacing w:before="57" w:beforeLines="24" w:after="57" w:afterLines="24" w:line="288" w:lineRule="auto"/>
        <w:ind w:left="0" w:firstLine="0"/>
        <w:contextualSpacing/>
        <w:rPr>
          <w:rFonts w:ascii="Times New Roman" w:hAnsi="Times New Roman" w:cs="Times New Roman"/>
          <w:sz w:val="24"/>
          <w:szCs w:val="24"/>
        </w:rPr>
      </w:pPr>
    </w:p>
    <w:p w14:paraId="185AFCCC">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9.2.5 Será assegurado ao licitante vista dos elementos indispensáveis à defesa de seus interesses.</w:t>
      </w:r>
    </w:p>
    <w:p w14:paraId="75A0E0CB">
      <w:pPr>
        <w:pStyle w:val="99"/>
        <w:spacing w:before="57" w:beforeLines="24" w:after="57" w:afterLines="24" w:line="288" w:lineRule="auto"/>
        <w:ind w:left="0" w:firstLine="0"/>
        <w:contextualSpacing/>
        <w:rPr>
          <w:rFonts w:ascii="Times New Roman" w:hAnsi="Times New Roman" w:cs="Times New Roman"/>
          <w:sz w:val="24"/>
          <w:szCs w:val="24"/>
        </w:rPr>
      </w:pPr>
    </w:p>
    <w:p w14:paraId="37DCBEE9">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9.2.6 O recurso e o pedido de reconsideração terão efeito suspensivo do ato ou da decisão recorrida até que sobrevenha decisão final da autoridade competente.</w:t>
      </w:r>
    </w:p>
    <w:p w14:paraId="2A94D187">
      <w:pPr>
        <w:pStyle w:val="99"/>
        <w:spacing w:before="57" w:beforeLines="24" w:after="57" w:afterLines="24" w:line="288" w:lineRule="auto"/>
        <w:ind w:left="0" w:firstLine="0"/>
        <w:contextualSpacing/>
        <w:rPr>
          <w:rFonts w:ascii="Times New Roman" w:hAnsi="Times New Roman" w:cs="Times New Roman"/>
          <w:sz w:val="24"/>
          <w:szCs w:val="24"/>
        </w:rPr>
      </w:pPr>
    </w:p>
    <w:p w14:paraId="2A36FC90">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9.2.7 O acolhimento do recurso invalida tão somente os atos insuscetíveis de aproveitamento. </w:t>
      </w:r>
    </w:p>
    <w:p w14:paraId="1A83F5F5">
      <w:pPr>
        <w:pStyle w:val="97"/>
        <w:spacing w:before="0" w:beforeAutospacing="0" w:after="0" w:afterAutospacing="0" w:line="288" w:lineRule="auto"/>
        <w:contextualSpacing/>
        <w:jc w:val="both"/>
        <w:rPr>
          <w:rFonts w:eastAsia="Calibri"/>
          <w:b/>
          <w:bCs/>
          <w:lang w:eastAsia="en-US"/>
        </w:rPr>
      </w:pPr>
    </w:p>
    <w:p w14:paraId="537F8315">
      <w:pPr>
        <w:spacing w:line="288" w:lineRule="auto"/>
        <w:contextualSpacing/>
        <w:jc w:val="both"/>
        <w:rPr>
          <w:b/>
          <w:bCs/>
          <w:sz w:val="24"/>
          <w:szCs w:val="24"/>
        </w:rPr>
      </w:pPr>
      <w:r>
        <w:rPr>
          <w:b/>
          <w:bCs/>
          <w:sz w:val="24"/>
          <w:szCs w:val="24"/>
        </w:rPr>
        <w:t>10. DO ENCERRAMENTO DA LICITAÇÃO</w:t>
      </w:r>
    </w:p>
    <w:p w14:paraId="5DD4969E">
      <w:pPr>
        <w:spacing w:line="288" w:lineRule="auto"/>
        <w:contextualSpacing/>
        <w:jc w:val="both"/>
        <w:rPr>
          <w:sz w:val="24"/>
          <w:szCs w:val="24"/>
        </w:rPr>
      </w:pPr>
    </w:p>
    <w:p w14:paraId="3FA30B02">
      <w:pPr>
        <w:spacing w:line="288" w:lineRule="auto"/>
        <w:contextualSpacing/>
        <w:jc w:val="both"/>
        <w:rPr>
          <w:sz w:val="24"/>
          <w:szCs w:val="24"/>
        </w:rPr>
      </w:pPr>
      <w:r>
        <w:rPr>
          <w:sz w:val="24"/>
          <w:szCs w:val="24"/>
        </w:rPr>
        <w:t>10.1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6CEA1CDF">
      <w:pPr>
        <w:pStyle w:val="97"/>
        <w:spacing w:before="0" w:beforeAutospacing="0" w:after="0" w:afterAutospacing="0" w:line="288" w:lineRule="auto"/>
        <w:contextualSpacing/>
        <w:jc w:val="both"/>
        <w:rPr>
          <w:rFonts w:eastAsia="Calibri"/>
          <w:b/>
          <w:bCs/>
          <w:lang w:eastAsia="en-US"/>
        </w:rPr>
      </w:pPr>
    </w:p>
    <w:p w14:paraId="6C628C59">
      <w:pPr>
        <w:pStyle w:val="97"/>
        <w:spacing w:before="0" w:beforeAutospacing="0" w:after="0" w:afterAutospacing="0" w:line="288" w:lineRule="auto"/>
        <w:contextualSpacing/>
        <w:jc w:val="both"/>
        <w:rPr>
          <w:rFonts w:eastAsia="Calibri"/>
          <w:b/>
          <w:bCs/>
          <w:lang w:eastAsia="en-US"/>
        </w:rPr>
      </w:pPr>
      <w:r>
        <w:rPr>
          <w:rFonts w:eastAsia="Calibri"/>
          <w:b/>
          <w:bCs/>
          <w:lang w:eastAsia="en-US"/>
        </w:rPr>
        <w:t>11. DA ATA DE REGISTRO DE PREÇOS</w:t>
      </w:r>
    </w:p>
    <w:p w14:paraId="1BAF1D8F">
      <w:pPr>
        <w:pStyle w:val="97"/>
        <w:spacing w:before="0" w:beforeAutospacing="0" w:after="0" w:afterAutospacing="0" w:line="288" w:lineRule="auto"/>
        <w:contextualSpacing/>
        <w:jc w:val="both"/>
        <w:rPr>
          <w:rFonts w:eastAsia="Calibri"/>
          <w:lang w:eastAsia="en-US"/>
        </w:rPr>
      </w:pPr>
    </w:p>
    <w:p w14:paraId="280DA7BB">
      <w:pPr>
        <w:pStyle w:val="97"/>
        <w:spacing w:before="0" w:beforeAutospacing="0" w:after="0" w:afterAutospacing="0" w:line="288" w:lineRule="auto"/>
        <w:contextualSpacing/>
        <w:jc w:val="both"/>
      </w:pPr>
      <w:r>
        <w:rPr>
          <w:rFonts w:eastAsia="Calibri"/>
          <w:lang w:eastAsia="en-US"/>
        </w:rPr>
        <w:t xml:space="preserve">11.1 </w:t>
      </w:r>
      <w:r>
        <w:t>Homologado o resultado do processo licitatório, o(s) licitante(s) melhor classificado(s), deverá(ão) ser convocado(s) para assinar a Ata de Registro de Preços, no prazo de 5 (cinco) dias úteis, sob pena de decair o direito, sem prejuízo das sanções previstas na Lei nº 14.133/2021 e neste Edital.</w:t>
      </w:r>
    </w:p>
    <w:p w14:paraId="2EE86DED">
      <w:pPr>
        <w:pStyle w:val="97"/>
        <w:spacing w:before="0" w:beforeAutospacing="0" w:after="0" w:afterAutospacing="0" w:line="288" w:lineRule="auto"/>
        <w:contextualSpacing/>
        <w:jc w:val="both"/>
      </w:pPr>
    </w:p>
    <w:p w14:paraId="25CDF165">
      <w:pPr>
        <w:pStyle w:val="97"/>
        <w:spacing w:before="0" w:beforeAutospacing="0" w:after="0" w:afterAutospacing="0" w:line="288" w:lineRule="auto"/>
        <w:contextualSpacing/>
        <w:jc w:val="both"/>
      </w:pPr>
      <w:r>
        <w:t>11.1.1 O prazo para assinatura da Ata poderá ser prorrogado uma vez, por igual período, desde que:</w:t>
      </w:r>
    </w:p>
    <w:p w14:paraId="68B2706D">
      <w:pPr>
        <w:pStyle w:val="97"/>
        <w:spacing w:before="0" w:beforeAutospacing="0" w:after="0" w:afterAutospacing="0" w:line="288" w:lineRule="auto"/>
        <w:contextualSpacing/>
        <w:jc w:val="both"/>
      </w:pPr>
    </w:p>
    <w:p w14:paraId="20900368">
      <w:pPr>
        <w:pStyle w:val="97"/>
        <w:spacing w:before="0" w:beforeAutospacing="0" w:after="0" w:afterAutospacing="0" w:line="288" w:lineRule="auto"/>
        <w:contextualSpacing/>
        <w:jc w:val="both"/>
      </w:pPr>
      <w:r>
        <w:t>a) a solicitação seja justificada pelo licitante melhor classificado e apresentada dentro do prazo; e</w:t>
      </w:r>
    </w:p>
    <w:p w14:paraId="4FDF5F48">
      <w:pPr>
        <w:pStyle w:val="97"/>
        <w:spacing w:before="0" w:beforeAutospacing="0" w:after="0" w:afterAutospacing="0" w:line="288" w:lineRule="auto"/>
        <w:contextualSpacing/>
        <w:jc w:val="both"/>
      </w:pPr>
    </w:p>
    <w:p w14:paraId="47573754">
      <w:pPr>
        <w:pStyle w:val="97"/>
        <w:spacing w:before="0" w:beforeAutospacing="0" w:after="0" w:afterAutospacing="0" w:line="288" w:lineRule="auto"/>
        <w:contextualSpacing/>
        <w:jc w:val="both"/>
      </w:pPr>
      <w:r>
        <w:t>b) a justificativa apresentada seja aceita pela Administração.</w:t>
      </w:r>
    </w:p>
    <w:p w14:paraId="77F27A1D">
      <w:pPr>
        <w:pStyle w:val="97"/>
        <w:spacing w:before="0" w:beforeAutospacing="0" w:after="0" w:afterAutospacing="0" w:line="288" w:lineRule="auto"/>
        <w:contextualSpacing/>
        <w:jc w:val="both"/>
      </w:pPr>
    </w:p>
    <w:p w14:paraId="2C439A41">
      <w:pPr>
        <w:pStyle w:val="97"/>
        <w:spacing w:before="0" w:beforeAutospacing="0" w:after="0" w:afterAutospacing="0" w:line="288" w:lineRule="auto"/>
        <w:contextualSpacing/>
        <w:jc w:val="both"/>
      </w:pPr>
      <w:r>
        <w:t xml:space="preserve">11.2 Serão formalizadas tantas Atas de Registro de Preços quantas forem necessárias para o registro de todos os itens constantes no Termo de Referência, com a descrição do licitante vencedor, a descrição </w:t>
      </w:r>
      <w:r>
        <w:rPr>
          <w:color w:val="000000" w:themeColor="text1"/>
          <w14:textFill>
            <w14:solidFill>
              <w14:schemeClr w14:val="tx1"/>
            </w14:solidFill>
          </w14:textFill>
        </w:rPr>
        <w:t xml:space="preserve">dos itens, as </w:t>
      </w:r>
      <w:r>
        <w:t>respectivas quantidades, preços registrados e os demais requisitos estabelecidos no art. 19 do Decreto nº 46/2025.</w:t>
      </w:r>
    </w:p>
    <w:p w14:paraId="388182DC">
      <w:pPr>
        <w:pStyle w:val="97"/>
        <w:spacing w:before="0" w:beforeAutospacing="0" w:after="0" w:afterAutospacing="0" w:line="288" w:lineRule="auto"/>
        <w:contextualSpacing/>
        <w:jc w:val="both"/>
      </w:pPr>
    </w:p>
    <w:p w14:paraId="5B860431">
      <w:pPr>
        <w:pStyle w:val="97"/>
        <w:spacing w:before="0" w:beforeAutospacing="0" w:after="0" w:afterAutospacing="0" w:line="288" w:lineRule="auto"/>
        <w:contextualSpacing/>
        <w:jc w:val="both"/>
      </w:pPr>
      <w:r>
        <w:t>11.2.1 Quando a quantidade ofertada pelo primeiro colocado não for suficiente para suprir a demanda estimada, ao preço do primeiro colocado poderão ser registrados tantos fornecedores quantos necessários para que, em função das propostas apresentadas, seja atingida a quantidade total estimada para o item ou grupo de itens.</w:t>
      </w:r>
    </w:p>
    <w:p w14:paraId="3F5BB693">
      <w:pPr>
        <w:pStyle w:val="97"/>
        <w:spacing w:before="0" w:beforeAutospacing="0" w:after="0" w:afterAutospacing="0" w:line="288" w:lineRule="auto"/>
        <w:contextualSpacing/>
        <w:jc w:val="both"/>
      </w:pPr>
    </w:p>
    <w:p w14:paraId="3C77F906">
      <w:pPr>
        <w:pStyle w:val="97"/>
        <w:spacing w:before="0" w:beforeAutospacing="0" w:after="0" w:afterAutospacing="0" w:line="288" w:lineRule="auto"/>
        <w:contextualSpacing/>
        <w:jc w:val="both"/>
      </w:pPr>
      <w:r>
        <w:t>11.3 O registro de preços e as atas dele decorrentes deverão ser divulgados no Portal Nacional de Contratações Públicas - PNCP e no Portal do Município de Valença RJ.</w:t>
      </w:r>
    </w:p>
    <w:p w14:paraId="619929ED">
      <w:pPr>
        <w:pStyle w:val="97"/>
        <w:spacing w:before="0" w:beforeAutospacing="0" w:after="0" w:afterAutospacing="0" w:line="288" w:lineRule="auto"/>
        <w:contextualSpacing/>
        <w:jc w:val="both"/>
      </w:pPr>
    </w:p>
    <w:p w14:paraId="4BEA65A1">
      <w:pPr>
        <w:pStyle w:val="97"/>
        <w:spacing w:before="0" w:beforeAutospacing="0" w:after="0" w:afterAutospacing="0" w:line="288" w:lineRule="auto"/>
        <w:contextualSpacing/>
        <w:jc w:val="both"/>
      </w:pPr>
      <w:r>
        <w:t xml:space="preserve">11.4 A existência de preços registrados implicará compromisso de fornecimento nas condições estabelecidas, mas não obrigará a Administração a contratar, facultada a realização de licitação para a aquisição pretendida, desde que devidamente motivada. </w:t>
      </w:r>
    </w:p>
    <w:p w14:paraId="7A49A6FA">
      <w:pPr>
        <w:pStyle w:val="97"/>
        <w:spacing w:before="0" w:beforeAutospacing="0" w:after="0" w:afterAutospacing="0" w:line="288" w:lineRule="auto"/>
        <w:contextualSpacing/>
        <w:jc w:val="both"/>
      </w:pPr>
    </w:p>
    <w:p w14:paraId="7697CEAF">
      <w:pPr>
        <w:pStyle w:val="97"/>
        <w:spacing w:before="0" w:beforeAutospacing="0" w:after="0" w:afterAutospacing="0" w:line="288" w:lineRule="auto"/>
        <w:contextualSpacing/>
        <w:jc w:val="both"/>
      </w:pPr>
      <w:r>
        <w:t>11.5 É facultado à Administração, quando o(s) fornecedor(es) convocado(s) não assinar(em) a Ata de Registro de Preços no prazo e condições estabelecidas, convocar os proponentes do Cadastro de Reserva, na ordem de classificação, para fazê-lo em igual prazo e nas mesmas condições propostas pelo primeiro classificado, de modo a integrar a Ata na qualidade de fornecedor.</w:t>
      </w:r>
    </w:p>
    <w:p w14:paraId="38E1182B">
      <w:pPr>
        <w:pStyle w:val="97"/>
        <w:spacing w:before="0" w:beforeAutospacing="0" w:after="0" w:afterAutospacing="0" w:line="288" w:lineRule="auto"/>
        <w:contextualSpacing/>
        <w:jc w:val="both"/>
      </w:pPr>
    </w:p>
    <w:p w14:paraId="2E69088E">
      <w:pPr>
        <w:autoSpaceDE w:val="0"/>
        <w:autoSpaceDN w:val="0"/>
        <w:adjustRightInd w:val="0"/>
        <w:spacing w:line="288" w:lineRule="auto"/>
        <w:contextualSpacing/>
        <w:jc w:val="both"/>
        <w:rPr>
          <w:sz w:val="24"/>
          <w:szCs w:val="24"/>
        </w:rPr>
      </w:pPr>
      <w:r>
        <w:rPr>
          <w:sz w:val="24"/>
          <w:szCs w:val="24"/>
        </w:rPr>
        <w:t xml:space="preserve">11.6 O prazo de validade da Ata de Registro de Preços é de 1 (um) ano, contado a partir do 1º (primeiro) dia útil subsequente à data de divulgação no PNCP. </w:t>
      </w:r>
    </w:p>
    <w:p w14:paraId="0E7A0EC0">
      <w:pPr>
        <w:autoSpaceDE w:val="0"/>
        <w:autoSpaceDN w:val="0"/>
        <w:adjustRightInd w:val="0"/>
        <w:spacing w:line="288" w:lineRule="auto"/>
        <w:contextualSpacing/>
        <w:jc w:val="both"/>
        <w:rPr>
          <w:color w:val="231F20"/>
          <w:sz w:val="24"/>
          <w:szCs w:val="24"/>
        </w:rPr>
      </w:pPr>
    </w:p>
    <w:p w14:paraId="7B948316">
      <w:pPr>
        <w:autoSpaceDE w:val="0"/>
        <w:autoSpaceDN w:val="0"/>
        <w:adjustRightInd w:val="0"/>
        <w:spacing w:line="288" w:lineRule="auto"/>
        <w:contextualSpacing/>
        <w:jc w:val="both"/>
        <w:rPr>
          <w:sz w:val="24"/>
          <w:szCs w:val="24"/>
        </w:rPr>
      </w:pPr>
      <w:r>
        <w:rPr>
          <w:color w:val="231F20"/>
          <w:sz w:val="24"/>
          <w:szCs w:val="24"/>
        </w:rPr>
        <w:t xml:space="preserve">11.6.1 </w:t>
      </w:r>
      <w:r>
        <w:rPr>
          <w:sz w:val="24"/>
          <w:szCs w:val="24"/>
        </w:rPr>
        <w:t>O prazo de vigência da Ata de Registro de Preços poderá ser prorrogado, por igual período, mediante termo aditivo, desde que as condições e os preços permaneçam vantajosos, observados os requisitos estabelecidos no art. 20 do Decreto nº 46/2025 e na referida Ata.</w:t>
      </w:r>
    </w:p>
    <w:p w14:paraId="0B75CAB2">
      <w:pPr>
        <w:autoSpaceDE w:val="0"/>
        <w:autoSpaceDN w:val="0"/>
        <w:adjustRightInd w:val="0"/>
        <w:spacing w:line="288" w:lineRule="auto"/>
        <w:contextualSpacing/>
        <w:jc w:val="both"/>
        <w:rPr>
          <w:sz w:val="24"/>
          <w:szCs w:val="24"/>
        </w:rPr>
      </w:pPr>
    </w:p>
    <w:p w14:paraId="40EDD120">
      <w:pPr>
        <w:spacing w:line="288" w:lineRule="auto"/>
        <w:contextualSpacing/>
        <w:jc w:val="both"/>
        <w:rPr>
          <w:color w:val="231F20"/>
          <w:sz w:val="24"/>
          <w:szCs w:val="24"/>
        </w:rPr>
      </w:pPr>
      <w:r>
        <w:rPr>
          <w:sz w:val="24"/>
          <w:szCs w:val="24"/>
        </w:rPr>
        <w:t>11.7</w:t>
      </w:r>
      <w:r>
        <w:rPr>
          <w:bCs/>
          <w:sz w:val="24"/>
          <w:szCs w:val="24"/>
        </w:rPr>
        <w:t xml:space="preserve"> Na forma dos arts. 27 e 28 do Decreto nº 46/2025, o</w:t>
      </w:r>
      <w:r>
        <w:rPr>
          <w:sz w:val="24"/>
          <w:szCs w:val="24"/>
        </w:rPr>
        <w:t xml:space="preserve">s preços registrados poderão ser revistos e alterados em decorrência de eventual redução dos preços praticados no mercado ou de fato que eleve o custo dos bens, obras ou serviços registrados, em caso de força maior, caso fortuito ou fato do príncipe ou em decorrência de fatos imprevisíveis ou previsíveis de consequências incalculáveis, que inviabilizem a execução da Ata tal como pactuado, nos termos da alínea d do inciso II do </w:t>
      </w:r>
      <w:r>
        <w:rPr>
          <w:i/>
          <w:iCs/>
          <w:sz w:val="24"/>
          <w:szCs w:val="24"/>
        </w:rPr>
        <w:t>caput</w:t>
      </w:r>
      <w:r>
        <w:rPr>
          <w:sz w:val="24"/>
          <w:szCs w:val="24"/>
        </w:rPr>
        <w:t xml:space="preserve"> do art. 124 da Lei nº 14.133/2021</w:t>
      </w:r>
      <w:r>
        <w:rPr>
          <w:color w:val="231F20"/>
          <w:sz w:val="24"/>
          <w:szCs w:val="24"/>
        </w:rPr>
        <w:t>.</w:t>
      </w:r>
    </w:p>
    <w:p w14:paraId="7E7C96E2">
      <w:pPr>
        <w:autoSpaceDE w:val="0"/>
        <w:autoSpaceDN w:val="0"/>
        <w:adjustRightInd w:val="0"/>
        <w:spacing w:line="288" w:lineRule="auto"/>
        <w:contextualSpacing/>
        <w:jc w:val="both"/>
        <w:rPr>
          <w:sz w:val="24"/>
          <w:szCs w:val="24"/>
        </w:rPr>
      </w:pPr>
    </w:p>
    <w:p w14:paraId="0CB54947">
      <w:pPr>
        <w:autoSpaceDE w:val="0"/>
        <w:autoSpaceDN w:val="0"/>
        <w:adjustRightInd w:val="0"/>
        <w:spacing w:line="288" w:lineRule="auto"/>
        <w:contextualSpacing/>
        <w:jc w:val="both"/>
        <w:rPr>
          <w:sz w:val="24"/>
          <w:szCs w:val="24"/>
        </w:rPr>
      </w:pPr>
      <w:r>
        <w:rPr>
          <w:sz w:val="24"/>
          <w:szCs w:val="24"/>
        </w:rPr>
        <w:t>11.7.1 Os preços registrados poderão, ainda, ser reajustados ou repactuados, observando-se as regras estabelecidas no item 18 deste Edital, nos termos da Lei nº 14.133/2021.</w:t>
      </w:r>
    </w:p>
    <w:p w14:paraId="21C8CEEF">
      <w:pPr>
        <w:autoSpaceDE w:val="0"/>
        <w:autoSpaceDN w:val="0"/>
        <w:adjustRightInd w:val="0"/>
        <w:spacing w:line="288" w:lineRule="auto"/>
        <w:contextualSpacing/>
        <w:jc w:val="both"/>
        <w:rPr>
          <w:sz w:val="24"/>
          <w:szCs w:val="24"/>
        </w:rPr>
      </w:pPr>
    </w:p>
    <w:p w14:paraId="2FB76BC2">
      <w:pPr>
        <w:pStyle w:val="97"/>
        <w:spacing w:before="0" w:beforeAutospacing="0" w:after="0" w:afterAutospacing="0" w:line="288" w:lineRule="auto"/>
        <w:contextualSpacing/>
        <w:jc w:val="both"/>
      </w:pPr>
      <w:r>
        <w:t>11.7.2 As condições para alteração ou atualização dos preços registrados se encontram previstas na Ata de Registro de Preços.</w:t>
      </w:r>
    </w:p>
    <w:p w14:paraId="2AADCF83">
      <w:pPr>
        <w:pStyle w:val="97"/>
        <w:spacing w:before="0" w:beforeAutospacing="0" w:after="0" w:afterAutospacing="0" w:line="288" w:lineRule="auto"/>
        <w:contextualSpacing/>
        <w:jc w:val="both"/>
      </w:pPr>
    </w:p>
    <w:p w14:paraId="68FEACDA">
      <w:pPr>
        <w:spacing w:line="288" w:lineRule="auto"/>
        <w:contextualSpacing/>
        <w:jc w:val="both"/>
        <w:rPr>
          <w:sz w:val="24"/>
          <w:szCs w:val="24"/>
        </w:rPr>
      </w:pPr>
      <w:r>
        <w:rPr>
          <w:sz w:val="24"/>
          <w:szCs w:val="24"/>
        </w:rPr>
        <w:t xml:space="preserve">11.8 </w:t>
      </w:r>
      <w:r>
        <w:rPr>
          <w:color w:val="231F20"/>
          <w:sz w:val="24"/>
          <w:szCs w:val="24"/>
        </w:rPr>
        <w:t>O registro do fornecedor será cancelado, na forma do art. 31 do Decreto nº 46/2025 da Ata de Registro de Preços, quando:</w:t>
      </w:r>
    </w:p>
    <w:p w14:paraId="0D3A265A">
      <w:pPr>
        <w:autoSpaceDE w:val="0"/>
        <w:autoSpaceDN w:val="0"/>
        <w:adjustRightInd w:val="0"/>
        <w:spacing w:line="288" w:lineRule="auto"/>
        <w:contextualSpacing/>
        <w:jc w:val="both"/>
        <w:rPr>
          <w:b/>
          <w:bCs/>
          <w:color w:val="231F20"/>
          <w:sz w:val="24"/>
          <w:szCs w:val="24"/>
        </w:rPr>
      </w:pPr>
    </w:p>
    <w:p w14:paraId="0ADE078A">
      <w:pPr>
        <w:autoSpaceDE w:val="0"/>
        <w:autoSpaceDN w:val="0"/>
        <w:adjustRightInd w:val="0"/>
        <w:spacing w:line="288" w:lineRule="auto"/>
        <w:contextualSpacing/>
        <w:jc w:val="both"/>
        <w:rPr>
          <w:color w:val="231F20"/>
          <w:sz w:val="24"/>
          <w:szCs w:val="24"/>
        </w:rPr>
      </w:pPr>
      <w:r>
        <w:rPr>
          <w:color w:val="231F20"/>
          <w:sz w:val="24"/>
          <w:szCs w:val="24"/>
        </w:rPr>
        <w:t>a) forem descumpridas as condições da Ata de Registro de Preços, sem motivo justificado;</w:t>
      </w:r>
    </w:p>
    <w:p w14:paraId="02D3FF7F">
      <w:pPr>
        <w:autoSpaceDE w:val="0"/>
        <w:autoSpaceDN w:val="0"/>
        <w:adjustRightInd w:val="0"/>
        <w:spacing w:line="288" w:lineRule="auto"/>
        <w:contextualSpacing/>
        <w:jc w:val="both"/>
        <w:rPr>
          <w:color w:val="231F20"/>
          <w:sz w:val="24"/>
          <w:szCs w:val="24"/>
        </w:rPr>
      </w:pPr>
    </w:p>
    <w:p w14:paraId="19FD4DC2">
      <w:pPr>
        <w:autoSpaceDE w:val="0"/>
        <w:autoSpaceDN w:val="0"/>
        <w:adjustRightInd w:val="0"/>
        <w:spacing w:line="288" w:lineRule="auto"/>
        <w:contextualSpacing/>
        <w:jc w:val="both"/>
        <w:rPr>
          <w:color w:val="231F20"/>
          <w:sz w:val="24"/>
          <w:szCs w:val="24"/>
        </w:rPr>
      </w:pPr>
      <w:r>
        <w:rPr>
          <w:color w:val="231F20"/>
          <w:sz w:val="24"/>
          <w:szCs w:val="24"/>
        </w:rPr>
        <w:t xml:space="preserve">b) </w:t>
      </w:r>
      <w:r>
        <w:rPr>
          <w:sz w:val="24"/>
          <w:szCs w:val="24"/>
        </w:rPr>
        <w:t>não assinar o contrato ou não retirar a nota de empenho ou instrumento equivalente no prazo estabelecido pela Administração, sem justificativa aceitável;</w:t>
      </w:r>
    </w:p>
    <w:p w14:paraId="259CBBCF">
      <w:pPr>
        <w:autoSpaceDE w:val="0"/>
        <w:autoSpaceDN w:val="0"/>
        <w:adjustRightInd w:val="0"/>
        <w:spacing w:line="288" w:lineRule="auto"/>
        <w:contextualSpacing/>
        <w:jc w:val="both"/>
        <w:rPr>
          <w:color w:val="231F20"/>
          <w:sz w:val="24"/>
          <w:szCs w:val="24"/>
        </w:rPr>
      </w:pPr>
    </w:p>
    <w:p w14:paraId="08DDC4C0">
      <w:pPr>
        <w:autoSpaceDE w:val="0"/>
        <w:autoSpaceDN w:val="0"/>
        <w:adjustRightInd w:val="0"/>
        <w:spacing w:line="288" w:lineRule="auto"/>
        <w:contextualSpacing/>
        <w:jc w:val="both"/>
        <w:rPr>
          <w:color w:val="231F20"/>
          <w:sz w:val="24"/>
          <w:szCs w:val="24"/>
        </w:rPr>
      </w:pPr>
      <w:r>
        <w:rPr>
          <w:color w:val="231F20"/>
          <w:sz w:val="24"/>
          <w:szCs w:val="24"/>
        </w:rPr>
        <w:t>c) não aceitar reduzir o seu preço registrado, na hipótese deste se tornar superior àqueles praticados no mercado; ou</w:t>
      </w:r>
    </w:p>
    <w:p w14:paraId="3ED1B757">
      <w:pPr>
        <w:autoSpaceDE w:val="0"/>
        <w:autoSpaceDN w:val="0"/>
        <w:adjustRightInd w:val="0"/>
        <w:spacing w:line="288" w:lineRule="auto"/>
        <w:contextualSpacing/>
        <w:jc w:val="both"/>
        <w:rPr>
          <w:color w:val="231F20"/>
          <w:sz w:val="24"/>
          <w:szCs w:val="24"/>
        </w:rPr>
      </w:pPr>
    </w:p>
    <w:p w14:paraId="0E736A49">
      <w:pPr>
        <w:autoSpaceDE w:val="0"/>
        <w:autoSpaceDN w:val="0"/>
        <w:adjustRightInd w:val="0"/>
        <w:spacing w:line="288" w:lineRule="auto"/>
        <w:contextualSpacing/>
        <w:jc w:val="both"/>
        <w:rPr>
          <w:sz w:val="24"/>
          <w:szCs w:val="24"/>
        </w:rPr>
      </w:pPr>
      <w:r>
        <w:rPr>
          <w:color w:val="231F20"/>
          <w:sz w:val="24"/>
          <w:szCs w:val="24"/>
        </w:rPr>
        <w:t xml:space="preserve">d) </w:t>
      </w:r>
      <w:r>
        <w:rPr>
          <w:sz w:val="24"/>
          <w:szCs w:val="24"/>
        </w:rPr>
        <w:t xml:space="preserve">sofrer sanção prevista nos incisos III ou IV do </w:t>
      </w:r>
      <w:r>
        <w:rPr>
          <w:i/>
          <w:iCs/>
          <w:sz w:val="24"/>
          <w:szCs w:val="24"/>
        </w:rPr>
        <w:t>caput</w:t>
      </w:r>
      <w:r>
        <w:rPr>
          <w:sz w:val="24"/>
          <w:szCs w:val="24"/>
        </w:rPr>
        <w:t xml:space="preserve"> do art. 156 da Lei nº 14.133/2021, observado os §§ 4º e 5º do referido dispositivo. </w:t>
      </w:r>
    </w:p>
    <w:p w14:paraId="7CC138A6">
      <w:pPr>
        <w:autoSpaceDE w:val="0"/>
        <w:autoSpaceDN w:val="0"/>
        <w:adjustRightInd w:val="0"/>
        <w:spacing w:line="288" w:lineRule="auto"/>
        <w:contextualSpacing/>
        <w:jc w:val="both"/>
        <w:rPr>
          <w:sz w:val="24"/>
          <w:szCs w:val="24"/>
        </w:rPr>
      </w:pPr>
    </w:p>
    <w:p w14:paraId="1BA7391C">
      <w:pPr>
        <w:autoSpaceDE w:val="0"/>
        <w:autoSpaceDN w:val="0"/>
        <w:adjustRightInd w:val="0"/>
        <w:spacing w:line="288" w:lineRule="auto"/>
        <w:contextualSpacing/>
        <w:jc w:val="both"/>
        <w:rPr>
          <w:sz w:val="24"/>
          <w:szCs w:val="24"/>
        </w:rPr>
      </w:pPr>
      <w:r>
        <w:rPr>
          <w:color w:val="231F20"/>
          <w:sz w:val="24"/>
          <w:szCs w:val="24"/>
        </w:rPr>
        <w:t>11.9 O cancelamento do registro de preços poderá ocorrer</w:t>
      </w:r>
      <w:r>
        <w:rPr>
          <w:sz w:val="24"/>
          <w:szCs w:val="24"/>
        </w:rPr>
        <w:t xml:space="preserve">, total ou parcialmente, pelo gerenciador, </w:t>
      </w:r>
      <w:r>
        <w:rPr>
          <w:color w:val="231F20"/>
          <w:sz w:val="24"/>
          <w:szCs w:val="24"/>
        </w:rPr>
        <w:t>na forma do art. 32 do Decreto nº 46/2025 e da Ata de Registro de Preços,</w:t>
      </w:r>
      <w:r>
        <w:rPr>
          <w:sz w:val="24"/>
          <w:szCs w:val="24"/>
        </w:rPr>
        <w:t xml:space="preserve"> desde que devidamente comprovados e justificados: </w:t>
      </w:r>
    </w:p>
    <w:p w14:paraId="7946A3F0">
      <w:pPr>
        <w:autoSpaceDE w:val="0"/>
        <w:autoSpaceDN w:val="0"/>
        <w:adjustRightInd w:val="0"/>
        <w:spacing w:line="288" w:lineRule="auto"/>
        <w:contextualSpacing/>
        <w:jc w:val="both"/>
        <w:rPr>
          <w:sz w:val="24"/>
          <w:szCs w:val="24"/>
        </w:rPr>
      </w:pPr>
    </w:p>
    <w:p w14:paraId="260C13F1">
      <w:pPr>
        <w:autoSpaceDE w:val="0"/>
        <w:autoSpaceDN w:val="0"/>
        <w:adjustRightInd w:val="0"/>
        <w:spacing w:line="288" w:lineRule="auto"/>
        <w:contextualSpacing/>
        <w:jc w:val="both"/>
        <w:rPr>
          <w:sz w:val="24"/>
          <w:szCs w:val="24"/>
        </w:rPr>
      </w:pPr>
      <w:r>
        <w:rPr>
          <w:sz w:val="24"/>
          <w:szCs w:val="24"/>
        </w:rPr>
        <w:t xml:space="preserve">a)  por razão de interesse público; </w:t>
      </w:r>
    </w:p>
    <w:p w14:paraId="3865D1CD">
      <w:pPr>
        <w:autoSpaceDE w:val="0"/>
        <w:autoSpaceDN w:val="0"/>
        <w:adjustRightInd w:val="0"/>
        <w:spacing w:line="288" w:lineRule="auto"/>
        <w:contextualSpacing/>
        <w:jc w:val="both"/>
        <w:rPr>
          <w:sz w:val="24"/>
          <w:szCs w:val="24"/>
        </w:rPr>
      </w:pPr>
    </w:p>
    <w:p w14:paraId="352E89BA">
      <w:pPr>
        <w:autoSpaceDE w:val="0"/>
        <w:autoSpaceDN w:val="0"/>
        <w:adjustRightInd w:val="0"/>
        <w:spacing w:line="288" w:lineRule="auto"/>
        <w:contextualSpacing/>
        <w:jc w:val="both"/>
        <w:rPr>
          <w:sz w:val="24"/>
          <w:szCs w:val="24"/>
        </w:rPr>
      </w:pPr>
      <w:r>
        <w:rPr>
          <w:sz w:val="24"/>
          <w:szCs w:val="24"/>
        </w:rPr>
        <w:t xml:space="preserve">b) pelo cancelamento de todos os preços registrados; ou </w:t>
      </w:r>
    </w:p>
    <w:p w14:paraId="55667FC2">
      <w:pPr>
        <w:autoSpaceDE w:val="0"/>
        <w:autoSpaceDN w:val="0"/>
        <w:adjustRightInd w:val="0"/>
        <w:spacing w:line="288" w:lineRule="auto"/>
        <w:contextualSpacing/>
        <w:jc w:val="both"/>
        <w:rPr>
          <w:sz w:val="24"/>
          <w:szCs w:val="24"/>
        </w:rPr>
      </w:pPr>
    </w:p>
    <w:p w14:paraId="5840117D">
      <w:pPr>
        <w:autoSpaceDE w:val="0"/>
        <w:autoSpaceDN w:val="0"/>
        <w:adjustRightInd w:val="0"/>
        <w:spacing w:line="288" w:lineRule="auto"/>
        <w:contextualSpacing/>
        <w:jc w:val="both"/>
        <w:rPr>
          <w:sz w:val="24"/>
          <w:szCs w:val="24"/>
        </w:rPr>
      </w:pPr>
      <w:r>
        <w:rPr>
          <w:sz w:val="24"/>
          <w:szCs w:val="24"/>
        </w:rPr>
        <w:t xml:space="preserve">c) a pedido do </w:t>
      </w:r>
      <w:r>
        <w:rPr>
          <w:color w:val="231F20"/>
          <w:sz w:val="24"/>
          <w:szCs w:val="24"/>
        </w:rPr>
        <w:t>fornecedor</w:t>
      </w:r>
      <w:r>
        <w:rPr>
          <w:sz w:val="24"/>
          <w:szCs w:val="24"/>
        </w:rPr>
        <w:t>, decorrente de fato superveniente, de caso fortuito ou força maior, que prejudique o cumprimento da Ata.</w:t>
      </w:r>
    </w:p>
    <w:p w14:paraId="2CEBC459">
      <w:pPr>
        <w:pStyle w:val="97"/>
        <w:spacing w:before="0" w:beforeAutospacing="0" w:after="0" w:afterAutospacing="0" w:line="288" w:lineRule="auto"/>
        <w:contextualSpacing/>
        <w:jc w:val="both"/>
      </w:pPr>
      <w:r>
        <w:t xml:space="preserve"> </w:t>
      </w:r>
    </w:p>
    <w:p w14:paraId="6BD85F4C">
      <w:pPr>
        <w:spacing w:line="288" w:lineRule="auto"/>
        <w:contextualSpacing/>
        <w:jc w:val="both"/>
        <w:rPr>
          <w:sz w:val="24"/>
          <w:szCs w:val="24"/>
        </w:rPr>
      </w:pPr>
      <w:r>
        <w:rPr>
          <w:sz w:val="24"/>
          <w:szCs w:val="24"/>
        </w:rPr>
        <w:t>11.10 Compete ao gerenciador aplicar, garantida a ampla defesa e o contraditório, as penalidades decorrentes do descumprimento do pactuado neste Edital e na Ata de Registro de Preços ou do descumprimento das obrigações contratuais, em relação às suas próprias contratações, e promover as publicações, encaminhamentos e registros cabíveis.</w:t>
      </w:r>
    </w:p>
    <w:p w14:paraId="66CCE60F">
      <w:pPr>
        <w:spacing w:line="288" w:lineRule="auto"/>
        <w:contextualSpacing/>
        <w:jc w:val="both"/>
        <w:rPr>
          <w:sz w:val="24"/>
          <w:szCs w:val="24"/>
        </w:rPr>
      </w:pPr>
    </w:p>
    <w:p w14:paraId="5DA2CC9A">
      <w:pPr>
        <w:spacing w:line="288" w:lineRule="auto"/>
        <w:contextualSpacing/>
        <w:jc w:val="both"/>
        <w:rPr>
          <w:sz w:val="24"/>
          <w:szCs w:val="24"/>
        </w:rPr>
      </w:pPr>
      <w:r>
        <w:rPr>
          <w:sz w:val="24"/>
          <w:szCs w:val="24"/>
        </w:rPr>
        <w:t xml:space="preserve">11.11 Compete aos participantes e aos </w:t>
      </w:r>
      <w:r>
        <w:rPr>
          <w:bCs/>
          <w:color w:val="231F20"/>
          <w:sz w:val="24"/>
          <w:szCs w:val="24"/>
        </w:rPr>
        <w:t xml:space="preserve">não-participantes </w:t>
      </w:r>
      <w:r>
        <w:rPr>
          <w:sz w:val="24"/>
          <w:szCs w:val="24"/>
        </w:rPr>
        <w:t>aplicar, quando admitidos, garantida a ampla defesa e o contraditório, as penalidades decorrentes do descumprimento das obrigações contratuais, em relação às suas próprias contratações, e promover as publicações, encaminhamentos e registros cabíveis.</w:t>
      </w:r>
    </w:p>
    <w:p w14:paraId="49901326">
      <w:pPr>
        <w:pStyle w:val="97"/>
        <w:spacing w:before="0" w:beforeAutospacing="0" w:after="0" w:afterAutospacing="0" w:line="288" w:lineRule="auto"/>
        <w:contextualSpacing/>
        <w:jc w:val="both"/>
        <w:rPr>
          <w:rFonts w:asciiTheme="minorHAnsi" w:hAnsiTheme="minorHAnsi" w:cstheme="minorHAnsi"/>
        </w:rPr>
      </w:pPr>
    </w:p>
    <w:p w14:paraId="373B8587">
      <w:pPr>
        <w:pStyle w:val="97"/>
        <w:spacing w:before="0" w:beforeAutospacing="0" w:after="0" w:afterAutospacing="0" w:line="288" w:lineRule="auto"/>
        <w:contextualSpacing/>
        <w:jc w:val="both"/>
      </w:pPr>
      <w:r>
        <w:rPr>
          <w:b/>
          <w:bCs/>
        </w:rPr>
        <w:t>12. FORMAÇÃO DO CADASTRO DE RESERVA</w:t>
      </w:r>
    </w:p>
    <w:p w14:paraId="017E5507">
      <w:pPr>
        <w:pStyle w:val="97"/>
        <w:spacing w:before="0" w:beforeAutospacing="0" w:after="0" w:afterAutospacing="0" w:line="288" w:lineRule="auto"/>
        <w:contextualSpacing/>
        <w:jc w:val="both"/>
      </w:pPr>
    </w:p>
    <w:p w14:paraId="66909DDF">
      <w:pPr>
        <w:pStyle w:val="97"/>
        <w:spacing w:before="0" w:beforeAutospacing="0" w:after="0" w:afterAutospacing="0" w:line="288" w:lineRule="auto"/>
        <w:contextualSpacing/>
        <w:jc w:val="both"/>
      </w:pPr>
      <w:r>
        <w:t xml:space="preserve">12.1 Após a fase recursal, os licitantes serão convocados para reduzir seus preços ao valor da proposta do proponente melhor classificado, ocasião na qual será oportunizada a formação de eventual Cadastro de Reserva. </w:t>
      </w:r>
    </w:p>
    <w:p w14:paraId="550553EC">
      <w:pPr>
        <w:pStyle w:val="97"/>
        <w:spacing w:before="0" w:beforeAutospacing="0" w:after="0" w:afterAutospacing="0" w:line="288" w:lineRule="auto"/>
        <w:contextualSpacing/>
        <w:jc w:val="both"/>
      </w:pPr>
    </w:p>
    <w:p w14:paraId="487156DB">
      <w:pPr>
        <w:pStyle w:val="97"/>
        <w:spacing w:before="0" w:beforeAutospacing="0" w:after="0" w:afterAutospacing="0" w:line="288" w:lineRule="auto"/>
        <w:contextualSpacing/>
        <w:jc w:val="both"/>
      </w:pPr>
      <w:r>
        <w:t xml:space="preserve">12.1.1 A apresentação de novas propostas na forma do </w:t>
      </w:r>
      <w:r>
        <w:rPr>
          <w:i/>
          <w:iCs/>
        </w:rPr>
        <w:t>caput</w:t>
      </w:r>
      <w:r>
        <w:t xml:space="preserve"> deste item não prejudicará o resultado do certame, inclusive quanto à ordem de classificação das propostas.</w:t>
      </w:r>
    </w:p>
    <w:p w14:paraId="3F1DEC65">
      <w:pPr>
        <w:pStyle w:val="97"/>
        <w:spacing w:before="0" w:beforeAutospacing="0" w:after="0" w:afterAutospacing="0" w:line="288" w:lineRule="auto"/>
        <w:contextualSpacing/>
        <w:jc w:val="both"/>
      </w:pPr>
    </w:p>
    <w:p w14:paraId="7A02BA8D">
      <w:pPr>
        <w:pStyle w:val="97"/>
        <w:spacing w:before="0" w:beforeAutospacing="0" w:after="0" w:afterAutospacing="0" w:line="288" w:lineRule="auto"/>
        <w:contextualSpacing/>
        <w:jc w:val="both"/>
      </w:pPr>
      <w:r>
        <w:t xml:space="preserve">12.2 Homologada a licitação, deverão ser registrados na Ata de Registro de Preços, para fins de formação de Cadastro de Reserva: </w:t>
      </w:r>
    </w:p>
    <w:p w14:paraId="55BBA796">
      <w:pPr>
        <w:pStyle w:val="97"/>
        <w:spacing w:before="0" w:beforeAutospacing="0" w:after="0" w:afterAutospacing="0" w:line="288" w:lineRule="auto"/>
        <w:contextualSpacing/>
        <w:jc w:val="both"/>
      </w:pPr>
    </w:p>
    <w:p w14:paraId="1B1902C8">
      <w:pPr>
        <w:pStyle w:val="97"/>
        <w:spacing w:before="0" w:beforeAutospacing="0" w:after="0" w:afterAutospacing="0" w:line="288" w:lineRule="auto"/>
        <w:contextualSpacing/>
        <w:jc w:val="both"/>
      </w:pPr>
      <w:r>
        <w:t xml:space="preserve">12.2.1 os licitantes que aceitarem cotar os bens ou serviços com preços iguais aos do proponente vencedor do certame, observada a ordem de classificação; e </w:t>
      </w:r>
    </w:p>
    <w:p w14:paraId="298C6B9A">
      <w:pPr>
        <w:pStyle w:val="97"/>
        <w:spacing w:before="0" w:beforeAutospacing="0" w:after="0" w:afterAutospacing="0" w:line="288" w:lineRule="auto"/>
        <w:contextualSpacing/>
        <w:jc w:val="both"/>
      </w:pPr>
    </w:p>
    <w:p w14:paraId="0B08CE96">
      <w:pPr>
        <w:pStyle w:val="97"/>
        <w:spacing w:before="0" w:beforeAutospacing="0" w:after="0" w:afterAutospacing="0" w:line="288" w:lineRule="auto"/>
        <w:contextualSpacing/>
        <w:jc w:val="both"/>
      </w:pPr>
      <w:r>
        <w:t xml:space="preserve">12.2.2 os proponentes que mantiverem sua proposta original. </w:t>
      </w:r>
    </w:p>
    <w:p w14:paraId="6BEA0996">
      <w:pPr>
        <w:autoSpaceDE w:val="0"/>
        <w:autoSpaceDN w:val="0"/>
        <w:adjustRightInd w:val="0"/>
        <w:spacing w:line="288" w:lineRule="auto"/>
        <w:contextualSpacing/>
        <w:jc w:val="both"/>
        <w:rPr>
          <w:color w:val="231F20"/>
          <w:sz w:val="24"/>
          <w:szCs w:val="24"/>
        </w:rPr>
      </w:pPr>
    </w:p>
    <w:p w14:paraId="0C7EA912">
      <w:pPr>
        <w:autoSpaceDE w:val="0"/>
        <w:autoSpaceDN w:val="0"/>
        <w:adjustRightInd w:val="0"/>
        <w:spacing w:line="288" w:lineRule="auto"/>
        <w:contextualSpacing/>
        <w:jc w:val="both"/>
        <w:rPr>
          <w:color w:val="231F20"/>
          <w:sz w:val="24"/>
          <w:szCs w:val="24"/>
        </w:rPr>
      </w:pPr>
      <w:r>
        <w:rPr>
          <w:color w:val="231F20"/>
          <w:sz w:val="24"/>
          <w:szCs w:val="24"/>
        </w:rPr>
        <w:t>12.3 A ordem de classificação dos registrados na Ata deverá ser respeitada para as contratações, cabendo ao gerenciador realizar os devidos registros na Ata de Registro de Preços, para a sua atualização.</w:t>
      </w:r>
    </w:p>
    <w:p w14:paraId="7228C877">
      <w:pPr>
        <w:autoSpaceDE w:val="0"/>
        <w:autoSpaceDN w:val="0"/>
        <w:adjustRightInd w:val="0"/>
        <w:spacing w:line="288" w:lineRule="auto"/>
        <w:contextualSpacing/>
        <w:jc w:val="both"/>
        <w:rPr>
          <w:color w:val="231F20"/>
          <w:sz w:val="24"/>
          <w:szCs w:val="24"/>
        </w:rPr>
      </w:pPr>
    </w:p>
    <w:p w14:paraId="219F6E86">
      <w:pPr>
        <w:autoSpaceDE w:val="0"/>
        <w:autoSpaceDN w:val="0"/>
        <w:adjustRightInd w:val="0"/>
        <w:spacing w:line="288" w:lineRule="auto"/>
        <w:contextualSpacing/>
        <w:jc w:val="both"/>
        <w:rPr>
          <w:color w:val="231F20"/>
          <w:sz w:val="24"/>
          <w:szCs w:val="24"/>
        </w:rPr>
      </w:pPr>
      <w:r>
        <w:rPr>
          <w:color w:val="231F20"/>
          <w:sz w:val="24"/>
          <w:szCs w:val="24"/>
        </w:rPr>
        <w:t xml:space="preserve">12.4 </w:t>
      </w:r>
      <w:r>
        <w:rPr>
          <w:sz w:val="24"/>
          <w:szCs w:val="24"/>
        </w:rPr>
        <w:t>A habilitação dos proponentes que irão compor o Cadastro de Reserva somente será efetuada quando houver necessidade de contratação dos proponentes remanescentes.</w:t>
      </w:r>
    </w:p>
    <w:p w14:paraId="7C5FD6BB">
      <w:pPr>
        <w:autoSpaceDE w:val="0"/>
        <w:autoSpaceDN w:val="0"/>
        <w:adjustRightInd w:val="0"/>
        <w:spacing w:line="288" w:lineRule="auto"/>
        <w:contextualSpacing/>
        <w:jc w:val="both"/>
        <w:rPr>
          <w:color w:val="231F20"/>
          <w:sz w:val="24"/>
          <w:szCs w:val="24"/>
        </w:rPr>
      </w:pPr>
    </w:p>
    <w:p w14:paraId="03BDABCA">
      <w:pPr>
        <w:autoSpaceDE w:val="0"/>
        <w:autoSpaceDN w:val="0"/>
        <w:adjustRightInd w:val="0"/>
        <w:spacing w:line="288" w:lineRule="auto"/>
        <w:contextualSpacing/>
        <w:jc w:val="both"/>
        <w:rPr>
          <w:sz w:val="24"/>
          <w:szCs w:val="24"/>
        </w:rPr>
      </w:pPr>
      <w:r>
        <w:rPr>
          <w:color w:val="231F20"/>
          <w:sz w:val="24"/>
          <w:szCs w:val="24"/>
        </w:rPr>
        <w:t xml:space="preserve">12.5 O Cadastro de Reserva poderá ser empregado no caso do item 11.5, bem como de </w:t>
      </w:r>
      <w:r>
        <w:rPr>
          <w:sz w:val="24"/>
          <w:szCs w:val="24"/>
        </w:rPr>
        <w:t>cancelamento do registro do proponente ou dos preços, nas hipóteses previstas no § 4º do art. 28 e nos arts. 29 e 31 do Decreto nº 46/2025 e na Ata de Registro de Preços.</w:t>
      </w:r>
    </w:p>
    <w:p w14:paraId="1E740E92">
      <w:pPr>
        <w:pStyle w:val="97"/>
        <w:spacing w:before="0" w:beforeAutospacing="0" w:after="0" w:afterAutospacing="0" w:line="288" w:lineRule="auto"/>
        <w:contextualSpacing/>
        <w:jc w:val="both"/>
        <w:rPr>
          <w:rFonts w:eastAsia="Calibri"/>
          <w:lang w:eastAsia="en-US"/>
        </w:rPr>
      </w:pPr>
    </w:p>
    <w:p w14:paraId="655FB4A1">
      <w:pPr>
        <w:pStyle w:val="97"/>
        <w:spacing w:before="0" w:beforeAutospacing="0" w:after="0" w:afterAutospacing="0" w:line="288" w:lineRule="auto"/>
        <w:contextualSpacing/>
        <w:jc w:val="both"/>
        <w:rPr>
          <w:rFonts w:eastAsia="Calibri"/>
          <w:b/>
          <w:bCs/>
          <w:lang w:eastAsia="en-US"/>
        </w:rPr>
      </w:pPr>
      <w:r>
        <w:rPr>
          <w:rFonts w:eastAsia="Calibri"/>
          <w:b/>
          <w:bCs/>
          <w:lang w:eastAsia="en-US"/>
        </w:rPr>
        <w:t>13. DA FORMALIZAÇÃO DOS CONTRATOS ORIUNDOS DA ATA DE REGISTRO DE PREÇOS</w:t>
      </w:r>
    </w:p>
    <w:p w14:paraId="23A16A2B">
      <w:pPr>
        <w:pStyle w:val="97"/>
        <w:spacing w:before="0" w:beforeAutospacing="0" w:after="0" w:afterAutospacing="0" w:line="288" w:lineRule="auto"/>
        <w:contextualSpacing/>
        <w:jc w:val="both"/>
        <w:rPr>
          <w:rFonts w:eastAsia="Arial"/>
        </w:rPr>
      </w:pPr>
    </w:p>
    <w:p w14:paraId="0272B9C2">
      <w:pPr>
        <w:pStyle w:val="97"/>
        <w:spacing w:before="0" w:beforeAutospacing="0" w:after="0" w:afterAutospacing="0" w:line="288" w:lineRule="auto"/>
        <w:contextualSpacing/>
        <w:jc w:val="both"/>
        <w:rPr>
          <w:rFonts w:eastAsia="Calibri"/>
          <w:lang w:eastAsia="en-US"/>
        </w:rPr>
      </w:pPr>
      <w:r>
        <w:rPr>
          <w:rFonts w:eastAsia="Arial"/>
        </w:rPr>
        <w:t xml:space="preserve">13.1 Compete ao </w:t>
      </w:r>
      <w:r>
        <w:rPr>
          <w:bCs/>
        </w:rPr>
        <w:t xml:space="preserve">gerenciador, aos </w:t>
      </w:r>
      <w:r>
        <w:rPr>
          <w:rFonts w:eastAsia="Arial"/>
          <w:bCs/>
        </w:rPr>
        <w:t xml:space="preserve">participantes, quando houver, e aos eventuais não-participantes </w:t>
      </w:r>
      <w:r>
        <w:rPr>
          <w:rFonts w:eastAsia="Arial"/>
        </w:rPr>
        <w:t>promover as ações necessárias para as suas próprias contratações com o fornecedor registrado, durante o prazo de validade da Ata de Registro de Preços.</w:t>
      </w:r>
    </w:p>
    <w:p w14:paraId="064CFB8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13.2 A Administração convocará o fornecedor registrado para assinar o termo de contrato ou para aceitar ou retirar o instrumento equivalente, bem como para demonstrar o atendimento às exigências deste Edital e do Termo de Referência que devam ser apresentadas no momento de assinatura do contrato, </w:t>
      </w:r>
      <w:r>
        <w:rPr>
          <w:rFonts w:ascii="Times New Roman" w:hAnsi="Times New Roman" w:cs="Times New Roman"/>
          <w:color w:val="auto"/>
          <w:sz w:val="24"/>
          <w:szCs w:val="24"/>
        </w:rPr>
        <w:t>no prazo de 5 (cinco) dias úteis</w:t>
      </w:r>
      <w:r>
        <w:rPr>
          <w:rFonts w:ascii="Times New Roman" w:hAnsi="Times New Roman" w:cs="Times New Roman"/>
          <w:sz w:val="24"/>
          <w:szCs w:val="24"/>
        </w:rPr>
        <w:t>, sob pena de decair o direito à contratação, sem prejuízo das sanções previstas na Lei nº 14.133/2021, no Decreto nº 46/2025 e no Edital.</w:t>
      </w:r>
    </w:p>
    <w:p w14:paraId="525B3348">
      <w:pPr>
        <w:pStyle w:val="99"/>
        <w:spacing w:before="288" w:beforeLines="120" w:after="288" w:afterLines="120" w:line="288" w:lineRule="auto"/>
        <w:ind w:left="0" w:firstLine="0"/>
        <w:contextualSpacing/>
        <w:rPr>
          <w:rFonts w:ascii="Times New Roman" w:hAnsi="Times New Roman" w:cs="Times New Roman"/>
          <w:sz w:val="24"/>
          <w:szCs w:val="24"/>
        </w:rPr>
      </w:pPr>
    </w:p>
    <w:p w14:paraId="0FCB209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13.3 O prazo de convocação poderá ser prorrogado, 1 (uma) vez, por igual período, mediante solicitação da parte interessada durante seu transcurso, devidamente justificada, e desde que o motivo apresentado seja aceito pela Administração.</w:t>
      </w:r>
    </w:p>
    <w:p w14:paraId="7EAD6045">
      <w:pPr>
        <w:autoSpaceDE w:val="0"/>
        <w:autoSpaceDN w:val="0"/>
        <w:adjustRightInd w:val="0"/>
        <w:spacing w:line="288" w:lineRule="auto"/>
        <w:contextualSpacing/>
        <w:jc w:val="both"/>
        <w:rPr>
          <w:color w:val="231F20"/>
          <w:sz w:val="24"/>
          <w:szCs w:val="24"/>
        </w:rPr>
      </w:pPr>
      <w:r>
        <w:rPr>
          <w:sz w:val="24"/>
          <w:szCs w:val="24"/>
        </w:rPr>
        <w:t xml:space="preserve">13.4 Na hipótese de o fornecedor registrado não assinar o contrato, ou não aceitar ou não retirar o instrumento equivalente no prazo e nas condições estabelecidas, a Administração poderá convocar os proponentes do Cadastro de Reserva, na ordem de classificação, para fazê-lo em igual prazo e nas mesmas condições propostas pelo primeiro classificado. </w:t>
      </w:r>
    </w:p>
    <w:p w14:paraId="5C533219">
      <w:pPr>
        <w:pStyle w:val="99"/>
        <w:spacing w:before="288" w:beforeLines="120" w:after="288" w:afterLines="120" w:line="288" w:lineRule="auto"/>
        <w:ind w:left="0" w:firstLine="0"/>
        <w:contextualSpacing/>
        <w:rPr>
          <w:rFonts w:ascii="Times New Roman" w:hAnsi="Times New Roman" w:cs="Times New Roman"/>
          <w:sz w:val="24"/>
          <w:szCs w:val="24"/>
        </w:rPr>
      </w:pPr>
      <w:bookmarkStart w:id="32" w:name="_Hlk158798489"/>
      <w:r>
        <w:rPr>
          <w:rFonts w:ascii="Times New Roman" w:hAnsi="Times New Roman" w:cs="Times New Roman"/>
          <w:sz w:val="24"/>
          <w:szCs w:val="24"/>
        </w:rPr>
        <w:t>13.5 A recusa injustificada do fornecedor registrado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7EB5CCCF">
      <w:pPr>
        <w:pStyle w:val="99"/>
        <w:spacing w:before="288" w:beforeLines="120" w:after="288" w:afterLines="120" w:line="288" w:lineRule="auto"/>
        <w:ind w:left="0" w:firstLine="0"/>
        <w:contextualSpacing/>
        <w:rPr>
          <w:rFonts w:ascii="Times New Roman" w:hAnsi="Times New Roman" w:cs="Times New Roman"/>
          <w:sz w:val="24"/>
          <w:szCs w:val="24"/>
        </w:rPr>
      </w:pPr>
    </w:p>
    <w:p w14:paraId="1F7F185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13.6 As consequências de que trata o item anterior não serão aplicadas ao integrante do Cadastro de Reserva que, quando convocado, se recusar a compor a Ata de Registro de Preços. </w:t>
      </w:r>
    </w:p>
    <w:p w14:paraId="69D56DE3">
      <w:pPr>
        <w:pStyle w:val="99"/>
        <w:spacing w:before="288" w:beforeLines="120" w:after="288" w:afterLines="120" w:line="288" w:lineRule="auto"/>
        <w:ind w:left="0" w:firstLine="0"/>
        <w:contextualSpacing/>
        <w:rPr>
          <w:rFonts w:ascii="Times New Roman" w:hAnsi="Times New Roman" w:cs="Times New Roman"/>
          <w:sz w:val="24"/>
          <w:szCs w:val="24"/>
        </w:rPr>
      </w:pPr>
    </w:p>
    <w:p w14:paraId="3BE584B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13.7</w:t>
      </w:r>
      <w:r>
        <w:rPr>
          <w:rFonts w:ascii="Times New Roman" w:hAnsi="Times New Roman" w:cs="Times New Roman"/>
          <w:sz w:val="24"/>
          <w:szCs w:val="24"/>
        </w:rPr>
        <w:tab/>
      </w:r>
      <w:r>
        <w:rPr>
          <w:rFonts w:ascii="Times New Roman" w:hAnsi="Times New Roman" w:cs="Times New Roman"/>
          <w:sz w:val="24"/>
          <w:szCs w:val="24"/>
        </w:rPr>
        <w:t>No momento da assinatura do Contrato, o adjudicatário apresentará certidão de cumprimento de cota de aprendiz, expedida pelo Ministério do Trabalho e Emprego, para fins de atendimento aos arts. 429 e seguintes da Consolidação das Leis do Trabalho.</w:t>
      </w:r>
    </w:p>
    <w:p w14:paraId="6F2145DB">
      <w:pPr>
        <w:pStyle w:val="97"/>
        <w:spacing w:line="288" w:lineRule="auto"/>
        <w:contextualSpacing/>
        <w:jc w:val="both"/>
        <w:rPr>
          <w:rFonts w:eastAsia="Calibri"/>
          <w:lang w:eastAsia="en-US"/>
        </w:rPr>
      </w:pPr>
      <w:r>
        <w:rPr>
          <w:rFonts w:eastAsia="Calibri"/>
          <w:lang w:eastAsia="en-US"/>
        </w:rPr>
        <w:t>13.8</w:t>
      </w:r>
      <w:r>
        <w:rPr>
          <w:rFonts w:eastAsia="Calibri"/>
          <w:lang w:eastAsia="en-US"/>
        </w:rPr>
        <w:tab/>
      </w:r>
      <w:r>
        <w:rPr>
          <w:rFonts w:eastAsia="Calibri"/>
          <w:lang w:eastAsia="en-US"/>
        </w:rPr>
        <w:t>Caso o valor da contratação se enquadre no limite previsto na legislação vigente, o fornecedor registrado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6A81D98B">
      <w:pPr>
        <w:pStyle w:val="97"/>
        <w:spacing w:before="0" w:beforeAutospacing="0" w:after="0" w:afterAutospacing="0" w:line="288" w:lineRule="auto"/>
        <w:contextualSpacing/>
        <w:jc w:val="both"/>
        <w:rPr>
          <w:rFonts w:eastAsia="Calibri"/>
          <w:lang w:eastAsia="en-US"/>
        </w:rPr>
      </w:pPr>
    </w:p>
    <w:p w14:paraId="1283946C">
      <w:pPr>
        <w:pStyle w:val="97"/>
        <w:spacing w:before="0" w:beforeAutospacing="0" w:after="0" w:afterAutospacing="0" w:line="288" w:lineRule="auto"/>
        <w:contextualSpacing/>
        <w:jc w:val="both"/>
        <w:rPr>
          <w:rFonts w:eastAsia="Calibri"/>
          <w:lang w:eastAsia="en-US"/>
        </w:rPr>
      </w:pPr>
      <w:r>
        <w:rPr>
          <w:rFonts w:eastAsia="Calibri"/>
          <w:lang w:eastAsia="en-US"/>
        </w:rPr>
        <w:t>13.8.1</w:t>
      </w:r>
      <w:r>
        <w:rPr>
          <w:rFonts w:eastAsia="Calibri"/>
          <w:lang w:eastAsia="en-US"/>
        </w:rPr>
        <w:tab/>
      </w:r>
      <w:r>
        <w:rPr>
          <w:rFonts w:eastAsia="Calibri"/>
          <w:lang w:eastAsia="en-US"/>
        </w:rPr>
        <w:t>Caso o fornecedor registrado ainda não tenha programa de integridade instituído, deverá implantar o Programa de Integridade no prazo de até 180 (cento e oitenta) dias corridos, a partir da assinatura do Contrato, na forma da legislação vigente.</w:t>
      </w:r>
    </w:p>
    <w:bookmarkEnd w:id="32"/>
    <w:p w14:paraId="5CE1AE6D">
      <w:pPr>
        <w:pStyle w:val="97"/>
        <w:spacing w:before="0" w:beforeAutospacing="0" w:after="0" w:afterAutospacing="0" w:line="288" w:lineRule="auto"/>
        <w:contextualSpacing/>
        <w:jc w:val="both"/>
        <w:rPr>
          <w:rFonts w:eastAsia="Calibri" w:asciiTheme="minorHAnsi" w:hAnsiTheme="minorHAnsi" w:cstheme="minorHAnsi"/>
          <w:b/>
          <w:bCs/>
          <w:lang w:eastAsia="en-US"/>
        </w:rPr>
      </w:pPr>
    </w:p>
    <w:p w14:paraId="58ED7878">
      <w:pPr>
        <w:pStyle w:val="97"/>
        <w:spacing w:before="0" w:beforeAutospacing="0" w:after="0" w:afterAutospacing="0" w:line="288" w:lineRule="auto"/>
        <w:contextualSpacing/>
        <w:jc w:val="both"/>
        <w:rPr>
          <w:rFonts w:eastAsia="Calibri"/>
          <w:b/>
          <w:bCs/>
          <w:lang w:eastAsia="en-US"/>
        </w:rPr>
      </w:pPr>
      <w:r>
        <w:rPr>
          <w:rFonts w:eastAsia="Calibri"/>
          <w:b/>
          <w:bCs/>
          <w:lang w:eastAsia="en-US"/>
        </w:rPr>
        <w:t xml:space="preserve">14. DA SUBCONTRATAÇÃO </w:t>
      </w:r>
    </w:p>
    <w:p w14:paraId="29336A83">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14.1 Não será admitida a subcontratação do objeto contratual.</w:t>
      </w:r>
    </w:p>
    <w:p w14:paraId="3489F20A">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2B174A4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b/>
          <w:bCs/>
          <w:sz w:val="24"/>
          <w:szCs w:val="24"/>
          <w:lang w:eastAsia="en-US"/>
        </w:rPr>
        <w:t>15. DA GARANTIA</w:t>
      </w:r>
    </w:p>
    <w:p w14:paraId="3789DEDC">
      <w:pPr>
        <w:pStyle w:val="99"/>
        <w:spacing w:before="288" w:beforeLines="120" w:after="288" w:afterLines="120" w:line="288" w:lineRule="auto"/>
        <w:ind w:left="4537" w:right="565" w:firstLine="0"/>
        <w:contextualSpacing/>
        <w:rPr>
          <w:rFonts w:ascii="Times New Roman" w:hAnsi="Times New Roman" w:cs="Times New Roman"/>
          <w:sz w:val="24"/>
          <w:szCs w:val="24"/>
        </w:rPr>
      </w:pPr>
    </w:p>
    <w:p w14:paraId="3F377FEE">
      <w:pPr>
        <w:pStyle w:val="99"/>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 Haverá exigência de garantia contratual da execução.</w:t>
      </w:r>
    </w:p>
    <w:p w14:paraId="4F33976A">
      <w:pPr>
        <w:pStyle w:val="103"/>
        <w:spacing w:before="288" w:beforeLines="120" w:after="288" w:afterLines="120" w:line="288" w:lineRule="auto"/>
        <w:ind w:left="567" w:right="565" w:firstLine="0"/>
        <w:contextualSpacing/>
        <w:rPr>
          <w:rFonts w:ascii="Times New Roman" w:hAnsi="Times New Roman" w:cs="Times New Roman"/>
          <w:color w:val="auto"/>
          <w:sz w:val="24"/>
          <w:szCs w:val="24"/>
        </w:rPr>
      </w:pPr>
      <w:bookmarkStart w:id="33" w:name="_Hlk152767454"/>
      <w:r>
        <w:rPr>
          <w:rFonts w:ascii="Times New Roman" w:hAnsi="Times New Roman" w:cs="Times New Roman"/>
          <w:color w:val="auto"/>
          <w:sz w:val="24"/>
          <w:szCs w:val="24"/>
        </w:rPr>
        <w:t>15.1.1 Caso o prazo de vigência do contrato seja inferior a um ano</w:t>
      </w:r>
      <w:bookmarkEnd w:id="33"/>
      <w:r>
        <w:rPr>
          <w:rFonts w:ascii="Times New Roman" w:hAnsi="Times New Roman" w:cs="Times New Roman"/>
          <w:color w:val="auto"/>
          <w:sz w:val="24"/>
          <w:szCs w:val="24"/>
        </w:rPr>
        <w:t xml:space="preserve">, a garantia prevista no item 15.1 será calculada sobre o valor total do Contrato. </w:t>
      </w:r>
    </w:p>
    <w:p w14:paraId="0944A211">
      <w:pPr>
        <w:pStyle w:val="103"/>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15.1.2 Na forma do art. 101 da Lei nº 14.133/2021, nos casos de contratos que impliquem a entrega de bens pela Administração, dos quais o contratado ficará depositário, o valor desses bens deverá ser acrescido ao valor da garantia.</w:t>
      </w:r>
    </w:p>
    <w:p w14:paraId="290A1083">
      <w:pPr>
        <w:pStyle w:val="103"/>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 O contratado poderá optar pelas seguintes modalidades de garantia:</w:t>
      </w:r>
    </w:p>
    <w:p w14:paraId="02283D1F">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15.2.1 caução em dinheiro ou em títulos da dívida pública;</w:t>
      </w:r>
    </w:p>
    <w:p w14:paraId="5CBD8555">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15.2.2 seguro-garantia; </w:t>
      </w:r>
    </w:p>
    <w:p w14:paraId="6DB0FB20">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15.2.3 fiança bancária; e</w:t>
      </w:r>
    </w:p>
    <w:p w14:paraId="399EE506">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15.2.4 título de capitalização custeado por pagamento único, com resgate pelo valor total.</w:t>
      </w:r>
    </w:p>
    <w:p w14:paraId="1FC4EE53">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 Qualquer que seja a modalidade escolhida pelo contratado, a garantia assegurará o pagamento de:</w:t>
      </w:r>
    </w:p>
    <w:p w14:paraId="60F7A324">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15.3.1 prejuízos advindos do não cumprimento do objeto do Contrato e do não adimplemento das demais obrigações neste previstas;</w:t>
      </w:r>
    </w:p>
    <w:p w14:paraId="173A96BD">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15.3.2 multas moratórias, compensatórias e administrativas aplicadas pela Administração ao contratado; e</w:t>
      </w:r>
    </w:p>
    <w:p w14:paraId="3DB59166">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15.3.3 obrigações trabalhistas e previdenciárias de qualquer natureza, assim como as obrigações de regularidade perante o FGTS, não adimplidas pelo contratado, quando couber.</w:t>
      </w:r>
    </w:p>
    <w:p w14:paraId="7997CD7E">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15.4 A garantia, qualquer que seja a modalidade escolhida, terá validade durante a vigência do Contrato e por mais 90 (noventa) dias após o término deste prazo de vigência.  </w:t>
      </w:r>
    </w:p>
    <w:p w14:paraId="4FB35A00">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15.5 Na hipótese de suspensão do Contrato por ordem ou inadimplemento da Administração, o contratado ficará desobrigado de renovar a garantia ou de endossar a apólice de seguro até a ordem de reinício da execução ou o adimplemento pela Administração.</w:t>
      </w:r>
    </w:p>
    <w:p w14:paraId="2E909C53">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15.6 Ressalvada a hipótese de seguro-garantia, em que deverá ser observado o prazo do item 15.7, o contratado apresentará, no prazo máximo de 10 (dez) dias úteis, prorrogáveis por igual período, a critério do contratante, contado da assinatura do Contrato, o comprovante de prestação de garantia, na forma do item 15.2.</w:t>
      </w:r>
    </w:p>
    <w:p w14:paraId="7CC9EC52">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 Caso oferecida a modalidade de seguro-garantia, sua apresentação deve ocorrer em 1 (um) mês, contado da data de homologação da licitação e anterior à assinatura do Contrato, e observar-se-ão as seguintes condições:</w:t>
      </w:r>
    </w:p>
    <w:p w14:paraId="697C13A0">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15.7.1 a apólice permanecerá em vigor mesmo que o contratado não pague o prêmio nas datas convencionadas;</w:t>
      </w:r>
    </w:p>
    <w:p w14:paraId="5809DB7B">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15.7.2 a apólice deverá acompanhar as modificações referentes à vigência do Contrato principal, mediante a emissão do respectivo endosso pela seguradora;</w:t>
      </w:r>
    </w:p>
    <w:p w14:paraId="0D35EF47">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15.7.3 será permitida a substituição da apólice na data de renovação ou de aniversário, desde que mantidas as condições e coberturas da apólice vigente e nenhum período fique descoberto, ressalvado o disposto no item 15.5 deste Edital; e</w:t>
      </w:r>
    </w:p>
    <w:p w14:paraId="6929385A">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15.7.4 a apólice somente será aceita se contemplar todos os eventos indicados no item 15.3, observada a legislação que rege a matéria.</w:t>
      </w:r>
    </w:p>
    <w:p w14:paraId="6D63D26C">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298C717F">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0BEADD25">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15.10 Caso a opção seja por garantia em dinheiro, deverá ser efetuada em favor do contratante, na conta corrente nº ......., da agência ....... da instituição financeira contratada pelo Município, cujo valor será corrigido monetariamente e restituído ao contratado, na forma do item 15.16.</w:t>
      </w:r>
    </w:p>
    <w:p w14:paraId="4C329D45">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15.1 neste item. </w:t>
      </w:r>
    </w:p>
    <w:p w14:paraId="4CC84F2F">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15.12 A inobservância do prazo fixado para apresentação, reposição, suplementação ou renovação da garantia acarretará a aplicação de multa e/ou outras penalidades, na forma disposta no Contrato.</w:t>
      </w:r>
    </w:p>
    <w:p w14:paraId="3B92A63A">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15.12.1 O atraso superior a 25 (vinte e cinco) dias autoriza o contratante a promover a rescisão do contrato por descumprimento ou cumprimento irregular de suas cláusulas, com a aplicação das sanções cabíveis.</w:t>
      </w:r>
    </w:p>
    <w:p w14:paraId="03FFC4FB">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15.13 O contratante executará a garantia na forma prevista na legislação que rege a matéria.</w:t>
      </w:r>
    </w:p>
    <w:p w14:paraId="063496B9">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15.14 O emitente da garantia ofertada pelo contratado deverá ser notificado pelo contratante quanto ao início de processo administrativo para apuração de descumprimento de cláusulas contratuais.</w:t>
      </w:r>
    </w:p>
    <w:p w14:paraId="2A86D9E7">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15.14.1 O garantidor não é parte para figurar em processo administrativo instaurado pelo contratante com o objetivo de apurar prejuízos e/ou aplicar sanções ao contratado.</w:t>
      </w:r>
    </w:p>
    <w:p w14:paraId="12622A38">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AFA5BC4">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519F5B99">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15.16.1 A garantia somente será liberada ou restituída, após a fiel execução do Contrato ou pela sua extinção, por culpa exclusiva da Administração, ou quando assim convencionado, em se tratando de extinção consensual da contratação.</w:t>
      </w:r>
    </w:p>
    <w:p w14:paraId="6989DDE9">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15.17 O contratado autoriza o contratante a reter, a qualquer tempo, a garantia, na forma prevista no Edital e no Contrato. </w:t>
      </w:r>
    </w:p>
    <w:p w14:paraId="691331F9">
      <w:pPr>
        <w:pStyle w:val="97"/>
        <w:spacing w:before="0" w:beforeAutospacing="0" w:after="0" w:afterAutospacing="0" w:line="288" w:lineRule="auto"/>
        <w:contextualSpacing/>
        <w:jc w:val="both"/>
        <w:rPr>
          <w:rFonts w:eastAsia="Calibri" w:asciiTheme="minorHAnsi" w:hAnsiTheme="minorHAnsi" w:cstheme="minorHAnsi"/>
          <w:b/>
          <w:bCs/>
          <w:lang w:eastAsia="en-US"/>
        </w:rPr>
      </w:pPr>
    </w:p>
    <w:p w14:paraId="207100BD">
      <w:pPr>
        <w:pStyle w:val="97"/>
        <w:spacing w:before="0" w:beforeAutospacing="0" w:after="0" w:afterAutospacing="0" w:line="288" w:lineRule="auto"/>
        <w:contextualSpacing/>
        <w:jc w:val="both"/>
        <w:rPr>
          <w:rFonts w:eastAsia="Calibri"/>
          <w:b/>
          <w:bCs/>
          <w:lang w:eastAsia="en-US"/>
        </w:rPr>
      </w:pPr>
      <w:r>
        <w:rPr>
          <w:rFonts w:eastAsia="Calibri"/>
          <w:b/>
          <w:bCs/>
          <w:lang w:eastAsia="en-US"/>
        </w:rPr>
        <w:t>16. PAGAMENTO</w:t>
      </w:r>
    </w:p>
    <w:p w14:paraId="4CCB1264">
      <w:pPr>
        <w:pStyle w:val="97"/>
        <w:spacing w:before="0" w:beforeAutospacing="0" w:after="0" w:afterAutospacing="0" w:line="288" w:lineRule="auto"/>
        <w:contextualSpacing/>
        <w:jc w:val="both"/>
        <w:rPr>
          <w:rFonts w:eastAsia="Calibri"/>
          <w:b/>
          <w:bCs/>
          <w:lang w:eastAsia="en-US"/>
        </w:rPr>
      </w:pPr>
    </w:p>
    <w:p w14:paraId="16243C42">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16.1 O contratante deverá pagar o preço ao contratado em 01 (uma) parcelas</w:t>
      </w:r>
      <w:r>
        <w:rPr>
          <w:rFonts w:ascii="Times New Roman" w:hAnsi="Times New Roman" w:cs="Times New Roman"/>
          <w:color w:val="auto"/>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na conta corrente de titularidade do contratado a ser indicada. </w:t>
      </w:r>
    </w:p>
    <w:p w14:paraId="07286C26">
      <w:pPr>
        <w:pStyle w:val="99"/>
        <w:spacing w:before="288" w:beforeLines="120" w:after="288" w:afterLines="120" w:line="288" w:lineRule="auto"/>
        <w:ind w:left="0" w:firstLine="0"/>
        <w:contextualSpacing/>
        <w:rPr>
          <w:rFonts w:ascii="Times New Roman" w:hAnsi="Times New Roman" w:cs="Times New Roman"/>
          <w:sz w:val="24"/>
          <w:szCs w:val="24"/>
        </w:rPr>
      </w:pPr>
    </w:p>
    <w:p w14:paraId="34C99BD0">
      <w:pPr>
        <w:pStyle w:val="99"/>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16.2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sz w:val="24"/>
          <w:szCs w:val="24"/>
        </w:rPr>
        <w:t>Banco Itaú S.A</w:t>
      </w:r>
      <w:r>
        <w:rPr>
          <w:rFonts w:ascii="Times New Roman" w:hAnsi="Times New Roman" w:cs="Times New Roman"/>
          <w:sz w:val="24"/>
          <w:szCs w:val="24"/>
        </w:rPr>
        <w:t>, cujo número e agência deverão ser informados pelo adjudicatário.</w:t>
      </w:r>
    </w:p>
    <w:p w14:paraId="356B4245">
      <w:pPr>
        <w:pStyle w:val="99"/>
        <w:spacing w:before="288" w:beforeLines="120" w:after="288" w:afterLines="120" w:line="288" w:lineRule="auto"/>
        <w:ind w:left="0" w:firstLine="0"/>
        <w:contextualSpacing/>
        <w:rPr>
          <w:rFonts w:ascii="Times New Roman" w:hAnsi="Times New Roman" w:cs="Times New Roman"/>
          <w:sz w:val="24"/>
          <w:szCs w:val="24"/>
        </w:rPr>
      </w:pPr>
    </w:p>
    <w:p w14:paraId="6EDA2462">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40, de 25 de fevereiro de 2025.</w:t>
      </w:r>
    </w:p>
    <w:p w14:paraId="41B2C334">
      <w:pPr>
        <w:pStyle w:val="101"/>
        <w:spacing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16.3.1 Quando houver glosa parcial do objeto, o contratante deverá comunicar ao contratado para que emita Nota Fiscal ou Fatura com o valor exato dimensionado.</w:t>
      </w:r>
    </w:p>
    <w:p w14:paraId="01F7889F">
      <w:pPr>
        <w:pStyle w:val="99"/>
        <w:spacing w:before="288" w:beforeLines="120" w:after="288" w:afterLines="120" w:line="288" w:lineRule="auto"/>
        <w:ind w:left="0" w:firstLine="0"/>
        <w:contextualSpacing/>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pPr>
      <w:r>
        <w:rPr>
          <w:rFonts w:ascii="Times New Roman" w:hAnsi="Times New Roman" w:cs="Times New Roman"/>
          <w:sz w:val="24"/>
          <w:szCs w:val="24"/>
        </w:rPr>
        <w:t>16.4 O contratado deverá encaminhar a Nota Fiscal ou Fatura para pagamento à Prefeitura Municipal de Valença, Secretaria Municipal de Saúde, situada na Rua Dr. Figueiredo, nº 320, na cidade do Valença, no Estado do Rio de Janeiro ou para o endereço eletrônico</w:t>
      </w:r>
      <w:r>
        <w:rPr>
          <w:rFonts w:ascii="Times New Roman" w:hAnsi="Times New Roman" w:cs="Times New Roman"/>
          <w:sz w:val="24"/>
          <w:szCs w:val="24"/>
          <w:u w:val="single"/>
        </w:rPr>
        <w:t xml:space="preserve"> </w:t>
      </w:r>
      <w:r>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t>smscompras@yahoo.com.br</w:t>
      </w:r>
    </w:p>
    <w:p w14:paraId="1040F05D">
      <w:pPr>
        <w:pStyle w:val="99"/>
        <w:spacing w:line="288" w:lineRule="auto"/>
        <w:ind w:left="0" w:firstLine="0"/>
        <w:contextualSpacing/>
        <w:rPr>
          <w:rFonts w:ascii="Times New Roman" w:hAnsi="Times New Roman" w:cs="Times New Roman"/>
          <w:sz w:val="24"/>
          <w:szCs w:val="24"/>
        </w:rPr>
      </w:pPr>
    </w:p>
    <w:p w14:paraId="2651E6E5">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16.5 </w:t>
      </w:r>
      <w:bookmarkStart w:id="34" w:name="_Hlk178774483"/>
      <w:r>
        <w:rPr>
          <w:rFonts w:ascii="Times New Roman" w:hAnsi="Times New Roman" w:cs="Times New Roman"/>
          <w:sz w:val="24"/>
          <w:szCs w:val="24"/>
        </w:rPr>
        <w:t xml:space="preserve">Uma vez recebidos os documentos mencionados no item 16.4, o órgão competente deverá verificar: </w:t>
      </w:r>
      <w:bookmarkEnd w:id="34"/>
    </w:p>
    <w:p w14:paraId="2F13B822">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228BBB22">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a) a manutenção das condições de habilitação exigidas pelo instrumento convocatório; </w:t>
      </w:r>
    </w:p>
    <w:p w14:paraId="6596C577">
      <w:pPr>
        <w:pStyle w:val="99"/>
        <w:spacing w:line="288" w:lineRule="auto"/>
        <w:ind w:left="0" w:firstLine="0"/>
        <w:contextualSpacing/>
        <w:rPr>
          <w:rFonts w:ascii="Times New Roman" w:hAnsi="Times New Roman" w:cs="Times New Roman"/>
          <w:sz w:val="24"/>
          <w:szCs w:val="24"/>
        </w:rPr>
      </w:pPr>
    </w:p>
    <w:p w14:paraId="64225652">
      <w:pPr>
        <w:pStyle w:val="99"/>
        <w:spacing w:line="288" w:lineRule="auto"/>
        <w:ind w:left="0" w:firstLine="0"/>
        <w:contextualSpacing/>
        <w:rPr>
          <w:rFonts w:ascii="Times New Roman" w:hAnsi="Times New Roman" w:cs="Times New Roman"/>
          <w:sz w:val="24"/>
          <w:szCs w:val="24"/>
        </w:rPr>
      </w:pPr>
      <w:bookmarkStart w:id="35" w:name="_Hlk178774506"/>
      <w:r>
        <w:rPr>
          <w:rFonts w:ascii="Times New Roman" w:hAnsi="Times New Roman" w:cs="Times New Roman"/>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14567DCE">
      <w:pPr>
        <w:pStyle w:val="99"/>
        <w:spacing w:line="288" w:lineRule="auto"/>
        <w:ind w:left="0" w:firstLine="0"/>
        <w:contextualSpacing/>
        <w:rPr>
          <w:rFonts w:ascii="Times New Roman" w:hAnsi="Times New Roman" w:cs="Times New Roman"/>
          <w:sz w:val="24"/>
          <w:szCs w:val="24"/>
        </w:rPr>
      </w:pPr>
    </w:p>
    <w:p w14:paraId="5524FE88">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p>
    <w:bookmarkEnd w:id="35"/>
    <w:p w14:paraId="0745982D">
      <w:pPr>
        <w:pStyle w:val="99"/>
        <w:spacing w:line="288" w:lineRule="auto"/>
        <w:ind w:left="0" w:firstLine="0"/>
        <w:contextualSpacing/>
        <w:rPr>
          <w:rFonts w:ascii="Times New Roman" w:hAnsi="Times New Roman" w:cs="Times New Roman"/>
          <w:sz w:val="24"/>
          <w:szCs w:val="24"/>
        </w:rPr>
      </w:pPr>
    </w:p>
    <w:p w14:paraId="13EBB7FD">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54FE1CE1">
      <w:pPr>
        <w:pStyle w:val="99"/>
        <w:spacing w:line="288" w:lineRule="auto"/>
        <w:ind w:left="0" w:firstLine="0"/>
        <w:contextualSpacing/>
        <w:rPr>
          <w:rFonts w:ascii="Times New Roman" w:hAnsi="Times New Roman" w:cs="Times New Roman"/>
          <w:sz w:val="24"/>
          <w:szCs w:val="24"/>
        </w:rPr>
      </w:pPr>
    </w:p>
    <w:p w14:paraId="33A6D7E1">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2B49B0C">
      <w:pPr>
        <w:pStyle w:val="99"/>
        <w:spacing w:line="288" w:lineRule="auto"/>
        <w:ind w:left="0" w:firstLine="0"/>
        <w:contextualSpacing/>
        <w:rPr>
          <w:rFonts w:ascii="Times New Roman" w:hAnsi="Times New Roman" w:cs="Times New Roman"/>
          <w:sz w:val="24"/>
          <w:szCs w:val="24"/>
        </w:rPr>
      </w:pPr>
    </w:p>
    <w:p w14:paraId="05ACD9B4">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16.5.3 Persistindo a irregularidade, o contratante deverá adotar as medidas necessárias à rescisão do Contrato nos autos do processo administrativo correspondente, assegurada ao contratado a ampla defesa.</w:t>
      </w:r>
    </w:p>
    <w:p w14:paraId="532886A9">
      <w:pPr>
        <w:pStyle w:val="99"/>
        <w:spacing w:line="288" w:lineRule="auto"/>
        <w:ind w:left="0" w:firstLine="0"/>
        <w:contextualSpacing/>
        <w:rPr>
          <w:rFonts w:ascii="Times New Roman" w:hAnsi="Times New Roman" w:cs="Times New Roman"/>
          <w:sz w:val="24"/>
          <w:szCs w:val="24"/>
        </w:rPr>
      </w:pPr>
    </w:p>
    <w:p w14:paraId="54C2EB0B">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16.5.4 Havendo a efetiva execução do objeto, os pagamentos serão realizados normalmente, até que se decida pela rescisão do Contrato, caso o contratado não regularize sua situação.</w:t>
      </w:r>
    </w:p>
    <w:p w14:paraId="54BFE32E">
      <w:pPr>
        <w:pStyle w:val="99"/>
        <w:spacing w:line="288" w:lineRule="auto"/>
        <w:ind w:left="0" w:firstLine="0"/>
        <w:contextualSpacing/>
        <w:rPr>
          <w:rFonts w:ascii="Times New Roman" w:hAnsi="Times New Roman" w:cs="Times New Roman"/>
          <w:sz w:val="24"/>
          <w:szCs w:val="24"/>
        </w:rPr>
      </w:pPr>
    </w:p>
    <w:p w14:paraId="607B41E9">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16.6 O pagamento será efetuado no prazo máximo de até </w:t>
      </w:r>
      <w:r>
        <w:rPr>
          <w:rFonts w:ascii="Times New Roman" w:hAnsi="Times New Roman" w:cs="Times New Roman"/>
          <w:color w:val="000000" w:themeColor="text1"/>
          <w:sz w:val="24"/>
          <w:szCs w:val="24"/>
          <w14:textFill>
            <w14:solidFill>
              <w14:schemeClr w14:val="tx1"/>
            </w14:solidFill>
          </w14:textFill>
        </w:rPr>
        <w:t>30 (trinta) dias</w:t>
      </w:r>
      <w:r>
        <w:rPr>
          <w:rFonts w:ascii="Times New Roman" w:hAnsi="Times New Roman" w:cs="Times New Roman"/>
          <w:sz w:val="24"/>
          <w:szCs w:val="24"/>
        </w:rPr>
        <w:t xml:space="preserve">, contados do recebimento da Nota Fiscal ou Fatura. </w:t>
      </w:r>
    </w:p>
    <w:p w14:paraId="739C7E8E">
      <w:pPr>
        <w:pStyle w:val="99"/>
        <w:spacing w:line="288" w:lineRule="auto"/>
        <w:ind w:left="0" w:firstLine="0"/>
        <w:contextualSpacing/>
        <w:rPr>
          <w:rFonts w:ascii="Times New Roman" w:hAnsi="Times New Roman" w:cs="Times New Roman"/>
          <w:sz w:val="24"/>
          <w:szCs w:val="24"/>
        </w:rPr>
      </w:pPr>
    </w:p>
    <w:p w14:paraId="55AFF18A">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59D220F6">
      <w:pPr>
        <w:pStyle w:val="99"/>
        <w:spacing w:line="288" w:lineRule="auto"/>
        <w:ind w:left="0" w:firstLine="0"/>
        <w:contextualSpacing/>
        <w:rPr>
          <w:rFonts w:ascii="Times New Roman" w:hAnsi="Times New Roman" w:cs="Times New Roman"/>
          <w:sz w:val="24"/>
          <w:szCs w:val="24"/>
        </w:rPr>
      </w:pPr>
    </w:p>
    <w:p w14:paraId="6D47516F">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16.7 Quando do pagamento, será efetuada a retenção tributária prevista na legislação aplicável.</w:t>
      </w:r>
    </w:p>
    <w:p w14:paraId="640C07E2">
      <w:pPr>
        <w:pStyle w:val="99"/>
        <w:spacing w:line="288" w:lineRule="auto"/>
        <w:ind w:left="0" w:firstLine="0"/>
        <w:contextualSpacing/>
        <w:rPr>
          <w:rFonts w:ascii="Times New Roman" w:hAnsi="Times New Roman" w:cs="Times New Roman"/>
          <w:sz w:val="24"/>
          <w:szCs w:val="24"/>
        </w:rPr>
      </w:pPr>
    </w:p>
    <w:p w14:paraId="3C974CFB">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16.7.1 Independentemente do percentual de tributo inserido na planilha, no pagamento serão retidos na fonte os percentuais estabelecidos na legislação vigente.</w:t>
      </w:r>
    </w:p>
    <w:p w14:paraId="137117E5">
      <w:pPr>
        <w:pStyle w:val="99"/>
        <w:spacing w:line="288" w:lineRule="auto"/>
        <w:ind w:left="0" w:firstLine="0"/>
        <w:contextualSpacing/>
        <w:rPr>
          <w:rFonts w:ascii="Times New Roman" w:hAnsi="Times New Roman" w:cs="Times New Roman"/>
          <w:sz w:val="24"/>
          <w:szCs w:val="24"/>
        </w:rPr>
      </w:pPr>
    </w:p>
    <w:p w14:paraId="74AE7671">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6402CD7A">
      <w:pPr>
        <w:pStyle w:val="99"/>
        <w:spacing w:line="288" w:lineRule="auto"/>
        <w:ind w:left="0" w:firstLine="0"/>
        <w:contextualSpacing/>
        <w:rPr>
          <w:rFonts w:ascii="Times New Roman" w:hAnsi="Times New Roman" w:cs="Times New Roman"/>
          <w:sz w:val="24"/>
          <w:szCs w:val="24"/>
        </w:rPr>
      </w:pPr>
    </w:p>
    <w:p w14:paraId="5A91A80C">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16.8 Os pagamentos eventualmente realizados com atraso, desde que não decorram de ato ou fato atribuível ao contratado, sofrerão a incidência de atualização monetária e juros de mora pelo </w:t>
      </w:r>
      <w:r>
        <w:rPr>
          <w:rFonts w:ascii="Times New Roman" w:hAnsi="Times New Roman" w:cs="Times New Roman"/>
          <w:bCs/>
          <w:color w:val="auto"/>
          <w:sz w:val="24"/>
          <w:szCs w:val="24"/>
        </w:rPr>
        <w:t>IPCA-E</w:t>
      </w:r>
      <w:r>
        <w:rPr>
          <w:rFonts w:ascii="Times New Roman" w:hAnsi="Times New Roman" w:cs="Times New Roman"/>
          <w:sz w:val="24"/>
          <w:szCs w:val="24"/>
        </w:rPr>
        <w:t xml:space="preserve">, calculado </w:t>
      </w:r>
      <w:r>
        <w:rPr>
          <w:rFonts w:ascii="Times New Roman" w:hAnsi="Times New Roman" w:cs="Times New Roman"/>
          <w:i/>
          <w:sz w:val="24"/>
          <w:szCs w:val="24"/>
        </w:rPr>
        <w:t>pro rata die</w:t>
      </w:r>
      <w:r>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Pr>
          <w:rFonts w:ascii="Times New Roman" w:hAnsi="Times New Roman" w:cs="Times New Roman"/>
          <w:i/>
          <w:sz w:val="24"/>
          <w:szCs w:val="24"/>
        </w:rPr>
        <w:t>pro rata die.</w:t>
      </w:r>
    </w:p>
    <w:p w14:paraId="20E8AF53">
      <w:pPr>
        <w:pStyle w:val="99"/>
        <w:spacing w:line="288" w:lineRule="auto"/>
        <w:ind w:left="0" w:firstLine="0"/>
        <w:contextualSpacing/>
        <w:rPr>
          <w:rFonts w:ascii="Times New Roman" w:hAnsi="Times New Roman" w:cs="Times New Roman"/>
          <w:sz w:val="24"/>
          <w:szCs w:val="24"/>
        </w:rPr>
      </w:pPr>
    </w:p>
    <w:p w14:paraId="199ACA43">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Pr>
          <w:rFonts w:ascii="Times New Roman" w:hAnsi="Times New Roman" w:cs="Times New Roman"/>
          <w:i/>
          <w:sz w:val="24"/>
          <w:szCs w:val="24"/>
        </w:rPr>
        <w:t xml:space="preserve">a, b, c, d </w:t>
      </w:r>
      <w:r>
        <w:rPr>
          <w:rFonts w:ascii="Times New Roman" w:hAnsi="Times New Roman" w:cs="Times New Roman"/>
          <w:sz w:val="24"/>
          <w:szCs w:val="24"/>
        </w:rPr>
        <w:t xml:space="preserve">e </w:t>
      </w:r>
      <w:r>
        <w:rPr>
          <w:rFonts w:ascii="Times New Roman" w:hAnsi="Times New Roman" w:cs="Times New Roman"/>
          <w:i/>
          <w:sz w:val="24"/>
          <w:szCs w:val="24"/>
        </w:rPr>
        <w:t xml:space="preserve">e, </w:t>
      </w:r>
      <w:r>
        <w:rPr>
          <w:rFonts w:ascii="Times New Roman" w:hAnsi="Times New Roman" w:cs="Times New Roman"/>
          <w:sz w:val="24"/>
          <w:szCs w:val="24"/>
        </w:rPr>
        <w:t>do §1º, do art. 2º da Resolução SEFAZ nº 971/2016.</w:t>
      </w:r>
    </w:p>
    <w:p w14:paraId="624E2E46">
      <w:pPr>
        <w:pStyle w:val="99"/>
        <w:spacing w:line="288" w:lineRule="auto"/>
        <w:ind w:left="0" w:firstLine="0"/>
        <w:contextualSpacing/>
        <w:rPr>
          <w:rFonts w:ascii="Times New Roman" w:hAnsi="Times New Roman" w:cs="Times New Roman"/>
          <w:sz w:val="24"/>
          <w:szCs w:val="24"/>
        </w:rPr>
      </w:pPr>
    </w:p>
    <w:p w14:paraId="6C522DA3">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16.10 Caso o Edital admita a subcontratação, os pagamentos aos subcontratados serão realizados diretamente pelo contratado, ficando vedada a emissão de empenho do contratante diretamente aos subcontratados.</w:t>
      </w:r>
    </w:p>
    <w:p w14:paraId="27ADA9DF">
      <w:pPr>
        <w:pStyle w:val="99"/>
        <w:spacing w:line="288" w:lineRule="auto"/>
        <w:ind w:left="0" w:firstLine="0"/>
        <w:contextualSpacing/>
        <w:rPr>
          <w:rFonts w:ascii="Times New Roman" w:hAnsi="Times New Roman" w:cs="Times New Roman"/>
          <w:sz w:val="24"/>
          <w:szCs w:val="24"/>
        </w:rPr>
      </w:pPr>
    </w:p>
    <w:p w14:paraId="12079C62">
      <w:pPr>
        <w:pStyle w:val="99"/>
        <w:spacing w:before="288" w:beforeLines="120" w:after="288" w:afterLines="120" w:line="288" w:lineRule="auto"/>
        <w:ind w:left="0" w:firstLine="0"/>
        <w:contextualSpacing/>
        <w:rPr>
          <w:sz w:val="24"/>
          <w:szCs w:val="24"/>
        </w:rPr>
      </w:pPr>
      <w:r>
        <w:rPr>
          <w:rFonts w:ascii="Times New Roman" w:hAnsi="Times New Roman" w:cs="Times New Roman"/>
          <w:sz w:val="24"/>
          <w:szCs w:val="24"/>
        </w:rPr>
        <w:t>16.10.1 A subcontratação porventura realizada será integralmente custeada pelo contratado.</w:t>
      </w:r>
    </w:p>
    <w:p w14:paraId="70363E72">
      <w:pPr>
        <w:pStyle w:val="97"/>
        <w:spacing w:before="0" w:beforeAutospacing="0" w:after="0" w:afterAutospacing="0" w:line="288" w:lineRule="auto"/>
        <w:contextualSpacing/>
        <w:jc w:val="both"/>
        <w:rPr>
          <w:rFonts w:eastAsia="Calibri"/>
          <w:lang w:eastAsia="en-US"/>
        </w:rPr>
      </w:pPr>
    </w:p>
    <w:p w14:paraId="6C0695B2">
      <w:pPr>
        <w:pStyle w:val="97"/>
        <w:spacing w:before="0" w:beforeAutospacing="0" w:after="0" w:afterAutospacing="0" w:line="288" w:lineRule="auto"/>
        <w:contextualSpacing/>
        <w:jc w:val="both"/>
        <w:rPr>
          <w:rFonts w:eastAsia="Calibri"/>
          <w:b/>
          <w:bCs/>
          <w:lang w:eastAsia="en-US"/>
        </w:rPr>
      </w:pPr>
      <w:r>
        <w:rPr>
          <w:rFonts w:eastAsia="Calibri"/>
          <w:b/>
          <w:bCs/>
          <w:lang w:eastAsia="en-US"/>
        </w:rPr>
        <w:t xml:space="preserve">17. PRAZO CONTRATUAL </w:t>
      </w:r>
    </w:p>
    <w:p w14:paraId="53A9B849">
      <w:pPr>
        <w:pStyle w:val="99"/>
        <w:spacing w:before="0" w:after="0" w:line="288" w:lineRule="auto"/>
        <w:ind w:left="0" w:firstLine="0"/>
        <w:contextualSpacing/>
        <w:rPr>
          <w:rFonts w:ascii="Times New Roman" w:hAnsi="Times New Roman" w:cs="Times New Roman"/>
          <w:sz w:val="24"/>
          <w:szCs w:val="24"/>
        </w:rPr>
      </w:pPr>
    </w:p>
    <w:p w14:paraId="310FB4A4">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17.1 O prazo de vigência do Contrato é de </w:t>
      </w:r>
      <w:r>
        <w:rPr>
          <w:rFonts w:ascii="Times New Roman" w:hAnsi="Times New Roman" w:cs="Times New Roman"/>
          <w:color w:val="000000" w:themeColor="text1"/>
          <w:sz w:val="24"/>
          <w:szCs w:val="24"/>
          <w14:textFill>
            <w14:solidFill>
              <w14:schemeClr w14:val="tx1"/>
            </w14:solidFill>
          </w14:textFill>
        </w:rPr>
        <w:t>12 meses</w:t>
      </w:r>
      <w:r>
        <w:rPr>
          <w:rFonts w:ascii="Times New Roman" w:hAnsi="Times New Roman" w:cs="Times New Roman"/>
          <w:sz w:val="24"/>
          <w:szCs w:val="24"/>
        </w:rPr>
        <w:t xml:space="preserve">, contado da data da </w:t>
      </w:r>
      <w:r>
        <w:rPr>
          <w:rFonts w:ascii="Times New Roman" w:hAnsi="Times New Roman" w:cs="Times New Roman"/>
          <w:iCs/>
          <w:sz w:val="24"/>
          <w:szCs w:val="24"/>
        </w:rPr>
        <w:t>divulgação no Portal Nacional de Contratações Públicas</w:t>
      </w:r>
      <w:r>
        <w:rPr>
          <w:rFonts w:ascii="Times New Roman" w:hAnsi="Times New Roman" w:cs="Times New Roman"/>
          <w:sz w:val="24"/>
          <w:szCs w:val="24"/>
        </w:rPr>
        <w:t>.</w:t>
      </w:r>
    </w:p>
    <w:p w14:paraId="4291D58A">
      <w:pPr>
        <w:pStyle w:val="99"/>
        <w:spacing w:after="0" w:line="288" w:lineRule="auto"/>
        <w:ind w:left="0" w:firstLine="0"/>
        <w:contextualSpacing/>
        <w:rPr>
          <w:rFonts w:ascii="Times New Roman" w:hAnsi="Times New Roman" w:cs="Times New Roman"/>
          <w:color w:val="auto"/>
          <w:sz w:val="24"/>
          <w:szCs w:val="24"/>
        </w:rPr>
      </w:pPr>
    </w:p>
    <w:p w14:paraId="6FB9E06D">
      <w:pPr>
        <w:pStyle w:val="99"/>
        <w:spacing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17.2 O prazo de vigência será automaticamente prorrogado,</w:t>
      </w:r>
      <w:r>
        <w:rPr>
          <w:rFonts w:ascii="Times New Roman" w:hAnsi="Times New Roman" w:cs="Times New Roman"/>
          <w:bCs/>
          <w:iCs/>
          <w:color w:val="auto"/>
          <w:sz w:val="24"/>
          <w:szCs w:val="24"/>
        </w:rPr>
        <w:t xml:space="preserve"> sem prejuízo da formalização adequada,</w:t>
      </w:r>
      <w:r>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w:t>
      </w:r>
      <w:r>
        <w:rPr>
          <w:rFonts w:ascii="Times New Roman" w:hAnsi="Times New Roman" w:cs="Times New Roman"/>
          <w:sz w:val="24"/>
          <w:szCs w:val="24"/>
        </w:rPr>
        <w:t> </w:t>
      </w:r>
    </w:p>
    <w:p w14:paraId="48E3B8DF">
      <w:pPr>
        <w:pStyle w:val="99"/>
        <w:spacing w:after="0" w:line="288" w:lineRule="auto"/>
        <w:ind w:left="0" w:firstLine="0"/>
        <w:contextualSpacing/>
        <w:rPr>
          <w:rFonts w:ascii="Times New Roman" w:hAnsi="Times New Roman" w:cs="Times New Roman"/>
          <w:sz w:val="24"/>
          <w:szCs w:val="24"/>
        </w:rPr>
      </w:pPr>
    </w:p>
    <w:p w14:paraId="633825D7">
      <w:pPr>
        <w:pStyle w:val="97"/>
        <w:spacing w:before="0" w:beforeAutospacing="0" w:after="0" w:afterAutospacing="0" w:line="288" w:lineRule="auto"/>
        <w:contextualSpacing/>
        <w:jc w:val="both"/>
      </w:pPr>
      <w:r>
        <w:rPr>
          <w:rFonts w:eastAsia="Calibri"/>
          <w:b/>
          <w:bCs/>
          <w:lang w:eastAsia="en-US"/>
        </w:rPr>
        <w:t xml:space="preserve">18. REAJUSTE </w:t>
      </w:r>
    </w:p>
    <w:p w14:paraId="7C10995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 Os preços contratados serão reajustados após o interregno de 1 (um) ano, mediante solicitação do contratado.</w:t>
      </w:r>
    </w:p>
    <w:p w14:paraId="23D7C8EB">
      <w:pPr>
        <w:pStyle w:val="99"/>
        <w:spacing w:before="288" w:beforeLines="120" w:after="288" w:afterLines="120" w:line="288" w:lineRule="auto"/>
        <w:ind w:left="0" w:firstLine="0"/>
        <w:contextualSpacing/>
        <w:rPr>
          <w:rFonts w:ascii="Times New Roman" w:hAnsi="Times New Roman" w:cs="Times New Roman"/>
          <w:sz w:val="24"/>
          <w:szCs w:val="24"/>
        </w:rPr>
      </w:pPr>
    </w:p>
    <w:p w14:paraId="2843B44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18.2 O interregno mínimo de 1 (um) ano para o primeiro reajuste será contado da data do orçamento estimado. </w:t>
      </w:r>
    </w:p>
    <w:p w14:paraId="486766D3">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1E0897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18.3 </w:t>
      </w:r>
      <w:r>
        <w:rPr>
          <w:rFonts w:ascii="Times New Roman" w:hAnsi="Times New Roman" w:cs="Times New Roman"/>
          <w:sz w:val="24"/>
          <w:szCs w:val="24"/>
        </w:rPr>
        <w:t>Nos reajustes subsequentes ao primeiro, o interregno mínimo de um ano será contado a partir do fato gerador que deu ensejo ao último reajuste.</w:t>
      </w:r>
    </w:p>
    <w:p w14:paraId="5E075C45">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B6BB76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18.4 </w:t>
      </w:r>
      <w:r>
        <w:rPr>
          <w:rFonts w:ascii="Times New Roman" w:hAnsi="Times New Roman" w:cs="Times New Roman"/>
          <w:sz w:val="24"/>
          <w:szCs w:val="24"/>
        </w:rPr>
        <w:t>Os preços iniciais serão reajustados, mediante a aplicação, pelo contratante, do índice IPCA, exclusivamente para as obrigações que se iniciem após a anualidade.</w:t>
      </w:r>
    </w:p>
    <w:p w14:paraId="4E68D42C">
      <w:pPr>
        <w:pStyle w:val="99"/>
        <w:spacing w:before="288" w:beforeLines="120" w:after="288" w:afterLines="120" w:line="288" w:lineRule="auto"/>
        <w:ind w:left="0" w:firstLine="0"/>
        <w:contextualSpacing/>
        <w:rPr>
          <w:rFonts w:ascii="Times New Roman" w:hAnsi="Times New Roman" w:cs="Times New Roman"/>
          <w:color w:val="FF0000"/>
          <w:sz w:val="24"/>
          <w:szCs w:val="24"/>
        </w:rPr>
      </w:pPr>
      <w:bookmarkStart w:id="36" w:name="_Hlk153284733"/>
    </w:p>
    <w:bookmarkEnd w:id="36"/>
    <w:p w14:paraId="26A07454">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749B73E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18.5 </w:t>
      </w:r>
      <w:r>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0ABA90BB">
      <w:pPr>
        <w:pStyle w:val="99"/>
        <w:spacing w:before="288" w:beforeLines="120" w:after="288" w:afterLines="120" w:line="288" w:lineRule="auto"/>
        <w:ind w:left="0" w:firstLine="0"/>
        <w:contextualSpacing/>
        <w:rPr>
          <w:rFonts w:ascii="Times New Roman" w:hAnsi="Times New Roman" w:cs="Times New Roman"/>
          <w:sz w:val="24"/>
          <w:szCs w:val="24"/>
        </w:rPr>
      </w:pPr>
    </w:p>
    <w:p w14:paraId="324F1CB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18.5.1 Fica o contratado obrigado a apresentar memória de cálculo referente ao reajustamento de preços do valor remanescente, sempre que este ocorrer, sendo adotado na aferição final o índice definitivo.</w:t>
      </w:r>
    </w:p>
    <w:p w14:paraId="200E7174">
      <w:pPr>
        <w:pStyle w:val="99"/>
        <w:spacing w:before="288" w:beforeLines="120" w:after="288" w:afterLines="120" w:line="288" w:lineRule="auto"/>
        <w:ind w:left="0" w:firstLine="0"/>
        <w:contextualSpacing/>
        <w:rPr>
          <w:rFonts w:ascii="Times New Roman" w:hAnsi="Times New Roman" w:cs="Times New Roman"/>
          <w:sz w:val="24"/>
          <w:szCs w:val="24"/>
        </w:rPr>
      </w:pPr>
    </w:p>
    <w:p w14:paraId="65232D1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18.6 Caso o(s) índice(s) estabelecido(s) para reajustamento venha(m) a ser extinto(s) ou de qualquer forma não possa(m) mais ser utilizado(s), será(ão) adotado(s), em substituição, o(s) que vier(em) a ser determinado(s) pela legislação então em vigor.</w:t>
      </w:r>
    </w:p>
    <w:p w14:paraId="118646F8">
      <w:pPr>
        <w:pStyle w:val="99"/>
        <w:spacing w:before="288" w:beforeLines="120" w:after="288" w:afterLines="120" w:line="288" w:lineRule="auto"/>
        <w:ind w:left="0" w:firstLine="0"/>
        <w:contextualSpacing/>
        <w:rPr>
          <w:rFonts w:ascii="Times New Roman" w:hAnsi="Times New Roman" w:cs="Times New Roman"/>
          <w:sz w:val="24"/>
          <w:szCs w:val="24"/>
        </w:rPr>
      </w:pPr>
    </w:p>
    <w:p w14:paraId="675D499F">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18.7 Na ausência de previsão legal quanto ao índice substituto, as partes elegerão novo índice oficial, para reajustamento do preço do valor remanescente, por meio de termo aditivo.</w:t>
      </w:r>
    </w:p>
    <w:p w14:paraId="00DE3514">
      <w:pPr>
        <w:pStyle w:val="99"/>
        <w:spacing w:before="288" w:beforeLines="120" w:after="288" w:afterLines="120" w:line="288" w:lineRule="auto"/>
        <w:ind w:left="0" w:firstLine="0"/>
        <w:contextualSpacing/>
        <w:rPr>
          <w:rFonts w:ascii="Times New Roman" w:hAnsi="Times New Roman" w:cs="Times New Roman"/>
          <w:sz w:val="24"/>
          <w:szCs w:val="24"/>
        </w:rPr>
      </w:pPr>
    </w:p>
    <w:p w14:paraId="67A6EB5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18.8 O pedido de reajuste deverá ser formulado durante a vigência do contrato e antes de eventual prorrogação contratual, sob pena de preclusão.</w:t>
      </w:r>
    </w:p>
    <w:p w14:paraId="099FA02F">
      <w:pPr>
        <w:pStyle w:val="99"/>
        <w:spacing w:before="288" w:beforeLines="120" w:after="288" w:afterLines="120" w:line="288" w:lineRule="auto"/>
        <w:ind w:left="0" w:firstLine="0"/>
        <w:contextualSpacing/>
        <w:rPr>
          <w:rFonts w:ascii="Times New Roman" w:hAnsi="Times New Roman" w:cs="Times New Roman"/>
          <w:sz w:val="24"/>
          <w:szCs w:val="24"/>
        </w:rPr>
      </w:pPr>
    </w:p>
    <w:p w14:paraId="4BD0EAC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18.8.1 Os efeitos financeiros do pedido de reajuste serão contados:</w:t>
      </w:r>
    </w:p>
    <w:p w14:paraId="28CB23D1">
      <w:pPr>
        <w:pStyle w:val="99"/>
        <w:spacing w:before="288" w:beforeLines="120" w:after="288" w:afterLines="120" w:line="288" w:lineRule="auto"/>
        <w:ind w:left="0" w:firstLine="0"/>
        <w:contextualSpacing/>
        <w:rPr>
          <w:rFonts w:ascii="Times New Roman" w:hAnsi="Times New Roman" w:cs="Times New Roman"/>
          <w:sz w:val="24"/>
          <w:szCs w:val="24"/>
        </w:rPr>
      </w:pPr>
    </w:p>
    <w:p w14:paraId="1429CEC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 data-base prevista no contrato, desde que requerido o reajuste no prazo de 60 (sessenta) dias da data de publicação do índice ajustado contratualmente;</w:t>
      </w:r>
    </w:p>
    <w:p w14:paraId="22EDCD6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data do requerimento do contratado, caso o pedido seja formulado após o prazo fixado na alínea a, acima, o que não acarretará a alteração do marco para cômputo da anualidade do reajustamento, já adotado no edital e no contrato.</w:t>
      </w:r>
    </w:p>
    <w:p w14:paraId="17EDDBF6">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1B1C234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18.9 </w:t>
      </w:r>
      <w:r>
        <w:rPr>
          <w:rFonts w:ascii="Times New Roman" w:hAnsi="Times New Roman" w:cs="Times New Roman"/>
          <w:sz w:val="24"/>
          <w:szCs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2182AD32">
      <w:pPr>
        <w:pStyle w:val="99"/>
        <w:spacing w:before="288" w:beforeLines="120" w:after="288" w:afterLines="120" w:line="288" w:lineRule="auto"/>
        <w:ind w:left="0" w:firstLine="0"/>
        <w:contextualSpacing/>
        <w:rPr>
          <w:rFonts w:ascii="Times New Roman" w:hAnsi="Times New Roman" w:cs="Times New Roman"/>
          <w:sz w:val="24"/>
          <w:szCs w:val="24"/>
        </w:rPr>
      </w:pPr>
    </w:p>
    <w:p w14:paraId="2D3B0C71">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18.10 A extinção do contrato não configurará óbice para o deferimento do reajuste solicitado tempestivamente, hipótese em que será concedido por meio de termo indenizatório.</w:t>
      </w:r>
    </w:p>
    <w:p w14:paraId="4D590425">
      <w:pPr>
        <w:pStyle w:val="99"/>
        <w:spacing w:before="288" w:beforeLines="120" w:after="288" w:afterLines="120" w:line="288" w:lineRule="auto"/>
        <w:ind w:left="0" w:firstLine="0"/>
        <w:contextualSpacing/>
        <w:rPr>
          <w:rFonts w:ascii="Times New Roman" w:hAnsi="Times New Roman" w:cs="Times New Roman"/>
          <w:sz w:val="24"/>
          <w:szCs w:val="24"/>
        </w:rPr>
      </w:pPr>
    </w:p>
    <w:p w14:paraId="6B00E90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18.11 O reajuste será realizado por apostilamento, se esta for a única alteração contratual a ser realizada.</w:t>
      </w:r>
    </w:p>
    <w:p w14:paraId="1CF815AC">
      <w:pPr>
        <w:pStyle w:val="99"/>
        <w:spacing w:before="288" w:beforeLines="120" w:after="288" w:afterLines="120" w:line="288" w:lineRule="auto"/>
        <w:ind w:left="0" w:firstLine="0"/>
        <w:contextualSpacing/>
        <w:rPr>
          <w:rFonts w:ascii="Times New Roman" w:hAnsi="Times New Roman" w:cs="Times New Roman"/>
          <w:sz w:val="24"/>
          <w:szCs w:val="24"/>
        </w:rPr>
      </w:pPr>
    </w:p>
    <w:p w14:paraId="74642B71">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18.12 O reajuste de preços não interfere no direito das partes de solicitar, a qualquer momento, a manutenção do equilíbrio econômico dos contratos com base no disposto no art. 124, inciso II, alínea “d”, da Lei n.º 14.133/2021.</w:t>
      </w:r>
    </w:p>
    <w:p w14:paraId="41E38496">
      <w:pPr>
        <w:pStyle w:val="97"/>
        <w:spacing w:before="0" w:beforeAutospacing="0" w:after="0" w:afterAutospacing="0" w:line="288" w:lineRule="auto"/>
        <w:contextualSpacing/>
        <w:jc w:val="both"/>
        <w:rPr>
          <w:rFonts w:eastAsia="Calibri"/>
          <w:b/>
          <w:bCs/>
          <w:lang w:eastAsia="en-US"/>
        </w:rPr>
      </w:pPr>
      <w:r>
        <w:rPr>
          <w:rFonts w:eastAsia="Calibri"/>
          <w:b/>
          <w:bCs/>
          <w:lang w:eastAsia="en-US"/>
        </w:rPr>
        <w:t>19. EXECUÇÃO, GESTÃO E FISCALIZAÇÃO CONTRATUAIS</w:t>
      </w:r>
    </w:p>
    <w:p w14:paraId="5062561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19.1 O regime de execução contratual, o modelo de gestão e a fiscalização, assim como os prazos e condições de conclusão, entrega, observação e recebimento se submetem ao disposto no Termo de Referência anexo a este Edital, na forma do Decreto nº 40/2025.</w:t>
      </w:r>
    </w:p>
    <w:p w14:paraId="64CD68A1">
      <w:pPr>
        <w:pStyle w:val="74"/>
        <w:spacing w:line="360" w:lineRule="auto"/>
        <w:jc w:val="both"/>
        <w:rPr>
          <w:rFonts w:ascii="Times New Roman" w:hAnsi="Times New Roman" w:eastAsia="Times New Roman" w:cs="Times New Roman"/>
          <w:lang w:eastAsia="pt-BR"/>
        </w:rPr>
      </w:pPr>
    </w:p>
    <w:p w14:paraId="26783F6E">
      <w:pPr>
        <w:pStyle w:val="74"/>
        <w:spacing w:line="360" w:lineRule="auto"/>
        <w:jc w:val="both"/>
        <w:rPr>
          <w:rFonts w:ascii="Times New Roman" w:hAnsi="Times New Roman" w:cs="Times New Roman"/>
          <w:color w:val="auto"/>
        </w:rPr>
      </w:pPr>
    </w:p>
    <w:p w14:paraId="678E9EC1">
      <w:pPr>
        <w:spacing w:line="288" w:lineRule="auto"/>
        <w:contextualSpacing/>
        <w:jc w:val="both"/>
        <w:rPr>
          <w:b/>
          <w:bCs/>
          <w:sz w:val="24"/>
          <w:szCs w:val="24"/>
        </w:rPr>
      </w:pPr>
      <w:r>
        <w:rPr>
          <w:b/>
          <w:bCs/>
          <w:sz w:val="24"/>
          <w:szCs w:val="24"/>
        </w:rPr>
        <w:t>20. DAS INFRAÇÕES ADMINISTRATIVAS E SANÇÕES</w:t>
      </w:r>
    </w:p>
    <w:p w14:paraId="656D347E">
      <w:pPr>
        <w:spacing w:line="288" w:lineRule="auto"/>
        <w:contextualSpacing/>
        <w:jc w:val="both"/>
        <w:rPr>
          <w:sz w:val="24"/>
          <w:szCs w:val="24"/>
        </w:rPr>
      </w:pPr>
    </w:p>
    <w:p w14:paraId="2983B292">
      <w:pPr>
        <w:spacing w:line="288" w:lineRule="auto"/>
        <w:contextualSpacing/>
        <w:jc w:val="both"/>
        <w:rPr>
          <w:color w:val="000000"/>
          <w:sz w:val="24"/>
          <w:szCs w:val="24"/>
        </w:rPr>
      </w:pPr>
      <w:r>
        <w:rPr>
          <w:color w:val="000000"/>
          <w:sz w:val="24"/>
          <w:szCs w:val="24"/>
        </w:rPr>
        <w:t>20.1 Constitui infração administrativa, a prática, pelo licitante ou contratado, das seguintes condutas previstas no art. 155 da Lei nº 14.133/2021:</w:t>
      </w:r>
    </w:p>
    <w:p w14:paraId="3C665AFD">
      <w:pPr>
        <w:spacing w:line="288" w:lineRule="auto"/>
        <w:contextualSpacing/>
        <w:jc w:val="both"/>
        <w:rPr>
          <w:color w:val="000000"/>
          <w:sz w:val="24"/>
          <w:szCs w:val="24"/>
        </w:rPr>
      </w:pPr>
    </w:p>
    <w:p w14:paraId="3DBD6E7B">
      <w:pPr>
        <w:spacing w:line="288" w:lineRule="auto"/>
        <w:contextualSpacing/>
        <w:jc w:val="both"/>
        <w:rPr>
          <w:sz w:val="24"/>
          <w:szCs w:val="24"/>
        </w:rPr>
      </w:pPr>
      <w:bookmarkStart w:id="37" w:name="_Hlk183789048"/>
      <w:r>
        <w:rPr>
          <w:color w:val="000000"/>
          <w:sz w:val="24"/>
          <w:szCs w:val="24"/>
        </w:rPr>
        <w:t>2</w:t>
      </w:r>
      <w:bookmarkEnd w:id="37"/>
      <w:r>
        <w:rPr>
          <w:color w:val="000000"/>
          <w:sz w:val="24"/>
          <w:szCs w:val="24"/>
        </w:rPr>
        <w:t>0.1.1 dar causa à inexecução parcial do contrato</w:t>
      </w:r>
      <w:r>
        <w:rPr>
          <w:sz w:val="24"/>
          <w:szCs w:val="24"/>
        </w:rPr>
        <w:t>;</w:t>
      </w:r>
    </w:p>
    <w:p w14:paraId="274444F8">
      <w:pPr>
        <w:spacing w:line="288" w:lineRule="auto"/>
        <w:contextualSpacing/>
        <w:jc w:val="both"/>
        <w:rPr>
          <w:sz w:val="24"/>
          <w:szCs w:val="24"/>
        </w:rPr>
      </w:pPr>
    </w:p>
    <w:p w14:paraId="0116A13C">
      <w:pPr>
        <w:spacing w:line="288" w:lineRule="auto"/>
        <w:contextualSpacing/>
        <w:jc w:val="both"/>
        <w:rPr>
          <w:sz w:val="24"/>
          <w:szCs w:val="24"/>
        </w:rPr>
      </w:pPr>
      <w:r>
        <w:rPr>
          <w:color w:val="000000"/>
          <w:sz w:val="24"/>
          <w:szCs w:val="24"/>
        </w:rPr>
        <w:t>20.1.2 dar causa à inexecução parcial do contrato que cause grave dano à Administração, ao funcionamento dos serviços públicos ou ao interesse coletivo;</w:t>
      </w:r>
    </w:p>
    <w:p w14:paraId="5C3424AE">
      <w:pPr>
        <w:spacing w:line="288" w:lineRule="auto"/>
        <w:contextualSpacing/>
        <w:jc w:val="both"/>
        <w:rPr>
          <w:color w:val="000000"/>
          <w:sz w:val="24"/>
          <w:szCs w:val="24"/>
        </w:rPr>
      </w:pPr>
    </w:p>
    <w:p w14:paraId="577015A8">
      <w:pPr>
        <w:spacing w:after="160" w:line="288" w:lineRule="auto"/>
        <w:contextualSpacing/>
        <w:jc w:val="both"/>
        <w:rPr>
          <w:sz w:val="24"/>
          <w:szCs w:val="24"/>
        </w:rPr>
      </w:pPr>
      <w:r>
        <w:rPr>
          <w:color w:val="000000"/>
          <w:sz w:val="24"/>
          <w:szCs w:val="24"/>
        </w:rPr>
        <w:t>20.1.3 dar causa à inexecução total do contrato;</w:t>
      </w:r>
    </w:p>
    <w:p w14:paraId="01FBA94C">
      <w:pPr>
        <w:spacing w:line="288" w:lineRule="auto"/>
        <w:contextualSpacing/>
        <w:jc w:val="both"/>
        <w:rPr>
          <w:color w:val="000000"/>
          <w:sz w:val="24"/>
          <w:szCs w:val="24"/>
        </w:rPr>
      </w:pPr>
    </w:p>
    <w:p w14:paraId="2E9A853A">
      <w:pPr>
        <w:spacing w:line="288" w:lineRule="auto"/>
        <w:contextualSpacing/>
        <w:jc w:val="both"/>
        <w:rPr>
          <w:sz w:val="24"/>
          <w:szCs w:val="24"/>
        </w:rPr>
      </w:pPr>
      <w:r>
        <w:rPr>
          <w:color w:val="000000"/>
          <w:sz w:val="24"/>
          <w:szCs w:val="24"/>
        </w:rPr>
        <w:t xml:space="preserve">20.1.4 deixar de entregar a documentação exigida para o certame ou não entregar qualquer documento que tenha sido solicitado pelo Pregoeiro durante o certame; </w:t>
      </w:r>
    </w:p>
    <w:p w14:paraId="78F5D9E3">
      <w:pPr>
        <w:spacing w:line="288" w:lineRule="auto"/>
        <w:contextualSpacing/>
        <w:jc w:val="both"/>
        <w:rPr>
          <w:color w:val="000000"/>
          <w:sz w:val="24"/>
          <w:szCs w:val="24"/>
        </w:rPr>
      </w:pPr>
    </w:p>
    <w:p w14:paraId="0AB4C5D1">
      <w:pPr>
        <w:spacing w:line="288" w:lineRule="auto"/>
        <w:contextualSpacing/>
        <w:jc w:val="both"/>
        <w:rPr>
          <w:color w:val="000000"/>
          <w:sz w:val="24"/>
          <w:szCs w:val="24"/>
        </w:rPr>
      </w:pPr>
      <w:r>
        <w:rPr>
          <w:color w:val="000000"/>
          <w:sz w:val="24"/>
          <w:szCs w:val="24"/>
        </w:rPr>
        <w:t>20.1.5 não manter a proposta, salvo em decorrência de fato superveniente devidamente justificado, em especial quando:</w:t>
      </w:r>
    </w:p>
    <w:p w14:paraId="54158937">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20</w:t>
      </w:r>
      <w:r>
        <w:rPr>
          <w:rFonts w:ascii="Times New Roman" w:hAnsi="Times New Roman" w:cs="Times New Roman"/>
          <w:sz w:val="24"/>
          <w:szCs w:val="24"/>
        </w:rPr>
        <w:t xml:space="preserve">.1.5.1 não enviar a proposta adequada ao último lance ofertado ou após a negociação; </w:t>
      </w:r>
    </w:p>
    <w:p w14:paraId="593DD5DA">
      <w:pPr>
        <w:pStyle w:val="120"/>
        <w:spacing w:before="288" w:beforeLines="120" w:after="288" w:afterLines="120" w:line="288" w:lineRule="auto"/>
        <w:ind w:left="0"/>
        <w:contextualSpacing/>
        <w:rPr>
          <w:rFonts w:ascii="Times New Roman" w:hAnsi="Times New Roman" w:cs="Times New Roman"/>
          <w:sz w:val="24"/>
          <w:szCs w:val="24"/>
        </w:rPr>
      </w:pPr>
    </w:p>
    <w:p w14:paraId="3441E1FD">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20</w:t>
      </w:r>
      <w:r>
        <w:rPr>
          <w:rFonts w:ascii="Times New Roman" w:hAnsi="Times New Roman" w:cs="Times New Roman"/>
          <w:sz w:val="24"/>
          <w:szCs w:val="24"/>
        </w:rPr>
        <w:t xml:space="preserve">.1.5.2 recusar-se a enviar o detalhamento da proposta quando exigível; </w:t>
      </w:r>
    </w:p>
    <w:p w14:paraId="5E877FEC">
      <w:pPr>
        <w:pStyle w:val="120"/>
        <w:spacing w:before="288" w:beforeLines="120" w:after="288" w:afterLines="120" w:line="288" w:lineRule="auto"/>
        <w:ind w:left="0"/>
        <w:contextualSpacing/>
        <w:rPr>
          <w:rFonts w:ascii="Times New Roman" w:hAnsi="Times New Roman" w:cs="Times New Roman"/>
          <w:sz w:val="24"/>
          <w:szCs w:val="24"/>
        </w:rPr>
      </w:pPr>
    </w:p>
    <w:p w14:paraId="0F4378D9">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20.1.5.3 pedir para ser desclassificado quando encerrada a etapa competitiva; </w:t>
      </w:r>
    </w:p>
    <w:p w14:paraId="2A7FD6D4">
      <w:pPr>
        <w:pStyle w:val="120"/>
        <w:spacing w:before="288" w:beforeLines="120" w:after="288" w:afterLines="120" w:line="288" w:lineRule="auto"/>
        <w:ind w:left="0"/>
        <w:contextualSpacing/>
        <w:rPr>
          <w:rFonts w:ascii="Times New Roman" w:hAnsi="Times New Roman" w:cs="Times New Roman"/>
          <w:sz w:val="24"/>
          <w:szCs w:val="24"/>
        </w:rPr>
      </w:pPr>
    </w:p>
    <w:p w14:paraId="05614D20">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20.1.5.4 deixar de apresentar amostra; ou</w:t>
      </w:r>
    </w:p>
    <w:p w14:paraId="00D86A65">
      <w:pPr>
        <w:pStyle w:val="120"/>
        <w:spacing w:before="288" w:beforeLines="120" w:after="288" w:afterLines="120" w:line="288" w:lineRule="auto"/>
        <w:ind w:left="0"/>
        <w:contextualSpacing/>
        <w:rPr>
          <w:rFonts w:ascii="Times New Roman" w:hAnsi="Times New Roman" w:cs="Times New Roman"/>
          <w:sz w:val="24"/>
          <w:szCs w:val="24"/>
        </w:rPr>
      </w:pPr>
    </w:p>
    <w:p w14:paraId="097646CA">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20.1.5.5 apresentar proposta ou amostra em desacordo com as especificações do instrumento convocatório; </w:t>
      </w:r>
    </w:p>
    <w:p w14:paraId="1986594D">
      <w:pPr>
        <w:spacing w:line="288" w:lineRule="auto"/>
        <w:contextualSpacing/>
        <w:jc w:val="both"/>
        <w:rPr>
          <w:color w:val="000000"/>
          <w:sz w:val="24"/>
          <w:szCs w:val="24"/>
        </w:rPr>
      </w:pPr>
      <w:r>
        <w:rPr>
          <w:color w:val="000000"/>
          <w:sz w:val="24"/>
          <w:szCs w:val="24"/>
        </w:rPr>
        <w:t>20.1.6 não celebrar o contrato ou não entregar a documentação exigida para a contratação, quando convocado dentro do prazo de validade de sua proposta;</w:t>
      </w:r>
    </w:p>
    <w:p w14:paraId="521C9A81">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20.1.6.1 recusar-se, sem justificativa, a assinar o contrato ou a ata de registro de preço, ou a aceitar ou retirar o instrumento equivalente no prazo estabelecido pela Administração;</w:t>
      </w:r>
    </w:p>
    <w:p w14:paraId="2E60198C">
      <w:pPr>
        <w:spacing w:line="288" w:lineRule="auto"/>
        <w:contextualSpacing/>
        <w:jc w:val="both"/>
        <w:rPr>
          <w:color w:val="000000"/>
          <w:sz w:val="24"/>
          <w:szCs w:val="24"/>
        </w:rPr>
      </w:pPr>
      <w:r>
        <w:rPr>
          <w:color w:val="000000"/>
          <w:sz w:val="24"/>
          <w:szCs w:val="24"/>
        </w:rPr>
        <w:t>20.1.7 ensejar o retardamento da execução ou da entrega do objeto da contratação sem motivo justificado;</w:t>
      </w:r>
    </w:p>
    <w:p w14:paraId="37C0E760">
      <w:pPr>
        <w:spacing w:line="288" w:lineRule="auto"/>
        <w:contextualSpacing/>
        <w:jc w:val="both"/>
        <w:rPr>
          <w:color w:val="000000"/>
          <w:sz w:val="24"/>
          <w:szCs w:val="24"/>
        </w:rPr>
      </w:pPr>
    </w:p>
    <w:p w14:paraId="7E792DB4">
      <w:pPr>
        <w:spacing w:line="288" w:lineRule="auto"/>
        <w:contextualSpacing/>
        <w:jc w:val="both"/>
        <w:rPr>
          <w:color w:val="000000"/>
          <w:sz w:val="24"/>
          <w:szCs w:val="24"/>
        </w:rPr>
      </w:pPr>
      <w:r>
        <w:rPr>
          <w:color w:val="000000"/>
          <w:sz w:val="24"/>
          <w:szCs w:val="24"/>
        </w:rPr>
        <w:t>20.1.8 apresentar declaração ou documentação falsa exigida para o certame ou prestar declaração falsa durante o certame ou a execução do contrato;</w:t>
      </w:r>
    </w:p>
    <w:p w14:paraId="09DB5ECF">
      <w:pPr>
        <w:spacing w:line="288" w:lineRule="auto"/>
        <w:contextualSpacing/>
        <w:jc w:val="both"/>
        <w:rPr>
          <w:rFonts w:eastAsia="Arial"/>
          <w:color w:val="000000"/>
          <w:sz w:val="24"/>
          <w:szCs w:val="24"/>
        </w:rPr>
      </w:pPr>
    </w:p>
    <w:p w14:paraId="3FD0EDF6">
      <w:pPr>
        <w:spacing w:line="288" w:lineRule="auto"/>
        <w:contextualSpacing/>
        <w:jc w:val="both"/>
        <w:rPr>
          <w:color w:val="000000"/>
          <w:sz w:val="24"/>
          <w:szCs w:val="24"/>
        </w:rPr>
      </w:pPr>
      <w:r>
        <w:rPr>
          <w:color w:val="000000"/>
          <w:sz w:val="24"/>
          <w:szCs w:val="24"/>
        </w:rPr>
        <w:t>20.1.9 fraudar o certame ou praticar ato fraudulento na execução do contrato;</w:t>
      </w:r>
    </w:p>
    <w:p w14:paraId="4D45CA23">
      <w:pPr>
        <w:spacing w:line="288" w:lineRule="auto"/>
        <w:contextualSpacing/>
        <w:jc w:val="both"/>
        <w:rPr>
          <w:color w:val="000000"/>
          <w:sz w:val="24"/>
          <w:szCs w:val="24"/>
        </w:rPr>
      </w:pPr>
      <w:r>
        <w:rPr>
          <w:color w:val="000000"/>
          <w:sz w:val="24"/>
          <w:szCs w:val="24"/>
        </w:rPr>
        <w:t> </w:t>
      </w:r>
    </w:p>
    <w:p w14:paraId="09687D68">
      <w:pPr>
        <w:spacing w:line="288" w:lineRule="auto"/>
        <w:contextualSpacing/>
        <w:jc w:val="both"/>
        <w:rPr>
          <w:color w:val="000000"/>
          <w:sz w:val="24"/>
          <w:szCs w:val="24"/>
        </w:rPr>
      </w:pPr>
      <w:r>
        <w:rPr>
          <w:color w:val="000000"/>
          <w:sz w:val="24"/>
          <w:szCs w:val="24"/>
        </w:rPr>
        <w:t>20.1.10 comportar-se de modo inidôneo ou cometer fraude de qualquer natureza, em especial quando:</w:t>
      </w:r>
    </w:p>
    <w:p w14:paraId="089FA659">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20.1.10.1 agir em conluio ou em desconformidade com a lei; </w:t>
      </w:r>
    </w:p>
    <w:p w14:paraId="6FBD5435">
      <w:pPr>
        <w:pStyle w:val="120"/>
        <w:spacing w:before="288" w:beforeLines="120" w:after="288" w:afterLines="120" w:line="288" w:lineRule="auto"/>
        <w:ind w:left="0"/>
        <w:contextualSpacing/>
        <w:rPr>
          <w:rFonts w:ascii="Times New Roman" w:hAnsi="Times New Roman" w:cs="Times New Roman"/>
          <w:sz w:val="24"/>
          <w:szCs w:val="24"/>
        </w:rPr>
      </w:pPr>
    </w:p>
    <w:p w14:paraId="4D547814">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20.1.10.2 induzir deliberadamente a erro no julgamento; </w:t>
      </w:r>
    </w:p>
    <w:p w14:paraId="3C8F76CD">
      <w:pPr>
        <w:pStyle w:val="120"/>
        <w:spacing w:before="288" w:beforeLines="120" w:after="288" w:afterLines="120" w:line="288" w:lineRule="auto"/>
        <w:ind w:left="0"/>
        <w:contextualSpacing/>
        <w:rPr>
          <w:rFonts w:ascii="Times New Roman" w:hAnsi="Times New Roman" w:cs="Times New Roman"/>
          <w:sz w:val="24"/>
          <w:szCs w:val="24"/>
        </w:rPr>
      </w:pPr>
    </w:p>
    <w:p w14:paraId="66CD60A6">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20.1.10.3 apresentar amostra falsificada ou deteriorada; </w:t>
      </w:r>
    </w:p>
    <w:p w14:paraId="7001B9C3">
      <w:pPr>
        <w:pStyle w:val="120"/>
        <w:spacing w:before="288" w:beforeLines="120" w:after="288" w:afterLines="120" w:line="288" w:lineRule="auto"/>
        <w:ind w:left="0"/>
        <w:contextualSpacing/>
        <w:rPr>
          <w:rFonts w:ascii="Times New Roman" w:hAnsi="Times New Roman" w:cs="Times New Roman"/>
          <w:sz w:val="24"/>
          <w:szCs w:val="24"/>
        </w:rPr>
      </w:pPr>
    </w:p>
    <w:p w14:paraId="0D40588B">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20.1.10.4 apresentar declaração falsa quanto às condições de participação ou quanto ao enquadramento como ME/EPP; </w:t>
      </w:r>
    </w:p>
    <w:p w14:paraId="789172C8">
      <w:pPr>
        <w:spacing w:line="288" w:lineRule="auto"/>
        <w:contextualSpacing/>
        <w:jc w:val="both"/>
        <w:rPr>
          <w:color w:val="000000"/>
          <w:sz w:val="24"/>
          <w:szCs w:val="24"/>
        </w:rPr>
      </w:pPr>
      <w:r>
        <w:rPr>
          <w:sz w:val="24"/>
          <w:szCs w:val="24"/>
        </w:rPr>
        <w:t>20</w:t>
      </w:r>
      <w:r>
        <w:rPr>
          <w:color w:val="000000"/>
          <w:sz w:val="24"/>
          <w:szCs w:val="24"/>
        </w:rPr>
        <w:t>.1.11 praticar atos ilícitos com vistas a frustrar os objetivos do certame;</w:t>
      </w:r>
    </w:p>
    <w:p w14:paraId="7EED5BE3">
      <w:pPr>
        <w:spacing w:line="288" w:lineRule="auto"/>
        <w:contextualSpacing/>
        <w:jc w:val="both"/>
        <w:rPr>
          <w:color w:val="000000"/>
          <w:sz w:val="24"/>
          <w:szCs w:val="24"/>
        </w:rPr>
      </w:pPr>
    </w:p>
    <w:p w14:paraId="72EB0FC5">
      <w:pPr>
        <w:spacing w:line="288" w:lineRule="auto"/>
        <w:contextualSpacing/>
        <w:jc w:val="both"/>
        <w:rPr>
          <w:rStyle w:val="16"/>
          <w:rFonts w:eastAsiaTheme="minorHAnsi"/>
          <w:color w:val="000000"/>
          <w:sz w:val="24"/>
          <w:szCs w:val="24"/>
        </w:rPr>
      </w:pPr>
      <w:r>
        <w:rPr>
          <w:sz w:val="24"/>
          <w:szCs w:val="24"/>
        </w:rPr>
        <w:t>20</w:t>
      </w:r>
      <w:r>
        <w:rPr>
          <w:color w:val="000000"/>
          <w:sz w:val="24"/>
          <w:szCs w:val="24"/>
        </w:rPr>
        <w:t>.1.12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3EC8DF98">
      <w:pPr>
        <w:spacing w:line="288" w:lineRule="auto"/>
        <w:contextualSpacing/>
        <w:jc w:val="both"/>
        <w:rPr>
          <w:sz w:val="24"/>
          <w:szCs w:val="24"/>
        </w:rPr>
      </w:pPr>
    </w:p>
    <w:p w14:paraId="3B369AC4">
      <w:pPr>
        <w:spacing w:line="288" w:lineRule="auto"/>
        <w:contextualSpacing/>
        <w:jc w:val="both"/>
        <w:rPr>
          <w:sz w:val="24"/>
          <w:szCs w:val="24"/>
        </w:rPr>
      </w:pPr>
      <w:r>
        <w:rPr>
          <w:sz w:val="24"/>
          <w:szCs w:val="24"/>
        </w:rPr>
        <w:t xml:space="preserve">21.2 O licitante ou </w:t>
      </w:r>
      <w:r>
        <w:rPr>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38DC3529">
      <w:pPr>
        <w:spacing w:line="288" w:lineRule="auto"/>
        <w:contextualSpacing/>
        <w:jc w:val="both"/>
        <w:rPr>
          <w:sz w:val="24"/>
          <w:szCs w:val="24"/>
        </w:rPr>
      </w:pPr>
    </w:p>
    <w:p w14:paraId="72F02535">
      <w:pPr>
        <w:spacing w:line="288" w:lineRule="auto"/>
        <w:contextualSpacing/>
        <w:jc w:val="both"/>
        <w:rPr>
          <w:sz w:val="24"/>
          <w:szCs w:val="24"/>
        </w:rPr>
      </w:pPr>
      <w:r>
        <w:rPr>
          <w:sz w:val="24"/>
          <w:szCs w:val="24"/>
        </w:rPr>
        <w:t>20.2.1 Advertência, prevista no art. 156, I, § 2º, da Lei nº 14.133/2021, pela infração descrita no item 21.1.1, de menor potencial ofensivo, quando não se justificar a imposição de penalidade mais grave.</w:t>
      </w:r>
    </w:p>
    <w:p w14:paraId="01D04EC1">
      <w:pPr>
        <w:spacing w:line="288" w:lineRule="auto"/>
        <w:contextualSpacing/>
        <w:jc w:val="both"/>
        <w:rPr>
          <w:sz w:val="24"/>
          <w:szCs w:val="24"/>
        </w:rPr>
      </w:pPr>
    </w:p>
    <w:p w14:paraId="2F69F631">
      <w:pPr>
        <w:spacing w:line="288" w:lineRule="auto"/>
        <w:contextualSpacing/>
        <w:jc w:val="both"/>
        <w:rPr>
          <w:sz w:val="24"/>
          <w:szCs w:val="24"/>
        </w:rPr>
      </w:pPr>
      <w:r>
        <w:rPr>
          <w:sz w:val="24"/>
          <w:szCs w:val="24"/>
        </w:rPr>
        <w:t xml:space="preserve">20.2.2 Multa administrativa, prevista no art. 156, II, § 3º, da Lei nº 14.133/2021, pela infração dos subitens 20.1.1 a 20.1.12,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0F167280">
      <w:pPr>
        <w:spacing w:line="288" w:lineRule="auto"/>
        <w:contextualSpacing/>
        <w:jc w:val="both"/>
        <w:rPr>
          <w:sz w:val="24"/>
          <w:szCs w:val="24"/>
        </w:rPr>
      </w:pPr>
      <w:r>
        <w:rPr>
          <w:sz w:val="24"/>
          <w:szCs w:val="24"/>
        </w:rPr>
        <w:t xml:space="preserve">a) multa de 0,5% a 1,5%, nos casos da infração prevista no subitem </w:t>
      </w:r>
      <w:r>
        <w:rPr>
          <w:color w:val="000000"/>
          <w:sz w:val="24"/>
          <w:szCs w:val="24"/>
        </w:rPr>
        <w:t>20</w:t>
      </w:r>
      <w:r>
        <w:rPr>
          <w:sz w:val="24"/>
          <w:szCs w:val="24"/>
        </w:rPr>
        <w:t xml:space="preserve">.1.1, incidente sobre o valor anual do Contrato; </w:t>
      </w:r>
    </w:p>
    <w:p w14:paraId="6B33418F">
      <w:pPr>
        <w:spacing w:line="288" w:lineRule="auto"/>
        <w:contextualSpacing/>
        <w:jc w:val="both"/>
        <w:rPr>
          <w:sz w:val="24"/>
          <w:szCs w:val="24"/>
        </w:rPr>
      </w:pPr>
      <w:r>
        <w:rPr>
          <w:sz w:val="24"/>
          <w:szCs w:val="24"/>
        </w:rPr>
        <w:t>b) multa de 0,5% a 15%, nos casos das infrações previstas nos subitens 20.1.2 a 20.1.7, incidente sobre o valor anual do Contrato;</w:t>
      </w:r>
    </w:p>
    <w:p w14:paraId="2866F978">
      <w:pPr>
        <w:spacing w:line="288" w:lineRule="auto"/>
        <w:contextualSpacing/>
        <w:jc w:val="both"/>
        <w:rPr>
          <w:sz w:val="24"/>
          <w:szCs w:val="24"/>
        </w:rPr>
      </w:pPr>
      <w:r>
        <w:rPr>
          <w:sz w:val="24"/>
          <w:szCs w:val="24"/>
        </w:rPr>
        <w:t>c) multa de 5% a 30%, nos casos das infrações previstas nos subitens 20.1.8 a 20.1.12, incidente sobre o valor anual do Contrato;</w:t>
      </w:r>
    </w:p>
    <w:p w14:paraId="117D4770">
      <w:pPr>
        <w:pStyle w:val="24"/>
        <w:spacing w:before="225" w:line="288" w:lineRule="auto"/>
        <w:contextualSpacing/>
        <w:jc w:val="both"/>
        <w:rPr>
          <w:color w:val="000000"/>
        </w:rPr>
      </w:pPr>
      <w:r>
        <w:t>20.2.2.1 Na hipótese de a infração ser cometida antes da celebração do Contrato, a base de cálculo da multa do item 20.2.2 será o valor anual estimado da contratação.</w:t>
      </w:r>
    </w:p>
    <w:p w14:paraId="0E2A5B2C">
      <w:pPr>
        <w:spacing w:line="288" w:lineRule="auto"/>
        <w:contextualSpacing/>
        <w:jc w:val="both"/>
        <w:rPr>
          <w:sz w:val="24"/>
          <w:szCs w:val="24"/>
        </w:rPr>
      </w:pPr>
      <w:r>
        <w:rPr>
          <w:sz w:val="24"/>
          <w:szCs w:val="24"/>
        </w:rPr>
        <w:t>20.2.2.2 Em caso de reincidência, o valor total das multas administrativas aplicadas não poderá exceder o limite de 30% (trinta por cento) sobre o valor total do Contrato.</w:t>
      </w:r>
    </w:p>
    <w:p w14:paraId="09F86567">
      <w:pPr>
        <w:spacing w:line="288" w:lineRule="auto"/>
        <w:contextualSpacing/>
        <w:jc w:val="both"/>
        <w:rPr>
          <w:sz w:val="24"/>
          <w:szCs w:val="24"/>
        </w:rPr>
      </w:pPr>
    </w:p>
    <w:p w14:paraId="1956DFA9">
      <w:pPr>
        <w:spacing w:line="288" w:lineRule="auto"/>
        <w:contextualSpacing/>
        <w:jc w:val="both"/>
        <w:rPr>
          <w:sz w:val="24"/>
          <w:szCs w:val="24"/>
        </w:rPr>
      </w:pPr>
      <w:r>
        <w:rPr>
          <w:sz w:val="24"/>
          <w:szCs w:val="24"/>
        </w:rPr>
        <w:t xml:space="preserve">20.2.2.3 Se a multa aplicada e as indenizações cabíveis forem superiores ao valor de pagamento eventualmente devido pela Administração ao </w:t>
      </w:r>
      <w:r>
        <w:rPr>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20.13.</w:t>
      </w:r>
    </w:p>
    <w:p w14:paraId="34CF158F">
      <w:pPr>
        <w:spacing w:line="288" w:lineRule="auto"/>
        <w:contextualSpacing/>
        <w:jc w:val="both"/>
        <w:rPr>
          <w:sz w:val="24"/>
          <w:szCs w:val="24"/>
        </w:rPr>
      </w:pPr>
    </w:p>
    <w:p w14:paraId="077AED83">
      <w:pPr>
        <w:spacing w:line="288" w:lineRule="auto"/>
        <w:contextualSpacing/>
        <w:jc w:val="both"/>
        <w:rPr>
          <w:sz w:val="24"/>
          <w:szCs w:val="24"/>
        </w:rPr>
      </w:pPr>
      <w:r>
        <w:rPr>
          <w:sz w:val="24"/>
          <w:szCs w:val="24"/>
        </w:rPr>
        <w:t>20.2.2.4 A penalidade de multa pode ser aplicada cumulativamente com as demais sanções, na forma do art. 156, § 7º, da Lei nº 14.133/2021.</w:t>
      </w:r>
    </w:p>
    <w:p w14:paraId="11F676E9">
      <w:pPr>
        <w:spacing w:line="288" w:lineRule="auto"/>
        <w:contextualSpacing/>
        <w:jc w:val="both"/>
        <w:rPr>
          <w:sz w:val="24"/>
          <w:szCs w:val="24"/>
        </w:rPr>
      </w:pPr>
    </w:p>
    <w:p w14:paraId="373C8497">
      <w:pPr>
        <w:spacing w:line="288" w:lineRule="auto"/>
        <w:contextualSpacing/>
        <w:jc w:val="both"/>
        <w:rPr>
          <w:color w:val="000000"/>
          <w:sz w:val="24"/>
          <w:szCs w:val="24"/>
        </w:rPr>
      </w:pPr>
      <w:r>
        <w:rPr>
          <w:sz w:val="24"/>
          <w:szCs w:val="24"/>
        </w:rPr>
        <w:t>20</w:t>
      </w:r>
      <w:r>
        <w:rPr>
          <w:color w:val="000000"/>
          <w:sz w:val="24"/>
          <w:szCs w:val="24"/>
        </w:rPr>
        <w:t xml:space="preserve">.2.3 Impedimento de licitar e contratar, prevista no </w:t>
      </w:r>
      <w:r>
        <w:rPr>
          <w:sz w:val="24"/>
          <w:szCs w:val="24"/>
        </w:rPr>
        <w:t xml:space="preserve">art. 156, III, § 4º, da Lei nº 14.133/2021, </w:t>
      </w:r>
      <w:r>
        <w:rPr>
          <w:color w:val="000000"/>
          <w:sz w:val="24"/>
          <w:szCs w:val="24"/>
        </w:rPr>
        <w:t xml:space="preserve">nos casos relacionados nos subitens </w:t>
      </w:r>
      <w:r>
        <w:rPr>
          <w:sz w:val="24"/>
          <w:szCs w:val="24"/>
        </w:rPr>
        <w:t>20</w:t>
      </w:r>
      <w:r>
        <w:rPr>
          <w:color w:val="000000"/>
          <w:sz w:val="24"/>
          <w:szCs w:val="24"/>
        </w:rPr>
        <w:t>.1.2 a 21.1.7, quando não se justificar a imposição de penalidade mais grave, e impedirá o responsável de licitar ou contratar no âmbito da Administração Pública direta e indireta do Estado, pelo prazo máximo de 3 (três) anos;</w:t>
      </w:r>
    </w:p>
    <w:p w14:paraId="27B75452">
      <w:pPr>
        <w:spacing w:line="288" w:lineRule="auto"/>
        <w:contextualSpacing/>
        <w:jc w:val="both"/>
        <w:rPr>
          <w:rFonts w:eastAsia="Arial"/>
          <w:color w:val="000000"/>
          <w:sz w:val="24"/>
          <w:szCs w:val="24"/>
        </w:rPr>
      </w:pPr>
    </w:p>
    <w:p w14:paraId="3F2AA1DC">
      <w:pPr>
        <w:spacing w:line="288" w:lineRule="auto"/>
        <w:contextualSpacing/>
        <w:jc w:val="both"/>
        <w:rPr>
          <w:sz w:val="24"/>
          <w:szCs w:val="24"/>
        </w:rPr>
      </w:pPr>
      <w:r>
        <w:rPr>
          <w:sz w:val="24"/>
          <w:szCs w:val="24"/>
        </w:rPr>
        <w:t>20</w:t>
      </w:r>
      <w:r>
        <w:rPr>
          <w:color w:val="000000"/>
          <w:sz w:val="24"/>
          <w:szCs w:val="24"/>
        </w:rPr>
        <w:t>.2.4 Declaração de inidoneidade para licitar ou contratar, prevista no a</w:t>
      </w:r>
      <w:r>
        <w:rPr>
          <w:rStyle w:val="118"/>
          <w:rFonts w:ascii="Times New Roman" w:hAnsi="Times New Roman" w:eastAsia="Calibri" w:cs="Times New Roman"/>
        </w:rPr>
        <w:t xml:space="preserve">rt. 156, IV, § 5º, da Lei nº 14.133/2021, </w:t>
      </w:r>
      <w:r>
        <w:rPr>
          <w:color w:val="000000"/>
          <w:sz w:val="24"/>
          <w:szCs w:val="24"/>
        </w:rPr>
        <w:t>nos casos relacionados nos subitens 20.1.8 a 20.1.12,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6190471E">
      <w:pPr>
        <w:spacing w:line="288" w:lineRule="auto"/>
        <w:contextualSpacing/>
        <w:jc w:val="both"/>
        <w:rPr>
          <w:sz w:val="24"/>
          <w:szCs w:val="24"/>
        </w:rPr>
      </w:pPr>
    </w:p>
    <w:p w14:paraId="77052DB3">
      <w:pPr>
        <w:spacing w:line="288" w:lineRule="auto"/>
        <w:contextualSpacing/>
        <w:jc w:val="both"/>
        <w:rPr>
          <w:sz w:val="24"/>
          <w:szCs w:val="24"/>
        </w:rPr>
      </w:pPr>
      <w:r>
        <w:rPr>
          <w:sz w:val="24"/>
          <w:szCs w:val="24"/>
        </w:rPr>
        <w:t>20.3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1CB72A22">
      <w:pPr>
        <w:spacing w:line="288" w:lineRule="auto"/>
        <w:contextualSpacing/>
        <w:jc w:val="both"/>
        <w:rPr>
          <w:sz w:val="24"/>
          <w:szCs w:val="24"/>
        </w:rPr>
      </w:pPr>
    </w:p>
    <w:p w14:paraId="39D828CD">
      <w:pPr>
        <w:spacing w:line="288" w:lineRule="auto"/>
        <w:contextualSpacing/>
        <w:jc w:val="both"/>
        <w:rPr>
          <w:sz w:val="24"/>
          <w:szCs w:val="24"/>
        </w:rPr>
      </w:pPr>
      <w:r>
        <w:rPr>
          <w:sz w:val="24"/>
          <w:szCs w:val="24"/>
        </w:rPr>
        <w:t>20.3.1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34A22122">
      <w:pPr>
        <w:spacing w:line="288" w:lineRule="auto"/>
        <w:contextualSpacing/>
        <w:jc w:val="both"/>
        <w:rPr>
          <w:sz w:val="24"/>
          <w:szCs w:val="24"/>
        </w:rPr>
      </w:pPr>
    </w:p>
    <w:p w14:paraId="4ADDD4F7">
      <w:pPr>
        <w:spacing w:line="288" w:lineRule="auto"/>
        <w:contextualSpacing/>
        <w:jc w:val="both"/>
        <w:rPr>
          <w:sz w:val="24"/>
          <w:szCs w:val="24"/>
        </w:rPr>
      </w:pPr>
      <w:r>
        <w:rPr>
          <w:sz w:val="24"/>
          <w:szCs w:val="24"/>
        </w:rPr>
        <w:t>20.3.2 O atraso superior a 25 (vinte e cinco) dias no cumprimento da obrigação prevista no item 20.3.1 autoriza a Administração a promover a rescisão contratual por descumprimento ou cumprimento irregular de suas cláusulas.</w:t>
      </w:r>
    </w:p>
    <w:p w14:paraId="3B3FE9BD">
      <w:pPr>
        <w:spacing w:line="288" w:lineRule="auto"/>
        <w:contextualSpacing/>
        <w:jc w:val="both"/>
        <w:rPr>
          <w:sz w:val="24"/>
          <w:szCs w:val="24"/>
        </w:rPr>
      </w:pPr>
    </w:p>
    <w:p w14:paraId="1DF6C19E">
      <w:pPr>
        <w:spacing w:line="288" w:lineRule="auto"/>
        <w:contextualSpacing/>
        <w:jc w:val="both"/>
        <w:rPr>
          <w:sz w:val="24"/>
          <w:szCs w:val="24"/>
        </w:rPr>
      </w:pPr>
      <w:r>
        <w:rPr>
          <w:sz w:val="24"/>
          <w:szCs w:val="24"/>
        </w:rPr>
        <w:t>20.3.3 A aplicação de multa de mora não impedirá que a Administração a converta em compensatória e promova a extinção unilateral do Contrato com a aplicação cumulada de outras sanções previstas no Contrato.</w:t>
      </w:r>
    </w:p>
    <w:p w14:paraId="1E6E8897">
      <w:pPr>
        <w:spacing w:line="288" w:lineRule="auto"/>
        <w:contextualSpacing/>
        <w:jc w:val="both"/>
        <w:rPr>
          <w:sz w:val="24"/>
          <w:szCs w:val="24"/>
        </w:rPr>
      </w:pPr>
    </w:p>
    <w:p w14:paraId="117AD98E">
      <w:pPr>
        <w:spacing w:line="288" w:lineRule="auto"/>
        <w:contextualSpacing/>
        <w:jc w:val="both"/>
        <w:rPr>
          <w:sz w:val="24"/>
          <w:szCs w:val="24"/>
        </w:rPr>
      </w:pPr>
      <w:r>
        <w:rPr>
          <w:sz w:val="24"/>
          <w:szCs w:val="24"/>
        </w:rPr>
        <w:t>20.4 No caso de inexecução total ou parcial do objeto, que acarrete a rescisão do Contrato, será automaticamente devida multa compensatória no valor de 5(cinco)</w:t>
      </w:r>
      <w:r>
        <w:rPr>
          <w:color w:val="FF0000"/>
          <w:sz w:val="24"/>
          <w:szCs w:val="24"/>
        </w:rPr>
        <w:t xml:space="preserve"> </w:t>
      </w:r>
      <w:r>
        <w:rPr>
          <w:sz w:val="24"/>
          <w:szCs w:val="24"/>
        </w:rPr>
        <w:t>% do valor do Contrato.</w:t>
      </w:r>
    </w:p>
    <w:p w14:paraId="30F8E81D">
      <w:pPr>
        <w:spacing w:line="288" w:lineRule="auto"/>
        <w:contextualSpacing/>
        <w:jc w:val="both"/>
        <w:rPr>
          <w:b/>
          <w:bCs/>
          <w:color w:val="FF0000"/>
          <w:sz w:val="24"/>
          <w:szCs w:val="24"/>
        </w:rPr>
      </w:pPr>
    </w:p>
    <w:p w14:paraId="57ED7DF8">
      <w:pPr>
        <w:spacing w:line="288" w:lineRule="auto"/>
        <w:contextualSpacing/>
        <w:jc w:val="both"/>
        <w:rPr>
          <w:sz w:val="24"/>
          <w:szCs w:val="24"/>
        </w:rPr>
      </w:pPr>
      <w:r>
        <w:rPr>
          <w:sz w:val="24"/>
          <w:szCs w:val="24"/>
        </w:rPr>
        <w:t>20.4.1 A multa compensatória, isoladamente aplicada ou quando somada ao valor da multa moratória convertida, não poderá exceder o limite previsto no art. 412 do Código Civil, ou seja, o valor da obrigação principal.</w:t>
      </w:r>
    </w:p>
    <w:p w14:paraId="4D068057">
      <w:pPr>
        <w:spacing w:line="288" w:lineRule="auto"/>
        <w:contextualSpacing/>
        <w:jc w:val="both"/>
        <w:rPr>
          <w:sz w:val="24"/>
          <w:szCs w:val="24"/>
        </w:rPr>
      </w:pPr>
    </w:p>
    <w:p w14:paraId="0D765D01">
      <w:pPr>
        <w:spacing w:line="288" w:lineRule="auto"/>
        <w:contextualSpacing/>
        <w:jc w:val="both"/>
        <w:rPr>
          <w:sz w:val="24"/>
          <w:szCs w:val="24"/>
        </w:rPr>
      </w:pPr>
      <w:r>
        <w:rPr>
          <w:sz w:val="24"/>
          <w:szCs w:val="24"/>
        </w:rPr>
        <w:t xml:space="preserve">20.5 Na aplicação das sanções serão considerados os seguintes requisitos, previstos no art. </w:t>
      </w:r>
      <w:r>
        <w:rPr>
          <w:rStyle w:val="118"/>
          <w:rFonts w:ascii="Times New Roman" w:hAnsi="Times New Roman" w:eastAsia="Calibri" w:cs="Times New Roman"/>
        </w:rPr>
        <w:t>156, § 1º, incisos I a V, da Lei nº 14.133/2021</w:t>
      </w:r>
      <w:r>
        <w:rPr>
          <w:sz w:val="24"/>
          <w:szCs w:val="24"/>
        </w:rPr>
        <w:t>:</w:t>
      </w:r>
    </w:p>
    <w:p w14:paraId="10DAA936">
      <w:pPr>
        <w:spacing w:line="288" w:lineRule="auto"/>
        <w:contextualSpacing/>
        <w:jc w:val="both"/>
        <w:rPr>
          <w:sz w:val="24"/>
          <w:szCs w:val="24"/>
        </w:rPr>
      </w:pPr>
      <w:r>
        <w:rPr>
          <w:sz w:val="24"/>
          <w:szCs w:val="24"/>
        </w:rPr>
        <w:t>20.5.1 a natureza e a gravidade da infração cometida;</w:t>
      </w:r>
    </w:p>
    <w:p w14:paraId="2F9A38C9">
      <w:pPr>
        <w:spacing w:line="288" w:lineRule="auto"/>
        <w:contextualSpacing/>
        <w:jc w:val="both"/>
        <w:rPr>
          <w:sz w:val="24"/>
          <w:szCs w:val="24"/>
        </w:rPr>
      </w:pPr>
      <w:r>
        <w:rPr>
          <w:sz w:val="24"/>
          <w:szCs w:val="24"/>
        </w:rPr>
        <w:t>20.5.2 as peculiaridades do caso concreto;</w:t>
      </w:r>
    </w:p>
    <w:p w14:paraId="4A814B63">
      <w:pPr>
        <w:spacing w:line="288" w:lineRule="auto"/>
        <w:contextualSpacing/>
        <w:jc w:val="both"/>
        <w:rPr>
          <w:sz w:val="24"/>
          <w:szCs w:val="24"/>
        </w:rPr>
      </w:pPr>
      <w:r>
        <w:rPr>
          <w:sz w:val="24"/>
          <w:szCs w:val="24"/>
        </w:rPr>
        <w:t>20.5.3 as circunstâncias agravantes ou atenuantes;</w:t>
      </w:r>
    </w:p>
    <w:p w14:paraId="5D360308">
      <w:pPr>
        <w:spacing w:line="288" w:lineRule="auto"/>
        <w:contextualSpacing/>
        <w:jc w:val="both"/>
        <w:rPr>
          <w:sz w:val="24"/>
          <w:szCs w:val="24"/>
        </w:rPr>
      </w:pPr>
      <w:r>
        <w:rPr>
          <w:sz w:val="24"/>
          <w:szCs w:val="24"/>
        </w:rPr>
        <w:t>20.5.4 os danos que dela provierem para a Administração Pública;</w:t>
      </w:r>
    </w:p>
    <w:p w14:paraId="7C1F4396">
      <w:pPr>
        <w:spacing w:line="288" w:lineRule="auto"/>
        <w:contextualSpacing/>
        <w:jc w:val="both"/>
        <w:rPr>
          <w:sz w:val="24"/>
          <w:szCs w:val="24"/>
        </w:rPr>
      </w:pPr>
      <w:r>
        <w:rPr>
          <w:sz w:val="24"/>
          <w:szCs w:val="24"/>
        </w:rPr>
        <w:t>20.5.5 a implantação ou o aperfeiçoamento de programa de integridade, conforme normas e orientações dos órgãos de controle.</w:t>
      </w:r>
    </w:p>
    <w:p w14:paraId="5670D118">
      <w:pPr>
        <w:spacing w:line="288" w:lineRule="auto"/>
        <w:contextualSpacing/>
        <w:jc w:val="both"/>
        <w:rPr>
          <w:sz w:val="24"/>
          <w:szCs w:val="24"/>
        </w:rPr>
      </w:pPr>
    </w:p>
    <w:p w14:paraId="41126C72">
      <w:pPr>
        <w:spacing w:line="288" w:lineRule="auto"/>
        <w:contextualSpacing/>
        <w:jc w:val="both"/>
        <w:rPr>
          <w:sz w:val="24"/>
          <w:szCs w:val="24"/>
        </w:rPr>
      </w:pPr>
      <w:r>
        <w:rPr>
          <w:sz w:val="24"/>
          <w:szCs w:val="24"/>
        </w:rPr>
        <w:t xml:space="preserve">20.6 A imposição das penalidades é de competência exclusiva do órgão ou entidade contratante, sendo competentes para sua aplicação: </w:t>
      </w:r>
    </w:p>
    <w:p w14:paraId="7AD72C60">
      <w:pPr>
        <w:spacing w:line="288" w:lineRule="auto"/>
        <w:contextualSpacing/>
        <w:jc w:val="both"/>
        <w:rPr>
          <w:sz w:val="24"/>
          <w:szCs w:val="24"/>
        </w:rPr>
      </w:pPr>
      <w:r>
        <w:rPr>
          <w:sz w:val="24"/>
          <w:szCs w:val="24"/>
        </w:rPr>
        <w:t>a) as sanções previstas nos itens 20.2.1, 20.2.2 e 20.2.3 serão impostas pelo Ordenador de Despesa;</w:t>
      </w:r>
    </w:p>
    <w:p w14:paraId="2BCE4C59">
      <w:pPr>
        <w:spacing w:line="288" w:lineRule="auto"/>
        <w:contextualSpacing/>
        <w:jc w:val="both"/>
        <w:rPr>
          <w:sz w:val="24"/>
          <w:szCs w:val="24"/>
        </w:rPr>
      </w:pPr>
      <w:r>
        <w:rPr>
          <w:sz w:val="24"/>
          <w:szCs w:val="24"/>
        </w:rPr>
        <w:t xml:space="preserve">b) a aplicação da sanção prevista no item 20.2.4, na forma do art. </w:t>
      </w:r>
      <w:r>
        <w:rPr>
          <w:rStyle w:val="118"/>
          <w:rFonts w:ascii="Times New Roman" w:hAnsi="Times New Roman" w:eastAsia="Calibri" w:cs="Times New Roman"/>
        </w:rPr>
        <w:t>156, § 6º, I, da Lei nº 14.133/2021,</w:t>
      </w:r>
      <w:r>
        <w:rPr>
          <w:sz w:val="24"/>
          <w:szCs w:val="24"/>
        </w:rPr>
        <w:t xml:space="preserve"> é de competência exclusiva:</w:t>
      </w:r>
    </w:p>
    <w:p w14:paraId="2453B459">
      <w:pPr>
        <w:spacing w:line="288" w:lineRule="auto"/>
        <w:contextualSpacing/>
        <w:jc w:val="both"/>
        <w:rPr>
          <w:sz w:val="24"/>
          <w:szCs w:val="24"/>
        </w:rPr>
      </w:pPr>
      <w:r>
        <w:rPr>
          <w:sz w:val="24"/>
          <w:szCs w:val="24"/>
        </w:rPr>
        <w:t>b.1) em se tratando de contratação realizada pela Administração Pública direta, do Secretário de Município; ou</w:t>
      </w:r>
    </w:p>
    <w:p w14:paraId="3A3A6EC8">
      <w:pPr>
        <w:spacing w:line="288" w:lineRule="auto"/>
        <w:contextualSpacing/>
        <w:jc w:val="both"/>
        <w:rPr>
          <w:sz w:val="24"/>
          <w:szCs w:val="24"/>
        </w:rPr>
      </w:pPr>
      <w:r>
        <w:rPr>
          <w:sz w:val="24"/>
          <w:szCs w:val="24"/>
        </w:rPr>
        <w:t>b.2) em se tratando de contratação realizada pela Administração Pública Indireta (fundação e autarquia), da autoridade máxima da entidade.</w:t>
      </w:r>
    </w:p>
    <w:p w14:paraId="6EB8CE30">
      <w:pPr>
        <w:spacing w:line="288" w:lineRule="auto"/>
        <w:contextualSpacing/>
        <w:jc w:val="both"/>
        <w:rPr>
          <w:sz w:val="24"/>
          <w:szCs w:val="24"/>
        </w:rPr>
      </w:pPr>
    </w:p>
    <w:p w14:paraId="42CAF7FB">
      <w:pPr>
        <w:spacing w:line="288" w:lineRule="auto"/>
        <w:contextualSpacing/>
        <w:jc w:val="both"/>
        <w:rPr>
          <w:sz w:val="24"/>
          <w:szCs w:val="24"/>
        </w:rPr>
      </w:pPr>
      <w:r>
        <w:rPr>
          <w:sz w:val="24"/>
          <w:szCs w:val="24"/>
        </w:rPr>
        <w:t>20.7 A aplicação de quaisquer das penalidades administrativas realizar-se-á em processo administrativo que assegurará o contraditório e a ampla defesa ao licitante ou contratado, devendo ser observado o procedimento previsto na Lei nº 14.133/2021.</w:t>
      </w:r>
    </w:p>
    <w:p w14:paraId="7F982B6D">
      <w:pPr>
        <w:spacing w:line="288" w:lineRule="auto"/>
        <w:contextualSpacing/>
        <w:jc w:val="both"/>
        <w:rPr>
          <w:sz w:val="24"/>
          <w:szCs w:val="24"/>
        </w:rPr>
      </w:pPr>
    </w:p>
    <w:p w14:paraId="0BC6ED3C">
      <w:pPr>
        <w:spacing w:line="288" w:lineRule="auto"/>
        <w:contextualSpacing/>
        <w:jc w:val="both"/>
        <w:rPr>
          <w:sz w:val="24"/>
          <w:szCs w:val="24"/>
        </w:rPr>
      </w:pPr>
      <w:r>
        <w:rPr>
          <w:sz w:val="24"/>
          <w:szCs w:val="24"/>
        </w:rPr>
        <w:t>20.7.1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6987DB5B">
      <w:pPr>
        <w:spacing w:line="288" w:lineRule="auto"/>
        <w:contextualSpacing/>
        <w:jc w:val="both"/>
        <w:rPr>
          <w:sz w:val="24"/>
          <w:szCs w:val="24"/>
        </w:rPr>
      </w:pPr>
    </w:p>
    <w:p w14:paraId="1BF7139E">
      <w:pPr>
        <w:spacing w:line="288" w:lineRule="auto"/>
        <w:contextualSpacing/>
        <w:jc w:val="both"/>
        <w:rPr>
          <w:sz w:val="24"/>
          <w:szCs w:val="24"/>
        </w:rPr>
      </w:pPr>
      <w:r>
        <w:rPr>
          <w:sz w:val="24"/>
          <w:szCs w:val="24"/>
        </w:rPr>
        <w:t>20.7.2 A defesa prévia do licitante ou contratado será exercida no prazo de:</w:t>
      </w:r>
    </w:p>
    <w:p w14:paraId="70B85AE7">
      <w:pPr>
        <w:spacing w:line="288" w:lineRule="auto"/>
        <w:contextualSpacing/>
        <w:jc w:val="both"/>
        <w:rPr>
          <w:sz w:val="24"/>
          <w:szCs w:val="24"/>
        </w:rPr>
      </w:pPr>
      <w:r>
        <w:rPr>
          <w:sz w:val="24"/>
          <w:szCs w:val="24"/>
        </w:rPr>
        <w:t>a) 15 (quinze) dias úteis, no caso da aplicação das sanções previstas nos itens 20.2.1 e 20.2.2, contado da data da intimação;</w:t>
      </w:r>
    </w:p>
    <w:p w14:paraId="6B844D32">
      <w:pPr>
        <w:spacing w:line="288" w:lineRule="auto"/>
        <w:contextualSpacing/>
        <w:jc w:val="both"/>
        <w:rPr>
          <w:color w:val="000000"/>
          <w:sz w:val="24"/>
          <w:szCs w:val="24"/>
        </w:rPr>
      </w:pPr>
      <w:r>
        <w:rPr>
          <w:sz w:val="24"/>
          <w:szCs w:val="24"/>
        </w:rPr>
        <w:t xml:space="preserve">b) 15 (quinze) dias úteis, no caso de aplicação das sanções previstas nos itens 20.2.3 e 20.2.4, </w:t>
      </w:r>
      <w:r>
        <w:rPr>
          <w:color w:val="000000"/>
          <w:sz w:val="24"/>
          <w:szCs w:val="24"/>
        </w:rPr>
        <w:t>contado da data da intimação, observado o procedimento estabelecido no art. 158 da Lei nº 14.133/2021.</w:t>
      </w:r>
    </w:p>
    <w:p w14:paraId="4D926BFA">
      <w:pPr>
        <w:pStyle w:val="24"/>
        <w:spacing w:line="288" w:lineRule="auto"/>
        <w:contextualSpacing/>
        <w:jc w:val="both"/>
      </w:pPr>
      <w:r>
        <w:t>20.7.3 Será emitida decisão conclusiva sobre a aplicação ou não da sanção, pela autoridade competente, devendo ser apresentada a devida motivação, com a demonstração dos fatos e dos respectivos fundamentos jurídicos.</w:t>
      </w:r>
    </w:p>
    <w:p w14:paraId="0545368F">
      <w:pPr>
        <w:spacing w:line="288" w:lineRule="auto"/>
        <w:contextualSpacing/>
        <w:jc w:val="both"/>
        <w:rPr>
          <w:sz w:val="24"/>
          <w:szCs w:val="24"/>
        </w:rPr>
      </w:pPr>
      <w:r>
        <w:rPr>
          <w:sz w:val="24"/>
          <w:szCs w:val="24"/>
        </w:rPr>
        <w:t>20.8 A aplicação das sanções previstas no Edital e no Contrato não exclui, em hipótese alguma:</w:t>
      </w:r>
    </w:p>
    <w:p w14:paraId="4B4AAC2B">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0ABBCB83">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617B048E">
      <w:pPr>
        <w:spacing w:line="288" w:lineRule="auto"/>
        <w:contextualSpacing/>
        <w:jc w:val="both"/>
        <w:rPr>
          <w:rFonts w:eastAsia="Arial"/>
          <w:color w:val="000000"/>
          <w:sz w:val="24"/>
          <w:szCs w:val="24"/>
        </w:rPr>
      </w:pPr>
    </w:p>
    <w:p w14:paraId="476A9C9E">
      <w:pPr>
        <w:spacing w:line="288" w:lineRule="auto"/>
        <w:contextualSpacing/>
        <w:jc w:val="both"/>
        <w:rPr>
          <w:rFonts w:eastAsia="Arial"/>
          <w:color w:val="000000"/>
          <w:sz w:val="24"/>
          <w:szCs w:val="24"/>
        </w:rPr>
      </w:pPr>
      <w:r>
        <w:rPr>
          <w:rFonts w:eastAsia="Arial"/>
          <w:color w:val="000000"/>
          <w:sz w:val="24"/>
          <w:szCs w:val="24"/>
        </w:rPr>
        <w:t xml:space="preserve">20.8.1 Aplica-se o disposto na alínea a do item </w:t>
      </w:r>
      <w:r>
        <w:rPr>
          <w:sz w:val="24"/>
          <w:szCs w:val="24"/>
        </w:rPr>
        <w:t>20</w:t>
      </w:r>
      <w:r>
        <w:rPr>
          <w:rFonts w:eastAsia="Arial"/>
          <w:color w:val="000000"/>
          <w:sz w:val="24"/>
          <w:szCs w:val="24"/>
        </w:rPr>
        <w:t xml:space="preserve">.8 à multa compensatória, nos termos do parágrafo único do art. 416 do Código Civil. </w:t>
      </w:r>
    </w:p>
    <w:p w14:paraId="60073BDA">
      <w:pPr>
        <w:spacing w:line="288" w:lineRule="auto"/>
        <w:contextualSpacing/>
        <w:jc w:val="both"/>
        <w:rPr>
          <w:rFonts w:eastAsia="Arial"/>
          <w:color w:val="000000"/>
          <w:sz w:val="24"/>
          <w:szCs w:val="24"/>
        </w:rPr>
      </w:pPr>
    </w:p>
    <w:p w14:paraId="10900DF6">
      <w:pPr>
        <w:spacing w:line="288" w:lineRule="auto"/>
        <w:contextualSpacing/>
        <w:jc w:val="both"/>
        <w:rPr>
          <w:rFonts w:eastAsia="Arial"/>
          <w:color w:val="000000"/>
          <w:sz w:val="24"/>
          <w:szCs w:val="24"/>
        </w:rPr>
      </w:pPr>
      <w:r>
        <w:rPr>
          <w:sz w:val="24"/>
          <w:szCs w:val="24"/>
        </w:rPr>
        <w:t>20</w:t>
      </w:r>
      <w:r>
        <w:rPr>
          <w:rFonts w:eastAsia="Arial"/>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01746233">
      <w:pPr>
        <w:spacing w:line="288" w:lineRule="auto"/>
        <w:contextualSpacing/>
        <w:jc w:val="both"/>
        <w:rPr>
          <w:rFonts w:eastAsia="Arial"/>
          <w:color w:val="000000"/>
          <w:sz w:val="24"/>
          <w:szCs w:val="24"/>
        </w:rPr>
      </w:pPr>
    </w:p>
    <w:p w14:paraId="68E7EB1C">
      <w:pPr>
        <w:spacing w:line="288" w:lineRule="auto"/>
        <w:contextualSpacing/>
        <w:jc w:val="both"/>
        <w:rPr>
          <w:sz w:val="24"/>
          <w:szCs w:val="24"/>
        </w:rPr>
      </w:pPr>
      <w:r>
        <w:rPr>
          <w:sz w:val="24"/>
          <w:szCs w:val="24"/>
        </w:rPr>
        <w:t xml:space="preserve">20.10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4336DF0">
      <w:pPr>
        <w:spacing w:line="288" w:lineRule="auto"/>
        <w:contextualSpacing/>
        <w:jc w:val="both"/>
        <w:rPr>
          <w:sz w:val="24"/>
          <w:szCs w:val="24"/>
        </w:rPr>
      </w:pPr>
    </w:p>
    <w:p w14:paraId="640D4A2E">
      <w:pPr>
        <w:spacing w:line="288" w:lineRule="auto"/>
        <w:contextualSpacing/>
        <w:jc w:val="both"/>
        <w:rPr>
          <w:sz w:val="24"/>
          <w:szCs w:val="24"/>
        </w:rPr>
      </w:pPr>
      <w:r>
        <w:rPr>
          <w:sz w:val="24"/>
          <w:szCs w:val="24"/>
        </w:rPr>
        <w:t>20.10.1 A apuração e o julgamento das demais infrações administrativas não consideradas como ato lesivo à Administração Pública nacional, nos termos da Lei nº 12.846/2013, seguirão seu rito normal na unidade administrativa.</w:t>
      </w:r>
    </w:p>
    <w:p w14:paraId="6CE3B72D">
      <w:pPr>
        <w:spacing w:line="288" w:lineRule="auto"/>
        <w:contextualSpacing/>
        <w:jc w:val="both"/>
        <w:rPr>
          <w:sz w:val="24"/>
          <w:szCs w:val="24"/>
        </w:rPr>
      </w:pPr>
    </w:p>
    <w:p w14:paraId="76F72BD6">
      <w:pPr>
        <w:spacing w:line="288" w:lineRule="auto"/>
        <w:contextualSpacing/>
        <w:jc w:val="both"/>
        <w:rPr>
          <w:sz w:val="24"/>
          <w:szCs w:val="24"/>
        </w:rPr>
      </w:pPr>
      <w:r>
        <w:rPr>
          <w:sz w:val="24"/>
          <w:szCs w:val="24"/>
        </w:rPr>
        <w:t xml:space="preserve">20.10.2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03599F91">
      <w:pPr>
        <w:spacing w:line="288" w:lineRule="auto"/>
        <w:contextualSpacing/>
        <w:jc w:val="both"/>
        <w:rPr>
          <w:sz w:val="24"/>
          <w:szCs w:val="24"/>
        </w:rPr>
      </w:pPr>
    </w:p>
    <w:p w14:paraId="204B23AB">
      <w:pPr>
        <w:spacing w:line="288" w:lineRule="auto"/>
        <w:contextualSpacing/>
        <w:jc w:val="both"/>
        <w:rPr>
          <w:sz w:val="24"/>
          <w:szCs w:val="24"/>
        </w:rPr>
      </w:pPr>
      <w:r>
        <w:rPr>
          <w:sz w:val="24"/>
          <w:szCs w:val="24"/>
        </w:rPr>
        <w:t>20.10.2.1 Caso seja possível, a apuração deverá ser promovida em conjunto no PAR.</w:t>
      </w:r>
    </w:p>
    <w:p w14:paraId="7DA40E1D">
      <w:pPr>
        <w:spacing w:line="288" w:lineRule="auto"/>
        <w:contextualSpacing/>
        <w:jc w:val="both"/>
        <w:rPr>
          <w:sz w:val="24"/>
          <w:szCs w:val="24"/>
        </w:rPr>
      </w:pPr>
    </w:p>
    <w:p w14:paraId="19BE7B2E">
      <w:pPr>
        <w:spacing w:line="288" w:lineRule="auto"/>
        <w:contextualSpacing/>
        <w:jc w:val="both"/>
        <w:rPr>
          <w:sz w:val="24"/>
          <w:szCs w:val="24"/>
        </w:rPr>
      </w:pPr>
      <w:r>
        <w:rPr>
          <w:sz w:val="24"/>
          <w:szCs w:val="24"/>
        </w:rPr>
        <w:t>20.11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Comprasnet.</w:t>
      </w:r>
    </w:p>
    <w:p w14:paraId="3B8844F0">
      <w:pPr>
        <w:spacing w:line="288" w:lineRule="auto"/>
        <w:contextualSpacing/>
        <w:jc w:val="both"/>
        <w:rPr>
          <w:sz w:val="24"/>
          <w:szCs w:val="24"/>
        </w:rPr>
      </w:pPr>
    </w:p>
    <w:p w14:paraId="75C991FC">
      <w:pPr>
        <w:autoSpaceDE w:val="0"/>
        <w:autoSpaceDN w:val="0"/>
        <w:adjustRightInd w:val="0"/>
        <w:spacing w:line="288" w:lineRule="auto"/>
        <w:contextualSpacing/>
        <w:jc w:val="both"/>
        <w:rPr>
          <w:sz w:val="24"/>
          <w:szCs w:val="24"/>
        </w:rPr>
      </w:pPr>
      <w:r>
        <w:rPr>
          <w:sz w:val="24"/>
          <w:szCs w:val="24"/>
        </w:rPr>
        <w:t>20.11.1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0F278D7">
      <w:pPr>
        <w:autoSpaceDE w:val="0"/>
        <w:autoSpaceDN w:val="0"/>
        <w:adjustRightInd w:val="0"/>
        <w:spacing w:line="288" w:lineRule="auto"/>
        <w:contextualSpacing/>
        <w:jc w:val="both"/>
        <w:rPr>
          <w:sz w:val="24"/>
          <w:szCs w:val="24"/>
        </w:rPr>
      </w:pPr>
    </w:p>
    <w:p w14:paraId="0112B989">
      <w:pPr>
        <w:pStyle w:val="74"/>
        <w:spacing w:line="288" w:lineRule="auto"/>
        <w:contextualSpacing/>
        <w:jc w:val="both"/>
        <w:rPr>
          <w:rFonts w:ascii="Times New Roman" w:hAnsi="Times New Roman" w:cs="Times New Roman"/>
        </w:rPr>
      </w:pPr>
      <w:r>
        <w:rPr>
          <w:rFonts w:ascii="Times New Roman" w:hAnsi="Times New Roman" w:cs="Times New Roman"/>
        </w:rPr>
        <w:t>20.12 O contratante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46645FB0">
      <w:pPr>
        <w:pStyle w:val="74"/>
        <w:spacing w:line="288" w:lineRule="auto"/>
        <w:contextualSpacing/>
        <w:jc w:val="both"/>
        <w:rPr>
          <w:rFonts w:ascii="Times New Roman" w:hAnsi="Times New Roman" w:cs="Times New Roman"/>
        </w:rPr>
      </w:pPr>
    </w:p>
    <w:p w14:paraId="13B7AF25">
      <w:pPr>
        <w:pStyle w:val="74"/>
        <w:spacing w:line="288" w:lineRule="auto"/>
        <w:contextualSpacing/>
        <w:jc w:val="both"/>
        <w:rPr>
          <w:rFonts w:ascii="Times New Roman" w:hAnsi="Times New Roman" w:cs="Times New Roman"/>
        </w:rPr>
      </w:pPr>
      <w:r>
        <w:rPr>
          <w:rFonts w:ascii="Times New Roman" w:hAnsi="Times New Roman" w:cs="Times New Roman"/>
        </w:rPr>
        <w:t>20.12.1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08C6D2F8">
      <w:pPr>
        <w:pStyle w:val="74"/>
        <w:spacing w:line="288" w:lineRule="auto"/>
        <w:contextualSpacing/>
        <w:jc w:val="both"/>
        <w:rPr>
          <w:rFonts w:ascii="Times New Roman" w:hAnsi="Times New Roman" w:cs="Times New Roman"/>
        </w:rPr>
      </w:pPr>
    </w:p>
    <w:p w14:paraId="4E98343B">
      <w:pPr>
        <w:spacing w:line="288" w:lineRule="auto"/>
        <w:contextualSpacing/>
        <w:jc w:val="both"/>
        <w:rPr>
          <w:sz w:val="24"/>
          <w:szCs w:val="24"/>
        </w:rPr>
      </w:pPr>
      <w:r>
        <w:rPr>
          <w:sz w:val="24"/>
          <w:szCs w:val="24"/>
        </w:rPr>
        <w:t xml:space="preserve">20.13 Caso não seja efetuado o pagamento da multa aplicada ou o valor seja superior ao </w:t>
      </w:r>
      <w:r>
        <w:rPr>
          <w:color w:val="000000"/>
          <w:sz w:val="24"/>
          <w:szCs w:val="24"/>
        </w:rPr>
        <w:t>do pagamento eventualmente devido pela Administração ao contratado e da garantia prestada</w:t>
      </w:r>
      <w:r>
        <w:rPr>
          <w:sz w:val="24"/>
          <w:szCs w:val="24"/>
        </w:rPr>
        <w:t>, deverá ser emitida nota de débito no valor total ou do saldo, no prazo de 30 (trinta) dias após a decisão final quanto à penalidade.</w:t>
      </w:r>
    </w:p>
    <w:p w14:paraId="4018A7DB">
      <w:pPr>
        <w:spacing w:line="288" w:lineRule="auto"/>
        <w:contextualSpacing/>
        <w:jc w:val="both"/>
        <w:rPr>
          <w:sz w:val="24"/>
          <w:szCs w:val="24"/>
        </w:rPr>
      </w:pPr>
    </w:p>
    <w:p w14:paraId="0CEC5008">
      <w:pPr>
        <w:spacing w:line="288" w:lineRule="auto"/>
        <w:contextualSpacing/>
        <w:jc w:val="both"/>
        <w:rPr>
          <w:sz w:val="24"/>
          <w:szCs w:val="24"/>
        </w:rPr>
      </w:pPr>
      <w:r>
        <w:rPr>
          <w:sz w:val="24"/>
          <w:szCs w:val="24"/>
        </w:rPr>
        <w:t>20.13.1 A nota de débito deverá ser encaminhada à Departamento de Cadastro Controle e Arrecadação para inscrição do débito em dívida ativa e propositura de execução fiscal, na forma do art. 39 da Lei nº 4.320, de 17 de março de 1964.</w:t>
      </w:r>
    </w:p>
    <w:p w14:paraId="60C703B8">
      <w:pPr>
        <w:spacing w:line="288" w:lineRule="auto"/>
        <w:contextualSpacing/>
        <w:jc w:val="both"/>
        <w:rPr>
          <w:sz w:val="24"/>
          <w:szCs w:val="24"/>
        </w:rPr>
      </w:pPr>
    </w:p>
    <w:p w14:paraId="4DE68841">
      <w:pPr>
        <w:spacing w:line="288" w:lineRule="auto"/>
        <w:contextualSpacing/>
        <w:jc w:val="both"/>
        <w:rPr>
          <w:sz w:val="24"/>
          <w:szCs w:val="24"/>
        </w:rPr>
      </w:pPr>
      <w:r>
        <w:rPr>
          <w:sz w:val="24"/>
          <w:szCs w:val="24"/>
        </w:rPr>
        <w:t xml:space="preserve">20.13.2 O procedimento para inscrição do débito em dívida ativa deverá observar o que dispõe a Lei Complementar nº: 279/2024. </w:t>
      </w:r>
    </w:p>
    <w:p w14:paraId="2005FA5C">
      <w:pPr>
        <w:spacing w:line="288" w:lineRule="auto"/>
        <w:contextualSpacing/>
        <w:jc w:val="both"/>
        <w:rPr>
          <w:sz w:val="24"/>
          <w:szCs w:val="24"/>
        </w:rPr>
      </w:pPr>
    </w:p>
    <w:p w14:paraId="42348B14">
      <w:pPr>
        <w:pStyle w:val="97"/>
        <w:spacing w:before="0" w:beforeAutospacing="0" w:after="0" w:afterAutospacing="0" w:line="288" w:lineRule="auto"/>
        <w:contextualSpacing/>
        <w:jc w:val="both"/>
        <w:rPr>
          <w:rFonts w:eastAsia="Calibri"/>
          <w:b/>
          <w:bCs/>
          <w:lang w:eastAsia="en-US"/>
        </w:rPr>
      </w:pPr>
      <w:r>
        <w:rPr>
          <w:rFonts w:eastAsia="Calibri"/>
          <w:b/>
          <w:bCs/>
          <w:lang w:eastAsia="en-US"/>
        </w:rPr>
        <w:t>21. DAS DISPOSIÇÕES GERAIS</w:t>
      </w:r>
    </w:p>
    <w:p w14:paraId="74C8534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21.1 Será divulgada ata da sessão pública no sistema eletrônico.</w:t>
      </w:r>
    </w:p>
    <w:p w14:paraId="4430DDC2">
      <w:pPr>
        <w:pStyle w:val="99"/>
        <w:spacing w:before="288" w:beforeLines="120" w:after="288" w:afterLines="120" w:line="288" w:lineRule="auto"/>
        <w:ind w:left="0" w:firstLine="0"/>
        <w:contextualSpacing/>
        <w:rPr>
          <w:rFonts w:ascii="Times New Roman" w:hAnsi="Times New Roman" w:cs="Times New Roman"/>
          <w:sz w:val="24"/>
          <w:szCs w:val="24"/>
        </w:rPr>
      </w:pPr>
    </w:p>
    <w:p w14:paraId="21B8303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21EBEE5">
      <w:pPr>
        <w:pStyle w:val="99"/>
        <w:spacing w:before="288" w:beforeLines="120" w:after="288" w:afterLines="120" w:line="288" w:lineRule="auto"/>
        <w:ind w:left="0" w:firstLine="0"/>
        <w:contextualSpacing/>
        <w:rPr>
          <w:rFonts w:ascii="Times New Roman" w:hAnsi="Times New Roman" w:cs="Times New Roman"/>
          <w:sz w:val="24"/>
          <w:szCs w:val="24"/>
        </w:rPr>
      </w:pPr>
    </w:p>
    <w:p w14:paraId="608E15E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21.3 Todas as referências de tempo no Edital, no aviso e durante a sessão pública observarão o horário de Brasília - DF.</w:t>
      </w:r>
    </w:p>
    <w:p w14:paraId="45EB4065">
      <w:pPr>
        <w:pStyle w:val="99"/>
        <w:spacing w:before="288" w:beforeLines="120" w:after="288" w:afterLines="120" w:line="288" w:lineRule="auto"/>
        <w:ind w:left="0" w:firstLine="0"/>
        <w:contextualSpacing/>
        <w:rPr>
          <w:rFonts w:ascii="Times New Roman" w:hAnsi="Times New Roman" w:cs="Times New Roman"/>
          <w:sz w:val="24"/>
          <w:szCs w:val="24"/>
        </w:rPr>
      </w:pPr>
    </w:p>
    <w:p w14:paraId="6D1237B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21.4 A homologação do resultado desta licitação não implicará direito à contratação.</w:t>
      </w:r>
    </w:p>
    <w:p w14:paraId="6EF1075A">
      <w:pPr>
        <w:pStyle w:val="99"/>
        <w:spacing w:before="288" w:beforeLines="120" w:after="288" w:afterLines="120" w:line="288" w:lineRule="auto"/>
        <w:ind w:left="0" w:firstLine="0"/>
        <w:contextualSpacing/>
        <w:rPr>
          <w:rFonts w:ascii="Times New Roman" w:hAnsi="Times New Roman" w:cs="Times New Roman"/>
          <w:sz w:val="24"/>
          <w:szCs w:val="24"/>
        </w:rPr>
      </w:pPr>
    </w:p>
    <w:p w14:paraId="2FB402C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21.5 As normas disciplinadoras da licitação serão sempre interpretadas em favor da ampliação da disputa entre os interessados, desde que não comprometam o interesse da Administração, o princípio da isonomia, a finalidade e a segurança da contratação. </w:t>
      </w:r>
    </w:p>
    <w:p w14:paraId="27DC5D19">
      <w:pPr>
        <w:pStyle w:val="99"/>
        <w:spacing w:before="288" w:beforeLines="120" w:after="288" w:afterLines="120" w:line="288" w:lineRule="auto"/>
        <w:ind w:left="0" w:firstLine="0"/>
        <w:contextualSpacing/>
        <w:rPr>
          <w:rFonts w:ascii="Times New Roman" w:hAnsi="Times New Roman" w:cs="Times New Roman"/>
          <w:sz w:val="24"/>
          <w:szCs w:val="24"/>
        </w:rPr>
      </w:pPr>
    </w:p>
    <w:p w14:paraId="4BEC4DC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21.6 Os licitantes assumem todos os custos de preparação e apresentação de suas propostas e a Administração não será, em nenhum caso, responsável por esses custos, independentemente da condução ou do resultado do processo licitatório.</w:t>
      </w:r>
    </w:p>
    <w:p w14:paraId="43702F32">
      <w:pPr>
        <w:pStyle w:val="99"/>
        <w:spacing w:before="288" w:beforeLines="120" w:after="288" w:afterLines="120" w:line="288" w:lineRule="auto"/>
        <w:ind w:left="0" w:firstLine="0"/>
        <w:contextualSpacing/>
        <w:rPr>
          <w:rFonts w:ascii="Times New Roman" w:hAnsi="Times New Roman" w:cs="Times New Roman"/>
          <w:sz w:val="24"/>
          <w:szCs w:val="24"/>
        </w:rPr>
      </w:pPr>
    </w:p>
    <w:p w14:paraId="41CF6695">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21.7 Na contagem dos prazos estabelecidos neste Edital e seus Anexos, excluir-se-á o dia do início e incluir-se-á o do vencimento. Só se iniciam e vencem os prazos em dias de expediente na Administração.</w:t>
      </w:r>
    </w:p>
    <w:p w14:paraId="4C9F3EAA">
      <w:pPr>
        <w:pStyle w:val="99"/>
        <w:spacing w:before="288" w:beforeLines="120" w:after="288" w:afterLines="120" w:line="288" w:lineRule="auto"/>
        <w:ind w:left="0" w:firstLine="0"/>
        <w:contextualSpacing/>
        <w:rPr>
          <w:rFonts w:ascii="Times New Roman" w:hAnsi="Times New Roman" w:cs="Times New Roman"/>
          <w:sz w:val="24"/>
          <w:szCs w:val="24"/>
        </w:rPr>
      </w:pPr>
    </w:p>
    <w:p w14:paraId="1433E61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21.8 O desatendimento de exigências formais não essenciais não importará o afastamento do licitante, desde que seja possível o aproveitamento do ato, observados os princípios da isonomia e do interesse público.</w:t>
      </w:r>
    </w:p>
    <w:p w14:paraId="260F9EA9">
      <w:pPr>
        <w:pStyle w:val="99"/>
        <w:spacing w:before="288" w:beforeLines="120" w:after="288" w:afterLines="120" w:line="288" w:lineRule="auto"/>
        <w:ind w:left="0" w:firstLine="0"/>
        <w:contextualSpacing/>
        <w:rPr>
          <w:rFonts w:ascii="Times New Roman" w:hAnsi="Times New Roman" w:cs="Times New Roman"/>
          <w:sz w:val="24"/>
          <w:szCs w:val="24"/>
        </w:rPr>
      </w:pPr>
    </w:p>
    <w:p w14:paraId="40466EB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21.9 Em caso de divergência entre disposições deste Edital e de seus anexos ou demais peças que compõem o processo, prevalecerão as deste Edital.</w:t>
      </w:r>
    </w:p>
    <w:p w14:paraId="69135573">
      <w:pPr>
        <w:pStyle w:val="99"/>
        <w:spacing w:before="288" w:beforeLines="120" w:after="288" w:afterLines="120" w:line="288" w:lineRule="auto"/>
        <w:ind w:left="0" w:firstLine="0"/>
        <w:contextualSpacing/>
        <w:rPr>
          <w:rFonts w:ascii="Times New Roman" w:hAnsi="Times New Roman" w:cs="Times New Roman"/>
          <w:sz w:val="24"/>
          <w:szCs w:val="24"/>
        </w:rPr>
      </w:pPr>
    </w:p>
    <w:p w14:paraId="25C2023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21.10 O Edital e seus anexos </w:t>
      </w:r>
      <w:r>
        <w:rPr>
          <w:rFonts w:ascii="Times New Roman" w:hAnsi="Times New Roman" w:cs="Times New Roman"/>
          <w:color w:val="auto"/>
          <w:sz w:val="24"/>
          <w:szCs w:val="24"/>
        </w:rPr>
        <w:t>estão disponíveis, na íntegra, no Portal Nacional de Contratações Públicas (PNCP) e endereço eletrô</w:t>
      </w:r>
      <w:r>
        <w:rPr>
          <w:rFonts w:ascii="Times New Roman" w:hAnsi="Times New Roman" w:cs="Times New Roman"/>
          <w:sz w:val="24"/>
          <w:szCs w:val="24"/>
        </w:rPr>
        <w:t xml:space="preserve">nico </w:t>
      </w:r>
      <w:r>
        <w:rPr>
          <w:rFonts w:ascii="Times New Roman" w:hAnsi="Times New Roman" w:cs="Times New Roman"/>
          <w:color w:val="auto"/>
          <w:sz w:val="24"/>
          <w:szCs w:val="24"/>
        </w:rPr>
        <w:t>www.valenca.rj.gov.br</w:t>
      </w:r>
      <w:r>
        <w:rPr>
          <w:rFonts w:ascii="Times New Roman" w:hAnsi="Times New Roman" w:cs="Times New Roman"/>
          <w:sz w:val="24"/>
          <w:szCs w:val="24"/>
        </w:rPr>
        <w:t>.</w:t>
      </w:r>
    </w:p>
    <w:p w14:paraId="1EDC690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08B5F1FC">
      <w:pPr>
        <w:pStyle w:val="103"/>
        <w:spacing w:before="288" w:beforeLines="120" w:after="288" w:afterLines="120" w:line="288" w:lineRule="auto"/>
        <w:ind w:left="0" w:firstLine="0"/>
        <w:contextualSpacing/>
        <w:rPr>
          <w:rFonts w:ascii="Times New Roman" w:hAnsi="Times New Roman" w:cs="Times New Roman"/>
          <w:sz w:val="24"/>
          <w:szCs w:val="24"/>
        </w:rPr>
      </w:pPr>
      <w:bookmarkStart w:id="38" w:name="_Hlk154231260"/>
      <w:r>
        <w:rPr>
          <w:rFonts w:ascii="Times New Roman" w:hAnsi="Times New Roman" w:cs="Times New Roman"/>
          <w:sz w:val="24"/>
          <w:szCs w:val="24"/>
        </w:rPr>
        <w:t>Anexo I - Termo de Referência</w:t>
      </w:r>
    </w:p>
    <w:p w14:paraId="47110C1D">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II - </w:t>
      </w:r>
      <w:r>
        <w:rPr>
          <w:rFonts w:ascii="Times New Roman" w:hAnsi="Times New Roman" w:cs="Times New Roman"/>
          <w:sz w:val="24"/>
          <w:szCs w:val="24"/>
        </w:rPr>
        <w:t>Estudo Técnico Preliminar</w:t>
      </w:r>
    </w:p>
    <w:p w14:paraId="740A9DE2">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Anexo III - Modelo de apresentação da proposta</w:t>
      </w:r>
    </w:p>
    <w:p w14:paraId="5657CFC6">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IV - Documentação exigida para Habilitação</w:t>
      </w:r>
    </w:p>
    <w:p w14:paraId="01CAD5B2">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V - Orçamento estimado/ Planilha de Custos</w:t>
      </w:r>
    </w:p>
    <w:p w14:paraId="5D74BD51">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 - Ata de Registro de Preços</w:t>
      </w:r>
    </w:p>
    <w:p w14:paraId="628FBA59">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VII - Minuta de Termo de Contrato</w:t>
      </w:r>
    </w:p>
    <w:p w14:paraId="3EECC4B8">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Anexo VIII - </w:t>
      </w:r>
      <w:r>
        <w:rPr>
          <w:rFonts w:ascii="Times New Roman" w:hAnsi="Times New Roman" w:cs="Times New Roman"/>
          <w:color w:val="000000" w:themeColor="text1"/>
          <w:sz w:val="24"/>
          <w:szCs w:val="24"/>
          <w14:textFill>
            <w14:solidFill>
              <w14:schemeClr w14:val="tx1"/>
            </w14:solidFill>
          </w14:textFill>
        </w:rPr>
        <w:t xml:space="preserve">Declarações </w:t>
      </w:r>
      <w:bookmarkEnd w:id="38"/>
    </w:p>
    <w:p w14:paraId="1C439F43">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p>
    <w:p w14:paraId="6EBED03D">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p>
    <w:p w14:paraId="69418DB3">
      <w:pPr>
        <w:pStyle w:val="103"/>
        <w:spacing w:before="288" w:beforeLines="120" w:after="288" w:afterLines="120" w:line="288" w:lineRule="auto"/>
        <w:ind w:left="0" w:firstLine="0"/>
        <w:contextualSpacing/>
        <w:rPr>
          <w:rFonts w:hint="default" w:ascii="Times New Roman" w:hAnsi="Times New Roman" w:eastAsia="MS Mincho" w:cs="Times New Roman"/>
          <w:color w:val="000000" w:themeColor="text1"/>
          <w:sz w:val="24"/>
          <w:szCs w:val="24"/>
          <w:lang w:val="pt-BR"/>
          <w14:textFill>
            <w14:solidFill>
              <w14:schemeClr w14:val="tx1"/>
            </w14:solidFill>
          </w14:textFill>
        </w:rPr>
      </w:pPr>
      <w:r>
        <w:rPr>
          <w:rFonts w:ascii="Times New Roman" w:hAnsi="Times New Roman" w:eastAsia="MS Mincho" w:cs="Times New Roman"/>
          <w:color w:val="000000" w:themeColor="text1"/>
          <w:sz w:val="24"/>
          <w:szCs w:val="24"/>
          <w14:textFill>
            <w14:solidFill>
              <w14:schemeClr w14:val="tx1"/>
            </w14:solidFill>
          </w14:textFill>
        </w:rPr>
        <w:t xml:space="preserve">                                              Valença , </w:t>
      </w:r>
      <w:r>
        <w:rPr>
          <w:rFonts w:hint="default" w:ascii="Times New Roman" w:hAnsi="Times New Roman" w:eastAsia="MS Mincho" w:cs="Times New Roman"/>
          <w:sz w:val="24"/>
          <w:szCs w:val="24"/>
          <w:lang w:val="pt-BR"/>
        </w:rPr>
        <w:t>09 de julho de 2026</w:t>
      </w:r>
    </w:p>
    <w:p w14:paraId="12E60D5B">
      <w:pPr>
        <w:spacing w:before="288" w:beforeLines="120" w:after="288" w:afterLines="120" w:line="288" w:lineRule="auto"/>
        <w:contextualSpacing/>
        <w:jc w:val="center"/>
        <w:rPr>
          <w:rFonts w:eastAsia="MS Mincho"/>
          <w:b/>
          <w:color w:val="FF0000"/>
          <w:sz w:val="24"/>
          <w:szCs w:val="24"/>
        </w:rPr>
      </w:pPr>
    </w:p>
    <w:p w14:paraId="73F1BC42">
      <w:pPr>
        <w:spacing w:before="288" w:beforeLines="120" w:after="288" w:afterLines="120" w:line="288" w:lineRule="auto"/>
        <w:contextualSpacing/>
        <w:jc w:val="center"/>
        <w:rPr>
          <w:rFonts w:eastAsia="MS Mincho" w:asciiTheme="minorHAnsi" w:hAnsiTheme="minorHAnsi" w:cstheme="minorHAnsi"/>
          <w:b/>
          <w:color w:val="FF0000"/>
          <w:sz w:val="24"/>
          <w:szCs w:val="24"/>
        </w:rPr>
      </w:pPr>
      <w:r>
        <w:rPr>
          <w:rFonts w:eastAsia="MS Mincho"/>
          <w:b/>
          <w:color w:val="000000" w:themeColor="text1"/>
          <w:sz w:val="24"/>
          <w:szCs w:val="24"/>
          <w14:textFill>
            <w14:solidFill>
              <w14:schemeClr w14:val="tx1"/>
            </w14:solidFill>
          </w14:textFill>
        </w:rPr>
        <w:t>Secretaria Municipal de Saúde</w:t>
      </w:r>
    </w:p>
    <w:p w14:paraId="1BD03859">
      <w:pPr>
        <w:spacing w:before="288" w:beforeLines="120" w:after="288" w:afterLines="120" w:line="288" w:lineRule="auto"/>
        <w:contextualSpacing/>
        <w:jc w:val="center"/>
        <w:rPr>
          <w:rFonts w:eastAsia="MS Mincho" w:asciiTheme="minorHAnsi" w:hAnsiTheme="minorHAnsi" w:cstheme="minorHAnsi"/>
          <w:b/>
          <w:color w:val="FF0000"/>
          <w:sz w:val="24"/>
          <w:szCs w:val="24"/>
        </w:rPr>
      </w:pPr>
    </w:p>
    <w:p w14:paraId="1E0E784A">
      <w:pPr>
        <w:spacing w:before="288" w:beforeLines="120" w:after="288" w:afterLines="120" w:line="288" w:lineRule="auto"/>
        <w:contextualSpacing/>
        <w:jc w:val="center"/>
        <w:rPr>
          <w:rFonts w:eastAsia="MS Mincho" w:asciiTheme="minorHAnsi" w:hAnsiTheme="minorHAnsi" w:cstheme="minorHAnsi"/>
          <w:b/>
          <w:color w:val="FF0000"/>
          <w:sz w:val="24"/>
          <w:szCs w:val="24"/>
        </w:rPr>
      </w:pPr>
    </w:p>
    <w:p w14:paraId="57E9D979">
      <w:pPr>
        <w:spacing w:before="288" w:beforeLines="120" w:after="288" w:afterLines="120" w:line="288" w:lineRule="auto"/>
        <w:contextualSpacing/>
        <w:rPr>
          <w:rFonts w:eastAsia="MS Mincho" w:asciiTheme="minorHAnsi" w:hAnsiTheme="minorHAnsi" w:cstheme="minorHAnsi"/>
          <w:b/>
          <w:color w:val="FF0000"/>
          <w:sz w:val="24"/>
          <w:szCs w:val="24"/>
        </w:rPr>
      </w:pPr>
    </w:p>
    <w:p w14:paraId="4148D465">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 </w:t>
      </w:r>
    </w:p>
    <w:p w14:paraId="6FBB2361">
      <w:pPr>
        <w:spacing w:before="288" w:beforeLines="120" w:after="288" w:afterLines="120" w:line="288" w:lineRule="auto"/>
        <w:contextualSpacing/>
        <w:jc w:val="center"/>
        <w:rPr>
          <w:rFonts w:eastAsia="MS Mincho" w:asciiTheme="minorHAnsi" w:hAnsiTheme="minorHAnsi" w:cstheme="minorHAnsi"/>
          <w:b/>
          <w:sz w:val="24"/>
          <w:szCs w:val="24"/>
        </w:rPr>
      </w:pPr>
    </w:p>
    <w:p w14:paraId="2208ED93">
      <w:pPr>
        <w:spacing w:line="368" w:lineRule="auto"/>
        <w:ind w:left="720" w:right="16"/>
        <w:rPr>
          <w:b/>
          <w:sz w:val="24"/>
          <w:szCs w:val="24"/>
          <w:u w:val="single"/>
        </w:rPr>
      </w:pPr>
      <w:r>
        <w:rPr>
          <w:b/>
          <w:sz w:val="24"/>
          <w:szCs w:val="24"/>
        </w:rPr>
        <w:t xml:space="preserve">                                     </w:t>
      </w:r>
      <w:r>
        <w:rPr>
          <w:b/>
          <w:sz w:val="24"/>
          <w:szCs w:val="24"/>
          <w:highlight w:val="yellow"/>
          <w:u w:val="single"/>
        </w:rPr>
        <w:t>TERMO DE REFERÊNCIA</w:t>
      </w:r>
    </w:p>
    <w:p w14:paraId="0B20D548">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b/>
          <w:bCs/>
          <w:color w:val="auto"/>
          <w:szCs w:val="24"/>
        </w:rPr>
      </w:pPr>
    </w:p>
    <w:p w14:paraId="42151F5C">
      <w:pPr>
        <w:pStyle w:val="19"/>
        <w:tabs>
          <w:tab w:val="left" w:pos="555"/>
          <w:tab w:val="left" w:pos="840"/>
          <w:tab w:val="left" w:pos="1140"/>
          <w:tab w:val="left" w:pos="1395"/>
          <w:tab w:val="left" w:pos="1650"/>
          <w:tab w:val="left" w:pos="1965"/>
          <w:tab w:val="left" w:pos="2220"/>
          <w:tab w:val="left" w:leader="underscore" w:pos="7336"/>
        </w:tabs>
        <w:spacing w:line="360" w:lineRule="auto"/>
        <w:rPr>
          <w:rFonts w:eastAsia="Times New Roman" w:cs="Times New Roman"/>
        </w:rPr>
      </w:pPr>
      <w:r>
        <w:rPr>
          <w:rFonts w:ascii="Times New Roman" w:hAnsi="Times New Roman" w:eastAsia="Times New Roman" w:cs="Times New Roman"/>
          <w:b/>
          <w:bCs/>
          <w:color w:val="auto"/>
          <w:szCs w:val="24"/>
        </w:rPr>
        <w:t xml:space="preserve">ÓRGÃO: </w:t>
      </w:r>
      <w:r>
        <w:rPr>
          <w:rFonts w:ascii="Times New Roman" w:hAnsi="Times New Roman" w:eastAsia="Times New Roman" w:cs="Times New Roman"/>
          <w:color w:val="auto"/>
          <w:szCs w:val="24"/>
        </w:rPr>
        <w:t>Secretaria Municipal de Saúde</w:t>
      </w:r>
    </w:p>
    <w:p w14:paraId="3F60ECC8">
      <w:pPr>
        <w:pStyle w:val="19"/>
        <w:tabs>
          <w:tab w:val="left" w:pos="555"/>
          <w:tab w:val="left" w:pos="840"/>
          <w:tab w:val="left" w:pos="1140"/>
          <w:tab w:val="left" w:pos="1395"/>
          <w:tab w:val="left" w:pos="1650"/>
          <w:tab w:val="left" w:pos="1965"/>
          <w:tab w:val="left" w:pos="2220"/>
          <w:tab w:val="left" w:leader="underscore" w:pos="7336"/>
        </w:tabs>
        <w:spacing w:line="360" w:lineRule="auto"/>
        <w:rPr>
          <w:rFonts w:cs="Times New Roman"/>
        </w:rPr>
      </w:pPr>
      <w:r>
        <w:rPr>
          <w:rFonts w:ascii="Times New Roman" w:hAnsi="Times New Roman" w:eastAsia="Times New Roman" w:cs="Times New Roman"/>
          <w:b/>
          <w:bCs/>
          <w:color w:val="auto"/>
          <w:szCs w:val="24"/>
        </w:rPr>
        <w:t xml:space="preserve">SETOR REQUISITANTE: </w:t>
      </w:r>
      <w:r>
        <w:rPr>
          <w:rFonts w:ascii="Times New Roman" w:hAnsi="Times New Roman" w:cs="Times New Roman"/>
          <w:color w:val="auto"/>
          <w:szCs w:val="24"/>
        </w:rPr>
        <w:t>Farmacia Assistencial e de Mandado</w:t>
      </w:r>
    </w:p>
    <w:p w14:paraId="04687EC4">
      <w:pPr>
        <w:pStyle w:val="19"/>
        <w:tabs>
          <w:tab w:val="left" w:pos="555"/>
          <w:tab w:val="left" w:pos="840"/>
          <w:tab w:val="left" w:pos="1140"/>
          <w:tab w:val="left" w:pos="1395"/>
          <w:tab w:val="left" w:pos="1650"/>
          <w:tab w:val="left" w:pos="1965"/>
          <w:tab w:val="left" w:pos="2220"/>
          <w:tab w:val="left" w:leader="underscore" w:pos="7336"/>
        </w:tabs>
        <w:spacing w:line="360" w:lineRule="auto"/>
        <w:rPr>
          <w:rFonts w:cs="Times New Roman"/>
        </w:rPr>
      </w:pPr>
      <w:r>
        <w:rPr>
          <w:rFonts w:ascii="Times New Roman" w:hAnsi="Times New Roman" w:eastAsia="Times New Roman" w:cs="Times New Roman"/>
          <w:b/>
          <w:bCs/>
          <w:color w:val="auto"/>
          <w:szCs w:val="24"/>
        </w:rPr>
        <w:t xml:space="preserve">RESPONSÁVEL PELA DEMANDA: </w:t>
      </w:r>
      <w:r>
        <w:rPr>
          <w:rFonts w:ascii="Times New Roman" w:hAnsi="Times New Roman" w:cs="Times New Roman"/>
          <w:color w:val="auto"/>
          <w:kern w:val="3"/>
          <w:szCs w:val="24"/>
          <w:lang w:eastAsia="zh-CN" w:bidi="hi-IN"/>
        </w:rPr>
        <w:t>Eduardo Eiji Rodrigues Okabayashi</w:t>
      </w:r>
    </w:p>
    <w:p w14:paraId="37D3CAF8">
      <w:pPr>
        <w:pStyle w:val="19"/>
        <w:tabs>
          <w:tab w:val="left" w:pos="555"/>
          <w:tab w:val="left" w:pos="840"/>
          <w:tab w:val="left" w:pos="1140"/>
          <w:tab w:val="left" w:pos="1395"/>
          <w:tab w:val="left" w:pos="1650"/>
          <w:tab w:val="left" w:pos="1965"/>
          <w:tab w:val="left" w:pos="2220"/>
          <w:tab w:val="left" w:leader="underscore" w:pos="7336"/>
        </w:tabs>
        <w:spacing w:line="360" w:lineRule="auto"/>
        <w:rPr>
          <w:rFonts w:eastAsia="Times New Roman" w:cs="Times New Roman"/>
          <w:b/>
          <w:bCs/>
        </w:rPr>
      </w:pPr>
      <w:r>
        <w:rPr>
          <w:rFonts w:ascii="Times New Roman" w:hAnsi="Times New Roman" w:eastAsia="Times New Roman" w:cs="Times New Roman"/>
          <w:b/>
          <w:bCs/>
          <w:color w:val="auto"/>
          <w:szCs w:val="24"/>
        </w:rPr>
        <w:t xml:space="preserve">MATRÍCULA: </w:t>
      </w:r>
      <w:r>
        <w:rPr>
          <w:rFonts w:ascii="Times New Roman" w:hAnsi="Times New Roman" w:cs="Times New Roman"/>
          <w:color w:val="auto"/>
          <w:kern w:val="3"/>
          <w:szCs w:val="24"/>
          <w:lang w:eastAsia="zh-CN" w:bidi="hi-IN"/>
        </w:rPr>
        <w:t>211.930</w:t>
      </w:r>
    </w:p>
    <w:p w14:paraId="531E548C">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bCs/>
          <w:color w:val="auto"/>
          <w:szCs w:val="24"/>
        </w:rPr>
      </w:pPr>
      <w:r>
        <w:rPr>
          <w:rFonts w:ascii="Times New Roman" w:hAnsi="Times New Roman" w:eastAsia="Times New Roman" w:cs="Times New Roman"/>
          <w:bCs/>
          <w:color w:val="auto"/>
          <w:szCs w:val="24"/>
        </w:rPr>
        <w:t>PROCESSO ADMINISTRATIVO: VLC-020508/000288/2025</w:t>
      </w:r>
    </w:p>
    <w:p w14:paraId="4C3E87B2">
      <w:pPr>
        <w:pStyle w:val="19"/>
        <w:tabs>
          <w:tab w:val="left" w:pos="555"/>
          <w:tab w:val="left" w:pos="840"/>
          <w:tab w:val="left" w:pos="1140"/>
          <w:tab w:val="left" w:pos="1395"/>
          <w:tab w:val="left" w:pos="1650"/>
          <w:tab w:val="left" w:pos="1965"/>
          <w:tab w:val="left" w:pos="2220"/>
          <w:tab w:val="left" w:leader="underscore" w:pos="7336"/>
        </w:tabs>
        <w:spacing w:line="360" w:lineRule="auto"/>
        <w:rPr>
          <w:rFonts w:cs="Times New Roman"/>
          <w:color w:val="C00000"/>
          <w:sz w:val="22"/>
        </w:rPr>
      </w:pPr>
    </w:p>
    <w:p w14:paraId="4D9E7180">
      <w:pPr>
        <w:spacing w:line="360" w:lineRule="auto"/>
        <w:jc w:val="both"/>
        <w:rPr>
          <w:rFonts w:eastAsia="Cambria Math"/>
          <w:b/>
          <w:sz w:val="24"/>
          <w:szCs w:val="24"/>
        </w:rPr>
      </w:pPr>
      <w:r>
        <w:rPr>
          <w:rFonts w:eastAsia="Cambria Math"/>
          <w:b/>
          <w:sz w:val="24"/>
          <w:szCs w:val="24"/>
        </w:rPr>
        <w:t>1 – OBJETO</w:t>
      </w:r>
    </w:p>
    <w:p w14:paraId="2A94060C">
      <w:pPr>
        <w:pStyle w:val="24"/>
        <w:spacing w:line="360" w:lineRule="auto"/>
        <w:jc w:val="both"/>
      </w:pPr>
      <w:r>
        <w:t>A aquisição 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52E2E877">
      <w:pPr>
        <w:spacing w:before="288" w:beforeLines="120" w:after="288" w:afterLines="120" w:line="288" w:lineRule="auto"/>
        <w:rPr>
          <w:sz w:val="24"/>
          <w:szCs w:val="24"/>
        </w:rPr>
      </w:pPr>
      <w:r>
        <w:rPr>
          <w:sz w:val="24"/>
          <w:szCs w:val="24"/>
          <w:highlight w:val="yellow"/>
        </w:rPr>
        <w:t>Havendo qualquer discordância entre a descrição e a unidade de medida do CATMAT e a do Edital, prevalecerá à descrição e a unidade de medida constante no Edital.</w:t>
      </w:r>
    </w:p>
    <w:p w14:paraId="3D8D5EBD">
      <w:pPr>
        <w:pStyle w:val="271"/>
        <w:spacing w:line="360" w:lineRule="auto"/>
        <w:jc w:val="both"/>
        <w:rPr>
          <w:rFonts w:ascii="Times New Roman" w:hAnsi="Times New Roman" w:eastAsia="Times New Roman" w:cs="Times New Roman"/>
          <w:b/>
          <w:sz w:val="24"/>
          <w:szCs w:val="24"/>
        </w:rPr>
      </w:pPr>
      <w:r>
        <w:rPr>
          <w:rFonts w:ascii="Times New Roman" w:hAnsi="Times New Roman" w:eastAsia="Cambria Math" w:cs="Times New Roman"/>
          <w:b/>
          <w:sz w:val="24"/>
          <w:szCs w:val="24"/>
        </w:rPr>
        <w:t>2</w:t>
      </w:r>
      <w:r>
        <w:rPr>
          <w:rFonts w:ascii="Times New Roman" w:hAnsi="Times New Roman" w:eastAsia="Cambria Math" w:cs="Times New Roman"/>
          <w:b/>
          <w:sz w:val="24"/>
          <w:szCs w:val="24"/>
          <w:lang w:val="en-US"/>
        </w:rPr>
        <w:t xml:space="preserve"> - </w:t>
      </w:r>
      <w:r>
        <w:rPr>
          <w:rFonts w:ascii="Times New Roman" w:hAnsi="Times New Roman" w:eastAsia="Times New Roman" w:cs="Times New Roman"/>
          <w:b/>
          <w:sz w:val="24"/>
          <w:szCs w:val="24"/>
        </w:rPr>
        <w:t>NECESSIDADE DA CONTRATAÇÃO</w:t>
      </w:r>
    </w:p>
    <w:p w14:paraId="7378581E">
      <w:pPr>
        <w:pStyle w:val="24"/>
        <w:spacing w:line="360" w:lineRule="auto"/>
        <w:jc w:val="both"/>
      </w:pPr>
      <w:r>
        <w:t xml:space="preserve">A </w:t>
      </w:r>
      <w:r>
        <w:rPr>
          <w:rStyle w:val="11"/>
          <w:b w:val="0"/>
        </w:rPr>
        <w:t>aquisição de fórmulas alimentares e suplementos nutricionais</w:t>
      </w:r>
      <w:r>
        <w:t xml:space="preserve"> justifica-se pela necessidade de garantir a continuidade do atendimento a pacientes em situação de vulnerabilidade social (hipossuficientes), bem como pelo cumprimento de determinações judiciais que impõem o fornecimento imediato desses insumos pelo poder público.</w:t>
      </w:r>
    </w:p>
    <w:p w14:paraId="6AD96078">
      <w:pPr>
        <w:pStyle w:val="24"/>
        <w:spacing w:line="360" w:lineRule="auto"/>
        <w:jc w:val="both"/>
      </w:pPr>
      <w:r>
        <w:t>Trata-se de itens essenciais à manutenção da saúde e da vida de pacientes com necessidades nutricionais específicas, tais como indivíduos com doenças crônicas, distúrbios metabólicos, alergias alimentares graves, desnutrição, pacientes oncológicos, entre outras condições clínicas que exigem suplementação ou alimentação especializada.</w:t>
      </w:r>
    </w:p>
    <w:p w14:paraId="3056D940">
      <w:pPr>
        <w:pStyle w:val="24"/>
        <w:spacing w:line="360" w:lineRule="auto"/>
        <w:jc w:val="both"/>
      </w:pPr>
      <w:r>
        <w:t>A ausência ou interrupção do fornecimento pode acarretar agravamento do quadro clínico, aumento do risco de internações, complicações de saúde e até óbito, além de gerar responsabilização administrativa e judicial ao ente público pelo descumprimento de ordens judiciais.</w:t>
      </w:r>
    </w:p>
    <w:p w14:paraId="0ED93742">
      <w:pPr>
        <w:pStyle w:val="24"/>
        <w:spacing w:line="360" w:lineRule="auto"/>
        <w:jc w:val="both"/>
      </w:pPr>
      <w:r>
        <w:t>Assim, a contratação visa assegurar a proteção da saúde dos pacientes beneficiários e o cumprimento das obrigações legais impostas à Administração Pública.</w:t>
      </w:r>
    </w:p>
    <w:p w14:paraId="3E298BA2">
      <w:pPr>
        <w:pStyle w:val="24"/>
        <w:spacing w:line="360" w:lineRule="auto"/>
        <w:jc w:val="both"/>
      </w:pPr>
    </w:p>
    <w:p w14:paraId="5ADEA994">
      <w:pPr>
        <w:rPr>
          <w:color w:val="FF0000"/>
          <w:sz w:val="24"/>
          <w:szCs w:val="24"/>
        </w:rPr>
      </w:pPr>
    </w:p>
    <w:p w14:paraId="2B1C89E7">
      <w:pPr>
        <w:pStyle w:val="74"/>
        <w:rPr>
          <w:rFonts w:ascii="Times New Roman" w:hAnsi="Times New Roman" w:cs="Times New Roman"/>
          <w:lang w:eastAsia="pt-BR"/>
        </w:rPr>
      </w:pPr>
      <w:r>
        <w:rPr>
          <w:rFonts w:ascii="Times New Roman" w:hAnsi="Times New Roman" w:eastAsia="Cambria Math" w:cs="Times New Roman"/>
          <w:b/>
          <w:lang w:eastAsia="pt-BR"/>
        </w:rPr>
        <w:t xml:space="preserve">3 - </w:t>
      </w:r>
      <w:r>
        <w:rPr>
          <w:rFonts w:ascii="Times New Roman" w:hAnsi="Times New Roman" w:cs="Times New Roman"/>
          <w:b/>
          <w:bCs/>
          <w:lang w:eastAsia="pt-BR"/>
        </w:rPr>
        <w:t xml:space="preserve">ESPECIFICAÇÕES E QUANTIDADE </w:t>
      </w:r>
    </w:p>
    <w:p w14:paraId="00E3356B">
      <w:pPr>
        <w:autoSpaceDE w:val="0"/>
        <w:autoSpaceDN w:val="0"/>
        <w:adjustRightInd w:val="0"/>
        <w:rPr>
          <w:color w:val="000000"/>
          <w:sz w:val="24"/>
          <w:szCs w:val="24"/>
        </w:rPr>
      </w:pPr>
    </w:p>
    <w:p w14:paraId="2784FCD3">
      <w:pPr>
        <w:spacing w:line="360" w:lineRule="auto"/>
        <w:jc w:val="both"/>
        <w:rPr>
          <w:sz w:val="24"/>
          <w:szCs w:val="24"/>
        </w:rPr>
      </w:pPr>
      <w:r>
        <w:rPr>
          <w:sz w:val="24"/>
          <w:szCs w:val="24"/>
        </w:rPr>
        <w:t>Considerando que os padrões de desempenho e qualidade dos itens objeto deste Termo de Referência pode ser objetivamente definidos pelo edital, por meio de especificações usuais de mercado, classificamos os referidos itens como ‘bens comuns’</w:t>
      </w:r>
    </w:p>
    <w:p w14:paraId="33E3F1E9">
      <w:pPr>
        <w:jc w:val="center"/>
        <w:rPr>
          <w:rFonts w:eastAsia="Cambria Math"/>
          <w:b/>
          <w:sz w:val="24"/>
          <w:szCs w:val="24"/>
        </w:rPr>
      </w:pPr>
      <w:r>
        <w:rPr>
          <w:rFonts w:eastAsia="Cambria Math"/>
          <w:b/>
          <w:sz w:val="24"/>
          <w:szCs w:val="24"/>
        </w:rPr>
        <w:t>GRUPO III</w:t>
      </w:r>
    </w:p>
    <w:tbl>
      <w:tblPr>
        <w:tblStyle w:val="10"/>
        <w:tblpPr w:leftFromText="180" w:rightFromText="180" w:vertAnchor="text" w:horzAnchor="page" w:tblpX="339" w:tblpY="248"/>
        <w:tblOverlap w:val="never"/>
        <w:tblW w:w="11464" w:type="dxa"/>
        <w:tblInd w:w="0" w:type="dxa"/>
        <w:tblLayout w:type="fixed"/>
        <w:tblCellMar>
          <w:top w:w="0" w:type="dxa"/>
          <w:left w:w="108" w:type="dxa"/>
          <w:bottom w:w="0" w:type="dxa"/>
          <w:right w:w="108" w:type="dxa"/>
        </w:tblCellMar>
      </w:tblPr>
      <w:tblGrid>
        <w:gridCol w:w="900"/>
        <w:gridCol w:w="862"/>
        <w:gridCol w:w="862"/>
        <w:gridCol w:w="5845"/>
        <w:gridCol w:w="917"/>
        <w:gridCol w:w="862"/>
        <w:gridCol w:w="1216"/>
      </w:tblGrid>
      <w:tr w14:paraId="12277AD4">
        <w:tblPrEx>
          <w:tblCellMar>
            <w:top w:w="0" w:type="dxa"/>
            <w:left w:w="108" w:type="dxa"/>
            <w:bottom w:w="0" w:type="dxa"/>
            <w:right w:w="108" w:type="dxa"/>
          </w:tblCellMar>
        </w:tblPrEx>
        <w:trPr>
          <w:trHeight w:val="300" w:hRule="atLeast"/>
        </w:trPr>
        <w:tc>
          <w:tcPr>
            <w:tcW w:w="900"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4AC45305">
            <w:pPr>
              <w:jc w:val="center"/>
              <w:textAlignment w:val="bottom"/>
              <w:rPr>
                <w:rFonts w:eastAsia="SimSun"/>
                <w:color w:val="000000"/>
                <w:sz w:val="24"/>
                <w:szCs w:val="24"/>
                <w:lang w:eastAsia="zh-CN" w:bidi="ar"/>
              </w:rPr>
            </w:pPr>
            <w:r>
              <w:rPr>
                <w:rFonts w:eastAsia="SimSun"/>
                <w:color w:val="000000"/>
                <w:sz w:val="24"/>
                <w:szCs w:val="24"/>
                <w:lang w:eastAsia="zh-CN" w:bidi="ar"/>
              </w:rPr>
              <w:t>Item</w:t>
            </w:r>
          </w:p>
        </w:tc>
        <w:tc>
          <w:tcPr>
            <w:tcW w:w="862"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68B1C111">
            <w:pPr>
              <w:jc w:val="center"/>
              <w:textAlignment w:val="bottom"/>
              <w:rPr>
                <w:rFonts w:eastAsia="SimSun"/>
                <w:color w:val="000000"/>
                <w:sz w:val="24"/>
                <w:szCs w:val="24"/>
                <w:lang w:eastAsia="zh-CN" w:bidi="ar"/>
              </w:rPr>
            </w:pPr>
            <w:r>
              <w:rPr>
                <w:rFonts w:eastAsia="SimSun"/>
                <w:color w:val="000000"/>
                <w:sz w:val="24"/>
                <w:szCs w:val="24"/>
                <w:lang w:eastAsia="zh-CN" w:bidi="ar"/>
              </w:rPr>
              <w:t>Unid</w:t>
            </w:r>
          </w:p>
        </w:tc>
        <w:tc>
          <w:tcPr>
            <w:tcW w:w="862"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06488E08">
            <w:pPr>
              <w:jc w:val="center"/>
              <w:textAlignment w:val="bottom"/>
              <w:rPr>
                <w:rFonts w:eastAsia="SimSun"/>
                <w:color w:val="000000"/>
                <w:sz w:val="24"/>
                <w:szCs w:val="24"/>
                <w:lang w:eastAsia="hi-IN" w:bidi="ar"/>
              </w:rPr>
            </w:pPr>
            <w:r>
              <w:rPr>
                <w:rFonts w:eastAsia="SimSun"/>
                <w:color w:val="000000"/>
                <w:sz w:val="24"/>
                <w:szCs w:val="24"/>
                <w:lang w:eastAsia="zh-CN" w:bidi="ar"/>
              </w:rPr>
              <w:t>Quant</w:t>
            </w:r>
          </w:p>
        </w:tc>
        <w:tc>
          <w:tcPr>
            <w:tcW w:w="5845"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287D8F1E">
            <w:pPr>
              <w:jc w:val="center"/>
              <w:textAlignment w:val="bottom"/>
              <w:rPr>
                <w:rFonts w:eastAsia="SimSun"/>
                <w:color w:val="000000"/>
                <w:sz w:val="24"/>
                <w:szCs w:val="24"/>
                <w:lang w:eastAsia="zh-CN" w:bidi="ar"/>
              </w:rPr>
            </w:pPr>
            <w:r>
              <w:rPr>
                <w:rFonts w:eastAsia="SimSun"/>
                <w:color w:val="000000"/>
                <w:sz w:val="24"/>
                <w:szCs w:val="24"/>
                <w:lang w:eastAsia="zh-CN" w:bidi="ar"/>
              </w:rPr>
              <w:t>Especificação</w:t>
            </w:r>
          </w:p>
        </w:tc>
        <w:tc>
          <w:tcPr>
            <w:tcW w:w="917"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73E82CF0">
            <w:pPr>
              <w:jc w:val="center"/>
              <w:textAlignment w:val="bottom"/>
              <w:rPr>
                <w:rFonts w:eastAsia="SimSun"/>
                <w:color w:val="000000"/>
                <w:sz w:val="24"/>
                <w:szCs w:val="24"/>
                <w:lang w:eastAsia="zh-CN" w:bidi="ar"/>
              </w:rPr>
            </w:pPr>
            <w:r>
              <w:rPr>
                <w:rFonts w:eastAsia="SimSun"/>
                <w:color w:val="000000"/>
                <w:sz w:val="24"/>
                <w:szCs w:val="24"/>
                <w:lang w:eastAsia="zh-CN" w:bidi="ar"/>
              </w:rPr>
              <w:t>Catmat</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10F87D">
            <w:pPr>
              <w:jc w:val="center"/>
              <w:textAlignment w:val="bottom"/>
              <w:rPr>
                <w:rFonts w:eastAsia="SimSun"/>
                <w:color w:val="000000"/>
                <w:sz w:val="24"/>
                <w:szCs w:val="24"/>
                <w:lang w:eastAsia="zh-CN" w:bidi="ar"/>
              </w:rPr>
            </w:pPr>
            <w:r>
              <w:rPr>
                <w:rFonts w:eastAsia="SimSun"/>
                <w:color w:val="000000"/>
                <w:sz w:val="24"/>
                <w:szCs w:val="24"/>
                <w:lang w:eastAsia="zh-CN" w:bidi="ar"/>
              </w:rPr>
              <w:t>Valor unitario</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F198C47">
            <w:pPr>
              <w:jc w:val="center"/>
              <w:textAlignment w:val="bottom"/>
              <w:rPr>
                <w:rFonts w:eastAsia="SimSun"/>
                <w:color w:val="000000"/>
                <w:sz w:val="24"/>
                <w:szCs w:val="24"/>
                <w:lang w:eastAsia="zh-CN" w:bidi="ar"/>
              </w:rPr>
            </w:pPr>
            <w:r>
              <w:rPr>
                <w:rFonts w:eastAsia="SimSun"/>
                <w:color w:val="000000"/>
                <w:sz w:val="24"/>
                <w:szCs w:val="24"/>
                <w:lang w:eastAsia="zh-CN" w:bidi="ar"/>
              </w:rPr>
              <w:t>Valor total</w:t>
            </w:r>
          </w:p>
        </w:tc>
      </w:tr>
      <w:tr w14:paraId="262DBC44">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F9FD463">
            <w:pPr>
              <w:jc w:val="center"/>
              <w:textAlignment w:val="bottom"/>
              <w:rPr>
                <w:rFonts w:eastAsia="SimSun"/>
                <w:b/>
                <w:bCs/>
                <w:sz w:val="24"/>
                <w:szCs w:val="24"/>
                <w:lang w:eastAsia="zh-CN" w:bidi="ar"/>
              </w:rPr>
            </w:pPr>
            <w:r>
              <w:rPr>
                <w:rFonts w:eastAsia="SimSun"/>
                <w:b/>
                <w:bCs/>
                <w:sz w:val="24"/>
                <w:szCs w:val="24"/>
                <w:lang w:eastAsia="zh-CN" w:bidi="ar"/>
              </w:rPr>
              <w:t>1</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01A38461">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p>
          <w:p w14:paraId="791A295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p>
          <w:p w14:paraId="7BB1FAD3">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p>
          <w:p w14:paraId="75F069CF">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r>
              <w:rPr>
                <w:rFonts w:ascii="Times New Roman" w:hAnsi="Times New Roman" w:cs="Times New Roman"/>
                <w:color w:val="auto"/>
                <w:szCs w:val="24"/>
              </w:rPr>
              <w:t>Lata</w:t>
            </w:r>
          </w:p>
          <w:p w14:paraId="23181F77">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p>
          <w:p w14:paraId="6F7BD60B">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CCF5E93">
            <w:pPr>
              <w:jc w:val="center"/>
              <w:textAlignment w:val="bottom"/>
              <w:rPr>
                <w:rFonts w:eastAsia="SimSun"/>
                <w:b/>
                <w:bCs/>
                <w:kern w:val="3"/>
                <w:sz w:val="24"/>
                <w:szCs w:val="24"/>
                <w:lang w:eastAsia="zh-CN" w:bidi="hi-IN"/>
              </w:rPr>
            </w:pPr>
            <w:r>
              <w:rPr>
                <w:b/>
                <w:bCs/>
                <w:kern w:val="3"/>
                <w:sz w:val="24"/>
                <w:szCs w:val="24"/>
                <w:lang w:eastAsia="hi-IN" w:bidi="hi-IN"/>
              </w:rPr>
              <w:t>1800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3A6C33E6">
            <w:pPr>
              <w:jc w:val="both"/>
              <w:rPr>
                <w:sz w:val="24"/>
                <w:szCs w:val="24"/>
              </w:rPr>
            </w:pPr>
            <w:r>
              <w:rPr>
                <w:b/>
                <w:bCs/>
                <w:sz w:val="24"/>
                <w:szCs w:val="24"/>
              </w:rPr>
              <w:t>SUPLEMENTO ALIMENTAR</w:t>
            </w:r>
            <w:r>
              <w:rPr>
                <w:sz w:val="24"/>
                <w:szCs w:val="24"/>
              </w:rPr>
              <w:t xml:space="preserve"> para lactantes e de seguimento, constituída de aminoácidos elementar, nutricional mente completa, em pó, para crianças com alergias alimentares ou distúrbio da digestão e absorção de de nutrientes. Única fórmula de aminoácidos para crianças com segurança e eficácia comprovadas em pacientes com alergias alimentares. Isenta de proteína láctea, lactose, sacarose, galactose, frutose e glúten. Indicada para crianças de até 01 ano. Deve atender todas as legislações pertinentes de micronutrientes e demanda proteica.</w:t>
            </w:r>
          </w:p>
          <w:p w14:paraId="640FDA31">
            <w:pPr>
              <w:jc w:val="both"/>
              <w:rPr>
                <w:sz w:val="24"/>
                <w:szCs w:val="24"/>
              </w:rPr>
            </w:pPr>
            <w:r>
              <w:rPr>
                <w:b/>
                <w:sz w:val="24"/>
                <w:szCs w:val="24"/>
              </w:rPr>
              <w:t>Apresentação</w:t>
            </w:r>
            <w:r>
              <w:rPr>
                <w:sz w:val="24"/>
                <w:szCs w:val="24"/>
              </w:rPr>
              <w:t>: latas contendo 400g, com validade de 75% na data de entrega.</w:t>
            </w:r>
          </w:p>
          <w:p w14:paraId="4F326942">
            <w:pPr>
              <w:jc w:val="both"/>
              <w:rPr>
                <w:rFonts w:eastAsia="SimSun"/>
                <w:b/>
                <w:kern w:val="3"/>
                <w:sz w:val="24"/>
                <w:szCs w:val="24"/>
                <w:lang w:eastAsia="zh-CN" w:bidi="hi-IN"/>
              </w:rPr>
            </w:pPr>
            <w:r>
              <w:rPr>
                <w:b/>
                <w:sz w:val="24"/>
                <w:szCs w:val="24"/>
              </w:rPr>
              <w:t>Marca pré-aprovada: Neocate LCP</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BFCF28D">
            <w:pPr>
              <w:jc w:val="center"/>
              <w:textAlignment w:val="bottom"/>
              <w:rPr>
                <w:rFonts w:eastAsia="SimSun"/>
                <w:color w:val="000000"/>
                <w:sz w:val="24"/>
                <w:szCs w:val="24"/>
                <w:lang w:eastAsia="zh-CN" w:bidi="ar"/>
              </w:rPr>
            </w:pPr>
            <w:r>
              <w:rPr>
                <w:rFonts w:eastAsia="SimSun"/>
                <w:color w:val="000000"/>
                <w:sz w:val="24"/>
                <w:szCs w:val="24"/>
                <w:lang w:eastAsia="zh-CN" w:bidi="ar"/>
              </w:rPr>
              <w:t>469929</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1F1E271">
            <w:pPr>
              <w:jc w:val="center"/>
              <w:textAlignment w:val="bottom"/>
              <w:rPr>
                <w:rFonts w:eastAsia="SimSun"/>
                <w:color w:val="000000"/>
                <w:sz w:val="24"/>
                <w:szCs w:val="24"/>
                <w:lang w:eastAsia="zh-CN" w:bidi="ar"/>
              </w:rPr>
            </w:pPr>
            <w:r>
              <w:rPr>
                <w:rFonts w:eastAsia="SimSun"/>
                <w:color w:val="000000"/>
                <w:sz w:val="24"/>
                <w:szCs w:val="24"/>
                <w:lang w:eastAsia="zh-CN" w:bidi="ar"/>
              </w:rPr>
              <w:t>259,90</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788CD04">
            <w:pPr>
              <w:jc w:val="center"/>
              <w:textAlignment w:val="bottom"/>
              <w:rPr>
                <w:rFonts w:eastAsia="SimSun"/>
                <w:color w:val="000000"/>
                <w:sz w:val="24"/>
                <w:szCs w:val="24"/>
                <w:lang w:eastAsia="zh-CN" w:bidi="ar"/>
              </w:rPr>
            </w:pPr>
            <w:r>
              <w:rPr>
                <w:rFonts w:eastAsia="SimSun"/>
                <w:color w:val="000000"/>
                <w:sz w:val="24"/>
                <w:szCs w:val="24"/>
                <w:lang w:eastAsia="zh-CN" w:bidi="ar"/>
              </w:rPr>
              <w:t>467.820,00</w:t>
            </w:r>
          </w:p>
        </w:tc>
      </w:tr>
      <w:tr w14:paraId="6F870F8C">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39C3DD1">
            <w:pPr>
              <w:jc w:val="center"/>
              <w:textAlignment w:val="bottom"/>
              <w:rPr>
                <w:rFonts w:eastAsia="SimSun"/>
                <w:b/>
                <w:bCs/>
                <w:sz w:val="24"/>
                <w:szCs w:val="24"/>
                <w:lang w:eastAsia="zh-CN" w:bidi="ar"/>
              </w:rPr>
            </w:pPr>
            <w:r>
              <w:rPr>
                <w:rFonts w:eastAsia="SimSun"/>
                <w:b/>
                <w:bCs/>
                <w:sz w:val="24"/>
                <w:szCs w:val="24"/>
                <w:lang w:eastAsia="zh-CN" w:bidi="ar"/>
              </w:rPr>
              <w:t>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5BFC4ED8">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r>
              <w:rPr>
                <w:rFonts w:ascii="Times New Roman" w:hAnsi="Times New Roman" w:cs="Times New Roman"/>
                <w:color w:val="auto"/>
                <w:szCs w:val="24"/>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9699F17">
            <w:pPr>
              <w:jc w:val="center"/>
              <w:textAlignment w:val="bottom"/>
              <w:rPr>
                <w:rFonts w:eastAsia="SimSun"/>
                <w:b/>
                <w:bCs/>
                <w:kern w:val="3"/>
                <w:sz w:val="24"/>
                <w:szCs w:val="24"/>
                <w:lang w:eastAsia="zh-CN" w:bidi="hi-IN"/>
              </w:rPr>
            </w:pPr>
            <w:r>
              <w:rPr>
                <w:b/>
                <w:bCs/>
                <w:kern w:val="3"/>
                <w:sz w:val="24"/>
                <w:szCs w:val="24"/>
                <w:lang w:eastAsia="hi-IN" w:bidi="hi-IN"/>
              </w:rPr>
              <w:t>2500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64092166">
            <w:pPr>
              <w:jc w:val="both"/>
              <w:rPr>
                <w:sz w:val="24"/>
                <w:szCs w:val="24"/>
              </w:rPr>
            </w:pPr>
            <w:r>
              <w:rPr>
                <w:b/>
                <w:bCs/>
                <w:sz w:val="24"/>
                <w:szCs w:val="24"/>
              </w:rPr>
              <w:t>FÓRMULA INFANTIL</w:t>
            </w:r>
            <w:r>
              <w:rPr>
                <w:sz w:val="24"/>
                <w:szCs w:val="24"/>
              </w:rPr>
              <w:t xml:space="preserve"> para alergia a proteína do leite de vaca e/ou de soja, sem quadro diarreico. Dieta hipoalergênica, formulada com proteína extensamente hidrolisada para alimentação de lactantes desde o nascimento com alergia às proteínas do leite de vaca que não apresentem diarreia. Possui em sua formulação prebióticos, DHA e ARA e nucleotídeos. Isenta de glúten.</w:t>
            </w:r>
          </w:p>
          <w:p w14:paraId="4D53438F">
            <w:pPr>
              <w:jc w:val="both"/>
              <w:rPr>
                <w:sz w:val="24"/>
                <w:szCs w:val="24"/>
              </w:rPr>
            </w:pPr>
            <w:r>
              <w:rPr>
                <w:b/>
                <w:sz w:val="24"/>
                <w:szCs w:val="24"/>
              </w:rPr>
              <w:t>Apresentação:</w:t>
            </w:r>
            <w:r>
              <w:rPr>
                <w:sz w:val="24"/>
                <w:szCs w:val="24"/>
              </w:rPr>
              <w:t xml:space="preserve"> latas contendo 400g, com validade de 75% na data de entrega.</w:t>
            </w:r>
          </w:p>
          <w:p w14:paraId="0E53A84F">
            <w:pPr>
              <w:jc w:val="both"/>
              <w:rPr>
                <w:rFonts w:eastAsia="SimSun"/>
                <w:b/>
                <w:kern w:val="3"/>
                <w:sz w:val="24"/>
                <w:szCs w:val="24"/>
                <w:lang w:eastAsia="zh-CN" w:bidi="hi-IN"/>
              </w:rPr>
            </w:pPr>
            <w:r>
              <w:rPr>
                <w:b/>
                <w:sz w:val="24"/>
                <w:szCs w:val="24"/>
              </w:rPr>
              <w:t>Marca pré-aprovadas: AptamilPepti</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A6C8CA2">
            <w:pPr>
              <w:jc w:val="center"/>
              <w:textAlignment w:val="bottom"/>
              <w:rPr>
                <w:rFonts w:eastAsia="SimSun"/>
                <w:color w:val="000000"/>
                <w:sz w:val="24"/>
                <w:szCs w:val="24"/>
                <w:lang w:eastAsia="zh-CN" w:bidi="ar"/>
              </w:rPr>
            </w:pPr>
            <w:r>
              <w:rPr>
                <w:rFonts w:eastAsia="SimSun"/>
                <w:color w:val="000000"/>
                <w:sz w:val="24"/>
                <w:szCs w:val="24"/>
                <w:lang w:eastAsia="zh-CN" w:bidi="ar"/>
              </w:rPr>
              <w:t>617809</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15BE396">
            <w:pPr>
              <w:jc w:val="center"/>
              <w:textAlignment w:val="bottom"/>
              <w:rPr>
                <w:rFonts w:eastAsia="SimSun"/>
                <w:color w:val="000000"/>
                <w:sz w:val="24"/>
                <w:szCs w:val="24"/>
                <w:lang w:eastAsia="zh-CN" w:bidi="ar"/>
              </w:rPr>
            </w:pPr>
            <w:r>
              <w:rPr>
                <w:rFonts w:eastAsia="SimSun"/>
                <w:color w:val="000000"/>
                <w:sz w:val="24"/>
                <w:szCs w:val="24"/>
                <w:lang w:eastAsia="zh-CN" w:bidi="ar"/>
              </w:rPr>
              <w:t>122,95</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36EF4B">
            <w:pPr>
              <w:jc w:val="center"/>
              <w:textAlignment w:val="bottom"/>
              <w:rPr>
                <w:rFonts w:eastAsia="SimSun"/>
                <w:color w:val="000000"/>
                <w:sz w:val="24"/>
                <w:szCs w:val="24"/>
                <w:lang w:eastAsia="zh-CN" w:bidi="ar"/>
              </w:rPr>
            </w:pPr>
            <w:r>
              <w:rPr>
                <w:rFonts w:eastAsia="SimSun"/>
                <w:color w:val="000000"/>
                <w:sz w:val="24"/>
                <w:szCs w:val="24"/>
                <w:lang w:eastAsia="zh-CN" w:bidi="ar"/>
              </w:rPr>
              <w:t>307.375,00</w:t>
            </w:r>
          </w:p>
        </w:tc>
      </w:tr>
      <w:tr w14:paraId="7BF33C7D">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B6C5F14">
            <w:pPr>
              <w:jc w:val="center"/>
              <w:textAlignment w:val="bottom"/>
              <w:rPr>
                <w:rFonts w:eastAsia="SimSun"/>
                <w:b/>
                <w:bCs/>
                <w:sz w:val="24"/>
                <w:szCs w:val="24"/>
                <w:lang w:eastAsia="zh-CN" w:bidi="ar"/>
              </w:rPr>
            </w:pPr>
            <w:r>
              <w:rPr>
                <w:rFonts w:eastAsia="SimSun"/>
                <w:b/>
                <w:bCs/>
                <w:sz w:val="24"/>
                <w:szCs w:val="24"/>
                <w:lang w:eastAsia="zh-CN" w:bidi="ar"/>
              </w:rPr>
              <w:t>3</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7788476C">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r>
              <w:rPr>
                <w:rFonts w:ascii="Times New Roman" w:hAnsi="Times New Roman" w:cs="Times New Roman"/>
                <w:color w:val="auto"/>
                <w:szCs w:val="24"/>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28ED2D">
            <w:pPr>
              <w:jc w:val="center"/>
              <w:textAlignment w:val="bottom"/>
              <w:rPr>
                <w:rFonts w:eastAsia="SimSun"/>
                <w:b/>
                <w:bCs/>
                <w:kern w:val="3"/>
                <w:sz w:val="24"/>
                <w:szCs w:val="24"/>
                <w:lang w:eastAsia="zh-CN" w:bidi="hi-IN"/>
              </w:rPr>
            </w:pPr>
            <w:r>
              <w:rPr>
                <w:b/>
                <w:bCs/>
                <w:kern w:val="3"/>
                <w:sz w:val="24"/>
                <w:szCs w:val="24"/>
                <w:lang w:eastAsia="hi-IN" w:bidi="hi-IN"/>
              </w:rPr>
              <w:t>3800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371FA367">
            <w:pPr>
              <w:jc w:val="both"/>
              <w:rPr>
                <w:sz w:val="24"/>
                <w:szCs w:val="24"/>
              </w:rPr>
            </w:pPr>
            <w:r>
              <w:rPr>
                <w:b/>
                <w:bCs/>
                <w:sz w:val="24"/>
                <w:szCs w:val="24"/>
              </w:rPr>
              <w:t>FÓRMULA INFANTIL</w:t>
            </w:r>
            <w:r>
              <w:rPr>
                <w:sz w:val="24"/>
                <w:szCs w:val="24"/>
              </w:rPr>
              <w:t xml:space="preserve"> para alergia à proteína do leite de vaca o/ou soja distúrbios absortivos ou outras condições clínicas que requerem terapia nutricional com dieta ou fórmula semielementar e hipoalergênica.</w:t>
            </w:r>
          </w:p>
          <w:p w14:paraId="53CC67E8">
            <w:pPr>
              <w:jc w:val="both"/>
              <w:rPr>
                <w:sz w:val="24"/>
                <w:szCs w:val="24"/>
              </w:rPr>
            </w:pPr>
            <w:r>
              <w:rPr>
                <w:sz w:val="24"/>
                <w:szCs w:val="24"/>
              </w:rPr>
              <w:t>Dieta semi-elementar e hipoalergênica, à base de proteína extensamente hidrolisada de soro de leite, TCM, óleos vegetais, de Mortierella alpina e de peixe; maltodextrina, vitaminas, minerais, nucleotídes e oligoelementos. Apresenta baixa osmoralidade, ótima tolerabilidade e aceitação. 100% proteína extensamente hidrolisada do solro do leite. Isento de lactose, sacarose, frutose e glúten.</w:t>
            </w:r>
          </w:p>
          <w:p w14:paraId="63BAFFAD">
            <w:pPr>
              <w:jc w:val="both"/>
              <w:rPr>
                <w:sz w:val="24"/>
                <w:szCs w:val="24"/>
              </w:rPr>
            </w:pPr>
            <w:r>
              <w:rPr>
                <w:b/>
                <w:sz w:val="24"/>
                <w:szCs w:val="24"/>
              </w:rPr>
              <w:t>Apresentação:</w:t>
            </w:r>
            <w:r>
              <w:rPr>
                <w:sz w:val="24"/>
                <w:szCs w:val="24"/>
              </w:rPr>
              <w:t xml:space="preserve"> latas contendo 400g, com validade de 24 meses da   data de entrega.</w:t>
            </w:r>
          </w:p>
          <w:p w14:paraId="17EF8C3B">
            <w:pPr>
              <w:jc w:val="both"/>
              <w:rPr>
                <w:rFonts w:eastAsia="SimSun"/>
                <w:b/>
                <w:kern w:val="3"/>
                <w:sz w:val="24"/>
                <w:szCs w:val="24"/>
                <w:lang w:eastAsia="zh-CN" w:bidi="hi-IN"/>
              </w:rPr>
            </w:pPr>
            <w:r>
              <w:rPr>
                <w:b/>
                <w:sz w:val="24"/>
                <w:szCs w:val="24"/>
              </w:rPr>
              <w:t>Marca pré-aprovada: PregominPepti</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BE37AFD">
            <w:pPr>
              <w:jc w:val="center"/>
              <w:textAlignment w:val="bottom"/>
              <w:rPr>
                <w:rFonts w:eastAsia="SimSun"/>
                <w:color w:val="000000"/>
                <w:sz w:val="24"/>
                <w:szCs w:val="24"/>
                <w:lang w:eastAsia="zh-CN" w:bidi="ar"/>
              </w:rPr>
            </w:pPr>
            <w:r>
              <w:rPr>
                <w:rFonts w:eastAsia="SimSun"/>
                <w:color w:val="000000"/>
                <w:sz w:val="24"/>
                <w:szCs w:val="24"/>
                <w:lang w:eastAsia="zh-CN" w:bidi="ar"/>
              </w:rPr>
              <w:t>618654</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0F227A8">
            <w:pPr>
              <w:jc w:val="center"/>
              <w:textAlignment w:val="bottom"/>
              <w:rPr>
                <w:rFonts w:eastAsia="SimSun"/>
                <w:color w:val="000000"/>
                <w:sz w:val="24"/>
                <w:szCs w:val="24"/>
                <w:lang w:eastAsia="zh-CN" w:bidi="ar"/>
              </w:rPr>
            </w:pPr>
            <w:r>
              <w:rPr>
                <w:rFonts w:eastAsia="SimSun"/>
                <w:color w:val="000000"/>
                <w:sz w:val="24"/>
                <w:szCs w:val="24"/>
                <w:lang w:eastAsia="zh-CN" w:bidi="ar"/>
              </w:rPr>
              <w:t>153,90</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4E83984">
            <w:pPr>
              <w:jc w:val="center"/>
              <w:textAlignment w:val="bottom"/>
              <w:rPr>
                <w:rFonts w:eastAsia="SimSun"/>
                <w:color w:val="000000"/>
                <w:sz w:val="24"/>
                <w:szCs w:val="24"/>
                <w:lang w:eastAsia="zh-CN" w:bidi="ar"/>
              </w:rPr>
            </w:pPr>
            <w:r>
              <w:rPr>
                <w:rFonts w:eastAsia="SimSun"/>
                <w:color w:val="000000"/>
                <w:sz w:val="24"/>
                <w:szCs w:val="24"/>
                <w:lang w:eastAsia="zh-CN" w:bidi="ar"/>
              </w:rPr>
              <w:t>584,820,00</w:t>
            </w:r>
          </w:p>
        </w:tc>
      </w:tr>
      <w:tr w14:paraId="4EE24DCE">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D6488D0">
            <w:pPr>
              <w:jc w:val="center"/>
              <w:textAlignment w:val="bottom"/>
              <w:rPr>
                <w:rFonts w:eastAsia="SimSun"/>
                <w:b/>
                <w:bCs/>
                <w:sz w:val="24"/>
                <w:szCs w:val="24"/>
                <w:lang w:eastAsia="zh-CN" w:bidi="ar"/>
              </w:rPr>
            </w:pPr>
            <w:r>
              <w:rPr>
                <w:rFonts w:eastAsia="SimSun"/>
                <w:b/>
                <w:bCs/>
                <w:sz w:val="24"/>
                <w:szCs w:val="24"/>
                <w:lang w:eastAsia="zh-CN" w:bidi="ar"/>
              </w:rPr>
              <w:t>4</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54E161B6">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r>
              <w:rPr>
                <w:rFonts w:ascii="Times New Roman" w:hAnsi="Times New Roman" w:cs="Times New Roman"/>
                <w:color w:val="auto"/>
                <w:szCs w:val="24"/>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6E6E43">
            <w:pPr>
              <w:jc w:val="center"/>
              <w:textAlignment w:val="bottom"/>
              <w:rPr>
                <w:rFonts w:eastAsia="SimSun"/>
                <w:b/>
                <w:bCs/>
                <w:kern w:val="3"/>
                <w:sz w:val="24"/>
                <w:szCs w:val="24"/>
                <w:lang w:eastAsia="zh-CN" w:bidi="hi-IN"/>
              </w:rPr>
            </w:pPr>
            <w:r>
              <w:rPr>
                <w:b/>
                <w:bCs/>
                <w:kern w:val="3"/>
                <w:sz w:val="24"/>
                <w:szCs w:val="24"/>
                <w:lang w:eastAsia="hi-IN" w:bidi="hi-IN"/>
              </w:rPr>
              <w:t>300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5888F6CD">
            <w:pPr>
              <w:jc w:val="both"/>
              <w:rPr>
                <w:sz w:val="24"/>
                <w:szCs w:val="24"/>
              </w:rPr>
            </w:pPr>
            <w:r>
              <w:rPr>
                <w:b/>
                <w:bCs/>
                <w:sz w:val="24"/>
                <w:szCs w:val="24"/>
              </w:rPr>
              <w:t>FORMULA INFANTIL</w:t>
            </w:r>
            <w:r>
              <w:rPr>
                <w:sz w:val="24"/>
                <w:szCs w:val="24"/>
              </w:rPr>
              <w:t xml:space="preserve"> para lactantes e de seguimento para lactantes e crianças de primeira infância destinada a necessidades dietoterápicas especificas com 1 Kcal/ml. Uma formula polimérica, hipercalórica e nutricionalmente completa indicada para alimentação oral ou enteral de crianças de 0 a 3 anos de idade.</w:t>
            </w:r>
          </w:p>
          <w:p w14:paraId="1970F6FC">
            <w:pPr>
              <w:jc w:val="both"/>
              <w:rPr>
                <w:sz w:val="24"/>
                <w:szCs w:val="24"/>
              </w:rPr>
            </w:pPr>
            <w:r>
              <w:rPr>
                <w:sz w:val="24"/>
                <w:szCs w:val="24"/>
              </w:rPr>
              <w:t>Formula adicionada de LCPufas (ARA/DHA), nucleotídeos, beta-caroteno e prebióticos (GOS/FOS). Isento de sacarose. Não contém glúten.</w:t>
            </w:r>
          </w:p>
          <w:p w14:paraId="1DBFD33A">
            <w:pPr>
              <w:jc w:val="both"/>
              <w:rPr>
                <w:sz w:val="24"/>
                <w:szCs w:val="24"/>
              </w:rPr>
            </w:pPr>
            <w:r>
              <w:rPr>
                <w:b/>
                <w:sz w:val="24"/>
                <w:szCs w:val="24"/>
              </w:rPr>
              <w:t>Apresentação:</w:t>
            </w:r>
            <w:r>
              <w:rPr>
                <w:sz w:val="24"/>
                <w:szCs w:val="24"/>
              </w:rPr>
              <w:t xml:space="preserve"> latas contendo 400g, com validade de 75% na data de entrega.</w:t>
            </w:r>
          </w:p>
          <w:p w14:paraId="63171BF4">
            <w:pPr>
              <w:jc w:val="both"/>
              <w:rPr>
                <w:rFonts w:eastAsia="SimSun"/>
                <w:b/>
                <w:kern w:val="3"/>
                <w:sz w:val="24"/>
                <w:szCs w:val="24"/>
                <w:lang w:eastAsia="zh-CN" w:bidi="hi-IN"/>
              </w:rPr>
            </w:pPr>
            <w:r>
              <w:rPr>
                <w:b/>
                <w:sz w:val="24"/>
                <w:szCs w:val="24"/>
              </w:rPr>
              <w:t xml:space="preserve">Marca pré-aprovada: Infatrini Pó  </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984F36">
            <w:pPr>
              <w:jc w:val="center"/>
              <w:textAlignment w:val="bottom"/>
              <w:rPr>
                <w:rFonts w:eastAsia="SimSun"/>
                <w:color w:val="000000"/>
                <w:sz w:val="24"/>
                <w:szCs w:val="24"/>
                <w:lang w:eastAsia="zh-CN" w:bidi="ar"/>
              </w:rPr>
            </w:pPr>
            <w:r>
              <w:rPr>
                <w:rFonts w:eastAsia="SimSun"/>
                <w:color w:val="000000"/>
                <w:sz w:val="24"/>
                <w:szCs w:val="24"/>
                <w:lang w:eastAsia="zh-CN" w:bidi="ar"/>
              </w:rPr>
              <w:t>485142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6238FDA">
            <w:pPr>
              <w:jc w:val="center"/>
              <w:textAlignment w:val="bottom"/>
              <w:rPr>
                <w:rFonts w:eastAsia="SimSun"/>
                <w:color w:val="000000"/>
                <w:sz w:val="24"/>
                <w:szCs w:val="24"/>
                <w:lang w:eastAsia="zh-CN" w:bidi="ar"/>
              </w:rPr>
            </w:pPr>
            <w:r>
              <w:rPr>
                <w:rFonts w:eastAsia="SimSun"/>
                <w:color w:val="000000"/>
                <w:sz w:val="24"/>
                <w:szCs w:val="24"/>
                <w:lang w:eastAsia="zh-CN" w:bidi="ar"/>
              </w:rPr>
              <w:t>174,15</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5271BE">
            <w:pPr>
              <w:jc w:val="center"/>
              <w:textAlignment w:val="bottom"/>
              <w:rPr>
                <w:rFonts w:eastAsia="SimSun"/>
                <w:color w:val="000000"/>
                <w:sz w:val="24"/>
                <w:szCs w:val="24"/>
                <w:lang w:eastAsia="zh-CN" w:bidi="ar"/>
              </w:rPr>
            </w:pPr>
            <w:r>
              <w:rPr>
                <w:rFonts w:eastAsia="SimSun"/>
                <w:color w:val="000000"/>
                <w:sz w:val="24"/>
                <w:szCs w:val="24"/>
                <w:lang w:eastAsia="zh-CN" w:bidi="ar"/>
              </w:rPr>
              <w:t>52.245,00</w:t>
            </w:r>
          </w:p>
        </w:tc>
      </w:tr>
      <w:tr w14:paraId="53738B16">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5ACFB220">
            <w:pPr>
              <w:jc w:val="center"/>
              <w:textAlignment w:val="bottom"/>
              <w:rPr>
                <w:rFonts w:eastAsia="SimSun"/>
                <w:b/>
                <w:bCs/>
                <w:sz w:val="24"/>
                <w:szCs w:val="24"/>
                <w:lang w:eastAsia="zh-CN" w:bidi="ar"/>
              </w:rPr>
            </w:pPr>
            <w:r>
              <w:rPr>
                <w:rFonts w:eastAsia="SimSun"/>
                <w:b/>
                <w:bCs/>
                <w:sz w:val="24"/>
                <w:szCs w:val="24"/>
                <w:lang w:eastAsia="zh-CN" w:bidi="ar"/>
              </w:rPr>
              <w:t>5</w:t>
            </w:r>
          </w:p>
        </w:tc>
        <w:tc>
          <w:tcPr>
            <w:tcW w:w="862" w:type="dxa"/>
            <w:tcBorders>
              <w:top w:val="single" w:color="000000" w:sz="2" w:space="0"/>
              <w:left w:val="single" w:color="000000" w:sz="2" w:space="0"/>
              <w:bottom w:val="single" w:color="auto" w:sz="4" w:space="0"/>
              <w:right w:val="single" w:color="000000" w:sz="2" w:space="0"/>
            </w:tcBorders>
            <w:shd w:val="clear" w:color="auto" w:fill="auto"/>
            <w:noWrap/>
          </w:tcPr>
          <w:p w14:paraId="6CF14AB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r>
              <w:rPr>
                <w:rFonts w:ascii="Times New Roman" w:hAnsi="Times New Roman" w:cs="Times New Roman"/>
                <w:color w:val="auto"/>
                <w:szCs w:val="24"/>
              </w:rPr>
              <w:t>Lata</w:t>
            </w:r>
          </w:p>
        </w:tc>
        <w:tc>
          <w:tcPr>
            <w:tcW w:w="862"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7FCD420C">
            <w:pPr>
              <w:jc w:val="center"/>
              <w:textAlignment w:val="bottom"/>
              <w:rPr>
                <w:rFonts w:eastAsia="SimSun"/>
                <w:b/>
                <w:bCs/>
                <w:kern w:val="3"/>
                <w:sz w:val="24"/>
                <w:szCs w:val="24"/>
                <w:lang w:eastAsia="zh-CN" w:bidi="hi-IN"/>
              </w:rPr>
            </w:pPr>
            <w:r>
              <w:rPr>
                <w:b/>
                <w:bCs/>
                <w:kern w:val="3"/>
                <w:sz w:val="24"/>
                <w:szCs w:val="24"/>
                <w:lang w:eastAsia="hi-IN" w:bidi="hi-IN"/>
              </w:rPr>
              <w:t>1500</w:t>
            </w:r>
          </w:p>
        </w:tc>
        <w:tc>
          <w:tcPr>
            <w:tcW w:w="5845" w:type="dxa"/>
            <w:tcBorders>
              <w:top w:val="single" w:color="000000" w:sz="2" w:space="0"/>
              <w:left w:val="single" w:color="000000" w:sz="2" w:space="0"/>
              <w:bottom w:val="single" w:color="auto" w:sz="4" w:space="0"/>
              <w:right w:val="single" w:color="000000" w:sz="2" w:space="0"/>
            </w:tcBorders>
            <w:shd w:val="clear" w:color="auto" w:fill="auto"/>
            <w:noWrap/>
          </w:tcPr>
          <w:p w14:paraId="006BBD46">
            <w:pPr>
              <w:jc w:val="both"/>
              <w:rPr>
                <w:sz w:val="24"/>
                <w:szCs w:val="24"/>
              </w:rPr>
            </w:pPr>
            <w:r>
              <w:rPr>
                <w:sz w:val="24"/>
                <w:szCs w:val="24"/>
              </w:rPr>
              <w:t>Formula alimentar hipoercalorica de 1,5kcal/ml para idade de 3 a 10 anos</w:t>
            </w:r>
          </w:p>
          <w:p w14:paraId="4048E419">
            <w:pPr>
              <w:jc w:val="both"/>
              <w:rPr>
                <w:sz w:val="24"/>
                <w:szCs w:val="24"/>
              </w:rPr>
            </w:pPr>
            <w:r>
              <w:rPr>
                <w:b/>
                <w:bCs/>
                <w:sz w:val="24"/>
                <w:szCs w:val="24"/>
              </w:rPr>
              <w:t xml:space="preserve">Apresentação: </w:t>
            </w:r>
            <w:r>
              <w:rPr>
                <w:sz w:val="24"/>
                <w:szCs w:val="24"/>
              </w:rPr>
              <w:t>lata com 400g, com validade minima de 75% a contar da data de entrega</w:t>
            </w:r>
          </w:p>
          <w:p w14:paraId="4763595E">
            <w:pPr>
              <w:jc w:val="both"/>
              <w:rPr>
                <w:rFonts w:eastAsia="SimSun"/>
                <w:b/>
                <w:bCs/>
                <w:kern w:val="3"/>
                <w:sz w:val="24"/>
                <w:szCs w:val="24"/>
                <w:shd w:val="clear" w:color="auto" w:fill="FFFFFF"/>
                <w:lang w:eastAsia="zh-CN" w:bidi="hi-IN"/>
              </w:rPr>
            </w:pPr>
            <w:r>
              <w:rPr>
                <w:b/>
                <w:sz w:val="24"/>
                <w:szCs w:val="24"/>
                <w:shd w:val="clear" w:color="auto" w:fill="FFFFFF"/>
              </w:rPr>
              <w:t>Marca: Fortini Plus</w:t>
            </w:r>
          </w:p>
        </w:tc>
        <w:tc>
          <w:tcPr>
            <w:tcW w:w="917"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496838A0">
            <w:pPr>
              <w:jc w:val="center"/>
              <w:textAlignment w:val="bottom"/>
              <w:rPr>
                <w:rFonts w:eastAsia="SimSun"/>
                <w:color w:val="000000"/>
                <w:sz w:val="24"/>
                <w:szCs w:val="24"/>
                <w:lang w:eastAsia="zh-CN" w:bidi="ar"/>
              </w:rPr>
            </w:pPr>
            <w:r>
              <w:rPr>
                <w:rFonts w:eastAsia="SimSun"/>
                <w:color w:val="000000"/>
                <w:sz w:val="24"/>
                <w:szCs w:val="24"/>
                <w:lang w:eastAsia="zh-CN" w:bidi="ar"/>
              </w:rPr>
              <w:t>465751</w:t>
            </w:r>
          </w:p>
        </w:tc>
        <w:tc>
          <w:tcPr>
            <w:tcW w:w="862"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3E5124EC">
            <w:pPr>
              <w:jc w:val="center"/>
              <w:textAlignment w:val="bottom"/>
              <w:rPr>
                <w:rFonts w:eastAsia="SimSun"/>
                <w:color w:val="000000"/>
                <w:sz w:val="24"/>
                <w:szCs w:val="24"/>
                <w:lang w:eastAsia="zh-CN" w:bidi="ar"/>
              </w:rPr>
            </w:pPr>
            <w:r>
              <w:rPr>
                <w:rFonts w:eastAsia="SimSun"/>
                <w:color w:val="000000"/>
                <w:sz w:val="24"/>
                <w:szCs w:val="24"/>
                <w:lang w:eastAsia="zh-CN" w:bidi="ar"/>
              </w:rPr>
              <w:t>63,06</w:t>
            </w:r>
          </w:p>
        </w:tc>
        <w:tc>
          <w:tcPr>
            <w:tcW w:w="1216" w:type="dxa"/>
            <w:tcBorders>
              <w:top w:val="single" w:color="000000" w:sz="2" w:space="0"/>
              <w:left w:val="single" w:color="000000" w:sz="2" w:space="0"/>
              <w:bottom w:val="single" w:color="auto" w:sz="4" w:space="0"/>
              <w:right w:val="single" w:color="000000" w:sz="2" w:space="0"/>
            </w:tcBorders>
            <w:shd w:val="clear" w:color="auto" w:fill="auto"/>
            <w:noWrap/>
            <w:vAlign w:val="bottom"/>
          </w:tcPr>
          <w:p w14:paraId="4A02408F">
            <w:pPr>
              <w:jc w:val="center"/>
              <w:textAlignment w:val="bottom"/>
              <w:rPr>
                <w:rFonts w:eastAsia="SimSun"/>
                <w:color w:val="000000"/>
                <w:sz w:val="24"/>
                <w:szCs w:val="24"/>
                <w:lang w:eastAsia="zh-CN" w:bidi="ar"/>
              </w:rPr>
            </w:pPr>
            <w:r>
              <w:rPr>
                <w:rFonts w:eastAsia="SimSun"/>
                <w:color w:val="000000"/>
                <w:sz w:val="24"/>
                <w:szCs w:val="24"/>
                <w:lang w:eastAsia="zh-CN" w:bidi="ar"/>
              </w:rPr>
              <w:t>94.590,00</w:t>
            </w:r>
          </w:p>
        </w:tc>
      </w:tr>
      <w:tr w14:paraId="3F79F970">
        <w:tblPrEx>
          <w:tblCellMar>
            <w:top w:w="0" w:type="dxa"/>
            <w:left w:w="108" w:type="dxa"/>
            <w:bottom w:w="0" w:type="dxa"/>
            <w:right w:w="108" w:type="dxa"/>
          </w:tblCellMar>
        </w:tblPrEx>
        <w:trPr>
          <w:trHeight w:val="300" w:hRule="atLeast"/>
        </w:trPr>
        <w:tc>
          <w:tcPr>
            <w:tcW w:w="900" w:type="dxa"/>
            <w:tcBorders>
              <w:top w:val="single" w:color="auto" w:sz="4" w:space="0"/>
              <w:left w:val="single" w:color="auto" w:sz="4" w:space="0"/>
              <w:bottom w:val="single" w:color="auto" w:sz="4" w:space="0"/>
              <w:right w:val="single" w:color="auto" w:sz="4" w:space="0"/>
            </w:tcBorders>
            <w:shd w:val="clear" w:color="auto" w:fill="auto"/>
          </w:tcPr>
          <w:p w14:paraId="12AB9C5E">
            <w:pPr>
              <w:jc w:val="center"/>
              <w:textAlignment w:val="bottom"/>
              <w:rPr>
                <w:rFonts w:eastAsia="SimSun"/>
                <w:b/>
                <w:bCs/>
                <w:sz w:val="24"/>
                <w:szCs w:val="24"/>
                <w:lang w:eastAsia="zh-CN" w:bidi="ar"/>
              </w:rPr>
            </w:pPr>
          </w:p>
        </w:tc>
        <w:tc>
          <w:tcPr>
            <w:tcW w:w="862" w:type="dxa"/>
            <w:tcBorders>
              <w:top w:val="single" w:color="auto" w:sz="4" w:space="0"/>
              <w:left w:val="single" w:color="auto" w:sz="4" w:space="0"/>
              <w:bottom w:val="single" w:color="auto" w:sz="4" w:space="0"/>
              <w:right w:val="single" w:color="auto" w:sz="4" w:space="0"/>
            </w:tcBorders>
            <w:shd w:val="clear" w:color="auto" w:fill="auto"/>
          </w:tcPr>
          <w:p w14:paraId="5C9A7FAA">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szCs w:val="24"/>
              </w:rPr>
            </w:pPr>
          </w:p>
        </w:tc>
        <w:tc>
          <w:tcPr>
            <w:tcW w:w="862" w:type="dxa"/>
            <w:tcBorders>
              <w:top w:val="single" w:color="auto" w:sz="4" w:space="0"/>
              <w:left w:val="single" w:color="auto" w:sz="4" w:space="0"/>
              <w:bottom w:val="single" w:color="auto" w:sz="4" w:space="0"/>
              <w:right w:val="single" w:color="auto" w:sz="4" w:space="0"/>
            </w:tcBorders>
            <w:shd w:val="clear" w:color="auto" w:fill="auto"/>
          </w:tcPr>
          <w:p w14:paraId="2E207B78">
            <w:pPr>
              <w:jc w:val="center"/>
              <w:textAlignment w:val="bottom"/>
              <w:rPr>
                <w:rFonts w:eastAsia="SimSun"/>
                <w:b/>
                <w:bCs/>
                <w:kern w:val="3"/>
                <w:sz w:val="24"/>
                <w:szCs w:val="24"/>
                <w:lang w:eastAsia="zh-CN" w:bidi="hi-IN"/>
              </w:rPr>
            </w:pPr>
          </w:p>
        </w:tc>
        <w:tc>
          <w:tcPr>
            <w:tcW w:w="5845" w:type="dxa"/>
            <w:tcBorders>
              <w:top w:val="single" w:color="auto" w:sz="4" w:space="0"/>
              <w:left w:val="single" w:color="auto" w:sz="4" w:space="0"/>
              <w:bottom w:val="single" w:color="auto" w:sz="4" w:space="0"/>
              <w:right w:val="single" w:color="auto" w:sz="4" w:space="0"/>
            </w:tcBorders>
            <w:shd w:val="clear" w:color="auto" w:fill="auto"/>
          </w:tcPr>
          <w:p w14:paraId="2F2D74D9">
            <w:pPr>
              <w:jc w:val="both"/>
              <w:rPr>
                <w:rFonts w:eastAsia="SimSun"/>
                <w:b/>
                <w:bCs/>
                <w:kern w:val="3"/>
                <w:sz w:val="24"/>
                <w:szCs w:val="24"/>
                <w:shd w:val="clear" w:color="auto" w:fill="FFFFFF"/>
                <w:lang w:eastAsia="zh-CN" w:bidi="hi-IN"/>
              </w:rPr>
            </w:pPr>
          </w:p>
        </w:tc>
        <w:tc>
          <w:tcPr>
            <w:tcW w:w="917" w:type="dxa"/>
            <w:tcBorders>
              <w:top w:val="single" w:color="auto" w:sz="4" w:space="0"/>
              <w:left w:val="single" w:color="auto" w:sz="4" w:space="0"/>
              <w:bottom w:val="single" w:color="auto" w:sz="4" w:space="0"/>
              <w:right w:val="single" w:color="auto" w:sz="4" w:space="0"/>
            </w:tcBorders>
            <w:shd w:val="clear" w:color="auto" w:fill="auto"/>
          </w:tcPr>
          <w:p w14:paraId="7DE882E4">
            <w:pPr>
              <w:jc w:val="center"/>
              <w:textAlignment w:val="bottom"/>
              <w:rPr>
                <w:rFonts w:eastAsia="SimSun"/>
                <w:color w:val="000000"/>
                <w:sz w:val="24"/>
                <w:szCs w:val="24"/>
                <w:lang w:eastAsia="zh-CN" w:bidi="ar"/>
              </w:rPr>
            </w:pPr>
          </w:p>
        </w:tc>
        <w:tc>
          <w:tcPr>
            <w:tcW w:w="862" w:type="dxa"/>
            <w:tcBorders>
              <w:top w:val="single" w:color="auto" w:sz="4" w:space="0"/>
              <w:left w:val="single" w:color="auto" w:sz="4" w:space="0"/>
              <w:bottom w:val="single" w:color="auto" w:sz="4" w:space="0"/>
              <w:right w:val="single" w:color="auto" w:sz="4" w:space="0"/>
            </w:tcBorders>
            <w:shd w:val="clear" w:color="auto" w:fill="auto"/>
            <w:vAlign w:val="bottom"/>
          </w:tcPr>
          <w:p w14:paraId="5BF271C4">
            <w:pPr>
              <w:jc w:val="center"/>
              <w:textAlignment w:val="bottom"/>
              <w:rPr>
                <w:color w:val="000000"/>
                <w:sz w:val="24"/>
                <w:szCs w:val="24"/>
                <w:lang w:eastAsia="zh-CN"/>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bottom"/>
          </w:tcPr>
          <w:p w14:paraId="7F035FAA">
            <w:pPr>
              <w:jc w:val="center"/>
              <w:textAlignment w:val="bottom"/>
              <w:rPr>
                <w:color w:val="000000"/>
                <w:sz w:val="24"/>
                <w:szCs w:val="24"/>
                <w:lang w:eastAsia="zh-CN"/>
              </w:rPr>
            </w:pPr>
            <w:r>
              <w:rPr>
                <w:color w:val="000000"/>
                <w:sz w:val="24"/>
                <w:szCs w:val="24"/>
                <w:lang w:eastAsia="zh-CN"/>
              </w:rPr>
              <w:t>1.506.850,00</w:t>
            </w:r>
          </w:p>
        </w:tc>
      </w:tr>
    </w:tbl>
    <w:p w14:paraId="4563211E">
      <w:pPr>
        <w:rPr>
          <w:color w:val="FF0000"/>
          <w:sz w:val="24"/>
          <w:szCs w:val="24"/>
        </w:rPr>
      </w:pPr>
    </w:p>
    <w:p w14:paraId="06FA572A">
      <w:pPr>
        <w:jc w:val="both"/>
        <w:rPr>
          <w:rFonts w:eastAsia="Cambria Math"/>
          <w:b/>
          <w:sz w:val="24"/>
          <w:szCs w:val="24"/>
        </w:rPr>
      </w:pPr>
      <w:r>
        <w:rPr>
          <w:rFonts w:eastAsia="Cambria Math"/>
          <w:b/>
          <w:sz w:val="24"/>
          <w:szCs w:val="24"/>
        </w:rPr>
        <w:t>4 - JUSTIFICATIVA</w:t>
      </w:r>
    </w:p>
    <w:p w14:paraId="4CEEA2E0">
      <w:pPr>
        <w:rPr>
          <w:rFonts w:eastAsia="Cambria Math"/>
          <w:color w:val="FF0000"/>
          <w:sz w:val="24"/>
          <w:szCs w:val="24"/>
        </w:rPr>
      </w:pPr>
    </w:p>
    <w:p w14:paraId="79EB4330">
      <w:pPr>
        <w:pStyle w:val="24"/>
        <w:spacing w:line="360" w:lineRule="auto"/>
        <w:jc w:val="both"/>
      </w:pPr>
      <w:r>
        <w:t>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517D8425">
      <w:pPr>
        <w:spacing w:line="360" w:lineRule="auto"/>
        <w:jc w:val="both"/>
        <w:rPr>
          <w:rFonts w:eastAsia="SimSun"/>
          <w:sz w:val="24"/>
          <w:szCs w:val="24"/>
        </w:rPr>
      </w:pPr>
      <w:r>
        <w:rPr>
          <w:rFonts w:eastAsia="SimSun"/>
          <w:sz w:val="24"/>
          <w:szCs w:val="24"/>
        </w:rPr>
        <w:t xml:space="preserve">A solução especificada e que se pretende adquirir, refere-se à contratação, na modalidade Pregão Eletrônico para Registro de Preços. </w:t>
      </w:r>
    </w:p>
    <w:p w14:paraId="57435515">
      <w:pPr>
        <w:spacing w:line="360" w:lineRule="auto"/>
        <w:jc w:val="both"/>
        <w:rPr>
          <w:sz w:val="24"/>
          <w:szCs w:val="24"/>
        </w:rPr>
      </w:pPr>
      <w:r>
        <w:rPr>
          <w:sz w:val="24"/>
          <w:szCs w:val="24"/>
        </w:rPr>
        <w:t xml:space="preserve">O fornecimento por grupo, permite maior flexibilidade na aquisição conforme a disponibilidade de mercado e as condições econômicas mais vantajosas para a Administração Pública. </w:t>
      </w:r>
    </w:p>
    <w:p w14:paraId="4D23F812">
      <w:pPr>
        <w:spacing w:line="360" w:lineRule="auto"/>
        <w:jc w:val="both"/>
        <w:rPr>
          <w:sz w:val="24"/>
          <w:szCs w:val="24"/>
        </w:rPr>
      </w:pPr>
      <w:r>
        <w:rPr>
          <w:sz w:val="24"/>
          <w:szCs w:val="24"/>
        </w:rPr>
        <w:t>A solução proposta busca, além de atender à demanda, garantir a padronização, a economicidade, a previsibilidade logística e o acolhimento humanizado  no sistema público de saúde.</w:t>
      </w:r>
    </w:p>
    <w:p w14:paraId="77F0A486">
      <w:pPr>
        <w:pStyle w:val="274"/>
        <w:spacing w:line="360" w:lineRule="auto"/>
        <w:jc w:val="both"/>
        <w:rPr>
          <w:rFonts w:ascii="Times New Roman" w:hAnsi="Times New Roman" w:eastAsia="Times New Roman" w:cs="Times New Roman"/>
          <w:b/>
          <w:sz w:val="24"/>
          <w:szCs w:val="24"/>
        </w:rPr>
      </w:pPr>
      <w:r>
        <w:rPr>
          <w:rFonts w:ascii="Times New Roman" w:hAnsi="Times New Roman" w:eastAsia="Cambria Math" w:cs="Times New Roman"/>
          <w:b/>
          <w:sz w:val="24"/>
          <w:szCs w:val="24"/>
        </w:rPr>
        <w:t xml:space="preserve">5 - </w:t>
      </w:r>
      <w:r>
        <w:rPr>
          <w:rFonts w:ascii="Times New Roman" w:hAnsi="Times New Roman" w:eastAsia="Times New Roman" w:cs="Times New Roman"/>
          <w:b/>
          <w:sz w:val="24"/>
          <w:szCs w:val="24"/>
        </w:rPr>
        <w:t xml:space="preserve">REQUISITOS DA CONTRATAÇÃO  </w:t>
      </w:r>
    </w:p>
    <w:p w14:paraId="65E4AEA6">
      <w:pPr>
        <w:pStyle w:val="74"/>
        <w:spacing w:line="360" w:lineRule="auto"/>
        <w:jc w:val="both"/>
        <w:rPr>
          <w:rFonts w:ascii="Times New Roman" w:hAnsi="Times New Roman" w:cs="Times New Roman"/>
          <w:color w:val="auto"/>
        </w:rPr>
      </w:pPr>
      <w:r>
        <w:rPr>
          <w:rFonts w:ascii="Times New Roman" w:hAnsi="Times New Roman" w:cs="Times New Roman"/>
          <w:color w:val="auto"/>
        </w:rPr>
        <w:t>O contratado deve realizar o fornecimento do objeto de acordo com a solicitação do Setor Demandante, e conforme condições, quantidades, exigências e estimativa  estabelecidas no Termo de Referência;</w:t>
      </w:r>
    </w:p>
    <w:p w14:paraId="110D0DD2">
      <w:pPr>
        <w:pStyle w:val="74"/>
        <w:spacing w:line="360" w:lineRule="auto"/>
        <w:jc w:val="both"/>
        <w:rPr>
          <w:rFonts w:ascii="Times New Roman" w:hAnsi="Times New Roman" w:cs="Times New Roman"/>
          <w:color w:val="auto"/>
        </w:rPr>
      </w:pPr>
      <w:r>
        <w:rPr>
          <w:rFonts w:ascii="Times New Roman" w:hAnsi="Times New Roman" w:cs="Times New Roman"/>
          <w:color w:val="auto"/>
        </w:rPr>
        <w:t>O contratado deverá assumir a responsabilidade por todas as providências e obrigações estabelecidas na legislação específica sobre a qualidade e especificação dos exames que serão executados;</w:t>
      </w:r>
    </w:p>
    <w:p w14:paraId="3CD7D9E7">
      <w:pPr>
        <w:pStyle w:val="74"/>
        <w:spacing w:line="360" w:lineRule="auto"/>
        <w:jc w:val="both"/>
        <w:rPr>
          <w:rFonts w:ascii="Times New Roman" w:hAnsi="Times New Roman" w:cs="Times New Roman"/>
          <w:color w:val="auto"/>
        </w:rPr>
      </w:pPr>
      <w:r>
        <w:rPr>
          <w:rFonts w:ascii="Times New Roman" w:hAnsi="Times New Roman" w:cs="Times New Roman"/>
          <w:color w:val="auto"/>
        </w:rPr>
        <w:t>O contratado deverá executar diretamente o objeto, não podendo transferir a responsabilidade pelo objeto demandado para nenhuma outra empresa ou instituição de qualquer natureza;</w:t>
      </w:r>
    </w:p>
    <w:p w14:paraId="3FCF37A1">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prestar todos os esclarecimentos técnicos que lhe forem solicitados, relacionados com as características do exame realizado; </w:t>
      </w:r>
    </w:p>
    <w:p w14:paraId="0B95E49F">
      <w:pPr>
        <w:pStyle w:val="74"/>
        <w:spacing w:line="360" w:lineRule="auto"/>
        <w:jc w:val="both"/>
        <w:rPr>
          <w:rFonts w:ascii="Times New Roman" w:hAnsi="Times New Roman" w:cs="Times New Roman"/>
          <w:color w:val="auto"/>
        </w:rPr>
      </w:pPr>
      <w:r>
        <w:rPr>
          <w:rFonts w:ascii="Times New Roman" w:hAnsi="Times New Roman" w:cs="Times New Roman"/>
          <w:color w:val="auto"/>
        </w:rPr>
        <w:t>O contratado deverá arcar com todas as despesas, diretas ou indiretas, sem qualquer ônus para a municipalidade;</w:t>
      </w:r>
    </w:p>
    <w:p w14:paraId="10706608">
      <w:pPr>
        <w:spacing w:line="360" w:lineRule="auto"/>
        <w:jc w:val="both"/>
        <w:rPr>
          <w:sz w:val="24"/>
          <w:szCs w:val="24"/>
        </w:rPr>
      </w:pPr>
      <w:r>
        <w:rPr>
          <w:sz w:val="24"/>
          <w:szCs w:val="24"/>
        </w:rPr>
        <w:t>O contratado deverá repetir procedimentos às suas próprias custas para correção de falhas verificadas, principalmente na hipótese de aquisição do objeto em desacordo com as condições pactuadas;</w:t>
      </w:r>
    </w:p>
    <w:p w14:paraId="4306F236">
      <w:pPr>
        <w:spacing w:line="360" w:lineRule="auto"/>
        <w:jc w:val="both"/>
        <w:rPr>
          <w:rFonts w:eastAsia="SimSun"/>
          <w:b/>
          <w:sz w:val="24"/>
          <w:szCs w:val="24"/>
          <w:lang w:eastAsia="zh-CN" w:bidi="ar"/>
        </w:rPr>
      </w:pPr>
      <w:r>
        <w:rPr>
          <w:rFonts w:eastAsia="Cambria Math"/>
          <w:b/>
          <w:sz w:val="24"/>
          <w:szCs w:val="24"/>
          <w:lang w:val="en-US"/>
        </w:rPr>
        <w:t>6</w:t>
      </w:r>
      <w:r>
        <w:rPr>
          <w:rFonts w:eastAsia="Cambria Math"/>
          <w:b/>
          <w:sz w:val="24"/>
          <w:szCs w:val="24"/>
        </w:rPr>
        <w:t xml:space="preserve"> - </w:t>
      </w:r>
      <w:r>
        <w:rPr>
          <w:rFonts w:eastAsia="Cambria Math"/>
          <w:b/>
          <w:sz w:val="24"/>
          <w:szCs w:val="24"/>
          <w:lang w:val="en-US"/>
        </w:rPr>
        <w:t>DA</w:t>
      </w:r>
      <w:r>
        <w:rPr>
          <w:rFonts w:eastAsia="SimSun"/>
          <w:b/>
          <w:sz w:val="24"/>
          <w:szCs w:val="24"/>
          <w:lang w:eastAsia="zh-CN" w:bidi="ar"/>
        </w:rPr>
        <w:t xml:space="preserve"> SUBCONTRATAÇÃO</w:t>
      </w:r>
    </w:p>
    <w:p w14:paraId="7C86C905">
      <w:pPr>
        <w:pStyle w:val="24"/>
        <w:spacing w:line="360" w:lineRule="auto"/>
        <w:jc w:val="both"/>
      </w:pPr>
      <w:r>
        <w:rPr>
          <w:rStyle w:val="11"/>
          <w:b w:val="0"/>
        </w:rPr>
        <w:t>Não será permitida a subcontratação total ou parcial do objeto contratado</w:t>
      </w:r>
      <w:r>
        <w:t>, não sendo possível à contratada transferir a terceiros qualquer parcela das obrigações assumidas.</w:t>
      </w:r>
    </w:p>
    <w:p w14:paraId="59DAC8FD">
      <w:pPr>
        <w:pStyle w:val="24"/>
        <w:spacing w:line="360" w:lineRule="auto"/>
        <w:jc w:val="both"/>
      </w:pPr>
      <w:r>
        <w:t xml:space="preserve">O descumprimento desta cláusula acarretará sanções previstas na legislação aplicável e poderá ensejar </w:t>
      </w:r>
      <w:r>
        <w:rPr>
          <w:rStyle w:val="11"/>
          <w:b w:val="0"/>
        </w:rPr>
        <w:t>rescisão contratual imediata</w:t>
      </w:r>
      <w:r>
        <w:t>, sem prejuízo das demais penalidades cabíveis e da responsabilidade por perdas e danos.</w:t>
      </w:r>
    </w:p>
    <w:p w14:paraId="395D7BA2">
      <w:pPr>
        <w:pStyle w:val="74"/>
        <w:jc w:val="both"/>
        <w:rPr>
          <w:rFonts w:ascii="Times New Roman" w:hAnsi="Times New Roman" w:cs="Times New Roman"/>
          <w:color w:val="auto"/>
        </w:rPr>
      </w:pPr>
    </w:p>
    <w:p w14:paraId="525CDB01">
      <w:pPr>
        <w:jc w:val="both"/>
        <w:rPr>
          <w:rFonts w:eastAsia="Cambria Math"/>
          <w:b/>
          <w:sz w:val="24"/>
          <w:szCs w:val="24"/>
        </w:rPr>
      </w:pPr>
      <w:r>
        <w:rPr>
          <w:rFonts w:eastAsia="SimSun"/>
          <w:sz w:val="24"/>
          <w:szCs w:val="24"/>
        </w:rPr>
        <w:t xml:space="preserve"> 7</w:t>
      </w:r>
      <w:r>
        <w:rPr>
          <w:rFonts w:eastAsia="Cambria Math"/>
          <w:b/>
          <w:sz w:val="24"/>
          <w:szCs w:val="24"/>
        </w:rPr>
        <w:t xml:space="preserve"> - RECEBIMENTO E CRITÉRIO DE ACEITAÇÃO</w:t>
      </w:r>
    </w:p>
    <w:p w14:paraId="4F4A9772">
      <w:pPr>
        <w:spacing w:line="360" w:lineRule="auto"/>
        <w:rPr>
          <w:sz w:val="24"/>
          <w:szCs w:val="24"/>
        </w:rPr>
      </w:pPr>
      <w:r>
        <w:rPr>
          <w:sz w:val="24"/>
          <w:szCs w:val="24"/>
        </w:rPr>
        <w:t>O fornecimento  será efetuado em remessa única, com prazo de entrega não superior a 15 dias úteis , a contar da data de recebimento da Nota de Empenho;</w:t>
      </w:r>
    </w:p>
    <w:p w14:paraId="7BA0C155">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 atender as necessidades da Secretaria Municipal de Saúde, conforme condições, quantidades, exigências e estimativas a serem estabelecidas neste instrumento e também estabelecidas no Estudo Técnico Preliminar. </w:t>
      </w:r>
    </w:p>
    <w:p w14:paraId="6125E0AC">
      <w:pPr>
        <w:pStyle w:val="74"/>
        <w:spacing w:line="360" w:lineRule="auto"/>
        <w:jc w:val="both"/>
        <w:rPr>
          <w:rFonts w:ascii="Times New Roman" w:hAnsi="Times New Roman" w:cs="Times New Roman"/>
          <w:color w:val="auto"/>
        </w:rPr>
      </w:pPr>
      <w:r>
        <w:rPr>
          <w:rFonts w:ascii="Times New Roman" w:hAnsi="Times New Roman" w:cs="Times New Roman"/>
          <w:color w:val="auto"/>
        </w:rPr>
        <w:t>O contratado deverá assumir a responsabilidade por todas as providências e obrigações estabelecidas na legislação específica sobre a qualidade e especificação dos serviços prestados.</w:t>
      </w:r>
    </w:p>
    <w:p w14:paraId="05291E00">
      <w:pPr>
        <w:pStyle w:val="74"/>
        <w:spacing w:line="360" w:lineRule="auto"/>
        <w:jc w:val="both"/>
        <w:rPr>
          <w:rFonts w:ascii="Times New Roman" w:hAnsi="Times New Roman" w:cs="Times New Roman"/>
          <w:color w:val="auto"/>
        </w:rPr>
      </w:pPr>
      <w:r>
        <w:rPr>
          <w:rFonts w:ascii="Times New Roman" w:hAnsi="Times New Roman" w:cs="Times New Roman"/>
          <w:color w:val="auto"/>
        </w:rPr>
        <w:t>O contratado deverá prestar todos os esclarecimentos técnicos que lhe forem solicitados pelo Setor Demandante.</w:t>
      </w:r>
    </w:p>
    <w:p w14:paraId="15708E9D">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arcar com todas as despesas, diretas ou indiretas, sem qualquer ônus para a municipalidade. </w:t>
      </w:r>
    </w:p>
    <w:p w14:paraId="1A1BE1BF">
      <w:pPr>
        <w:spacing w:line="360" w:lineRule="auto"/>
        <w:jc w:val="both"/>
        <w:rPr>
          <w:sz w:val="24"/>
          <w:szCs w:val="24"/>
        </w:rPr>
      </w:pPr>
      <w:r>
        <w:rPr>
          <w:sz w:val="24"/>
          <w:szCs w:val="24"/>
        </w:rPr>
        <w:t>As entregas serão realizadas no Almoxarifado/FMS, localizada na Rua Dom Rodolfo Pena, nº 156, Bairro de Fatima, nesta cidade;</w:t>
      </w:r>
    </w:p>
    <w:p w14:paraId="3AB02584">
      <w:pPr>
        <w:pStyle w:val="74"/>
        <w:ind w:firstLine="360"/>
        <w:jc w:val="both"/>
        <w:rPr>
          <w:rFonts w:ascii="Times New Roman" w:hAnsi="Times New Roman" w:cs="Times New Roman"/>
          <w:color w:val="FF0000"/>
        </w:rPr>
      </w:pPr>
    </w:p>
    <w:p w14:paraId="129C1D96">
      <w:pPr>
        <w:jc w:val="both"/>
        <w:rPr>
          <w:rFonts w:eastAsia="Cambria Math"/>
          <w:b/>
          <w:sz w:val="24"/>
          <w:szCs w:val="24"/>
          <w:lang w:val="en-US"/>
        </w:rPr>
      </w:pPr>
      <w:r>
        <w:rPr>
          <w:rFonts w:eastAsia="Cambria Math"/>
          <w:b/>
          <w:sz w:val="24"/>
          <w:szCs w:val="24"/>
          <w:lang w:val="en-US"/>
        </w:rPr>
        <w:t>8</w:t>
      </w:r>
      <w:r>
        <w:rPr>
          <w:rFonts w:eastAsia="Cambria Math"/>
          <w:b/>
          <w:sz w:val="24"/>
          <w:szCs w:val="24"/>
        </w:rPr>
        <w:t xml:space="preserve"> - OBRIGAÇÕES DA </w:t>
      </w:r>
      <w:r>
        <w:rPr>
          <w:rFonts w:eastAsia="Cambria Math"/>
          <w:b/>
          <w:sz w:val="24"/>
          <w:szCs w:val="24"/>
          <w:lang w:val="en-US"/>
        </w:rPr>
        <w:t>CONTRATADA</w:t>
      </w:r>
    </w:p>
    <w:p w14:paraId="0A27B4CC">
      <w:pPr>
        <w:rPr>
          <w:sz w:val="24"/>
          <w:szCs w:val="24"/>
        </w:rPr>
      </w:pPr>
    </w:p>
    <w:p w14:paraId="304FBD84">
      <w:pPr>
        <w:pStyle w:val="74"/>
        <w:spacing w:after="160" w:line="360" w:lineRule="auto"/>
        <w:jc w:val="both"/>
        <w:rPr>
          <w:rFonts w:ascii="Times New Roman" w:hAnsi="Times New Roman" w:cs="Times New Roman"/>
          <w:color w:val="auto"/>
        </w:rPr>
      </w:pPr>
      <w:r>
        <w:rPr>
          <w:rFonts w:ascii="Times New Roman" w:hAnsi="Times New Roman" w:cs="Times New Roman"/>
          <w:color w:val="auto"/>
        </w:rPr>
        <w:t xml:space="preserve">A Contratada deve cumprir todas as obrigações e executar objeto nas condições previstas, seus anexos e sua proposta, assumindo como exclusivamente seus riscos e as despesas decorrentes da boa e perfeita execução do objeto e, ainda: </w:t>
      </w:r>
    </w:p>
    <w:p w14:paraId="7E264EC3">
      <w:pPr>
        <w:pStyle w:val="74"/>
        <w:spacing w:line="360" w:lineRule="auto"/>
        <w:jc w:val="both"/>
        <w:rPr>
          <w:rFonts w:ascii="Times New Roman" w:hAnsi="Times New Roman" w:cs="Times New Roman"/>
          <w:color w:val="auto"/>
        </w:rPr>
      </w:pPr>
      <w:r>
        <w:rPr>
          <w:rFonts w:ascii="Times New Roman" w:hAnsi="Times New Roman" w:cs="Times New Roman"/>
          <w:color w:val="auto"/>
        </w:rPr>
        <w:t>Executar o serviço contratado, conforme especificações, prazo e local constantes no Termo de Referência, acompanhado da  respectiva nota fiscal;</w:t>
      </w:r>
    </w:p>
    <w:p w14:paraId="1EA87891">
      <w:pPr>
        <w:pStyle w:val="74"/>
        <w:spacing w:after="157" w:line="360" w:lineRule="auto"/>
        <w:jc w:val="both"/>
        <w:rPr>
          <w:rFonts w:ascii="Times New Roman" w:hAnsi="Times New Roman" w:cs="Times New Roman"/>
          <w:color w:val="auto"/>
        </w:rPr>
      </w:pPr>
      <w:r>
        <w:rPr>
          <w:rFonts w:ascii="Times New Roman" w:hAnsi="Times New Roman" w:cs="Times New Roman"/>
          <w:color w:val="auto"/>
        </w:rPr>
        <w:t xml:space="preserve">Responsabilizar-se pelos vícios e danos decorrentes do objeto, de acordo com os artigos 12, 13 e 17 a 27, do Código de Defesa do Consumidor (Lei nº 8.078, de 1990); </w:t>
      </w:r>
    </w:p>
    <w:p w14:paraId="4026118A">
      <w:pPr>
        <w:pStyle w:val="74"/>
        <w:spacing w:after="157" w:line="360" w:lineRule="auto"/>
        <w:jc w:val="both"/>
        <w:rPr>
          <w:rFonts w:ascii="Times New Roman" w:hAnsi="Times New Roman" w:cs="Times New Roman"/>
          <w:color w:val="auto"/>
        </w:rPr>
      </w:pPr>
      <w:r>
        <w:rPr>
          <w:rFonts w:ascii="Times New Roman" w:hAnsi="Times New Roman" w:cs="Times New Roman"/>
          <w:color w:val="auto"/>
        </w:rPr>
        <w:t xml:space="preserve">Responsabilizar-se pelos danos causados diretamente à Administração ou a terceiros, decorrentes de sua culpa ou dolo na execução do contrato, não excluindo ou reduzindo essa responsabilidade à fiscalização ou o acompanhamento; </w:t>
      </w:r>
    </w:p>
    <w:p w14:paraId="0F7BC430">
      <w:pPr>
        <w:pStyle w:val="74"/>
        <w:spacing w:after="157" w:line="360" w:lineRule="auto"/>
        <w:jc w:val="both"/>
        <w:rPr>
          <w:rFonts w:ascii="Times New Roman" w:hAnsi="Times New Roman" w:cs="Times New Roman"/>
          <w:color w:val="auto"/>
        </w:rPr>
      </w:pPr>
      <w:r>
        <w:rPr>
          <w:rFonts w:ascii="Times New Roman" w:hAnsi="Times New Roman" w:cs="Times New Roman"/>
          <w:color w:val="auto"/>
        </w:rPr>
        <w:t xml:space="preserve">Manter durante toda a execução do contrato, todas as condições de habilitação e qualificação exigidas para a licitação; </w:t>
      </w:r>
    </w:p>
    <w:p w14:paraId="1A220BE1">
      <w:pPr>
        <w:pStyle w:val="74"/>
        <w:spacing w:line="360" w:lineRule="auto"/>
        <w:jc w:val="both"/>
        <w:rPr>
          <w:rFonts w:ascii="Times New Roman" w:hAnsi="Times New Roman" w:cs="Times New Roman"/>
          <w:color w:val="auto"/>
        </w:rPr>
      </w:pPr>
      <w:r>
        <w:rPr>
          <w:rFonts w:ascii="Times New Roman" w:hAnsi="Times New Roman" w:cs="Times New Roman"/>
          <w:color w:val="auto"/>
        </w:rPr>
        <w:t>Responder pelos encargos trabalhistas, previdenciários, fiscais e comerciais resultantes da execução da prestação de serviço.</w:t>
      </w:r>
    </w:p>
    <w:p w14:paraId="272E712F">
      <w:pPr>
        <w:pStyle w:val="74"/>
        <w:spacing w:line="360" w:lineRule="auto"/>
        <w:jc w:val="both"/>
        <w:rPr>
          <w:rFonts w:ascii="Times New Roman" w:hAnsi="Times New Roman" w:cs="Times New Roman"/>
          <w:color w:val="FF0000"/>
        </w:rPr>
      </w:pPr>
    </w:p>
    <w:p w14:paraId="3BB8E5A0">
      <w:pPr>
        <w:jc w:val="both"/>
        <w:rPr>
          <w:rFonts w:eastAsia="Cambria Math"/>
          <w:b/>
          <w:sz w:val="24"/>
          <w:szCs w:val="24"/>
        </w:rPr>
      </w:pPr>
      <w:r>
        <w:rPr>
          <w:rFonts w:eastAsia="Cambria Math"/>
          <w:b/>
          <w:sz w:val="24"/>
          <w:szCs w:val="24"/>
          <w:lang w:val="en-US"/>
        </w:rPr>
        <w:t>9</w:t>
      </w:r>
      <w:r>
        <w:rPr>
          <w:rFonts w:eastAsia="Cambria Math"/>
          <w:b/>
          <w:sz w:val="24"/>
          <w:szCs w:val="24"/>
        </w:rPr>
        <w:t xml:space="preserve"> - OBRIGAÇÕES DA CONTRATANTE</w:t>
      </w:r>
    </w:p>
    <w:p w14:paraId="3F4E04E4">
      <w:pPr>
        <w:jc w:val="both"/>
        <w:rPr>
          <w:color w:val="FF0000"/>
          <w:sz w:val="24"/>
          <w:szCs w:val="24"/>
        </w:rPr>
      </w:pPr>
    </w:p>
    <w:p w14:paraId="2F1E6988">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Disponibilizar profissional específico, para acompanhar a execução do objeto licitado; </w:t>
      </w:r>
    </w:p>
    <w:p w14:paraId="3CC363EB">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Encaminhar formalmente a demanda, de acordo com os critérios estabelecidos no Termo de Referência; </w:t>
      </w:r>
    </w:p>
    <w:p w14:paraId="2EDCFC39">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Verificar se o objeto contratado se encontra em conformidade com a proposta, conforme inspeções realizadas no prazo e condições estabelecidas no Edital e seus anexos; </w:t>
      </w:r>
    </w:p>
    <w:p w14:paraId="6EC4E5FB">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Comunicar à contratada, por escrito, sobre imperfeições, falhas ou irregularidades verificadas; </w:t>
      </w:r>
    </w:p>
    <w:p w14:paraId="12B7AEC5">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Acompanhar e fiscalizar o cumprimento das obrigações servidor especialmente designado; </w:t>
      </w:r>
    </w:p>
    <w:p w14:paraId="2BB8744A">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Aplicar as sanções administrativas regulamentares e contratuais cabíveis; </w:t>
      </w:r>
    </w:p>
    <w:p w14:paraId="5E52019D">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Efetuar o pagamento do objeto, no prazo e forma estabelecidos no Edital e seus anexos; </w:t>
      </w:r>
    </w:p>
    <w:p w14:paraId="0B14CFDC">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A Administração não responderá por quaisquer compromissos assumidos pela com terceiros, ainda que vinculados à execução do presente Termo de Contrato, bem como por qualquer dano causado a terceiros em decorrência de ato da Contratada, de seus empregados, prepostos ou subordinados; </w:t>
      </w:r>
    </w:p>
    <w:p w14:paraId="3876ED02">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14:paraId="456F4782">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91721A3">
      <w:pPr>
        <w:pStyle w:val="74"/>
        <w:ind w:firstLine="708"/>
        <w:jc w:val="both"/>
        <w:rPr>
          <w:rFonts w:ascii="Times New Roman" w:hAnsi="Times New Roman" w:cs="Times New Roman"/>
          <w:color w:val="FF0000"/>
        </w:rPr>
      </w:pPr>
    </w:p>
    <w:p w14:paraId="67725B21">
      <w:pPr>
        <w:pStyle w:val="74"/>
        <w:rPr>
          <w:rFonts w:ascii="Times New Roman" w:hAnsi="Times New Roman" w:cs="Times New Roman"/>
          <w:color w:val="auto"/>
        </w:rPr>
      </w:pPr>
      <w:r>
        <w:rPr>
          <w:rFonts w:ascii="Times New Roman" w:hAnsi="Times New Roman" w:eastAsia="Cambria Math" w:cs="Times New Roman"/>
          <w:b/>
          <w:color w:val="auto"/>
          <w:lang w:val="en-US" w:eastAsia="pt-BR"/>
        </w:rPr>
        <w:t>10</w:t>
      </w:r>
      <w:r>
        <w:rPr>
          <w:rFonts w:ascii="Times New Roman" w:hAnsi="Times New Roman" w:eastAsia="Cambria Math" w:cs="Times New Roman"/>
          <w:b/>
          <w:color w:val="auto"/>
          <w:lang w:eastAsia="pt-BR"/>
        </w:rPr>
        <w:t xml:space="preserve"> - </w:t>
      </w:r>
      <w:r>
        <w:rPr>
          <w:rFonts w:ascii="Times New Roman" w:hAnsi="Times New Roman" w:cs="Times New Roman"/>
          <w:b/>
          <w:bCs/>
          <w:color w:val="auto"/>
        </w:rPr>
        <w:t xml:space="preserve">FORMA E CRITÉRIO DE SELEÇÃO DO FORNECEDOR </w:t>
      </w:r>
    </w:p>
    <w:p w14:paraId="291EF6ED">
      <w:pPr>
        <w:pStyle w:val="74"/>
        <w:rPr>
          <w:rFonts w:ascii="Times New Roman" w:hAnsi="Times New Roman" w:cs="Times New Roman"/>
          <w:color w:val="auto"/>
        </w:rPr>
      </w:pPr>
    </w:p>
    <w:p w14:paraId="23F3B831">
      <w:pPr>
        <w:spacing w:line="360" w:lineRule="auto"/>
        <w:jc w:val="both"/>
        <w:rPr>
          <w:sz w:val="24"/>
          <w:szCs w:val="24"/>
        </w:rPr>
      </w:pPr>
      <w:r>
        <w:rPr>
          <w:sz w:val="24"/>
          <w:szCs w:val="24"/>
        </w:rPr>
        <w:t xml:space="preserve">Forma de seleção e critério de julgamento da </w:t>
      </w:r>
      <w:r>
        <w:rPr>
          <w:spacing w:val="-2"/>
          <w:sz w:val="24"/>
          <w:szCs w:val="24"/>
        </w:rPr>
        <w:t>proposta</w:t>
      </w:r>
    </w:p>
    <w:p w14:paraId="57EDFE53">
      <w:pPr>
        <w:spacing w:line="360" w:lineRule="auto"/>
        <w:jc w:val="both"/>
        <w:rPr>
          <w:sz w:val="24"/>
          <w:szCs w:val="24"/>
        </w:rPr>
      </w:pPr>
      <w:r>
        <w:rPr>
          <w:sz w:val="24"/>
          <w:szCs w:val="24"/>
        </w:rPr>
        <w:t>O fornecedor será selecionado por meio de Pregão Eletronico para Registro de Preços.</w:t>
      </w:r>
    </w:p>
    <w:p w14:paraId="60429DC7">
      <w:pPr>
        <w:spacing w:line="360" w:lineRule="auto"/>
        <w:jc w:val="both"/>
        <w:rPr>
          <w:sz w:val="24"/>
          <w:szCs w:val="24"/>
        </w:rPr>
      </w:pPr>
      <w:r>
        <w:rPr>
          <w:sz w:val="24"/>
          <w:szCs w:val="24"/>
        </w:rPr>
        <w:t xml:space="preserve">A aquisição  será mediante a assinatura do contrato e emissão da nota de empenho, conforme necessidade desta </w:t>
      </w:r>
      <w:r>
        <w:rPr>
          <w:spacing w:val="-2"/>
          <w:sz w:val="24"/>
          <w:szCs w:val="24"/>
        </w:rPr>
        <w:t>secretaria</w:t>
      </w:r>
    </w:p>
    <w:p w14:paraId="76ABBD25">
      <w:pPr>
        <w:spacing w:line="360" w:lineRule="auto"/>
        <w:jc w:val="both"/>
        <w:rPr>
          <w:sz w:val="24"/>
          <w:szCs w:val="24"/>
        </w:rPr>
      </w:pPr>
      <w:r>
        <w:rPr>
          <w:sz w:val="24"/>
          <w:szCs w:val="24"/>
        </w:rPr>
        <w:t xml:space="preserve">Exigências de </w:t>
      </w:r>
      <w:r>
        <w:rPr>
          <w:spacing w:val="-2"/>
          <w:sz w:val="24"/>
          <w:szCs w:val="24"/>
        </w:rPr>
        <w:t>habilitação</w:t>
      </w:r>
    </w:p>
    <w:p w14:paraId="35843D30">
      <w:pPr>
        <w:spacing w:line="360" w:lineRule="auto"/>
        <w:jc w:val="both"/>
        <w:rPr>
          <w:sz w:val="24"/>
          <w:szCs w:val="24"/>
        </w:rPr>
      </w:pPr>
      <w:r>
        <w:rPr>
          <w:sz w:val="24"/>
          <w:szCs w:val="24"/>
        </w:rPr>
        <w:t xml:space="preserve">Para fins de habilitação, deverá o licitante comprovar os seguintes </w:t>
      </w:r>
      <w:r>
        <w:rPr>
          <w:spacing w:val="-2"/>
          <w:sz w:val="24"/>
          <w:szCs w:val="24"/>
        </w:rPr>
        <w:t>requisitos:</w:t>
      </w:r>
    </w:p>
    <w:p w14:paraId="2D2C20F2">
      <w:pPr>
        <w:spacing w:line="360" w:lineRule="auto"/>
        <w:jc w:val="both"/>
        <w:rPr>
          <w:sz w:val="24"/>
          <w:szCs w:val="24"/>
        </w:rPr>
      </w:pPr>
      <w:r>
        <w:rPr>
          <w:sz w:val="24"/>
          <w:szCs w:val="24"/>
        </w:rPr>
        <w:t xml:space="preserve">Habilitação </w:t>
      </w:r>
      <w:r>
        <w:rPr>
          <w:spacing w:val="-2"/>
          <w:sz w:val="24"/>
          <w:szCs w:val="24"/>
        </w:rPr>
        <w:t>jurídica</w:t>
      </w:r>
    </w:p>
    <w:p w14:paraId="10F8BAD6">
      <w:pPr>
        <w:spacing w:line="360" w:lineRule="auto"/>
        <w:jc w:val="both"/>
        <w:rPr>
          <w:sz w:val="24"/>
          <w:szCs w:val="24"/>
        </w:rPr>
      </w:pPr>
      <w:r>
        <w:rPr>
          <w:b/>
          <w:sz w:val="24"/>
          <w:szCs w:val="24"/>
        </w:rPr>
        <w:t xml:space="preserve">Microempreendedor Individual - MEI: </w:t>
      </w:r>
      <w:r>
        <w:rPr>
          <w:sz w:val="24"/>
          <w:szCs w:val="24"/>
        </w:rPr>
        <w:t xml:space="preserve">Certificado da Condição de Microempreendedor Individual - CCMEI, cuja aceitação ficará condicionada à verificação da autenticidade no sítio </w:t>
      </w:r>
      <w:r>
        <w:fldChar w:fldCharType="begin"/>
      </w:r>
      <w:r>
        <w:instrText xml:space="preserve"> HYPERLINK "http://www.gov.br/empresas-e-negocios/pt-br/empreendedor%3B" \h </w:instrText>
      </w:r>
      <w:r>
        <w:fldChar w:fldCharType="separate"/>
      </w:r>
      <w:r>
        <w:rPr>
          <w:sz w:val="24"/>
          <w:szCs w:val="24"/>
        </w:rPr>
        <w:t>https://www.gov.br/empresas-e-negocios/pt-br/empreendedor;</w:t>
      </w:r>
      <w:r>
        <w:rPr>
          <w:sz w:val="24"/>
          <w:szCs w:val="24"/>
        </w:rPr>
        <w:fldChar w:fldCharType="end"/>
      </w:r>
    </w:p>
    <w:p w14:paraId="31244BD4">
      <w:pPr>
        <w:spacing w:line="360" w:lineRule="auto"/>
        <w:jc w:val="both"/>
        <w:rPr>
          <w:sz w:val="24"/>
          <w:szCs w:val="24"/>
        </w:rPr>
      </w:pPr>
      <w:r>
        <w:rPr>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w:t>
      </w:r>
      <w:r>
        <w:rPr>
          <w:spacing w:val="-2"/>
          <w:sz w:val="24"/>
          <w:szCs w:val="24"/>
        </w:rPr>
        <w:t>administradores;</w:t>
      </w:r>
    </w:p>
    <w:p w14:paraId="587DE4AC">
      <w:pPr>
        <w:spacing w:line="360" w:lineRule="auto"/>
        <w:jc w:val="both"/>
        <w:rPr>
          <w:sz w:val="24"/>
          <w:szCs w:val="24"/>
        </w:rPr>
      </w:pPr>
      <w:r>
        <w:rPr>
          <w:b/>
          <w:sz w:val="24"/>
          <w:szCs w:val="24"/>
        </w:rPr>
        <w:t xml:space="preserve">Sociedade empresária 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0BA8076">
      <w:pPr>
        <w:spacing w:line="360" w:lineRule="auto"/>
        <w:jc w:val="both"/>
        <w:rPr>
          <w:sz w:val="24"/>
          <w:szCs w:val="24"/>
        </w:rPr>
      </w:pPr>
      <w:r>
        <w:rPr>
          <w:b/>
          <w:sz w:val="24"/>
          <w:szCs w:val="24"/>
        </w:rPr>
        <w:t xml:space="preserve">Sociedade simples: </w:t>
      </w:r>
      <w:r>
        <w:rPr>
          <w:sz w:val="24"/>
          <w:szCs w:val="24"/>
        </w:rPr>
        <w:t>inscrição do ato constitutivo no Registro Civil de Pessoas Jurídicas do local de sua sede, acompanhada de documento comprobatório de seus administradores;</w:t>
      </w:r>
    </w:p>
    <w:p w14:paraId="3DDF10E0">
      <w:pPr>
        <w:spacing w:line="360" w:lineRule="auto"/>
        <w:jc w:val="both"/>
        <w:rPr>
          <w:sz w:val="24"/>
          <w:szCs w:val="24"/>
        </w:rPr>
      </w:pPr>
      <w:r>
        <w:rPr>
          <w:b/>
          <w:sz w:val="24"/>
          <w:szCs w:val="24"/>
        </w:rPr>
        <w:t xml:space="preserve">Filial, sucursal ou agência de sociedade simples ou empresária: </w:t>
      </w:r>
      <w:r>
        <w:rPr>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1972B55">
      <w:pPr>
        <w:spacing w:line="360" w:lineRule="auto"/>
        <w:jc w:val="both"/>
        <w:rPr>
          <w:sz w:val="24"/>
          <w:szCs w:val="24"/>
        </w:rPr>
      </w:pPr>
      <w:r>
        <w:rPr>
          <w:b/>
          <w:sz w:val="24"/>
          <w:szCs w:val="24"/>
        </w:rPr>
        <w:t xml:space="preserve">Sociedade cooperativa: </w:t>
      </w:r>
      <w:r>
        <w:rPr>
          <w:sz w:val="24"/>
          <w:szCs w:val="24"/>
        </w:rPr>
        <w:t>ata de fundação e estatuto social, com a ata da assembleia que o aprovou, devidamente arquivado na Junta Comercial ou inscrito no Registro Civil das Pessoas Jurídicas da respectiva sede além doregistrodequetrataoart.107daLeinº5.764, de 16 de dezembro 1971.</w:t>
      </w:r>
    </w:p>
    <w:p w14:paraId="0F661A13">
      <w:pPr>
        <w:spacing w:line="360" w:lineRule="auto"/>
        <w:jc w:val="both"/>
        <w:rPr>
          <w:b/>
          <w:spacing w:val="-2"/>
          <w:sz w:val="24"/>
          <w:szCs w:val="24"/>
        </w:rPr>
      </w:pPr>
      <w:r>
        <w:rPr>
          <w:b/>
          <w:sz w:val="24"/>
          <w:szCs w:val="24"/>
        </w:rPr>
        <w:t xml:space="preserve">Habilitação fiscal, social e </w:t>
      </w:r>
      <w:r>
        <w:rPr>
          <w:b/>
          <w:spacing w:val="-2"/>
          <w:sz w:val="24"/>
          <w:szCs w:val="24"/>
        </w:rPr>
        <w:t xml:space="preserve">trabalhista   </w:t>
      </w:r>
    </w:p>
    <w:p w14:paraId="5B02F53C">
      <w:pPr>
        <w:spacing w:line="360" w:lineRule="auto"/>
        <w:jc w:val="both"/>
        <w:rPr>
          <w:sz w:val="24"/>
          <w:szCs w:val="24"/>
        </w:rPr>
      </w:pPr>
      <w:r>
        <w:rPr>
          <w:sz w:val="24"/>
          <w:szCs w:val="24"/>
        </w:rPr>
        <w:t xml:space="preserve">Prova de inscrição no Cadastro Nacional de Pessoas </w:t>
      </w:r>
      <w:r>
        <w:rPr>
          <w:spacing w:val="-2"/>
          <w:sz w:val="24"/>
          <w:szCs w:val="24"/>
        </w:rPr>
        <w:t>Jurídicas;</w:t>
      </w:r>
    </w:p>
    <w:p w14:paraId="1B86F0B1">
      <w:pPr>
        <w:spacing w:line="360" w:lineRule="auto"/>
        <w:jc w:val="both"/>
        <w:rPr>
          <w:spacing w:val="-2"/>
          <w:sz w:val="24"/>
          <w:szCs w:val="24"/>
        </w:rPr>
      </w:pPr>
      <w:r>
        <w:rPr>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nº1.751, de 02 de outubro de 2014, do Secretário da Receita Federal do Brasil e da Procuradora-Geral da Fazenda </w:t>
      </w:r>
      <w:r>
        <w:rPr>
          <w:spacing w:val="-2"/>
          <w:sz w:val="24"/>
          <w:szCs w:val="24"/>
        </w:rPr>
        <w:t>Nacional.</w:t>
      </w:r>
    </w:p>
    <w:p w14:paraId="22CC6D60">
      <w:pPr>
        <w:spacing w:line="360" w:lineRule="auto"/>
        <w:jc w:val="both"/>
        <w:rPr>
          <w:sz w:val="24"/>
          <w:szCs w:val="24"/>
        </w:rPr>
      </w:pPr>
      <w:r>
        <w:rPr>
          <w:sz w:val="24"/>
          <w:szCs w:val="24"/>
        </w:rPr>
        <w:t xml:space="preserve">Prova de regularidade com o Fundo de Garantia do Tempo de Serviço </w:t>
      </w:r>
      <w:r>
        <w:rPr>
          <w:spacing w:val="-2"/>
          <w:sz w:val="24"/>
          <w:szCs w:val="24"/>
        </w:rPr>
        <w:t>(FGTS);</w:t>
      </w:r>
    </w:p>
    <w:p w14:paraId="178CC2C3">
      <w:pPr>
        <w:spacing w:line="360" w:lineRule="auto"/>
        <w:jc w:val="both"/>
        <w:rPr>
          <w:sz w:val="24"/>
          <w:szCs w:val="24"/>
        </w:rPr>
      </w:pPr>
      <w:r>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de1ºde maio de 1943;</w:t>
      </w:r>
    </w:p>
    <w:p w14:paraId="0E185FE0">
      <w:pPr>
        <w:spacing w:line="360" w:lineRule="auto"/>
        <w:jc w:val="both"/>
        <w:rPr>
          <w:sz w:val="24"/>
          <w:szCs w:val="24"/>
        </w:rPr>
      </w:pPr>
      <w:r>
        <w:rPr>
          <w:sz w:val="24"/>
          <w:szCs w:val="24"/>
        </w:rPr>
        <w:t xml:space="preserve">Prova de inscrição no cadastro de contribuintes </w:t>
      </w:r>
      <w:r>
        <w:rPr>
          <w:i/>
          <w:sz w:val="24"/>
          <w:szCs w:val="24"/>
        </w:rPr>
        <w:t xml:space="preserve">[Estadual/Distrital] </w:t>
      </w:r>
      <w:r>
        <w:rPr>
          <w:sz w:val="24"/>
          <w:szCs w:val="24"/>
        </w:rPr>
        <w:t xml:space="preserve">e </w:t>
      </w:r>
      <w:r>
        <w:rPr>
          <w:i/>
          <w:spacing w:val="-2"/>
          <w:sz w:val="24"/>
          <w:szCs w:val="24"/>
        </w:rPr>
        <w:t>[Municipal/Distrital]</w:t>
      </w:r>
    </w:p>
    <w:p w14:paraId="5822CE38">
      <w:pPr>
        <w:spacing w:line="360" w:lineRule="auto"/>
        <w:jc w:val="both"/>
        <w:rPr>
          <w:sz w:val="24"/>
          <w:szCs w:val="24"/>
        </w:rPr>
      </w:pPr>
      <w:r>
        <w:rPr>
          <w:sz w:val="24"/>
          <w:szCs w:val="24"/>
        </w:rPr>
        <w:t>Relativo ao domicílio ou sede do fornecedor, pertinente ao seu ramo de atividade e compatível com o objeto contratual;</w:t>
      </w:r>
    </w:p>
    <w:p w14:paraId="4A4E1CE0">
      <w:pPr>
        <w:spacing w:line="360" w:lineRule="auto"/>
        <w:jc w:val="both"/>
        <w:rPr>
          <w:sz w:val="24"/>
          <w:szCs w:val="24"/>
        </w:rPr>
      </w:pPr>
      <w:r>
        <w:rPr>
          <w:sz w:val="24"/>
          <w:szCs w:val="24"/>
        </w:rPr>
        <w:t xml:space="preserve">Prova de regularidade com a Fazenda </w:t>
      </w:r>
      <w:r>
        <w:rPr>
          <w:i/>
          <w:sz w:val="24"/>
          <w:szCs w:val="24"/>
        </w:rPr>
        <w:t xml:space="preserve">Estadual/Distrital e Municipal/Distrital </w:t>
      </w:r>
      <w:r>
        <w:rPr>
          <w:sz w:val="24"/>
          <w:szCs w:val="24"/>
        </w:rPr>
        <w:t>do domicílio ou sede do fornecedor, relativa à atividade em cujo exercício contrata ou concorre;</w:t>
      </w:r>
    </w:p>
    <w:p w14:paraId="31B691BF">
      <w:pPr>
        <w:spacing w:line="360" w:lineRule="auto"/>
        <w:jc w:val="both"/>
        <w:rPr>
          <w:sz w:val="24"/>
          <w:szCs w:val="24"/>
        </w:rPr>
      </w:pPr>
      <w:r>
        <w:rPr>
          <w:sz w:val="24"/>
          <w:szCs w:val="24"/>
        </w:rPr>
        <w:t xml:space="preserve">Caso o fornecedor seja considerado isento dos tributos </w:t>
      </w:r>
      <w:r>
        <w:rPr>
          <w:i/>
          <w:sz w:val="24"/>
          <w:szCs w:val="24"/>
        </w:rPr>
        <w:t xml:space="preserve">[Estadual/Distrital] e [Municipal/Distrital] </w:t>
      </w:r>
      <w:r>
        <w:rPr>
          <w:sz w:val="24"/>
          <w:szCs w:val="24"/>
        </w:rPr>
        <w:t>relacionados ao objeto contratual, deverá comprovar tal condição mediante a apresentação de declaração da Fazenda respectiva do seu domicílio ou sede, ou outra equivalente, na forma da lei.</w:t>
      </w:r>
    </w:p>
    <w:p w14:paraId="44021418">
      <w:pPr>
        <w:spacing w:line="360" w:lineRule="auto"/>
        <w:jc w:val="both"/>
        <w:rPr>
          <w:sz w:val="24"/>
          <w:szCs w:val="24"/>
        </w:rPr>
      </w:pPr>
      <w:r>
        <w:rPr>
          <w:sz w:val="24"/>
          <w:szCs w:val="24"/>
        </w:rPr>
        <w:t>O fornecedor enquadrado como microempreendedor individual que pretenda auferir os benefícios do tratamento diferenciado previstos na Lei Complementar n.123, de 2006, estará dispensado da prova de inscrição nos cadastros de contribuintes estadual e municipal.</w:t>
      </w:r>
    </w:p>
    <w:p w14:paraId="1EC9B00B">
      <w:pPr>
        <w:spacing w:line="360" w:lineRule="auto"/>
        <w:jc w:val="both"/>
        <w:rPr>
          <w:sz w:val="24"/>
          <w:szCs w:val="24"/>
        </w:rPr>
      </w:pPr>
      <w:r>
        <w:rPr>
          <w:sz w:val="24"/>
          <w:szCs w:val="24"/>
        </w:rPr>
        <w:t>Qualificação Tecnica</w:t>
      </w:r>
    </w:p>
    <w:p w14:paraId="3A7348E0">
      <w:pPr>
        <w:pStyle w:val="20"/>
        <w:rPr>
          <w:rFonts w:ascii="Times New Roman" w:hAnsi="Times New Roman" w:cs="Times New Roman"/>
        </w:rPr>
      </w:pPr>
      <w:r>
        <w:rPr>
          <w:rFonts w:ascii="Times New Roman" w:hAnsi="Times New Roman" w:cs="Times New Roman"/>
          <w:color w:val="000000"/>
        </w:rPr>
        <w:t xml:space="preserve"> </w:t>
      </w:r>
      <w:r>
        <w:rPr>
          <w:rFonts w:ascii="Times New Roman" w:hAnsi="Times New Roman" w:cs="Times New Roman"/>
        </w:rPr>
        <w:t xml:space="preserve">Comprovação através da apresentação de atestado(s) fornecido(s) por pessoa jurídica de direito público ou privado de que atua no ramo de atividade do fornecimento do objeto desta licitação e de que cumpriu, ou vem cumprindo, integralmente e de modo satisfatório Contrato anteriormente mantido com o emitente do atestado; </w:t>
      </w:r>
    </w:p>
    <w:p w14:paraId="73BF79A9">
      <w:pPr>
        <w:pStyle w:val="20"/>
        <w:spacing w:line="360" w:lineRule="auto"/>
        <w:rPr>
          <w:rFonts w:ascii="Times New Roman" w:hAnsi="Times New Roman" w:cs="Times New Roman"/>
        </w:rPr>
      </w:pPr>
      <w:r>
        <w:rPr>
          <w:rFonts w:ascii="Times New Roman" w:hAnsi="Times New Roman" w:cs="Times New Roman"/>
        </w:rPr>
        <w:t>Alvará Sanitário atualizado emitido por Orgão de Vigilância Sanitária do Municipio da empresa licitante</w:t>
      </w:r>
      <w:r>
        <w:rPr>
          <w:rFonts w:ascii="Times New Roman" w:hAnsi="Times New Roman" w:cs="Times New Roman"/>
          <w:lang w:val="pt-BR"/>
        </w:rPr>
        <w:t>;</w:t>
      </w:r>
    </w:p>
    <w:p w14:paraId="13AB42C1">
      <w:pPr>
        <w:pStyle w:val="74"/>
        <w:ind w:firstLine="708"/>
        <w:jc w:val="both"/>
        <w:rPr>
          <w:rFonts w:ascii="Times New Roman" w:hAnsi="Times New Roman" w:cs="Times New Roman"/>
          <w:color w:val="FF0000"/>
        </w:rPr>
      </w:pPr>
    </w:p>
    <w:p w14:paraId="2C2CB16B">
      <w:pPr>
        <w:pStyle w:val="74"/>
        <w:rPr>
          <w:rFonts w:ascii="Times New Roman" w:hAnsi="Times New Roman" w:cs="Times New Roman"/>
          <w:color w:val="auto"/>
        </w:rPr>
      </w:pPr>
      <w:r>
        <w:rPr>
          <w:rFonts w:ascii="Times New Roman" w:hAnsi="Times New Roman" w:cs="Times New Roman"/>
          <w:color w:val="auto"/>
        </w:rPr>
        <w:t>11 - DOTAÇÃO ORÇAMENTÁRIA</w:t>
      </w:r>
    </w:p>
    <w:p w14:paraId="499F1E67">
      <w:pPr>
        <w:pStyle w:val="74"/>
        <w:rPr>
          <w:rFonts w:ascii="Times New Roman" w:hAnsi="Times New Roman" w:cs="Times New Roman"/>
          <w:color w:val="auto"/>
        </w:rPr>
      </w:pPr>
      <w:r>
        <w:rPr>
          <w:rFonts w:ascii="Times New Roman" w:hAnsi="Times New Roman" w:cs="Times New Roman"/>
          <w:color w:val="auto"/>
        </w:rPr>
        <w:t xml:space="preserve"> </w:t>
      </w:r>
    </w:p>
    <w:p w14:paraId="785E28A9">
      <w:pPr>
        <w:jc w:val="both"/>
        <w:rPr>
          <w:rFonts w:eastAsia="Cambria Math"/>
          <w:sz w:val="24"/>
          <w:szCs w:val="24"/>
          <w:lang w:val="en-US"/>
        </w:rPr>
      </w:pPr>
      <w:r>
        <w:rPr>
          <w:rFonts w:eastAsia="Cambria Math"/>
          <w:sz w:val="24"/>
          <w:szCs w:val="24"/>
          <w:lang w:val="en-US"/>
        </w:rPr>
        <w:t>03.01.10.303.0032.2484.33.90.32.00.00.00.1635</w:t>
      </w:r>
    </w:p>
    <w:p w14:paraId="4F4AD407">
      <w:pPr>
        <w:jc w:val="both"/>
        <w:rPr>
          <w:rFonts w:eastAsia="Cambria Math"/>
          <w:sz w:val="24"/>
          <w:szCs w:val="24"/>
          <w:lang w:val="en-US"/>
        </w:rPr>
      </w:pPr>
      <w:r>
        <w:rPr>
          <w:rFonts w:eastAsia="Cambria Math"/>
          <w:sz w:val="24"/>
          <w:szCs w:val="24"/>
          <w:lang w:val="en-US"/>
        </w:rPr>
        <w:t>03.01.10.303.0032.2484.33.90.32.00.00.00.1500</w:t>
      </w:r>
    </w:p>
    <w:p w14:paraId="04B4FB78">
      <w:pPr>
        <w:jc w:val="both"/>
        <w:rPr>
          <w:rFonts w:eastAsia="Cambria Math"/>
          <w:sz w:val="24"/>
          <w:szCs w:val="24"/>
          <w:lang w:val="en-US"/>
        </w:rPr>
      </w:pPr>
      <w:r>
        <w:rPr>
          <w:rFonts w:eastAsia="Cambria Math"/>
          <w:sz w:val="24"/>
          <w:szCs w:val="24"/>
          <w:lang w:val="en-US"/>
        </w:rPr>
        <w:t>03.01.10.303.0032.2484.33.91.32.00.00.00.1500</w:t>
      </w:r>
    </w:p>
    <w:p w14:paraId="2E1FE5CA">
      <w:pPr>
        <w:jc w:val="both"/>
        <w:rPr>
          <w:rFonts w:eastAsia="Cambria Math"/>
          <w:b/>
          <w:color w:val="FF0000"/>
          <w:sz w:val="24"/>
          <w:szCs w:val="24"/>
          <w:lang w:val="en-US"/>
        </w:rPr>
      </w:pPr>
    </w:p>
    <w:p w14:paraId="18BF3CE5">
      <w:pPr>
        <w:jc w:val="both"/>
        <w:rPr>
          <w:rFonts w:eastAsia="Cambria Math"/>
          <w:b/>
          <w:color w:val="FF0000"/>
          <w:sz w:val="24"/>
          <w:szCs w:val="24"/>
          <w:lang w:val="en-US"/>
        </w:rPr>
      </w:pPr>
    </w:p>
    <w:p w14:paraId="7B8FCDBE">
      <w:pPr>
        <w:spacing w:line="360" w:lineRule="auto"/>
        <w:jc w:val="both"/>
        <w:rPr>
          <w:rFonts w:eastAsia="Cambria Math"/>
          <w:b/>
          <w:sz w:val="24"/>
          <w:szCs w:val="24"/>
          <w:u w:val="single"/>
        </w:rPr>
      </w:pPr>
      <w:r>
        <w:rPr>
          <w:rFonts w:eastAsia="Cambria Math"/>
          <w:b/>
          <w:sz w:val="24"/>
          <w:szCs w:val="24"/>
          <w:lang w:val="en-US"/>
        </w:rPr>
        <w:t>12</w:t>
      </w:r>
      <w:r>
        <w:rPr>
          <w:rFonts w:eastAsia="Cambria Math"/>
          <w:b/>
          <w:sz w:val="24"/>
          <w:szCs w:val="24"/>
        </w:rPr>
        <w:t xml:space="preserve"> - DO PAGAMENTO</w:t>
      </w:r>
    </w:p>
    <w:p w14:paraId="56D4E6D6">
      <w:pPr>
        <w:spacing w:line="360" w:lineRule="auto"/>
        <w:rPr>
          <w:sz w:val="24"/>
          <w:szCs w:val="24"/>
        </w:rPr>
      </w:pPr>
    </w:p>
    <w:p w14:paraId="40A8807A">
      <w:pPr>
        <w:spacing w:line="360" w:lineRule="auto"/>
        <w:jc w:val="both"/>
        <w:rPr>
          <w:sz w:val="24"/>
          <w:szCs w:val="24"/>
        </w:rPr>
      </w:pPr>
      <w:r>
        <w:rPr>
          <w:sz w:val="24"/>
          <w:szCs w:val="24"/>
        </w:rPr>
        <w:t xml:space="preserve">O pagamento será efetuado até o 15º (décimo quinto) dia do mês subsequente ao da prestação do serviço, mediante crédito em conta corrente, após liberação da respectiva Nota Fiscal/Fatura, devidamente atestada pelo setor competente, que deverá vir acompanhada de ordem de serviço, relatório detalhado dos serviços efetuados e das peças substituídas. </w:t>
      </w:r>
    </w:p>
    <w:p w14:paraId="1B558EE8">
      <w:pPr>
        <w:jc w:val="both"/>
        <w:rPr>
          <w:color w:val="FF0000"/>
          <w:sz w:val="24"/>
          <w:szCs w:val="24"/>
        </w:rPr>
      </w:pPr>
    </w:p>
    <w:p w14:paraId="3C5811CE">
      <w:pPr>
        <w:jc w:val="both"/>
        <w:rPr>
          <w:rFonts w:eastAsia="Cambria Math"/>
          <w:b/>
          <w:sz w:val="24"/>
          <w:szCs w:val="24"/>
        </w:rPr>
      </w:pPr>
      <w:r>
        <w:rPr>
          <w:b/>
          <w:sz w:val="24"/>
          <w:szCs w:val="24"/>
        </w:rPr>
        <w:t xml:space="preserve">13 - </w:t>
      </w:r>
      <w:r>
        <w:rPr>
          <w:rFonts w:eastAsia="Cambria Math"/>
          <w:b/>
          <w:sz w:val="24"/>
          <w:szCs w:val="24"/>
        </w:rPr>
        <w:t>VIGÊNCIA</w:t>
      </w:r>
    </w:p>
    <w:p w14:paraId="19AFD62B">
      <w:pPr>
        <w:pStyle w:val="272"/>
        <w:spacing w:line="360" w:lineRule="auto"/>
        <w:jc w:val="both"/>
        <w:rPr>
          <w:rFonts w:ascii="Times New Roman" w:hAnsi="Times New Roman" w:cs="Times New Roman"/>
          <w:sz w:val="24"/>
          <w:szCs w:val="24"/>
        </w:rPr>
      </w:pPr>
    </w:p>
    <w:p w14:paraId="09B7EA4B">
      <w:pPr>
        <w:pStyle w:val="272"/>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 contrato deverá ter vigência pelo </w:t>
      </w:r>
      <w:r>
        <w:rPr>
          <w:rFonts w:ascii="Times New Roman" w:hAnsi="Times New Roman" w:eastAsia="Cambria Math" w:cs="Times New Roman"/>
          <w:sz w:val="24"/>
          <w:szCs w:val="24"/>
        </w:rPr>
        <w:t>período de 12 meses podendo ser prorrogado por igual período</w:t>
      </w:r>
      <w:r>
        <w:rPr>
          <w:rFonts w:ascii="Times New Roman" w:hAnsi="Times New Roman" w:eastAsia="Times New Roman" w:cs="Times New Roman"/>
          <w:sz w:val="24"/>
          <w:szCs w:val="24"/>
        </w:rPr>
        <w:t>.</w:t>
      </w:r>
    </w:p>
    <w:p w14:paraId="6FA3FB56">
      <w:pPr>
        <w:jc w:val="both"/>
        <w:rPr>
          <w:color w:val="FF0000"/>
          <w:sz w:val="24"/>
          <w:szCs w:val="24"/>
        </w:rPr>
      </w:pPr>
    </w:p>
    <w:p w14:paraId="00EE0603">
      <w:pPr>
        <w:jc w:val="both"/>
        <w:rPr>
          <w:rFonts w:eastAsia="Cambria Math"/>
          <w:b/>
          <w:sz w:val="24"/>
          <w:szCs w:val="24"/>
        </w:rPr>
      </w:pPr>
      <w:r>
        <w:rPr>
          <w:rFonts w:eastAsia="Cambria Math"/>
          <w:b/>
          <w:sz w:val="24"/>
          <w:szCs w:val="24"/>
          <w:lang w:val="en-US"/>
        </w:rPr>
        <w:t>14</w:t>
      </w:r>
      <w:r>
        <w:rPr>
          <w:rFonts w:eastAsia="Cambria Math"/>
          <w:b/>
          <w:sz w:val="24"/>
          <w:szCs w:val="24"/>
        </w:rPr>
        <w:t xml:space="preserve"> - VALOR ESTIMADO DA CONTRATAÇÃO</w:t>
      </w:r>
    </w:p>
    <w:p w14:paraId="466946A1">
      <w:pPr>
        <w:jc w:val="both"/>
        <w:rPr>
          <w:rFonts w:eastAsia="Cambria Math"/>
          <w:b/>
          <w:sz w:val="24"/>
          <w:szCs w:val="24"/>
        </w:rPr>
      </w:pPr>
    </w:p>
    <w:p w14:paraId="4FC76867">
      <w:pPr>
        <w:jc w:val="both"/>
        <w:rPr>
          <w:sz w:val="24"/>
          <w:szCs w:val="24"/>
        </w:rPr>
      </w:pPr>
      <w:r>
        <w:rPr>
          <w:sz w:val="24"/>
          <w:szCs w:val="24"/>
        </w:rPr>
        <w:t xml:space="preserve">O custo estimado total da contratação pelo menor preço é de </w:t>
      </w:r>
      <w:r>
        <w:rPr>
          <w:rFonts w:eastAsia="SimSun"/>
          <w:sz w:val="24"/>
          <w:szCs w:val="24"/>
          <w:lang w:val="en-US" w:eastAsia="zh-CN" w:bidi="ar"/>
        </w:rPr>
        <w:t xml:space="preserve">R$ </w:t>
      </w:r>
      <w:r>
        <w:rPr>
          <w:color w:val="000000"/>
          <w:sz w:val="24"/>
          <w:szCs w:val="24"/>
          <w:lang w:eastAsia="zh-CN"/>
        </w:rPr>
        <w:t>1.506.850,00(um milhão quinhentos e seis mil oitocentos e cinquenta reais</w:t>
      </w:r>
      <w:r>
        <w:rPr>
          <w:rFonts w:eastAsia="SimSun"/>
          <w:sz w:val="24"/>
          <w:szCs w:val="24"/>
          <w:lang w:eastAsia="zh-CN" w:bidi="ar"/>
        </w:rPr>
        <w:t>),</w:t>
      </w:r>
      <w:r>
        <w:rPr>
          <w:sz w:val="24"/>
          <w:szCs w:val="24"/>
        </w:rPr>
        <w:t xml:space="preserve"> conforme custos avaliados através de pesquisa de preço realizada.</w:t>
      </w:r>
    </w:p>
    <w:p w14:paraId="2FFD1B86">
      <w:pPr>
        <w:jc w:val="both"/>
        <w:rPr>
          <w:color w:val="FF0000"/>
          <w:sz w:val="24"/>
          <w:szCs w:val="24"/>
        </w:rPr>
      </w:pPr>
    </w:p>
    <w:p w14:paraId="1C15B0EF">
      <w:pPr>
        <w:jc w:val="both"/>
        <w:rPr>
          <w:rFonts w:eastAsia="Cambria Math"/>
          <w:b/>
          <w:sz w:val="24"/>
          <w:szCs w:val="24"/>
          <w:lang w:val="en-US"/>
        </w:rPr>
      </w:pPr>
      <w:r>
        <w:rPr>
          <w:rFonts w:eastAsia="Cambria Math"/>
          <w:b/>
          <w:sz w:val="24"/>
          <w:szCs w:val="24"/>
          <w:lang w:val="en-US"/>
        </w:rPr>
        <w:t>15</w:t>
      </w:r>
      <w:r>
        <w:rPr>
          <w:rFonts w:eastAsia="Cambria Math"/>
          <w:b/>
          <w:sz w:val="24"/>
          <w:szCs w:val="24"/>
        </w:rPr>
        <w:t xml:space="preserve"> - RESPONSÁVE</w:t>
      </w:r>
      <w:r>
        <w:rPr>
          <w:rFonts w:eastAsia="Cambria Math"/>
          <w:b/>
          <w:sz w:val="24"/>
          <w:szCs w:val="24"/>
          <w:lang w:val="en-US"/>
        </w:rPr>
        <w:t>L:</w:t>
      </w:r>
    </w:p>
    <w:p w14:paraId="07317EB8">
      <w:pPr>
        <w:jc w:val="both"/>
        <w:rPr>
          <w:rFonts w:eastAsia="Cambria Math"/>
          <w:b/>
          <w:color w:val="FF0000"/>
          <w:sz w:val="24"/>
          <w:szCs w:val="24"/>
          <w:lang w:val="en-US"/>
        </w:rPr>
      </w:pPr>
    </w:p>
    <w:p w14:paraId="10D70DAC">
      <w:pPr>
        <w:jc w:val="both"/>
        <w:rPr>
          <w:rFonts w:eastAsia="Cambria Math"/>
          <w:b/>
          <w:color w:val="FF0000"/>
          <w:sz w:val="24"/>
          <w:szCs w:val="24"/>
          <w:lang w:val="en-US"/>
        </w:rPr>
      </w:pPr>
    </w:p>
    <w:p w14:paraId="25343523">
      <w:pPr>
        <w:jc w:val="both"/>
        <w:rPr>
          <w:rFonts w:eastAsia="Cambria Math"/>
          <w:b/>
          <w:color w:val="FF0000"/>
          <w:sz w:val="24"/>
          <w:szCs w:val="24"/>
          <w:lang w:val="en-US"/>
        </w:rPr>
      </w:pPr>
    </w:p>
    <w:p w14:paraId="5EE73549">
      <w:pPr>
        <w:shd w:val="clear" w:color="auto" w:fill="FFFFFF"/>
        <w:spacing w:line="360" w:lineRule="auto"/>
        <w:jc w:val="center"/>
        <w:rPr>
          <w:sz w:val="24"/>
          <w:szCs w:val="24"/>
        </w:rPr>
      </w:pPr>
      <w:r>
        <w:rPr>
          <w:sz w:val="24"/>
          <w:szCs w:val="24"/>
        </w:rPr>
        <w:t>Valença, 11 de junho de 2026.</w:t>
      </w:r>
    </w:p>
    <w:p w14:paraId="66F42CD9">
      <w:pPr>
        <w:widowControl w:val="0"/>
        <w:shd w:val="clear" w:color="auto" w:fill="FFFFFF"/>
        <w:suppressAutoHyphens/>
        <w:spacing w:line="360" w:lineRule="auto"/>
        <w:jc w:val="center"/>
        <w:rPr>
          <w:b/>
          <w:sz w:val="24"/>
          <w:szCs w:val="24"/>
        </w:rPr>
      </w:pPr>
    </w:p>
    <w:p w14:paraId="40698049">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cs="Times New Roman"/>
          <w:szCs w:val="24"/>
        </w:rPr>
      </w:pPr>
      <w:r>
        <w:rPr>
          <w:rFonts w:ascii="Times New Roman" w:hAnsi="Times New Roman" w:cs="Times New Roman"/>
          <w:color w:val="auto"/>
          <w:kern w:val="3"/>
          <w:szCs w:val="24"/>
          <w:lang w:eastAsia="zh-CN" w:bidi="hi-IN"/>
        </w:rPr>
        <w:t>Eduardo Eiji Rodrigues Okabayashi</w:t>
      </w:r>
    </w:p>
    <w:p w14:paraId="2A6B493C">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b/>
          <w:bCs/>
          <w:szCs w:val="24"/>
        </w:rPr>
      </w:pPr>
      <w:r>
        <w:rPr>
          <w:rFonts w:ascii="Times New Roman" w:hAnsi="Times New Roman" w:eastAsia="Times New Roman" w:cs="Times New Roman"/>
          <w:color w:val="auto"/>
          <w:szCs w:val="24"/>
        </w:rPr>
        <w:t xml:space="preserve">Matricula: </w:t>
      </w:r>
      <w:r>
        <w:rPr>
          <w:rFonts w:ascii="Times New Roman" w:hAnsi="Times New Roman" w:cs="Times New Roman"/>
          <w:color w:val="auto"/>
          <w:kern w:val="3"/>
          <w:szCs w:val="24"/>
          <w:lang w:eastAsia="zh-CN" w:bidi="hi-IN"/>
        </w:rPr>
        <w:t>211.930</w:t>
      </w:r>
    </w:p>
    <w:p w14:paraId="6758D483">
      <w:pPr>
        <w:spacing w:before="288" w:beforeLines="120" w:after="288" w:afterLines="120" w:line="288" w:lineRule="auto"/>
        <w:rPr>
          <w:b/>
          <w:sz w:val="24"/>
          <w:szCs w:val="24"/>
        </w:rPr>
      </w:pPr>
    </w:p>
    <w:p w14:paraId="5C62A0E7">
      <w:pPr>
        <w:spacing w:before="288" w:beforeLines="120" w:after="288" w:afterLines="120" w:line="288" w:lineRule="auto"/>
        <w:ind w:left="284"/>
        <w:contextualSpacing/>
        <w:jc w:val="center"/>
        <w:rPr>
          <w:rFonts w:eastAsia="MS Mincho"/>
          <w:b/>
          <w:sz w:val="24"/>
          <w:szCs w:val="24"/>
        </w:rPr>
      </w:pPr>
      <w:r>
        <w:rPr>
          <w:rFonts w:eastAsia="MS Mincho"/>
          <w:b/>
          <w:sz w:val="24"/>
          <w:szCs w:val="24"/>
        </w:rPr>
        <w:t>ANEXO II</w:t>
      </w:r>
    </w:p>
    <w:p w14:paraId="7AE0F782">
      <w:pPr>
        <w:spacing w:before="288" w:beforeLines="120" w:after="288" w:afterLines="120" w:line="288" w:lineRule="auto"/>
        <w:ind w:left="284"/>
        <w:contextualSpacing/>
        <w:jc w:val="center"/>
        <w:rPr>
          <w:rFonts w:eastAsia="MS Mincho" w:asciiTheme="minorHAnsi" w:hAnsiTheme="minorHAnsi" w:cstheme="minorHAnsi"/>
          <w:b/>
          <w:sz w:val="24"/>
          <w:szCs w:val="24"/>
        </w:rPr>
      </w:pPr>
    </w:p>
    <w:p w14:paraId="4EC3A7CB">
      <w:pPr>
        <w:ind w:left="284"/>
        <w:jc w:val="center"/>
        <w:rPr>
          <w:b/>
          <w:color w:val="000000"/>
          <w:sz w:val="24"/>
          <w:szCs w:val="24"/>
          <w:u w:val="single"/>
        </w:rPr>
      </w:pPr>
      <w:r>
        <w:rPr>
          <w:b/>
          <w:color w:val="000000"/>
          <w:sz w:val="24"/>
          <w:szCs w:val="24"/>
        </w:rPr>
        <w:t xml:space="preserve">    </w:t>
      </w:r>
      <w:r>
        <w:rPr>
          <w:b/>
          <w:color w:val="000000"/>
          <w:sz w:val="24"/>
          <w:szCs w:val="24"/>
          <w:highlight w:val="yellow"/>
          <w:u w:val="single"/>
        </w:rPr>
        <w:t>ESTUDO TÉCNICO PRELIMINAR</w:t>
      </w:r>
    </w:p>
    <w:p w14:paraId="4308E379">
      <w:pPr>
        <w:ind w:left="284"/>
        <w:jc w:val="center"/>
        <w:rPr>
          <w:b/>
          <w:sz w:val="24"/>
          <w:szCs w:val="24"/>
          <w:u w:val="single"/>
        </w:rPr>
      </w:pPr>
    </w:p>
    <w:p w14:paraId="4D42F33B">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color w:val="auto"/>
          <w:szCs w:val="24"/>
        </w:rPr>
      </w:pPr>
      <w:r>
        <w:rPr>
          <w:rFonts w:ascii="Times New Roman" w:hAnsi="Times New Roman" w:eastAsia="Times New Roman" w:cs="Times New Roman"/>
          <w:b/>
          <w:bCs/>
          <w:color w:val="auto"/>
          <w:szCs w:val="24"/>
        </w:rPr>
        <w:t xml:space="preserve">ÓRGÃO: </w:t>
      </w:r>
      <w:r>
        <w:rPr>
          <w:rFonts w:ascii="Times New Roman" w:hAnsi="Times New Roman" w:eastAsia="Times New Roman" w:cs="Times New Roman"/>
          <w:color w:val="auto"/>
          <w:szCs w:val="24"/>
        </w:rPr>
        <w:t>Secretaria Municipal de Saúde</w:t>
      </w:r>
    </w:p>
    <w:p w14:paraId="1C79EDDC">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color w:val="auto"/>
          <w:szCs w:val="24"/>
        </w:rPr>
      </w:pPr>
      <w:r>
        <w:rPr>
          <w:rFonts w:ascii="Times New Roman" w:hAnsi="Times New Roman" w:eastAsia="Times New Roman" w:cs="Times New Roman"/>
          <w:b/>
          <w:bCs/>
          <w:color w:val="auto"/>
          <w:szCs w:val="24"/>
        </w:rPr>
        <w:t xml:space="preserve">SETOR REQUISITANTE: </w:t>
      </w:r>
      <w:r>
        <w:rPr>
          <w:rFonts w:ascii="Times New Roman" w:hAnsi="Times New Roman" w:cs="Times New Roman"/>
          <w:color w:val="auto"/>
          <w:szCs w:val="24"/>
        </w:rPr>
        <w:t>Farmacia Assistencial e de Mandado</w:t>
      </w:r>
    </w:p>
    <w:p w14:paraId="0CA6D915">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color w:val="auto"/>
          <w:kern w:val="3"/>
          <w:szCs w:val="24"/>
          <w:lang w:eastAsia="zh-CN" w:bidi="hi-IN"/>
        </w:rPr>
      </w:pPr>
      <w:r>
        <w:rPr>
          <w:rFonts w:ascii="Times New Roman" w:hAnsi="Times New Roman" w:eastAsia="Times New Roman" w:cs="Times New Roman"/>
          <w:b/>
          <w:bCs/>
          <w:color w:val="auto"/>
          <w:szCs w:val="24"/>
        </w:rPr>
        <w:t xml:space="preserve">RESPONSÁVEL PELA DEMANDA: </w:t>
      </w:r>
      <w:r>
        <w:rPr>
          <w:rFonts w:ascii="Times New Roman" w:hAnsi="Times New Roman" w:cs="Times New Roman"/>
          <w:color w:val="auto"/>
          <w:kern w:val="3"/>
          <w:szCs w:val="24"/>
          <w:lang w:eastAsia="zh-CN" w:bidi="hi-IN"/>
        </w:rPr>
        <w:t>Eduardo Eiji Rodrigues Okabayashi</w:t>
      </w:r>
    </w:p>
    <w:p w14:paraId="77E2AB08">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b/>
          <w:bCs/>
          <w:color w:val="auto"/>
          <w:szCs w:val="24"/>
        </w:rPr>
      </w:pPr>
      <w:r>
        <w:rPr>
          <w:rFonts w:ascii="Times New Roman" w:hAnsi="Times New Roman" w:eastAsia="Times New Roman" w:cs="Times New Roman"/>
          <w:b/>
          <w:bCs/>
          <w:color w:val="auto"/>
          <w:szCs w:val="24"/>
        </w:rPr>
        <w:t xml:space="preserve">MATRÍCULA: </w:t>
      </w:r>
      <w:r>
        <w:rPr>
          <w:rFonts w:ascii="Times New Roman" w:hAnsi="Times New Roman" w:cs="Times New Roman"/>
          <w:color w:val="auto"/>
          <w:kern w:val="3"/>
          <w:szCs w:val="24"/>
          <w:lang w:eastAsia="zh-CN" w:bidi="hi-IN"/>
        </w:rPr>
        <w:t>211.930</w:t>
      </w:r>
    </w:p>
    <w:p w14:paraId="4DC838C8">
      <w:pPr>
        <w:spacing w:line="360" w:lineRule="auto"/>
        <w:jc w:val="both"/>
        <w:rPr>
          <w:bCs/>
          <w:color w:val="C00000"/>
          <w:sz w:val="24"/>
          <w:szCs w:val="24"/>
        </w:rPr>
      </w:pPr>
    </w:p>
    <w:p w14:paraId="153739A2">
      <w:pPr>
        <w:spacing w:line="360" w:lineRule="auto"/>
        <w:jc w:val="both"/>
        <w:rPr>
          <w:b/>
          <w:sz w:val="24"/>
          <w:szCs w:val="24"/>
        </w:rPr>
      </w:pPr>
      <w:r>
        <w:rPr>
          <w:b/>
          <w:sz w:val="24"/>
          <w:szCs w:val="24"/>
        </w:rPr>
        <w:t>INTRODUÇÃO</w:t>
      </w:r>
    </w:p>
    <w:p w14:paraId="02AAC1B0">
      <w:pPr>
        <w:spacing w:line="360" w:lineRule="auto"/>
        <w:jc w:val="both"/>
        <w:rPr>
          <w:sz w:val="24"/>
          <w:szCs w:val="24"/>
        </w:rPr>
      </w:pPr>
      <w:r>
        <w:rPr>
          <w:sz w:val="24"/>
          <w:szCs w:val="24"/>
        </w:rPr>
        <w:t>O presente documento caracteriza a primeira etapa da fase de planejamento e apresenta os devidos estudos para a contratação de solução que atenderá à necessidade abaixo especificada.</w:t>
      </w:r>
    </w:p>
    <w:p w14:paraId="6BD53B80">
      <w:pPr>
        <w:spacing w:line="360" w:lineRule="auto"/>
        <w:jc w:val="both"/>
      </w:pPr>
      <w:r>
        <w:rPr>
          <w:sz w:val="24"/>
          <w:szCs w:val="24"/>
        </w:rPr>
        <w:t>O objetivo principal é estudar detalhadamente a necessidade de identificar no mercado a melhor solução para supri-la, em observância às normas vigentes e aos princípios que regem a Administração Pública.</w:t>
      </w:r>
    </w:p>
    <w:p w14:paraId="6E58910A">
      <w:pPr>
        <w:jc w:val="both"/>
        <w:rPr>
          <w:b/>
          <w:color w:val="000000"/>
          <w:sz w:val="24"/>
          <w:szCs w:val="24"/>
        </w:rPr>
      </w:pPr>
    </w:p>
    <w:p w14:paraId="56C120FF">
      <w:pPr>
        <w:pStyle w:val="77"/>
        <w:widowControl w:val="0"/>
        <w:numPr>
          <w:ilvl w:val="0"/>
          <w:numId w:val="6"/>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OBJETO</w:t>
      </w:r>
    </w:p>
    <w:p w14:paraId="4A1BB3EC">
      <w:pPr>
        <w:pStyle w:val="24"/>
        <w:spacing w:line="360" w:lineRule="auto"/>
        <w:jc w:val="both"/>
      </w:pPr>
      <w:r>
        <w:t>A aquisição 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23D2440C">
      <w:pPr>
        <w:spacing w:line="360" w:lineRule="auto"/>
        <w:jc w:val="both"/>
        <w:rPr>
          <w:color w:val="C00000"/>
          <w:sz w:val="24"/>
          <w:szCs w:val="24"/>
        </w:rPr>
      </w:pPr>
    </w:p>
    <w:p w14:paraId="548935A2">
      <w:pPr>
        <w:spacing w:line="360" w:lineRule="auto"/>
        <w:jc w:val="both"/>
        <w:rPr>
          <w:b/>
          <w:sz w:val="24"/>
          <w:szCs w:val="24"/>
        </w:rPr>
      </w:pPr>
      <w:r>
        <w:rPr>
          <w:b/>
          <w:sz w:val="24"/>
          <w:szCs w:val="24"/>
        </w:rPr>
        <w:t>2 - DESCRIÇÃO DA NECESSIDADE</w:t>
      </w:r>
    </w:p>
    <w:p w14:paraId="2EDB6750">
      <w:pPr>
        <w:pStyle w:val="24"/>
        <w:spacing w:line="360" w:lineRule="auto"/>
        <w:jc w:val="both"/>
      </w:pPr>
      <w:r>
        <w:t xml:space="preserve">A </w:t>
      </w:r>
      <w:r>
        <w:rPr>
          <w:rStyle w:val="11"/>
          <w:b w:val="0"/>
        </w:rPr>
        <w:t>aquisição de fórmulas alimentares e suplementos nutricionais</w:t>
      </w:r>
      <w:r>
        <w:t xml:space="preserve"> justifica-se pela necessidade de garantir a continuidade do atendimento a pacientes em situação de vulnerabilidade social (hipossuficientes), bem como pelo cumprimento de determinações judiciais que impõem o fornecimento imediato desses insumos pelo poder público.</w:t>
      </w:r>
    </w:p>
    <w:p w14:paraId="3D7C5FE0">
      <w:pPr>
        <w:pStyle w:val="24"/>
        <w:spacing w:line="360" w:lineRule="auto"/>
        <w:jc w:val="both"/>
      </w:pPr>
      <w:r>
        <w:t>Trata-se de itens essenciais à manutenção da saúde e da vida de pacientes com necessidades nutricionais específicas, tais como indivíduos com doenças crônicas, distúrbios metabólicos, alergias alimentares graves, desnutrição, pacientes oncológicos, entre outras condições clínicas que exigem suplementação ou alimentação especializada.</w:t>
      </w:r>
    </w:p>
    <w:p w14:paraId="6776FC00">
      <w:pPr>
        <w:pStyle w:val="24"/>
        <w:spacing w:line="360" w:lineRule="auto"/>
        <w:jc w:val="both"/>
      </w:pPr>
      <w:r>
        <w:t>A ausência ou interrupção do fornecimento pode acarretar agravamento do quadro clínico, aumento do risco de internações, complicações de saúde e até óbito, além de gerar responsabilização administrativa e judicial ao ente público pelo descumprimento de ordens judiciais.</w:t>
      </w:r>
    </w:p>
    <w:p w14:paraId="5AAE6DDB">
      <w:pPr>
        <w:pStyle w:val="24"/>
        <w:spacing w:line="360" w:lineRule="auto"/>
        <w:jc w:val="both"/>
      </w:pPr>
      <w:r>
        <w:t>Assim, a contratação visa assegurar a proteção da saúde dos pacientes beneficiários e o cumprimento das obrigações legais impostas à Administração Pública.</w:t>
      </w:r>
    </w:p>
    <w:p w14:paraId="70B94CF0">
      <w:pPr>
        <w:spacing w:line="360" w:lineRule="auto"/>
        <w:jc w:val="both"/>
        <w:rPr>
          <w:b/>
          <w:color w:val="C00000"/>
          <w:sz w:val="24"/>
          <w:szCs w:val="24"/>
        </w:rPr>
      </w:pPr>
    </w:p>
    <w:p w14:paraId="0FC97FFD">
      <w:pPr>
        <w:shd w:val="clear" w:color="auto" w:fill="FFFFFF"/>
        <w:spacing w:line="360" w:lineRule="auto"/>
        <w:jc w:val="both"/>
        <w:rPr>
          <w:b/>
          <w:sz w:val="24"/>
          <w:szCs w:val="24"/>
        </w:rPr>
      </w:pPr>
      <w:r>
        <w:rPr>
          <w:b/>
          <w:sz w:val="24"/>
          <w:szCs w:val="24"/>
        </w:rPr>
        <w:t>3 – PREVISÃO NO PLANO DE CONTRATAÇÕES ANUAL</w:t>
      </w:r>
    </w:p>
    <w:p w14:paraId="403FB67F">
      <w:pPr>
        <w:pStyle w:val="19"/>
        <w:tabs>
          <w:tab w:val="left" w:pos="555"/>
          <w:tab w:val="left" w:pos="840"/>
          <w:tab w:val="left" w:pos="1140"/>
          <w:tab w:val="left" w:pos="1395"/>
          <w:tab w:val="left" w:pos="1650"/>
          <w:tab w:val="left" w:pos="1965"/>
          <w:tab w:val="left" w:pos="2220"/>
          <w:tab w:val="left" w:leader="underscore" w:pos="7336"/>
        </w:tabs>
        <w:spacing w:before="57" w:after="57"/>
        <w:rPr>
          <w:rFonts w:ascii="Times New Roman" w:hAnsi="Times New Roman" w:cs="Times New Roman"/>
          <w:color w:val="auto"/>
          <w:szCs w:val="24"/>
        </w:rPr>
      </w:pPr>
      <w:r>
        <w:rPr>
          <w:rFonts w:ascii="Times New Roman" w:hAnsi="Times New Roman" w:cs="Times New Roman"/>
          <w:color w:val="auto"/>
          <w:szCs w:val="24"/>
        </w:rPr>
        <w:t>Previsto no Plano de Contratações Anual 2026 - item 1</w:t>
      </w:r>
    </w:p>
    <w:p w14:paraId="6748F8B5">
      <w:pPr>
        <w:pStyle w:val="61"/>
        <w:ind w:left="0"/>
        <w:rPr>
          <w:b/>
          <w:color w:val="C00000"/>
          <w:sz w:val="24"/>
          <w:szCs w:val="24"/>
        </w:rPr>
      </w:pPr>
    </w:p>
    <w:p w14:paraId="757A1809">
      <w:pPr>
        <w:pStyle w:val="61"/>
        <w:ind w:left="0"/>
        <w:rPr>
          <w:rFonts w:eastAsia="Cambria Math"/>
          <w:b/>
          <w:sz w:val="24"/>
          <w:szCs w:val="24"/>
        </w:rPr>
      </w:pPr>
      <w:r>
        <w:rPr>
          <w:b/>
          <w:sz w:val="24"/>
          <w:szCs w:val="24"/>
        </w:rPr>
        <w:t xml:space="preserve">4 – </w:t>
      </w:r>
      <w:r>
        <w:rPr>
          <w:rFonts w:eastAsia="Cambria Math"/>
          <w:b/>
          <w:sz w:val="24"/>
          <w:szCs w:val="24"/>
        </w:rPr>
        <w:t>ALINHAMENTO ENTRE A AQUISIÇÃO E O PLANO DE EXECUÇÃO</w:t>
      </w:r>
    </w:p>
    <w:p w14:paraId="67F8FAC4">
      <w:pPr>
        <w:pStyle w:val="61"/>
        <w:ind w:left="0"/>
        <w:rPr>
          <w:rFonts w:eastAsia="Cambria Math"/>
          <w:b/>
          <w:sz w:val="24"/>
          <w:szCs w:val="24"/>
        </w:rPr>
      </w:pPr>
    </w:p>
    <w:p w14:paraId="55B927D0">
      <w:pPr>
        <w:pStyle w:val="74"/>
        <w:spacing w:line="360" w:lineRule="auto"/>
        <w:jc w:val="both"/>
        <w:rPr>
          <w:color w:val="auto"/>
        </w:rPr>
      </w:pPr>
      <w:r>
        <w:rPr>
          <w:rFonts w:ascii="Times New Roman" w:hAnsi="Times New Roman" w:cs="Times New Roman"/>
          <w:color w:val="auto"/>
        </w:rPr>
        <w:t xml:space="preserve">O </w:t>
      </w:r>
      <w:r>
        <w:rPr>
          <w:rFonts w:cs="Times New Roman"/>
          <w:color w:val="auto"/>
        </w:rPr>
        <w:t>contratado</w:t>
      </w:r>
      <w:r>
        <w:rPr>
          <w:rFonts w:ascii="Times New Roman" w:hAnsi="Times New Roman" w:cs="Times New Roman"/>
          <w:color w:val="auto"/>
        </w:rPr>
        <w:t xml:space="preserve"> deve realizar </w:t>
      </w:r>
      <w:r>
        <w:rPr>
          <w:rFonts w:cs="Times New Roman"/>
          <w:color w:val="auto"/>
        </w:rPr>
        <w:t>o fornecimento do objeto</w:t>
      </w:r>
      <w:r>
        <w:rPr>
          <w:rFonts w:ascii="Times New Roman" w:hAnsi="Times New Roman" w:cs="Times New Roman"/>
          <w:color w:val="auto"/>
        </w:rPr>
        <w:t xml:space="preserve"> de acordo com a solicitação do Setor Demandante, e conforme condições, quantidades, exigências e estimativa  estabelecidas </w:t>
      </w:r>
      <w:r>
        <w:rPr>
          <w:rFonts w:cs="Times New Roman"/>
          <w:color w:val="auto"/>
        </w:rPr>
        <w:t>no</w:t>
      </w:r>
      <w:r>
        <w:rPr>
          <w:rFonts w:ascii="Times New Roman" w:hAnsi="Times New Roman" w:cs="Times New Roman"/>
          <w:color w:val="auto"/>
        </w:rPr>
        <w:t xml:space="preserve"> Termo de Referência</w:t>
      </w:r>
      <w:r>
        <w:rPr>
          <w:rFonts w:cs="Times New Roman"/>
          <w:color w:val="auto"/>
        </w:rPr>
        <w:t>;</w:t>
      </w:r>
    </w:p>
    <w:p w14:paraId="3B394502">
      <w:pPr>
        <w:pStyle w:val="74"/>
        <w:spacing w:line="360" w:lineRule="auto"/>
        <w:jc w:val="both"/>
        <w:rPr>
          <w:color w:val="auto"/>
        </w:rPr>
      </w:pPr>
      <w:r>
        <w:rPr>
          <w:rFonts w:ascii="Times New Roman" w:hAnsi="Times New Roman" w:cs="Times New Roman"/>
          <w:color w:val="auto"/>
        </w:rPr>
        <w:t>O contratado deverá assumir a responsabilidade por todas as providências e obrigações estabelecidas na legislação específica sobre a qualidade e especificação dos exames que serão executados</w:t>
      </w:r>
      <w:r>
        <w:rPr>
          <w:rFonts w:cs="Times New Roman"/>
          <w:color w:val="auto"/>
        </w:rPr>
        <w:t>;</w:t>
      </w:r>
    </w:p>
    <w:p w14:paraId="1F192D87">
      <w:pPr>
        <w:pStyle w:val="74"/>
        <w:spacing w:line="360" w:lineRule="auto"/>
        <w:jc w:val="both"/>
        <w:rPr>
          <w:color w:val="auto"/>
        </w:rPr>
      </w:pPr>
      <w:r>
        <w:rPr>
          <w:rFonts w:ascii="Times New Roman" w:hAnsi="Times New Roman" w:cs="Times New Roman"/>
          <w:color w:val="auto"/>
        </w:rPr>
        <w:t>O contratado deverá executar diretamente o objeto, não podendo transferir a responsabilidade pelo objeto demandado para nenhuma outra empresa ou instituição de qualquer natureza</w:t>
      </w:r>
      <w:r>
        <w:rPr>
          <w:rFonts w:cs="Times New Roman"/>
          <w:color w:val="auto"/>
        </w:rPr>
        <w:t>;</w:t>
      </w:r>
    </w:p>
    <w:p w14:paraId="23F458AE">
      <w:pPr>
        <w:pStyle w:val="74"/>
        <w:spacing w:line="360" w:lineRule="auto"/>
        <w:jc w:val="both"/>
        <w:rPr>
          <w:color w:val="auto"/>
        </w:rPr>
      </w:pPr>
      <w:r>
        <w:rPr>
          <w:rFonts w:ascii="Times New Roman" w:hAnsi="Times New Roman" w:cs="Times New Roman"/>
          <w:color w:val="auto"/>
        </w:rPr>
        <w:t>O contratado deverá prestar todos os esclarecimentos técnicos que lhe forem solicitados, relacionados com as características do exame realizado</w:t>
      </w:r>
      <w:r>
        <w:rPr>
          <w:rFonts w:cs="Times New Roman"/>
          <w:color w:val="auto"/>
        </w:rPr>
        <w:t>;</w:t>
      </w:r>
      <w:r>
        <w:rPr>
          <w:rFonts w:ascii="Times New Roman" w:hAnsi="Times New Roman" w:cs="Times New Roman"/>
          <w:color w:val="auto"/>
        </w:rPr>
        <w:t xml:space="preserve"> </w:t>
      </w:r>
    </w:p>
    <w:p w14:paraId="6FFACD5F">
      <w:pPr>
        <w:pStyle w:val="74"/>
        <w:spacing w:line="360" w:lineRule="auto"/>
        <w:jc w:val="both"/>
        <w:rPr>
          <w:color w:val="auto"/>
        </w:rPr>
      </w:pPr>
      <w:r>
        <w:rPr>
          <w:rFonts w:ascii="Times New Roman" w:hAnsi="Times New Roman" w:cs="Times New Roman"/>
          <w:color w:val="auto"/>
        </w:rPr>
        <w:t>O contratado deverá arcar com todas as despesas, diretas ou indiretas, sem qualquer ônus para a municipalidade</w:t>
      </w:r>
      <w:r>
        <w:rPr>
          <w:rFonts w:cs="Times New Roman"/>
          <w:color w:val="auto"/>
        </w:rPr>
        <w:t>;</w:t>
      </w:r>
    </w:p>
    <w:p w14:paraId="03A59E44">
      <w:pPr>
        <w:spacing w:line="360" w:lineRule="auto"/>
        <w:jc w:val="both"/>
        <w:rPr>
          <w:sz w:val="24"/>
          <w:szCs w:val="24"/>
        </w:rPr>
      </w:pPr>
      <w:r>
        <w:rPr>
          <w:sz w:val="24"/>
          <w:szCs w:val="24"/>
        </w:rPr>
        <w:t>O contratado deverá repetir procedimentos às suas próprias custas para correção de falhas verificadas, principalmente na hipótese de aquisição do objeto em desacordo com as condições pactuadas;</w:t>
      </w:r>
    </w:p>
    <w:p w14:paraId="03B547C9">
      <w:pPr>
        <w:spacing w:line="360" w:lineRule="auto"/>
        <w:rPr>
          <w:sz w:val="24"/>
          <w:szCs w:val="24"/>
        </w:rPr>
      </w:pPr>
      <w:r>
        <w:rPr>
          <w:sz w:val="24"/>
          <w:szCs w:val="24"/>
        </w:rPr>
        <w:t>O fornecimento  será efetuado em remessa única, com prazo de entrega não superior a 15 dias úteis , a contar da data de recebimento da Nota de Empenho;</w:t>
      </w:r>
    </w:p>
    <w:p w14:paraId="5C8F9C85">
      <w:pPr>
        <w:spacing w:line="360" w:lineRule="auto"/>
        <w:jc w:val="both"/>
        <w:rPr>
          <w:sz w:val="24"/>
          <w:szCs w:val="24"/>
        </w:rPr>
      </w:pPr>
      <w:r>
        <w:rPr>
          <w:sz w:val="24"/>
          <w:szCs w:val="24"/>
        </w:rPr>
        <w:t>As entregas serão realizadas no Almoxarifado/FMS, localizada na Rua Dom Rodolfo Pena, nº 156, Bairro de Fatima, nesta cidade.</w:t>
      </w:r>
    </w:p>
    <w:p w14:paraId="70D37471">
      <w:pPr>
        <w:spacing w:line="360" w:lineRule="auto"/>
        <w:jc w:val="both"/>
        <w:rPr>
          <w:rFonts w:eastAsia="SimSun"/>
          <w:color w:val="C00000"/>
          <w:sz w:val="24"/>
          <w:szCs w:val="24"/>
        </w:rPr>
      </w:pPr>
    </w:p>
    <w:p w14:paraId="7B270CA8">
      <w:pPr>
        <w:jc w:val="both"/>
        <w:rPr>
          <w:rFonts w:eastAsia="Cambria Math"/>
          <w:b/>
          <w:szCs w:val="24"/>
        </w:rPr>
      </w:pPr>
      <w:r>
        <w:rPr>
          <w:rFonts w:eastAsia="Cambria Math"/>
          <w:b/>
          <w:szCs w:val="24"/>
        </w:rPr>
        <w:t>5 - JUSTIFICATIVA DA ESCOLHA DO TIPO DE SOLUÇÃO A CONTRATAÇÃO</w:t>
      </w:r>
    </w:p>
    <w:p w14:paraId="241D81BE">
      <w:pPr>
        <w:spacing w:line="360" w:lineRule="auto"/>
        <w:jc w:val="both"/>
        <w:rPr>
          <w:sz w:val="24"/>
          <w:szCs w:val="24"/>
        </w:rPr>
      </w:pPr>
    </w:p>
    <w:p w14:paraId="1B07217B">
      <w:pPr>
        <w:snapToGrid w:val="0"/>
        <w:spacing w:line="360" w:lineRule="auto"/>
        <w:rPr>
          <w:sz w:val="24"/>
          <w:szCs w:val="24"/>
        </w:rPr>
      </w:pPr>
      <w:r>
        <w:rPr>
          <w:sz w:val="24"/>
          <w:szCs w:val="24"/>
        </w:rPr>
        <w:t>Consiste na contratação de empresa especializada, através do Sistema de Registro de Preços, cujo objeto é futura e eventual contratação de empresa especializada em captura r apreensão de animais errantes de pequeno, médio e grande porte.</w:t>
      </w:r>
    </w:p>
    <w:p w14:paraId="7B9C1BC9">
      <w:pPr>
        <w:spacing w:line="360" w:lineRule="auto"/>
        <w:jc w:val="both"/>
        <w:rPr>
          <w:sz w:val="24"/>
          <w:szCs w:val="24"/>
        </w:rPr>
      </w:pPr>
      <w:r>
        <w:rPr>
          <w:sz w:val="24"/>
          <w:szCs w:val="24"/>
        </w:rPr>
        <w:t xml:space="preserve">O fornecimento por grupo, permite maior flexibilidade na aquisição conforme a disponibilidade de mercado e as condições econômicas mais vantajosas para a Administração Pública. </w:t>
      </w:r>
    </w:p>
    <w:p w14:paraId="2EE2DF63">
      <w:pPr>
        <w:spacing w:line="360" w:lineRule="auto"/>
        <w:jc w:val="both"/>
        <w:rPr>
          <w:sz w:val="24"/>
          <w:szCs w:val="24"/>
        </w:rPr>
      </w:pPr>
      <w:r>
        <w:rPr>
          <w:sz w:val="24"/>
          <w:szCs w:val="24"/>
        </w:rPr>
        <w:t>A solução proposta busca, além de atender à demanda, garantir a padronização da entrega, a economicidade e a previsibilidade logística.</w:t>
      </w:r>
    </w:p>
    <w:p w14:paraId="50A0AC0F">
      <w:pPr>
        <w:spacing w:line="360" w:lineRule="auto"/>
        <w:jc w:val="both"/>
        <w:rPr>
          <w:sz w:val="24"/>
          <w:szCs w:val="24"/>
        </w:rPr>
      </w:pPr>
    </w:p>
    <w:p w14:paraId="3EF5A626">
      <w:pPr>
        <w:spacing w:line="360" w:lineRule="auto"/>
        <w:rPr>
          <w:b/>
          <w:sz w:val="24"/>
          <w:szCs w:val="24"/>
        </w:rPr>
      </w:pPr>
      <w:r>
        <w:rPr>
          <w:rFonts w:eastAsia="Cambria Math"/>
          <w:b/>
          <w:sz w:val="24"/>
          <w:szCs w:val="24"/>
        </w:rPr>
        <w:t xml:space="preserve">6 - </w:t>
      </w:r>
      <w:r>
        <w:rPr>
          <w:b/>
          <w:sz w:val="24"/>
          <w:szCs w:val="24"/>
        </w:rPr>
        <w:t>ESTIMATIVA DAS QUANTIDADES</w:t>
      </w:r>
    </w:p>
    <w:p w14:paraId="70F3CC74">
      <w:pPr>
        <w:spacing w:line="360" w:lineRule="auto"/>
        <w:jc w:val="both"/>
        <w:rPr>
          <w:sz w:val="24"/>
          <w:szCs w:val="24"/>
        </w:rPr>
      </w:pPr>
      <w:r>
        <w:rPr>
          <w:sz w:val="24"/>
          <w:szCs w:val="24"/>
        </w:rPr>
        <w:t>Entendem-se necessária a contratação do seguinte item e quantitativo:</w:t>
      </w:r>
    </w:p>
    <w:p w14:paraId="53F77760">
      <w:pPr>
        <w:jc w:val="center"/>
        <w:rPr>
          <w:rFonts w:eastAsia="Cambria Math"/>
          <w:b/>
          <w:color w:val="C00000"/>
          <w:szCs w:val="24"/>
        </w:rPr>
      </w:pPr>
    </w:p>
    <w:p w14:paraId="57AB73D1">
      <w:pPr>
        <w:jc w:val="center"/>
        <w:rPr>
          <w:rFonts w:eastAsia="Cambria Math"/>
          <w:b/>
          <w:color w:val="C00000"/>
          <w:szCs w:val="24"/>
        </w:rPr>
      </w:pPr>
    </w:p>
    <w:p w14:paraId="6786FFE0">
      <w:pPr>
        <w:jc w:val="center"/>
        <w:rPr>
          <w:rFonts w:eastAsia="Cambria Math"/>
          <w:b/>
          <w:szCs w:val="24"/>
        </w:rPr>
      </w:pPr>
      <w:r>
        <w:rPr>
          <w:rFonts w:eastAsia="Cambria Math"/>
          <w:b/>
          <w:szCs w:val="24"/>
        </w:rPr>
        <w:t>GRUPO III</w:t>
      </w:r>
    </w:p>
    <w:tbl>
      <w:tblPr>
        <w:tblStyle w:val="10"/>
        <w:tblpPr w:leftFromText="180" w:rightFromText="180" w:vertAnchor="text" w:horzAnchor="page" w:tblpX="339" w:tblpY="248"/>
        <w:tblOverlap w:val="never"/>
        <w:tblW w:w="11464" w:type="dxa"/>
        <w:tblInd w:w="0" w:type="dxa"/>
        <w:tblLayout w:type="fixed"/>
        <w:tblCellMar>
          <w:top w:w="0" w:type="dxa"/>
          <w:left w:w="108" w:type="dxa"/>
          <w:bottom w:w="0" w:type="dxa"/>
          <w:right w:w="108" w:type="dxa"/>
        </w:tblCellMar>
      </w:tblPr>
      <w:tblGrid>
        <w:gridCol w:w="900"/>
        <w:gridCol w:w="862"/>
        <w:gridCol w:w="862"/>
        <w:gridCol w:w="5845"/>
        <w:gridCol w:w="917"/>
        <w:gridCol w:w="862"/>
        <w:gridCol w:w="1216"/>
      </w:tblGrid>
      <w:tr w14:paraId="3063E850">
        <w:tblPrEx>
          <w:tblCellMar>
            <w:top w:w="0" w:type="dxa"/>
            <w:left w:w="108" w:type="dxa"/>
            <w:bottom w:w="0" w:type="dxa"/>
            <w:right w:w="108" w:type="dxa"/>
          </w:tblCellMar>
        </w:tblPrEx>
        <w:trPr>
          <w:trHeight w:val="300" w:hRule="atLeast"/>
        </w:trPr>
        <w:tc>
          <w:tcPr>
            <w:tcW w:w="900"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4113243E">
            <w:pPr>
              <w:jc w:val="center"/>
              <w:textAlignment w:val="bottom"/>
              <w:rPr>
                <w:rFonts w:eastAsia="SimSun"/>
                <w:color w:val="000000"/>
                <w:sz w:val="18"/>
                <w:szCs w:val="18"/>
                <w:lang w:eastAsia="zh-CN" w:bidi="ar"/>
              </w:rPr>
            </w:pPr>
            <w:r>
              <w:rPr>
                <w:rFonts w:eastAsia="SimSun"/>
                <w:color w:val="000000"/>
                <w:sz w:val="18"/>
                <w:szCs w:val="18"/>
                <w:lang w:eastAsia="zh-CN" w:bidi="ar"/>
              </w:rPr>
              <w:t>Item</w:t>
            </w:r>
          </w:p>
        </w:tc>
        <w:tc>
          <w:tcPr>
            <w:tcW w:w="862"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16623FA2">
            <w:pPr>
              <w:jc w:val="center"/>
              <w:textAlignment w:val="bottom"/>
              <w:rPr>
                <w:rFonts w:eastAsia="SimSun"/>
                <w:color w:val="000000"/>
                <w:sz w:val="18"/>
                <w:szCs w:val="18"/>
                <w:lang w:eastAsia="zh-CN" w:bidi="ar"/>
              </w:rPr>
            </w:pPr>
            <w:r>
              <w:rPr>
                <w:rFonts w:eastAsia="SimSun"/>
                <w:color w:val="000000"/>
                <w:sz w:val="18"/>
                <w:szCs w:val="18"/>
                <w:lang w:eastAsia="zh-CN" w:bidi="ar"/>
              </w:rPr>
              <w:t>Unid</w:t>
            </w:r>
          </w:p>
        </w:tc>
        <w:tc>
          <w:tcPr>
            <w:tcW w:w="862"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522FECE9">
            <w:pPr>
              <w:jc w:val="center"/>
              <w:textAlignment w:val="bottom"/>
              <w:rPr>
                <w:rFonts w:eastAsia="SimSun"/>
                <w:color w:val="000000"/>
                <w:sz w:val="18"/>
                <w:szCs w:val="18"/>
                <w:lang w:eastAsia="hi-IN" w:bidi="ar"/>
              </w:rPr>
            </w:pPr>
            <w:r>
              <w:rPr>
                <w:rFonts w:eastAsia="SimSun"/>
                <w:color w:val="000000"/>
                <w:sz w:val="18"/>
                <w:szCs w:val="18"/>
                <w:lang w:eastAsia="zh-CN" w:bidi="ar"/>
              </w:rPr>
              <w:t>Quant</w:t>
            </w:r>
          </w:p>
        </w:tc>
        <w:tc>
          <w:tcPr>
            <w:tcW w:w="5845"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13A0964A">
            <w:pPr>
              <w:jc w:val="center"/>
              <w:textAlignment w:val="bottom"/>
              <w:rPr>
                <w:rFonts w:eastAsia="SimSun"/>
                <w:color w:val="000000"/>
                <w:sz w:val="18"/>
                <w:szCs w:val="18"/>
                <w:lang w:eastAsia="zh-CN" w:bidi="ar"/>
              </w:rPr>
            </w:pPr>
            <w:r>
              <w:rPr>
                <w:rFonts w:eastAsia="SimSun"/>
                <w:color w:val="000000"/>
                <w:sz w:val="18"/>
                <w:szCs w:val="18"/>
                <w:lang w:eastAsia="zh-CN" w:bidi="ar"/>
              </w:rPr>
              <w:t>Especificação</w:t>
            </w:r>
          </w:p>
        </w:tc>
        <w:tc>
          <w:tcPr>
            <w:tcW w:w="917"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12B26117">
            <w:pPr>
              <w:jc w:val="center"/>
              <w:textAlignment w:val="bottom"/>
              <w:rPr>
                <w:rFonts w:eastAsia="SimSun"/>
                <w:color w:val="000000"/>
                <w:sz w:val="18"/>
                <w:szCs w:val="18"/>
                <w:lang w:eastAsia="zh-CN" w:bidi="ar"/>
              </w:rPr>
            </w:pPr>
            <w:r>
              <w:rPr>
                <w:rFonts w:eastAsia="SimSun"/>
                <w:color w:val="000000"/>
                <w:sz w:val="18"/>
                <w:szCs w:val="18"/>
                <w:lang w:eastAsia="zh-CN" w:bidi="ar"/>
              </w:rPr>
              <w:t>Catmat</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043586A">
            <w:pPr>
              <w:jc w:val="center"/>
              <w:textAlignment w:val="bottom"/>
              <w:rPr>
                <w:rFonts w:eastAsia="SimSun"/>
                <w:color w:val="000000"/>
                <w:sz w:val="18"/>
                <w:szCs w:val="18"/>
                <w:lang w:eastAsia="zh-CN" w:bidi="ar"/>
              </w:rPr>
            </w:pPr>
            <w:r>
              <w:rPr>
                <w:rFonts w:eastAsia="SimSun"/>
                <w:color w:val="000000"/>
                <w:sz w:val="18"/>
                <w:szCs w:val="18"/>
                <w:lang w:eastAsia="zh-CN" w:bidi="ar"/>
              </w:rPr>
              <w:t>Valor unitario</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2A3C908">
            <w:pPr>
              <w:jc w:val="center"/>
              <w:textAlignment w:val="bottom"/>
              <w:rPr>
                <w:rFonts w:eastAsia="SimSun"/>
                <w:color w:val="000000"/>
                <w:sz w:val="18"/>
                <w:szCs w:val="18"/>
                <w:lang w:eastAsia="zh-CN" w:bidi="ar"/>
              </w:rPr>
            </w:pPr>
            <w:r>
              <w:rPr>
                <w:rFonts w:eastAsia="SimSun"/>
                <w:color w:val="000000"/>
                <w:sz w:val="18"/>
                <w:szCs w:val="18"/>
                <w:lang w:eastAsia="zh-CN" w:bidi="ar"/>
              </w:rPr>
              <w:t>Valor total</w:t>
            </w:r>
          </w:p>
        </w:tc>
      </w:tr>
      <w:tr w14:paraId="68EC4F78">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3D40594">
            <w:pPr>
              <w:jc w:val="center"/>
              <w:textAlignment w:val="bottom"/>
              <w:rPr>
                <w:rFonts w:eastAsia="SimSun"/>
                <w:b/>
                <w:bCs/>
                <w:sz w:val="18"/>
                <w:szCs w:val="18"/>
                <w:lang w:eastAsia="zh-CN" w:bidi="ar"/>
              </w:rPr>
            </w:pPr>
            <w:r>
              <w:rPr>
                <w:rFonts w:eastAsia="SimSun"/>
                <w:b/>
                <w:bCs/>
                <w:sz w:val="18"/>
                <w:szCs w:val="18"/>
                <w:lang w:eastAsia="zh-CN" w:bidi="ar"/>
              </w:rPr>
              <w:t>1</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77E6C14D">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color w:val="auto"/>
                <w:sz w:val="18"/>
                <w:szCs w:val="18"/>
              </w:rPr>
            </w:pPr>
          </w:p>
          <w:p w14:paraId="6A928C33">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color w:val="auto"/>
                <w:sz w:val="18"/>
                <w:szCs w:val="18"/>
              </w:rPr>
            </w:pPr>
          </w:p>
          <w:p w14:paraId="131969A8">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color w:val="auto"/>
                <w:sz w:val="18"/>
                <w:szCs w:val="18"/>
              </w:rPr>
            </w:pPr>
          </w:p>
          <w:p w14:paraId="50F6FF70">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color w:val="auto"/>
                <w:sz w:val="18"/>
                <w:szCs w:val="18"/>
              </w:rPr>
            </w:pPr>
            <w:r>
              <w:rPr>
                <w:rFonts w:cs="Times New Roman"/>
                <w:color w:val="auto"/>
                <w:sz w:val="18"/>
                <w:szCs w:val="18"/>
              </w:rPr>
              <w:t>Lata</w:t>
            </w:r>
          </w:p>
          <w:p w14:paraId="2EB24860">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cs="Times New Roman"/>
                <w:color w:val="auto"/>
                <w:sz w:val="18"/>
                <w:szCs w:val="18"/>
              </w:rPr>
            </w:pPr>
          </w:p>
          <w:p w14:paraId="088F58C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eastAsia="SimSun" w:cs="Times New Roman"/>
                <w:color w:val="auto"/>
                <w:kern w:val="3"/>
                <w:sz w:val="18"/>
                <w:szCs w:val="18"/>
                <w:lang w:eastAsia="zh-CN" w:bidi="hi-IN"/>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E4E86B6">
            <w:pPr>
              <w:jc w:val="center"/>
              <w:textAlignment w:val="bottom"/>
              <w:rPr>
                <w:rFonts w:eastAsia="SimSun"/>
                <w:b/>
                <w:bCs/>
                <w:kern w:val="3"/>
                <w:sz w:val="18"/>
                <w:szCs w:val="18"/>
                <w:lang w:eastAsia="zh-CN" w:bidi="hi-IN"/>
              </w:rPr>
            </w:pPr>
            <w:r>
              <w:rPr>
                <w:b/>
                <w:bCs/>
                <w:kern w:val="3"/>
                <w:sz w:val="18"/>
                <w:szCs w:val="18"/>
                <w:lang w:eastAsia="hi-IN" w:bidi="hi-IN"/>
              </w:rPr>
              <w:t>1800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2592F6F2">
            <w:pPr>
              <w:jc w:val="both"/>
              <w:rPr>
                <w:sz w:val="18"/>
                <w:szCs w:val="18"/>
              </w:rPr>
            </w:pPr>
            <w:r>
              <w:rPr>
                <w:b/>
                <w:bCs/>
                <w:sz w:val="18"/>
                <w:szCs w:val="18"/>
              </w:rPr>
              <w:t>SUPLEMENTO ALIMENTAR</w:t>
            </w:r>
            <w:r>
              <w:rPr>
                <w:sz w:val="18"/>
                <w:szCs w:val="18"/>
              </w:rPr>
              <w:t xml:space="preserve"> para lactantes e de seguimento, constituída de aminoácidos elementar, nutricional mente completa, em pó, para crianças com alergias alimentares ou distúrbio da digestão e absorção de de nutrientes. Única fórmula de aminoácidos para crianças com segurança e eficácia comprovadas em pacientes com alergias alimentares. Isenta de proteína láctea, lactose, sacarose, galactose, frutose e glúten. Indicada para crianças de até 01 ano. Deve atender todas as legislações pertinentes de micronutrientes e demanda proteica.</w:t>
            </w:r>
          </w:p>
          <w:p w14:paraId="12185B16">
            <w:pPr>
              <w:jc w:val="both"/>
              <w:rPr>
                <w:sz w:val="18"/>
                <w:szCs w:val="18"/>
              </w:rPr>
            </w:pPr>
            <w:r>
              <w:rPr>
                <w:b/>
                <w:sz w:val="18"/>
                <w:szCs w:val="18"/>
              </w:rPr>
              <w:t>Apresentação</w:t>
            </w:r>
            <w:r>
              <w:rPr>
                <w:sz w:val="18"/>
                <w:szCs w:val="18"/>
              </w:rPr>
              <w:t>: latas contendo 400g, com validade de 75% na data de entrega.</w:t>
            </w:r>
          </w:p>
          <w:p w14:paraId="4B6B252C">
            <w:pPr>
              <w:jc w:val="both"/>
              <w:rPr>
                <w:rFonts w:eastAsia="SimSun"/>
                <w:b/>
                <w:kern w:val="3"/>
                <w:sz w:val="18"/>
                <w:szCs w:val="18"/>
                <w:lang w:eastAsia="zh-CN" w:bidi="hi-IN"/>
              </w:rPr>
            </w:pPr>
            <w:r>
              <w:rPr>
                <w:b/>
                <w:sz w:val="18"/>
                <w:szCs w:val="18"/>
              </w:rPr>
              <w:t>Marca pré-aprovada: Neocate LCP</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87DDC14">
            <w:pPr>
              <w:jc w:val="center"/>
              <w:textAlignment w:val="bottom"/>
              <w:rPr>
                <w:rFonts w:eastAsia="SimSun"/>
                <w:color w:val="000000"/>
                <w:sz w:val="18"/>
                <w:szCs w:val="18"/>
                <w:lang w:eastAsia="zh-CN" w:bidi="ar"/>
              </w:rPr>
            </w:pPr>
            <w:r>
              <w:rPr>
                <w:rFonts w:eastAsia="SimSun"/>
                <w:color w:val="000000"/>
                <w:sz w:val="18"/>
                <w:szCs w:val="18"/>
                <w:lang w:eastAsia="zh-CN" w:bidi="ar"/>
              </w:rPr>
              <w:t>469929</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F70D5F7">
            <w:pPr>
              <w:jc w:val="center"/>
              <w:textAlignment w:val="bottom"/>
              <w:rPr>
                <w:rFonts w:eastAsia="SimSun"/>
                <w:color w:val="000000"/>
                <w:sz w:val="18"/>
                <w:szCs w:val="18"/>
                <w:lang w:eastAsia="zh-CN" w:bidi="ar"/>
              </w:rPr>
            </w:pPr>
            <w:r>
              <w:rPr>
                <w:rFonts w:eastAsia="SimSun"/>
                <w:color w:val="000000"/>
                <w:sz w:val="18"/>
                <w:szCs w:val="18"/>
                <w:lang w:eastAsia="zh-CN" w:bidi="ar"/>
              </w:rPr>
              <w:t>185,80</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6CD3161">
            <w:pPr>
              <w:jc w:val="center"/>
              <w:textAlignment w:val="bottom"/>
              <w:rPr>
                <w:rFonts w:eastAsia="SimSun"/>
                <w:color w:val="000000"/>
                <w:sz w:val="18"/>
                <w:szCs w:val="18"/>
                <w:lang w:eastAsia="zh-CN" w:bidi="ar"/>
              </w:rPr>
            </w:pPr>
            <w:r>
              <w:rPr>
                <w:rFonts w:eastAsia="SimSun"/>
                <w:color w:val="000000"/>
                <w:sz w:val="18"/>
                <w:szCs w:val="18"/>
                <w:lang w:eastAsia="zh-CN" w:bidi="ar"/>
              </w:rPr>
              <w:t>334.440,00</w:t>
            </w:r>
          </w:p>
        </w:tc>
      </w:tr>
      <w:tr w14:paraId="18166C5B">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B1AAC0">
            <w:pPr>
              <w:jc w:val="center"/>
              <w:textAlignment w:val="bottom"/>
              <w:rPr>
                <w:rFonts w:eastAsia="SimSun"/>
                <w:b/>
                <w:bCs/>
                <w:sz w:val="18"/>
                <w:szCs w:val="18"/>
                <w:lang w:eastAsia="zh-CN" w:bidi="ar"/>
              </w:rPr>
            </w:pPr>
            <w:r>
              <w:rPr>
                <w:rFonts w:eastAsia="SimSun"/>
                <w:b/>
                <w:bCs/>
                <w:sz w:val="18"/>
                <w:szCs w:val="18"/>
                <w:lang w:eastAsia="zh-CN" w:bidi="ar"/>
              </w:rPr>
              <w:t>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56F060C4">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eastAsia="SimSun" w:cs="Times New Roman"/>
                <w:color w:val="auto"/>
                <w:kern w:val="3"/>
                <w:sz w:val="18"/>
                <w:szCs w:val="18"/>
                <w:lang w:eastAsia="zh-CN" w:bidi="hi-IN"/>
              </w:rPr>
            </w:pPr>
            <w:r>
              <w:rPr>
                <w:rFonts w:cs="Times New Roman"/>
                <w:color w:val="auto"/>
                <w:sz w:val="18"/>
                <w:szCs w:val="18"/>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EBD10F3">
            <w:pPr>
              <w:jc w:val="center"/>
              <w:textAlignment w:val="bottom"/>
              <w:rPr>
                <w:rFonts w:eastAsia="SimSun"/>
                <w:b/>
                <w:bCs/>
                <w:kern w:val="3"/>
                <w:sz w:val="18"/>
                <w:szCs w:val="18"/>
                <w:lang w:eastAsia="zh-CN" w:bidi="hi-IN"/>
              </w:rPr>
            </w:pPr>
            <w:r>
              <w:rPr>
                <w:b/>
                <w:bCs/>
                <w:kern w:val="3"/>
                <w:sz w:val="18"/>
                <w:szCs w:val="18"/>
                <w:lang w:eastAsia="hi-IN" w:bidi="hi-IN"/>
              </w:rPr>
              <w:t>2500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16401AA3">
            <w:pPr>
              <w:jc w:val="both"/>
              <w:rPr>
                <w:sz w:val="18"/>
                <w:szCs w:val="18"/>
              </w:rPr>
            </w:pPr>
            <w:r>
              <w:rPr>
                <w:b/>
                <w:bCs/>
                <w:sz w:val="18"/>
                <w:szCs w:val="18"/>
              </w:rPr>
              <w:t>FÓRMULA INFANTIL</w:t>
            </w:r>
            <w:r>
              <w:rPr>
                <w:sz w:val="18"/>
                <w:szCs w:val="18"/>
              </w:rPr>
              <w:t xml:space="preserve"> para alergia a proteína do leite de vaca e/ou de soja, sem quadro diarreico. Dieta hipoalergênica, formulada com proteína extensamente hidrolisada para alimentação de lactantes desde o nascimento com alergia às proteínas do leite de vaca que não apresentem diarreia. Possui em sua formulação prebióticos, DHA e ARA e nucleotídeos. Isenta de glúten.</w:t>
            </w:r>
          </w:p>
          <w:p w14:paraId="344AA952">
            <w:pPr>
              <w:jc w:val="both"/>
              <w:rPr>
                <w:sz w:val="18"/>
                <w:szCs w:val="18"/>
              </w:rPr>
            </w:pPr>
            <w:r>
              <w:rPr>
                <w:b/>
                <w:sz w:val="18"/>
                <w:szCs w:val="18"/>
              </w:rPr>
              <w:t>Apresentação:</w:t>
            </w:r>
            <w:r>
              <w:rPr>
                <w:sz w:val="18"/>
                <w:szCs w:val="18"/>
              </w:rPr>
              <w:t xml:space="preserve"> latas contendo 400g, com validade de 75% na data de entrega.</w:t>
            </w:r>
          </w:p>
          <w:p w14:paraId="2F4E7AEB">
            <w:pPr>
              <w:jc w:val="both"/>
              <w:rPr>
                <w:rFonts w:eastAsia="SimSun"/>
                <w:b/>
                <w:kern w:val="3"/>
                <w:sz w:val="18"/>
                <w:szCs w:val="18"/>
                <w:lang w:eastAsia="zh-CN" w:bidi="hi-IN"/>
              </w:rPr>
            </w:pPr>
            <w:r>
              <w:rPr>
                <w:b/>
                <w:sz w:val="18"/>
                <w:szCs w:val="18"/>
              </w:rPr>
              <w:t>Marca pré-aprovadas: AptamilPepti</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CE51D3">
            <w:pPr>
              <w:jc w:val="center"/>
              <w:textAlignment w:val="bottom"/>
              <w:rPr>
                <w:rFonts w:eastAsia="SimSun"/>
                <w:color w:val="000000"/>
                <w:sz w:val="18"/>
                <w:szCs w:val="18"/>
                <w:lang w:eastAsia="zh-CN" w:bidi="ar"/>
              </w:rPr>
            </w:pPr>
            <w:r>
              <w:rPr>
                <w:rFonts w:eastAsia="SimSun"/>
                <w:color w:val="000000"/>
                <w:sz w:val="18"/>
                <w:szCs w:val="18"/>
                <w:lang w:eastAsia="zh-CN" w:bidi="ar"/>
              </w:rPr>
              <w:t>617809</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625FE4B">
            <w:pPr>
              <w:jc w:val="center"/>
              <w:textAlignment w:val="bottom"/>
              <w:rPr>
                <w:rFonts w:eastAsia="SimSun"/>
                <w:color w:val="000000"/>
                <w:lang w:eastAsia="zh-CN" w:bidi="ar"/>
              </w:rPr>
            </w:pPr>
            <w:r>
              <w:rPr>
                <w:rFonts w:eastAsia="SimSun"/>
                <w:color w:val="000000"/>
                <w:lang w:eastAsia="zh-CN" w:bidi="ar"/>
              </w:rPr>
              <w:t>122,95</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A9959C9">
            <w:pPr>
              <w:jc w:val="center"/>
              <w:textAlignment w:val="bottom"/>
              <w:rPr>
                <w:rFonts w:eastAsia="SimSun"/>
                <w:color w:val="000000"/>
                <w:sz w:val="18"/>
                <w:szCs w:val="18"/>
                <w:lang w:eastAsia="zh-CN" w:bidi="ar"/>
              </w:rPr>
            </w:pPr>
            <w:r>
              <w:rPr>
                <w:rFonts w:eastAsia="SimSun"/>
                <w:color w:val="000000"/>
                <w:sz w:val="18"/>
                <w:szCs w:val="18"/>
                <w:lang w:eastAsia="zh-CN" w:bidi="ar"/>
              </w:rPr>
              <w:t>307.375,00</w:t>
            </w:r>
          </w:p>
        </w:tc>
      </w:tr>
      <w:tr w14:paraId="003DCC18">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F47ADF6">
            <w:pPr>
              <w:jc w:val="center"/>
              <w:textAlignment w:val="bottom"/>
              <w:rPr>
                <w:rFonts w:eastAsia="SimSun"/>
                <w:b/>
                <w:bCs/>
                <w:sz w:val="18"/>
                <w:szCs w:val="18"/>
                <w:lang w:eastAsia="zh-CN" w:bidi="ar"/>
              </w:rPr>
            </w:pPr>
            <w:r>
              <w:rPr>
                <w:rFonts w:eastAsia="SimSun"/>
                <w:b/>
                <w:bCs/>
                <w:sz w:val="18"/>
                <w:szCs w:val="18"/>
                <w:lang w:eastAsia="zh-CN" w:bidi="ar"/>
              </w:rPr>
              <w:t>3</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6BE9741B">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eastAsia="SimSun" w:cs="Times New Roman"/>
                <w:color w:val="auto"/>
                <w:kern w:val="3"/>
                <w:sz w:val="18"/>
                <w:szCs w:val="18"/>
                <w:lang w:eastAsia="zh-CN" w:bidi="hi-IN"/>
              </w:rPr>
            </w:pPr>
            <w:r>
              <w:rPr>
                <w:rFonts w:cs="Times New Roman"/>
                <w:color w:val="auto"/>
                <w:sz w:val="18"/>
                <w:szCs w:val="18"/>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18236C">
            <w:pPr>
              <w:jc w:val="center"/>
              <w:textAlignment w:val="bottom"/>
              <w:rPr>
                <w:rFonts w:eastAsia="SimSun"/>
                <w:b/>
                <w:bCs/>
                <w:kern w:val="3"/>
                <w:sz w:val="18"/>
                <w:szCs w:val="18"/>
                <w:lang w:eastAsia="zh-CN" w:bidi="hi-IN"/>
              </w:rPr>
            </w:pPr>
            <w:r>
              <w:rPr>
                <w:b/>
                <w:bCs/>
                <w:kern w:val="3"/>
                <w:sz w:val="18"/>
                <w:szCs w:val="18"/>
                <w:lang w:eastAsia="hi-IN" w:bidi="hi-IN"/>
              </w:rPr>
              <w:t>3800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1713CA91">
            <w:pPr>
              <w:jc w:val="both"/>
              <w:rPr>
                <w:sz w:val="18"/>
                <w:szCs w:val="18"/>
              </w:rPr>
            </w:pPr>
            <w:r>
              <w:rPr>
                <w:b/>
                <w:bCs/>
                <w:sz w:val="18"/>
                <w:szCs w:val="18"/>
              </w:rPr>
              <w:t>FÓRMULA INFANTIL</w:t>
            </w:r>
            <w:r>
              <w:rPr>
                <w:sz w:val="18"/>
                <w:szCs w:val="18"/>
              </w:rPr>
              <w:t xml:space="preserve"> para alergia à proteína do leite de vaca o/ou soja distúrbios absortivos ou outras condições clínicas que requerem terapia nutricional com dieta ou fórmula semielementar e hipoalergênica.</w:t>
            </w:r>
          </w:p>
          <w:p w14:paraId="6D4ED88B">
            <w:pPr>
              <w:jc w:val="both"/>
              <w:rPr>
                <w:sz w:val="18"/>
                <w:szCs w:val="18"/>
              </w:rPr>
            </w:pPr>
            <w:r>
              <w:rPr>
                <w:sz w:val="18"/>
                <w:szCs w:val="18"/>
              </w:rPr>
              <w:t>Dieta semi-elementar e hipoalergênica, à base de proteína extensamente hidrolisada de soro de leite, TCM, óleos vegetais, de Mortierella alpina e de peixe; maltodextrina, vitaminas, minerais, nucleotídes e oligoelementos. Apresenta baixa osmoralidade, ótima tolerabilidade e aceitação. 100% proteína extensamente hidrolisada do solro do leite. Isento de lactose, sacarose, frutose e glúten.</w:t>
            </w:r>
          </w:p>
          <w:p w14:paraId="04D62B5C">
            <w:pPr>
              <w:jc w:val="both"/>
              <w:rPr>
                <w:sz w:val="18"/>
                <w:szCs w:val="18"/>
              </w:rPr>
            </w:pPr>
            <w:r>
              <w:rPr>
                <w:b/>
                <w:sz w:val="18"/>
                <w:szCs w:val="18"/>
              </w:rPr>
              <w:t>Apresentação:</w:t>
            </w:r>
            <w:r>
              <w:rPr>
                <w:sz w:val="18"/>
                <w:szCs w:val="18"/>
              </w:rPr>
              <w:t xml:space="preserve"> latas contendo 400g, com validade de 24 meses da   data de entrega.</w:t>
            </w:r>
          </w:p>
          <w:p w14:paraId="274A1A67">
            <w:pPr>
              <w:jc w:val="both"/>
              <w:rPr>
                <w:rFonts w:eastAsia="SimSun"/>
                <w:b/>
                <w:kern w:val="3"/>
                <w:sz w:val="18"/>
                <w:szCs w:val="18"/>
                <w:lang w:eastAsia="zh-CN" w:bidi="hi-IN"/>
              </w:rPr>
            </w:pPr>
            <w:r>
              <w:rPr>
                <w:b/>
                <w:sz w:val="18"/>
                <w:szCs w:val="18"/>
              </w:rPr>
              <w:t>Marca pré-aprovada: PregominPepti</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0E39AD0">
            <w:pPr>
              <w:jc w:val="center"/>
              <w:textAlignment w:val="bottom"/>
              <w:rPr>
                <w:rFonts w:eastAsia="SimSun"/>
                <w:color w:val="000000"/>
                <w:sz w:val="18"/>
                <w:szCs w:val="18"/>
                <w:lang w:eastAsia="zh-CN" w:bidi="ar"/>
              </w:rPr>
            </w:pPr>
            <w:r>
              <w:rPr>
                <w:rFonts w:eastAsia="SimSun"/>
                <w:color w:val="000000"/>
                <w:sz w:val="18"/>
                <w:szCs w:val="18"/>
                <w:lang w:eastAsia="zh-CN" w:bidi="ar"/>
              </w:rPr>
              <w:t>618654</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6B6FCA6">
            <w:pPr>
              <w:jc w:val="center"/>
              <w:textAlignment w:val="bottom"/>
              <w:rPr>
                <w:rFonts w:eastAsia="SimSun"/>
                <w:color w:val="000000"/>
                <w:lang w:eastAsia="zh-CN" w:bidi="ar"/>
              </w:rPr>
            </w:pPr>
            <w:r>
              <w:rPr>
                <w:rFonts w:eastAsia="SimSun"/>
                <w:color w:val="000000"/>
                <w:lang w:eastAsia="zh-CN" w:bidi="ar"/>
              </w:rPr>
              <w:t>153,90</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507330A">
            <w:pPr>
              <w:jc w:val="center"/>
              <w:textAlignment w:val="bottom"/>
              <w:rPr>
                <w:rFonts w:eastAsia="SimSun"/>
                <w:color w:val="000000"/>
                <w:sz w:val="18"/>
                <w:szCs w:val="18"/>
                <w:lang w:eastAsia="zh-CN" w:bidi="ar"/>
              </w:rPr>
            </w:pPr>
            <w:r>
              <w:rPr>
                <w:rFonts w:eastAsia="SimSun"/>
                <w:color w:val="000000"/>
                <w:sz w:val="18"/>
                <w:szCs w:val="18"/>
                <w:lang w:eastAsia="zh-CN" w:bidi="ar"/>
              </w:rPr>
              <w:t>584.820,00</w:t>
            </w:r>
          </w:p>
        </w:tc>
      </w:tr>
      <w:tr w14:paraId="2671A2BA">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DCB76CE">
            <w:pPr>
              <w:jc w:val="center"/>
              <w:textAlignment w:val="bottom"/>
              <w:rPr>
                <w:rFonts w:eastAsia="SimSun"/>
                <w:b/>
                <w:bCs/>
                <w:sz w:val="18"/>
                <w:szCs w:val="18"/>
                <w:lang w:eastAsia="zh-CN" w:bidi="ar"/>
              </w:rPr>
            </w:pPr>
            <w:r>
              <w:rPr>
                <w:rFonts w:eastAsia="SimSun"/>
                <w:b/>
                <w:bCs/>
                <w:sz w:val="18"/>
                <w:szCs w:val="18"/>
                <w:lang w:eastAsia="zh-CN" w:bidi="ar"/>
              </w:rPr>
              <w:t>4</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61999E9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eastAsia="SimSun" w:cs="Times New Roman"/>
                <w:color w:val="auto"/>
                <w:kern w:val="3"/>
                <w:sz w:val="18"/>
                <w:szCs w:val="18"/>
                <w:lang w:eastAsia="zh-CN" w:bidi="hi-IN"/>
              </w:rPr>
            </w:pPr>
            <w:r>
              <w:rPr>
                <w:rFonts w:cs="Times New Roman"/>
                <w:color w:val="auto"/>
                <w:sz w:val="18"/>
                <w:szCs w:val="18"/>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D66FD32">
            <w:pPr>
              <w:jc w:val="center"/>
              <w:textAlignment w:val="bottom"/>
              <w:rPr>
                <w:rFonts w:eastAsia="SimSun"/>
                <w:b/>
                <w:bCs/>
                <w:kern w:val="3"/>
                <w:sz w:val="18"/>
                <w:szCs w:val="18"/>
                <w:lang w:eastAsia="zh-CN" w:bidi="hi-IN"/>
              </w:rPr>
            </w:pPr>
            <w:r>
              <w:rPr>
                <w:b/>
                <w:bCs/>
                <w:kern w:val="3"/>
                <w:sz w:val="18"/>
                <w:szCs w:val="18"/>
                <w:lang w:eastAsia="hi-IN" w:bidi="hi-IN"/>
              </w:rPr>
              <w:t>300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530C5349">
            <w:pPr>
              <w:jc w:val="both"/>
              <w:rPr>
                <w:sz w:val="18"/>
                <w:szCs w:val="18"/>
              </w:rPr>
            </w:pPr>
            <w:r>
              <w:rPr>
                <w:b/>
                <w:bCs/>
                <w:sz w:val="18"/>
                <w:szCs w:val="18"/>
              </w:rPr>
              <w:t>FORMULA INFANTIL</w:t>
            </w:r>
            <w:r>
              <w:rPr>
                <w:sz w:val="18"/>
                <w:szCs w:val="18"/>
              </w:rPr>
              <w:t xml:space="preserve"> para lactantes e de seguimento para lactantes e crianças de primeira infância destinada a necessidades dietoterápicas especificas com 1 Kcal/ml. Uma formula polimérica, hipercalórica e nutricionalmente completa indicada para alimentação oral ou enteral de crianças de 0 a 3 anos de idade.</w:t>
            </w:r>
          </w:p>
          <w:p w14:paraId="1AE3F57B">
            <w:pPr>
              <w:jc w:val="both"/>
              <w:rPr>
                <w:sz w:val="18"/>
                <w:szCs w:val="18"/>
              </w:rPr>
            </w:pPr>
            <w:r>
              <w:rPr>
                <w:sz w:val="18"/>
                <w:szCs w:val="18"/>
              </w:rPr>
              <w:t>Formula adicionada de LCPufas (ARA/DHA), nucleotídeos, beta-caroteno e prebióticos (GOS/FOS). Isento de sacarose. Não contém glúten.</w:t>
            </w:r>
          </w:p>
          <w:p w14:paraId="364D40FB">
            <w:pPr>
              <w:jc w:val="both"/>
              <w:rPr>
                <w:sz w:val="18"/>
                <w:szCs w:val="18"/>
              </w:rPr>
            </w:pPr>
            <w:r>
              <w:rPr>
                <w:b/>
                <w:sz w:val="18"/>
                <w:szCs w:val="18"/>
              </w:rPr>
              <w:t>Apresentação:</w:t>
            </w:r>
            <w:r>
              <w:rPr>
                <w:sz w:val="18"/>
                <w:szCs w:val="18"/>
              </w:rPr>
              <w:t xml:space="preserve"> latas contendo 400g, com validade de 75% na data de entrega.</w:t>
            </w:r>
          </w:p>
          <w:p w14:paraId="4CC2BA18">
            <w:pPr>
              <w:jc w:val="both"/>
              <w:rPr>
                <w:rFonts w:eastAsia="SimSun"/>
                <w:b/>
                <w:kern w:val="3"/>
                <w:sz w:val="18"/>
                <w:szCs w:val="18"/>
                <w:lang w:eastAsia="zh-CN" w:bidi="hi-IN"/>
              </w:rPr>
            </w:pPr>
            <w:r>
              <w:rPr>
                <w:b/>
                <w:sz w:val="18"/>
                <w:szCs w:val="18"/>
              </w:rPr>
              <w:t xml:space="preserve">Marca pré-aprovada: Infatrini Pó  </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6A0D8C">
            <w:pPr>
              <w:jc w:val="center"/>
              <w:textAlignment w:val="bottom"/>
              <w:rPr>
                <w:rFonts w:eastAsia="SimSun"/>
                <w:color w:val="000000"/>
                <w:sz w:val="18"/>
                <w:szCs w:val="18"/>
                <w:lang w:eastAsia="zh-CN" w:bidi="ar"/>
              </w:rPr>
            </w:pPr>
            <w:r>
              <w:rPr>
                <w:rFonts w:eastAsia="SimSun"/>
                <w:color w:val="000000"/>
                <w:sz w:val="18"/>
                <w:szCs w:val="18"/>
                <w:lang w:eastAsia="zh-CN" w:bidi="ar"/>
              </w:rPr>
              <w:t>485142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096A41A">
            <w:pPr>
              <w:jc w:val="center"/>
              <w:textAlignment w:val="bottom"/>
              <w:rPr>
                <w:rFonts w:eastAsia="SimSun"/>
                <w:color w:val="000000"/>
                <w:sz w:val="18"/>
                <w:szCs w:val="18"/>
                <w:lang w:eastAsia="zh-CN" w:bidi="ar"/>
              </w:rPr>
            </w:pPr>
            <w:r>
              <w:rPr>
                <w:rFonts w:eastAsia="SimSun"/>
                <w:color w:val="000000"/>
                <w:sz w:val="18"/>
                <w:szCs w:val="18"/>
                <w:lang w:eastAsia="zh-CN" w:bidi="ar"/>
              </w:rPr>
              <w:t>174,15</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E225708">
            <w:pPr>
              <w:jc w:val="center"/>
              <w:textAlignment w:val="bottom"/>
              <w:rPr>
                <w:rFonts w:eastAsia="SimSun"/>
                <w:color w:val="000000"/>
                <w:sz w:val="18"/>
                <w:szCs w:val="18"/>
                <w:lang w:eastAsia="zh-CN" w:bidi="ar"/>
              </w:rPr>
            </w:pPr>
            <w:r>
              <w:rPr>
                <w:rFonts w:eastAsia="SimSun"/>
                <w:color w:val="000000"/>
                <w:sz w:val="18"/>
                <w:szCs w:val="18"/>
                <w:lang w:eastAsia="zh-CN" w:bidi="ar"/>
              </w:rPr>
              <w:t>52.245,00</w:t>
            </w:r>
          </w:p>
        </w:tc>
      </w:tr>
      <w:tr w14:paraId="74AA13A2">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7C84B9">
            <w:pPr>
              <w:jc w:val="center"/>
              <w:textAlignment w:val="bottom"/>
              <w:rPr>
                <w:rFonts w:eastAsia="SimSun"/>
                <w:b/>
                <w:bCs/>
                <w:sz w:val="18"/>
                <w:szCs w:val="18"/>
                <w:lang w:eastAsia="zh-CN" w:bidi="ar"/>
              </w:rPr>
            </w:pPr>
            <w:r>
              <w:rPr>
                <w:rFonts w:eastAsia="SimSun"/>
                <w:b/>
                <w:bCs/>
                <w:sz w:val="18"/>
                <w:szCs w:val="18"/>
                <w:lang w:eastAsia="zh-CN" w:bidi="ar"/>
              </w:rPr>
              <w:t>5</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73FC8E29">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ascii="Times New Roman" w:hAnsi="Times New Roman" w:eastAsia="SimSun" w:cs="Times New Roman"/>
                <w:color w:val="auto"/>
                <w:kern w:val="3"/>
                <w:sz w:val="18"/>
                <w:szCs w:val="18"/>
                <w:lang w:eastAsia="zh-CN" w:bidi="hi-IN"/>
              </w:rPr>
            </w:pPr>
            <w:r>
              <w:rPr>
                <w:rFonts w:cs="Times New Roman"/>
                <w:color w:val="auto"/>
                <w:sz w:val="18"/>
                <w:szCs w:val="18"/>
              </w:rPr>
              <w:t>Lata</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AE6BCE5">
            <w:pPr>
              <w:jc w:val="center"/>
              <w:textAlignment w:val="bottom"/>
              <w:rPr>
                <w:rFonts w:eastAsia="SimSun"/>
                <w:b/>
                <w:bCs/>
                <w:kern w:val="3"/>
                <w:sz w:val="18"/>
                <w:szCs w:val="18"/>
                <w:lang w:eastAsia="zh-CN" w:bidi="hi-IN"/>
              </w:rPr>
            </w:pPr>
            <w:r>
              <w:rPr>
                <w:b/>
                <w:bCs/>
                <w:kern w:val="3"/>
                <w:sz w:val="18"/>
                <w:szCs w:val="18"/>
                <w:lang w:eastAsia="hi-IN" w:bidi="hi-IN"/>
              </w:rPr>
              <w:t>1500</w:t>
            </w: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40E97CBA">
            <w:pPr>
              <w:jc w:val="both"/>
              <w:rPr>
                <w:sz w:val="18"/>
                <w:szCs w:val="18"/>
              </w:rPr>
            </w:pPr>
            <w:r>
              <w:rPr>
                <w:sz w:val="18"/>
                <w:szCs w:val="18"/>
              </w:rPr>
              <w:t>Formula alimentar hipoercalorica de 1,5kcal/ml para idade de 3 a 10 anos</w:t>
            </w:r>
          </w:p>
          <w:p w14:paraId="5862B5C0">
            <w:pPr>
              <w:jc w:val="both"/>
              <w:rPr>
                <w:sz w:val="18"/>
                <w:szCs w:val="18"/>
              </w:rPr>
            </w:pPr>
            <w:r>
              <w:rPr>
                <w:b/>
                <w:bCs/>
                <w:sz w:val="18"/>
                <w:szCs w:val="18"/>
              </w:rPr>
              <w:t xml:space="preserve">Apresentação: </w:t>
            </w:r>
            <w:r>
              <w:rPr>
                <w:sz w:val="18"/>
                <w:szCs w:val="18"/>
              </w:rPr>
              <w:t>lata com 400g, com validade minima de 75% a contar da data de entrega</w:t>
            </w:r>
          </w:p>
          <w:p w14:paraId="5DE359D8">
            <w:pPr>
              <w:jc w:val="both"/>
              <w:rPr>
                <w:rFonts w:eastAsia="SimSun"/>
                <w:b/>
                <w:bCs/>
                <w:kern w:val="3"/>
                <w:sz w:val="18"/>
                <w:szCs w:val="18"/>
                <w:shd w:val="clear" w:color="auto" w:fill="FFFFFF"/>
                <w:lang w:eastAsia="zh-CN" w:bidi="hi-IN"/>
              </w:rPr>
            </w:pPr>
            <w:r>
              <w:rPr>
                <w:b/>
                <w:sz w:val="18"/>
                <w:szCs w:val="18"/>
                <w:shd w:val="clear" w:color="auto" w:fill="FFFFFF"/>
              </w:rPr>
              <w:t>Marca: Fortini Plus</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5FA9E2A">
            <w:pPr>
              <w:jc w:val="center"/>
              <w:textAlignment w:val="bottom"/>
              <w:rPr>
                <w:rFonts w:eastAsia="SimSun"/>
                <w:color w:val="000000"/>
                <w:sz w:val="18"/>
                <w:szCs w:val="18"/>
                <w:lang w:eastAsia="zh-CN" w:bidi="ar"/>
              </w:rPr>
            </w:pPr>
            <w:r>
              <w:rPr>
                <w:rFonts w:eastAsia="SimSun"/>
                <w:color w:val="000000"/>
                <w:sz w:val="18"/>
                <w:szCs w:val="18"/>
                <w:lang w:eastAsia="zh-CN" w:bidi="ar"/>
              </w:rPr>
              <w:t>465751</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A92A446">
            <w:pPr>
              <w:jc w:val="center"/>
              <w:textAlignment w:val="bottom"/>
              <w:rPr>
                <w:rFonts w:eastAsia="SimSun"/>
                <w:color w:val="000000"/>
                <w:sz w:val="18"/>
                <w:szCs w:val="18"/>
                <w:lang w:eastAsia="zh-CN" w:bidi="ar"/>
              </w:rPr>
            </w:pPr>
            <w:r>
              <w:rPr>
                <w:rFonts w:eastAsia="SimSun"/>
                <w:color w:val="000000"/>
                <w:sz w:val="18"/>
                <w:szCs w:val="18"/>
                <w:lang w:eastAsia="zh-CN" w:bidi="ar"/>
              </w:rPr>
              <w:t>58,80</w:t>
            </w: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6B4E460">
            <w:pPr>
              <w:jc w:val="center"/>
              <w:textAlignment w:val="bottom"/>
              <w:rPr>
                <w:rFonts w:eastAsia="SimSun"/>
                <w:color w:val="000000"/>
                <w:sz w:val="18"/>
                <w:szCs w:val="18"/>
                <w:lang w:eastAsia="zh-CN" w:bidi="ar"/>
              </w:rPr>
            </w:pPr>
            <w:r>
              <w:rPr>
                <w:rFonts w:eastAsia="SimSun"/>
                <w:color w:val="000000"/>
                <w:sz w:val="18"/>
                <w:szCs w:val="18"/>
                <w:lang w:eastAsia="zh-CN" w:bidi="ar"/>
              </w:rPr>
              <w:t>88.200,00</w:t>
            </w:r>
          </w:p>
        </w:tc>
      </w:tr>
      <w:tr w14:paraId="73195014">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BC0291C">
            <w:pPr>
              <w:jc w:val="center"/>
              <w:textAlignment w:val="bottom"/>
              <w:rPr>
                <w:b/>
                <w:bCs/>
                <w:sz w:val="18"/>
                <w:szCs w:val="18"/>
                <w:lang w:eastAsia="zh-CN" w:bidi="ar"/>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tcPr>
          <w:p w14:paraId="55F5E95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auto"/>
                <w:sz w:val="18"/>
                <w:szCs w:val="18"/>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6069EF4">
            <w:pPr>
              <w:jc w:val="center"/>
              <w:textAlignment w:val="bottom"/>
              <w:rPr>
                <w:b/>
                <w:bCs/>
                <w:kern w:val="3"/>
                <w:sz w:val="18"/>
                <w:szCs w:val="18"/>
                <w:lang w:eastAsia="hi-IN" w:bidi="hi-IN"/>
              </w:rPr>
            </w:pPr>
          </w:p>
        </w:tc>
        <w:tc>
          <w:tcPr>
            <w:tcW w:w="5845" w:type="dxa"/>
            <w:tcBorders>
              <w:top w:val="single" w:color="000000" w:sz="2" w:space="0"/>
              <w:left w:val="single" w:color="000000" w:sz="2" w:space="0"/>
              <w:bottom w:val="single" w:color="000000" w:sz="2" w:space="0"/>
              <w:right w:val="single" w:color="000000" w:sz="2" w:space="0"/>
            </w:tcBorders>
            <w:shd w:val="clear" w:color="auto" w:fill="auto"/>
            <w:noWrap/>
          </w:tcPr>
          <w:p w14:paraId="570CCE61">
            <w:pPr>
              <w:jc w:val="both"/>
              <w:rPr>
                <w:b/>
                <w:sz w:val="18"/>
                <w:szCs w:val="18"/>
                <w:shd w:val="clear" w:color="auto" w:fill="FFFFFF"/>
              </w:rPr>
            </w:pPr>
          </w:p>
          <w:p w14:paraId="215653FB">
            <w:pPr>
              <w:jc w:val="both"/>
              <w:rPr>
                <w:b/>
                <w:sz w:val="18"/>
                <w:szCs w:val="18"/>
                <w:shd w:val="clear" w:color="auto" w:fill="FFFFFF"/>
              </w:rPr>
            </w:pPr>
          </w:p>
          <w:p w14:paraId="07E07783">
            <w:pPr>
              <w:jc w:val="both"/>
              <w:rPr>
                <w:b/>
                <w:sz w:val="18"/>
                <w:szCs w:val="18"/>
                <w:shd w:val="clear" w:color="auto" w:fill="FFFFFF"/>
              </w:rPr>
            </w:pPr>
            <w:r>
              <w:rPr>
                <w:b/>
                <w:sz w:val="18"/>
                <w:szCs w:val="18"/>
                <w:shd w:val="clear" w:color="auto" w:fill="FFFFFF"/>
              </w:rPr>
              <w:t>Total</w:t>
            </w:r>
          </w:p>
        </w:tc>
        <w:tc>
          <w:tcPr>
            <w:tcW w:w="91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955A053">
            <w:pPr>
              <w:jc w:val="center"/>
              <w:textAlignment w:val="bottom"/>
              <w:rPr>
                <w:rFonts w:eastAsia="SimSun"/>
                <w:color w:val="000000"/>
                <w:sz w:val="18"/>
                <w:szCs w:val="18"/>
                <w:lang w:eastAsia="zh-CN" w:bidi="ar"/>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4F471C8">
            <w:pPr>
              <w:jc w:val="center"/>
              <w:textAlignment w:val="bottom"/>
              <w:rPr>
                <w:rFonts w:eastAsia="SimSun"/>
                <w:color w:val="000000"/>
                <w:sz w:val="18"/>
                <w:szCs w:val="18"/>
                <w:lang w:eastAsia="zh-CN" w:bidi="ar"/>
              </w:rPr>
            </w:pPr>
          </w:p>
        </w:tc>
        <w:tc>
          <w:tcPr>
            <w:tcW w:w="121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0BDF97E">
            <w:pPr>
              <w:jc w:val="center"/>
              <w:textAlignment w:val="bottom"/>
              <w:rPr>
                <w:rFonts w:eastAsia="SimSun"/>
                <w:color w:val="000000"/>
                <w:sz w:val="18"/>
                <w:szCs w:val="18"/>
                <w:lang w:eastAsia="zh-CN" w:bidi="ar"/>
              </w:rPr>
            </w:pPr>
            <w:r>
              <w:rPr>
                <w:rFonts w:eastAsia="SimSun"/>
                <w:color w:val="000000"/>
                <w:sz w:val="18"/>
                <w:szCs w:val="18"/>
                <w:lang w:eastAsia="zh-CN" w:bidi="ar"/>
              </w:rPr>
              <w:t>1.367.080,00</w:t>
            </w:r>
          </w:p>
        </w:tc>
      </w:tr>
    </w:tbl>
    <w:p w14:paraId="2D221264">
      <w:pPr>
        <w:jc w:val="center"/>
        <w:rPr>
          <w:rFonts w:eastAsia="Cambria Math"/>
          <w:b/>
          <w:color w:val="C00000"/>
          <w:szCs w:val="24"/>
        </w:rPr>
      </w:pPr>
    </w:p>
    <w:p w14:paraId="0F285B60">
      <w:pPr>
        <w:jc w:val="center"/>
        <w:rPr>
          <w:rFonts w:eastAsia="Cambria Math"/>
          <w:b/>
          <w:color w:val="C00000"/>
          <w:szCs w:val="24"/>
        </w:rPr>
      </w:pPr>
    </w:p>
    <w:p w14:paraId="1A462B93">
      <w:pPr>
        <w:jc w:val="center"/>
        <w:rPr>
          <w:rFonts w:eastAsia="Cambria Math"/>
          <w:b/>
          <w:color w:val="C00000"/>
          <w:szCs w:val="24"/>
        </w:rPr>
      </w:pPr>
    </w:p>
    <w:p w14:paraId="110254A3">
      <w:pPr>
        <w:jc w:val="both"/>
        <w:rPr>
          <w:rFonts w:eastAsia="Cambria Math"/>
          <w:b/>
          <w:sz w:val="24"/>
          <w:szCs w:val="24"/>
        </w:rPr>
      </w:pPr>
      <w:r>
        <w:rPr>
          <w:rFonts w:eastAsia="Cambria Math"/>
          <w:b/>
          <w:sz w:val="24"/>
          <w:szCs w:val="24"/>
        </w:rPr>
        <w:t>7 - ESTIMATIVAS DE PREÇOS OU PREÇOS REFERENCIAIS</w:t>
      </w:r>
    </w:p>
    <w:p w14:paraId="2175A777">
      <w:pPr>
        <w:jc w:val="both"/>
        <w:rPr>
          <w:rFonts w:eastAsia="Cambria Math"/>
          <w:sz w:val="24"/>
          <w:szCs w:val="24"/>
        </w:rPr>
      </w:pPr>
    </w:p>
    <w:p w14:paraId="39A64730">
      <w:pPr>
        <w:spacing w:line="360" w:lineRule="auto"/>
        <w:jc w:val="both"/>
        <w:rPr>
          <w:sz w:val="24"/>
          <w:szCs w:val="24"/>
        </w:rPr>
      </w:pPr>
      <w:r>
        <w:rPr>
          <w:sz w:val="24"/>
          <w:szCs w:val="24"/>
        </w:rPr>
        <w:t>A estimativa de preços da contratação será compatível com valores praticados no mercado considerados os preços constantes de bancos de dados públicos e as quantidades a serem contratadas, observada a potencial economia de escala e as peculiaridades do local de execução do objeto</w:t>
      </w:r>
    </w:p>
    <w:p w14:paraId="3B05D6CD">
      <w:pPr>
        <w:spacing w:line="360" w:lineRule="auto"/>
        <w:jc w:val="both"/>
        <w:rPr>
          <w:sz w:val="24"/>
          <w:szCs w:val="24"/>
        </w:rPr>
      </w:pPr>
      <w:r>
        <w:rPr>
          <w:sz w:val="24"/>
          <w:szCs w:val="24"/>
        </w:rPr>
        <w:t>O custo estimado total da contratação pelo menor preço é de R$ 1.367.080,00 (um milhão trezentos e sessenta e sete mil e oitenta reais), conforme custos avaliados através de pesquisa de preço realizada.</w:t>
      </w:r>
    </w:p>
    <w:p w14:paraId="6A0E528F">
      <w:pPr>
        <w:spacing w:line="360" w:lineRule="auto"/>
        <w:ind w:firstLine="662"/>
        <w:jc w:val="both"/>
        <w:rPr>
          <w:sz w:val="24"/>
          <w:szCs w:val="24"/>
        </w:rPr>
      </w:pPr>
    </w:p>
    <w:p w14:paraId="42821ADB">
      <w:pPr>
        <w:jc w:val="both"/>
        <w:rPr>
          <w:rFonts w:eastAsia="Cambria Math"/>
          <w:b/>
          <w:szCs w:val="24"/>
        </w:rPr>
      </w:pPr>
      <w:r>
        <w:rPr>
          <w:rFonts w:eastAsia="Cambria Math"/>
          <w:b/>
          <w:szCs w:val="24"/>
        </w:rPr>
        <w:t>8 - DESCRIÇÃO DA NECESSIDADE COMO UM TODO</w:t>
      </w:r>
    </w:p>
    <w:p w14:paraId="144D1469">
      <w:pPr>
        <w:jc w:val="both"/>
        <w:rPr>
          <w:rFonts w:eastAsia="Cambria Math"/>
          <w:b/>
          <w:szCs w:val="24"/>
        </w:rPr>
      </w:pPr>
    </w:p>
    <w:p w14:paraId="6C14B33E">
      <w:pPr>
        <w:pStyle w:val="24"/>
        <w:spacing w:line="360" w:lineRule="auto"/>
        <w:jc w:val="both"/>
      </w:pPr>
      <w:r>
        <w:t>Trata-se de demanda essencial e inadiável, destinada a suprir necessidades nutricionais específicas de pacientes em situação de vulnerabilidade social, muitos dos quais portadores de condições clínicas que exigem dietas especiais, prescritas por profissionais de saúde. Ademais, a contratação visa assegurar o cumprimento de determinações judiciais que impõem ao ente público o fornecimento imediato desses produtos, evitando prejuízos à saúde dos pacientes e eventuais sanções legais decorrentes do descumprimento.</w:t>
      </w:r>
    </w:p>
    <w:p w14:paraId="712D4D14">
      <w:pPr>
        <w:pStyle w:val="24"/>
        <w:spacing w:line="360" w:lineRule="auto"/>
        <w:jc w:val="both"/>
      </w:pPr>
      <w:r>
        <w:t>A aquisição  justifica-se pela necessidade de reposição dos estoques e pela necessidade de evitar a descontinuidade do fornecimento, o que poderia acarretar agravamento do quadro clínico dos beneficiários. Dessa forma, a medida busca garantir a proteção do direito fundamental à saúde, bem como assegurar a observância dos princípios da dignidade da pessoa humana, da eficiência administrativa e da continuidade do serviço público.</w:t>
      </w:r>
    </w:p>
    <w:p w14:paraId="71F2E655">
      <w:pPr>
        <w:pStyle w:val="24"/>
        <w:spacing w:line="360" w:lineRule="auto"/>
        <w:jc w:val="both"/>
      </w:pPr>
    </w:p>
    <w:p w14:paraId="0E7B44A4">
      <w:pPr>
        <w:spacing w:line="360" w:lineRule="auto"/>
        <w:jc w:val="both"/>
        <w:rPr>
          <w:rFonts w:eastAsia="Cambria Math"/>
          <w:b/>
          <w:sz w:val="24"/>
          <w:szCs w:val="24"/>
        </w:rPr>
      </w:pPr>
      <w:r>
        <w:rPr>
          <w:rFonts w:eastAsia="Cambria Math"/>
          <w:b/>
          <w:sz w:val="24"/>
          <w:szCs w:val="24"/>
        </w:rPr>
        <w:t>9 - JUSTIFICATIVA PARA PARCELAMENTO</w:t>
      </w:r>
    </w:p>
    <w:p w14:paraId="2A050180">
      <w:pPr>
        <w:spacing w:line="360" w:lineRule="auto"/>
        <w:jc w:val="both"/>
        <w:rPr>
          <w:rFonts w:eastAsia="SimSun"/>
          <w:sz w:val="24"/>
          <w:szCs w:val="24"/>
        </w:rPr>
      </w:pPr>
      <w:r>
        <w:rPr>
          <w:rFonts w:eastAsia="SimSun"/>
          <w:sz w:val="24"/>
          <w:szCs w:val="24"/>
        </w:rPr>
        <w:t>Não há</w:t>
      </w:r>
    </w:p>
    <w:p w14:paraId="1D174EA3">
      <w:pPr>
        <w:spacing w:line="360" w:lineRule="auto"/>
        <w:jc w:val="both"/>
        <w:rPr>
          <w:rFonts w:eastAsia="SimSun"/>
          <w:sz w:val="24"/>
          <w:szCs w:val="24"/>
        </w:rPr>
      </w:pPr>
    </w:p>
    <w:p w14:paraId="22309377">
      <w:pPr>
        <w:shd w:val="clear" w:color="auto" w:fill="FFFFFF"/>
        <w:spacing w:line="360" w:lineRule="auto"/>
        <w:jc w:val="both"/>
        <w:rPr>
          <w:b/>
          <w:sz w:val="24"/>
          <w:szCs w:val="24"/>
        </w:rPr>
      </w:pPr>
      <w:r>
        <w:rPr>
          <w:b/>
          <w:sz w:val="24"/>
          <w:szCs w:val="24"/>
        </w:rPr>
        <w:t>10 -  CONTRATAÇÕES CORRELATAS/INTERDEPENDENTES</w:t>
      </w:r>
    </w:p>
    <w:p w14:paraId="3C960450">
      <w:pPr>
        <w:shd w:val="clear" w:color="auto" w:fill="FFFFFF"/>
        <w:spacing w:line="360" w:lineRule="auto"/>
        <w:jc w:val="both"/>
        <w:rPr>
          <w:sz w:val="24"/>
          <w:szCs w:val="24"/>
        </w:rPr>
      </w:pPr>
      <w:r>
        <w:rPr>
          <w:sz w:val="24"/>
          <w:szCs w:val="24"/>
        </w:rPr>
        <w:t>Não existe.</w:t>
      </w:r>
    </w:p>
    <w:p w14:paraId="623040DC">
      <w:pPr>
        <w:shd w:val="clear" w:color="auto" w:fill="FFFFFF"/>
        <w:spacing w:line="360" w:lineRule="auto"/>
        <w:jc w:val="both"/>
        <w:rPr>
          <w:sz w:val="24"/>
          <w:szCs w:val="24"/>
        </w:rPr>
      </w:pPr>
    </w:p>
    <w:p w14:paraId="703522EB">
      <w:pPr>
        <w:shd w:val="clear" w:color="auto" w:fill="FFFFFF"/>
        <w:spacing w:line="360" w:lineRule="auto"/>
        <w:jc w:val="both"/>
        <w:rPr>
          <w:b/>
          <w:sz w:val="24"/>
          <w:szCs w:val="24"/>
        </w:rPr>
      </w:pPr>
      <w:r>
        <w:rPr>
          <w:b/>
          <w:sz w:val="24"/>
          <w:szCs w:val="24"/>
        </w:rPr>
        <w:t>11 – IMPACTOS AMBIENTAIS</w:t>
      </w:r>
    </w:p>
    <w:p w14:paraId="418979E5">
      <w:pPr>
        <w:shd w:val="clear" w:color="auto" w:fill="FFFFFF"/>
        <w:spacing w:line="360" w:lineRule="auto"/>
        <w:rPr>
          <w:sz w:val="24"/>
          <w:szCs w:val="24"/>
        </w:rPr>
      </w:pPr>
      <w:r>
        <w:rPr>
          <w:sz w:val="24"/>
          <w:szCs w:val="24"/>
        </w:rPr>
        <w:t>Não há.</w:t>
      </w:r>
    </w:p>
    <w:p w14:paraId="52162F04">
      <w:pPr>
        <w:shd w:val="clear" w:color="auto" w:fill="FFFFFF"/>
        <w:spacing w:line="360" w:lineRule="auto"/>
        <w:rPr>
          <w:sz w:val="24"/>
          <w:szCs w:val="24"/>
        </w:rPr>
      </w:pPr>
    </w:p>
    <w:p w14:paraId="38168AB7">
      <w:pPr>
        <w:jc w:val="both"/>
        <w:rPr>
          <w:rFonts w:eastAsia="Cambria Math"/>
          <w:b/>
          <w:sz w:val="24"/>
          <w:szCs w:val="24"/>
        </w:rPr>
      </w:pPr>
      <w:r>
        <w:rPr>
          <w:rFonts w:eastAsia="Cambria Math"/>
          <w:b/>
          <w:sz w:val="24"/>
          <w:szCs w:val="24"/>
        </w:rPr>
        <w:t>12 -RESULTADOS PRETENDIDOS</w:t>
      </w:r>
    </w:p>
    <w:p w14:paraId="53D45549">
      <w:pPr>
        <w:jc w:val="both"/>
        <w:rPr>
          <w:rFonts w:eastAsia="Cambria Math"/>
          <w:b/>
          <w:sz w:val="24"/>
          <w:szCs w:val="24"/>
        </w:rPr>
      </w:pPr>
    </w:p>
    <w:p w14:paraId="13D8C450">
      <w:pPr>
        <w:spacing w:line="360" w:lineRule="auto"/>
        <w:jc w:val="both"/>
        <w:rPr>
          <w:rFonts w:eastAsia="SimSun"/>
          <w:sz w:val="24"/>
          <w:szCs w:val="24"/>
        </w:rPr>
      </w:pPr>
      <w:r>
        <w:rPr>
          <w:rFonts w:eastAsia="SimSun"/>
          <w:sz w:val="24"/>
          <w:szCs w:val="24"/>
        </w:rPr>
        <w:t>Garantir o fornecimento  de fórmulas alimentares e suplementos a pacientes hipossuficientes, assegurando a continuidade do tratamento, o cumprimento de demandas judiciais, a preservação da saúde e da dignidade humana, além de evitar prejuízos administrativos e financeiros ao ente público.</w:t>
      </w:r>
    </w:p>
    <w:p w14:paraId="7DEFEF06">
      <w:pPr>
        <w:spacing w:line="360" w:lineRule="auto"/>
        <w:jc w:val="both"/>
        <w:rPr>
          <w:rFonts w:eastAsia="MontserratThin"/>
          <w:sz w:val="24"/>
          <w:szCs w:val="24"/>
          <w:lang w:val="en-US" w:eastAsia="zh-CN" w:bidi="ar"/>
        </w:rPr>
      </w:pPr>
      <w:r>
        <w:rPr>
          <w:rFonts w:eastAsia="MontserratThin"/>
          <w:sz w:val="24"/>
          <w:szCs w:val="24"/>
          <w:lang w:val="en-US" w:eastAsia="zh-CN" w:bidi="ar"/>
        </w:rPr>
        <w:t xml:space="preserve"> </w:t>
      </w:r>
    </w:p>
    <w:p w14:paraId="78B1C1B2">
      <w:pPr>
        <w:widowControl w:val="0"/>
        <w:numPr>
          <w:ilvl w:val="0"/>
          <w:numId w:val="7"/>
        </w:numPr>
        <w:shd w:val="clear" w:color="auto" w:fill="FFFFFF"/>
        <w:suppressAutoHyphens/>
        <w:spacing w:line="360" w:lineRule="auto"/>
        <w:jc w:val="both"/>
        <w:rPr>
          <w:b/>
          <w:sz w:val="24"/>
          <w:szCs w:val="24"/>
        </w:rPr>
      </w:pPr>
      <w:r>
        <w:rPr>
          <w:b/>
          <w:sz w:val="24"/>
          <w:szCs w:val="24"/>
        </w:rPr>
        <w:t>RESPONSÁVEL</w:t>
      </w:r>
    </w:p>
    <w:p w14:paraId="59E81E7F">
      <w:pPr>
        <w:shd w:val="clear" w:color="auto" w:fill="FFFFFF"/>
        <w:spacing w:line="360" w:lineRule="auto"/>
        <w:jc w:val="both"/>
        <w:rPr>
          <w:b/>
          <w:sz w:val="24"/>
          <w:szCs w:val="24"/>
        </w:rPr>
      </w:pPr>
    </w:p>
    <w:p w14:paraId="38E6E4AD">
      <w:pPr>
        <w:shd w:val="clear" w:color="auto" w:fill="FFFFFF"/>
        <w:spacing w:line="360" w:lineRule="auto"/>
        <w:jc w:val="both"/>
        <w:rPr>
          <w:b/>
          <w:sz w:val="24"/>
          <w:szCs w:val="24"/>
        </w:rPr>
      </w:pPr>
    </w:p>
    <w:p w14:paraId="0CDF81F7">
      <w:pPr>
        <w:shd w:val="clear" w:color="auto" w:fill="FFFFFF"/>
        <w:spacing w:line="360" w:lineRule="auto"/>
        <w:jc w:val="center"/>
        <w:rPr>
          <w:sz w:val="24"/>
          <w:szCs w:val="24"/>
        </w:rPr>
      </w:pPr>
      <w:r>
        <w:rPr>
          <w:sz w:val="24"/>
          <w:szCs w:val="24"/>
        </w:rPr>
        <w:t>Valença, 11 de junho de 2026.</w:t>
      </w:r>
    </w:p>
    <w:p w14:paraId="39247125">
      <w:pPr>
        <w:shd w:val="clear" w:color="auto" w:fill="FFFFFF"/>
        <w:spacing w:line="360" w:lineRule="auto"/>
        <w:rPr>
          <w:b/>
          <w:sz w:val="24"/>
          <w:szCs w:val="24"/>
        </w:rPr>
      </w:pPr>
    </w:p>
    <w:p w14:paraId="46155E33">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cs="Times New Roman"/>
          <w:color w:val="auto"/>
          <w:kern w:val="3"/>
          <w:szCs w:val="24"/>
          <w:lang w:eastAsia="zh-CN" w:bidi="hi-IN"/>
        </w:rPr>
      </w:pPr>
      <w:r>
        <w:rPr>
          <w:rFonts w:ascii="Times New Roman" w:hAnsi="Times New Roman" w:cs="Times New Roman"/>
          <w:color w:val="auto"/>
          <w:kern w:val="3"/>
          <w:szCs w:val="24"/>
          <w:lang w:eastAsia="zh-CN" w:bidi="hi-IN"/>
        </w:rPr>
        <w:t>Eduardo Eiji Rodrigues Okabayashi</w:t>
      </w:r>
    </w:p>
    <w:p w14:paraId="51D8A0EC">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b/>
          <w:bCs/>
          <w:color w:val="auto"/>
          <w:szCs w:val="24"/>
        </w:rPr>
      </w:pPr>
      <w:r>
        <w:rPr>
          <w:rFonts w:ascii="Times New Roman" w:hAnsi="Times New Roman" w:eastAsia="Times New Roman" w:cs="Times New Roman"/>
          <w:color w:val="auto"/>
          <w:szCs w:val="24"/>
        </w:rPr>
        <w:t xml:space="preserve">Matricula: </w:t>
      </w:r>
      <w:r>
        <w:rPr>
          <w:rFonts w:ascii="Times New Roman" w:hAnsi="Times New Roman" w:cs="Times New Roman"/>
          <w:color w:val="auto"/>
          <w:kern w:val="3"/>
          <w:szCs w:val="24"/>
          <w:lang w:eastAsia="zh-CN" w:bidi="hi-IN"/>
        </w:rPr>
        <w:t>211.930</w:t>
      </w:r>
    </w:p>
    <w:p w14:paraId="3FA08A90">
      <w:pPr>
        <w:spacing w:before="288" w:beforeLines="120" w:after="288" w:afterLines="120" w:line="288" w:lineRule="auto"/>
        <w:contextualSpacing/>
        <w:jc w:val="center"/>
        <w:rPr>
          <w:rFonts w:eastAsia="MS Mincho"/>
          <w:b/>
          <w:sz w:val="24"/>
          <w:szCs w:val="24"/>
        </w:rPr>
      </w:pPr>
    </w:p>
    <w:p w14:paraId="2532C1B2">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ANEXO III – MODELO DE PROPOSTA</w:t>
      </w:r>
    </w:p>
    <w:p w14:paraId="273D83BC">
      <w:pPr>
        <w:spacing w:before="288" w:beforeLines="120" w:after="288" w:afterLines="120" w:line="288" w:lineRule="auto"/>
        <w:contextualSpacing/>
        <w:jc w:val="center"/>
        <w:rPr>
          <w:rFonts w:eastAsia="MS Mincho"/>
          <w:b/>
          <w:sz w:val="24"/>
          <w:szCs w:val="24"/>
        </w:rPr>
      </w:pPr>
    </w:p>
    <w:tbl>
      <w:tblPr>
        <w:tblStyle w:val="10"/>
        <w:tblW w:w="889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10"/>
        <w:gridCol w:w="1605"/>
        <w:gridCol w:w="1950"/>
        <w:gridCol w:w="585"/>
        <w:gridCol w:w="825"/>
        <w:gridCol w:w="615"/>
        <w:gridCol w:w="1245"/>
        <w:gridCol w:w="1260"/>
      </w:tblGrid>
      <w:tr w14:paraId="7CA3D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CCCCCC"/>
            <w:tcMar>
              <w:top w:w="100" w:type="dxa"/>
              <w:left w:w="100" w:type="dxa"/>
              <w:bottom w:w="100" w:type="dxa"/>
              <w:right w:w="100" w:type="dxa"/>
            </w:tcMar>
          </w:tcPr>
          <w:p w14:paraId="7DF3945E">
            <w:pPr>
              <w:spacing w:before="288" w:beforeLines="120" w:after="288" w:afterLines="120" w:line="288" w:lineRule="auto"/>
              <w:contextualSpacing/>
              <w:jc w:val="center"/>
              <w:rPr>
                <w:rFonts w:eastAsia="MS Mincho"/>
                <w:b/>
                <w:sz w:val="24"/>
                <w:szCs w:val="24"/>
              </w:rPr>
            </w:pPr>
            <w:r>
              <w:rPr>
                <w:rFonts w:eastAsia="MS Mincho"/>
                <w:b/>
                <w:sz w:val="24"/>
                <w:szCs w:val="24"/>
              </w:rPr>
              <w:t>ANEXO III – MODELO DE PROPOSTA</w:t>
            </w:r>
          </w:p>
          <w:p w14:paraId="048FC886">
            <w:pPr>
              <w:pStyle w:val="77"/>
              <w:widowControl w:val="0"/>
              <w:rPr>
                <w:rFonts w:ascii="Times New Roman" w:hAnsi="Times New Roman" w:cs="Times New Roman"/>
                <w:b/>
                <w:i/>
                <w:iCs/>
                <w:sz w:val="24"/>
                <w:szCs w:val="24"/>
              </w:rPr>
            </w:pPr>
          </w:p>
          <w:p w14:paraId="1B0C5F39">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PREFEITURA MUNICIPAL DE VALENÇA</w:t>
            </w:r>
          </w:p>
        </w:tc>
        <w:tc>
          <w:tcPr>
            <w:tcW w:w="2025" w:type="dxa"/>
            <w:gridSpan w:val="3"/>
            <w:shd w:val="clear" w:color="auto" w:fill="CCCCCC"/>
            <w:tcMar>
              <w:top w:w="100" w:type="dxa"/>
              <w:left w:w="100" w:type="dxa"/>
              <w:bottom w:w="100" w:type="dxa"/>
              <w:right w:w="100" w:type="dxa"/>
            </w:tcMar>
          </w:tcPr>
          <w:p w14:paraId="44ADDD6E">
            <w:pPr>
              <w:pStyle w:val="77"/>
              <w:widowControl w:val="0"/>
              <w:rPr>
                <w:rFonts w:ascii="Times New Roman" w:hAnsi="Times New Roman" w:cs="Times New Roman"/>
                <w:b/>
                <w:sz w:val="24"/>
                <w:szCs w:val="24"/>
              </w:rPr>
            </w:pPr>
            <w:r>
              <w:rPr>
                <w:rFonts w:ascii="Times New Roman" w:hAnsi="Times New Roman" w:cs="Times New Roman"/>
                <w:b/>
                <w:sz w:val="24"/>
                <w:szCs w:val="24"/>
              </w:rPr>
              <w:t>Pregão Eletrônico N° _____/____</w:t>
            </w:r>
          </w:p>
        </w:tc>
        <w:tc>
          <w:tcPr>
            <w:tcW w:w="2505" w:type="dxa"/>
            <w:gridSpan w:val="2"/>
            <w:shd w:val="clear" w:color="auto" w:fill="auto"/>
            <w:tcMar>
              <w:top w:w="100" w:type="dxa"/>
              <w:left w:w="100" w:type="dxa"/>
              <w:bottom w:w="100" w:type="dxa"/>
              <w:right w:w="100" w:type="dxa"/>
            </w:tcMar>
          </w:tcPr>
          <w:p w14:paraId="5D14A8FD">
            <w:pPr>
              <w:pStyle w:val="77"/>
              <w:widowControl w:val="0"/>
              <w:rPr>
                <w:rFonts w:ascii="Times New Roman" w:hAnsi="Times New Roman" w:cs="Times New Roman"/>
                <w:b/>
                <w:sz w:val="24"/>
                <w:szCs w:val="24"/>
              </w:rPr>
            </w:pPr>
            <w:r>
              <w:rPr>
                <w:rFonts w:ascii="Times New Roman" w:hAnsi="Times New Roman" w:cs="Times New Roman"/>
                <w:b/>
                <w:sz w:val="24"/>
                <w:szCs w:val="24"/>
              </w:rPr>
              <w:t>CNPJ:</w:t>
            </w:r>
          </w:p>
        </w:tc>
      </w:tr>
      <w:tr w14:paraId="67A3B9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950" w:type="dxa"/>
            <w:gridSpan w:val="4"/>
            <w:shd w:val="clear" w:color="auto" w:fill="auto"/>
            <w:tcMar>
              <w:top w:w="100" w:type="dxa"/>
              <w:left w:w="100" w:type="dxa"/>
              <w:bottom w:w="100" w:type="dxa"/>
              <w:right w:w="100" w:type="dxa"/>
            </w:tcMar>
          </w:tcPr>
          <w:p w14:paraId="359DD5F6">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Razão Social:</w:t>
            </w:r>
          </w:p>
        </w:tc>
        <w:tc>
          <w:tcPr>
            <w:tcW w:w="3945" w:type="dxa"/>
            <w:gridSpan w:val="4"/>
            <w:shd w:val="clear" w:color="auto" w:fill="auto"/>
            <w:tcMar>
              <w:top w:w="100" w:type="dxa"/>
              <w:left w:w="100" w:type="dxa"/>
              <w:bottom w:w="100" w:type="dxa"/>
              <w:right w:w="100" w:type="dxa"/>
            </w:tcMar>
          </w:tcPr>
          <w:p w14:paraId="03261942">
            <w:pPr>
              <w:pStyle w:val="77"/>
              <w:widowControl w:val="0"/>
              <w:rPr>
                <w:rFonts w:ascii="Times New Roman" w:hAnsi="Times New Roman" w:cs="Times New Roman"/>
                <w:b/>
                <w:sz w:val="24"/>
                <w:szCs w:val="24"/>
              </w:rPr>
            </w:pPr>
            <w:r>
              <w:rPr>
                <w:rFonts w:ascii="Times New Roman" w:hAnsi="Times New Roman" w:cs="Times New Roman"/>
                <w:b/>
                <w:sz w:val="24"/>
                <w:szCs w:val="24"/>
              </w:rPr>
              <w:t>E-mail:</w:t>
            </w:r>
          </w:p>
        </w:tc>
      </w:tr>
      <w:tr w14:paraId="7F89A4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5775" w:type="dxa"/>
            <w:gridSpan w:val="5"/>
            <w:shd w:val="clear" w:color="auto" w:fill="auto"/>
            <w:tcMar>
              <w:top w:w="100" w:type="dxa"/>
              <w:left w:w="100" w:type="dxa"/>
              <w:bottom w:w="100" w:type="dxa"/>
              <w:right w:w="100" w:type="dxa"/>
            </w:tcMar>
          </w:tcPr>
          <w:p w14:paraId="0F0179F6">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Endereço:</w:t>
            </w:r>
          </w:p>
        </w:tc>
        <w:tc>
          <w:tcPr>
            <w:tcW w:w="3120" w:type="dxa"/>
            <w:gridSpan w:val="3"/>
            <w:shd w:val="clear" w:color="auto" w:fill="auto"/>
            <w:tcMar>
              <w:top w:w="100" w:type="dxa"/>
              <w:left w:w="100" w:type="dxa"/>
              <w:bottom w:w="100" w:type="dxa"/>
              <w:right w:w="100" w:type="dxa"/>
            </w:tcMar>
          </w:tcPr>
          <w:p w14:paraId="46B0967A">
            <w:pPr>
              <w:pStyle w:val="77"/>
              <w:widowControl w:val="0"/>
              <w:rPr>
                <w:rFonts w:ascii="Times New Roman" w:hAnsi="Times New Roman" w:cs="Times New Roman"/>
                <w:b/>
                <w:sz w:val="24"/>
                <w:szCs w:val="24"/>
              </w:rPr>
            </w:pPr>
            <w:r>
              <w:rPr>
                <w:rFonts w:ascii="Times New Roman" w:hAnsi="Times New Roman" w:cs="Times New Roman"/>
                <w:b/>
                <w:sz w:val="24"/>
                <w:szCs w:val="24"/>
              </w:rPr>
              <w:t>Tel.:</w:t>
            </w:r>
          </w:p>
        </w:tc>
      </w:tr>
      <w:tr w14:paraId="78D6E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auto"/>
            <w:tcMar>
              <w:top w:w="100" w:type="dxa"/>
              <w:left w:w="100" w:type="dxa"/>
              <w:bottom w:w="100" w:type="dxa"/>
              <w:right w:w="100" w:type="dxa"/>
            </w:tcMar>
          </w:tcPr>
          <w:p w14:paraId="5E75EF31">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Banco:</w:t>
            </w:r>
          </w:p>
        </w:tc>
        <w:tc>
          <w:tcPr>
            <w:tcW w:w="1410" w:type="dxa"/>
            <w:gridSpan w:val="2"/>
            <w:shd w:val="clear" w:color="auto" w:fill="auto"/>
            <w:tcMar>
              <w:top w:w="100" w:type="dxa"/>
              <w:left w:w="100" w:type="dxa"/>
              <w:bottom w:w="100" w:type="dxa"/>
              <w:right w:w="100" w:type="dxa"/>
            </w:tcMar>
          </w:tcPr>
          <w:p w14:paraId="6D6625E8">
            <w:pPr>
              <w:pStyle w:val="77"/>
              <w:widowControl w:val="0"/>
              <w:rPr>
                <w:rFonts w:ascii="Times New Roman" w:hAnsi="Times New Roman" w:cs="Times New Roman"/>
                <w:b/>
                <w:sz w:val="24"/>
                <w:szCs w:val="24"/>
              </w:rPr>
            </w:pPr>
            <w:r>
              <w:rPr>
                <w:rFonts w:ascii="Times New Roman" w:hAnsi="Times New Roman" w:cs="Times New Roman"/>
                <w:b/>
                <w:sz w:val="24"/>
                <w:szCs w:val="24"/>
              </w:rPr>
              <w:t>Agência:</w:t>
            </w:r>
          </w:p>
        </w:tc>
        <w:tc>
          <w:tcPr>
            <w:tcW w:w="3120" w:type="dxa"/>
            <w:gridSpan w:val="3"/>
            <w:shd w:val="clear" w:color="auto" w:fill="auto"/>
            <w:tcMar>
              <w:top w:w="100" w:type="dxa"/>
              <w:left w:w="100" w:type="dxa"/>
              <w:bottom w:w="100" w:type="dxa"/>
              <w:right w:w="100" w:type="dxa"/>
            </w:tcMar>
          </w:tcPr>
          <w:p w14:paraId="02C91FD5">
            <w:pPr>
              <w:pStyle w:val="77"/>
              <w:widowControl w:val="0"/>
              <w:rPr>
                <w:rFonts w:ascii="Times New Roman" w:hAnsi="Times New Roman" w:cs="Times New Roman"/>
                <w:b/>
                <w:sz w:val="24"/>
                <w:szCs w:val="24"/>
              </w:rPr>
            </w:pPr>
            <w:r>
              <w:rPr>
                <w:rFonts w:ascii="Times New Roman" w:hAnsi="Times New Roman" w:cs="Times New Roman"/>
                <w:b/>
                <w:sz w:val="24"/>
                <w:szCs w:val="24"/>
              </w:rPr>
              <w:t>Conta Corrente:</w:t>
            </w:r>
          </w:p>
        </w:tc>
      </w:tr>
      <w:tr w14:paraId="591ECE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CCCCCC"/>
            <w:tcMar>
              <w:top w:w="100" w:type="dxa"/>
              <w:left w:w="100" w:type="dxa"/>
              <w:bottom w:w="100" w:type="dxa"/>
              <w:right w:w="100" w:type="dxa"/>
            </w:tcMar>
          </w:tcPr>
          <w:p w14:paraId="68584C93">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LOTE/</w:t>
            </w:r>
          </w:p>
          <w:p w14:paraId="1E7E8749">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ITEM</w:t>
            </w:r>
          </w:p>
        </w:tc>
        <w:tc>
          <w:tcPr>
            <w:tcW w:w="1605" w:type="dxa"/>
            <w:shd w:val="clear" w:color="auto" w:fill="CCCCCC"/>
            <w:tcMar>
              <w:top w:w="100" w:type="dxa"/>
              <w:left w:w="100" w:type="dxa"/>
              <w:bottom w:w="100" w:type="dxa"/>
              <w:right w:w="100" w:type="dxa"/>
            </w:tcMar>
          </w:tcPr>
          <w:p w14:paraId="7718B3DD">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Código de Material / Código BR</w:t>
            </w:r>
          </w:p>
        </w:tc>
        <w:tc>
          <w:tcPr>
            <w:tcW w:w="1950" w:type="dxa"/>
            <w:shd w:val="clear" w:color="auto" w:fill="CCCCCC"/>
            <w:tcMar>
              <w:top w:w="100" w:type="dxa"/>
              <w:left w:w="100" w:type="dxa"/>
              <w:bottom w:w="100" w:type="dxa"/>
              <w:right w:w="100" w:type="dxa"/>
            </w:tcMar>
          </w:tcPr>
          <w:p w14:paraId="09B915E8">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Nome Padronizado</w:t>
            </w:r>
          </w:p>
        </w:tc>
        <w:tc>
          <w:tcPr>
            <w:tcW w:w="585" w:type="dxa"/>
            <w:shd w:val="clear" w:color="auto" w:fill="CCCCCC"/>
            <w:tcMar>
              <w:top w:w="100" w:type="dxa"/>
              <w:left w:w="100" w:type="dxa"/>
              <w:bottom w:w="100" w:type="dxa"/>
              <w:right w:w="100" w:type="dxa"/>
            </w:tcMar>
          </w:tcPr>
          <w:p w14:paraId="1C8A190F">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U/C</w:t>
            </w:r>
          </w:p>
        </w:tc>
        <w:tc>
          <w:tcPr>
            <w:tcW w:w="825" w:type="dxa"/>
            <w:shd w:val="clear" w:color="auto" w:fill="CCCCCC"/>
            <w:tcMar>
              <w:top w:w="100" w:type="dxa"/>
              <w:left w:w="100" w:type="dxa"/>
              <w:bottom w:w="100" w:type="dxa"/>
              <w:right w:w="100" w:type="dxa"/>
            </w:tcMar>
          </w:tcPr>
          <w:p w14:paraId="78F01BA1">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Marca</w:t>
            </w:r>
          </w:p>
        </w:tc>
        <w:tc>
          <w:tcPr>
            <w:tcW w:w="615" w:type="dxa"/>
            <w:shd w:val="clear" w:color="auto" w:fill="CCCCCC"/>
            <w:tcMar>
              <w:top w:w="100" w:type="dxa"/>
              <w:left w:w="100" w:type="dxa"/>
              <w:bottom w:w="100" w:type="dxa"/>
              <w:right w:w="100" w:type="dxa"/>
            </w:tcMar>
          </w:tcPr>
          <w:p w14:paraId="2E60DEC2">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Qtd</w:t>
            </w:r>
          </w:p>
        </w:tc>
        <w:tc>
          <w:tcPr>
            <w:tcW w:w="1245" w:type="dxa"/>
            <w:shd w:val="clear" w:color="auto" w:fill="CCCCCC"/>
            <w:tcMar>
              <w:top w:w="100" w:type="dxa"/>
              <w:left w:w="100" w:type="dxa"/>
              <w:bottom w:w="100" w:type="dxa"/>
              <w:right w:w="100" w:type="dxa"/>
            </w:tcMar>
          </w:tcPr>
          <w:p w14:paraId="554E8846">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Preço Unitário</w:t>
            </w:r>
          </w:p>
        </w:tc>
        <w:tc>
          <w:tcPr>
            <w:tcW w:w="1260" w:type="dxa"/>
            <w:shd w:val="clear" w:color="auto" w:fill="CCCCCC"/>
            <w:tcMar>
              <w:top w:w="100" w:type="dxa"/>
              <w:left w:w="100" w:type="dxa"/>
              <w:bottom w:w="100" w:type="dxa"/>
              <w:right w:w="100" w:type="dxa"/>
            </w:tcMar>
          </w:tcPr>
          <w:p w14:paraId="40CED06D">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Preço Total</w:t>
            </w:r>
          </w:p>
        </w:tc>
      </w:tr>
      <w:tr w14:paraId="1AC3E5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0DD66404">
            <w:pPr>
              <w:pStyle w:val="77"/>
              <w:widowControl w:val="0"/>
              <w:rPr>
                <w:rFonts w:ascii="Times New Roman" w:hAnsi="Times New Roman" w:cs="Times New Roman"/>
                <w:b/>
                <w:i/>
                <w:iCs/>
                <w:sz w:val="24"/>
                <w:szCs w:val="24"/>
              </w:rPr>
            </w:pPr>
          </w:p>
        </w:tc>
        <w:tc>
          <w:tcPr>
            <w:tcW w:w="1605" w:type="dxa"/>
            <w:shd w:val="clear" w:color="auto" w:fill="auto"/>
            <w:tcMar>
              <w:top w:w="100" w:type="dxa"/>
              <w:left w:w="100" w:type="dxa"/>
              <w:bottom w:w="100" w:type="dxa"/>
              <w:right w:w="100" w:type="dxa"/>
            </w:tcMar>
          </w:tcPr>
          <w:p w14:paraId="74C79E61">
            <w:pPr>
              <w:pStyle w:val="77"/>
              <w:widowControl w:val="0"/>
              <w:rPr>
                <w:rFonts w:ascii="Times New Roman" w:hAnsi="Times New Roman" w:cs="Times New Roman"/>
                <w:b/>
                <w:i/>
                <w:iCs/>
                <w:sz w:val="24"/>
                <w:szCs w:val="24"/>
              </w:rPr>
            </w:pPr>
          </w:p>
        </w:tc>
        <w:tc>
          <w:tcPr>
            <w:tcW w:w="1950" w:type="dxa"/>
            <w:shd w:val="clear" w:color="auto" w:fill="auto"/>
            <w:tcMar>
              <w:top w:w="100" w:type="dxa"/>
              <w:left w:w="100" w:type="dxa"/>
              <w:bottom w:w="100" w:type="dxa"/>
              <w:right w:w="100" w:type="dxa"/>
            </w:tcMar>
          </w:tcPr>
          <w:p w14:paraId="2913E088">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Unitário: Por extenso</w:t>
            </w:r>
          </w:p>
        </w:tc>
        <w:tc>
          <w:tcPr>
            <w:tcW w:w="585" w:type="dxa"/>
            <w:shd w:val="clear" w:color="auto" w:fill="auto"/>
            <w:tcMar>
              <w:top w:w="100" w:type="dxa"/>
              <w:left w:w="100" w:type="dxa"/>
              <w:bottom w:w="100" w:type="dxa"/>
              <w:right w:w="100" w:type="dxa"/>
            </w:tcMar>
          </w:tcPr>
          <w:p w14:paraId="7A998D75">
            <w:pPr>
              <w:pStyle w:val="77"/>
              <w:widowControl w:val="0"/>
              <w:rPr>
                <w:rFonts w:ascii="Times New Roman" w:hAnsi="Times New Roman" w:cs="Times New Roman"/>
                <w:b/>
                <w:sz w:val="24"/>
                <w:szCs w:val="24"/>
              </w:rPr>
            </w:pPr>
          </w:p>
        </w:tc>
        <w:tc>
          <w:tcPr>
            <w:tcW w:w="825" w:type="dxa"/>
            <w:shd w:val="clear" w:color="auto" w:fill="auto"/>
            <w:tcMar>
              <w:top w:w="100" w:type="dxa"/>
              <w:left w:w="100" w:type="dxa"/>
              <w:bottom w:w="100" w:type="dxa"/>
              <w:right w:w="100" w:type="dxa"/>
            </w:tcMar>
          </w:tcPr>
          <w:p w14:paraId="6FD4A95A">
            <w:pPr>
              <w:pStyle w:val="77"/>
              <w:widowControl w:val="0"/>
              <w:rPr>
                <w:rFonts w:ascii="Times New Roman" w:hAnsi="Times New Roman" w:cs="Times New Roman"/>
                <w:b/>
                <w:sz w:val="24"/>
                <w:szCs w:val="24"/>
              </w:rPr>
            </w:pPr>
          </w:p>
        </w:tc>
        <w:tc>
          <w:tcPr>
            <w:tcW w:w="615" w:type="dxa"/>
            <w:shd w:val="clear" w:color="auto" w:fill="auto"/>
            <w:tcMar>
              <w:top w:w="100" w:type="dxa"/>
              <w:left w:w="100" w:type="dxa"/>
              <w:bottom w:w="100" w:type="dxa"/>
              <w:right w:w="100" w:type="dxa"/>
            </w:tcMar>
          </w:tcPr>
          <w:p w14:paraId="4C71D89B">
            <w:pPr>
              <w:pStyle w:val="77"/>
              <w:widowControl w:val="0"/>
              <w:rPr>
                <w:rFonts w:ascii="Times New Roman" w:hAnsi="Times New Roman" w:cs="Times New Roman"/>
                <w:b/>
                <w:sz w:val="24"/>
                <w:szCs w:val="24"/>
              </w:rPr>
            </w:pPr>
          </w:p>
        </w:tc>
        <w:tc>
          <w:tcPr>
            <w:tcW w:w="1245" w:type="dxa"/>
            <w:shd w:val="clear" w:color="auto" w:fill="auto"/>
            <w:tcMar>
              <w:top w:w="100" w:type="dxa"/>
              <w:left w:w="100" w:type="dxa"/>
              <w:bottom w:w="100" w:type="dxa"/>
              <w:right w:w="100" w:type="dxa"/>
            </w:tcMar>
          </w:tcPr>
          <w:p w14:paraId="468F9656">
            <w:pPr>
              <w:pStyle w:val="77"/>
              <w:widowControl w:val="0"/>
              <w:rPr>
                <w:rFonts w:ascii="Times New Roman" w:hAnsi="Times New Roman" w:cs="Times New Roman"/>
                <w:b/>
                <w:sz w:val="24"/>
                <w:szCs w:val="24"/>
              </w:rPr>
            </w:pPr>
          </w:p>
        </w:tc>
        <w:tc>
          <w:tcPr>
            <w:tcW w:w="1260" w:type="dxa"/>
            <w:shd w:val="clear" w:color="auto" w:fill="auto"/>
            <w:tcMar>
              <w:top w:w="100" w:type="dxa"/>
              <w:left w:w="100" w:type="dxa"/>
              <w:bottom w:w="100" w:type="dxa"/>
              <w:right w:w="100" w:type="dxa"/>
            </w:tcMar>
          </w:tcPr>
          <w:p w14:paraId="0D874DE4">
            <w:pPr>
              <w:pStyle w:val="77"/>
              <w:widowControl w:val="0"/>
              <w:rPr>
                <w:rFonts w:ascii="Times New Roman" w:hAnsi="Times New Roman" w:cs="Times New Roman"/>
                <w:b/>
                <w:sz w:val="24"/>
                <w:szCs w:val="24"/>
              </w:rPr>
            </w:pPr>
          </w:p>
        </w:tc>
      </w:tr>
      <w:tr w14:paraId="53A091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685543EB">
            <w:pPr>
              <w:pStyle w:val="77"/>
              <w:widowControl w:val="0"/>
              <w:rPr>
                <w:rFonts w:ascii="Times New Roman" w:hAnsi="Times New Roman" w:cs="Times New Roman"/>
                <w:b/>
                <w:i/>
                <w:iCs/>
                <w:sz w:val="24"/>
                <w:szCs w:val="24"/>
              </w:rPr>
            </w:pPr>
          </w:p>
        </w:tc>
        <w:tc>
          <w:tcPr>
            <w:tcW w:w="1605" w:type="dxa"/>
            <w:shd w:val="clear" w:color="auto" w:fill="auto"/>
            <w:tcMar>
              <w:top w:w="100" w:type="dxa"/>
              <w:left w:w="100" w:type="dxa"/>
              <w:bottom w:w="100" w:type="dxa"/>
              <w:right w:w="100" w:type="dxa"/>
            </w:tcMar>
          </w:tcPr>
          <w:p w14:paraId="2A1B6DE8">
            <w:pPr>
              <w:pStyle w:val="77"/>
              <w:widowControl w:val="0"/>
              <w:rPr>
                <w:rFonts w:ascii="Times New Roman" w:hAnsi="Times New Roman" w:cs="Times New Roman"/>
                <w:b/>
                <w:i/>
                <w:iCs/>
                <w:sz w:val="24"/>
                <w:szCs w:val="24"/>
              </w:rPr>
            </w:pPr>
          </w:p>
        </w:tc>
        <w:tc>
          <w:tcPr>
            <w:tcW w:w="1950" w:type="dxa"/>
            <w:shd w:val="clear" w:color="auto" w:fill="auto"/>
            <w:tcMar>
              <w:top w:w="100" w:type="dxa"/>
              <w:left w:w="100" w:type="dxa"/>
              <w:bottom w:w="100" w:type="dxa"/>
              <w:right w:w="100" w:type="dxa"/>
            </w:tcMar>
          </w:tcPr>
          <w:p w14:paraId="79542775">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Unitário: Por extenso</w:t>
            </w:r>
          </w:p>
        </w:tc>
        <w:tc>
          <w:tcPr>
            <w:tcW w:w="585" w:type="dxa"/>
            <w:shd w:val="clear" w:color="auto" w:fill="auto"/>
            <w:tcMar>
              <w:top w:w="100" w:type="dxa"/>
              <w:left w:w="100" w:type="dxa"/>
              <w:bottom w:w="100" w:type="dxa"/>
              <w:right w:w="100" w:type="dxa"/>
            </w:tcMar>
          </w:tcPr>
          <w:p w14:paraId="2C7AACF7">
            <w:pPr>
              <w:pStyle w:val="77"/>
              <w:widowControl w:val="0"/>
              <w:rPr>
                <w:rFonts w:ascii="Times New Roman" w:hAnsi="Times New Roman" w:cs="Times New Roman"/>
                <w:b/>
                <w:sz w:val="24"/>
                <w:szCs w:val="24"/>
              </w:rPr>
            </w:pPr>
          </w:p>
        </w:tc>
        <w:tc>
          <w:tcPr>
            <w:tcW w:w="825" w:type="dxa"/>
            <w:shd w:val="clear" w:color="auto" w:fill="auto"/>
            <w:tcMar>
              <w:top w:w="100" w:type="dxa"/>
              <w:left w:w="100" w:type="dxa"/>
              <w:bottom w:w="100" w:type="dxa"/>
              <w:right w:w="100" w:type="dxa"/>
            </w:tcMar>
          </w:tcPr>
          <w:p w14:paraId="794A4423">
            <w:pPr>
              <w:pStyle w:val="77"/>
              <w:widowControl w:val="0"/>
              <w:rPr>
                <w:rFonts w:ascii="Times New Roman" w:hAnsi="Times New Roman" w:cs="Times New Roman"/>
                <w:b/>
                <w:sz w:val="24"/>
                <w:szCs w:val="24"/>
              </w:rPr>
            </w:pPr>
          </w:p>
        </w:tc>
        <w:tc>
          <w:tcPr>
            <w:tcW w:w="615" w:type="dxa"/>
            <w:shd w:val="clear" w:color="auto" w:fill="auto"/>
            <w:tcMar>
              <w:top w:w="100" w:type="dxa"/>
              <w:left w:w="100" w:type="dxa"/>
              <w:bottom w:w="100" w:type="dxa"/>
              <w:right w:w="100" w:type="dxa"/>
            </w:tcMar>
          </w:tcPr>
          <w:p w14:paraId="3124ECB3">
            <w:pPr>
              <w:pStyle w:val="77"/>
              <w:widowControl w:val="0"/>
              <w:rPr>
                <w:rFonts w:ascii="Times New Roman" w:hAnsi="Times New Roman" w:cs="Times New Roman"/>
                <w:b/>
                <w:sz w:val="24"/>
                <w:szCs w:val="24"/>
              </w:rPr>
            </w:pPr>
          </w:p>
        </w:tc>
        <w:tc>
          <w:tcPr>
            <w:tcW w:w="1245" w:type="dxa"/>
            <w:shd w:val="clear" w:color="auto" w:fill="auto"/>
            <w:tcMar>
              <w:top w:w="100" w:type="dxa"/>
              <w:left w:w="100" w:type="dxa"/>
              <w:bottom w:w="100" w:type="dxa"/>
              <w:right w:w="100" w:type="dxa"/>
            </w:tcMar>
          </w:tcPr>
          <w:p w14:paraId="70995DC6">
            <w:pPr>
              <w:pStyle w:val="77"/>
              <w:widowControl w:val="0"/>
              <w:rPr>
                <w:rFonts w:ascii="Times New Roman" w:hAnsi="Times New Roman" w:cs="Times New Roman"/>
                <w:b/>
                <w:sz w:val="24"/>
                <w:szCs w:val="24"/>
              </w:rPr>
            </w:pPr>
          </w:p>
        </w:tc>
        <w:tc>
          <w:tcPr>
            <w:tcW w:w="1260" w:type="dxa"/>
            <w:shd w:val="clear" w:color="auto" w:fill="auto"/>
            <w:tcMar>
              <w:top w:w="100" w:type="dxa"/>
              <w:left w:w="100" w:type="dxa"/>
              <w:bottom w:w="100" w:type="dxa"/>
              <w:right w:w="100" w:type="dxa"/>
            </w:tcMar>
          </w:tcPr>
          <w:p w14:paraId="46AF7176">
            <w:pPr>
              <w:pStyle w:val="77"/>
              <w:widowControl w:val="0"/>
              <w:rPr>
                <w:rFonts w:ascii="Times New Roman" w:hAnsi="Times New Roman" w:cs="Times New Roman"/>
                <w:b/>
                <w:sz w:val="24"/>
                <w:szCs w:val="24"/>
              </w:rPr>
            </w:pPr>
          </w:p>
        </w:tc>
      </w:tr>
      <w:tr w14:paraId="29148F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51FB19AB">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total lote/item: Por extenso</w:t>
            </w:r>
          </w:p>
        </w:tc>
      </w:tr>
      <w:tr w14:paraId="189B3D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14C304C9">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total: Por extenso</w:t>
            </w:r>
          </w:p>
        </w:tc>
      </w:tr>
      <w:tr w14:paraId="5CD3CB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169ED6D0">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Declaramos inteira submissão aos termos desta proposta, do Edital e à Legislação em vigor.</w:t>
            </w:r>
          </w:p>
          <w:p w14:paraId="66A3AE45">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Valença, _______ de __________________ de ________.</w:t>
            </w:r>
          </w:p>
          <w:p w14:paraId="30617C90">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_____________________________________</w:t>
            </w:r>
          </w:p>
          <w:p w14:paraId="26F45E94">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Representante legal (nome por extenso)</w:t>
            </w:r>
          </w:p>
          <w:p w14:paraId="07DD2B6F">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Cargo:</w:t>
            </w:r>
          </w:p>
          <w:p w14:paraId="4AD808BB">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CPF:</w:t>
            </w:r>
          </w:p>
        </w:tc>
      </w:tr>
    </w:tbl>
    <w:p w14:paraId="443C21BF">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Deverão ser atendidas as especificações constantes no Termo de Referência.</w:t>
      </w:r>
    </w:p>
    <w:p w14:paraId="51E7818A">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Validade da proposta: 60 (sessenta) dias.</w:t>
      </w:r>
    </w:p>
    <w:p w14:paraId="39616D37">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Local de Entrega dos materiais: Conforme Termo de Referência.</w:t>
      </w:r>
    </w:p>
    <w:p w14:paraId="69A7A7E7">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Obs.1: A empresa adjudicatária deverá fornecer os materiais de acordo com estabelecido na Legislação específica vigente e no Código de Defesa do Consumidor.</w:t>
      </w:r>
    </w:p>
    <w:p w14:paraId="5FE12959">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Obs. 2: A entrega dos materiais será aceita provisoriamente no local de entrega e após conferência de sua conformidade será o mesmo aceito definitivamente.</w:t>
      </w:r>
    </w:p>
    <w:p w14:paraId="5BFC32C4">
      <w:pPr>
        <w:pStyle w:val="77"/>
        <w:jc w:val="both"/>
        <w:rPr>
          <w:rFonts w:ascii="Times New Roman" w:hAnsi="Times New Roman" w:cs="Times New Roman"/>
          <w:b/>
          <w:sz w:val="24"/>
          <w:szCs w:val="24"/>
        </w:rPr>
      </w:pPr>
      <w:r>
        <w:rPr>
          <w:rFonts w:ascii="Times New Roman" w:hAnsi="Times New Roman" w:cs="Times New Roman"/>
          <w:b/>
          <w:sz w:val="24"/>
          <w:szCs w:val="24"/>
          <w:highlight w:val="yellow"/>
        </w:rPr>
        <w:t>Obs. 3: A proposta deverá ser elaborada em papel timbrado da empresa, com todos os dados da mesma.</w:t>
      </w:r>
    </w:p>
    <w:p w14:paraId="75347792">
      <w:pPr>
        <w:pStyle w:val="70"/>
        <w:rPr>
          <w:rFonts w:ascii="Times New Roman" w:hAnsi="Times New Roman" w:cs="Times New Roman"/>
        </w:rPr>
      </w:pPr>
    </w:p>
    <w:p w14:paraId="78DC0B3B">
      <w:pPr>
        <w:jc w:val="center"/>
        <w:rPr>
          <w:b/>
          <w:color w:val="000000"/>
          <w:sz w:val="24"/>
          <w:szCs w:val="24"/>
        </w:rPr>
      </w:pPr>
      <w:r>
        <w:rPr>
          <w:b/>
          <w:color w:val="000000"/>
          <w:sz w:val="24"/>
          <w:szCs w:val="24"/>
        </w:rPr>
        <w:t xml:space="preserve">   </w:t>
      </w:r>
    </w:p>
    <w:p w14:paraId="2CA7C58E">
      <w:pPr>
        <w:spacing w:before="288" w:beforeLines="120" w:after="288" w:afterLines="120" w:line="288" w:lineRule="auto"/>
        <w:contextualSpacing/>
        <w:jc w:val="center"/>
        <w:rPr>
          <w:rFonts w:eastAsia="MS Mincho"/>
          <w:b/>
          <w:color w:val="FF0000"/>
          <w:sz w:val="24"/>
          <w:szCs w:val="24"/>
          <w:u w:val="single"/>
        </w:rPr>
      </w:pPr>
      <w:r>
        <w:rPr>
          <w:rFonts w:eastAsia="MS Mincho"/>
          <w:b/>
          <w:sz w:val="24"/>
          <w:szCs w:val="24"/>
          <w:highlight w:val="yellow"/>
          <w:u w:val="single"/>
        </w:rPr>
        <w:t>ANEXO</w:t>
      </w:r>
      <w:r>
        <w:rPr>
          <w:rFonts w:eastAsia="MS Mincho"/>
          <w:b/>
          <w:color w:val="000000" w:themeColor="text1"/>
          <w:sz w:val="24"/>
          <w:szCs w:val="24"/>
          <w:highlight w:val="yellow"/>
          <w:u w:val="single"/>
          <w14:textFill>
            <w14:solidFill>
              <w14:schemeClr w14:val="tx1"/>
            </w14:solidFill>
          </w14:textFill>
        </w:rPr>
        <w:t xml:space="preserve"> IV </w:t>
      </w:r>
      <w:r>
        <w:rPr>
          <w:rFonts w:eastAsia="MS Mincho"/>
          <w:b/>
          <w:sz w:val="24"/>
          <w:szCs w:val="24"/>
          <w:highlight w:val="yellow"/>
          <w:u w:val="single"/>
        </w:rPr>
        <w:t>– DOCUMENTAÇÃO EXIGIDA PARA HABILITAÇÃO</w:t>
      </w:r>
    </w:p>
    <w:p w14:paraId="3B529A73">
      <w:pPr>
        <w:spacing w:before="288" w:beforeLines="120" w:after="288" w:afterLines="120" w:line="288" w:lineRule="auto"/>
        <w:contextualSpacing/>
        <w:jc w:val="center"/>
        <w:rPr>
          <w:rFonts w:eastAsia="MS Mincho"/>
          <w:b/>
          <w:color w:val="FF0000"/>
          <w:sz w:val="24"/>
          <w:szCs w:val="24"/>
        </w:rPr>
      </w:pPr>
    </w:p>
    <w:p w14:paraId="6AFBFAA7">
      <w:pPr>
        <w:spacing w:line="288" w:lineRule="auto"/>
        <w:contextualSpacing/>
        <w:rPr>
          <w:color w:val="FF0000"/>
          <w:sz w:val="24"/>
          <w:szCs w:val="24"/>
        </w:rPr>
      </w:pPr>
    </w:p>
    <w:p w14:paraId="5FCBC071">
      <w:pPr>
        <w:spacing w:line="288" w:lineRule="auto"/>
        <w:contextualSpacing/>
        <w:rPr>
          <w:b/>
          <w:bCs/>
          <w:sz w:val="24"/>
          <w:szCs w:val="24"/>
        </w:rPr>
      </w:pPr>
      <w:r>
        <w:rPr>
          <w:b/>
          <w:bCs/>
          <w:sz w:val="24"/>
          <w:szCs w:val="24"/>
        </w:rPr>
        <w:t>1. HABILITAÇÃO JURÍDICA</w:t>
      </w:r>
    </w:p>
    <w:p w14:paraId="26A29EEC">
      <w:pPr>
        <w:spacing w:line="288" w:lineRule="auto"/>
        <w:contextualSpacing/>
        <w:rPr>
          <w:sz w:val="24"/>
          <w:szCs w:val="24"/>
        </w:rPr>
      </w:pPr>
    </w:p>
    <w:p w14:paraId="47B77E7A">
      <w:pPr>
        <w:spacing w:before="240" w:after="240" w:line="288" w:lineRule="auto"/>
        <w:contextualSpacing/>
        <w:jc w:val="both"/>
        <w:rPr>
          <w:sz w:val="24"/>
          <w:szCs w:val="24"/>
        </w:rPr>
      </w:pPr>
      <w:r>
        <w:rPr>
          <w:bCs/>
          <w:sz w:val="24"/>
          <w:szCs w:val="24"/>
        </w:rPr>
        <w:t xml:space="preserve">1.1 </w:t>
      </w:r>
      <w:r>
        <w:rPr>
          <w:sz w:val="24"/>
          <w:szCs w:val="24"/>
        </w:rPr>
        <w:t>Pessoa física: cédula de identidade (RG) ou documento equivalente que, por força de lei, tenha validade para fins de identificação em todo o território nacional.</w:t>
      </w:r>
    </w:p>
    <w:p w14:paraId="657BF7BE">
      <w:pPr>
        <w:tabs>
          <w:tab w:val="left" w:pos="1440"/>
        </w:tabs>
        <w:autoSpaceDE w:val="0"/>
        <w:snapToGrid w:val="0"/>
        <w:spacing w:line="288" w:lineRule="auto"/>
        <w:contextualSpacing/>
        <w:jc w:val="both"/>
        <w:rPr>
          <w:sz w:val="24"/>
          <w:szCs w:val="24"/>
        </w:rPr>
      </w:pPr>
    </w:p>
    <w:p w14:paraId="5FDC23AA">
      <w:pPr>
        <w:tabs>
          <w:tab w:val="left" w:pos="1440"/>
        </w:tabs>
        <w:autoSpaceDE w:val="0"/>
        <w:snapToGrid w:val="0"/>
        <w:spacing w:line="288" w:lineRule="auto"/>
        <w:contextualSpacing/>
        <w:jc w:val="both"/>
        <w:rPr>
          <w:sz w:val="24"/>
          <w:szCs w:val="24"/>
        </w:rPr>
      </w:pPr>
      <w:r>
        <w:rPr>
          <w:sz w:val="24"/>
          <w:szCs w:val="24"/>
        </w:rPr>
        <w:t>1.2 Empresário individual: inscrição no Registro Público de Empresas Mercantis, a cargo da Junta Comercial da respectiva sede.</w:t>
      </w:r>
    </w:p>
    <w:p w14:paraId="1B512353">
      <w:pPr>
        <w:tabs>
          <w:tab w:val="left" w:pos="1440"/>
        </w:tabs>
        <w:autoSpaceDE w:val="0"/>
        <w:snapToGrid w:val="0"/>
        <w:spacing w:line="288" w:lineRule="auto"/>
        <w:contextualSpacing/>
        <w:jc w:val="both"/>
        <w:rPr>
          <w:sz w:val="24"/>
          <w:szCs w:val="24"/>
        </w:rPr>
      </w:pPr>
    </w:p>
    <w:p w14:paraId="12C4F694">
      <w:pPr>
        <w:tabs>
          <w:tab w:val="left" w:pos="1440"/>
        </w:tabs>
        <w:autoSpaceDE w:val="0"/>
        <w:snapToGrid w:val="0"/>
        <w:spacing w:line="288" w:lineRule="auto"/>
        <w:contextualSpacing/>
        <w:jc w:val="both"/>
        <w:rPr>
          <w:color w:val="000000"/>
          <w:sz w:val="24"/>
          <w:szCs w:val="24"/>
        </w:rPr>
      </w:pPr>
      <w:r>
        <w:rPr>
          <w:color w:val="000000"/>
          <w:sz w:val="24"/>
          <w:szCs w:val="24"/>
        </w:rPr>
        <w:t xml:space="preserve">1.3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6"/>
          <w:rFonts w:eastAsiaTheme="minorHAnsi"/>
          <w:sz w:val="24"/>
          <w:szCs w:val="24"/>
        </w:rPr>
        <w:t>www.portaldoempreendedor.gov.br</w:t>
      </w:r>
      <w:r>
        <w:rPr>
          <w:rStyle w:val="16"/>
          <w:rFonts w:eastAsiaTheme="minorHAnsi"/>
          <w:sz w:val="24"/>
          <w:szCs w:val="24"/>
        </w:rPr>
        <w:fldChar w:fldCharType="end"/>
      </w:r>
      <w:r>
        <w:rPr>
          <w:color w:val="000000"/>
          <w:sz w:val="24"/>
          <w:szCs w:val="24"/>
        </w:rPr>
        <w:t>.</w:t>
      </w:r>
    </w:p>
    <w:p w14:paraId="293453EC">
      <w:pPr>
        <w:tabs>
          <w:tab w:val="left" w:pos="1440"/>
        </w:tabs>
        <w:autoSpaceDE w:val="0"/>
        <w:snapToGrid w:val="0"/>
        <w:spacing w:line="288" w:lineRule="auto"/>
        <w:contextualSpacing/>
        <w:rPr>
          <w:color w:val="000000"/>
          <w:sz w:val="24"/>
          <w:szCs w:val="24"/>
        </w:rPr>
      </w:pPr>
    </w:p>
    <w:p w14:paraId="57845B80">
      <w:pPr>
        <w:tabs>
          <w:tab w:val="left" w:pos="1440"/>
        </w:tabs>
        <w:autoSpaceDE w:val="0"/>
        <w:snapToGrid w:val="0"/>
        <w:spacing w:line="288" w:lineRule="auto"/>
        <w:contextualSpacing/>
        <w:jc w:val="both"/>
        <w:rPr>
          <w:color w:val="000000"/>
          <w:sz w:val="24"/>
          <w:szCs w:val="24"/>
        </w:rPr>
      </w:pPr>
      <w:r>
        <w:rPr>
          <w:color w:val="000000"/>
          <w:sz w:val="24"/>
          <w:szCs w:val="24"/>
        </w:rPr>
        <w:t xml:space="preserve">1.4 Sociedade Limitada Unipessoal - SLU: ato constitutivo, estatuto ou contrato social em vigor inscrito </w:t>
      </w:r>
      <w:r>
        <w:rPr>
          <w:sz w:val="24"/>
          <w:szCs w:val="24"/>
        </w:rPr>
        <w:t>no Registro Público de Empresas Mercantis, a cargo</w:t>
      </w:r>
      <w:r>
        <w:rPr>
          <w:color w:val="000000"/>
          <w:sz w:val="24"/>
          <w:szCs w:val="24"/>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0BB72461">
      <w:pPr>
        <w:tabs>
          <w:tab w:val="left" w:pos="1440"/>
        </w:tabs>
        <w:autoSpaceDE w:val="0"/>
        <w:snapToGrid w:val="0"/>
        <w:spacing w:line="288" w:lineRule="auto"/>
        <w:contextualSpacing/>
        <w:rPr>
          <w:sz w:val="24"/>
          <w:szCs w:val="24"/>
        </w:rPr>
      </w:pPr>
    </w:p>
    <w:p w14:paraId="0BFB5FC7">
      <w:pPr>
        <w:spacing w:line="288" w:lineRule="auto"/>
        <w:contextualSpacing/>
        <w:jc w:val="both"/>
        <w:rPr>
          <w:color w:val="000000"/>
          <w:sz w:val="24"/>
          <w:szCs w:val="24"/>
        </w:rPr>
      </w:pPr>
      <w:r>
        <w:rPr>
          <w:color w:val="000000"/>
          <w:sz w:val="24"/>
          <w:szCs w:val="24"/>
        </w:rPr>
        <w:t xml:space="preserve">1.5 Sociedade Empresária Estrangeira em funcionamento no País: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45961428">
      <w:pPr>
        <w:tabs>
          <w:tab w:val="left" w:pos="1440"/>
        </w:tabs>
        <w:autoSpaceDE w:val="0"/>
        <w:snapToGrid w:val="0"/>
        <w:spacing w:line="288" w:lineRule="auto"/>
        <w:contextualSpacing/>
        <w:jc w:val="both"/>
        <w:rPr>
          <w:color w:val="000000"/>
          <w:sz w:val="24"/>
          <w:szCs w:val="24"/>
        </w:rPr>
      </w:pPr>
    </w:p>
    <w:p w14:paraId="29902B95">
      <w:pPr>
        <w:tabs>
          <w:tab w:val="left" w:pos="1440"/>
        </w:tabs>
        <w:autoSpaceDE w:val="0"/>
        <w:snapToGrid w:val="0"/>
        <w:spacing w:line="288" w:lineRule="auto"/>
        <w:contextualSpacing/>
        <w:jc w:val="both"/>
        <w:rPr>
          <w:color w:val="000000"/>
          <w:sz w:val="24"/>
          <w:szCs w:val="24"/>
        </w:rPr>
      </w:pPr>
      <w:r>
        <w:rPr>
          <w:color w:val="000000"/>
          <w:sz w:val="24"/>
          <w:szCs w:val="24"/>
        </w:rPr>
        <w:t>1.6 Sociedade Simples: inscrição do ato constitutivo no Registro Civil das Pessoas Jurídicas do local de sua sede, acompanhada de prova da indicação dos seus administradores.</w:t>
      </w:r>
    </w:p>
    <w:p w14:paraId="1AE4BFEF">
      <w:pPr>
        <w:tabs>
          <w:tab w:val="left" w:pos="1440"/>
        </w:tabs>
        <w:autoSpaceDE w:val="0"/>
        <w:snapToGrid w:val="0"/>
        <w:spacing w:line="288" w:lineRule="auto"/>
        <w:contextualSpacing/>
        <w:jc w:val="both"/>
        <w:rPr>
          <w:color w:val="000000"/>
          <w:sz w:val="24"/>
          <w:szCs w:val="24"/>
        </w:rPr>
      </w:pPr>
    </w:p>
    <w:p w14:paraId="54A3EE44">
      <w:pPr>
        <w:tabs>
          <w:tab w:val="left" w:pos="1440"/>
        </w:tabs>
        <w:autoSpaceDE w:val="0"/>
        <w:snapToGrid w:val="0"/>
        <w:spacing w:line="288" w:lineRule="auto"/>
        <w:contextualSpacing/>
        <w:jc w:val="both"/>
        <w:rPr>
          <w:color w:val="000000"/>
          <w:sz w:val="24"/>
          <w:szCs w:val="24"/>
        </w:rPr>
      </w:pPr>
      <w:r>
        <w:rPr>
          <w:color w:val="000000"/>
          <w:sz w:val="24"/>
          <w:szCs w:val="24"/>
        </w:rPr>
        <w:t xml:space="preserve">1.7 </w:t>
      </w:r>
      <w:r>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2FF89A9E">
      <w:pPr>
        <w:tabs>
          <w:tab w:val="left" w:pos="1440"/>
        </w:tabs>
        <w:autoSpaceDE w:val="0"/>
        <w:snapToGrid w:val="0"/>
        <w:spacing w:line="288" w:lineRule="auto"/>
        <w:contextualSpacing/>
        <w:jc w:val="both"/>
        <w:rPr>
          <w:color w:val="000000"/>
          <w:sz w:val="24"/>
          <w:szCs w:val="24"/>
        </w:rPr>
      </w:pPr>
    </w:p>
    <w:p w14:paraId="6F507929">
      <w:pPr>
        <w:tabs>
          <w:tab w:val="left" w:pos="1440"/>
        </w:tabs>
        <w:autoSpaceDE w:val="0"/>
        <w:snapToGrid w:val="0"/>
        <w:spacing w:line="288" w:lineRule="auto"/>
        <w:contextualSpacing/>
        <w:jc w:val="both"/>
        <w:rPr>
          <w:sz w:val="24"/>
          <w:szCs w:val="24"/>
        </w:rPr>
      </w:pPr>
      <w:r>
        <w:rPr>
          <w:sz w:val="24"/>
          <w:szCs w:val="24"/>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7D450AF5">
      <w:pPr>
        <w:tabs>
          <w:tab w:val="left" w:pos="1440"/>
        </w:tabs>
        <w:autoSpaceDE w:val="0"/>
        <w:snapToGrid w:val="0"/>
        <w:spacing w:line="288" w:lineRule="auto"/>
        <w:contextualSpacing/>
        <w:jc w:val="both"/>
        <w:rPr>
          <w:sz w:val="24"/>
          <w:szCs w:val="24"/>
        </w:rPr>
      </w:pPr>
    </w:p>
    <w:p w14:paraId="5CC25CF4">
      <w:pPr>
        <w:spacing w:line="288" w:lineRule="auto"/>
        <w:contextualSpacing/>
        <w:rPr>
          <w:sz w:val="24"/>
          <w:szCs w:val="24"/>
        </w:rPr>
      </w:pPr>
      <w:r>
        <w:rPr>
          <w:bCs/>
          <w:sz w:val="24"/>
          <w:szCs w:val="24"/>
        </w:rPr>
        <w:t xml:space="preserve">1.9 </w:t>
      </w:r>
      <w:r>
        <w:rPr>
          <w:bCs/>
          <w:color w:val="000000"/>
          <w:sz w:val="24"/>
          <w:szCs w:val="24"/>
        </w:rPr>
        <w:t>Quando cabível, os documentos apresentados devem estar acompanhados de todas as alterações ou da consolidação respectiva.</w:t>
      </w:r>
    </w:p>
    <w:p w14:paraId="2774D189">
      <w:pPr>
        <w:spacing w:line="288" w:lineRule="auto"/>
        <w:contextualSpacing/>
        <w:rPr>
          <w:sz w:val="24"/>
          <w:szCs w:val="24"/>
        </w:rPr>
      </w:pPr>
    </w:p>
    <w:p w14:paraId="479746E4">
      <w:pPr>
        <w:spacing w:line="288" w:lineRule="auto"/>
        <w:contextualSpacing/>
        <w:rPr>
          <w:b/>
          <w:bCs/>
          <w:color w:val="000000"/>
          <w:sz w:val="24"/>
          <w:szCs w:val="24"/>
        </w:rPr>
      </w:pPr>
      <w:r>
        <w:rPr>
          <w:b/>
          <w:bCs/>
          <w:sz w:val="24"/>
          <w:szCs w:val="24"/>
        </w:rPr>
        <w:t xml:space="preserve">2. HABILITAÇÃO </w:t>
      </w:r>
      <w:r>
        <w:rPr>
          <w:b/>
          <w:bCs/>
          <w:color w:val="000000"/>
          <w:sz w:val="24"/>
          <w:szCs w:val="24"/>
        </w:rPr>
        <w:t>FISCAL, SOCIAL E TRABALHISTA:</w:t>
      </w:r>
    </w:p>
    <w:p w14:paraId="118775AB">
      <w:pPr>
        <w:spacing w:line="288" w:lineRule="auto"/>
        <w:contextualSpacing/>
        <w:rPr>
          <w:b/>
          <w:bCs/>
          <w:color w:val="000000"/>
          <w:sz w:val="24"/>
          <w:szCs w:val="24"/>
        </w:rPr>
      </w:pPr>
    </w:p>
    <w:p w14:paraId="14B9D69F">
      <w:pPr>
        <w:tabs>
          <w:tab w:val="left" w:pos="1440"/>
        </w:tabs>
        <w:autoSpaceDE w:val="0"/>
        <w:snapToGrid w:val="0"/>
        <w:spacing w:line="288" w:lineRule="auto"/>
        <w:contextualSpacing/>
        <w:jc w:val="both"/>
        <w:rPr>
          <w:sz w:val="24"/>
          <w:szCs w:val="24"/>
          <w:lang w:eastAsia="en-US"/>
        </w:rPr>
      </w:pPr>
      <w:r>
        <w:rPr>
          <w:sz w:val="24"/>
          <w:szCs w:val="24"/>
          <w:lang w:eastAsia="en-US"/>
        </w:rPr>
        <w:t>2.1 Inscrição no Cadastro Nacional de Pessoas Jurídicas ou no Cadastro de Pessoas Físicas, conforme o caso.</w:t>
      </w:r>
    </w:p>
    <w:p w14:paraId="386B5FC3">
      <w:pPr>
        <w:tabs>
          <w:tab w:val="left" w:pos="1440"/>
        </w:tabs>
        <w:autoSpaceDE w:val="0"/>
        <w:snapToGrid w:val="0"/>
        <w:spacing w:line="288" w:lineRule="auto"/>
        <w:contextualSpacing/>
        <w:jc w:val="both"/>
        <w:rPr>
          <w:sz w:val="24"/>
          <w:szCs w:val="24"/>
          <w:lang w:eastAsia="en-US"/>
        </w:rPr>
      </w:pPr>
    </w:p>
    <w:p w14:paraId="0A45990E">
      <w:pPr>
        <w:tabs>
          <w:tab w:val="left" w:pos="1440"/>
        </w:tabs>
        <w:autoSpaceDE w:val="0"/>
        <w:snapToGrid w:val="0"/>
        <w:spacing w:line="288" w:lineRule="auto"/>
        <w:contextualSpacing/>
        <w:jc w:val="both"/>
        <w:rPr>
          <w:sz w:val="24"/>
          <w:szCs w:val="24"/>
        </w:rPr>
      </w:pPr>
      <w:r>
        <w:rPr>
          <w:sz w:val="24"/>
          <w:szCs w:val="24"/>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2B0D6011">
      <w:pPr>
        <w:tabs>
          <w:tab w:val="left" w:pos="1440"/>
        </w:tabs>
        <w:autoSpaceDE w:val="0"/>
        <w:snapToGrid w:val="0"/>
        <w:spacing w:line="288" w:lineRule="auto"/>
        <w:contextualSpacing/>
        <w:jc w:val="both"/>
        <w:rPr>
          <w:sz w:val="24"/>
          <w:szCs w:val="24"/>
        </w:rPr>
      </w:pPr>
    </w:p>
    <w:p w14:paraId="3B2B2592">
      <w:pPr>
        <w:tabs>
          <w:tab w:val="left" w:pos="1440"/>
        </w:tabs>
        <w:autoSpaceDE w:val="0"/>
        <w:snapToGrid w:val="0"/>
        <w:spacing w:line="288" w:lineRule="auto"/>
        <w:contextualSpacing/>
        <w:jc w:val="both"/>
        <w:rPr>
          <w:sz w:val="24"/>
          <w:szCs w:val="24"/>
        </w:rPr>
      </w:pPr>
      <w:r>
        <w:rPr>
          <w:color w:val="000000"/>
          <w:sz w:val="24"/>
          <w:szCs w:val="24"/>
          <w:lang w:eastAsia="en-US"/>
        </w:rPr>
        <w:t>2.3 Regularidade com o Fundo de Garantia do Tempo de Serviço (FGTS).</w:t>
      </w:r>
    </w:p>
    <w:p w14:paraId="014D3121">
      <w:pPr>
        <w:tabs>
          <w:tab w:val="left" w:pos="1440"/>
        </w:tabs>
        <w:autoSpaceDE w:val="0"/>
        <w:snapToGrid w:val="0"/>
        <w:spacing w:line="288" w:lineRule="auto"/>
        <w:contextualSpacing/>
        <w:jc w:val="both"/>
        <w:rPr>
          <w:sz w:val="24"/>
          <w:szCs w:val="24"/>
        </w:rPr>
      </w:pPr>
    </w:p>
    <w:p w14:paraId="09625F5C">
      <w:pPr>
        <w:tabs>
          <w:tab w:val="left" w:pos="1440"/>
        </w:tabs>
        <w:autoSpaceDE w:val="0"/>
        <w:snapToGrid w:val="0"/>
        <w:spacing w:line="288" w:lineRule="auto"/>
        <w:contextualSpacing/>
        <w:jc w:val="both"/>
        <w:rPr>
          <w:sz w:val="24"/>
          <w:szCs w:val="24"/>
        </w:rPr>
      </w:pPr>
      <w:r>
        <w:rPr>
          <w:color w:val="000000"/>
          <w:sz w:val="24"/>
          <w:szCs w:val="24"/>
        </w:rPr>
        <w:t>2.4 Declaração de que não emprega menor de 18 anos em trabalho noturno, perigoso ou insalubre e não emprega menor de 16 anos, salvo menor, a partir de 14 anos, na condição de aprendiz, nos termos do art. 7°, XXXIII, da Constituição.</w:t>
      </w:r>
    </w:p>
    <w:p w14:paraId="1DF111E2">
      <w:pPr>
        <w:tabs>
          <w:tab w:val="left" w:pos="1440"/>
        </w:tabs>
        <w:autoSpaceDE w:val="0"/>
        <w:snapToGrid w:val="0"/>
        <w:spacing w:line="288" w:lineRule="auto"/>
        <w:contextualSpacing/>
        <w:jc w:val="both"/>
        <w:rPr>
          <w:color w:val="000000"/>
          <w:sz w:val="24"/>
          <w:szCs w:val="24"/>
        </w:rPr>
      </w:pPr>
    </w:p>
    <w:p w14:paraId="4447D8B1">
      <w:pPr>
        <w:tabs>
          <w:tab w:val="left" w:pos="1440"/>
        </w:tabs>
        <w:autoSpaceDE w:val="0"/>
        <w:snapToGrid w:val="0"/>
        <w:spacing w:line="288" w:lineRule="auto"/>
        <w:contextualSpacing/>
        <w:jc w:val="both"/>
        <w:rPr>
          <w:sz w:val="24"/>
          <w:szCs w:val="24"/>
          <w:lang w:eastAsia="en-US"/>
        </w:rPr>
      </w:pPr>
      <w:r>
        <w:rPr>
          <w:sz w:val="24"/>
          <w:szCs w:val="24"/>
          <w:lang w:eastAsia="en-US"/>
        </w:rPr>
        <w:t>2.5 Prova de inexistência de débitos inadimplidos perante a Justiça do Trabalho, mediante a apresentação de certidão negativa ou positiva com efeito de negativa, nos termos do Título VII-A da Consolidação das Leis do Trabalho.</w:t>
      </w:r>
    </w:p>
    <w:p w14:paraId="1350C85F">
      <w:pPr>
        <w:tabs>
          <w:tab w:val="left" w:pos="1440"/>
        </w:tabs>
        <w:autoSpaceDE w:val="0"/>
        <w:snapToGrid w:val="0"/>
        <w:spacing w:line="288" w:lineRule="auto"/>
        <w:contextualSpacing/>
        <w:jc w:val="both"/>
        <w:rPr>
          <w:sz w:val="24"/>
          <w:szCs w:val="24"/>
          <w:lang w:eastAsia="en-US"/>
        </w:rPr>
      </w:pPr>
    </w:p>
    <w:p w14:paraId="1D239A03">
      <w:pPr>
        <w:tabs>
          <w:tab w:val="left" w:pos="1440"/>
        </w:tabs>
        <w:autoSpaceDE w:val="0"/>
        <w:snapToGrid w:val="0"/>
        <w:spacing w:line="288" w:lineRule="auto"/>
        <w:contextualSpacing/>
        <w:jc w:val="both"/>
        <w:rPr>
          <w:bCs/>
          <w:sz w:val="24"/>
          <w:szCs w:val="24"/>
        </w:rPr>
      </w:pPr>
      <w:r>
        <w:rPr>
          <w:bCs/>
          <w:sz w:val="24"/>
          <w:szCs w:val="24"/>
        </w:rPr>
        <w:t xml:space="preserve">2.6 Prova de </w:t>
      </w:r>
      <w:r>
        <w:rPr>
          <w:color w:val="000000"/>
          <w:sz w:val="24"/>
          <w:szCs w:val="24"/>
        </w:rPr>
        <w:t xml:space="preserve">inscrição no cadastro de contribuintes </w:t>
      </w:r>
      <w:r>
        <w:rPr>
          <w:sz w:val="24"/>
          <w:szCs w:val="24"/>
        </w:rPr>
        <w:t>estadual/distrital</w:t>
      </w:r>
      <w:r>
        <w:rPr>
          <w:color w:val="000000"/>
          <w:sz w:val="24"/>
          <w:szCs w:val="24"/>
        </w:rPr>
        <w:t>, relativo ao domicílio ou sede do fornecedor, pertinente ao seu ramo de atividade e compatível com o objeto contratual</w:t>
      </w:r>
      <w:r>
        <w:rPr>
          <w:bCs/>
          <w:sz w:val="24"/>
          <w:szCs w:val="24"/>
        </w:rPr>
        <w:t>.</w:t>
      </w:r>
    </w:p>
    <w:p w14:paraId="79D83316">
      <w:pPr>
        <w:tabs>
          <w:tab w:val="left" w:pos="1440"/>
        </w:tabs>
        <w:autoSpaceDE w:val="0"/>
        <w:snapToGrid w:val="0"/>
        <w:spacing w:line="288" w:lineRule="auto"/>
        <w:contextualSpacing/>
        <w:jc w:val="both"/>
        <w:rPr>
          <w:bCs/>
          <w:sz w:val="24"/>
          <w:szCs w:val="24"/>
        </w:rPr>
      </w:pPr>
    </w:p>
    <w:p w14:paraId="762CD690">
      <w:pPr>
        <w:tabs>
          <w:tab w:val="left" w:pos="1440"/>
        </w:tabs>
        <w:autoSpaceDE w:val="0"/>
        <w:snapToGrid w:val="0"/>
        <w:spacing w:line="288" w:lineRule="auto"/>
        <w:contextualSpacing/>
        <w:jc w:val="both"/>
        <w:rPr>
          <w:sz w:val="24"/>
          <w:szCs w:val="24"/>
          <w:lang w:eastAsia="en-US"/>
        </w:rPr>
      </w:pPr>
      <w:r>
        <w:rPr>
          <w:bCs/>
          <w:sz w:val="24"/>
          <w:szCs w:val="24"/>
        </w:rPr>
        <w:t xml:space="preserve">2.6.1 O fornecedor enquadrado como microempreendedor individual que pretenda auferir os benefícios do tratamento diferenciado previstos na </w:t>
      </w:r>
      <w:r>
        <w:fldChar w:fldCharType="begin"/>
      </w:r>
      <w:r>
        <w:instrText xml:space="preserve"> HYPERLINK "https://www.planalto.gov.br/ccivil_03/leis/lcp/lcp123.htm" </w:instrText>
      </w:r>
      <w:r>
        <w:fldChar w:fldCharType="separate"/>
      </w:r>
      <w:r>
        <w:rPr>
          <w:rStyle w:val="16"/>
          <w:rFonts w:eastAsiaTheme="minorHAnsi"/>
          <w:bCs/>
          <w:sz w:val="24"/>
          <w:szCs w:val="24"/>
        </w:rPr>
        <w:t>Lei Complementar nº 123/2006</w:t>
      </w:r>
      <w:r>
        <w:rPr>
          <w:rStyle w:val="16"/>
          <w:rFonts w:eastAsiaTheme="minorHAnsi"/>
          <w:bCs/>
          <w:sz w:val="24"/>
          <w:szCs w:val="24"/>
        </w:rPr>
        <w:fldChar w:fldCharType="end"/>
      </w:r>
      <w:r>
        <w:rPr>
          <w:bCs/>
          <w:sz w:val="24"/>
          <w:szCs w:val="24"/>
        </w:rPr>
        <w:t xml:space="preserve">, estará dispensado da prova de inscrição nos cadastros de contribuintes estadual e municipal, eis que a </w:t>
      </w:r>
      <w:r>
        <w:rPr>
          <w:sz w:val="24"/>
          <w:szCs w:val="24"/>
        </w:rPr>
        <w:t>apresentação do Certificado de Condição de Microempreendedor Individual – CCMEI supre tais requisitos.</w:t>
      </w:r>
    </w:p>
    <w:p w14:paraId="31305104">
      <w:pPr>
        <w:tabs>
          <w:tab w:val="left" w:pos="1440"/>
        </w:tabs>
        <w:autoSpaceDE w:val="0"/>
        <w:snapToGrid w:val="0"/>
        <w:spacing w:line="288" w:lineRule="auto"/>
        <w:contextualSpacing/>
        <w:jc w:val="both"/>
        <w:rPr>
          <w:sz w:val="24"/>
          <w:szCs w:val="24"/>
          <w:lang w:eastAsia="en-US"/>
        </w:rPr>
      </w:pPr>
    </w:p>
    <w:p w14:paraId="25A0E64A">
      <w:pPr>
        <w:tabs>
          <w:tab w:val="left" w:pos="1440"/>
        </w:tabs>
        <w:autoSpaceDE w:val="0"/>
        <w:snapToGrid w:val="0"/>
        <w:spacing w:line="288" w:lineRule="auto"/>
        <w:contextualSpacing/>
        <w:jc w:val="both"/>
        <w:rPr>
          <w:sz w:val="24"/>
          <w:szCs w:val="24"/>
        </w:rPr>
      </w:pPr>
      <w:r>
        <w:rPr>
          <w:sz w:val="24"/>
          <w:szCs w:val="24"/>
        </w:rPr>
        <w:t>2.7 Prova de regularidade com a Fazenda do Estado do Rio de Janeiro, mediante a apresentação de:</w:t>
      </w:r>
    </w:p>
    <w:p w14:paraId="28AF6493">
      <w:pPr>
        <w:tabs>
          <w:tab w:val="left" w:pos="1440"/>
        </w:tabs>
        <w:autoSpaceDE w:val="0"/>
        <w:snapToGrid w:val="0"/>
        <w:spacing w:line="288" w:lineRule="auto"/>
        <w:contextualSpacing/>
        <w:jc w:val="both"/>
        <w:rPr>
          <w:sz w:val="24"/>
          <w:szCs w:val="24"/>
        </w:rPr>
      </w:pPr>
    </w:p>
    <w:p w14:paraId="6BB21E03">
      <w:pPr>
        <w:tabs>
          <w:tab w:val="left" w:pos="1440"/>
        </w:tabs>
        <w:autoSpaceDE w:val="0"/>
        <w:snapToGrid w:val="0"/>
        <w:spacing w:line="288" w:lineRule="auto"/>
        <w:contextualSpacing/>
        <w:jc w:val="both"/>
        <w:rPr>
          <w:sz w:val="24"/>
          <w:szCs w:val="24"/>
          <w:lang w:eastAsia="en-US"/>
        </w:rPr>
      </w:pPr>
      <w:r>
        <w:rPr>
          <w:sz w:val="24"/>
          <w:szCs w:val="24"/>
        </w:rPr>
        <w:t xml:space="preserve">2.7.1 Certidão Negativa de Débitos, ou Certidão Positiva com efeito de Negativa, expedida pela Secretaria de Estado de Fazenda; e </w:t>
      </w:r>
    </w:p>
    <w:p w14:paraId="2B36454A">
      <w:pPr>
        <w:pStyle w:val="31"/>
        <w:spacing w:line="288" w:lineRule="auto"/>
        <w:ind w:firstLine="0"/>
        <w:contextualSpacing/>
        <w:rPr>
          <w:rFonts w:ascii="Times New Roman" w:hAnsi="Times New Roman"/>
          <w:szCs w:val="24"/>
        </w:rPr>
      </w:pPr>
    </w:p>
    <w:p w14:paraId="5C0CE672">
      <w:pPr>
        <w:pStyle w:val="31"/>
        <w:spacing w:line="288" w:lineRule="auto"/>
        <w:ind w:firstLine="0"/>
        <w:contextualSpacing/>
        <w:rPr>
          <w:rFonts w:ascii="Times New Roman" w:hAnsi="Times New Roman"/>
          <w:szCs w:val="24"/>
        </w:rPr>
      </w:pPr>
      <w:r>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75F196F3">
      <w:pPr>
        <w:tabs>
          <w:tab w:val="left" w:pos="1440"/>
        </w:tabs>
        <w:autoSpaceDE w:val="0"/>
        <w:snapToGrid w:val="0"/>
        <w:spacing w:line="288" w:lineRule="auto"/>
        <w:contextualSpacing/>
        <w:jc w:val="both"/>
        <w:rPr>
          <w:sz w:val="24"/>
          <w:szCs w:val="24"/>
        </w:rPr>
      </w:pPr>
    </w:p>
    <w:p w14:paraId="5038EBED">
      <w:pPr>
        <w:tabs>
          <w:tab w:val="left" w:pos="1440"/>
        </w:tabs>
        <w:autoSpaceDE w:val="0"/>
        <w:snapToGrid w:val="0"/>
        <w:spacing w:line="288" w:lineRule="auto"/>
        <w:contextualSpacing/>
        <w:jc w:val="both"/>
        <w:rPr>
          <w:sz w:val="24"/>
          <w:szCs w:val="24"/>
        </w:rPr>
      </w:pPr>
      <w:r>
        <w:rPr>
          <w:sz w:val="24"/>
          <w:szCs w:val="24"/>
        </w:rPr>
        <w:t>2.8 Regularidade com a Fazenda Estadual</w:t>
      </w:r>
      <w:r>
        <w:rPr>
          <w:color w:val="FF0000"/>
          <w:sz w:val="24"/>
          <w:szCs w:val="24"/>
        </w:rPr>
        <w:t xml:space="preserve"> </w:t>
      </w:r>
      <w:r>
        <w:rPr>
          <w:sz w:val="24"/>
          <w:szCs w:val="24"/>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32BFC27C">
      <w:pPr>
        <w:tabs>
          <w:tab w:val="left" w:pos="1440"/>
        </w:tabs>
        <w:autoSpaceDE w:val="0"/>
        <w:snapToGrid w:val="0"/>
        <w:spacing w:line="288" w:lineRule="auto"/>
        <w:contextualSpacing/>
        <w:jc w:val="both"/>
        <w:rPr>
          <w:sz w:val="24"/>
          <w:szCs w:val="24"/>
        </w:rPr>
      </w:pPr>
    </w:p>
    <w:p w14:paraId="0194CB4B">
      <w:pPr>
        <w:spacing w:line="288" w:lineRule="auto"/>
        <w:contextualSpacing/>
        <w:jc w:val="both"/>
        <w:rPr>
          <w:sz w:val="24"/>
          <w:szCs w:val="24"/>
        </w:rPr>
      </w:pPr>
      <w:r>
        <w:rPr>
          <w:sz w:val="24"/>
          <w:szCs w:val="24"/>
        </w:rPr>
        <w:t xml:space="preserve">2.9 Caso o fornecedor seja considerado isento dos tributos </w:t>
      </w:r>
      <w:r>
        <w:rPr>
          <w:iCs/>
          <w:sz w:val="24"/>
          <w:szCs w:val="24"/>
        </w:rPr>
        <w:t>estaduais</w:t>
      </w:r>
      <w:r>
        <w:rPr>
          <w:color w:val="FF0000"/>
          <w:sz w:val="24"/>
          <w:szCs w:val="24"/>
        </w:rPr>
        <w:t xml:space="preserve"> </w:t>
      </w:r>
      <w:r>
        <w:rPr>
          <w:sz w:val="24"/>
          <w:szCs w:val="24"/>
        </w:rPr>
        <w:t>relacionados ao objeto contratual, deverá comprovar tal condição mediante a apresentação de declaração da Fazenda respectiva do seu domicílio ou sede, ou outra equivalente, na forma da lei.</w:t>
      </w:r>
    </w:p>
    <w:p w14:paraId="4447B138">
      <w:pPr>
        <w:spacing w:line="288" w:lineRule="auto"/>
        <w:contextualSpacing/>
        <w:rPr>
          <w:sz w:val="24"/>
          <w:szCs w:val="24"/>
        </w:rPr>
      </w:pPr>
    </w:p>
    <w:p w14:paraId="0D669B4C">
      <w:pPr>
        <w:pStyle w:val="36"/>
        <w:spacing w:after="0" w:line="288" w:lineRule="auto"/>
        <w:ind w:left="0"/>
        <w:contextualSpacing/>
        <w:jc w:val="both"/>
        <w:rPr>
          <w:rFonts w:ascii="Times New Roman" w:hAnsi="Times New Roman" w:cs="Times New Roman"/>
          <w:sz w:val="24"/>
          <w:szCs w:val="24"/>
        </w:rPr>
      </w:pPr>
      <w:bookmarkStart w:id="39" w:name="_Hlk178775808"/>
      <w:r>
        <w:rPr>
          <w:rFonts w:ascii="Times New Roman" w:hAnsi="Times New Roman" w:cs="Times New Roman"/>
          <w:bCs/>
          <w:sz w:val="24"/>
          <w:szCs w:val="24"/>
        </w:rPr>
        <w:t>2.10</w:t>
      </w:r>
      <w:r>
        <w:rPr>
          <w:rFonts w:ascii="Times New Roman" w:hAnsi="Times New Roman" w:cs="Times New Roman"/>
          <w:b/>
          <w:sz w:val="24"/>
          <w:szCs w:val="24"/>
        </w:rPr>
        <w:t xml:space="preserve"> </w:t>
      </w:r>
      <w:r>
        <w:rPr>
          <w:rFonts w:ascii="Times New Roman" w:hAnsi="Times New Roman" w:cs="Times New Roman"/>
          <w:sz w:val="24"/>
          <w:szCs w:val="24"/>
        </w:rPr>
        <w:t>Na hipótese de cuidar-se de microempresa ou de empresa de pequeno porte, na forma do art. 42 da Lei Complementar nº 123/2006, a documentação somente será exigida para efeito de assinatura do contrato, caso se sagre vencedora no certame.</w:t>
      </w:r>
    </w:p>
    <w:p w14:paraId="34606B68">
      <w:pPr>
        <w:spacing w:line="288" w:lineRule="auto"/>
        <w:contextualSpacing/>
        <w:jc w:val="both"/>
        <w:rPr>
          <w:sz w:val="24"/>
          <w:szCs w:val="24"/>
        </w:rPr>
      </w:pPr>
    </w:p>
    <w:p w14:paraId="7205427B">
      <w:pPr>
        <w:spacing w:line="288" w:lineRule="auto"/>
        <w:contextualSpacing/>
        <w:jc w:val="both"/>
        <w:rPr>
          <w:sz w:val="24"/>
          <w:szCs w:val="24"/>
        </w:rPr>
      </w:pPr>
      <w:r>
        <w:rPr>
          <w:sz w:val="24"/>
          <w:szCs w:val="24"/>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39"/>
    <w:p w14:paraId="4ED45062">
      <w:pPr>
        <w:spacing w:line="288" w:lineRule="auto"/>
        <w:contextualSpacing/>
        <w:jc w:val="both"/>
        <w:rPr>
          <w:sz w:val="24"/>
          <w:szCs w:val="24"/>
        </w:rPr>
      </w:pPr>
    </w:p>
    <w:p w14:paraId="421CA86D">
      <w:pPr>
        <w:spacing w:line="288" w:lineRule="auto"/>
        <w:contextualSpacing/>
        <w:jc w:val="both"/>
        <w:rPr>
          <w:sz w:val="24"/>
          <w:szCs w:val="24"/>
        </w:rPr>
      </w:pPr>
      <w:r>
        <w:rPr>
          <w:sz w:val="24"/>
          <w:szCs w:val="24"/>
        </w:rPr>
        <w:t>2.10.2 O prazo acima poderá ser prorrogado por igual período, a critério exclusivo da Administração Pública.</w:t>
      </w:r>
    </w:p>
    <w:p w14:paraId="60763BDB">
      <w:pPr>
        <w:spacing w:line="288" w:lineRule="auto"/>
        <w:contextualSpacing/>
        <w:jc w:val="both"/>
        <w:rPr>
          <w:bCs/>
          <w:sz w:val="24"/>
          <w:szCs w:val="24"/>
        </w:rPr>
      </w:pPr>
    </w:p>
    <w:p w14:paraId="32E32DBB">
      <w:pPr>
        <w:spacing w:line="288" w:lineRule="auto"/>
        <w:contextualSpacing/>
        <w:jc w:val="both"/>
        <w:rPr>
          <w:sz w:val="24"/>
          <w:szCs w:val="24"/>
        </w:rPr>
      </w:pPr>
      <w:bookmarkStart w:id="40" w:name="_Hlk178775828"/>
      <w:r>
        <w:rPr>
          <w:bCs/>
          <w:sz w:val="24"/>
          <w:szCs w:val="24"/>
        </w:rPr>
        <w:t xml:space="preserve">2.10.3 </w:t>
      </w:r>
      <w:r>
        <w:rPr>
          <w:sz w:val="24"/>
          <w:szCs w:val="24"/>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40"/>
    <w:p w14:paraId="505E2B5C">
      <w:pPr>
        <w:spacing w:before="288" w:beforeLines="120" w:after="288" w:afterLines="120" w:line="288" w:lineRule="auto"/>
        <w:contextualSpacing/>
        <w:jc w:val="center"/>
        <w:rPr>
          <w:rFonts w:eastAsia="MS Mincho"/>
          <w:b/>
          <w:color w:val="FF0000"/>
          <w:sz w:val="24"/>
          <w:szCs w:val="24"/>
        </w:rPr>
      </w:pPr>
    </w:p>
    <w:p w14:paraId="47B24CC0">
      <w:pPr>
        <w:spacing w:line="288" w:lineRule="auto"/>
        <w:jc w:val="both"/>
        <w:rPr>
          <w:sz w:val="24"/>
          <w:szCs w:val="24"/>
        </w:rPr>
      </w:pPr>
      <w:r>
        <w:rPr>
          <w:b/>
          <w:bCs/>
          <w:sz w:val="24"/>
          <w:szCs w:val="24"/>
        </w:rPr>
        <w:t xml:space="preserve">3. HABILITAÇÃO </w:t>
      </w:r>
      <w:r>
        <w:rPr>
          <w:b/>
          <w:bCs/>
          <w:color w:val="000000"/>
          <w:sz w:val="24"/>
          <w:szCs w:val="24"/>
        </w:rPr>
        <w:t xml:space="preserve">ECONÔMICO-FINANCEIRA: </w:t>
      </w:r>
    </w:p>
    <w:p w14:paraId="1E3743E9">
      <w:pPr>
        <w:spacing w:line="288" w:lineRule="auto"/>
        <w:jc w:val="both"/>
        <w:rPr>
          <w:sz w:val="24"/>
          <w:szCs w:val="24"/>
        </w:rPr>
      </w:pPr>
    </w:p>
    <w:p w14:paraId="4934F32C">
      <w:pPr>
        <w:spacing w:line="288" w:lineRule="auto"/>
        <w:jc w:val="both"/>
        <w:rPr>
          <w:sz w:val="24"/>
          <w:szCs w:val="24"/>
        </w:rPr>
      </w:pPr>
      <w:r>
        <w:rPr>
          <w:sz w:val="24"/>
          <w:szCs w:val="24"/>
        </w:rPr>
        <w:t>3.1 Certidão negativa de falência expedida pelo distribuidor da sede do fornecedor, caso se trate de pessoa jurídica, ou certidão negativa de insolvência civil expedida pelo distribuidor do domicílio ou sede do fornecedor, caso se trate de pessoa física</w:t>
      </w:r>
      <w:r>
        <w:fldChar w:fldCharType="begin"/>
      </w:r>
      <w:r>
        <w:instrText xml:space="preserve"> HYPERLINK "https://in.gov.br/en/web/dou/-/instrucao-normativa-seges/me-n-116-de-21-de-dezembro-de-2021-370926958" \l "art5" \h </w:instrText>
      </w:r>
      <w:r>
        <w:fldChar w:fldCharType="separate"/>
      </w:r>
      <w:r>
        <w:rPr>
          <w:sz w:val="24"/>
          <w:szCs w:val="24"/>
        </w:rPr>
        <w:t xml:space="preserve"> </w:t>
      </w:r>
      <w:r>
        <w:rPr>
          <w:sz w:val="24"/>
          <w:szCs w:val="24"/>
        </w:rPr>
        <w:fldChar w:fldCharType="end"/>
      </w:r>
      <w:r>
        <w:rPr>
          <w:sz w:val="24"/>
          <w:szCs w:val="24"/>
        </w:rPr>
        <w:t xml:space="preserve"> ou de sociedade simples.</w:t>
      </w:r>
    </w:p>
    <w:p w14:paraId="0F61BB4D">
      <w:pPr>
        <w:spacing w:line="288" w:lineRule="auto"/>
        <w:jc w:val="both"/>
        <w:rPr>
          <w:sz w:val="24"/>
          <w:szCs w:val="24"/>
        </w:rPr>
      </w:pPr>
    </w:p>
    <w:p w14:paraId="335B240F">
      <w:pPr>
        <w:spacing w:line="288" w:lineRule="auto"/>
        <w:jc w:val="both"/>
        <w:rPr>
          <w:sz w:val="24"/>
          <w:szCs w:val="24"/>
        </w:rPr>
      </w:pPr>
      <w:bookmarkStart w:id="41" w:name="_Hlk154232471"/>
      <w:r>
        <w:rPr>
          <w:sz w:val="24"/>
          <w:szCs w:val="24"/>
        </w:rPr>
        <w:t>3.1.1 Não será causa de inabilitação do licitante a anotação de distribuição de processo de recuperação judicial ou de pedido de homologação de recuperação extrajudicial.</w:t>
      </w:r>
    </w:p>
    <w:p w14:paraId="4A8317EF">
      <w:pPr>
        <w:spacing w:line="288" w:lineRule="auto"/>
        <w:jc w:val="both"/>
        <w:rPr>
          <w:sz w:val="24"/>
          <w:szCs w:val="24"/>
        </w:rPr>
      </w:pPr>
    </w:p>
    <w:bookmarkEnd w:id="41"/>
    <w:p w14:paraId="223A066A">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2714DB2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 Balanço patrimonial, demonstração de resultado de exercício e demais demonstrações contábeis dos 2 (dois) últimos exercícios sociais, vedada a sua substituição por balancetes ou balanços provisórios.</w:t>
      </w:r>
    </w:p>
    <w:p w14:paraId="6627A44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9D549F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3.2.1 Os documentos referidos acima limitar-se-ão ao último exercício social no caso de a pessoa jurídica ter sido constituída há menos de 2 (dois) anos.</w:t>
      </w:r>
    </w:p>
    <w:p w14:paraId="2682BE2E">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00C6A875">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 Os fornecedores criados no exercício financeiro da contratação deverão atender a todas as exigências da habilitação e ficam autorizados a substituir os demonstrativos contábeis pelo balanço de abertura;</w:t>
      </w:r>
    </w:p>
    <w:p w14:paraId="60393764">
      <w:pPr>
        <w:spacing w:line="288" w:lineRule="auto"/>
        <w:ind w:right="565"/>
        <w:jc w:val="both"/>
        <w:rPr>
          <w:color w:val="000000" w:themeColor="text1"/>
          <w:sz w:val="24"/>
          <w:szCs w:val="24"/>
          <w14:textFill>
            <w14:solidFill>
              <w14:schemeClr w14:val="tx1"/>
            </w14:solidFill>
          </w14:textFill>
        </w:rPr>
      </w:pPr>
    </w:p>
    <w:p w14:paraId="0E0EDB96">
      <w:pPr>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3.2.2.1</w:t>
      </w:r>
      <w:r>
        <w:rPr>
          <w:rFonts w:eastAsia="Arial"/>
          <w:color w:val="000000" w:themeColor="text1"/>
          <w:sz w:val="24"/>
          <w:szCs w:val="24"/>
          <w14:textFill>
            <w14:solidFill>
              <w14:schemeClr w14:val="tx1"/>
            </w14:solidFill>
          </w14:textFill>
        </w:rPr>
        <w:t xml:space="preserve"> Poderá ser apresentado o balanço intermediário, caso autorizado por lei ou pelo contrato/estatuto social.</w:t>
      </w:r>
    </w:p>
    <w:p w14:paraId="6B0AC9C7">
      <w:pPr>
        <w:spacing w:line="288" w:lineRule="auto"/>
        <w:ind w:right="565"/>
        <w:jc w:val="both"/>
        <w:rPr>
          <w:color w:val="000000" w:themeColor="text1"/>
          <w:sz w:val="24"/>
          <w:szCs w:val="24"/>
          <w14:textFill>
            <w14:solidFill>
              <w14:schemeClr w14:val="tx1"/>
            </w14:solidFill>
          </w14:textFill>
        </w:rPr>
      </w:pPr>
    </w:p>
    <w:p w14:paraId="17EBD1A7">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4CD6BEF8">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65691EFC">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3.3 Comprovação da boa situação financeira da empresa mediante obtenção de índices de Liquidez Geral (LG), Solvência Geral (SG) e Liquidez Corrente (LC), iguais ou superiores a 1 (um), obtidos pela aplicação das seguintes fórmulas: </w:t>
      </w:r>
    </w:p>
    <w:p w14:paraId="0CD6A329">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252"/>
      </w:tblGrid>
      <w:tr w14:paraId="1200FA83">
        <w:tblPrEx>
          <w:tblCellMar>
            <w:top w:w="0" w:type="dxa"/>
            <w:left w:w="108" w:type="dxa"/>
            <w:bottom w:w="0" w:type="dxa"/>
            <w:right w:w="108" w:type="dxa"/>
          </w:tblCellMar>
        </w:tblPrEx>
        <w:tc>
          <w:tcPr>
            <w:tcW w:w="2235" w:type="dxa"/>
            <w:vMerge w:val="restart"/>
            <w:shd w:val="clear" w:color="auto" w:fill="auto"/>
            <w:vAlign w:val="center"/>
          </w:tcPr>
          <w:p w14:paraId="213E07CE">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LG =</w:t>
            </w:r>
          </w:p>
        </w:tc>
        <w:tc>
          <w:tcPr>
            <w:tcW w:w="4252" w:type="dxa"/>
            <w:tcBorders>
              <w:bottom w:val="single" w:color="auto" w:sz="4" w:space="0"/>
            </w:tcBorders>
            <w:shd w:val="clear" w:color="auto" w:fill="auto"/>
            <w:vAlign w:val="bottom"/>
          </w:tcPr>
          <w:p w14:paraId="63BE2E3E">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 + Realizável a Longo Prazo</w:t>
            </w:r>
          </w:p>
        </w:tc>
      </w:tr>
      <w:tr w14:paraId="38538E67">
        <w:tblPrEx>
          <w:tblCellMar>
            <w:top w:w="0" w:type="dxa"/>
            <w:left w:w="108" w:type="dxa"/>
            <w:bottom w:w="0" w:type="dxa"/>
            <w:right w:w="108" w:type="dxa"/>
          </w:tblCellMar>
        </w:tblPrEx>
        <w:tc>
          <w:tcPr>
            <w:tcW w:w="2235" w:type="dxa"/>
            <w:vMerge w:val="continue"/>
            <w:shd w:val="clear" w:color="auto" w:fill="auto"/>
          </w:tcPr>
          <w:p w14:paraId="4A971BF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252" w:type="dxa"/>
            <w:tcBorders>
              <w:top w:val="single" w:color="auto" w:sz="4" w:space="0"/>
            </w:tcBorders>
            <w:shd w:val="clear" w:color="auto" w:fill="auto"/>
          </w:tcPr>
          <w:p w14:paraId="22191BFD">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788AE8EB">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394"/>
      </w:tblGrid>
      <w:tr w14:paraId="742C71EA">
        <w:tblPrEx>
          <w:tblCellMar>
            <w:top w:w="0" w:type="dxa"/>
            <w:left w:w="108" w:type="dxa"/>
            <w:bottom w:w="0" w:type="dxa"/>
            <w:right w:w="108" w:type="dxa"/>
          </w:tblCellMar>
        </w:tblPrEx>
        <w:trPr>
          <w:cantSplit/>
        </w:trPr>
        <w:tc>
          <w:tcPr>
            <w:tcW w:w="2235" w:type="dxa"/>
            <w:vMerge w:val="restart"/>
            <w:shd w:val="clear" w:color="auto" w:fill="auto"/>
            <w:vAlign w:val="center"/>
          </w:tcPr>
          <w:p w14:paraId="041687F8">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SG =</w:t>
            </w:r>
          </w:p>
        </w:tc>
        <w:tc>
          <w:tcPr>
            <w:tcW w:w="4394" w:type="dxa"/>
            <w:tcBorders>
              <w:bottom w:val="single" w:color="auto" w:sz="4" w:space="0"/>
            </w:tcBorders>
            <w:shd w:val="clear" w:color="auto" w:fill="auto"/>
            <w:vAlign w:val="bottom"/>
          </w:tcPr>
          <w:p w14:paraId="6F6AEDA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Total</w:t>
            </w:r>
          </w:p>
        </w:tc>
      </w:tr>
      <w:tr w14:paraId="44B7D4A3">
        <w:tblPrEx>
          <w:tblCellMar>
            <w:top w:w="0" w:type="dxa"/>
            <w:left w:w="108" w:type="dxa"/>
            <w:bottom w:w="0" w:type="dxa"/>
            <w:right w:w="108" w:type="dxa"/>
          </w:tblCellMar>
        </w:tblPrEx>
        <w:trPr>
          <w:cantSplit/>
        </w:trPr>
        <w:tc>
          <w:tcPr>
            <w:tcW w:w="2235" w:type="dxa"/>
            <w:vMerge w:val="continue"/>
            <w:shd w:val="clear" w:color="auto" w:fill="auto"/>
          </w:tcPr>
          <w:p w14:paraId="681B1238">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394" w:type="dxa"/>
            <w:tcBorders>
              <w:top w:val="single" w:color="auto" w:sz="4" w:space="0"/>
            </w:tcBorders>
            <w:shd w:val="clear" w:color="auto" w:fill="auto"/>
          </w:tcPr>
          <w:p w14:paraId="7196E40E">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5B654C40">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2551"/>
      </w:tblGrid>
      <w:tr w14:paraId="7B19A61D">
        <w:tblPrEx>
          <w:tblCellMar>
            <w:top w:w="0" w:type="dxa"/>
            <w:left w:w="108" w:type="dxa"/>
            <w:bottom w:w="0" w:type="dxa"/>
            <w:right w:w="108" w:type="dxa"/>
          </w:tblCellMar>
        </w:tblPrEx>
        <w:tc>
          <w:tcPr>
            <w:tcW w:w="2235" w:type="dxa"/>
            <w:vMerge w:val="restart"/>
            <w:shd w:val="clear" w:color="auto" w:fill="auto"/>
            <w:vAlign w:val="center"/>
          </w:tcPr>
          <w:p w14:paraId="582B27B0">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LC =</w:t>
            </w:r>
          </w:p>
        </w:tc>
        <w:tc>
          <w:tcPr>
            <w:tcW w:w="2551" w:type="dxa"/>
            <w:tcBorders>
              <w:bottom w:val="single" w:color="auto" w:sz="4" w:space="0"/>
            </w:tcBorders>
            <w:shd w:val="clear" w:color="auto" w:fill="auto"/>
            <w:vAlign w:val="bottom"/>
          </w:tcPr>
          <w:p w14:paraId="0A9E6F1F">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w:t>
            </w:r>
          </w:p>
        </w:tc>
      </w:tr>
      <w:tr w14:paraId="3D479EF5">
        <w:tblPrEx>
          <w:tblCellMar>
            <w:top w:w="0" w:type="dxa"/>
            <w:left w:w="108" w:type="dxa"/>
            <w:bottom w:w="0" w:type="dxa"/>
            <w:right w:w="108" w:type="dxa"/>
          </w:tblCellMar>
        </w:tblPrEx>
        <w:tc>
          <w:tcPr>
            <w:tcW w:w="2235" w:type="dxa"/>
            <w:vMerge w:val="continue"/>
            <w:shd w:val="clear" w:color="auto" w:fill="auto"/>
          </w:tcPr>
          <w:p w14:paraId="2206AD0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2551" w:type="dxa"/>
            <w:tcBorders>
              <w:top w:val="single" w:color="auto" w:sz="4" w:space="0"/>
            </w:tcBorders>
            <w:shd w:val="clear" w:color="auto" w:fill="auto"/>
          </w:tcPr>
          <w:p w14:paraId="7528E78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w:t>
            </w:r>
          </w:p>
        </w:tc>
      </w:tr>
    </w:tbl>
    <w:p w14:paraId="7FA9E05C">
      <w:pPr>
        <w:pStyle w:val="119"/>
        <w:spacing w:before="0" w:beforeAutospacing="0" w:after="0" w:afterAutospacing="0" w:line="288" w:lineRule="auto"/>
        <w:ind w:right="565"/>
        <w:jc w:val="both"/>
        <w:rPr>
          <w:color w:val="000000" w:themeColor="text1"/>
          <w14:textFill>
            <w14:solidFill>
              <w14:schemeClr w14:val="tx1"/>
            </w14:solidFill>
          </w14:textFill>
        </w:rPr>
      </w:pPr>
    </w:p>
    <w:p w14:paraId="331134F1">
      <w:pPr>
        <w:pStyle w:val="119"/>
        <w:spacing w:before="0" w:beforeAutospacing="0" w:after="0" w:afterAutospacing="0" w:line="288" w:lineRule="auto"/>
        <w:ind w:right="565"/>
        <w:jc w:val="both"/>
        <w:rPr>
          <w:color w:val="000000" w:themeColor="text1"/>
          <w14:textFill>
            <w14:solidFill>
              <w14:schemeClr w14:val="tx1"/>
            </w14:solidFill>
          </w14:textFill>
        </w:rPr>
      </w:pPr>
      <w:r>
        <w:rPr>
          <w:color w:val="000000" w:themeColor="text1"/>
          <w14:textFill>
            <w14:solidFill>
              <w14:schemeClr w14:val="tx1"/>
            </w14:solidFill>
          </w14:textFill>
        </w:rPr>
        <w:t>3.3.1 Caso seja apresentado resultado inferior ou igual a 1(um) em qualquer dos índices de Liquidez Geral (LG), Solvência Geral (SG) e Liquidez Corrente (LC), deverá ser comprovado capital ou patrimônio líquido mínimo de ... (....) do valor total estimado da contratação ou do item pertinente.</w:t>
      </w:r>
    </w:p>
    <w:p w14:paraId="3628BD6B">
      <w:pPr>
        <w:pStyle w:val="119"/>
        <w:spacing w:before="0" w:beforeAutospacing="0" w:after="0" w:afterAutospacing="0" w:line="288" w:lineRule="auto"/>
        <w:ind w:right="565"/>
        <w:jc w:val="both"/>
        <w:rPr>
          <w:color w:val="000000" w:themeColor="text1"/>
          <w14:textFill>
            <w14:solidFill>
              <w14:schemeClr w14:val="tx1"/>
            </w14:solidFill>
          </w14:textFill>
        </w:rPr>
      </w:pPr>
    </w:p>
    <w:p w14:paraId="53F790BB">
      <w:pPr>
        <w:pStyle w:val="119"/>
        <w:spacing w:before="0" w:beforeAutospacing="0" w:after="0" w:afterAutospacing="0" w:line="288" w:lineRule="auto"/>
        <w:ind w:right="565"/>
        <w:jc w:val="both"/>
        <w:rPr>
          <w:rStyle w:val="124"/>
          <w:rFonts w:ascii="Times New Roman" w:hAnsi="Times New Roman" w:cs="Times New Roman"/>
          <w:b/>
          <w:bCs/>
          <w:i w:val="0"/>
          <w:iCs w:val="0"/>
          <w:color w:val="000000" w:themeColor="text1"/>
          <w:sz w:val="24"/>
          <w:szCs w:val="24"/>
          <w14:textFill>
            <w14:solidFill>
              <w14:schemeClr w14:val="tx1"/>
            </w14:solidFill>
          </w14:textFill>
        </w:rPr>
      </w:pPr>
      <w:r>
        <w:rPr>
          <w:rStyle w:val="118"/>
          <w:rFonts w:ascii="Times New Roman" w:hAnsi="Times New Roman" w:cs="Times New Roman"/>
          <w:b/>
          <w:bCs/>
          <w:color w:val="000000" w:themeColor="text1"/>
          <w:sz w:val="24"/>
          <w:szCs w:val="24"/>
          <w14:textFill>
            <w14:solidFill>
              <w14:schemeClr w14:val="tx1"/>
            </w14:solidFill>
          </w14:textFill>
        </w:rPr>
        <w:t>NOTA EXPLICATIVA:</w:t>
      </w:r>
      <w:r>
        <w:rPr>
          <w:rStyle w:val="124"/>
          <w:rFonts w:ascii="Times New Roman" w:hAnsi="Times New Roman" w:cs="Times New Roman"/>
          <w:b/>
          <w:bCs/>
          <w:i w:val="0"/>
          <w:iCs w:val="0"/>
          <w:color w:val="000000" w:themeColor="text1"/>
          <w:sz w:val="24"/>
          <w:szCs w:val="24"/>
          <w14:textFill>
            <w14:solidFill>
              <w14:schemeClr w14:val="tx1"/>
            </w14:solidFill>
          </w14:textFill>
        </w:rPr>
        <w:t xml:space="preserve"> </w:t>
      </w:r>
    </w:p>
    <w:p w14:paraId="5B782E1F">
      <w:pPr>
        <w:pStyle w:val="119"/>
        <w:spacing w:before="0" w:beforeAutospacing="0" w:after="0" w:afterAutospacing="0" w:line="288" w:lineRule="auto"/>
        <w:ind w:right="565"/>
        <w:jc w:val="both"/>
        <w:rPr>
          <w:rStyle w:val="124"/>
          <w:rFonts w:ascii="Times New Roman" w:hAnsi="Times New Roman" w:cs="Times New Roman"/>
          <w:i w:val="0"/>
          <w:iCs w:val="0"/>
          <w:color w:val="000000" w:themeColor="text1"/>
          <w:sz w:val="24"/>
          <w:szCs w:val="24"/>
          <w14:textFill>
            <w14:solidFill>
              <w14:schemeClr w14:val="tx1"/>
            </w14:solidFill>
          </w14:textFill>
        </w:rPr>
      </w:pPr>
      <w:r>
        <w:rPr>
          <w:rStyle w:val="124"/>
          <w:rFonts w:ascii="Times New Roman" w:hAnsi="Times New Roman" w:cs="Times New Roman"/>
          <w:i w:val="0"/>
          <w:iCs w:val="0"/>
          <w:color w:val="000000" w:themeColor="text1"/>
          <w:sz w:val="24"/>
          <w:szCs w:val="24"/>
          <w14:textFill>
            <w14:solidFill>
              <w14:schemeClr w14:val="tx1"/>
            </w14:solidFill>
          </w14:textFill>
        </w:rPr>
        <w:t xml:space="preserve">A fixação do percentual referente ao patrimônio líquido se insere na esfera de atuação discricionária da Administração, podendo ser exigido até 10% (dez por cento) do valor estimado da contratação (art. 69, § 4º, da Lei nº 14.133/2021), exceto na hipótese de orçamento sigiloso, para evitar que o parâmetro do preço estimado seja revelado por outros meios. </w:t>
      </w:r>
    </w:p>
    <w:p w14:paraId="2C8E5373">
      <w:pPr>
        <w:pStyle w:val="119"/>
        <w:spacing w:before="0" w:beforeAutospacing="0" w:after="0" w:afterAutospacing="0" w:line="288" w:lineRule="auto"/>
        <w:ind w:right="565"/>
        <w:jc w:val="both"/>
        <w:rPr>
          <w:rStyle w:val="124"/>
          <w:rFonts w:ascii="Times New Roman" w:hAnsi="Times New Roman" w:cs="Times New Roman"/>
          <w:i w:val="0"/>
          <w:iCs w:val="0"/>
          <w:color w:val="000000" w:themeColor="text1"/>
          <w:sz w:val="24"/>
          <w:szCs w:val="24"/>
          <w14:textFill>
            <w14:solidFill>
              <w14:schemeClr w14:val="tx1"/>
            </w14:solidFill>
          </w14:textFill>
        </w:rPr>
      </w:pPr>
    </w:p>
    <w:p w14:paraId="6B2423BD">
      <w:pPr>
        <w:pStyle w:val="119"/>
        <w:spacing w:before="0" w:beforeAutospacing="0" w:after="0" w:afterAutospacing="0" w:line="288" w:lineRule="auto"/>
        <w:ind w:right="565"/>
        <w:contextualSpacing/>
        <w:jc w:val="both"/>
        <w:rPr>
          <w:color w:val="000000" w:themeColor="text1"/>
          <w:lang w:eastAsia="en-US"/>
          <w14:textFill>
            <w14:solidFill>
              <w14:schemeClr w14:val="tx1"/>
            </w14:solidFill>
          </w14:textFill>
        </w:rPr>
      </w:pPr>
      <w:r>
        <w:rPr>
          <w:color w:val="000000" w:themeColor="text1"/>
          <w:lang w:eastAsia="en-US"/>
          <w14:textFill>
            <w14:solidFill>
              <w14:schemeClr w14:val="tx1"/>
            </w14:solidFill>
          </w14:textFill>
        </w:rPr>
        <w:t>3.3.2 O atendimento dos índices econômicos previstos neste item deverá ser atestado mediante declaração assinada por profissional habilitado da área contábil, apresentada pelo fornecedor.</w:t>
      </w:r>
    </w:p>
    <w:p w14:paraId="647BF601">
      <w:pPr>
        <w:pStyle w:val="119"/>
        <w:spacing w:before="0" w:beforeAutospacing="0" w:after="0" w:afterAutospacing="0" w:line="288" w:lineRule="auto"/>
        <w:ind w:left="567" w:right="565"/>
        <w:jc w:val="both"/>
        <w:rPr>
          <w:lang w:eastAsia="en-US"/>
        </w:rPr>
      </w:pPr>
    </w:p>
    <w:p w14:paraId="02997762">
      <w:pPr>
        <w:pStyle w:val="119"/>
        <w:spacing w:before="0" w:beforeAutospacing="0" w:after="0" w:afterAutospacing="0" w:line="288" w:lineRule="auto"/>
        <w:contextualSpacing/>
        <w:jc w:val="both"/>
        <w:rPr>
          <w:iCs/>
          <w:color w:val="FF0000"/>
        </w:rPr>
      </w:pPr>
    </w:p>
    <w:p w14:paraId="5485971C">
      <w:pPr>
        <w:pStyle w:val="119"/>
        <w:spacing w:before="0" w:beforeAutospacing="0" w:after="0" w:afterAutospacing="0" w:line="288" w:lineRule="auto"/>
        <w:contextualSpacing/>
        <w:jc w:val="both"/>
        <w:rPr>
          <w:b/>
          <w:bCs/>
        </w:rPr>
      </w:pPr>
      <w:r>
        <w:rPr>
          <w:b/>
          <w:bCs/>
        </w:rPr>
        <w:t>4. HABILITAÇÃO TÉCNICA</w:t>
      </w:r>
    </w:p>
    <w:p w14:paraId="2402E2F8">
      <w:pPr>
        <w:pStyle w:val="119"/>
        <w:spacing w:before="0" w:beforeAutospacing="0" w:after="0" w:afterAutospacing="0" w:line="288" w:lineRule="auto"/>
        <w:contextualSpacing/>
        <w:jc w:val="both"/>
        <w:rPr>
          <w:b/>
          <w:bCs/>
        </w:rPr>
      </w:pPr>
    </w:p>
    <w:p w14:paraId="1DCA0DC0">
      <w:pPr>
        <w:pStyle w:val="125"/>
        <w:keepNext w:val="0"/>
        <w:widowControl/>
        <w:spacing w:before="0" w:after="0" w:line="288" w:lineRule="auto"/>
        <w:ind w:firstLine="0"/>
        <w:contextualSpacing/>
        <w:rPr>
          <w:rFonts w:ascii="Times New Roman" w:hAnsi="Times New Roman" w:cs="Times New Roman"/>
          <w:color w:val="000000" w:themeColor="text1"/>
          <w:sz w:val="24"/>
          <w14:textFill>
            <w14:solidFill>
              <w14:schemeClr w14:val="tx1"/>
            </w14:solidFill>
          </w14:textFill>
        </w:rPr>
      </w:pPr>
      <w:bookmarkStart w:id="42" w:name="_Hlk154233180"/>
      <w:r>
        <w:rPr>
          <w:rFonts w:ascii="Times New Roman" w:hAnsi="Times New Roman" w:cs="Times New Roman"/>
          <w:color w:val="000000" w:themeColor="text1"/>
          <w:sz w:val="24"/>
          <w14:textFill>
            <w14:solidFill>
              <w14:schemeClr w14:val="tx1"/>
            </w14:solidFill>
          </w14:textFill>
        </w:rPr>
        <w:t xml:space="preserve">4.1 </w:t>
      </w:r>
      <w:bookmarkEnd w:id="42"/>
      <w:r>
        <w:rPr>
          <w:rFonts w:ascii="Times New Roman" w:hAnsi="Times New Roman" w:cs="Times New Roman"/>
          <w:color w:val="000000" w:themeColor="text1"/>
          <w:sz w:val="24"/>
          <w14:textFill>
            <w14:solidFill>
              <w14:schemeClr w14:val="tx1"/>
            </w14:solidFill>
          </w14:textFill>
        </w:rPr>
        <w:t>Comprovação de aptidão para o fornecimento de bens, de acordo com as características, quantidades e prazos compatíveis com o objeto, mediante a apresentação de atestado(s) fornecido(s) por pessoas jurídicas de direito público ou privado, na seguinte forma:</w:t>
      </w:r>
    </w:p>
    <w:p w14:paraId="6B7E476E">
      <w:pPr>
        <w:spacing w:line="288" w:lineRule="auto"/>
        <w:ind w:right="565"/>
        <w:contextualSpacing/>
        <w:jc w:val="both"/>
        <w:rPr>
          <w:color w:val="000000" w:themeColor="text1"/>
          <w:sz w:val="24"/>
          <w:szCs w:val="24"/>
          <w14:textFill>
            <w14:solidFill>
              <w14:schemeClr w14:val="tx1"/>
            </w14:solidFill>
          </w14:textFill>
        </w:rPr>
      </w:pPr>
    </w:p>
    <w:p w14:paraId="66872824">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4.2._ Os atestados deverão referir-se a fornecimento no âmbito de sua atividade econômica principal ou secundária especificadas no contrato social vigente.</w:t>
      </w:r>
    </w:p>
    <w:p w14:paraId="6A1BDD8B">
      <w:pPr>
        <w:spacing w:line="288" w:lineRule="auto"/>
        <w:ind w:right="565"/>
        <w:contextualSpacing/>
        <w:jc w:val="both"/>
        <w:rPr>
          <w:color w:val="000000" w:themeColor="text1"/>
          <w:sz w:val="24"/>
          <w:szCs w:val="24"/>
          <w14:textFill>
            <w14:solidFill>
              <w14:schemeClr w14:val="tx1"/>
            </w14:solidFill>
          </w14:textFill>
        </w:rPr>
      </w:pPr>
    </w:p>
    <w:p w14:paraId="4A0F0FF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4.3._ Poderá ser admitida, para fins de comprovação de quantitativo mínimo do fornecimento, a apresentação de diferentes atestados de objetos executados de forma concomitante, resultando na comprovação de capacidade técnico-operacional de uma única contratação.</w:t>
      </w:r>
    </w:p>
    <w:p w14:paraId="3EE5255E">
      <w:pPr>
        <w:spacing w:line="288" w:lineRule="auto"/>
        <w:ind w:right="565"/>
        <w:contextualSpacing/>
        <w:jc w:val="both"/>
        <w:rPr>
          <w:color w:val="000000" w:themeColor="text1"/>
          <w:sz w:val="24"/>
          <w:szCs w:val="24"/>
          <w14:textFill>
            <w14:solidFill>
              <w14:schemeClr w14:val="tx1"/>
            </w14:solidFill>
          </w14:textFill>
        </w:rPr>
      </w:pPr>
    </w:p>
    <w:p w14:paraId="77D7536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4.4._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1AA852FE">
      <w:pPr>
        <w:pStyle w:val="119"/>
        <w:spacing w:before="0" w:beforeAutospacing="0" w:after="0" w:afterAutospacing="0" w:line="288" w:lineRule="auto"/>
        <w:contextualSpacing/>
        <w:jc w:val="both"/>
        <w:rPr>
          <w:rStyle w:val="118"/>
          <w:rFonts w:asciiTheme="minorHAnsi" w:hAnsiTheme="minorHAnsi" w:cstheme="minorHAnsi"/>
          <w:color w:val="000000" w:themeColor="text1"/>
          <w:sz w:val="24"/>
          <w:szCs w:val="24"/>
          <w14:textFill>
            <w14:solidFill>
              <w14:schemeClr w14:val="tx1"/>
            </w14:solidFill>
          </w14:textFill>
        </w:rPr>
      </w:pPr>
    </w:p>
    <w:p w14:paraId="46849E62">
      <w:pPr>
        <w:spacing w:line="288" w:lineRule="auto"/>
        <w:contextualSpacing/>
        <w:jc w:val="center"/>
        <w:rPr>
          <w:b/>
          <w:bCs/>
          <w:sz w:val="24"/>
          <w:szCs w:val="24"/>
        </w:rPr>
      </w:pPr>
      <w:r>
        <w:rPr>
          <w:b/>
          <w:bCs/>
          <w:sz w:val="24"/>
          <w:szCs w:val="24"/>
        </w:rPr>
        <w:t>ANEXO V</w:t>
      </w:r>
    </w:p>
    <w:p w14:paraId="68BCF3B6">
      <w:pPr>
        <w:spacing w:line="368" w:lineRule="auto"/>
        <w:ind w:left="720" w:right="16"/>
        <w:jc w:val="center"/>
        <w:rPr>
          <w:b/>
          <w:u w:val="single"/>
        </w:rPr>
      </w:pPr>
    </w:p>
    <w:p w14:paraId="33DE6C5A">
      <w:pPr>
        <w:tabs>
          <w:tab w:val="left" w:pos="709"/>
        </w:tabs>
        <w:spacing w:before="120" w:after="120"/>
        <w:ind w:left="142"/>
        <w:jc w:val="center"/>
        <w:rPr>
          <w:b/>
          <w:sz w:val="24"/>
          <w:szCs w:val="24"/>
          <w:u w:val="single"/>
        </w:rPr>
      </w:pPr>
      <w:r>
        <w:rPr>
          <w:b/>
          <w:sz w:val="24"/>
          <w:szCs w:val="24"/>
          <w:highlight w:val="yellow"/>
          <w:u w:val="single"/>
        </w:rPr>
        <w:t>PLANILHA DE CUSTOS</w:t>
      </w:r>
    </w:p>
    <w:p w14:paraId="54C17752">
      <w:pPr>
        <w:tabs>
          <w:tab w:val="left" w:pos="709"/>
        </w:tabs>
        <w:spacing w:before="120" w:after="120"/>
        <w:ind w:left="142"/>
        <w:jc w:val="center"/>
        <w:rPr>
          <w:b/>
          <w:sz w:val="24"/>
          <w:szCs w:val="24"/>
          <w:u w:val="single"/>
        </w:rPr>
      </w:pPr>
    </w:p>
    <w:p w14:paraId="0FBCA0B5">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O presente relatório é resultado da pesquisa de preços a seguir discriminada, em cumprimento ao determinado na Lei n ̊ 14.133/2021</w:t>
      </w:r>
    </w:p>
    <w:p w14:paraId="526DE66B">
      <w:pPr>
        <w:pStyle w:val="77"/>
        <w:jc w:val="center"/>
        <w:rPr>
          <w:rFonts w:ascii="Times New Roman" w:hAnsi="Times New Roman" w:eastAsia="SimSun" w:cs="Times New Roman"/>
          <w:sz w:val="24"/>
          <w:szCs w:val="24"/>
        </w:rPr>
      </w:pPr>
    </w:p>
    <w:p w14:paraId="5D2D6638">
      <w:pPr>
        <w:autoSpaceDE w:val="0"/>
        <w:autoSpaceDN w:val="0"/>
        <w:rPr>
          <w:sz w:val="24"/>
          <w:szCs w:val="24"/>
        </w:rPr>
      </w:pPr>
      <w:r>
        <w:rPr>
          <w:rFonts w:eastAsia="SimSun"/>
          <w:sz w:val="24"/>
          <w:szCs w:val="24"/>
        </w:rPr>
        <w:t xml:space="preserve"> OBJETO: </w:t>
      </w:r>
      <w:r>
        <w:rPr>
          <w:sz w:val="24"/>
          <w:szCs w:val="24"/>
        </w:rPr>
        <w:t xml:space="preserve">A aquisição de fórmulas alimentares e suplementos tem como objetivo atender pacientes hipossuficientes e cumprir demandas judiciais, assegurando a continuidade do tratamento nutricional </w:t>
      </w:r>
    </w:p>
    <w:p w14:paraId="31B759E5">
      <w:pPr>
        <w:shd w:val="clear" w:color="auto" w:fill="FFFFFF"/>
        <w:spacing w:line="15" w:lineRule="atLeast"/>
        <w:rPr>
          <w:rFonts w:eastAsia="SimSun"/>
          <w:sz w:val="24"/>
          <w:szCs w:val="24"/>
        </w:rPr>
      </w:pPr>
      <w:r>
        <w:rPr>
          <w:rFonts w:eastAsia="SimSun"/>
          <w:sz w:val="24"/>
          <w:szCs w:val="24"/>
        </w:rPr>
        <w:t>PERÍODO DE REALIZAÇÃO DA PESQUISA:  11/06/2026</w:t>
      </w:r>
    </w:p>
    <w:p w14:paraId="74EC9588">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METODOLOGIA APLICADA: o valor de referência foi aferido por meio de:</w:t>
      </w:r>
    </w:p>
    <w:p w14:paraId="62008114">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 (  ) Média ( x  ) Mediana (  ) Menor Preço </w:t>
      </w:r>
    </w:p>
    <w:p w14:paraId="4864C2C4">
      <w:pPr>
        <w:pStyle w:val="77"/>
        <w:jc w:val="both"/>
        <w:rPr>
          <w:rFonts w:ascii="Times New Roman" w:hAnsi="Times New Roman" w:eastAsia="SimSun" w:cs="Times New Roman"/>
          <w:sz w:val="24"/>
          <w:szCs w:val="24"/>
        </w:rPr>
      </w:pPr>
    </w:p>
    <w:p w14:paraId="5C90C59F">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FONTES DE PESQUISA DE PREÇOS:</w:t>
      </w:r>
    </w:p>
    <w:p w14:paraId="38FA5E99">
      <w:pPr>
        <w:pStyle w:val="77"/>
        <w:jc w:val="both"/>
        <w:rPr>
          <w:rFonts w:ascii="Times New Roman" w:hAnsi="Times New Roman" w:eastAsia="SimSun" w:cs="Times New Roman"/>
          <w:sz w:val="24"/>
          <w:szCs w:val="24"/>
        </w:rPr>
      </w:pPr>
    </w:p>
    <w:p w14:paraId="780BD464">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COMPRAS.GOV;</w:t>
      </w:r>
    </w:p>
    <w:p w14:paraId="78E00519">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BANCO DE PREÇOS;</w:t>
      </w:r>
    </w:p>
    <w:p w14:paraId="45308B30">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PNCP;</w:t>
      </w:r>
    </w:p>
    <w:p w14:paraId="07D6FCED">
      <w:pPr>
        <w:pStyle w:val="77"/>
        <w:jc w:val="both"/>
        <w:rPr>
          <w:rFonts w:eastAsia="SimSun"/>
          <w:color w:val="C00000"/>
          <w:sz w:val="24"/>
          <w:szCs w:val="24"/>
        </w:rPr>
      </w:pPr>
    </w:p>
    <w:tbl>
      <w:tblPr>
        <w:tblStyle w:val="10"/>
        <w:tblpPr w:leftFromText="180" w:rightFromText="180" w:vertAnchor="text" w:horzAnchor="page" w:tblpX="194" w:tblpY="248"/>
        <w:tblOverlap w:val="never"/>
        <w:tblW w:w="11621" w:type="dxa"/>
        <w:tblInd w:w="0" w:type="dxa"/>
        <w:tblLayout w:type="fixed"/>
        <w:tblCellMar>
          <w:top w:w="0" w:type="dxa"/>
          <w:left w:w="108" w:type="dxa"/>
          <w:bottom w:w="0" w:type="dxa"/>
          <w:right w:w="108" w:type="dxa"/>
        </w:tblCellMar>
      </w:tblPr>
      <w:tblGrid>
        <w:gridCol w:w="564"/>
        <w:gridCol w:w="709"/>
        <w:gridCol w:w="709"/>
        <w:gridCol w:w="3969"/>
        <w:gridCol w:w="850"/>
        <w:gridCol w:w="993"/>
        <w:gridCol w:w="850"/>
        <w:gridCol w:w="992"/>
        <w:gridCol w:w="1134"/>
        <w:gridCol w:w="851"/>
      </w:tblGrid>
      <w:tr w14:paraId="0CD1BB1E">
        <w:tblPrEx>
          <w:tblCellMar>
            <w:top w:w="0" w:type="dxa"/>
            <w:left w:w="108" w:type="dxa"/>
            <w:bottom w:w="0" w:type="dxa"/>
            <w:right w:w="108" w:type="dxa"/>
          </w:tblCellMar>
        </w:tblPrEx>
        <w:trPr>
          <w:trHeight w:val="300" w:hRule="atLeast"/>
        </w:trPr>
        <w:tc>
          <w:tcPr>
            <w:tcW w:w="564"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5DB1C0BA">
            <w:pPr>
              <w:jc w:val="center"/>
              <w:textAlignment w:val="bottom"/>
              <w:rPr>
                <w:rFonts w:eastAsia="SimSun"/>
                <w:color w:val="000000"/>
                <w:sz w:val="18"/>
                <w:szCs w:val="18"/>
                <w:lang w:eastAsia="zh-CN" w:bidi="ar"/>
              </w:rPr>
            </w:pPr>
            <w:r>
              <w:rPr>
                <w:rFonts w:eastAsia="SimSun"/>
                <w:color w:val="000000"/>
                <w:sz w:val="18"/>
                <w:szCs w:val="18"/>
                <w:lang w:eastAsia="zh-CN" w:bidi="ar"/>
              </w:rPr>
              <w:t>Item</w:t>
            </w:r>
          </w:p>
        </w:tc>
        <w:tc>
          <w:tcPr>
            <w:tcW w:w="709"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073B8BFC">
            <w:pPr>
              <w:jc w:val="center"/>
              <w:textAlignment w:val="bottom"/>
              <w:rPr>
                <w:rFonts w:eastAsia="SimSun"/>
                <w:color w:val="000000"/>
                <w:sz w:val="18"/>
                <w:szCs w:val="18"/>
                <w:lang w:eastAsia="zh-CN" w:bidi="ar"/>
              </w:rPr>
            </w:pPr>
            <w:r>
              <w:rPr>
                <w:rFonts w:eastAsia="SimSun"/>
                <w:color w:val="000000"/>
                <w:sz w:val="18"/>
                <w:szCs w:val="18"/>
                <w:lang w:eastAsia="zh-CN" w:bidi="ar"/>
              </w:rPr>
              <w:t>Unid</w:t>
            </w:r>
          </w:p>
        </w:tc>
        <w:tc>
          <w:tcPr>
            <w:tcW w:w="709"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127606BC">
            <w:pPr>
              <w:jc w:val="center"/>
              <w:textAlignment w:val="bottom"/>
              <w:rPr>
                <w:rFonts w:eastAsia="SimSun"/>
                <w:color w:val="000000"/>
                <w:sz w:val="18"/>
                <w:szCs w:val="18"/>
                <w:lang w:eastAsia="hi-IN" w:bidi="ar"/>
              </w:rPr>
            </w:pPr>
            <w:r>
              <w:rPr>
                <w:rFonts w:eastAsia="SimSun"/>
                <w:color w:val="000000"/>
                <w:sz w:val="18"/>
                <w:szCs w:val="18"/>
                <w:lang w:eastAsia="zh-CN" w:bidi="ar"/>
              </w:rPr>
              <w:t>Quant</w:t>
            </w:r>
          </w:p>
        </w:tc>
        <w:tc>
          <w:tcPr>
            <w:tcW w:w="3969"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54ED1903">
            <w:pPr>
              <w:jc w:val="center"/>
              <w:textAlignment w:val="bottom"/>
              <w:rPr>
                <w:rFonts w:eastAsia="SimSun"/>
                <w:color w:val="000000"/>
                <w:sz w:val="18"/>
                <w:szCs w:val="18"/>
                <w:lang w:eastAsia="zh-CN" w:bidi="ar"/>
              </w:rPr>
            </w:pPr>
            <w:r>
              <w:rPr>
                <w:rFonts w:eastAsia="SimSun"/>
                <w:color w:val="000000"/>
                <w:sz w:val="18"/>
                <w:szCs w:val="18"/>
                <w:lang w:eastAsia="zh-CN" w:bidi="ar"/>
              </w:rPr>
              <w:t>Especificação</w:t>
            </w:r>
          </w:p>
        </w:tc>
        <w:tc>
          <w:tcPr>
            <w:tcW w:w="850" w:type="dxa"/>
            <w:tcBorders>
              <w:top w:val="single" w:color="auto" w:sz="4" w:space="0"/>
              <w:left w:val="single" w:color="000000" w:sz="2" w:space="0"/>
              <w:bottom w:val="single" w:color="000000" w:sz="2" w:space="0"/>
              <w:right w:val="single" w:color="000000" w:sz="2" w:space="0"/>
            </w:tcBorders>
            <w:shd w:val="clear" w:color="auto" w:fill="auto"/>
            <w:noWrap/>
            <w:vAlign w:val="bottom"/>
          </w:tcPr>
          <w:p w14:paraId="26E56334">
            <w:pPr>
              <w:jc w:val="center"/>
              <w:textAlignment w:val="bottom"/>
              <w:rPr>
                <w:rFonts w:eastAsia="SimSun"/>
                <w:color w:val="000000"/>
                <w:sz w:val="18"/>
                <w:szCs w:val="18"/>
                <w:lang w:eastAsia="zh-CN" w:bidi="ar"/>
              </w:rPr>
            </w:pPr>
            <w:r>
              <w:rPr>
                <w:rFonts w:eastAsia="SimSun"/>
                <w:color w:val="000000"/>
                <w:sz w:val="18"/>
                <w:szCs w:val="18"/>
                <w:lang w:eastAsia="zh-CN" w:bidi="ar"/>
              </w:rPr>
              <w:t>Catmat</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91B96EF">
            <w:pPr>
              <w:jc w:val="center"/>
              <w:textAlignment w:val="bottom"/>
              <w:rPr>
                <w:rFonts w:eastAsia="SimSun"/>
                <w:color w:val="000000"/>
                <w:sz w:val="18"/>
                <w:szCs w:val="18"/>
                <w:lang w:eastAsia="zh-CN" w:bidi="ar"/>
              </w:rPr>
            </w:pPr>
            <w:r>
              <w:rPr>
                <w:rFonts w:eastAsia="SimSun"/>
                <w:color w:val="000000"/>
                <w:sz w:val="18"/>
                <w:szCs w:val="18"/>
                <w:lang w:eastAsia="zh-CN" w:bidi="ar"/>
              </w:rPr>
              <w:t>Compras Gov</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27A2EE2">
            <w:pPr>
              <w:jc w:val="center"/>
              <w:textAlignment w:val="bottom"/>
              <w:rPr>
                <w:rFonts w:eastAsia="SimSun"/>
                <w:color w:val="000000"/>
                <w:sz w:val="18"/>
                <w:szCs w:val="18"/>
                <w:lang w:eastAsia="zh-CN" w:bidi="ar"/>
              </w:rPr>
            </w:pPr>
            <w:r>
              <w:rPr>
                <w:rFonts w:eastAsia="SimSun"/>
                <w:color w:val="000000"/>
                <w:sz w:val="18"/>
                <w:szCs w:val="18"/>
                <w:lang w:eastAsia="zh-CN" w:bidi="ar"/>
              </w:rPr>
              <w:t>Internet</w:t>
            </w: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46568B2">
            <w:pPr>
              <w:jc w:val="center"/>
              <w:textAlignment w:val="bottom"/>
              <w:rPr>
                <w:rFonts w:eastAsia="SimSun"/>
                <w:color w:val="000000"/>
                <w:sz w:val="18"/>
                <w:szCs w:val="18"/>
                <w:lang w:eastAsia="zh-CN" w:bidi="ar"/>
              </w:rPr>
            </w:pPr>
            <w:r>
              <w:rPr>
                <w:rFonts w:eastAsia="SimSun"/>
                <w:color w:val="000000"/>
                <w:sz w:val="18"/>
                <w:szCs w:val="18"/>
                <w:lang w:eastAsia="zh-CN" w:bidi="ar"/>
              </w:rPr>
              <w:t>Bnanco de Preços</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16E5147">
            <w:pPr>
              <w:jc w:val="center"/>
              <w:textAlignment w:val="bottom"/>
              <w:rPr>
                <w:rFonts w:eastAsia="SimSun"/>
                <w:color w:val="000000"/>
                <w:sz w:val="18"/>
                <w:szCs w:val="18"/>
                <w:lang w:eastAsia="zh-CN" w:bidi="ar"/>
              </w:rPr>
            </w:pPr>
            <w:r>
              <w:rPr>
                <w:rFonts w:eastAsia="SimSun"/>
                <w:color w:val="000000"/>
                <w:sz w:val="18"/>
                <w:szCs w:val="18"/>
                <w:lang w:eastAsia="zh-CN" w:bidi="ar"/>
              </w:rPr>
              <w:t>Valor unitario</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030D7C1">
            <w:pPr>
              <w:jc w:val="center"/>
              <w:textAlignment w:val="bottom"/>
              <w:rPr>
                <w:rFonts w:eastAsia="SimSun"/>
                <w:color w:val="000000"/>
                <w:sz w:val="18"/>
                <w:szCs w:val="18"/>
                <w:lang w:eastAsia="zh-CN" w:bidi="ar"/>
              </w:rPr>
            </w:pPr>
            <w:r>
              <w:rPr>
                <w:rFonts w:eastAsia="SimSun"/>
                <w:color w:val="000000"/>
                <w:sz w:val="18"/>
                <w:szCs w:val="18"/>
                <w:lang w:eastAsia="zh-CN" w:bidi="ar"/>
              </w:rPr>
              <w:t>Valor total</w:t>
            </w:r>
          </w:p>
        </w:tc>
      </w:tr>
      <w:tr w14:paraId="58E3095E">
        <w:tblPrEx>
          <w:tblCellMar>
            <w:top w:w="0" w:type="dxa"/>
            <w:left w:w="108" w:type="dxa"/>
            <w:bottom w:w="0" w:type="dxa"/>
            <w:right w:w="108" w:type="dxa"/>
          </w:tblCellMar>
        </w:tblPrEx>
        <w:trPr>
          <w:trHeight w:val="300" w:hRule="atLeast"/>
        </w:trPr>
        <w:tc>
          <w:tcPr>
            <w:tcW w:w="5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504239F">
            <w:pPr>
              <w:jc w:val="center"/>
              <w:textAlignment w:val="bottom"/>
              <w:rPr>
                <w:rFonts w:eastAsia="SimSun"/>
                <w:b/>
                <w:bCs/>
                <w:sz w:val="18"/>
                <w:szCs w:val="18"/>
                <w:lang w:eastAsia="zh-CN" w:bidi="ar"/>
              </w:rPr>
            </w:pPr>
            <w:r>
              <w:rPr>
                <w:rFonts w:eastAsia="SimSun"/>
                <w:b/>
                <w:bCs/>
                <w:sz w:val="18"/>
                <w:szCs w:val="18"/>
                <w:lang w:eastAsia="zh-CN" w:bidi="ar"/>
              </w:rPr>
              <w:t>1</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tcPr>
          <w:p w14:paraId="6AD76DAA">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659709F7">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6E6648A1">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64FD4B03">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p w14:paraId="64339C1D">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p w14:paraId="2AF8DF33">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8977920">
            <w:pPr>
              <w:jc w:val="center"/>
              <w:textAlignment w:val="bottom"/>
              <w:rPr>
                <w:rFonts w:eastAsia="SimSun"/>
                <w:b/>
                <w:bCs/>
                <w:kern w:val="3"/>
                <w:sz w:val="18"/>
                <w:szCs w:val="18"/>
                <w:lang w:eastAsia="zh-CN" w:bidi="hi-IN"/>
              </w:rPr>
            </w:pPr>
            <w:r>
              <w:rPr>
                <w:b/>
                <w:bCs/>
                <w:kern w:val="3"/>
                <w:sz w:val="18"/>
                <w:szCs w:val="18"/>
                <w:lang w:eastAsia="hi-IN" w:bidi="hi-IN"/>
              </w:rPr>
              <w:t>1800</w:t>
            </w:r>
          </w:p>
        </w:tc>
        <w:tc>
          <w:tcPr>
            <w:tcW w:w="3969" w:type="dxa"/>
            <w:tcBorders>
              <w:top w:val="single" w:color="000000" w:sz="2" w:space="0"/>
              <w:left w:val="single" w:color="000000" w:sz="2" w:space="0"/>
              <w:bottom w:val="single" w:color="000000" w:sz="2" w:space="0"/>
              <w:right w:val="single" w:color="000000" w:sz="2" w:space="0"/>
            </w:tcBorders>
            <w:shd w:val="clear" w:color="auto" w:fill="auto"/>
            <w:noWrap/>
          </w:tcPr>
          <w:p w14:paraId="560E930C">
            <w:pPr>
              <w:jc w:val="both"/>
              <w:rPr>
                <w:sz w:val="18"/>
                <w:szCs w:val="18"/>
              </w:rPr>
            </w:pPr>
            <w:r>
              <w:rPr>
                <w:b/>
                <w:bCs/>
                <w:sz w:val="18"/>
                <w:szCs w:val="18"/>
              </w:rPr>
              <w:t>SUPLEMENTO ALIMENTAR</w:t>
            </w:r>
            <w:r>
              <w:rPr>
                <w:sz w:val="18"/>
                <w:szCs w:val="18"/>
              </w:rPr>
              <w:t xml:space="preserve"> para lactantes e de seguimento, constituída de aminoácidos elementar, nutricional mente completa, em pó, para crianças com alergias alimentares ou distúrbio da digestão e absorção de de nutrientes. Única fórmula de aminoácidos para crianças com segurança e eficácia comprovadas em pacientes com alergias alimentares. Isenta de proteína láctea, lactose, sacarose, galactose, frutose e glúten. Indicada para crianças de até 01 ano. Deve atender todas as legislações pertinentes de micronutrientes e demanda proteica.</w:t>
            </w:r>
          </w:p>
          <w:p w14:paraId="082C05B6">
            <w:pPr>
              <w:jc w:val="both"/>
              <w:rPr>
                <w:sz w:val="18"/>
                <w:szCs w:val="18"/>
              </w:rPr>
            </w:pPr>
            <w:r>
              <w:rPr>
                <w:b/>
                <w:sz w:val="18"/>
                <w:szCs w:val="18"/>
              </w:rPr>
              <w:t>Apresentação</w:t>
            </w:r>
            <w:r>
              <w:rPr>
                <w:sz w:val="18"/>
                <w:szCs w:val="18"/>
              </w:rPr>
              <w:t>: latas contendo 400g, com validade de 75% na data de entrega.</w:t>
            </w:r>
          </w:p>
          <w:p w14:paraId="1BE3BC22">
            <w:pPr>
              <w:jc w:val="both"/>
              <w:rPr>
                <w:rFonts w:eastAsia="SimSun"/>
                <w:b/>
                <w:kern w:val="3"/>
                <w:sz w:val="18"/>
                <w:szCs w:val="18"/>
                <w:lang w:eastAsia="zh-CN" w:bidi="hi-IN"/>
              </w:rPr>
            </w:pPr>
            <w:r>
              <w:rPr>
                <w:b/>
                <w:sz w:val="18"/>
                <w:szCs w:val="18"/>
              </w:rPr>
              <w:t>Marca pré-aprovada: Neocate LCP</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AB533DB">
            <w:pPr>
              <w:jc w:val="center"/>
              <w:textAlignment w:val="bottom"/>
              <w:rPr>
                <w:rFonts w:eastAsia="SimSun"/>
                <w:color w:val="000000"/>
                <w:sz w:val="18"/>
                <w:szCs w:val="18"/>
                <w:lang w:eastAsia="zh-CN" w:bidi="ar"/>
              </w:rPr>
            </w:pPr>
            <w:r>
              <w:rPr>
                <w:rFonts w:eastAsia="SimSun"/>
                <w:color w:val="000000"/>
                <w:sz w:val="18"/>
                <w:szCs w:val="18"/>
                <w:lang w:eastAsia="zh-CN" w:bidi="ar"/>
              </w:rPr>
              <w:t>469929</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4930151">
            <w:pPr>
              <w:jc w:val="center"/>
              <w:textAlignment w:val="bottom"/>
              <w:rPr>
                <w:rFonts w:eastAsia="SimSun"/>
                <w:color w:val="000000"/>
                <w:sz w:val="18"/>
                <w:szCs w:val="18"/>
                <w:lang w:eastAsia="zh-CN" w:bidi="ar"/>
              </w:rPr>
            </w:pPr>
            <w:r>
              <w:rPr>
                <w:rFonts w:eastAsia="SimSun"/>
                <w:color w:val="000000"/>
                <w:sz w:val="18"/>
                <w:szCs w:val="18"/>
                <w:lang w:eastAsia="zh-CN" w:bidi="ar"/>
              </w:rPr>
              <w:t>185,80</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A6796F">
            <w:pPr>
              <w:jc w:val="center"/>
              <w:textAlignment w:val="bottom"/>
              <w:rPr>
                <w:rFonts w:eastAsia="SimSun"/>
                <w:color w:val="000000"/>
                <w:sz w:val="18"/>
                <w:szCs w:val="18"/>
                <w:lang w:eastAsia="zh-CN" w:bidi="ar"/>
              </w:rPr>
            </w:pPr>
            <w:r>
              <w:rPr>
                <w:rFonts w:eastAsia="SimSun"/>
                <w:color w:val="000000"/>
                <w:sz w:val="18"/>
                <w:szCs w:val="18"/>
                <w:lang w:eastAsia="zh-CN" w:bidi="ar"/>
              </w:rPr>
              <w:t>259,90</w:t>
            </w: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B8D7E93">
            <w:pPr>
              <w:jc w:val="center"/>
              <w:textAlignment w:val="bottom"/>
              <w:rPr>
                <w:rFonts w:eastAsia="SimSun"/>
                <w:color w:val="000000"/>
                <w:sz w:val="18"/>
                <w:szCs w:val="18"/>
                <w:lang w:eastAsia="zh-CN" w:bidi="ar"/>
              </w:rPr>
            </w:pPr>
            <w:r>
              <w:rPr>
                <w:rFonts w:eastAsia="SimSun"/>
                <w:color w:val="000000"/>
                <w:sz w:val="18"/>
                <w:szCs w:val="18"/>
                <w:lang w:eastAsia="zh-CN" w:bidi="ar"/>
              </w:rPr>
              <w:t>274,73</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E3DB2EE">
            <w:pPr>
              <w:jc w:val="center"/>
              <w:textAlignment w:val="bottom"/>
              <w:rPr>
                <w:rFonts w:eastAsia="SimSun"/>
                <w:color w:val="000000"/>
                <w:sz w:val="18"/>
                <w:szCs w:val="18"/>
                <w:lang w:eastAsia="zh-CN" w:bidi="ar"/>
              </w:rPr>
            </w:pPr>
            <w:r>
              <w:rPr>
                <w:rFonts w:eastAsia="SimSun"/>
                <w:color w:val="000000"/>
                <w:sz w:val="18"/>
                <w:szCs w:val="18"/>
                <w:lang w:eastAsia="zh-CN" w:bidi="ar"/>
              </w:rPr>
              <w:t>259,90</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063319">
            <w:pPr>
              <w:jc w:val="center"/>
              <w:textAlignment w:val="bottom"/>
              <w:rPr>
                <w:rFonts w:eastAsia="SimSun"/>
                <w:color w:val="000000"/>
                <w:sz w:val="18"/>
                <w:szCs w:val="18"/>
                <w:lang w:eastAsia="zh-CN" w:bidi="ar"/>
              </w:rPr>
            </w:pPr>
            <w:r>
              <w:rPr>
                <w:rFonts w:eastAsia="SimSun"/>
                <w:color w:val="000000"/>
                <w:sz w:val="18"/>
                <w:szCs w:val="18"/>
                <w:lang w:eastAsia="zh-CN" w:bidi="ar"/>
              </w:rPr>
              <w:t>467.820,00</w:t>
            </w:r>
          </w:p>
        </w:tc>
      </w:tr>
      <w:tr w14:paraId="187A95B7">
        <w:tblPrEx>
          <w:tblCellMar>
            <w:top w:w="0" w:type="dxa"/>
            <w:left w:w="108" w:type="dxa"/>
            <w:bottom w:w="0" w:type="dxa"/>
            <w:right w:w="108" w:type="dxa"/>
          </w:tblCellMar>
        </w:tblPrEx>
        <w:trPr>
          <w:trHeight w:val="300" w:hRule="atLeast"/>
        </w:trPr>
        <w:tc>
          <w:tcPr>
            <w:tcW w:w="5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8EB3956">
            <w:pPr>
              <w:jc w:val="center"/>
              <w:textAlignment w:val="bottom"/>
              <w:rPr>
                <w:rFonts w:eastAsia="SimSun"/>
                <w:b/>
                <w:bCs/>
                <w:sz w:val="18"/>
                <w:szCs w:val="18"/>
                <w:lang w:eastAsia="zh-CN" w:bidi="ar"/>
              </w:rPr>
            </w:pPr>
            <w:r>
              <w:rPr>
                <w:rFonts w:eastAsia="SimSun"/>
                <w:b/>
                <w:bCs/>
                <w:sz w:val="18"/>
                <w:szCs w:val="18"/>
                <w:lang w:eastAsia="zh-CN" w:bidi="ar"/>
              </w:rPr>
              <w:t>2</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tcPr>
          <w:p w14:paraId="13035816">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256EE2E">
            <w:pPr>
              <w:jc w:val="center"/>
              <w:textAlignment w:val="bottom"/>
              <w:rPr>
                <w:rFonts w:eastAsia="SimSun"/>
                <w:b/>
                <w:bCs/>
                <w:kern w:val="3"/>
                <w:sz w:val="18"/>
                <w:szCs w:val="18"/>
                <w:lang w:eastAsia="zh-CN" w:bidi="hi-IN"/>
              </w:rPr>
            </w:pPr>
            <w:r>
              <w:rPr>
                <w:b/>
                <w:bCs/>
                <w:kern w:val="3"/>
                <w:sz w:val="18"/>
                <w:szCs w:val="18"/>
                <w:lang w:eastAsia="hi-IN" w:bidi="hi-IN"/>
              </w:rPr>
              <w:t>2500</w:t>
            </w:r>
          </w:p>
        </w:tc>
        <w:tc>
          <w:tcPr>
            <w:tcW w:w="3969" w:type="dxa"/>
            <w:tcBorders>
              <w:top w:val="single" w:color="000000" w:sz="2" w:space="0"/>
              <w:left w:val="single" w:color="000000" w:sz="2" w:space="0"/>
              <w:bottom w:val="single" w:color="000000" w:sz="2" w:space="0"/>
              <w:right w:val="single" w:color="000000" w:sz="2" w:space="0"/>
            </w:tcBorders>
            <w:shd w:val="clear" w:color="auto" w:fill="auto"/>
            <w:noWrap/>
          </w:tcPr>
          <w:p w14:paraId="5BFC184D">
            <w:pPr>
              <w:jc w:val="both"/>
              <w:rPr>
                <w:sz w:val="18"/>
                <w:szCs w:val="18"/>
              </w:rPr>
            </w:pPr>
            <w:r>
              <w:rPr>
                <w:b/>
                <w:bCs/>
                <w:sz w:val="18"/>
                <w:szCs w:val="18"/>
              </w:rPr>
              <w:t>FÓRMULA INFANTIL</w:t>
            </w:r>
            <w:r>
              <w:rPr>
                <w:sz w:val="18"/>
                <w:szCs w:val="18"/>
              </w:rPr>
              <w:t xml:space="preserve"> para alergia a proteína do leite de vaca e/ou de soja, sem quadro diarreico. Dieta hipoalergênica, formulada com proteína extensamente hidrolisada para alimentação de lactantes desde o nascimento com alergia às proteínas do leite de vaca que não apresentem diarreia. Possui em sua formulação prebióticos, DHA e ARA e nucleotídeos. Isenta de glúten.</w:t>
            </w:r>
          </w:p>
          <w:p w14:paraId="713D27A6">
            <w:pPr>
              <w:jc w:val="both"/>
              <w:rPr>
                <w:sz w:val="18"/>
                <w:szCs w:val="18"/>
              </w:rPr>
            </w:pPr>
            <w:r>
              <w:rPr>
                <w:b/>
                <w:sz w:val="18"/>
                <w:szCs w:val="18"/>
              </w:rPr>
              <w:t>Apresentação:</w:t>
            </w:r>
            <w:r>
              <w:rPr>
                <w:sz w:val="18"/>
                <w:szCs w:val="18"/>
              </w:rPr>
              <w:t xml:space="preserve"> latas contendo 400g, com validade de 75% na data de entrega.</w:t>
            </w:r>
          </w:p>
          <w:p w14:paraId="52270ECE">
            <w:pPr>
              <w:jc w:val="both"/>
              <w:rPr>
                <w:rFonts w:eastAsia="SimSun"/>
                <w:b/>
                <w:kern w:val="3"/>
                <w:sz w:val="18"/>
                <w:szCs w:val="18"/>
                <w:lang w:eastAsia="zh-CN" w:bidi="hi-IN"/>
              </w:rPr>
            </w:pPr>
            <w:r>
              <w:rPr>
                <w:b/>
                <w:sz w:val="18"/>
                <w:szCs w:val="18"/>
              </w:rPr>
              <w:t>Marca pré-aprovadas: AptamilPepti</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F6FC649">
            <w:pPr>
              <w:jc w:val="center"/>
              <w:textAlignment w:val="bottom"/>
              <w:rPr>
                <w:rFonts w:eastAsia="SimSun"/>
                <w:color w:val="000000"/>
                <w:sz w:val="18"/>
                <w:szCs w:val="18"/>
                <w:lang w:eastAsia="zh-CN" w:bidi="ar"/>
              </w:rPr>
            </w:pPr>
            <w:r>
              <w:rPr>
                <w:rFonts w:eastAsia="SimSun"/>
                <w:color w:val="000000"/>
                <w:sz w:val="18"/>
                <w:szCs w:val="18"/>
                <w:lang w:eastAsia="zh-CN" w:bidi="ar"/>
              </w:rPr>
              <w:t>617809</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E16A301">
            <w:pPr>
              <w:jc w:val="center"/>
              <w:textAlignment w:val="bottom"/>
              <w:rPr>
                <w:rFonts w:eastAsia="SimSun"/>
                <w:color w:val="000000"/>
                <w:lang w:eastAsia="zh-CN" w:bidi="ar"/>
              </w:rPr>
            </w:pPr>
            <w:r>
              <w:rPr>
                <w:rFonts w:eastAsia="SimSun"/>
                <w:color w:val="000000"/>
                <w:lang w:eastAsia="zh-CN" w:bidi="ar"/>
              </w:rPr>
              <w:t>122,95</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57837F5">
            <w:pPr>
              <w:jc w:val="center"/>
              <w:textAlignment w:val="bottom"/>
              <w:rPr>
                <w:rFonts w:eastAsia="SimSun"/>
                <w:color w:val="000000"/>
                <w:sz w:val="18"/>
                <w:szCs w:val="18"/>
                <w:lang w:eastAsia="zh-CN" w:bidi="ar"/>
              </w:rPr>
            </w:pPr>
            <w:r>
              <w:rPr>
                <w:rFonts w:eastAsia="SimSun"/>
                <w:color w:val="000000"/>
                <w:sz w:val="18"/>
                <w:szCs w:val="18"/>
                <w:lang w:eastAsia="zh-CN" w:bidi="ar"/>
              </w:rPr>
              <w:t>149,90</w:t>
            </w: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075644">
            <w:pPr>
              <w:jc w:val="center"/>
              <w:textAlignment w:val="bottom"/>
              <w:rPr>
                <w:rFonts w:eastAsia="SimSun"/>
                <w:color w:val="000000"/>
                <w:sz w:val="18"/>
                <w:szCs w:val="18"/>
                <w:lang w:eastAsia="zh-CN" w:bidi="ar"/>
              </w:rPr>
            </w:pPr>
            <w:r>
              <w:rPr>
                <w:rFonts w:eastAsia="SimSun"/>
                <w:color w:val="000000"/>
                <w:sz w:val="18"/>
                <w:szCs w:val="18"/>
                <w:lang w:eastAsia="zh-CN" w:bidi="ar"/>
              </w:rPr>
              <w:t>100,40</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4856B9B">
            <w:pPr>
              <w:jc w:val="center"/>
              <w:textAlignment w:val="bottom"/>
              <w:rPr>
                <w:rFonts w:eastAsia="SimSun"/>
                <w:color w:val="000000"/>
                <w:sz w:val="18"/>
                <w:szCs w:val="18"/>
                <w:lang w:eastAsia="zh-CN" w:bidi="ar"/>
              </w:rPr>
            </w:pPr>
            <w:r>
              <w:rPr>
                <w:rFonts w:eastAsia="SimSun"/>
                <w:color w:val="000000"/>
                <w:sz w:val="18"/>
                <w:szCs w:val="18"/>
                <w:lang w:eastAsia="zh-CN" w:bidi="ar"/>
              </w:rPr>
              <w:t>122,95</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D7E11B7">
            <w:pPr>
              <w:jc w:val="center"/>
              <w:textAlignment w:val="bottom"/>
              <w:rPr>
                <w:rFonts w:eastAsia="SimSun"/>
                <w:color w:val="000000"/>
                <w:sz w:val="18"/>
                <w:szCs w:val="18"/>
                <w:lang w:eastAsia="zh-CN" w:bidi="ar"/>
              </w:rPr>
            </w:pPr>
            <w:r>
              <w:rPr>
                <w:rFonts w:eastAsia="SimSun"/>
                <w:color w:val="000000"/>
                <w:sz w:val="18"/>
                <w:szCs w:val="18"/>
                <w:lang w:eastAsia="zh-CN" w:bidi="ar"/>
              </w:rPr>
              <w:t>307.375,00</w:t>
            </w:r>
          </w:p>
        </w:tc>
      </w:tr>
      <w:tr w14:paraId="1CD75CE6">
        <w:tblPrEx>
          <w:tblCellMar>
            <w:top w:w="0" w:type="dxa"/>
            <w:left w:w="108" w:type="dxa"/>
            <w:bottom w:w="0" w:type="dxa"/>
            <w:right w:w="108" w:type="dxa"/>
          </w:tblCellMar>
        </w:tblPrEx>
        <w:trPr>
          <w:trHeight w:val="300" w:hRule="atLeast"/>
        </w:trPr>
        <w:tc>
          <w:tcPr>
            <w:tcW w:w="5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1CE4740">
            <w:pPr>
              <w:jc w:val="center"/>
              <w:textAlignment w:val="bottom"/>
              <w:rPr>
                <w:rFonts w:eastAsia="SimSun"/>
                <w:b/>
                <w:bCs/>
                <w:sz w:val="18"/>
                <w:szCs w:val="18"/>
                <w:lang w:eastAsia="zh-CN" w:bidi="ar"/>
              </w:rPr>
            </w:pPr>
            <w:r>
              <w:rPr>
                <w:rFonts w:eastAsia="SimSun"/>
                <w:b/>
                <w:bCs/>
                <w:sz w:val="18"/>
                <w:szCs w:val="18"/>
                <w:lang w:eastAsia="zh-CN" w:bidi="ar"/>
              </w:rPr>
              <w:t>3</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tcPr>
          <w:p w14:paraId="51903DD0">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5A02D0E">
            <w:pPr>
              <w:jc w:val="center"/>
              <w:textAlignment w:val="bottom"/>
              <w:rPr>
                <w:rFonts w:eastAsia="SimSun"/>
                <w:b/>
                <w:bCs/>
                <w:kern w:val="3"/>
                <w:sz w:val="18"/>
                <w:szCs w:val="18"/>
                <w:lang w:eastAsia="zh-CN" w:bidi="hi-IN"/>
              </w:rPr>
            </w:pPr>
            <w:r>
              <w:rPr>
                <w:b/>
                <w:bCs/>
                <w:kern w:val="3"/>
                <w:sz w:val="18"/>
                <w:szCs w:val="18"/>
                <w:lang w:eastAsia="hi-IN" w:bidi="hi-IN"/>
              </w:rPr>
              <w:t>3800</w:t>
            </w:r>
          </w:p>
        </w:tc>
        <w:tc>
          <w:tcPr>
            <w:tcW w:w="3969" w:type="dxa"/>
            <w:tcBorders>
              <w:top w:val="single" w:color="000000" w:sz="2" w:space="0"/>
              <w:left w:val="single" w:color="000000" w:sz="2" w:space="0"/>
              <w:bottom w:val="single" w:color="000000" w:sz="2" w:space="0"/>
              <w:right w:val="single" w:color="000000" w:sz="2" w:space="0"/>
            </w:tcBorders>
            <w:shd w:val="clear" w:color="auto" w:fill="auto"/>
            <w:noWrap/>
          </w:tcPr>
          <w:p w14:paraId="0CED396C">
            <w:pPr>
              <w:jc w:val="both"/>
              <w:rPr>
                <w:sz w:val="18"/>
                <w:szCs w:val="18"/>
              </w:rPr>
            </w:pPr>
            <w:r>
              <w:rPr>
                <w:b/>
                <w:bCs/>
                <w:sz w:val="18"/>
                <w:szCs w:val="18"/>
              </w:rPr>
              <w:t>FÓRMULA INFANTIL</w:t>
            </w:r>
            <w:r>
              <w:rPr>
                <w:sz w:val="18"/>
                <w:szCs w:val="18"/>
              </w:rPr>
              <w:t xml:space="preserve"> para alergia à proteína do leite de vaca o/ou soja distúrbios absortivos ou outras condições clínicas que requerem terapia nutricional com dieta ou fórmula semielementar e hipoalergênica.</w:t>
            </w:r>
          </w:p>
          <w:p w14:paraId="03C094B8">
            <w:pPr>
              <w:jc w:val="both"/>
              <w:rPr>
                <w:sz w:val="18"/>
                <w:szCs w:val="18"/>
              </w:rPr>
            </w:pPr>
            <w:r>
              <w:rPr>
                <w:sz w:val="18"/>
                <w:szCs w:val="18"/>
              </w:rPr>
              <w:t>Dieta semi-elementar e hipoalergênica, à base de proteína extensamente hidrolisada de soro de leite, TCM, óleos vegetais, de Mortierella alpina e de peixe; maltodextrina, vitaminas, minerais, nucleotídes e oligoelementos. Apresenta baixa osmoralidade, ótima tolerabilidade e aceitação. 100% proteína extensamente hidrolisada do solro do leite. Isento de lactose, sacarose, frutose e glúten.</w:t>
            </w:r>
          </w:p>
          <w:p w14:paraId="0E15F7F7">
            <w:pPr>
              <w:jc w:val="both"/>
              <w:rPr>
                <w:sz w:val="18"/>
                <w:szCs w:val="18"/>
              </w:rPr>
            </w:pPr>
            <w:r>
              <w:rPr>
                <w:b/>
                <w:sz w:val="18"/>
                <w:szCs w:val="18"/>
              </w:rPr>
              <w:t>Apresentação:</w:t>
            </w:r>
            <w:r>
              <w:rPr>
                <w:sz w:val="18"/>
                <w:szCs w:val="18"/>
              </w:rPr>
              <w:t xml:space="preserve"> latas contendo 400g, com validade de 24 meses da   data de entrega.</w:t>
            </w:r>
          </w:p>
          <w:p w14:paraId="7BD67D24">
            <w:pPr>
              <w:jc w:val="both"/>
              <w:rPr>
                <w:rFonts w:eastAsia="SimSun"/>
                <w:b/>
                <w:kern w:val="3"/>
                <w:sz w:val="18"/>
                <w:szCs w:val="18"/>
                <w:lang w:eastAsia="zh-CN" w:bidi="hi-IN"/>
              </w:rPr>
            </w:pPr>
            <w:r>
              <w:rPr>
                <w:b/>
                <w:sz w:val="18"/>
                <w:szCs w:val="18"/>
              </w:rPr>
              <w:t>Marca pré-aprovada: PregominPepti</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E8BDA0B">
            <w:pPr>
              <w:jc w:val="center"/>
              <w:textAlignment w:val="bottom"/>
              <w:rPr>
                <w:rFonts w:eastAsia="SimSun"/>
                <w:color w:val="000000"/>
                <w:sz w:val="18"/>
                <w:szCs w:val="18"/>
                <w:lang w:eastAsia="zh-CN" w:bidi="ar"/>
              </w:rPr>
            </w:pPr>
            <w:r>
              <w:rPr>
                <w:rFonts w:eastAsia="SimSun"/>
                <w:color w:val="000000"/>
                <w:sz w:val="18"/>
                <w:szCs w:val="18"/>
                <w:lang w:eastAsia="zh-CN" w:bidi="ar"/>
              </w:rPr>
              <w:t>618654</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638BD87">
            <w:pPr>
              <w:jc w:val="center"/>
              <w:textAlignment w:val="bottom"/>
              <w:rPr>
                <w:rFonts w:eastAsia="SimSun"/>
                <w:color w:val="000000"/>
                <w:lang w:eastAsia="zh-CN" w:bidi="ar"/>
              </w:rPr>
            </w:pPr>
            <w:r>
              <w:rPr>
                <w:rFonts w:eastAsia="SimSun"/>
                <w:color w:val="000000"/>
                <w:lang w:eastAsia="zh-CN" w:bidi="ar"/>
              </w:rPr>
              <w:t>153,90</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9CB9C50">
            <w:pPr>
              <w:jc w:val="center"/>
              <w:textAlignment w:val="bottom"/>
              <w:rPr>
                <w:rFonts w:eastAsia="SimSun"/>
                <w:color w:val="000000"/>
                <w:sz w:val="18"/>
                <w:szCs w:val="18"/>
                <w:lang w:eastAsia="zh-CN" w:bidi="ar"/>
              </w:rPr>
            </w:pPr>
            <w:r>
              <w:rPr>
                <w:rFonts w:eastAsia="SimSun"/>
                <w:color w:val="000000"/>
                <w:sz w:val="18"/>
                <w:szCs w:val="18"/>
                <w:lang w:eastAsia="zh-CN" w:bidi="ar"/>
              </w:rPr>
              <w:t>219,90</w:t>
            </w: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33892B7">
            <w:pPr>
              <w:jc w:val="center"/>
              <w:textAlignment w:val="bottom"/>
              <w:rPr>
                <w:rFonts w:eastAsia="SimSun"/>
                <w:color w:val="000000"/>
                <w:sz w:val="18"/>
                <w:szCs w:val="18"/>
                <w:lang w:eastAsia="zh-CN" w:bidi="ar"/>
              </w:rPr>
            </w:pPr>
            <w:r>
              <w:rPr>
                <w:rFonts w:eastAsia="SimSun"/>
                <w:color w:val="000000"/>
                <w:sz w:val="18"/>
                <w:szCs w:val="18"/>
                <w:lang w:eastAsia="zh-CN" w:bidi="ar"/>
              </w:rPr>
              <w:t>119,88</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612E4D">
            <w:pPr>
              <w:jc w:val="center"/>
              <w:textAlignment w:val="bottom"/>
              <w:rPr>
                <w:rFonts w:eastAsia="SimSun"/>
                <w:color w:val="000000"/>
                <w:sz w:val="18"/>
                <w:szCs w:val="18"/>
                <w:lang w:eastAsia="zh-CN" w:bidi="ar"/>
              </w:rPr>
            </w:pPr>
            <w:r>
              <w:rPr>
                <w:rFonts w:eastAsia="SimSun"/>
                <w:color w:val="000000"/>
                <w:sz w:val="18"/>
                <w:szCs w:val="18"/>
                <w:lang w:eastAsia="zh-CN" w:bidi="ar"/>
              </w:rPr>
              <w:t>153,90</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73A262D">
            <w:pPr>
              <w:jc w:val="center"/>
              <w:textAlignment w:val="bottom"/>
              <w:rPr>
                <w:rFonts w:eastAsia="SimSun"/>
                <w:color w:val="000000"/>
                <w:sz w:val="18"/>
                <w:szCs w:val="18"/>
                <w:lang w:eastAsia="zh-CN" w:bidi="ar"/>
              </w:rPr>
            </w:pPr>
            <w:r>
              <w:rPr>
                <w:rFonts w:eastAsia="SimSun"/>
                <w:color w:val="000000"/>
                <w:sz w:val="18"/>
                <w:szCs w:val="18"/>
                <w:lang w:eastAsia="zh-CN" w:bidi="ar"/>
              </w:rPr>
              <w:t>584,820,00</w:t>
            </w:r>
          </w:p>
        </w:tc>
      </w:tr>
      <w:tr w14:paraId="27BDEF23">
        <w:tblPrEx>
          <w:tblCellMar>
            <w:top w:w="0" w:type="dxa"/>
            <w:left w:w="108" w:type="dxa"/>
            <w:bottom w:w="0" w:type="dxa"/>
            <w:right w:w="108" w:type="dxa"/>
          </w:tblCellMar>
        </w:tblPrEx>
        <w:trPr>
          <w:trHeight w:val="300" w:hRule="atLeast"/>
        </w:trPr>
        <w:tc>
          <w:tcPr>
            <w:tcW w:w="5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D13A126">
            <w:pPr>
              <w:jc w:val="center"/>
              <w:textAlignment w:val="bottom"/>
              <w:rPr>
                <w:rFonts w:eastAsia="SimSun"/>
                <w:b/>
                <w:bCs/>
                <w:sz w:val="18"/>
                <w:szCs w:val="18"/>
                <w:lang w:eastAsia="zh-CN" w:bidi="ar"/>
              </w:rPr>
            </w:pPr>
            <w:r>
              <w:rPr>
                <w:rFonts w:eastAsia="SimSun"/>
                <w:b/>
                <w:bCs/>
                <w:sz w:val="18"/>
                <w:szCs w:val="18"/>
                <w:lang w:eastAsia="zh-CN" w:bidi="ar"/>
              </w:rPr>
              <w:t>4</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tcPr>
          <w:p w14:paraId="4519EE1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ED0E166">
            <w:pPr>
              <w:jc w:val="center"/>
              <w:textAlignment w:val="bottom"/>
              <w:rPr>
                <w:rFonts w:eastAsia="SimSun"/>
                <w:b/>
                <w:bCs/>
                <w:kern w:val="3"/>
                <w:sz w:val="18"/>
                <w:szCs w:val="18"/>
                <w:lang w:eastAsia="zh-CN" w:bidi="hi-IN"/>
              </w:rPr>
            </w:pPr>
            <w:r>
              <w:rPr>
                <w:b/>
                <w:bCs/>
                <w:kern w:val="3"/>
                <w:sz w:val="18"/>
                <w:szCs w:val="18"/>
                <w:lang w:eastAsia="hi-IN" w:bidi="hi-IN"/>
              </w:rPr>
              <w:t>300</w:t>
            </w:r>
          </w:p>
        </w:tc>
        <w:tc>
          <w:tcPr>
            <w:tcW w:w="3969" w:type="dxa"/>
            <w:tcBorders>
              <w:top w:val="single" w:color="000000" w:sz="2" w:space="0"/>
              <w:left w:val="single" w:color="000000" w:sz="2" w:space="0"/>
              <w:bottom w:val="single" w:color="000000" w:sz="2" w:space="0"/>
              <w:right w:val="single" w:color="000000" w:sz="2" w:space="0"/>
            </w:tcBorders>
            <w:shd w:val="clear" w:color="auto" w:fill="auto"/>
            <w:noWrap/>
          </w:tcPr>
          <w:p w14:paraId="7E63BA20">
            <w:pPr>
              <w:jc w:val="both"/>
              <w:rPr>
                <w:sz w:val="18"/>
                <w:szCs w:val="18"/>
              </w:rPr>
            </w:pPr>
            <w:r>
              <w:rPr>
                <w:b/>
                <w:bCs/>
                <w:sz w:val="18"/>
                <w:szCs w:val="18"/>
              </w:rPr>
              <w:t>FORMULA INFANTIL</w:t>
            </w:r>
            <w:r>
              <w:rPr>
                <w:sz w:val="18"/>
                <w:szCs w:val="18"/>
              </w:rPr>
              <w:t xml:space="preserve"> para lactantes e de seguimento para lactantes e crianças de primeira infância destinada a necessidades dietoterápicas especificas com 1 Kcal/ml. Uma formula polimérica, hipercalórica e nutricionalmente completa indicada para alimentação oral ou enteral de crianças de 0 a 3 anos de idade.</w:t>
            </w:r>
          </w:p>
          <w:p w14:paraId="52E8670B">
            <w:pPr>
              <w:jc w:val="both"/>
              <w:rPr>
                <w:sz w:val="18"/>
                <w:szCs w:val="18"/>
              </w:rPr>
            </w:pPr>
            <w:r>
              <w:rPr>
                <w:sz w:val="18"/>
                <w:szCs w:val="18"/>
              </w:rPr>
              <w:t>Formula adicionada de LCPufas (ARA/DHA), nucleotídeos, beta-caroteno e prebióticos (GOS/FOS). Isento de sacarose. Não contém glúten.</w:t>
            </w:r>
          </w:p>
          <w:p w14:paraId="38C5EFEE">
            <w:pPr>
              <w:jc w:val="both"/>
              <w:rPr>
                <w:sz w:val="18"/>
                <w:szCs w:val="18"/>
              </w:rPr>
            </w:pPr>
            <w:r>
              <w:rPr>
                <w:b/>
                <w:sz w:val="18"/>
                <w:szCs w:val="18"/>
              </w:rPr>
              <w:t>Apresentação:</w:t>
            </w:r>
            <w:r>
              <w:rPr>
                <w:sz w:val="18"/>
                <w:szCs w:val="18"/>
              </w:rPr>
              <w:t xml:space="preserve"> latas contendo 400g, com validade de 75% na data de entrega.</w:t>
            </w:r>
          </w:p>
          <w:p w14:paraId="1C925C9F">
            <w:pPr>
              <w:jc w:val="both"/>
              <w:rPr>
                <w:rFonts w:eastAsia="SimSun"/>
                <w:b/>
                <w:kern w:val="3"/>
                <w:sz w:val="18"/>
                <w:szCs w:val="18"/>
                <w:lang w:eastAsia="zh-CN" w:bidi="hi-IN"/>
              </w:rPr>
            </w:pPr>
            <w:r>
              <w:rPr>
                <w:b/>
                <w:sz w:val="18"/>
                <w:szCs w:val="18"/>
              </w:rPr>
              <w:t xml:space="preserve">Marca pré-aprovada: Infatrini Pó  </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5F80D77">
            <w:pPr>
              <w:jc w:val="center"/>
              <w:textAlignment w:val="bottom"/>
              <w:rPr>
                <w:rFonts w:eastAsia="SimSun"/>
                <w:color w:val="000000"/>
                <w:sz w:val="18"/>
                <w:szCs w:val="18"/>
                <w:lang w:eastAsia="zh-CN" w:bidi="ar"/>
              </w:rPr>
            </w:pPr>
            <w:r>
              <w:rPr>
                <w:rFonts w:eastAsia="SimSun"/>
                <w:color w:val="000000"/>
                <w:sz w:val="18"/>
                <w:szCs w:val="18"/>
                <w:lang w:eastAsia="zh-CN" w:bidi="ar"/>
              </w:rPr>
              <w:t>485142</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294F92">
            <w:pPr>
              <w:jc w:val="center"/>
              <w:textAlignment w:val="bottom"/>
              <w:rPr>
                <w:rFonts w:eastAsia="SimSun"/>
                <w:color w:val="000000"/>
                <w:sz w:val="18"/>
                <w:szCs w:val="18"/>
                <w:lang w:eastAsia="zh-CN" w:bidi="ar"/>
              </w:rPr>
            </w:pPr>
            <w:r>
              <w:rPr>
                <w:rFonts w:eastAsia="SimSun"/>
                <w:color w:val="000000"/>
                <w:sz w:val="18"/>
                <w:szCs w:val="18"/>
                <w:lang w:eastAsia="zh-CN" w:bidi="ar"/>
              </w:rPr>
              <w:t>174,15</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3DE5680">
            <w:pPr>
              <w:jc w:val="center"/>
              <w:textAlignment w:val="bottom"/>
              <w:rPr>
                <w:rFonts w:eastAsia="SimSun"/>
                <w:color w:val="000000"/>
                <w:sz w:val="18"/>
                <w:szCs w:val="18"/>
                <w:lang w:eastAsia="zh-CN" w:bidi="ar"/>
              </w:rPr>
            </w:pPr>
            <w:r>
              <w:rPr>
                <w:rFonts w:eastAsia="SimSun"/>
                <w:color w:val="000000"/>
                <w:sz w:val="18"/>
                <w:szCs w:val="18"/>
                <w:lang w:eastAsia="zh-CN" w:bidi="ar"/>
              </w:rPr>
              <w:t>175,99</w:t>
            </w: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3A94AC2">
            <w:pPr>
              <w:jc w:val="center"/>
              <w:textAlignment w:val="bottom"/>
              <w:rPr>
                <w:rFonts w:eastAsia="SimSun"/>
                <w:color w:val="000000"/>
                <w:sz w:val="18"/>
                <w:szCs w:val="18"/>
                <w:lang w:eastAsia="zh-CN" w:bidi="ar"/>
              </w:rPr>
            </w:pPr>
            <w:r>
              <w:rPr>
                <w:rFonts w:eastAsia="SimSun"/>
                <w:color w:val="000000"/>
                <w:sz w:val="18"/>
                <w:szCs w:val="18"/>
                <w:lang w:eastAsia="zh-CN" w:bidi="ar"/>
              </w:rPr>
              <w:t>127,79</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0A5E1A6">
            <w:pPr>
              <w:jc w:val="center"/>
              <w:textAlignment w:val="bottom"/>
              <w:rPr>
                <w:rFonts w:eastAsia="SimSun"/>
                <w:color w:val="000000"/>
                <w:sz w:val="18"/>
                <w:szCs w:val="18"/>
                <w:lang w:eastAsia="zh-CN" w:bidi="ar"/>
              </w:rPr>
            </w:pPr>
            <w:r>
              <w:rPr>
                <w:rFonts w:eastAsia="SimSun"/>
                <w:color w:val="000000"/>
                <w:sz w:val="18"/>
                <w:szCs w:val="18"/>
                <w:lang w:eastAsia="zh-CN" w:bidi="ar"/>
              </w:rPr>
              <w:t>174,15</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6CE69CF">
            <w:pPr>
              <w:jc w:val="center"/>
              <w:textAlignment w:val="bottom"/>
              <w:rPr>
                <w:rFonts w:eastAsia="SimSun"/>
                <w:color w:val="000000"/>
                <w:sz w:val="18"/>
                <w:szCs w:val="18"/>
                <w:lang w:eastAsia="zh-CN" w:bidi="ar"/>
              </w:rPr>
            </w:pPr>
            <w:r>
              <w:rPr>
                <w:rFonts w:eastAsia="SimSun"/>
                <w:color w:val="000000"/>
                <w:sz w:val="18"/>
                <w:szCs w:val="18"/>
                <w:lang w:eastAsia="zh-CN" w:bidi="ar"/>
              </w:rPr>
              <w:t>52.245,00</w:t>
            </w:r>
          </w:p>
        </w:tc>
      </w:tr>
      <w:tr w14:paraId="517F7376">
        <w:tblPrEx>
          <w:tblCellMar>
            <w:top w:w="0" w:type="dxa"/>
            <w:left w:w="108" w:type="dxa"/>
            <w:bottom w:w="0" w:type="dxa"/>
            <w:right w:w="108" w:type="dxa"/>
          </w:tblCellMar>
        </w:tblPrEx>
        <w:trPr>
          <w:trHeight w:val="300" w:hRule="atLeast"/>
        </w:trPr>
        <w:tc>
          <w:tcPr>
            <w:tcW w:w="5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C8BC963">
            <w:pPr>
              <w:jc w:val="center"/>
              <w:textAlignment w:val="bottom"/>
              <w:rPr>
                <w:rFonts w:eastAsia="SimSun"/>
                <w:b/>
                <w:bCs/>
                <w:sz w:val="18"/>
                <w:szCs w:val="18"/>
                <w:lang w:eastAsia="zh-CN" w:bidi="ar"/>
              </w:rPr>
            </w:pPr>
            <w:r>
              <w:rPr>
                <w:rFonts w:eastAsia="SimSun"/>
                <w:b/>
                <w:bCs/>
                <w:sz w:val="18"/>
                <w:szCs w:val="18"/>
                <w:lang w:eastAsia="zh-CN" w:bidi="ar"/>
              </w:rPr>
              <w:t>5</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tcPr>
          <w:p w14:paraId="59B9B33B">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r>
              <w:rPr>
                <w:rFonts w:cs="Times New Roman"/>
                <w:color w:val="auto"/>
                <w:sz w:val="18"/>
                <w:szCs w:val="18"/>
              </w:rPr>
              <w:t>Lata</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41DB739">
            <w:pPr>
              <w:jc w:val="center"/>
              <w:textAlignment w:val="bottom"/>
              <w:rPr>
                <w:rFonts w:eastAsia="SimSun"/>
                <w:b/>
                <w:bCs/>
                <w:kern w:val="3"/>
                <w:sz w:val="18"/>
                <w:szCs w:val="18"/>
                <w:lang w:eastAsia="zh-CN" w:bidi="hi-IN"/>
              </w:rPr>
            </w:pPr>
            <w:r>
              <w:rPr>
                <w:b/>
                <w:bCs/>
                <w:kern w:val="3"/>
                <w:sz w:val="18"/>
                <w:szCs w:val="18"/>
                <w:lang w:eastAsia="hi-IN" w:bidi="hi-IN"/>
              </w:rPr>
              <w:t>1500</w:t>
            </w:r>
          </w:p>
        </w:tc>
        <w:tc>
          <w:tcPr>
            <w:tcW w:w="3969" w:type="dxa"/>
            <w:tcBorders>
              <w:top w:val="single" w:color="000000" w:sz="2" w:space="0"/>
              <w:left w:val="single" w:color="000000" w:sz="2" w:space="0"/>
              <w:bottom w:val="single" w:color="000000" w:sz="2" w:space="0"/>
              <w:right w:val="single" w:color="000000" w:sz="2" w:space="0"/>
            </w:tcBorders>
            <w:shd w:val="clear" w:color="auto" w:fill="auto"/>
            <w:noWrap/>
          </w:tcPr>
          <w:p w14:paraId="430AE8EA">
            <w:pPr>
              <w:jc w:val="both"/>
              <w:rPr>
                <w:sz w:val="18"/>
                <w:szCs w:val="18"/>
              </w:rPr>
            </w:pPr>
            <w:r>
              <w:rPr>
                <w:sz w:val="18"/>
                <w:szCs w:val="18"/>
              </w:rPr>
              <w:t>Formula alimentar hipoercalorica de 1,5kcal/ml para idade de 3 a 10 anos</w:t>
            </w:r>
          </w:p>
          <w:p w14:paraId="14961F5E">
            <w:pPr>
              <w:jc w:val="both"/>
              <w:rPr>
                <w:sz w:val="18"/>
                <w:szCs w:val="18"/>
              </w:rPr>
            </w:pPr>
            <w:r>
              <w:rPr>
                <w:b/>
                <w:bCs/>
                <w:sz w:val="18"/>
                <w:szCs w:val="18"/>
              </w:rPr>
              <w:t xml:space="preserve">Apresentação: </w:t>
            </w:r>
            <w:r>
              <w:rPr>
                <w:sz w:val="18"/>
                <w:szCs w:val="18"/>
              </w:rPr>
              <w:t>lata com 400g, com validade minima de 75% a contar da data de entrega</w:t>
            </w:r>
          </w:p>
          <w:p w14:paraId="5E3E2221">
            <w:pPr>
              <w:jc w:val="both"/>
              <w:rPr>
                <w:rFonts w:eastAsia="SimSun"/>
                <w:b/>
                <w:bCs/>
                <w:kern w:val="3"/>
                <w:sz w:val="18"/>
                <w:szCs w:val="18"/>
                <w:shd w:val="clear" w:color="auto" w:fill="FFFFFF"/>
                <w:lang w:eastAsia="zh-CN" w:bidi="hi-IN"/>
              </w:rPr>
            </w:pPr>
            <w:r>
              <w:rPr>
                <w:b/>
                <w:sz w:val="18"/>
                <w:szCs w:val="18"/>
                <w:shd w:val="clear" w:color="auto" w:fill="FFFFFF"/>
              </w:rPr>
              <w:t>Marca: Fortini Plus</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B022AF">
            <w:pPr>
              <w:jc w:val="center"/>
              <w:textAlignment w:val="bottom"/>
              <w:rPr>
                <w:rFonts w:eastAsia="SimSun"/>
                <w:color w:val="000000"/>
                <w:sz w:val="18"/>
                <w:szCs w:val="18"/>
                <w:lang w:eastAsia="zh-CN" w:bidi="ar"/>
              </w:rPr>
            </w:pPr>
            <w:r>
              <w:rPr>
                <w:rFonts w:eastAsia="SimSun"/>
                <w:color w:val="000000"/>
                <w:sz w:val="18"/>
                <w:szCs w:val="18"/>
                <w:lang w:eastAsia="zh-CN" w:bidi="ar"/>
              </w:rPr>
              <w:t>465751</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02F4D1E">
            <w:pPr>
              <w:jc w:val="center"/>
              <w:textAlignment w:val="bottom"/>
              <w:rPr>
                <w:rFonts w:eastAsia="SimSun"/>
                <w:color w:val="000000"/>
                <w:sz w:val="18"/>
                <w:szCs w:val="18"/>
                <w:lang w:eastAsia="zh-CN" w:bidi="ar"/>
              </w:rPr>
            </w:pPr>
            <w:r>
              <w:rPr>
                <w:rFonts w:eastAsia="SimSun"/>
                <w:color w:val="000000"/>
                <w:sz w:val="18"/>
                <w:szCs w:val="18"/>
                <w:lang w:eastAsia="zh-CN" w:bidi="ar"/>
              </w:rPr>
              <w:t>58,80</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1AE64EB">
            <w:pPr>
              <w:jc w:val="center"/>
              <w:textAlignment w:val="bottom"/>
              <w:rPr>
                <w:rFonts w:eastAsia="SimSun"/>
                <w:color w:val="000000"/>
                <w:sz w:val="18"/>
                <w:szCs w:val="18"/>
                <w:lang w:eastAsia="zh-CN" w:bidi="ar"/>
              </w:rPr>
            </w:pPr>
            <w:r>
              <w:rPr>
                <w:rFonts w:eastAsia="SimSun"/>
                <w:color w:val="000000"/>
                <w:sz w:val="18"/>
                <w:szCs w:val="18"/>
                <w:lang w:eastAsia="zh-CN" w:bidi="ar"/>
              </w:rPr>
              <w:t>85,99</w:t>
            </w: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A627039">
            <w:pPr>
              <w:jc w:val="center"/>
              <w:textAlignment w:val="bottom"/>
              <w:rPr>
                <w:rFonts w:eastAsia="SimSun"/>
                <w:color w:val="000000"/>
                <w:sz w:val="18"/>
                <w:szCs w:val="18"/>
                <w:lang w:eastAsia="zh-CN" w:bidi="ar"/>
              </w:rPr>
            </w:pPr>
            <w:r>
              <w:rPr>
                <w:rFonts w:eastAsia="SimSun"/>
                <w:color w:val="000000"/>
                <w:sz w:val="18"/>
                <w:szCs w:val="18"/>
                <w:lang w:eastAsia="zh-CN" w:bidi="ar"/>
              </w:rPr>
              <w:t>63,06</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D782748">
            <w:pPr>
              <w:jc w:val="center"/>
              <w:textAlignment w:val="bottom"/>
              <w:rPr>
                <w:rFonts w:eastAsia="SimSun"/>
                <w:color w:val="000000"/>
                <w:sz w:val="18"/>
                <w:szCs w:val="18"/>
                <w:lang w:eastAsia="zh-CN" w:bidi="ar"/>
              </w:rPr>
            </w:pPr>
            <w:r>
              <w:rPr>
                <w:rFonts w:eastAsia="SimSun"/>
                <w:color w:val="000000"/>
                <w:sz w:val="18"/>
                <w:szCs w:val="18"/>
                <w:lang w:eastAsia="zh-CN" w:bidi="ar"/>
              </w:rPr>
              <w:t>63,06</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587B033">
            <w:pPr>
              <w:jc w:val="center"/>
              <w:textAlignment w:val="bottom"/>
              <w:rPr>
                <w:rFonts w:eastAsia="SimSun"/>
                <w:color w:val="000000"/>
                <w:sz w:val="18"/>
                <w:szCs w:val="18"/>
                <w:lang w:eastAsia="zh-CN" w:bidi="ar"/>
              </w:rPr>
            </w:pPr>
            <w:r>
              <w:rPr>
                <w:rFonts w:eastAsia="SimSun"/>
                <w:color w:val="000000"/>
                <w:sz w:val="18"/>
                <w:szCs w:val="18"/>
                <w:lang w:eastAsia="zh-CN" w:bidi="ar"/>
              </w:rPr>
              <w:t>94.590,00</w:t>
            </w:r>
          </w:p>
        </w:tc>
      </w:tr>
      <w:tr w14:paraId="26B82E93">
        <w:tblPrEx>
          <w:tblCellMar>
            <w:top w:w="0" w:type="dxa"/>
            <w:left w:w="108" w:type="dxa"/>
            <w:bottom w:w="0" w:type="dxa"/>
            <w:right w:w="108" w:type="dxa"/>
          </w:tblCellMar>
        </w:tblPrEx>
        <w:trPr>
          <w:trHeight w:val="300" w:hRule="atLeast"/>
        </w:trPr>
        <w:tc>
          <w:tcPr>
            <w:tcW w:w="56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17D5507">
            <w:pPr>
              <w:jc w:val="center"/>
              <w:textAlignment w:val="bottom"/>
              <w:rPr>
                <w:b/>
                <w:bCs/>
                <w:sz w:val="18"/>
                <w:szCs w:val="18"/>
                <w:lang w:eastAsia="zh-CN" w:bidi="ar"/>
              </w:rPr>
            </w:pP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tcPr>
          <w:p w14:paraId="6033BB3E">
            <w:pPr>
              <w:pStyle w:val="19"/>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18"/>
                <w:szCs w:val="18"/>
              </w:rPr>
            </w:pP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BA3213A">
            <w:pPr>
              <w:jc w:val="center"/>
              <w:textAlignment w:val="bottom"/>
              <w:rPr>
                <w:b/>
                <w:bCs/>
                <w:kern w:val="3"/>
                <w:sz w:val="18"/>
                <w:szCs w:val="18"/>
                <w:lang w:eastAsia="hi-IN" w:bidi="hi-IN"/>
              </w:rPr>
            </w:pPr>
          </w:p>
        </w:tc>
        <w:tc>
          <w:tcPr>
            <w:tcW w:w="3969" w:type="dxa"/>
            <w:tcBorders>
              <w:top w:val="single" w:color="000000" w:sz="2" w:space="0"/>
              <w:left w:val="single" w:color="000000" w:sz="2" w:space="0"/>
              <w:bottom w:val="single" w:color="000000" w:sz="2" w:space="0"/>
              <w:right w:val="single" w:color="000000" w:sz="2" w:space="0"/>
            </w:tcBorders>
            <w:shd w:val="clear" w:color="auto" w:fill="auto"/>
            <w:noWrap/>
          </w:tcPr>
          <w:p w14:paraId="7C3E7087">
            <w:pPr>
              <w:jc w:val="both"/>
              <w:rPr>
                <w:b/>
                <w:sz w:val="18"/>
                <w:szCs w:val="18"/>
                <w:shd w:val="clear" w:color="auto" w:fill="FFFFFF"/>
              </w:rPr>
            </w:pPr>
            <w:r>
              <w:rPr>
                <w:b/>
                <w:sz w:val="18"/>
                <w:szCs w:val="18"/>
                <w:shd w:val="clear" w:color="auto" w:fill="FFFFFF"/>
              </w:rPr>
              <w:t>Total</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26FEFAC">
            <w:pPr>
              <w:jc w:val="center"/>
              <w:textAlignment w:val="bottom"/>
              <w:rPr>
                <w:rFonts w:eastAsia="SimSun"/>
                <w:color w:val="000000"/>
                <w:sz w:val="18"/>
                <w:szCs w:val="18"/>
                <w:lang w:eastAsia="zh-CN" w:bidi="ar"/>
              </w:rPr>
            </w:pP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4A3A15">
            <w:pPr>
              <w:jc w:val="center"/>
              <w:textAlignment w:val="bottom"/>
              <w:rPr>
                <w:rFonts w:eastAsia="SimSun"/>
                <w:color w:val="000000"/>
                <w:sz w:val="18"/>
                <w:szCs w:val="18"/>
                <w:lang w:eastAsia="zh-CN" w:bidi="ar"/>
              </w:rPr>
            </w:pP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9A2EBA3">
            <w:pPr>
              <w:jc w:val="center"/>
              <w:textAlignment w:val="bottom"/>
              <w:rPr>
                <w:color w:val="000000"/>
                <w:sz w:val="18"/>
                <w:szCs w:val="18"/>
                <w:lang w:eastAsia="zh-CN"/>
              </w:rPr>
            </w:pP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A367294">
            <w:pPr>
              <w:jc w:val="center"/>
              <w:textAlignment w:val="bottom"/>
              <w:rPr>
                <w:color w:val="000000"/>
                <w:sz w:val="18"/>
                <w:szCs w:val="18"/>
                <w:lang w:eastAsia="zh-CN"/>
              </w:rPr>
            </w:pP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5D6719B">
            <w:pPr>
              <w:jc w:val="center"/>
              <w:textAlignment w:val="bottom"/>
              <w:rPr>
                <w:color w:val="000000"/>
                <w:sz w:val="18"/>
                <w:szCs w:val="18"/>
                <w:lang w:eastAsia="zh-CN"/>
              </w:rPr>
            </w:pP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ED118FB">
            <w:pPr>
              <w:jc w:val="center"/>
              <w:textAlignment w:val="bottom"/>
              <w:rPr>
                <w:color w:val="000000"/>
                <w:sz w:val="18"/>
                <w:szCs w:val="18"/>
                <w:lang w:eastAsia="zh-CN"/>
              </w:rPr>
            </w:pPr>
            <w:r>
              <w:rPr>
                <w:color w:val="000000"/>
                <w:sz w:val="18"/>
                <w:szCs w:val="18"/>
                <w:lang w:eastAsia="zh-CN"/>
              </w:rPr>
              <w:t>1.506.850,00</w:t>
            </w:r>
          </w:p>
        </w:tc>
      </w:tr>
    </w:tbl>
    <w:p w14:paraId="2F992440">
      <w:pPr>
        <w:rPr>
          <w:rFonts w:ascii="Arial" w:hAnsi="Arial" w:cs="Arial"/>
        </w:rPr>
      </w:pPr>
    </w:p>
    <w:p w14:paraId="2110695E">
      <w:pPr>
        <w:rPr>
          <w:rFonts w:ascii="Arial" w:hAnsi="Arial" w:cs="Arial"/>
        </w:rPr>
      </w:pPr>
    </w:p>
    <w:p w14:paraId="0DA704E2">
      <w:pPr>
        <w:spacing w:line="288" w:lineRule="auto"/>
        <w:contextualSpacing/>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ANEXO VI</w:t>
      </w:r>
    </w:p>
    <w:p w14:paraId="5B72FB63">
      <w:pPr>
        <w:spacing w:line="288" w:lineRule="auto"/>
        <w:contextualSpacing/>
        <w:jc w:val="center"/>
        <w:rPr>
          <w:b/>
          <w:color w:val="000000" w:themeColor="text1"/>
          <w:sz w:val="24"/>
          <w:szCs w:val="24"/>
          <w:u w:val="single"/>
          <w14:textFill>
            <w14:solidFill>
              <w14:schemeClr w14:val="tx1"/>
            </w14:solidFill>
          </w14:textFill>
        </w:rPr>
      </w:pPr>
      <w:r>
        <w:rPr>
          <w:b/>
          <w:bCs/>
          <w:color w:val="000000" w:themeColor="text1"/>
          <w:sz w:val="24"/>
          <w:szCs w:val="24"/>
          <w:highlight w:val="yellow"/>
          <w:u w:val="single"/>
          <w14:textFill>
            <w14:solidFill>
              <w14:schemeClr w14:val="tx1"/>
            </w14:solidFill>
          </w14:textFill>
        </w:rPr>
        <w:t xml:space="preserve">MINUTA - ATA DE REGISTRO DE PREÇOS N° </w:t>
      </w:r>
      <w:r>
        <w:rPr>
          <w:b/>
          <w:color w:val="000000" w:themeColor="text1"/>
          <w:sz w:val="24"/>
          <w:szCs w:val="24"/>
          <w:highlight w:val="yellow"/>
          <w:u w:val="single"/>
          <w14:textFill>
            <w14:solidFill>
              <w14:schemeClr w14:val="tx1"/>
            </w14:solidFill>
          </w14:textFill>
        </w:rPr>
        <w:t>XXX/XXX</w:t>
      </w:r>
    </w:p>
    <w:p w14:paraId="6522E206">
      <w:pPr>
        <w:contextualSpacing/>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MUNICÍPIO DE VALENÇA</w:t>
      </w:r>
    </w:p>
    <w:p w14:paraId="0645F0F3">
      <w:pPr>
        <w:contextualSpacing/>
        <w:jc w:val="center"/>
        <w:rPr>
          <w:b/>
          <w:bCs/>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SECRETARIA MUNICIPAL DE SAÚDE</w:t>
      </w:r>
    </w:p>
    <w:p w14:paraId="44395BEA">
      <w:pPr>
        <w:spacing w:after="120"/>
        <w:ind w:left="3969" w:right="-15"/>
        <w:contextualSpacing/>
        <w:jc w:val="both"/>
        <w:rPr>
          <w:b/>
          <w:color w:val="000000" w:themeColor="text1"/>
          <w:sz w:val="24"/>
          <w:szCs w:val="24"/>
          <w14:textFill>
            <w14:solidFill>
              <w14:schemeClr w14:val="tx1"/>
            </w14:solidFill>
          </w14:textFill>
        </w:rPr>
      </w:pPr>
    </w:p>
    <w:p w14:paraId="6787FE57">
      <w:pPr>
        <w:spacing w:after="120"/>
        <w:ind w:left="3969" w:right="-15"/>
        <w:contextualSpacing/>
        <w:jc w:val="both"/>
        <w:rPr>
          <w:b/>
          <w:color w:val="000000" w:themeColor="text1"/>
          <w:sz w:val="24"/>
          <w:szCs w:val="24"/>
          <w14:textFill>
            <w14:solidFill>
              <w14:schemeClr w14:val="tx1"/>
            </w14:solidFill>
          </w14:textFill>
        </w:rPr>
      </w:pPr>
    </w:p>
    <w:p w14:paraId="673543BE">
      <w:pPr>
        <w:widowControl w:val="0"/>
        <w:tabs>
          <w:tab w:val="center" w:pos="4779"/>
          <w:tab w:val="right" w:pos="9198"/>
        </w:tabs>
        <w:autoSpaceDE w:val="0"/>
        <w:autoSpaceDN w:val="0"/>
        <w:adjustRightInd w:val="0"/>
        <w:spacing w:before="120" w:after="120" w:line="288" w:lineRule="auto"/>
        <w:ind w:right="-28"/>
        <w:contextualSpacing/>
        <w:jc w:val="both"/>
        <w:rPr>
          <w:color w:val="000000" w:themeColor="text1"/>
          <w:sz w:val="24"/>
          <w:szCs w:val="24"/>
          <w14:textFill>
            <w14:solidFill>
              <w14:schemeClr w14:val="tx1"/>
            </w14:solidFill>
          </w14:textFill>
        </w:rPr>
      </w:pPr>
      <w:r>
        <w:rPr>
          <w:rFonts w:eastAsia="Arial"/>
          <w:b/>
          <w:bCs/>
          <w:color w:val="000000" w:themeColor="text1"/>
          <w:sz w:val="24"/>
          <w:szCs w:val="24"/>
          <w14:textFill>
            <w14:solidFill>
              <w14:schemeClr w14:val="tx1"/>
            </w14:solidFill>
          </w14:textFill>
        </w:rPr>
        <w:t xml:space="preserve">O MUNICÍPIO DE VALENÇA, </w:t>
      </w:r>
      <w:r>
        <w:rPr>
          <w:b/>
          <w:bCs/>
          <w:color w:val="000000" w:themeColor="text1"/>
          <w:sz w:val="24"/>
          <w:szCs w:val="24"/>
          <w14:textFill>
            <w14:solidFill>
              <w14:schemeClr w14:val="tx1"/>
            </w14:solidFill>
          </w14:textFill>
        </w:rPr>
        <w:t>pela SECRETARIA MUNICIPAL DE SAÚDE</w:t>
      </w:r>
      <w:r>
        <w:rPr>
          <w:color w:val="000000" w:themeColor="text1"/>
          <w:sz w:val="24"/>
          <w:szCs w:val="24"/>
          <w14:textFill>
            <w14:solidFill>
              <w14:schemeClr w14:val="tx1"/>
            </w14:solidFill>
          </w14:textFill>
        </w:rPr>
        <w:t xml:space="preserve">, com sede na xxx , na cidade de Valença, no Estado do Rio de Janeiro, inscrita no CNPJ sob o nº ................................, neste ato representada por Rafael de Oliveira Tavares, portador do CPF nº 105.832.167-65, considerando o resultado do Pregão Eletrônico nº xxx/2026, publicada no ...... de ...../...../202... para REGISTRO DE PREÇOS, processo administrativo nº ......, RESOLVE registrar os preços da  empresa indicada e qualificada nesta ATA, de acordo com a classificação por ela alcançada e na quantidade  cotada, atendendo as condições previstas no </w:t>
      </w:r>
      <w:bookmarkStart w:id="43" w:name="_Hlk158816343"/>
      <w:r>
        <w:rPr>
          <w:color w:val="000000" w:themeColor="text1"/>
          <w:sz w:val="24"/>
          <w:szCs w:val="24"/>
          <w14:textFill>
            <w14:solidFill>
              <w14:schemeClr w14:val="tx1"/>
            </w14:solidFill>
          </w14:textFill>
        </w:rPr>
        <w:t xml:space="preserve">Edital de licitação </w:t>
      </w:r>
      <w:bookmarkStart w:id="44" w:name="_Hlk155800648"/>
      <w:r>
        <w:rPr>
          <w:color w:val="000000" w:themeColor="text1"/>
          <w:sz w:val="24"/>
          <w:szCs w:val="24"/>
          <w14:textFill>
            <w14:solidFill>
              <w14:schemeClr w14:val="tx1"/>
            </w14:solidFill>
          </w14:textFill>
        </w:rPr>
        <w:t>nº xxx/202</w:t>
      </w:r>
      <w:bookmarkEnd w:id="44"/>
      <w:r>
        <w:rPr>
          <w:color w:val="000000" w:themeColor="text1"/>
          <w:sz w:val="24"/>
          <w:szCs w:val="24"/>
          <w14:textFill>
            <w14:solidFill>
              <w14:schemeClr w14:val="tx1"/>
            </w14:solidFill>
          </w14:textFill>
        </w:rPr>
        <w:t>6 Termo de Referência</w:t>
      </w:r>
      <w:bookmarkEnd w:id="43"/>
      <w:r>
        <w:rPr>
          <w:color w:val="000000" w:themeColor="text1"/>
          <w:sz w:val="24"/>
          <w:szCs w:val="24"/>
          <w14:textFill>
            <w14:solidFill>
              <w14:schemeClr w14:val="tx1"/>
            </w14:solidFill>
          </w14:textFill>
        </w:rPr>
        <w:t xml:space="preserve">, sujeitando-se as partes às normas constantes na Lei nº 14.133, de 1º de abril de 2021, no Decreto nº 46, de 25 de fevereiro de 2025 </w:t>
      </w:r>
      <w:r>
        <w:rPr>
          <w:rFonts w:eastAsia="Arial"/>
          <w:color w:val="000000" w:themeColor="text1"/>
          <w:sz w:val="24"/>
          <w:szCs w:val="24"/>
          <w14:textFill>
            <w14:solidFill>
              <w14:schemeClr w14:val="tx1"/>
            </w14:solidFill>
          </w14:textFill>
        </w:rPr>
        <w:t xml:space="preserve">e nos demais normativos municipais aplicáveis, todos disponíveis </w:t>
      </w:r>
      <w:r>
        <w:rPr>
          <w:color w:val="000000" w:themeColor="text1"/>
          <w:sz w:val="24"/>
          <w:szCs w:val="24"/>
          <w14:textFill>
            <w14:solidFill>
              <w14:schemeClr w14:val="tx1"/>
            </w14:solidFill>
          </w14:textFill>
        </w:rPr>
        <w:t>no endereço eletrônico xxx, e em conformidade com as disposições a seguir:</w:t>
      </w:r>
    </w:p>
    <w:p w14:paraId="0174BEB2">
      <w:pPr>
        <w:pStyle w:val="97"/>
        <w:spacing w:before="0" w:beforeAutospacing="0" w:after="0" w:afterAutospacing="0" w:line="288" w:lineRule="auto"/>
        <w:ind w:right="-1"/>
        <w:contextualSpacing/>
        <w:jc w:val="both"/>
        <w:rPr>
          <w:color w:val="000000" w:themeColor="text1"/>
          <w14:textFill>
            <w14:solidFill>
              <w14:schemeClr w14:val="tx1"/>
            </w14:solidFill>
          </w14:textFill>
        </w:rPr>
      </w:pPr>
    </w:p>
    <w:p w14:paraId="04A6C3D3">
      <w:pPr>
        <w:pStyle w:val="97"/>
        <w:spacing w:before="0" w:beforeAutospacing="0" w:after="0" w:afterAutospacing="0" w:line="288" w:lineRule="auto"/>
        <w:ind w:right="-1"/>
        <w:contextualSpacing/>
        <w:jc w:val="both"/>
        <w:rPr>
          <w:b/>
          <w:bCs/>
        </w:rPr>
      </w:pPr>
      <w:r>
        <w:rPr>
          <w:b/>
          <w:bCs/>
        </w:rPr>
        <w:t xml:space="preserve">CLÁUSULA PRIMEIRA: OBJETO </w:t>
      </w:r>
    </w:p>
    <w:p w14:paraId="202B2C7B">
      <w:pPr>
        <w:pStyle w:val="24"/>
        <w:spacing w:line="360" w:lineRule="auto"/>
        <w:jc w:val="both"/>
      </w:pPr>
      <w:r>
        <w:rPr>
          <w:rFonts w:eastAsia="Cambria Math"/>
        </w:rPr>
        <w:t xml:space="preserve">1.1 </w:t>
      </w:r>
      <w:r>
        <w:t>A aquisição 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742F58E6">
      <w:pPr>
        <w:pStyle w:val="99"/>
        <w:numPr>
          <w:ilvl w:val="1"/>
          <w:numId w:val="0"/>
        </w:numPr>
        <w:autoSpaceDE w:val="0"/>
        <w:autoSpaceDN w:val="0"/>
        <w:adjustRightInd w:val="0"/>
        <w:spacing w:line="288" w:lineRule="auto"/>
        <w:contextualSpacing/>
        <w:rPr>
          <w:rFonts w:ascii="Times New Roman" w:hAnsi="Times New Roman" w:cs="Times New Roman"/>
          <w:b/>
          <w:bCs/>
          <w:sz w:val="24"/>
          <w:szCs w:val="24"/>
        </w:rPr>
      </w:pPr>
      <w:r>
        <w:rPr>
          <w:rFonts w:ascii="Times New Roman" w:hAnsi="Times New Roman" w:cs="Times New Roman"/>
          <w:b/>
          <w:bCs/>
          <w:sz w:val="24"/>
          <w:szCs w:val="24"/>
        </w:rPr>
        <w:t xml:space="preserve">CLÁUSULA SEGUNDA: DA ATA DE REGISTRO DE PREÇOS   </w:t>
      </w:r>
    </w:p>
    <w:p w14:paraId="577253A8">
      <w:pPr>
        <w:pStyle w:val="99"/>
        <w:numPr>
          <w:ilvl w:val="1"/>
          <w:numId w:val="0"/>
        </w:numPr>
        <w:autoSpaceDE w:val="0"/>
        <w:autoSpaceDN w:val="0"/>
        <w:adjustRightInd w:val="0"/>
        <w:spacing w:line="288" w:lineRule="auto"/>
        <w:contextualSpacing/>
        <w:rPr>
          <w:rFonts w:ascii="Times New Roman" w:hAnsi="Times New Roman" w:cs="Times New Roman"/>
          <w:sz w:val="24"/>
          <w:szCs w:val="24"/>
        </w:rPr>
      </w:pPr>
    </w:p>
    <w:p w14:paraId="1DC96933">
      <w:pPr>
        <w:pStyle w:val="77"/>
        <w:spacing w:line="360" w:lineRule="auto"/>
        <w:jc w:val="both"/>
        <w:rPr>
          <w:rFonts w:ascii="Times New Roman" w:hAnsi="Times New Roman" w:cs="Times New Roman"/>
          <w:sz w:val="24"/>
          <w:szCs w:val="24"/>
        </w:rPr>
      </w:pPr>
      <w:r>
        <w:rPr>
          <w:rFonts w:ascii="Times New Roman" w:hAnsi="Times New Roman" w:cs="Times New Roman"/>
          <w:sz w:val="24"/>
          <w:szCs w:val="24"/>
        </w:rPr>
        <w:t>2.1 A aquisição 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536A7C42">
      <w:pPr>
        <w:pStyle w:val="77"/>
        <w:spacing w:line="360" w:lineRule="auto"/>
        <w:jc w:val="both"/>
        <w:rPr>
          <w:rFonts w:ascii="Times New Roman" w:hAnsi="Times New Roman" w:eastAsia="Cambria Math" w:cs="Times New Roman"/>
          <w:color w:val="000000"/>
          <w:sz w:val="24"/>
          <w:szCs w:val="24"/>
        </w:rPr>
      </w:pPr>
    </w:p>
    <w:p w14:paraId="52D57E5A">
      <w:pPr>
        <w:spacing w:line="288" w:lineRule="auto"/>
        <w:contextualSpacing/>
        <w:jc w:val="both"/>
        <w:rPr>
          <w:b/>
          <w:sz w:val="24"/>
          <w:szCs w:val="24"/>
        </w:rPr>
      </w:pPr>
      <w:r>
        <w:rPr>
          <w:sz w:val="24"/>
          <w:szCs w:val="24"/>
        </w:rPr>
        <w:t xml:space="preserve">2.2 A contratação com o fornecedor registrado não é obrigatória e será realizada de acordo com a necessidade do </w:t>
      </w:r>
      <w:r>
        <w:rPr>
          <w:bCs/>
          <w:sz w:val="24"/>
          <w:szCs w:val="24"/>
        </w:rPr>
        <w:t>gerenciador e dos participantes, quando houver,</w:t>
      </w:r>
      <w:r>
        <w:rPr>
          <w:b/>
          <w:sz w:val="24"/>
          <w:szCs w:val="24"/>
        </w:rPr>
        <w:t xml:space="preserve"> </w:t>
      </w:r>
      <w:r>
        <w:rPr>
          <w:sz w:val="24"/>
          <w:szCs w:val="24"/>
        </w:rPr>
        <w:t>e de acordo com o quantitativo indicado na cláusula quinta</w:t>
      </w:r>
      <w:r>
        <w:rPr>
          <w:b/>
          <w:sz w:val="24"/>
          <w:szCs w:val="24"/>
        </w:rPr>
        <w:t>.</w:t>
      </w:r>
    </w:p>
    <w:p w14:paraId="635D1EB5">
      <w:pPr>
        <w:spacing w:line="288" w:lineRule="auto"/>
        <w:contextualSpacing/>
        <w:jc w:val="both"/>
        <w:rPr>
          <w:b/>
          <w:sz w:val="24"/>
          <w:szCs w:val="24"/>
        </w:rPr>
      </w:pPr>
    </w:p>
    <w:p w14:paraId="066FE1B2">
      <w:pPr>
        <w:autoSpaceDE w:val="0"/>
        <w:autoSpaceDN w:val="0"/>
        <w:adjustRightInd w:val="0"/>
        <w:spacing w:line="288" w:lineRule="auto"/>
        <w:contextualSpacing/>
        <w:jc w:val="both"/>
        <w:rPr>
          <w:sz w:val="24"/>
          <w:szCs w:val="24"/>
        </w:rPr>
      </w:pPr>
      <w:r>
        <w:rPr>
          <w:bCs/>
          <w:sz w:val="24"/>
          <w:szCs w:val="24"/>
        </w:rPr>
        <w:t xml:space="preserve">2.3 </w:t>
      </w:r>
      <w:r>
        <w:rPr>
          <w:sz w:val="24"/>
          <w:szCs w:val="24"/>
        </w:rPr>
        <w:t xml:space="preserve">A Administração poderá realizar </w:t>
      </w:r>
      <w:r>
        <w:rPr>
          <w:color w:val="231F20"/>
          <w:sz w:val="24"/>
          <w:szCs w:val="24"/>
        </w:rPr>
        <w:t xml:space="preserve">licitação ou contratação direta </w:t>
      </w:r>
      <w:r>
        <w:rPr>
          <w:sz w:val="24"/>
          <w:szCs w:val="24"/>
        </w:rPr>
        <w:t>para</w:t>
      </w:r>
      <w:r>
        <w:rPr>
          <w:color w:val="231F20"/>
          <w:sz w:val="24"/>
          <w:szCs w:val="24"/>
        </w:rPr>
        <w:t xml:space="preserve"> a aquisição de mesmo objeto da presente Ata,</w:t>
      </w:r>
      <w:r>
        <w:rPr>
          <w:sz w:val="24"/>
          <w:szCs w:val="24"/>
        </w:rPr>
        <w:t xml:space="preserve"> desde que devidamente motivada, observado o disposto no art. 26, parágrafo único, do Decreto nº 46/2025</w:t>
      </w:r>
      <w:r>
        <w:rPr>
          <w:color w:val="231F20"/>
          <w:sz w:val="24"/>
          <w:szCs w:val="24"/>
        </w:rPr>
        <w:t>.</w:t>
      </w:r>
      <w:r>
        <w:rPr>
          <w:sz w:val="24"/>
          <w:szCs w:val="24"/>
        </w:rPr>
        <w:t xml:space="preserve"> </w:t>
      </w:r>
    </w:p>
    <w:p w14:paraId="0D321846">
      <w:pPr>
        <w:spacing w:line="288" w:lineRule="auto"/>
        <w:contextualSpacing/>
        <w:jc w:val="both"/>
        <w:rPr>
          <w:sz w:val="24"/>
          <w:szCs w:val="24"/>
        </w:rPr>
      </w:pPr>
    </w:p>
    <w:p w14:paraId="55D9E828">
      <w:pPr>
        <w:spacing w:line="288" w:lineRule="auto"/>
        <w:contextualSpacing/>
        <w:jc w:val="both"/>
        <w:rPr>
          <w:color w:val="231F20"/>
          <w:sz w:val="24"/>
          <w:szCs w:val="24"/>
        </w:rPr>
      </w:pPr>
      <w:r>
        <w:rPr>
          <w:rFonts w:eastAsia="Arial"/>
          <w:bCs/>
          <w:sz w:val="24"/>
          <w:szCs w:val="24"/>
        </w:rPr>
        <w:t>2.4 Esta</w:t>
      </w:r>
      <w:r>
        <w:rPr>
          <w:bCs/>
          <w:sz w:val="24"/>
          <w:szCs w:val="24"/>
        </w:rPr>
        <w:t xml:space="preserve"> </w:t>
      </w:r>
      <w:r>
        <w:rPr>
          <w:sz w:val="24"/>
          <w:szCs w:val="24"/>
        </w:rPr>
        <w:t xml:space="preserve">Ata de Registro de Preços, com a indicação do </w:t>
      </w:r>
      <w:r>
        <w:rPr>
          <w:color w:val="231F20"/>
          <w:sz w:val="24"/>
          <w:szCs w:val="24"/>
        </w:rPr>
        <w:t xml:space="preserve">preço registrado e dos fornecedores, será divulgada no </w:t>
      </w:r>
      <w:r>
        <w:rPr>
          <w:sz w:val="24"/>
          <w:szCs w:val="24"/>
        </w:rPr>
        <w:t xml:space="preserve">Portal Nacional de Contratações Públicas – PNCP e no </w:t>
      </w:r>
      <w:r>
        <w:rPr>
          <w:color w:val="231F20"/>
          <w:sz w:val="24"/>
          <w:szCs w:val="24"/>
        </w:rPr>
        <w:t>Site da Prefeitura de Valença.</w:t>
      </w:r>
    </w:p>
    <w:p w14:paraId="23AC1F40">
      <w:pPr>
        <w:spacing w:line="288" w:lineRule="auto"/>
        <w:contextualSpacing/>
        <w:jc w:val="both"/>
        <w:rPr>
          <w:color w:val="231F20"/>
          <w:sz w:val="24"/>
          <w:szCs w:val="24"/>
        </w:rPr>
      </w:pPr>
    </w:p>
    <w:p w14:paraId="1D379020">
      <w:pPr>
        <w:spacing w:line="288" w:lineRule="auto"/>
        <w:contextualSpacing/>
        <w:jc w:val="both"/>
        <w:rPr>
          <w:rFonts w:eastAsia="Arial"/>
          <w:b/>
          <w:sz w:val="24"/>
          <w:szCs w:val="24"/>
        </w:rPr>
      </w:pPr>
      <w:r>
        <w:rPr>
          <w:b/>
          <w:bCs/>
          <w:sz w:val="24"/>
          <w:szCs w:val="24"/>
        </w:rPr>
        <w:t>CLÁUSULA TERCEIRA:</w:t>
      </w:r>
      <w:r>
        <w:rPr>
          <w:sz w:val="24"/>
          <w:szCs w:val="24"/>
        </w:rPr>
        <w:t xml:space="preserve"> </w:t>
      </w:r>
      <w:r>
        <w:rPr>
          <w:b/>
          <w:bCs/>
          <w:sz w:val="24"/>
          <w:szCs w:val="24"/>
        </w:rPr>
        <w:t>DO FORNECEDOR,</w:t>
      </w:r>
      <w:r>
        <w:rPr>
          <w:sz w:val="24"/>
          <w:szCs w:val="24"/>
        </w:rPr>
        <w:t xml:space="preserve"> </w:t>
      </w:r>
      <w:r>
        <w:rPr>
          <w:rFonts w:eastAsia="Arial"/>
          <w:b/>
          <w:sz w:val="24"/>
          <w:szCs w:val="24"/>
        </w:rPr>
        <w:t xml:space="preserve">DO GERENCIADOR, DOS PARTICIPANTES E DAS ATRIBUIÇÕES  </w:t>
      </w:r>
    </w:p>
    <w:p w14:paraId="77A0E61A">
      <w:pPr>
        <w:spacing w:line="288" w:lineRule="auto"/>
        <w:contextualSpacing/>
        <w:jc w:val="both"/>
        <w:rPr>
          <w:rFonts w:eastAsia="Arial"/>
          <w:sz w:val="24"/>
          <w:szCs w:val="24"/>
        </w:rPr>
      </w:pPr>
    </w:p>
    <w:p w14:paraId="72A86269">
      <w:pPr>
        <w:spacing w:line="288" w:lineRule="auto"/>
        <w:contextualSpacing/>
        <w:jc w:val="both"/>
        <w:rPr>
          <w:rFonts w:eastAsia="Arial"/>
          <w:sz w:val="24"/>
          <w:szCs w:val="24"/>
        </w:rPr>
      </w:pPr>
      <w:r>
        <w:rPr>
          <w:rFonts w:eastAsia="Arial"/>
          <w:sz w:val="24"/>
          <w:szCs w:val="24"/>
        </w:rPr>
        <w:t xml:space="preserve">3.1 O fornecedor desta Ata de Registro de Preços é </w:t>
      </w:r>
      <w:r>
        <w:rPr>
          <w:rFonts w:eastAsia="Arial"/>
          <w:color w:val="FF0000"/>
          <w:sz w:val="24"/>
          <w:szCs w:val="24"/>
        </w:rPr>
        <w:t>...................</w:t>
      </w:r>
      <w:r>
        <w:rPr>
          <w:sz w:val="24"/>
          <w:szCs w:val="24"/>
        </w:rPr>
        <w:t>, na forma do Anexo I – Consolidação das Informações da Ata de Registro de Preços.</w:t>
      </w:r>
    </w:p>
    <w:p w14:paraId="40D456CC">
      <w:pPr>
        <w:spacing w:line="288" w:lineRule="auto"/>
        <w:contextualSpacing/>
        <w:jc w:val="both"/>
        <w:rPr>
          <w:rFonts w:eastAsia="Arial"/>
          <w:sz w:val="24"/>
          <w:szCs w:val="24"/>
        </w:rPr>
      </w:pPr>
    </w:p>
    <w:p w14:paraId="2D12A54E">
      <w:pPr>
        <w:spacing w:line="288" w:lineRule="auto"/>
        <w:contextualSpacing/>
        <w:jc w:val="both"/>
        <w:rPr>
          <w:sz w:val="24"/>
          <w:szCs w:val="24"/>
          <w:highlight w:val="yellow"/>
        </w:rPr>
      </w:pPr>
      <w:r>
        <w:rPr>
          <w:rFonts w:eastAsia="Arial"/>
          <w:sz w:val="24"/>
          <w:szCs w:val="24"/>
        </w:rPr>
        <w:t xml:space="preserve">3.1.1 </w:t>
      </w:r>
      <w:r>
        <w:rPr>
          <w:sz w:val="24"/>
          <w:szCs w:val="24"/>
        </w:rPr>
        <w:t xml:space="preserve">O fornecedor registrado deverá manter durante toda a vigência da Ata de Registro de Preços a compatibilidade com as obrigações assumidas, assim como todas as condições exigidas </w:t>
      </w:r>
      <w:r>
        <w:rPr>
          <w:rFonts w:eastAsia="Arial"/>
          <w:sz w:val="24"/>
          <w:szCs w:val="24"/>
        </w:rPr>
        <w:t xml:space="preserve">no </w:t>
      </w:r>
      <w:r>
        <w:rPr>
          <w:sz w:val="24"/>
          <w:szCs w:val="24"/>
        </w:rPr>
        <w:t>instrumento convocatório, quando houver,</w:t>
      </w:r>
      <w:r>
        <w:rPr>
          <w:rFonts w:eastAsia="Arial"/>
          <w:sz w:val="24"/>
          <w:szCs w:val="24"/>
        </w:rPr>
        <w:t xml:space="preserve"> e no Termo de Referência</w:t>
      </w:r>
      <w:r>
        <w:rPr>
          <w:sz w:val="24"/>
          <w:szCs w:val="24"/>
        </w:rPr>
        <w:t>, inclusive as referentes à habilitação e às condições de participação.</w:t>
      </w:r>
      <w:r>
        <w:rPr>
          <w:sz w:val="24"/>
          <w:szCs w:val="24"/>
          <w:highlight w:val="yellow"/>
        </w:rPr>
        <w:t xml:space="preserve"> </w:t>
      </w:r>
    </w:p>
    <w:p w14:paraId="3F5C68F8">
      <w:pPr>
        <w:spacing w:line="288" w:lineRule="auto"/>
        <w:contextualSpacing/>
        <w:jc w:val="both"/>
        <w:rPr>
          <w:rFonts w:eastAsia="Arial"/>
          <w:sz w:val="24"/>
          <w:szCs w:val="24"/>
        </w:rPr>
      </w:pPr>
    </w:p>
    <w:p w14:paraId="5733BE72">
      <w:pPr>
        <w:spacing w:line="288" w:lineRule="auto"/>
        <w:contextualSpacing/>
        <w:jc w:val="both"/>
        <w:rPr>
          <w:rFonts w:eastAsia="Arial"/>
          <w:sz w:val="24"/>
          <w:szCs w:val="24"/>
        </w:rPr>
      </w:pPr>
      <w:r>
        <w:rPr>
          <w:rFonts w:eastAsia="Arial"/>
          <w:sz w:val="24"/>
          <w:szCs w:val="24"/>
        </w:rPr>
        <w:t xml:space="preserve">3.2 O </w:t>
      </w:r>
      <w:r>
        <w:rPr>
          <w:rFonts w:eastAsia="Arial"/>
          <w:bCs/>
          <w:sz w:val="24"/>
          <w:szCs w:val="24"/>
        </w:rPr>
        <w:t>gerenciador</w:t>
      </w:r>
      <w:r>
        <w:rPr>
          <w:rFonts w:eastAsia="Arial"/>
          <w:b/>
          <w:sz w:val="24"/>
          <w:szCs w:val="24"/>
        </w:rPr>
        <w:t xml:space="preserve"> </w:t>
      </w:r>
      <w:r>
        <w:rPr>
          <w:rFonts w:eastAsia="Arial"/>
          <w:sz w:val="24"/>
          <w:szCs w:val="24"/>
        </w:rPr>
        <w:t>desta Ata de Registro de Preços é a Secretaria Municipal de Saúde</w:t>
      </w:r>
      <w:r>
        <w:rPr>
          <w:sz w:val="24"/>
          <w:szCs w:val="24"/>
        </w:rPr>
        <w:t>.</w:t>
      </w:r>
    </w:p>
    <w:p w14:paraId="771DF8C6">
      <w:pPr>
        <w:spacing w:line="288" w:lineRule="auto"/>
        <w:contextualSpacing/>
        <w:jc w:val="both"/>
        <w:rPr>
          <w:rFonts w:eastAsia="Arial"/>
          <w:bCs/>
          <w:sz w:val="24"/>
          <w:szCs w:val="24"/>
        </w:rPr>
      </w:pPr>
    </w:p>
    <w:p w14:paraId="53DDAA35">
      <w:pPr>
        <w:spacing w:line="288" w:lineRule="auto"/>
        <w:contextualSpacing/>
        <w:jc w:val="both"/>
        <w:rPr>
          <w:rFonts w:eastAsia="Arial"/>
          <w:bCs/>
          <w:sz w:val="24"/>
          <w:szCs w:val="24"/>
        </w:rPr>
      </w:pPr>
      <w:r>
        <w:rPr>
          <w:rFonts w:eastAsia="Arial"/>
          <w:bCs/>
          <w:sz w:val="24"/>
          <w:szCs w:val="24"/>
        </w:rPr>
        <w:t>3.2.1 São atribuições do gerenciador:</w:t>
      </w:r>
    </w:p>
    <w:p w14:paraId="79D78AD8">
      <w:pPr>
        <w:spacing w:line="288" w:lineRule="auto"/>
        <w:contextualSpacing/>
        <w:jc w:val="both"/>
        <w:rPr>
          <w:rFonts w:eastAsia="Arial"/>
          <w:bCs/>
          <w:sz w:val="24"/>
          <w:szCs w:val="24"/>
        </w:rPr>
      </w:pPr>
    </w:p>
    <w:p w14:paraId="5CF66745">
      <w:pPr>
        <w:spacing w:line="288" w:lineRule="auto"/>
        <w:contextualSpacing/>
        <w:jc w:val="both"/>
        <w:rPr>
          <w:sz w:val="24"/>
          <w:szCs w:val="24"/>
        </w:rPr>
      </w:pPr>
      <w:r>
        <w:rPr>
          <w:sz w:val="24"/>
          <w:szCs w:val="24"/>
        </w:rPr>
        <w:t>a) aferir, semestralmente, a compatibilidade dos preços registrados com os efetivamente praticados;</w:t>
      </w:r>
    </w:p>
    <w:p w14:paraId="73E4A3FF">
      <w:pPr>
        <w:spacing w:line="288" w:lineRule="auto"/>
        <w:contextualSpacing/>
        <w:jc w:val="both"/>
        <w:rPr>
          <w:sz w:val="24"/>
          <w:szCs w:val="24"/>
        </w:rPr>
      </w:pPr>
    </w:p>
    <w:p w14:paraId="257456FD">
      <w:pPr>
        <w:spacing w:line="288" w:lineRule="auto"/>
        <w:contextualSpacing/>
        <w:jc w:val="both"/>
        <w:rPr>
          <w:sz w:val="24"/>
          <w:szCs w:val="24"/>
        </w:rPr>
      </w:pPr>
      <w:r>
        <w:rPr>
          <w:sz w:val="24"/>
          <w:szCs w:val="24"/>
        </w:rPr>
        <w:t xml:space="preserve">b) divulgar os preços registrados e suas atualizações no Portal da Prefeitura Municipal de Valença; </w:t>
      </w:r>
    </w:p>
    <w:p w14:paraId="7B39EA5E">
      <w:pPr>
        <w:spacing w:line="288" w:lineRule="auto"/>
        <w:contextualSpacing/>
        <w:jc w:val="both"/>
        <w:rPr>
          <w:sz w:val="24"/>
          <w:szCs w:val="24"/>
        </w:rPr>
      </w:pPr>
    </w:p>
    <w:p w14:paraId="77E11CC5">
      <w:pPr>
        <w:spacing w:line="288" w:lineRule="auto"/>
        <w:contextualSpacing/>
        <w:jc w:val="both"/>
        <w:rPr>
          <w:sz w:val="24"/>
          <w:szCs w:val="24"/>
        </w:rPr>
      </w:pPr>
      <w:r>
        <w:rPr>
          <w:sz w:val="24"/>
          <w:szCs w:val="24"/>
        </w:rPr>
        <w:t xml:space="preserve">c) praticar todos os atos de controle e gerenciamento dos quantitativos das Atas de Registro de Preços e de seus saldos, das solicitações de adesão e do remanejamento das quantidades; </w:t>
      </w:r>
    </w:p>
    <w:p w14:paraId="12199EE4">
      <w:pPr>
        <w:spacing w:line="288" w:lineRule="auto"/>
        <w:contextualSpacing/>
        <w:jc w:val="both"/>
        <w:rPr>
          <w:sz w:val="24"/>
          <w:szCs w:val="24"/>
        </w:rPr>
      </w:pPr>
    </w:p>
    <w:p w14:paraId="7BF144E6">
      <w:pPr>
        <w:spacing w:line="288" w:lineRule="auto"/>
        <w:contextualSpacing/>
        <w:jc w:val="both"/>
        <w:rPr>
          <w:sz w:val="24"/>
          <w:szCs w:val="24"/>
        </w:rPr>
      </w:pPr>
      <w:r>
        <w:rPr>
          <w:sz w:val="24"/>
          <w:szCs w:val="24"/>
        </w:rPr>
        <w:t xml:space="preserve">d) gerenciar a Ata de Registro de Preços, providenciando a indicação, sempre que solicitado, dos fornecedores registrados para atendimento às necessidades do órgão ou entidade, obedecendo à ordem de classificação do certame e os quantitativos de contratação definidos pelos participantes da respectiva ata; </w:t>
      </w:r>
    </w:p>
    <w:p w14:paraId="71ED34F8">
      <w:pPr>
        <w:spacing w:line="288" w:lineRule="auto"/>
        <w:contextualSpacing/>
        <w:jc w:val="both"/>
        <w:rPr>
          <w:sz w:val="24"/>
          <w:szCs w:val="24"/>
        </w:rPr>
      </w:pPr>
    </w:p>
    <w:p w14:paraId="34161364">
      <w:pPr>
        <w:spacing w:line="288" w:lineRule="auto"/>
        <w:contextualSpacing/>
        <w:jc w:val="both"/>
        <w:rPr>
          <w:sz w:val="24"/>
          <w:szCs w:val="24"/>
        </w:rPr>
      </w:pPr>
      <w:r>
        <w:rPr>
          <w:sz w:val="24"/>
          <w:szCs w:val="24"/>
        </w:rPr>
        <w:t xml:space="preserve">e) deliberar quanto à adesão posterior de órgãos e entidades que não manifestaram interesse em participar do registro de preços durante o período de divulgação da Intenção de Registro de Preços; </w:t>
      </w:r>
    </w:p>
    <w:p w14:paraId="4DF2C290">
      <w:pPr>
        <w:spacing w:line="288" w:lineRule="auto"/>
        <w:contextualSpacing/>
        <w:jc w:val="both"/>
        <w:rPr>
          <w:sz w:val="24"/>
          <w:szCs w:val="24"/>
        </w:rPr>
      </w:pPr>
    </w:p>
    <w:p w14:paraId="751EE2FB">
      <w:pPr>
        <w:spacing w:line="288" w:lineRule="auto"/>
        <w:contextualSpacing/>
        <w:jc w:val="both"/>
        <w:rPr>
          <w:sz w:val="24"/>
          <w:szCs w:val="24"/>
        </w:rPr>
      </w:pPr>
      <w:r>
        <w:rPr>
          <w:sz w:val="24"/>
          <w:szCs w:val="24"/>
        </w:rPr>
        <w:t xml:space="preserve">f) convocar os proponentes remanescentes, nas hipóteses autorizadas por esta Ata e pelo Decreto nº 46/2025, observada a ordem de classificação; </w:t>
      </w:r>
    </w:p>
    <w:p w14:paraId="3CF69AC4">
      <w:pPr>
        <w:spacing w:line="288" w:lineRule="auto"/>
        <w:contextualSpacing/>
        <w:jc w:val="both"/>
        <w:rPr>
          <w:sz w:val="24"/>
          <w:szCs w:val="24"/>
        </w:rPr>
      </w:pPr>
    </w:p>
    <w:p w14:paraId="5B9C141D">
      <w:pPr>
        <w:spacing w:line="288" w:lineRule="auto"/>
        <w:contextualSpacing/>
        <w:jc w:val="both"/>
        <w:rPr>
          <w:rFonts w:eastAsia="Arial"/>
          <w:bCs/>
          <w:sz w:val="24"/>
          <w:szCs w:val="24"/>
        </w:rPr>
      </w:pPr>
      <w:r>
        <w:rPr>
          <w:sz w:val="24"/>
          <w:szCs w:val="24"/>
        </w:rPr>
        <w:t>g) conduzir as alterações ou as atualizações dos preços registrados; e</w:t>
      </w:r>
    </w:p>
    <w:p w14:paraId="0DBC7E3F">
      <w:pPr>
        <w:spacing w:line="288" w:lineRule="auto"/>
        <w:contextualSpacing/>
        <w:jc w:val="both"/>
        <w:rPr>
          <w:sz w:val="24"/>
          <w:szCs w:val="24"/>
        </w:rPr>
      </w:pPr>
    </w:p>
    <w:p w14:paraId="1343E4F8">
      <w:pPr>
        <w:spacing w:line="288" w:lineRule="auto"/>
        <w:contextualSpacing/>
        <w:jc w:val="both"/>
        <w:rPr>
          <w:rFonts w:eastAsia="Arial"/>
          <w:bCs/>
          <w:sz w:val="24"/>
          <w:szCs w:val="24"/>
        </w:rPr>
      </w:pPr>
      <w:r>
        <w:rPr>
          <w:sz w:val="24"/>
          <w:szCs w:val="24"/>
        </w:rPr>
        <w:t>h) promover a correta gestão, fiscalização e execução contratual, nos termos do Capítulo VI do Título III da Lei nº 14.133, de 1º de abril de 2021, do disposto no Decreto nº 40, de 25 de fevereiro de 2025, no Termo de Referência e no contrato, com relação às suas próprias contratações.</w:t>
      </w:r>
    </w:p>
    <w:p w14:paraId="2EB3CCC5">
      <w:pPr>
        <w:spacing w:line="288" w:lineRule="auto"/>
        <w:contextualSpacing/>
        <w:jc w:val="both"/>
        <w:rPr>
          <w:rFonts w:eastAsia="Arial"/>
          <w:bCs/>
          <w:sz w:val="24"/>
          <w:szCs w:val="24"/>
        </w:rPr>
      </w:pPr>
    </w:p>
    <w:p w14:paraId="42C370C4">
      <w:pPr>
        <w:spacing w:line="288" w:lineRule="auto"/>
        <w:ind w:right="565"/>
        <w:contextualSpacing/>
        <w:jc w:val="both"/>
        <w:rPr>
          <w:bCs/>
          <w:color w:val="000000" w:themeColor="text1"/>
          <w:sz w:val="24"/>
          <w:szCs w:val="24"/>
          <w14:textFill>
            <w14:solidFill>
              <w14:schemeClr w14:val="tx1"/>
            </w14:solidFill>
          </w14:textFill>
        </w:rPr>
      </w:pPr>
      <w:r>
        <w:rPr>
          <w:rFonts w:eastAsia="Arial"/>
          <w:bCs/>
          <w:color w:val="000000" w:themeColor="text1"/>
          <w:sz w:val="24"/>
          <w:szCs w:val="24"/>
          <w14:textFill>
            <w14:solidFill>
              <w14:schemeClr w14:val="tx1"/>
            </w14:solidFill>
          </w14:textFill>
        </w:rPr>
        <w:t>3.3</w:t>
      </w:r>
      <w:r>
        <w:rPr>
          <w:rFonts w:eastAsia="Arial"/>
          <w:b/>
          <w:color w:val="000000" w:themeColor="text1"/>
          <w:sz w:val="24"/>
          <w:szCs w:val="24"/>
          <w14:textFill>
            <w14:solidFill>
              <w14:schemeClr w14:val="tx1"/>
            </w14:solidFill>
          </w14:textFill>
        </w:rPr>
        <w:t xml:space="preserve"> </w:t>
      </w:r>
      <w:r>
        <w:rPr>
          <w:bCs/>
          <w:color w:val="000000" w:themeColor="text1"/>
          <w:sz w:val="24"/>
          <w:szCs w:val="24"/>
          <w14:textFill>
            <w14:solidFill>
              <w14:schemeClr w14:val="tx1"/>
            </w14:solidFill>
          </w14:textFill>
        </w:rPr>
        <w:t>3.3 Não há órgãos/entidades participantes nesta Ata.</w:t>
      </w:r>
    </w:p>
    <w:p w14:paraId="5EC9E8D1">
      <w:pPr>
        <w:spacing w:line="288" w:lineRule="auto"/>
        <w:ind w:right="565"/>
        <w:contextualSpacing/>
        <w:jc w:val="both"/>
        <w:rPr>
          <w:bCs/>
          <w:color w:val="000000" w:themeColor="text1"/>
          <w:sz w:val="24"/>
          <w:szCs w:val="24"/>
          <w14:textFill>
            <w14:solidFill>
              <w14:schemeClr w14:val="tx1"/>
            </w14:solidFill>
          </w14:textFill>
        </w:rPr>
      </w:pPr>
    </w:p>
    <w:p w14:paraId="02F57D0F">
      <w:pPr>
        <w:spacing w:line="288" w:lineRule="auto"/>
        <w:contextualSpacing/>
        <w:jc w:val="both"/>
        <w:rPr>
          <w:rFonts w:eastAsia="Arial"/>
          <w:b/>
          <w:sz w:val="24"/>
          <w:szCs w:val="24"/>
        </w:rPr>
      </w:pPr>
      <w:r>
        <w:rPr>
          <w:b/>
          <w:bCs/>
          <w:color w:val="231F20"/>
          <w:sz w:val="24"/>
          <w:szCs w:val="24"/>
        </w:rPr>
        <w:t>CLÁUSULA QUARTA:</w:t>
      </w:r>
      <w:r>
        <w:rPr>
          <w:color w:val="231F20"/>
          <w:sz w:val="24"/>
          <w:szCs w:val="24"/>
        </w:rPr>
        <w:t xml:space="preserve"> </w:t>
      </w:r>
      <w:r>
        <w:rPr>
          <w:rFonts w:eastAsia="Arial"/>
          <w:b/>
          <w:sz w:val="24"/>
          <w:szCs w:val="24"/>
        </w:rPr>
        <w:t>DOS NÃO-PARTICIPANTES</w:t>
      </w:r>
    </w:p>
    <w:p w14:paraId="1ECB67D7">
      <w:pPr>
        <w:spacing w:line="288" w:lineRule="auto"/>
        <w:contextualSpacing/>
        <w:jc w:val="both"/>
        <w:rPr>
          <w:rFonts w:eastAsia="Arial"/>
          <w:bCs/>
          <w:sz w:val="24"/>
          <w:szCs w:val="24"/>
        </w:rPr>
      </w:pPr>
    </w:p>
    <w:p w14:paraId="7C5B7035">
      <w:pPr>
        <w:spacing w:line="288" w:lineRule="auto"/>
        <w:contextualSpacing/>
        <w:jc w:val="both"/>
        <w:rPr>
          <w:bCs/>
          <w:color w:val="231F20"/>
          <w:sz w:val="24"/>
          <w:szCs w:val="24"/>
        </w:rPr>
      </w:pPr>
      <w:r>
        <w:rPr>
          <w:rFonts w:eastAsia="Arial"/>
          <w:bCs/>
          <w:sz w:val="24"/>
          <w:szCs w:val="24"/>
        </w:rPr>
        <w:t xml:space="preserve">4.1 </w:t>
      </w:r>
      <w:r>
        <w:rPr>
          <w:color w:val="231F20"/>
          <w:sz w:val="24"/>
          <w:szCs w:val="24"/>
        </w:rPr>
        <w:t xml:space="preserve">A Ata de Registro de Preços poderá ser aderida por qualquer órgão ou entidade do Município, que não tenha participado </w:t>
      </w:r>
      <w:bookmarkStart w:id="45" w:name="_Hlk158816379"/>
      <w:r>
        <w:rPr>
          <w:color w:val="000000" w:themeColor="text1"/>
          <w:sz w:val="24"/>
          <w:szCs w:val="24"/>
          <w14:textFill>
            <w14:solidFill>
              <w14:schemeClr w14:val="tx1"/>
            </w14:solidFill>
          </w14:textFill>
        </w:rPr>
        <w:t>do certame</w:t>
      </w:r>
      <w:bookmarkEnd w:id="45"/>
      <w:r>
        <w:rPr>
          <w:color w:val="231F20"/>
          <w:sz w:val="24"/>
          <w:szCs w:val="24"/>
        </w:rPr>
        <w:t xml:space="preserve">, ora denominados </w:t>
      </w:r>
      <w:r>
        <w:rPr>
          <w:bCs/>
          <w:color w:val="231F20"/>
          <w:sz w:val="24"/>
          <w:szCs w:val="24"/>
        </w:rPr>
        <w:t xml:space="preserve">não-participantes.  </w:t>
      </w:r>
    </w:p>
    <w:p w14:paraId="5AEC8E93">
      <w:pPr>
        <w:spacing w:line="288" w:lineRule="auto"/>
        <w:contextualSpacing/>
        <w:jc w:val="both"/>
        <w:rPr>
          <w:bCs/>
          <w:color w:val="231F20"/>
          <w:sz w:val="24"/>
          <w:szCs w:val="24"/>
        </w:rPr>
      </w:pPr>
    </w:p>
    <w:p w14:paraId="402677D7">
      <w:pPr>
        <w:spacing w:line="288" w:lineRule="auto"/>
        <w:contextualSpacing/>
        <w:jc w:val="both"/>
        <w:rPr>
          <w:color w:val="231F20"/>
          <w:sz w:val="24"/>
          <w:szCs w:val="24"/>
        </w:rPr>
      </w:pPr>
      <w:r>
        <w:rPr>
          <w:rFonts w:eastAsia="Arial"/>
          <w:bCs/>
          <w:sz w:val="24"/>
          <w:szCs w:val="24"/>
        </w:rPr>
        <w:t>4.2</w:t>
      </w:r>
      <w:r>
        <w:rPr>
          <w:rFonts w:eastAsia="Arial"/>
          <w:b/>
          <w:sz w:val="24"/>
          <w:szCs w:val="24"/>
        </w:rPr>
        <w:t xml:space="preserve"> </w:t>
      </w:r>
      <w:r>
        <w:rPr>
          <w:color w:val="231F20"/>
          <w:sz w:val="24"/>
          <w:szCs w:val="24"/>
        </w:rPr>
        <w:t xml:space="preserve">Podem também ser considerados </w:t>
      </w:r>
      <w:r>
        <w:rPr>
          <w:bCs/>
          <w:color w:val="231F20"/>
          <w:sz w:val="24"/>
          <w:szCs w:val="24"/>
        </w:rPr>
        <w:t>não-participantes</w:t>
      </w:r>
      <w:r>
        <w:rPr>
          <w:b/>
          <w:color w:val="231F20"/>
          <w:sz w:val="24"/>
          <w:szCs w:val="24"/>
        </w:rPr>
        <w:t xml:space="preserve"> </w:t>
      </w:r>
      <w:r>
        <w:rPr>
          <w:color w:val="231F20"/>
          <w:sz w:val="24"/>
          <w:szCs w:val="24"/>
        </w:rPr>
        <w:t xml:space="preserve">os órgãos ou entidades municipais, distritais, de outros estados e federais, resguardadas as disposições de cada ente. </w:t>
      </w:r>
    </w:p>
    <w:p w14:paraId="1ED0562A">
      <w:pPr>
        <w:spacing w:line="288" w:lineRule="auto"/>
        <w:contextualSpacing/>
        <w:jc w:val="both"/>
        <w:rPr>
          <w:sz w:val="24"/>
          <w:szCs w:val="24"/>
        </w:rPr>
      </w:pPr>
    </w:p>
    <w:p w14:paraId="398641AE">
      <w:pPr>
        <w:spacing w:line="288" w:lineRule="auto"/>
        <w:contextualSpacing/>
        <w:jc w:val="both"/>
        <w:rPr>
          <w:color w:val="231F20"/>
          <w:sz w:val="24"/>
          <w:szCs w:val="24"/>
        </w:rPr>
      </w:pPr>
      <w:r>
        <w:rPr>
          <w:sz w:val="24"/>
          <w:szCs w:val="24"/>
        </w:rPr>
        <w:t xml:space="preserve">4.3 Os </w:t>
      </w:r>
      <w:r>
        <w:rPr>
          <w:bCs/>
          <w:color w:val="231F20"/>
          <w:sz w:val="24"/>
          <w:szCs w:val="24"/>
        </w:rPr>
        <w:t>não-participantes</w:t>
      </w:r>
      <w:r>
        <w:rPr>
          <w:sz w:val="24"/>
          <w:szCs w:val="24"/>
        </w:rPr>
        <w:t xml:space="preserve"> poderão aderir a esta Ata de Registro de Preços, desde que observados os seguintes requisitos, cumulativamente:</w:t>
      </w:r>
    </w:p>
    <w:p w14:paraId="6E92816E">
      <w:pPr>
        <w:tabs>
          <w:tab w:val="left" w:pos="497"/>
        </w:tabs>
        <w:spacing w:line="288" w:lineRule="auto"/>
        <w:contextualSpacing/>
        <w:jc w:val="both"/>
        <w:rPr>
          <w:sz w:val="24"/>
          <w:szCs w:val="24"/>
        </w:rPr>
      </w:pPr>
    </w:p>
    <w:p w14:paraId="057C5545">
      <w:pPr>
        <w:tabs>
          <w:tab w:val="left" w:pos="497"/>
        </w:tabs>
        <w:spacing w:line="288" w:lineRule="auto"/>
        <w:contextualSpacing/>
        <w:jc w:val="both"/>
        <w:rPr>
          <w:sz w:val="24"/>
          <w:szCs w:val="24"/>
        </w:rPr>
      </w:pPr>
      <w:r>
        <w:rPr>
          <w:sz w:val="24"/>
          <w:szCs w:val="24"/>
        </w:rPr>
        <w:t xml:space="preserve">4.3.1 apresentação de justificativa da vantagem da adesão, inclusive em situações de provável desabastecimento ou descontinuidade de serviço público; </w:t>
      </w:r>
    </w:p>
    <w:p w14:paraId="0DDFF8BC">
      <w:pPr>
        <w:tabs>
          <w:tab w:val="left" w:pos="497"/>
        </w:tabs>
        <w:spacing w:line="288" w:lineRule="auto"/>
        <w:contextualSpacing/>
        <w:jc w:val="both"/>
        <w:rPr>
          <w:sz w:val="24"/>
          <w:szCs w:val="24"/>
        </w:rPr>
      </w:pPr>
    </w:p>
    <w:p w14:paraId="6455EE68">
      <w:pPr>
        <w:tabs>
          <w:tab w:val="left" w:pos="497"/>
        </w:tabs>
        <w:spacing w:line="288" w:lineRule="auto"/>
        <w:contextualSpacing/>
        <w:jc w:val="both"/>
        <w:rPr>
          <w:sz w:val="24"/>
          <w:szCs w:val="24"/>
        </w:rPr>
      </w:pPr>
      <w:r>
        <w:rPr>
          <w:sz w:val="24"/>
          <w:szCs w:val="24"/>
        </w:rPr>
        <w:t xml:space="preserve">4.3.2 apresentação de estudo que demonstre eficiência, viabilidade e economicidade para a Administração contratante; </w:t>
      </w:r>
    </w:p>
    <w:p w14:paraId="4FA7E8C4">
      <w:pPr>
        <w:tabs>
          <w:tab w:val="left" w:pos="497"/>
        </w:tabs>
        <w:spacing w:line="288" w:lineRule="auto"/>
        <w:contextualSpacing/>
        <w:jc w:val="both"/>
        <w:rPr>
          <w:sz w:val="24"/>
          <w:szCs w:val="24"/>
        </w:rPr>
      </w:pPr>
    </w:p>
    <w:p w14:paraId="77999100">
      <w:pPr>
        <w:tabs>
          <w:tab w:val="left" w:pos="497"/>
        </w:tabs>
        <w:spacing w:line="288" w:lineRule="auto"/>
        <w:contextualSpacing/>
        <w:jc w:val="both"/>
        <w:rPr>
          <w:sz w:val="24"/>
          <w:szCs w:val="24"/>
        </w:rPr>
      </w:pPr>
      <w:r>
        <w:rPr>
          <w:sz w:val="24"/>
          <w:szCs w:val="24"/>
        </w:rPr>
        <w:t xml:space="preserve">4.3.3 demonstração de que os valores registrados estão compatíveis com os valores praticados pelo mercado, na forma do art. 23 da Lei nº 14.133/2021; e </w:t>
      </w:r>
    </w:p>
    <w:p w14:paraId="595C991F">
      <w:pPr>
        <w:tabs>
          <w:tab w:val="left" w:pos="497"/>
        </w:tabs>
        <w:spacing w:line="288" w:lineRule="auto"/>
        <w:contextualSpacing/>
        <w:jc w:val="both"/>
        <w:rPr>
          <w:sz w:val="24"/>
          <w:szCs w:val="24"/>
        </w:rPr>
      </w:pPr>
    </w:p>
    <w:p w14:paraId="506B184C">
      <w:pPr>
        <w:tabs>
          <w:tab w:val="left" w:pos="497"/>
        </w:tabs>
        <w:spacing w:line="288" w:lineRule="auto"/>
        <w:contextualSpacing/>
        <w:jc w:val="both"/>
        <w:rPr>
          <w:rFonts w:eastAsia="Arial"/>
          <w:sz w:val="24"/>
          <w:szCs w:val="24"/>
        </w:rPr>
      </w:pPr>
      <w:r>
        <w:rPr>
          <w:sz w:val="24"/>
          <w:szCs w:val="24"/>
        </w:rPr>
        <w:t xml:space="preserve">4.3.4 prévia consulta e aceitação do </w:t>
      </w:r>
      <w:r>
        <w:rPr>
          <w:bCs/>
          <w:sz w:val="24"/>
          <w:szCs w:val="24"/>
        </w:rPr>
        <w:t>gerenciador</w:t>
      </w:r>
      <w:r>
        <w:rPr>
          <w:sz w:val="24"/>
          <w:szCs w:val="24"/>
        </w:rPr>
        <w:t xml:space="preserve"> e do fornecedor.</w:t>
      </w:r>
    </w:p>
    <w:p w14:paraId="378FF3E0">
      <w:pPr>
        <w:tabs>
          <w:tab w:val="left" w:pos="497"/>
        </w:tabs>
        <w:spacing w:line="288" w:lineRule="auto"/>
        <w:contextualSpacing/>
        <w:jc w:val="both"/>
        <w:rPr>
          <w:rFonts w:eastAsia="Arial"/>
          <w:sz w:val="24"/>
          <w:szCs w:val="24"/>
        </w:rPr>
      </w:pPr>
    </w:p>
    <w:p w14:paraId="288BB12B">
      <w:pPr>
        <w:autoSpaceDE w:val="0"/>
        <w:autoSpaceDN w:val="0"/>
        <w:adjustRightInd w:val="0"/>
        <w:spacing w:line="288" w:lineRule="auto"/>
        <w:contextualSpacing/>
        <w:jc w:val="both"/>
        <w:rPr>
          <w:bCs/>
          <w:color w:val="231F20"/>
          <w:sz w:val="24"/>
          <w:szCs w:val="24"/>
        </w:rPr>
      </w:pPr>
      <w:r>
        <w:rPr>
          <w:color w:val="231F20"/>
          <w:sz w:val="24"/>
          <w:szCs w:val="24"/>
        </w:rPr>
        <w:t xml:space="preserve">4.4 </w:t>
      </w:r>
      <w:r>
        <w:rPr>
          <w:bCs/>
          <w:color w:val="231F20"/>
          <w:sz w:val="24"/>
          <w:szCs w:val="24"/>
        </w:rPr>
        <w:t xml:space="preserve">O </w:t>
      </w:r>
      <w:r>
        <w:rPr>
          <w:sz w:val="24"/>
          <w:szCs w:val="24"/>
        </w:rPr>
        <w:t>fornecedor</w:t>
      </w:r>
      <w:r>
        <w:rPr>
          <w:bCs/>
          <w:color w:val="231F20"/>
          <w:sz w:val="24"/>
          <w:szCs w:val="24"/>
        </w:rPr>
        <w:t xml:space="preserve"> poderá optar pela aceitação ou não do fornecimento decorrente da adesão, d</w:t>
      </w:r>
      <w:r>
        <w:rPr>
          <w:color w:val="231F20"/>
          <w:sz w:val="24"/>
          <w:szCs w:val="24"/>
        </w:rPr>
        <w:t xml:space="preserve">esde que não prejudique as obrigações presentes e futuras derivadas da Ata, assumidas com o </w:t>
      </w:r>
      <w:r>
        <w:rPr>
          <w:bCs/>
          <w:sz w:val="24"/>
          <w:szCs w:val="24"/>
        </w:rPr>
        <w:t>gerenciador e os participantes, quando houver.</w:t>
      </w:r>
    </w:p>
    <w:p w14:paraId="12187B77">
      <w:pPr>
        <w:autoSpaceDE w:val="0"/>
        <w:autoSpaceDN w:val="0"/>
        <w:adjustRightInd w:val="0"/>
        <w:spacing w:line="288" w:lineRule="auto"/>
        <w:contextualSpacing/>
        <w:jc w:val="both"/>
        <w:rPr>
          <w:bCs/>
          <w:color w:val="231F20"/>
          <w:sz w:val="24"/>
          <w:szCs w:val="24"/>
        </w:rPr>
      </w:pPr>
    </w:p>
    <w:p w14:paraId="50454A96">
      <w:pPr>
        <w:autoSpaceDE w:val="0"/>
        <w:autoSpaceDN w:val="0"/>
        <w:adjustRightInd w:val="0"/>
        <w:spacing w:line="288" w:lineRule="auto"/>
        <w:contextualSpacing/>
        <w:jc w:val="both"/>
        <w:rPr>
          <w:bCs/>
          <w:sz w:val="24"/>
          <w:szCs w:val="24"/>
        </w:rPr>
      </w:pPr>
      <w:r>
        <w:rPr>
          <w:bCs/>
          <w:color w:val="231F20"/>
          <w:sz w:val="24"/>
          <w:szCs w:val="24"/>
        </w:rPr>
        <w:t xml:space="preserve">4.5 </w:t>
      </w:r>
      <w:r>
        <w:rPr>
          <w:color w:val="231F20"/>
          <w:sz w:val="24"/>
          <w:szCs w:val="24"/>
        </w:rPr>
        <w:t xml:space="preserve">Após a autorização do </w:t>
      </w:r>
      <w:r>
        <w:rPr>
          <w:bCs/>
          <w:sz w:val="24"/>
          <w:szCs w:val="24"/>
        </w:rPr>
        <w:t xml:space="preserve">gerenciador, o </w:t>
      </w:r>
      <w:r>
        <w:rPr>
          <w:bCs/>
          <w:color w:val="231F20"/>
          <w:sz w:val="24"/>
          <w:szCs w:val="24"/>
        </w:rPr>
        <w:t>não-participante deverá efetivar a contratação solicitada em até 90 (noventa) dias, observado o prazo de vigência da Ata</w:t>
      </w:r>
      <w:r>
        <w:rPr>
          <w:bCs/>
          <w:sz w:val="24"/>
          <w:szCs w:val="24"/>
        </w:rPr>
        <w:t xml:space="preserve">. </w:t>
      </w:r>
    </w:p>
    <w:p w14:paraId="0D4B4BD7">
      <w:pPr>
        <w:autoSpaceDE w:val="0"/>
        <w:autoSpaceDN w:val="0"/>
        <w:adjustRightInd w:val="0"/>
        <w:spacing w:line="288" w:lineRule="auto"/>
        <w:contextualSpacing/>
        <w:jc w:val="both"/>
        <w:rPr>
          <w:sz w:val="24"/>
          <w:szCs w:val="24"/>
        </w:rPr>
      </w:pPr>
    </w:p>
    <w:p w14:paraId="1CA92770">
      <w:pPr>
        <w:autoSpaceDE w:val="0"/>
        <w:autoSpaceDN w:val="0"/>
        <w:adjustRightInd w:val="0"/>
        <w:spacing w:line="288" w:lineRule="auto"/>
        <w:contextualSpacing/>
        <w:jc w:val="both"/>
        <w:rPr>
          <w:sz w:val="24"/>
          <w:szCs w:val="24"/>
        </w:rPr>
      </w:pPr>
      <w:r>
        <w:rPr>
          <w:sz w:val="24"/>
          <w:szCs w:val="24"/>
        </w:rPr>
        <w:t xml:space="preserve">4.5.1 O prazo acima poderá ser prorrogado, excepcionalmente, mediante justificativa e autorização pelo gerenciador, e requerimento do </w:t>
      </w:r>
      <w:r>
        <w:rPr>
          <w:bCs/>
          <w:color w:val="231F20"/>
          <w:sz w:val="24"/>
          <w:szCs w:val="24"/>
        </w:rPr>
        <w:t>não-participante</w:t>
      </w:r>
      <w:r>
        <w:rPr>
          <w:sz w:val="24"/>
          <w:szCs w:val="24"/>
        </w:rPr>
        <w:t>, respeitado o prazo de vigência da Ata de Registro de Preços.</w:t>
      </w:r>
    </w:p>
    <w:p w14:paraId="205AAD3C">
      <w:pPr>
        <w:autoSpaceDE w:val="0"/>
        <w:autoSpaceDN w:val="0"/>
        <w:adjustRightInd w:val="0"/>
        <w:spacing w:line="288" w:lineRule="auto"/>
        <w:contextualSpacing/>
        <w:jc w:val="both"/>
        <w:rPr>
          <w:sz w:val="24"/>
          <w:szCs w:val="24"/>
        </w:rPr>
      </w:pPr>
    </w:p>
    <w:p w14:paraId="51B49D74">
      <w:pPr>
        <w:autoSpaceDE w:val="0"/>
        <w:autoSpaceDN w:val="0"/>
        <w:adjustRightInd w:val="0"/>
        <w:spacing w:line="288" w:lineRule="auto"/>
        <w:contextualSpacing/>
        <w:jc w:val="both"/>
        <w:rPr>
          <w:sz w:val="24"/>
          <w:szCs w:val="24"/>
        </w:rPr>
      </w:pPr>
      <w:r>
        <w:rPr>
          <w:sz w:val="24"/>
          <w:szCs w:val="24"/>
        </w:rPr>
        <w:t>4.6 São atribuições dos não-participantes:</w:t>
      </w:r>
    </w:p>
    <w:p w14:paraId="19094FFF">
      <w:pPr>
        <w:autoSpaceDE w:val="0"/>
        <w:autoSpaceDN w:val="0"/>
        <w:adjustRightInd w:val="0"/>
        <w:spacing w:line="288" w:lineRule="auto"/>
        <w:contextualSpacing/>
        <w:jc w:val="both"/>
        <w:rPr>
          <w:sz w:val="24"/>
          <w:szCs w:val="24"/>
        </w:rPr>
      </w:pPr>
    </w:p>
    <w:p w14:paraId="154EAFD9">
      <w:pPr>
        <w:autoSpaceDE w:val="0"/>
        <w:autoSpaceDN w:val="0"/>
        <w:adjustRightInd w:val="0"/>
        <w:spacing w:line="288" w:lineRule="auto"/>
        <w:contextualSpacing/>
        <w:jc w:val="both"/>
        <w:rPr>
          <w:b/>
          <w:bCs/>
          <w:color w:val="231F20"/>
          <w:sz w:val="24"/>
          <w:szCs w:val="24"/>
        </w:rPr>
      </w:pPr>
      <w:r>
        <w:rPr>
          <w:bCs/>
          <w:color w:val="231F20"/>
          <w:sz w:val="24"/>
          <w:szCs w:val="24"/>
        </w:rPr>
        <w:t>a)</w:t>
      </w:r>
      <w:r>
        <w:rPr>
          <w:b/>
          <w:color w:val="231F20"/>
          <w:sz w:val="24"/>
          <w:szCs w:val="24"/>
        </w:rPr>
        <w:t xml:space="preserve"> </w:t>
      </w:r>
      <w:r>
        <w:rPr>
          <w:bCs/>
          <w:color w:val="231F20"/>
          <w:sz w:val="24"/>
          <w:szCs w:val="24"/>
        </w:rPr>
        <w:t>aceitar todas as condições fixadas na Ata de Registro de Preços;</w:t>
      </w:r>
    </w:p>
    <w:p w14:paraId="06BCD2E1">
      <w:pPr>
        <w:autoSpaceDE w:val="0"/>
        <w:autoSpaceDN w:val="0"/>
        <w:adjustRightInd w:val="0"/>
        <w:spacing w:line="288" w:lineRule="auto"/>
        <w:contextualSpacing/>
        <w:jc w:val="both"/>
        <w:rPr>
          <w:bCs/>
          <w:color w:val="231F20"/>
          <w:sz w:val="24"/>
          <w:szCs w:val="24"/>
        </w:rPr>
      </w:pPr>
    </w:p>
    <w:p w14:paraId="14F2BA50">
      <w:pPr>
        <w:spacing w:line="288" w:lineRule="auto"/>
        <w:contextualSpacing/>
        <w:jc w:val="both"/>
        <w:rPr>
          <w:sz w:val="24"/>
          <w:szCs w:val="24"/>
        </w:rPr>
      </w:pPr>
      <w:r>
        <w:rPr>
          <w:bCs/>
          <w:color w:val="231F20"/>
          <w:sz w:val="24"/>
          <w:szCs w:val="24"/>
        </w:rPr>
        <w:t xml:space="preserve">b) </w:t>
      </w:r>
      <w:r>
        <w:rPr>
          <w:sz w:val="24"/>
          <w:szCs w:val="24"/>
        </w:rPr>
        <w:t xml:space="preserve">tomar conhecimento da Ata de Registro de Preços, inclusive de eventuais alterações, para o correto cumprimento de suas disposições; </w:t>
      </w:r>
    </w:p>
    <w:p w14:paraId="3EE247DC">
      <w:pPr>
        <w:spacing w:line="288" w:lineRule="auto"/>
        <w:contextualSpacing/>
        <w:jc w:val="both"/>
        <w:rPr>
          <w:sz w:val="24"/>
          <w:szCs w:val="24"/>
        </w:rPr>
      </w:pPr>
    </w:p>
    <w:p w14:paraId="09EB90A0">
      <w:pPr>
        <w:spacing w:line="288" w:lineRule="auto"/>
        <w:contextualSpacing/>
        <w:jc w:val="both"/>
        <w:rPr>
          <w:sz w:val="24"/>
          <w:szCs w:val="24"/>
        </w:rPr>
      </w:pPr>
      <w:r>
        <w:rPr>
          <w:sz w:val="24"/>
          <w:szCs w:val="24"/>
        </w:rPr>
        <w:t xml:space="preserve">c) prestar informações, quando solicitadas, ao gerenciador quanto à contratação e à execução da demanda destinada ao seu órgão ou entidade; </w:t>
      </w:r>
    </w:p>
    <w:p w14:paraId="2D180B77">
      <w:pPr>
        <w:spacing w:line="288" w:lineRule="auto"/>
        <w:contextualSpacing/>
        <w:jc w:val="both"/>
        <w:rPr>
          <w:sz w:val="24"/>
          <w:szCs w:val="24"/>
        </w:rPr>
      </w:pPr>
    </w:p>
    <w:p w14:paraId="0E7C96B2">
      <w:pPr>
        <w:spacing w:line="288" w:lineRule="auto"/>
        <w:contextualSpacing/>
        <w:jc w:val="both"/>
        <w:rPr>
          <w:sz w:val="24"/>
          <w:szCs w:val="24"/>
        </w:rPr>
      </w:pPr>
      <w:r>
        <w:rPr>
          <w:sz w:val="24"/>
          <w:szCs w:val="24"/>
        </w:rPr>
        <w:t>d) informar ao gerenciador a eventual recusa do contratado em atender às condições estabelecidas no instrumento convocatório, quando houver,</w:t>
      </w:r>
      <w:r>
        <w:rPr>
          <w:rFonts w:eastAsia="Arial"/>
          <w:sz w:val="24"/>
          <w:szCs w:val="24"/>
        </w:rPr>
        <w:t xml:space="preserve"> e no Termo de Referência</w:t>
      </w:r>
      <w:r>
        <w:rPr>
          <w:sz w:val="24"/>
          <w:szCs w:val="24"/>
        </w:rPr>
        <w:t xml:space="preserve">, firmadas na Ata de Registro de Preços, bem como as divergências relativas à entrega, características e origem dos bens adjudicados; e </w:t>
      </w:r>
    </w:p>
    <w:p w14:paraId="5CADE28F">
      <w:pPr>
        <w:spacing w:line="288" w:lineRule="auto"/>
        <w:contextualSpacing/>
        <w:jc w:val="both"/>
        <w:rPr>
          <w:sz w:val="24"/>
          <w:szCs w:val="24"/>
        </w:rPr>
      </w:pPr>
    </w:p>
    <w:p w14:paraId="15D9751F">
      <w:pPr>
        <w:spacing w:line="288" w:lineRule="auto"/>
        <w:contextualSpacing/>
        <w:jc w:val="both"/>
        <w:rPr>
          <w:rFonts w:eastAsia="Arial"/>
          <w:b/>
          <w:sz w:val="24"/>
          <w:szCs w:val="24"/>
        </w:rPr>
      </w:pPr>
      <w:r>
        <w:rPr>
          <w:sz w:val="24"/>
          <w:szCs w:val="24"/>
        </w:rPr>
        <w:t>e) promover a correta gestão, fiscalização e execução contratual, nos termos do Capítulo VI do Título III da Lei nº 14.133/2021, e o disposto no Decreto nº 40/2025, no Termo de Referência e no contrato, com relação às suas próprias contratações.</w:t>
      </w:r>
    </w:p>
    <w:p w14:paraId="526EF2B0">
      <w:pPr>
        <w:autoSpaceDE w:val="0"/>
        <w:autoSpaceDN w:val="0"/>
        <w:adjustRightInd w:val="0"/>
        <w:spacing w:line="288" w:lineRule="auto"/>
        <w:contextualSpacing/>
        <w:jc w:val="both"/>
        <w:rPr>
          <w:sz w:val="24"/>
          <w:szCs w:val="24"/>
        </w:rPr>
      </w:pPr>
    </w:p>
    <w:p w14:paraId="05612E45">
      <w:pPr>
        <w:spacing w:line="288" w:lineRule="auto"/>
        <w:contextualSpacing/>
        <w:jc w:val="both"/>
        <w:rPr>
          <w:rFonts w:eastAsia="Arial"/>
          <w:b/>
          <w:sz w:val="24"/>
          <w:szCs w:val="24"/>
        </w:rPr>
      </w:pPr>
      <w:r>
        <w:rPr>
          <w:b/>
          <w:bCs/>
          <w:sz w:val="24"/>
          <w:szCs w:val="24"/>
        </w:rPr>
        <w:t>CLÁUSULA QUINTA:</w:t>
      </w:r>
      <w:r>
        <w:rPr>
          <w:sz w:val="24"/>
          <w:szCs w:val="24"/>
        </w:rPr>
        <w:t xml:space="preserve"> </w:t>
      </w:r>
      <w:r>
        <w:rPr>
          <w:rFonts w:eastAsia="Arial"/>
          <w:b/>
          <w:sz w:val="24"/>
          <w:szCs w:val="24"/>
        </w:rPr>
        <w:t xml:space="preserve">DO QUANTITATIVO </w:t>
      </w:r>
    </w:p>
    <w:p w14:paraId="7C38C8DB">
      <w:pPr>
        <w:spacing w:line="288" w:lineRule="auto"/>
        <w:contextualSpacing/>
        <w:jc w:val="both"/>
        <w:rPr>
          <w:sz w:val="24"/>
          <w:szCs w:val="24"/>
        </w:rPr>
      </w:pPr>
    </w:p>
    <w:p w14:paraId="297E77D1">
      <w:pPr>
        <w:spacing w:line="288" w:lineRule="auto"/>
        <w:contextualSpacing/>
        <w:jc w:val="both"/>
        <w:rPr>
          <w:sz w:val="24"/>
          <w:szCs w:val="24"/>
        </w:rPr>
      </w:pPr>
      <w:r>
        <w:rPr>
          <w:sz w:val="24"/>
          <w:szCs w:val="24"/>
        </w:rPr>
        <w:t xml:space="preserve">5.1 As quantidades estimadas para a contratação, conforme descrição no Termo de Referência e reunidas no Anexo I – Consolidação das Informações da Ata de Registro de Preços, são as seguintes: </w:t>
      </w:r>
    </w:p>
    <w:p w14:paraId="73C742F2">
      <w:pPr>
        <w:spacing w:line="288" w:lineRule="auto"/>
        <w:contextualSpacing/>
        <w:jc w:val="both"/>
        <w:rPr>
          <w:sz w:val="24"/>
          <w:szCs w:val="24"/>
        </w:rPr>
      </w:pPr>
    </w:p>
    <w:p w14:paraId="3E603CB1">
      <w:pPr>
        <w:spacing w:line="288" w:lineRule="auto"/>
        <w:contextualSpacing/>
        <w:jc w:val="both"/>
        <w:rPr>
          <w:rFonts w:eastAsia="Arial"/>
          <w:sz w:val="24"/>
          <w:szCs w:val="24"/>
        </w:rPr>
      </w:pPr>
      <w:r>
        <w:rPr>
          <w:sz w:val="24"/>
          <w:szCs w:val="24"/>
        </w:rPr>
        <w:t xml:space="preserve">a) previsão de contratação pelo </w:t>
      </w:r>
      <w:r>
        <w:rPr>
          <w:bCs/>
          <w:sz w:val="24"/>
          <w:szCs w:val="24"/>
        </w:rPr>
        <w:t xml:space="preserve">gerenciador e pelos </w:t>
      </w:r>
      <w:r>
        <w:rPr>
          <w:rFonts w:eastAsia="Arial"/>
          <w:bCs/>
          <w:sz w:val="24"/>
          <w:szCs w:val="24"/>
        </w:rPr>
        <w:t>participantes, em conformidade com disposto na lei nº 14133/2021</w:t>
      </w:r>
      <w:r>
        <w:rPr>
          <w:rFonts w:eastAsia="Arial"/>
          <w:sz w:val="24"/>
          <w:szCs w:val="24"/>
        </w:rPr>
        <w:t>.</w:t>
      </w:r>
    </w:p>
    <w:p w14:paraId="0D053908">
      <w:pPr>
        <w:spacing w:line="288" w:lineRule="auto"/>
        <w:contextualSpacing/>
        <w:jc w:val="both"/>
        <w:rPr>
          <w:rFonts w:eastAsia="Arial"/>
          <w:sz w:val="24"/>
          <w:szCs w:val="24"/>
        </w:rPr>
      </w:pPr>
    </w:p>
    <w:p w14:paraId="1C699C82">
      <w:pPr>
        <w:spacing w:line="288" w:lineRule="auto"/>
        <w:contextualSpacing/>
        <w:jc w:val="both"/>
        <w:rPr>
          <w:rFonts w:eastAsia="Arial"/>
          <w:bCs/>
          <w:sz w:val="24"/>
          <w:szCs w:val="24"/>
        </w:rPr>
      </w:pPr>
      <w:r>
        <w:rPr>
          <w:rFonts w:eastAsia="Arial"/>
          <w:sz w:val="24"/>
          <w:szCs w:val="24"/>
        </w:rPr>
        <w:t xml:space="preserve">b) </w:t>
      </w:r>
      <w:r>
        <w:rPr>
          <w:sz w:val="24"/>
          <w:szCs w:val="24"/>
        </w:rPr>
        <w:t xml:space="preserve">previsão de contratação pelos </w:t>
      </w:r>
      <w:r>
        <w:rPr>
          <w:bCs/>
          <w:color w:val="231F20"/>
          <w:sz w:val="24"/>
          <w:szCs w:val="24"/>
        </w:rPr>
        <w:t>não-participantes,</w:t>
      </w:r>
      <w:r>
        <w:rPr>
          <w:rFonts w:eastAsia="Arial"/>
          <w:bCs/>
          <w:sz w:val="24"/>
          <w:szCs w:val="24"/>
        </w:rPr>
        <w:t xml:space="preserve"> em conformidade com disposto na lei nº 14133/2021.</w:t>
      </w:r>
    </w:p>
    <w:p w14:paraId="1AA5EE56">
      <w:pPr>
        <w:spacing w:line="288" w:lineRule="auto"/>
        <w:contextualSpacing/>
        <w:jc w:val="both"/>
        <w:rPr>
          <w:rFonts w:eastAsia="Arial"/>
          <w:sz w:val="24"/>
          <w:szCs w:val="24"/>
        </w:rPr>
      </w:pPr>
    </w:p>
    <w:p w14:paraId="6AB51B2D">
      <w:pPr>
        <w:autoSpaceDE w:val="0"/>
        <w:autoSpaceDN w:val="0"/>
        <w:adjustRightInd w:val="0"/>
        <w:spacing w:line="288" w:lineRule="auto"/>
        <w:contextualSpacing/>
        <w:jc w:val="both"/>
        <w:rPr>
          <w:rFonts w:eastAsia="Arial"/>
          <w:sz w:val="24"/>
          <w:szCs w:val="24"/>
        </w:rPr>
      </w:pPr>
      <w:r>
        <w:rPr>
          <w:bCs/>
          <w:sz w:val="24"/>
          <w:szCs w:val="24"/>
        </w:rPr>
        <w:t>5.2</w:t>
      </w:r>
      <w:r>
        <w:rPr>
          <w:sz w:val="24"/>
          <w:szCs w:val="24"/>
        </w:rPr>
        <w:t xml:space="preserve"> </w:t>
      </w:r>
      <w:r>
        <w:rPr>
          <w:rFonts w:eastAsia="Arial"/>
          <w:sz w:val="24"/>
          <w:szCs w:val="24"/>
        </w:rPr>
        <w:t xml:space="preserve">As quantidades dos itens indicadas nas alíneas a e b do item 5.1 são meramente estimativas e não implicam obrigatoriedade de contratação </w:t>
      </w:r>
      <w:r>
        <w:rPr>
          <w:sz w:val="24"/>
          <w:szCs w:val="24"/>
        </w:rPr>
        <w:t xml:space="preserve">pelo gerenciador e pelos </w:t>
      </w:r>
      <w:r>
        <w:rPr>
          <w:rFonts w:eastAsia="Arial"/>
          <w:sz w:val="24"/>
          <w:szCs w:val="24"/>
        </w:rPr>
        <w:t>participantes, quando houver, durante a vigência da Ata de Registro de Preços.</w:t>
      </w:r>
    </w:p>
    <w:p w14:paraId="40E0878E">
      <w:pPr>
        <w:autoSpaceDE w:val="0"/>
        <w:autoSpaceDN w:val="0"/>
        <w:adjustRightInd w:val="0"/>
        <w:spacing w:line="288" w:lineRule="auto"/>
        <w:contextualSpacing/>
        <w:jc w:val="both"/>
        <w:rPr>
          <w:rFonts w:eastAsia="Arial"/>
          <w:sz w:val="24"/>
          <w:szCs w:val="24"/>
        </w:rPr>
      </w:pPr>
    </w:p>
    <w:p w14:paraId="00BD363F">
      <w:pPr>
        <w:autoSpaceDE w:val="0"/>
        <w:autoSpaceDN w:val="0"/>
        <w:adjustRightInd w:val="0"/>
        <w:spacing w:line="288" w:lineRule="auto"/>
        <w:contextualSpacing/>
        <w:jc w:val="both"/>
        <w:rPr>
          <w:sz w:val="24"/>
          <w:szCs w:val="24"/>
        </w:rPr>
      </w:pPr>
      <w:r>
        <w:rPr>
          <w:sz w:val="24"/>
          <w:szCs w:val="24"/>
        </w:rPr>
        <w:t>5.3 As contratações adicionais de que trata o item 4 não poderão exceder, por órgão ou entidade aderente, conforme estipulado no decreto Municipal n° 46/2025, art.33,</w:t>
      </w:r>
      <w:r>
        <w:rPr>
          <w:bCs/>
          <w:sz w:val="24"/>
          <w:szCs w:val="24"/>
        </w:rPr>
        <w:t xml:space="preserve"> </w:t>
      </w:r>
      <w:r>
        <w:rPr>
          <w:sz w:val="24"/>
          <w:szCs w:val="24"/>
        </w:rPr>
        <w:t xml:space="preserve">dos quantitativos dos itens registrados na Ata de Registro de Preços para o gerenciador e para os </w:t>
      </w:r>
      <w:r>
        <w:rPr>
          <w:rFonts w:eastAsia="Arial"/>
          <w:sz w:val="24"/>
          <w:szCs w:val="24"/>
        </w:rPr>
        <w:t>participantes, quando houver</w:t>
      </w:r>
      <w:r>
        <w:rPr>
          <w:sz w:val="24"/>
          <w:szCs w:val="24"/>
        </w:rPr>
        <w:t xml:space="preserve">. </w:t>
      </w:r>
    </w:p>
    <w:p w14:paraId="75D6B253">
      <w:pPr>
        <w:autoSpaceDE w:val="0"/>
        <w:autoSpaceDN w:val="0"/>
        <w:adjustRightInd w:val="0"/>
        <w:spacing w:line="288" w:lineRule="auto"/>
        <w:contextualSpacing/>
        <w:jc w:val="both"/>
        <w:rPr>
          <w:sz w:val="24"/>
          <w:szCs w:val="24"/>
        </w:rPr>
      </w:pPr>
    </w:p>
    <w:p w14:paraId="48841722">
      <w:pPr>
        <w:autoSpaceDE w:val="0"/>
        <w:autoSpaceDN w:val="0"/>
        <w:adjustRightInd w:val="0"/>
        <w:spacing w:line="288" w:lineRule="auto"/>
        <w:contextualSpacing/>
        <w:jc w:val="both"/>
        <w:rPr>
          <w:bCs/>
          <w:color w:val="231F20"/>
          <w:sz w:val="24"/>
          <w:szCs w:val="24"/>
        </w:rPr>
      </w:pPr>
      <w:r>
        <w:rPr>
          <w:sz w:val="24"/>
          <w:szCs w:val="24"/>
        </w:rPr>
        <w:t xml:space="preserve">5.3.1 O quantitativo decorrente das adesões à Ata de Registro de Preços não poderá exceder, na totalidade, </w:t>
      </w:r>
      <w:r>
        <w:rPr>
          <w:bCs/>
          <w:sz w:val="24"/>
          <w:szCs w:val="24"/>
        </w:rPr>
        <w:t xml:space="preserve">ao limite </w:t>
      </w:r>
      <w:r>
        <w:rPr>
          <w:sz w:val="24"/>
          <w:szCs w:val="24"/>
        </w:rPr>
        <w:t>estipulado no decreto Municipal n° 46/2025, art.33</w:t>
      </w:r>
      <w:r>
        <w:rPr>
          <w:bCs/>
          <w:sz w:val="24"/>
          <w:szCs w:val="24"/>
        </w:rPr>
        <w:t xml:space="preserve"> </w:t>
      </w:r>
      <w:r>
        <w:rPr>
          <w:sz w:val="24"/>
          <w:szCs w:val="24"/>
        </w:rPr>
        <w:t xml:space="preserve">do quantitativo de cada item registrado nesta Ata para o gerenciador e pelos </w:t>
      </w:r>
      <w:r>
        <w:rPr>
          <w:rFonts w:eastAsia="Arial"/>
          <w:sz w:val="24"/>
          <w:szCs w:val="24"/>
        </w:rPr>
        <w:t>participantes</w:t>
      </w:r>
      <w:r>
        <w:rPr>
          <w:sz w:val="24"/>
          <w:szCs w:val="24"/>
        </w:rPr>
        <w:t>, quando houver, independentemente do número de órgãos ou entidades não-participantes que aderirem.</w:t>
      </w:r>
    </w:p>
    <w:p w14:paraId="0E7857D5">
      <w:pPr>
        <w:spacing w:line="288" w:lineRule="auto"/>
        <w:contextualSpacing/>
        <w:jc w:val="both"/>
        <w:rPr>
          <w:sz w:val="24"/>
          <w:szCs w:val="24"/>
        </w:rPr>
      </w:pPr>
    </w:p>
    <w:p w14:paraId="39CE501C">
      <w:pPr>
        <w:spacing w:line="288" w:lineRule="auto"/>
        <w:ind w:right="49"/>
        <w:contextualSpacing/>
        <w:jc w:val="both"/>
        <w:rPr>
          <w:color w:val="231F20"/>
          <w:sz w:val="24"/>
          <w:szCs w:val="24"/>
        </w:rPr>
      </w:pPr>
      <w:r>
        <w:rPr>
          <w:sz w:val="24"/>
          <w:szCs w:val="24"/>
        </w:rPr>
        <w:t>5.4 É vedado efetuar acréscimos nos quantitativos fixados na Ata de Registro de Preços, inclusive o acréscimo de que trata o art. 125 da Lei nº 14.133/2021.</w:t>
      </w:r>
    </w:p>
    <w:p w14:paraId="3AE411D2">
      <w:pPr>
        <w:spacing w:line="288" w:lineRule="auto"/>
        <w:contextualSpacing/>
        <w:jc w:val="both"/>
        <w:rPr>
          <w:b/>
          <w:sz w:val="24"/>
          <w:szCs w:val="24"/>
        </w:rPr>
      </w:pPr>
    </w:p>
    <w:p w14:paraId="5A8C8259">
      <w:pPr>
        <w:spacing w:line="288" w:lineRule="auto"/>
        <w:contextualSpacing/>
        <w:jc w:val="both"/>
        <w:rPr>
          <w:rFonts w:eastAsia="Arial"/>
          <w:b/>
          <w:sz w:val="24"/>
          <w:szCs w:val="24"/>
        </w:rPr>
      </w:pPr>
      <w:r>
        <w:rPr>
          <w:bCs/>
          <w:sz w:val="24"/>
          <w:szCs w:val="24"/>
        </w:rPr>
        <w:t xml:space="preserve">5.5 </w:t>
      </w:r>
      <w:r>
        <w:rPr>
          <w:sz w:val="24"/>
          <w:szCs w:val="24"/>
        </w:rPr>
        <w:t xml:space="preserve">As quantidades previstas na Ata de Registro de Preços para os itens com preços registrados poderão ser remanejadas, pelo </w:t>
      </w:r>
      <w:r>
        <w:rPr>
          <w:bCs/>
          <w:sz w:val="24"/>
          <w:szCs w:val="24"/>
        </w:rPr>
        <w:t>gerenciador</w:t>
      </w:r>
      <w:r>
        <w:rPr>
          <w:sz w:val="24"/>
          <w:szCs w:val="24"/>
        </w:rPr>
        <w:t xml:space="preserve">, entre os </w:t>
      </w:r>
      <w:r>
        <w:rPr>
          <w:rFonts w:eastAsia="Arial"/>
          <w:sz w:val="24"/>
          <w:szCs w:val="24"/>
        </w:rPr>
        <w:t>participantes</w:t>
      </w:r>
      <w:r>
        <w:rPr>
          <w:sz w:val="24"/>
          <w:szCs w:val="24"/>
        </w:rPr>
        <w:t xml:space="preserve"> do procedimento para registro de preços, quando houver. </w:t>
      </w:r>
    </w:p>
    <w:p w14:paraId="5B718119">
      <w:pPr>
        <w:spacing w:line="288" w:lineRule="auto"/>
        <w:contextualSpacing/>
        <w:jc w:val="both"/>
        <w:rPr>
          <w:sz w:val="24"/>
          <w:szCs w:val="24"/>
        </w:rPr>
      </w:pPr>
    </w:p>
    <w:p w14:paraId="2C728416">
      <w:pPr>
        <w:spacing w:line="288" w:lineRule="auto"/>
        <w:contextualSpacing/>
        <w:jc w:val="both"/>
        <w:rPr>
          <w:rFonts w:eastAsia="Arial"/>
          <w:b/>
          <w:sz w:val="24"/>
          <w:szCs w:val="24"/>
        </w:rPr>
      </w:pPr>
      <w:r>
        <w:rPr>
          <w:bCs/>
          <w:sz w:val="24"/>
          <w:szCs w:val="24"/>
        </w:rPr>
        <w:t xml:space="preserve">5.5.1 </w:t>
      </w:r>
      <w:r>
        <w:rPr>
          <w:sz w:val="24"/>
          <w:szCs w:val="24"/>
        </w:rPr>
        <w:t xml:space="preserve">Caberá ao gerenciador autorizar o remanejamento, com a transferência dos quantitativos entre os </w:t>
      </w:r>
      <w:r>
        <w:rPr>
          <w:rFonts w:eastAsia="Arial"/>
          <w:sz w:val="24"/>
          <w:szCs w:val="24"/>
        </w:rPr>
        <w:t>participantes</w:t>
      </w:r>
      <w:r>
        <w:rPr>
          <w:sz w:val="24"/>
          <w:szCs w:val="24"/>
        </w:rPr>
        <w:t xml:space="preserve">, desde que haja anuência daquele que vier a sofrer a redução dos quantitativos informados. </w:t>
      </w:r>
    </w:p>
    <w:p w14:paraId="4041F7F7">
      <w:pPr>
        <w:autoSpaceDE w:val="0"/>
        <w:autoSpaceDN w:val="0"/>
        <w:adjustRightInd w:val="0"/>
        <w:spacing w:line="288" w:lineRule="auto"/>
        <w:contextualSpacing/>
        <w:jc w:val="both"/>
        <w:rPr>
          <w:color w:val="231F20"/>
          <w:sz w:val="24"/>
          <w:szCs w:val="24"/>
        </w:rPr>
      </w:pPr>
    </w:p>
    <w:p w14:paraId="3DD28C82">
      <w:pPr>
        <w:spacing w:line="288" w:lineRule="auto"/>
        <w:contextualSpacing/>
        <w:jc w:val="both"/>
        <w:rPr>
          <w:rFonts w:eastAsia="Arial"/>
          <w:b/>
          <w:sz w:val="24"/>
          <w:szCs w:val="24"/>
        </w:rPr>
      </w:pPr>
      <w:r>
        <w:rPr>
          <w:rFonts w:eastAsia="Arial"/>
          <w:b/>
          <w:sz w:val="24"/>
          <w:szCs w:val="24"/>
        </w:rPr>
        <w:t>CLÁUSULA SEXTA: DO PREÇO REGISTRADO</w:t>
      </w:r>
    </w:p>
    <w:p w14:paraId="51651F88">
      <w:pPr>
        <w:spacing w:line="288" w:lineRule="auto"/>
        <w:contextualSpacing/>
        <w:jc w:val="both"/>
        <w:rPr>
          <w:rFonts w:eastAsia="Arial"/>
          <w:sz w:val="24"/>
          <w:szCs w:val="24"/>
        </w:rPr>
      </w:pPr>
    </w:p>
    <w:p w14:paraId="2F77891C">
      <w:pPr>
        <w:spacing w:line="288" w:lineRule="auto"/>
        <w:contextualSpacing/>
        <w:jc w:val="both"/>
        <w:rPr>
          <w:sz w:val="24"/>
          <w:szCs w:val="24"/>
        </w:rPr>
      </w:pPr>
      <w:r>
        <w:rPr>
          <w:rFonts w:eastAsia="Arial"/>
          <w:sz w:val="24"/>
          <w:szCs w:val="24"/>
        </w:rPr>
        <w:t xml:space="preserve">6.1 O preço unitário de cada item registrado é o constante da(s) proposta(s) final(is), cujos valores estão reunidos </w:t>
      </w:r>
      <w:r>
        <w:rPr>
          <w:sz w:val="24"/>
          <w:szCs w:val="24"/>
        </w:rPr>
        <w:t xml:space="preserve">no Anexo I – Consolidação das Informações da Ata de Registro de Preços. </w:t>
      </w:r>
    </w:p>
    <w:p w14:paraId="17D3D5CF">
      <w:pPr>
        <w:autoSpaceDE w:val="0"/>
        <w:autoSpaceDN w:val="0"/>
        <w:adjustRightInd w:val="0"/>
        <w:spacing w:line="288" w:lineRule="auto"/>
        <w:contextualSpacing/>
        <w:jc w:val="both"/>
        <w:rPr>
          <w:color w:val="231F20"/>
          <w:sz w:val="24"/>
          <w:szCs w:val="24"/>
        </w:rPr>
      </w:pPr>
    </w:p>
    <w:p w14:paraId="34BE297C">
      <w:pPr>
        <w:spacing w:line="288" w:lineRule="auto"/>
        <w:contextualSpacing/>
        <w:jc w:val="both"/>
        <w:rPr>
          <w:color w:val="231F20"/>
          <w:sz w:val="24"/>
          <w:szCs w:val="24"/>
        </w:rPr>
      </w:pPr>
      <w:r>
        <w:rPr>
          <w:bCs/>
          <w:sz w:val="24"/>
          <w:szCs w:val="24"/>
        </w:rPr>
        <w:t xml:space="preserve">6.2 </w:t>
      </w:r>
      <w:r>
        <w:rPr>
          <w:color w:val="231F20"/>
          <w:sz w:val="24"/>
          <w:szCs w:val="24"/>
        </w:rPr>
        <w:t xml:space="preserve">Os preços registrados poderão ser revistos e alterados </w:t>
      </w:r>
      <w:bookmarkStart w:id="46" w:name="_Hlk158811219"/>
      <w:r>
        <w:rPr>
          <w:color w:val="231F20"/>
          <w:sz w:val="24"/>
          <w:szCs w:val="24"/>
        </w:rPr>
        <w:t xml:space="preserve">em decorrência de eventual redução dos preços praticados no mercado ou de fato que eleve o custo dos bens, obras ou serviços registrados, </w:t>
      </w:r>
      <w:r>
        <w:rPr>
          <w:sz w:val="24"/>
          <w:szCs w:val="24"/>
        </w:rPr>
        <w:t xml:space="preserve">em caso de força maior, caso fortuito ou fato do príncipe ou em decorrência de fatos imprevisíveis ou previsíveis de consequências incalculáveis, que inviabilizem a execução da ata tal como pactuado, nos termos da alínea d do inciso II do </w:t>
      </w:r>
      <w:r>
        <w:rPr>
          <w:i/>
          <w:iCs/>
          <w:sz w:val="24"/>
          <w:szCs w:val="24"/>
        </w:rPr>
        <w:t>caput</w:t>
      </w:r>
      <w:r>
        <w:rPr>
          <w:sz w:val="24"/>
          <w:szCs w:val="24"/>
        </w:rPr>
        <w:t xml:space="preserve"> do art. 124 da Lei nº 14.133/2021</w:t>
      </w:r>
      <w:r>
        <w:rPr>
          <w:color w:val="231F20"/>
          <w:sz w:val="24"/>
          <w:szCs w:val="24"/>
        </w:rPr>
        <w:t>.</w:t>
      </w:r>
    </w:p>
    <w:bookmarkEnd w:id="46"/>
    <w:p w14:paraId="7E4A583A">
      <w:pPr>
        <w:autoSpaceDE w:val="0"/>
        <w:autoSpaceDN w:val="0"/>
        <w:adjustRightInd w:val="0"/>
        <w:spacing w:line="288" w:lineRule="auto"/>
        <w:contextualSpacing/>
        <w:jc w:val="both"/>
        <w:rPr>
          <w:b/>
          <w:bCs/>
          <w:color w:val="231F20"/>
          <w:sz w:val="24"/>
          <w:szCs w:val="24"/>
        </w:rPr>
      </w:pPr>
    </w:p>
    <w:p w14:paraId="0527B5A4">
      <w:pPr>
        <w:autoSpaceDE w:val="0"/>
        <w:autoSpaceDN w:val="0"/>
        <w:adjustRightInd w:val="0"/>
        <w:spacing w:line="288" w:lineRule="auto"/>
        <w:contextualSpacing/>
        <w:jc w:val="both"/>
        <w:rPr>
          <w:color w:val="231F20"/>
          <w:sz w:val="24"/>
          <w:szCs w:val="24"/>
        </w:rPr>
      </w:pPr>
      <w:r>
        <w:rPr>
          <w:bCs/>
          <w:sz w:val="24"/>
          <w:szCs w:val="24"/>
        </w:rPr>
        <w:t>6.3</w:t>
      </w:r>
      <w:r>
        <w:rPr>
          <w:sz w:val="24"/>
          <w:szCs w:val="24"/>
        </w:rPr>
        <w:t xml:space="preserve"> Q</w:t>
      </w:r>
      <w:r>
        <w:rPr>
          <w:color w:val="231F20"/>
          <w:sz w:val="24"/>
          <w:szCs w:val="24"/>
        </w:rPr>
        <w:t xml:space="preserve">uando o preço registrado se tornar superior ao preço praticado no mercado por motivo superveniente, o </w:t>
      </w:r>
      <w:r>
        <w:rPr>
          <w:bCs/>
          <w:color w:val="231F20"/>
          <w:sz w:val="24"/>
          <w:szCs w:val="24"/>
        </w:rPr>
        <w:t>gerenciador</w:t>
      </w:r>
      <w:r>
        <w:rPr>
          <w:color w:val="231F20"/>
          <w:sz w:val="24"/>
          <w:szCs w:val="24"/>
        </w:rPr>
        <w:t xml:space="preserve"> convocará o(s) fornecedor(es) para negociar a redução dos preços aos valores praticados pelo mercado, na ordem de classificação.</w:t>
      </w:r>
    </w:p>
    <w:p w14:paraId="5F6FFEC3">
      <w:pPr>
        <w:autoSpaceDE w:val="0"/>
        <w:autoSpaceDN w:val="0"/>
        <w:adjustRightInd w:val="0"/>
        <w:spacing w:line="288" w:lineRule="auto"/>
        <w:contextualSpacing/>
        <w:jc w:val="both"/>
        <w:rPr>
          <w:b/>
          <w:bCs/>
          <w:color w:val="231F20"/>
          <w:sz w:val="24"/>
          <w:szCs w:val="24"/>
        </w:rPr>
      </w:pPr>
    </w:p>
    <w:p w14:paraId="668D62CB">
      <w:pPr>
        <w:autoSpaceDE w:val="0"/>
        <w:autoSpaceDN w:val="0"/>
        <w:adjustRightInd w:val="0"/>
        <w:spacing w:line="288" w:lineRule="auto"/>
        <w:contextualSpacing/>
        <w:jc w:val="both"/>
        <w:rPr>
          <w:sz w:val="24"/>
          <w:szCs w:val="24"/>
        </w:rPr>
      </w:pPr>
      <w:r>
        <w:rPr>
          <w:sz w:val="24"/>
          <w:szCs w:val="24"/>
        </w:rPr>
        <w:t xml:space="preserve">6.3.1 Caso o(s) </w:t>
      </w:r>
      <w:r>
        <w:rPr>
          <w:color w:val="231F20"/>
          <w:sz w:val="24"/>
          <w:szCs w:val="24"/>
        </w:rPr>
        <w:t>fornecedor(es) cadastrado(s)</w:t>
      </w:r>
      <w:r>
        <w:rPr>
          <w:sz w:val="24"/>
          <w:szCs w:val="24"/>
        </w:rPr>
        <w:t xml:space="preserve"> para o item ou lote não aceite(m) reduzir seu preço ao valor praticado pelo mercado deverá(ão) ser liberado(s) do compromisso assumido, sem aplicação de penalidades administrativas.  </w:t>
      </w:r>
    </w:p>
    <w:p w14:paraId="5913EB6C">
      <w:pPr>
        <w:autoSpaceDE w:val="0"/>
        <w:autoSpaceDN w:val="0"/>
        <w:adjustRightInd w:val="0"/>
        <w:spacing w:line="288" w:lineRule="auto"/>
        <w:contextualSpacing/>
        <w:jc w:val="both"/>
        <w:rPr>
          <w:sz w:val="24"/>
          <w:szCs w:val="24"/>
        </w:rPr>
      </w:pPr>
    </w:p>
    <w:p w14:paraId="6C3B7ABA">
      <w:pPr>
        <w:autoSpaceDE w:val="0"/>
        <w:autoSpaceDN w:val="0"/>
        <w:adjustRightInd w:val="0"/>
        <w:spacing w:line="288" w:lineRule="auto"/>
        <w:contextualSpacing/>
        <w:jc w:val="both"/>
        <w:rPr>
          <w:sz w:val="24"/>
          <w:szCs w:val="24"/>
        </w:rPr>
      </w:pPr>
      <w:r>
        <w:rPr>
          <w:sz w:val="24"/>
          <w:szCs w:val="24"/>
        </w:rPr>
        <w:t xml:space="preserve">6.3.2 Havendo a liberação do(s) </w:t>
      </w:r>
      <w:r>
        <w:rPr>
          <w:color w:val="231F20"/>
          <w:sz w:val="24"/>
          <w:szCs w:val="24"/>
        </w:rPr>
        <w:t>fornecedor(es)</w:t>
      </w:r>
      <w:r>
        <w:rPr>
          <w:sz w:val="24"/>
          <w:szCs w:val="24"/>
        </w:rPr>
        <w:t xml:space="preserve">, nos termos do item 6.3.1, o </w:t>
      </w:r>
      <w:r>
        <w:rPr>
          <w:bCs/>
          <w:color w:val="231F20"/>
          <w:sz w:val="24"/>
          <w:szCs w:val="24"/>
        </w:rPr>
        <w:t>órgão gerenciador</w:t>
      </w:r>
      <w:r>
        <w:rPr>
          <w:sz w:val="24"/>
          <w:szCs w:val="24"/>
        </w:rPr>
        <w:t xml:space="preserve"> deverá convocar os proponentes do Cadastro de Reserva, na ordem de classificação, para verificar se aceitam reduzir seus preços aos valores de mercado, observado o disposto no art. 19, § 3º, do Decreto nº 46/2025. </w:t>
      </w:r>
    </w:p>
    <w:p w14:paraId="40E0325F">
      <w:pPr>
        <w:autoSpaceDE w:val="0"/>
        <w:autoSpaceDN w:val="0"/>
        <w:adjustRightInd w:val="0"/>
        <w:spacing w:line="288" w:lineRule="auto"/>
        <w:contextualSpacing/>
        <w:jc w:val="both"/>
        <w:rPr>
          <w:sz w:val="24"/>
          <w:szCs w:val="24"/>
        </w:rPr>
      </w:pPr>
    </w:p>
    <w:p w14:paraId="73F949A4">
      <w:pPr>
        <w:autoSpaceDE w:val="0"/>
        <w:autoSpaceDN w:val="0"/>
        <w:adjustRightInd w:val="0"/>
        <w:spacing w:line="288" w:lineRule="auto"/>
        <w:contextualSpacing/>
        <w:jc w:val="both"/>
        <w:rPr>
          <w:sz w:val="24"/>
          <w:szCs w:val="24"/>
        </w:rPr>
      </w:pPr>
      <w:r>
        <w:rPr>
          <w:sz w:val="24"/>
          <w:szCs w:val="24"/>
        </w:rPr>
        <w:t xml:space="preserve">6.3.3 A ordem de classificação dos fornecedores que aceitarem reduzir seus preços aos valores de mercado observará a classificação original. </w:t>
      </w:r>
    </w:p>
    <w:p w14:paraId="3D8AFE55">
      <w:pPr>
        <w:autoSpaceDE w:val="0"/>
        <w:autoSpaceDN w:val="0"/>
        <w:adjustRightInd w:val="0"/>
        <w:spacing w:line="288" w:lineRule="auto"/>
        <w:contextualSpacing/>
        <w:jc w:val="both"/>
        <w:rPr>
          <w:sz w:val="24"/>
          <w:szCs w:val="24"/>
        </w:rPr>
      </w:pPr>
    </w:p>
    <w:p w14:paraId="184BD022">
      <w:pPr>
        <w:autoSpaceDE w:val="0"/>
        <w:autoSpaceDN w:val="0"/>
        <w:adjustRightInd w:val="0"/>
        <w:spacing w:line="288" w:lineRule="auto"/>
        <w:contextualSpacing/>
        <w:jc w:val="both"/>
        <w:rPr>
          <w:sz w:val="24"/>
          <w:szCs w:val="24"/>
        </w:rPr>
      </w:pPr>
      <w:r>
        <w:rPr>
          <w:sz w:val="24"/>
          <w:szCs w:val="24"/>
        </w:rPr>
        <w:t xml:space="preserve">6.3.4 Não havendo êxito nas negociações, o </w:t>
      </w:r>
      <w:r>
        <w:rPr>
          <w:bCs/>
          <w:color w:val="231F20"/>
          <w:sz w:val="24"/>
          <w:szCs w:val="24"/>
        </w:rPr>
        <w:t>gerenciador</w:t>
      </w:r>
      <w:r>
        <w:rPr>
          <w:sz w:val="24"/>
          <w:szCs w:val="24"/>
        </w:rPr>
        <w:t xml:space="preserve"> deverá proceder ao cancelamento da Ata de Registro de Preços, nos termos do art. 32 do Decreto nº 46/2025 e da cláusula décima desta Ata, com a adoção das medidas cabíveis para obtenção da contratação mais vantajosa. </w:t>
      </w:r>
    </w:p>
    <w:p w14:paraId="2F7C663E">
      <w:pPr>
        <w:autoSpaceDE w:val="0"/>
        <w:autoSpaceDN w:val="0"/>
        <w:adjustRightInd w:val="0"/>
        <w:spacing w:line="288" w:lineRule="auto"/>
        <w:contextualSpacing/>
        <w:jc w:val="both"/>
        <w:rPr>
          <w:sz w:val="24"/>
          <w:szCs w:val="24"/>
        </w:rPr>
      </w:pPr>
    </w:p>
    <w:p w14:paraId="526B33B6">
      <w:pPr>
        <w:autoSpaceDE w:val="0"/>
        <w:autoSpaceDN w:val="0"/>
        <w:adjustRightInd w:val="0"/>
        <w:spacing w:line="288" w:lineRule="auto"/>
        <w:contextualSpacing/>
        <w:jc w:val="both"/>
        <w:rPr>
          <w:b/>
          <w:bCs/>
          <w:color w:val="231F20"/>
          <w:sz w:val="24"/>
          <w:szCs w:val="24"/>
        </w:rPr>
      </w:pPr>
      <w:r>
        <w:rPr>
          <w:sz w:val="24"/>
          <w:szCs w:val="24"/>
        </w:rPr>
        <w:t xml:space="preserve">6.3.5 Caso haja a redução do preço registrado, o </w:t>
      </w:r>
      <w:r>
        <w:rPr>
          <w:bCs/>
          <w:color w:val="231F20"/>
          <w:sz w:val="24"/>
          <w:szCs w:val="24"/>
        </w:rPr>
        <w:t>gerenciador</w:t>
      </w:r>
      <w:r>
        <w:rPr>
          <w:sz w:val="24"/>
          <w:szCs w:val="24"/>
        </w:rPr>
        <w:t xml:space="preserve"> deverá comunicar aos órgãos e as entidades que tiverem formalizado contratos, para que avaliem a necessidade de efetuar a revisão dos preços contratados.</w:t>
      </w:r>
    </w:p>
    <w:p w14:paraId="75ABA920">
      <w:pPr>
        <w:autoSpaceDE w:val="0"/>
        <w:autoSpaceDN w:val="0"/>
        <w:adjustRightInd w:val="0"/>
        <w:spacing w:line="288" w:lineRule="auto"/>
        <w:contextualSpacing/>
        <w:jc w:val="both"/>
        <w:rPr>
          <w:b/>
          <w:bCs/>
          <w:color w:val="231F20"/>
          <w:sz w:val="24"/>
          <w:szCs w:val="24"/>
        </w:rPr>
      </w:pPr>
    </w:p>
    <w:p w14:paraId="558432ED">
      <w:pPr>
        <w:autoSpaceDE w:val="0"/>
        <w:autoSpaceDN w:val="0"/>
        <w:adjustRightInd w:val="0"/>
        <w:spacing w:line="288" w:lineRule="auto"/>
        <w:contextualSpacing/>
        <w:jc w:val="both"/>
        <w:rPr>
          <w:color w:val="231F20"/>
          <w:sz w:val="24"/>
          <w:szCs w:val="24"/>
        </w:rPr>
      </w:pPr>
      <w:r>
        <w:rPr>
          <w:bCs/>
          <w:sz w:val="24"/>
          <w:szCs w:val="24"/>
        </w:rPr>
        <w:t>6.4 Q</w:t>
      </w:r>
      <w:r>
        <w:rPr>
          <w:color w:val="231F20"/>
          <w:sz w:val="24"/>
          <w:szCs w:val="24"/>
        </w:rPr>
        <w:t xml:space="preserve">uando o preço de mercado se tornar superior aos preços registrados e o fornecedor, mediante requerimento devidamente fundamentado, não puder cumprir as obrigações contidas na Ata de Registro de Preços, </w:t>
      </w:r>
      <w:r>
        <w:rPr>
          <w:sz w:val="24"/>
          <w:szCs w:val="24"/>
        </w:rPr>
        <w:t xml:space="preserve">ser-lhe-á facultado requerer ao </w:t>
      </w:r>
      <w:r>
        <w:rPr>
          <w:bCs/>
          <w:color w:val="231F20"/>
          <w:sz w:val="24"/>
          <w:szCs w:val="24"/>
        </w:rPr>
        <w:t>gerenciador</w:t>
      </w:r>
      <w:r>
        <w:rPr>
          <w:sz w:val="24"/>
          <w:szCs w:val="24"/>
        </w:rPr>
        <w:t xml:space="preserve"> a alteração dos preços registrados, mediante comprovação de fato superveniente que supostamente o impossibilite de cumprir o compromisso.</w:t>
      </w:r>
      <w:r>
        <w:rPr>
          <w:color w:val="231F20"/>
          <w:sz w:val="24"/>
          <w:szCs w:val="24"/>
        </w:rPr>
        <w:t xml:space="preserve"> </w:t>
      </w:r>
    </w:p>
    <w:p w14:paraId="4BA28324">
      <w:pPr>
        <w:autoSpaceDE w:val="0"/>
        <w:autoSpaceDN w:val="0"/>
        <w:adjustRightInd w:val="0"/>
        <w:spacing w:line="288" w:lineRule="auto"/>
        <w:contextualSpacing/>
        <w:jc w:val="both"/>
        <w:rPr>
          <w:color w:val="231F20"/>
          <w:sz w:val="24"/>
          <w:szCs w:val="24"/>
        </w:rPr>
      </w:pPr>
    </w:p>
    <w:p w14:paraId="348DDC23">
      <w:pPr>
        <w:autoSpaceDE w:val="0"/>
        <w:autoSpaceDN w:val="0"/>
        <w:adjustRightInd w:val="0"/>
        <w:spacing w:line="288" w:lineRule="auto"/>
        <w:contextualSpacing/>
        <w:jc w:val="both"/>
        <w:rPr>
          <w:color w:val="231F20"/>
          <w:sz w:val="24"/>
          <w:szCs w:val="24"/>
        </w:rPr>
      </w:pPr>
      <w:r>
        <w:rPr>
          <w:color w:val="231F20"/>
          <w:sz w:val="24"/>
          <w:szCs w:val="24"/>
        </w:rPr>
        <w:t xml:space="preserve">6.4.1 </w:t>
      </w:r>
      <w:r>
        <w:rPr>
          <w:sz w:val="24"/>
          <w:szCs w:val="24"/>
        </w:rPr>
        <w:t xml:space="preserve">O </w:t>
      </w:r>
      <w:r>
        <w:rPr>
          <w:color w:val="231F20"/>
          <w:sz w:val="24"/>
          <w:szCs w:val="24"/>
        </w:rPr>
        <w:t>fornecedor</w:t>
      </w:r>
      <w:r>
        <w:rPr>
          <w:sz w:val="24"/>
          <w:szCs w:val="24"/>
        </w:rPr>
        <w:t xml:space="preserve"> deverá encaminhar, juntamente com o pedido de alteração, documentação comprobatória ou planilha de custos que demonstre que o preço registrado se tornou inviável frente às condições inicialmente pactuadas, cabendo ao </w:t>
      </w:r>
      <w:r>
        <w:rPr>
          <w:bCs/>
          <w:color w:val="231F20"/>
          <w:sz w:val="24"/>
          <w:szCs w:val="24"/>
        </w:rPr>
        <w:t>gerenciador</w:t>
      </w:r>
      <w:r>
        <w:rPr>
          <w:sz w:val="24"/>
          <w:szCs w:val="24"/>
        </w:rPr>
        <w:t xml:space="preserve"> a análise e deliberação a respeito do pedido.</w:t>
      </w:r>
    </w:p>
    <w:p w14:paraId="4142FF4F">
      <w:pPr>
        <w:autoSpaceDE w:val="0"/>
        <w:autoSpaceDN w:val="0"/>
        <w:adjustRightInd w:val="0"/>
        <w:spacing w:line="288" w:lineRule="auto"/>
        <w:contextualSpacing/>
        <w:jc w:val="both"/>
        <w:rPr>
          <w:color w:val="231F20"/>
          <w:sz w:val="24"/>
          <w:szCs w:val="24"/>
        </w:rPr>
      </w:pPr>
    </w:p>
    <w:p w14:paraId="42495650">
      <w:pPr>
        <w:autoSpaceDE w:val="0"/>
        <w:autoSpaceDN w:val="0"/>
        <w:adjustRightInd w:val="0"/>
        <w:spacing w:line="288" w:lineRule="auto"/>
        <w:contextualSpacing/>
        <w:jc w:val="both"/>
        <w:rPr>
          <w:sz w:val="24"/>
          <w:szCs w:val="24"/>
        </w:rPr>
      </w:pPr>
      <w:r>
        <w:rPr>
          <w:sz w:val="24"/>
          <w:szCs w:val="24"/>
        </w:rPr>
        <w:t xml:space="preserve">6.4.2 Na hipótese de deferimento do pedido, o </w:t>
      </w:r>
      <w:r>
        <w:rPr>
          <w:bCs/>
          <w:color w:val="231F20"/>
          <w:sz w:val="24"/>
          <w:szCs w:val="24"/>
        </w:rPr>
        <w:t>gerenciador</w:t>
      </w:r>
      <w:r>
        <w:rPr>
          <w:sz w:val="24"/>
          <w:szCs w:val="24"/>
        </w:rPr>
        <w:t xml:space="preserve"> procederá à atualização do preço registrado, de acordo com a realidade dos valores praticados pelo mercado. </w:t>
      </w:r>
    </w:p>
    <w:p w14:paraId="12810206">
      <w:pPr>
        <w:autoSpaceDE w:val="0"/>
        <w:autoSpaceDN w:val="0"/>
        <w:adjustRightInd w:val="0"/>
        <w:spacing w:line="288" w:lineRule="auto"/>
        <w:contextualSpacing/>
        <w:jc w:val="both"/>
        <w:rPr>
          <w:color w:val="231F20"/>
          <w:sz w:val="24"/>
          <w:szCs w:val="24"/>
        </w:rPr>
      </w:pPr>
    </w:p>
    <w:p w14:paraId="7A37542D">
      <w:pPr>
        <w:autoSpaceDE w:val="0"/>
        <w:autoSpaceDN w:val="0"/>
        <w:adjustRightInd w:val="0"/>
        <w:spacing w:line="288" w:lineRule="auto"/>
        <w:contextualSpacing/>
        <w:jc w:val="both"/>
        <w:rPr>
          <w:color w:val="231F20"/>
          <w:sz w:val="24"/>
          <w:szCs w:val="24"/>
        </w:rPr>
      </w:pPr>
      <w:r>
        <w:rPr>
          <w:color w:val="231F20"/>
          <w:sz w:val="24"/>
          <w:szCs w:val="24"/>
        </w:rPr>
        <w:t xml:space="preserve">6.4.3 O </w:t>
      </w:r>
      <w:r>
        <w:rPr>
          <w:bCs/>
          <w:color w:val="231F20"/>
          <w:sz w:val="24"/>
          <w:szCs w:val="24"/>
        </w:rPr>
        <w:t xml:space="preserve">fornecedor </w:t>
      </w:r>
      <w:r>
        <w:rPr>
          <w:color w:val="231F20"/>
          <w:sz w:val="24"/>
          <w:szCs w:val="24"/>
        </w:rPr>
        <w:t xml:space="preserve">do compromisso assumido poderá ser liberado pelo </w:t>
      </w:r>
      <w:r>
        <w:rPr>
          <w:bCs/>
          <w:color w:val="231F20"/>
          <w:sz w:val="24"/>
          <w:szCs w:val="24"/>
        </w:rPr>
        <w:t>gerenciador</w:t>
      </w:r>
      <w:r>
        <w:rPr>
          <w:color w:val="231F20"/>
          <w:sz w:val="24"/>
          <w:szCs w:val="24"/>
        </w:rPr>
        <w:t>, caso a comunicação ocorra antes do pedido de fornecimento, e sem aplicação de penalidades administrativas, se confirmada a veracidade dos motivos e comprovantes apresentados.</w:t>
      </w:r>
    </w:p>
    <w:p w14:paraId="37A544CC">
      <w:pPr>
        <w:autoSpaceDE w:val="0"/>
        <w:autoSpaceDN w:val="0"/>
        <w:adjustRightInd w:val="0"/>
        <w:spacing w:line="288" w:lineRule="auto"/>
        <w:contextualSpacing/>
        <w:jc w:val="both"/>
        <w:rPr>
          <w:color w:val="231F20"/>
          <w:sz w:val="24"/>
          <w:szCs w:val="24"/>
        </w:rPr>
      </w:pPr>
    </w:p>
    <w:p w14:paraId="5A4D2917">
      <w:pPr>
        <w:autoSpaceDE w:val="0"/>
        <w:autoSpaceDN w:val="0"/>
        <w:adjustRightInd w:val="0"/>
        <w:spacing w:line="288" w:lineRule="auto"/>
        <w:contextualSpacing/>
        <w:jc w:val="both"/>
        <w:rPr>
          <w:color w:val="231F20"/>
          <w:sz w:val="24"/>
          <w:szCs w:val="24"/>
        </w:rPr>
      </w:pPr>
      <w:r>
        <w:rPr>
          <w:color w:val="231F20"/>
          <w:sz w:val="24"/>
          <w:szCs w:val="24"/>
        </w:rPr>
        <w:t xml:space="preserve">6.4.4 </w:t>
      </w:r>
      <w:r>
        <w:rPr>
          <w:sz w:val="24"/>
          <w:szCs w:val="24"/>
        </w:rPr>
        <w:t xml:space="preserve">Caso não demonstrada a existência de fato superveniente que torne insubsistente o preço registrado, o pedido será indeferido pelo </w:t>
      </w:r>
      <w:r>
        <w:rPr>
          <w:bCs/>
          <w:color w:val="231F20"/>
          <w:sz w:val="24"/>
          <w:szCs w:val="24"/>
        </w:rPr>
        <w:t>gerenciador,</w:t>
      </w:r>
      <w:r>
        <w:rPr>
          <w:sz w:val="24"/>
          <w:szCs w:val="24"/>
        </w:rPr>
        <w:t xml:space="preserve"> ficando o fornecedor obrigado a cumprir as obrigações contidas na Ata de Registro de Preços, sob pena de cancelamento do seu registro, nos termos do art. 31 do Decreto nº 46/2025, sem prejuízo das sanções previstas na Lei nº 14.133/2021, no instrumento convocatório, quando houver,</w:t>
      </w:r>
      <w:r>
        <w:rPr>
          <w:rFonts w:eastAsia="Arial"/>
          <w:sz w:val="24"/>
          <w:szCs w:val="24"/>
        </w:rPr>
        <w:t xml:space="preserve"> e no Termo de Referência</w:t>
      </w:r>
      <w:r>
        <w:rPr>
          <w:sz w:val="24"/>
          <w:szCs w:val="24"/>
        </w:rPr>
        <w:t>, e em outras legislações aplicáveis.</w:t>
      </w:r>
    </w:p>
    <w:p w14:paraId="5D2E2F2C">
      <w:pPr>
        <w:autoSpaceDE w:val="0"/>
        <w:autoSpaceDN w:val="0"/>
        <w:adjustRightInd w:val="0"/>
        <w:spacing w:line="288" w:lineRule="auto"/>
        <w:contextualSpacing/>
        <w:jc w:val="both"/>
        <w:rPr>
          <w:b/>
          <w:bCs/>
          <w:color w:val="231F20"/>
          <w:sz w:val="24"/>
          <w:szCs w:val="24"/>
        </w:rPr>
      </w:pPr>
    </w:p>
    <w:p w14:paraId="4FD48054">
      <w:pPr>
        <w:autoSpaceDE w:val="0"/>
        <w:autoSpaceDN w:val="0"/>
        <w:adjustRightInd w:val="0"/>
        <w:spacing w:line="288" w:lineRule="auto"/>
        <w:contextualSpacing/>
        <w:jc w:val="both"/>
        <w:rPr>
          <w:sz w:val="24"/>
          <w:szCs w:val="24"/>
        </w:rPr>
      </w:pPr>
      <w:r>
        <w:rPr>
          <w:sz w:val="24"/>
          <w:szCs w:val="24"/>
        </w:rPr>
        <w:t xml:space="preserve">6.4.4.1 Havendo cancelamento do registro do fornecedor, nos termos do item 6.4.4, o </w:t>
      </w:r>
      <w:r>
        <w:rPr>
          <w:bCs/>
          <w:color w:val="231F20"/>
          <w:sz w:val="24"/>
          <w:szCs w:val="24"/>
        </w:rPr>
        <w:t>gerenciador</w:t>
      </w:r>
      <w:r>
        <w:rPr>
          <w:sz w:val="24"/>
          <w:szCs w:val="24"/>
        </w:rPr>
        <w:t xml:space="preserve"> deverá convocar os proponentes do Cadastro de Reserva, observada a ordem de classificação, para verificar se aceitam manter seus preços registrados, observado o disposto no art. 19, § 3º, do Decreto nº 56/2025. </w:t>
      </w:r>
    </w:p>
    <w:p w14:paraId="264BEC16">
      <w:pPr>
        <w:autoSpaceDE w:val="0"/>
        <w:autoSpaceDN w:val="0"/>
        <w:adjustRightInd w:val="0"/>
        <w:spacing w:line="288" w:lineRule="auto"/>
        <w:contextualSpacing/>
        <w:jc w:val="both"/>
        <w:rPr>
          <w:sz w:val="24"/>
          <w:szCs w:val="24"/>
        </w:rPr>
      </w:pPr>
    </w:p>
    <w:p w14:paraId="49ACCC1A">
      <w:pPr>
        <w:autoSpaceDE w:val="0"/>
        <w:autoSpaceDN w:val="0"/>
        <w:adjustRightInd w:val="0"/>
        <w:spacing w:line="288" w:lineRule="auto"/>
        <w:contextualSpacing/>
        <w:jc w:val="both"/>
        <w:rPr>
          <w:sz w:val="24"/>
          <w:szCs w:val="24"/>
        </w:rPr>
      </w:pPr>
      <w:r>
        <w:rPr>
          <w:sz w:val="24"/>
          <w:szCs w:val="24"/>
        </w:rPr>
        <w:t xml:space="preserve">6.4.4.2 Não havendo êxito nas negociações, o </w:t>
      </w:r>
      <w:r>
        <w:rPr>
          <w:bCs/>
          <w:color w:val="231F20"/>
          <w:sz w:val="24"/>
          <w:szCs w:val="24"/>
        </w:rPr>
        <w:t>gerenciador</w:t>
      </w:r>
      <w:r>
        <w:rPr>
          <w:sz w:val="24"/>
          <w:szCs w:val="24"/>
        </w:rPr>
        <w:t xml:space="preserve"> deverá proceder ao cancelamento da Ata de Registro de Preços, adotando as medidas cabíveis para obtenção da contratação mais vantajosa. </w:t>
      </w:r>
    </w:p>
    <w:p w14:paraId="051EDF8F">
      <w:pPr>
        <w:autoSpaceDE w:val="0"/>
        <w:autoSpaceDN w:val="0"/>
        <w:adjustRightInd w:val="0"/>
        <w:spacing w:line="288" w:lineRule="auto"/>
        <w:contextualSpacing/>
        <w:jc w:val="both"/>
        <w:rPr>
          <w:sz w:val="24"/>
          <w:szCs w:val="24"/>
        </w:rPr>
      </w:pPr>
    </w:p>
    <w:p w14:paraId="0C7329D3">
      <w:pPr>
        <w:autoSpaceDE w:val="0"/>
        <w:autoSpaceDN w:val="0"/>
        <w:adjustRightInd w:val="0"/>
        <w:spacing w:line="288" w:lineRule="auto"/>
        <w:contextualSpacing/>
        <w:jc w:val="both"/>
        <w:rPr>
          <w:sz w:val="24"/>
          <w:szCs w:val="24"/>
        </w:rPr>
      </w:pPr>
      <w:r>
        <w:rPr>
          <w:sz w:val="24"/>
          <w:szCs w:val="24"/>
        </w:rPr>
        <w:t xml:space="preserve">6.5 Os novos valores a serem registrados, conforme itens 6.3.5 e 6.4.2, deverão ser formalizados mediante termo aditivo à Ata de Registro de Preços. </w:t>
      </w:r>
    </w:p>
    <w:p w14:paraId="391831F5">
      <w:pPr>
        <w:autoSpaceDE w:val="0"/>
        <w:autoSpaceDN w:val="0"/>
        <w:adjustRightInd w:val="0"/>
        <w:spacing w:line="288" w:lineRule="auto"/>
        <w:contextualSpacing/>
        <w:jc w:val="both"/>
        <w:rPr>
          <w:sz w:val="24"/>
          <w:szCs w:val="24"/>
        </w:rPr>
      </w:pPr>
    </w:p>
    <w:p w14:paraId="70416795">
      <w:pPr>
        <w:autoSpaceDE w:val="0"/>
        <w:autoSpaceDN w:val="0"/>
        <w:adjustRightInd w:val="0"/>
        <w:spacing w:line="288" w:lineRule="auto"/>
        <w:contextualSpacing/>
        <w:jc w:val="both"/>
        <w:rPr>
          <w:sz w:val="24"/>
          <w:szCs w:val="24"/>
        </w:rPr>
      </w:pPr>
      <w:r>
        <w:rPr>
          <w:sz w:val="24"/>
          <w:szCs w:val="24"/>
        </w:rPr>
        <w:t>6.6 Os preços registrados poderão, ainda, ser reajustados ou repactuados, conforme estabelecido no instrumento convocatório, quando houver,</w:t>
      </w:r>
      <w:r>
        <w:rPr>
          <w:rFonts w:eastAsia="Arial"/>
          <w:sz w:val="24"/>
          <w:szCs w:val="24"/>
        </w:rPr>
        <w:t xml:space="preserve"> e no Termo de Referência</w:t>
      </w:r>
      <w:r>
        <w:rPr>
          <w:sz w:val="24"/>
          <w:szCs w:val="24"/>
        </w:rPr>
        <w:t>, nos termos da Lei nº 14.133/ 2021.</w:t>
      </w:r>
    </w:p>
    <w:p w14:paraId="182FA855">
      <w:pPr>
        <w:autoSpaceDE w:val="0"/>
        <w:autoSpaceDN w:val="0"/>
        <w:adjustRightInd w:val="0"/>
        <w:spacing w:line="288" w:lineRule="auto"/>
        <w:contextualSpacing/>
        <w:jc w:val="both"/>
        <w:rPr>
          <w:sz w:val="24"/>
          <w:szCs w:val="24"/>
        </w:rPr>
      </w:pPr>
    </w:p>
    <w:p w14:paraId="77597940">
      <w:pPr>
        <w:autoSpaceDE w:val="0"/>
        <w:autoSpaceDN w:val="0"/>
        <w:adjustRightInd w:val="0"/>
        <w:spacing w:line="288" w:lineRule="auto"/>
        <w:contextualSpacing/>
        <w:jc w:val="both"/>
        <w:rPr>
          <w:sz w:val="24"/>
          <w:szCs w:val="24"/>
        </w:rPr>
      </w:pPr>
      <w:r>
        <w:rPr>
          <w:sz w:val="24"/>
          <w:szCs w:val="24"/>
        </w:rPr>
        <w:t>6.6.1 O reajustamento ou repactuação poderá ser efetuado mediante apostilamento.</w:t>
      </w:r>
    </w:p>
    <w:p w14:paraId="3E8D8B2E">
      <w:pPr>
        <w:spacing w:line="288" w:lineRule="auto"/>
        <w:contextualSpacing/>
        <w:jc w:val="both"/>
        <w:rPr>
          <w:sz w:val="24"/>
          <w:szCs w:val="24"/>
        </w:rPr>
      </w:pPr>
    </w:p>
    <w:p w14:paraId="57213229">
      <w:pPr>
        <w:spacing w:line="288" w:lineRule="auto"/>
        <w:contextualSpacing/>
        <w:jc w:val="both"/>
        <w:rPr>
          <w:rFonts w:eastAsia="Arial"/>
          <w:b/>
          <w:sz w:val="24"/>
          <w:szCs w:val="24"/>
        </w:rPr>
      </w:pPr>
      <w:r>
        <w:rPr>
          <w:rFonts w:eastAsia="Arial"/>
          <w:b/>
          <w:sz w:val="24"/>
          <w:szCs w:val="24"/>
        </w:rPr>
        <w:t>CLÁUSULA SÉTIMA: DOS LOCAIS DE PRESTAÇÃO DOS SERVIÇOS</w:t>
      </w:r>
    </w:p>
    <w:p w14:paraId="2F8E2F8E">
      <w:pPr>
        <w:autoSpaceDE w:val="0"/>
        <w:autoSpaceDN w:val="0"/>
        <w:adjustRightInd w:val="0"/>
        <w:spacing w:line="288" w:lineRule="auto"/>
        <w:contextualSpacing/>
        <w:jc w:val="both"/>
        <w:rPr>
          <w:color w:val="231F20"/>
          <w:sz w:val="24"/>
          <w:szCs w:val="24"/>
        </w:rPr>
      </w:pPr>
    </w:p>
    <w:p w14:paraId="7CC31A32">
      <w:pPr>
        <w:autoSpaceDE w:val="0"/>
        <w:autoSpaceDN w:val="0"/>
        <w:adjustRightInd w:val="0"/>
        <w:spacing w:line="288" w:lineRule="auto"/>
        <w:contextualSpacing/>
        <w:jc w:val="both"/>
        <w:rPr>
          <w:color w:val="231F20"/>
          <w:sz w:val="24"/>
          <w:szCs w:val="24"/>
        </w:rPr>
      </w:pPr>
      <w:r>
        <w:rPr>
          <w:color w:val="231F20"/>
          <w:sz w:val="24"/>
          <w:szCs w:val="24"/>
        </w:rPr>
        <w:t xml:space="preserve">7.1 Os locais </w:t>
      </w:r>
      <w:r>
        <w:rPr>
          <w:color w:val="000000" w:themeColor="text1"/>
          <w:sz w:val="24"/>
          <w:szCs w:val="24"/>
          <w14:textFill>
            <w14:solidFill>
              <w14:schemeClr w14:val="tx1"/>
            </w14:solidFill>
          </w14:textFill>
        </w:rPr>
        <w:t xml:space="preserve">de entrega dos bens objeto </w:t>
      </w:r>
      <w:r>
        <w:rPr>
          <w:color w:val="231F20"/>
          <w:sz w:val="24"/>
          <w:szCs w:val="24"/>
        </w:rPr>
        <w:t>do registro de preços estão listados no Termo de Referência.</w:t>
      </w:r>
    </w:p>
    <w:p w14:paraId="63D0F888">
      <w:pPr>
        <w:spacing w:line="288" w:lineRule="auto"/>
        <w:contextualSpacing/>
        <w:jc w:val="both"/>
        <w:rPr>
          <w:rFonts w:eastAsia="Arial"/>
          <w:b/>
          <w:sz w:val="24"/>
          <w:szCs w:val="24"/>
          <w:u w:val="single"/>
        </w:rPr>
      </w:pPr>
    </w:p>
    <w:p w14:paraId="62DB69B9">
      <w:pPr>
        <w:spacing w:line="288" w:lineRule="auto"/>
        <w:contextualSpacing/>
        <w:jc w:val="both"/>
        <w:rPr>
          <w:rFonts w:eastAsia="Arial"/>
          <w:b/>
          <w:sz w:val="24"/>
          <w:szCs w:val="24"/>
        </w:rPr>
      </w:pPr>
      <w:r>
        <w:rPr>
          <w:rFonts w:eastAsia="Arial"/>
          <w:b/>
          <w:sz w:val="24"/>
          <w:szCs w:val="24"/>
        </w:rPr>
        <w:t>CLÁUSULA OITAVA: DO PRAZO DE VALIDADE DA ATA DE REGISTRO DE PREÇOS</w:t>
      </w:r>
    </w:p>
    <w:p w14:paraId="1673C2C3">
      <w:pPr>
        <w:autoSpaceDE w:val="0"/>
        <w:autoSpaceDN w:val="0"/>
        <w:adjustRightInd w:val="0"/>
        <w:spacing w:line="288" w:lineRule="auto"/>
        <w:contextualSpacing/>
        <w:jc w:val="both"/>
        <w:rPr>
          <w:color w:val="231F20"/>
          <w:sz w:val="24"/>
          <w:szCs w:val="24"/>
        </w:rPr>
      </w:pPr>
    </w:p>
    <w:p w14:paraId="72038389">
      <w:pPr>
        <w:autoSpaceDE w:val="0"/>
        <w:autoSpaceDN w:val="0"/>
        <w:adjustRightInd w:val="0"/>
        <w:spacing w:line="288" w:lineRule="auto"/>
        <w:contextualSpacing/>
        <w:jc w:val="both"/>
        <w:rPr>
          <w:color w:val="231F20"/>
          <w:sz w:val="24"/>
          <w:szCs w:val="24"/>
        </w:rPr>
      </w:pPr>
      <w:r>
        <w:rPr>
          <w:color w:val="231F20"/>
          <w:sz w:val="24"/>
          <w:szCs w:val="24"/>
        </w:rPr>
        <w:t xml:space="preserve">8.1 O prazo de validade da Ata de Registro de Preços é de 1 (um) ano, </w:t>
      </w:r>
      <w:r>
        <w:rPr>
          <w:color w:val="000000"/>
          <w:sz w:val="24"/>
          <w:szCs w:val="24"/>
        </w:rPr>
        <w:t xml:space="preserve">contado a partir </w:t>
      </w:r>
      <w:r>
        <w:rPr>
          <w:sz w:val="24"/>
          <w:szCs w:val="24"/>
        </w:rPr>
        <w:t>do 1º (primeiro) dia útil subsequente à data de divulgação no PNCP.</w:t>
      </w:r>
      <w:r>
        <w:rPr>
          <w:color w:val="231F20"/>
          <w:sz w:val="24"/>
          <w:szCs w:val="24"/>
        </w:rPr>
        <w:t xml:space="preserve"> </w:t>
      </w:r>
    </w:p>
    <w:p w14:paraId="0BDA10AA">
      <w:pPr>
        <w:autoSpaceDE w:val="0"/>
        <w:autoSpaceDN w:val="0"/>
        <w:adjustRightInd w:val="0"/>
        <w:spacing w:line="288" w:lineRule="auto"/>
        <w:contextualSpacing/>
        <w:jc w:val="both"/>
        <w:rPr>
          <w:color w:val="231F20"/>
          <w:sz w:val="24"/>
          <w:szCs w:val="24"/>
        </w:rPr>
      </w:pPr>
    </w:p>
    <w:p w14:paraId="47BE00D4">
      <w:pPr>
        <w:autoSpaceDE w:val="0"/>
        <w:autoSpaceDN w:val="0"/>
        <w:adjustRightInd w:val="0"/>
        <w:spacing w:line="288" w:lineRule="auto"/>
        <w:contextualSpacing/>
        <w:jc w:val="both"/>
        <w:rPr>
          <w:sz w:val="24"/>
          <w:szCs w:val="24"/>
        </w:rPr>
      </w:pPr>
      <w:r>
        <w:rPr>
          <w:color w:val="231F20"/>
          <w:sz w:val="24"/>
          <w:szCs w:val="24"/>
        </w:rPr>
        <w:t xml:space="preserve">8.2 </w:t>
      </w:r>
      <w:r>
        <w:rPr>
          <w:sz w:val="24"/>
          <w:szCs w:val="24"/>
        </w:rPr>
        <w:t>O prazo de vigência da Ata de Registro de Preços poderá ser prorrogado, por igual período, mediante termo aditivo, desde que as condições e os preços permaneçam vantajosos, observados os seguintes requisitos:</w:t>
      </w:r>
    </w:p>
    <w:p w14:paraId="5F32B242">
      <w:pPr>
        <w:autoSpaceDE w:val="0"/>
        <w:autoSpaceDN w:val="0"/>
        <w:adjustRightInd w:val="0"/>
        <w:spacing w:line="288" w:lineRule="auto"/>
        <w:contextualSpacing/>
        <w:jc w:val="both"/>
        <w:rPr>
          <w:sz w:val="24"/>
          <w:szCs w:val="24"/>
        </w:rPr>
      </w:pPr>
    </w:p>
    <w:p w14:paraId="36ED87BC">
      <w:pPr>
        <w:autoSpaceDE w:val="0"/>
        <w:autoSpaceDN w:val="0"/>
        <w:adjustRightInd w:val="0"/>
        <w:spacing w:line="288" w:lineRule="auto"/>
        <w:contextualSpacing/>
        <w:jc w:val="both"/>
        <w:rPr>
          <w:sz w:val="24"/>
          <w:szCs w:val="24"/>
        </w:rPr>
      </w:pPr>
      <w:r>
        <w:rPr>
          <w:sz w:val="24"/>
          <w:szCs w:val="24"/>
        </w:rPr>
        <w:t xml:space="preserve">8.2.1 somente o saldo remanescente será mantido; </w:t>
      </w:r>
    </w:p>
    <w:p w14:paraId="517D1781">
      <w:pPr>
        <w:autoSpaceDE w:val="0"/>
        <w:autoSpaceDN w:val="0"/>
        <w:adjustRightInd w:val="0"/>
        <w:spacing w:line="288" w:lineRule="auto"/>
        <w:contextualSpacing/>
        <w:jc w:val="both"/>
        <w:rPr>
          <w:sz w:val="24"/>
          <w:szCs w:val="24"/>
        </w:rPr>
      </w:pPr>
    </w:p>
    <w:p w14:paraId="46FB9265">
      <w:pPr>
        <w:autoSpaceDE w:val="0"/>
        <w:autoSpaceDN w:val="0"/>
        <w:adjustRightInd w:val="0"/>
        <w:spacing w:line="288" w:lineRule="auto"/>
        <w:contextualSpacing/>
        <w:jc w:val="both"/>
        <w:rPr>
          <w:sz w:val="24"/>
          <w:szCs w:val="24"/>
        </w:rPr>
      </w:pPr>
      <w:r>
        <w:rPr>
          <w:sz w:val="24"/>
          <w:szCs w:val="24"/>
        </w:rPr>
        <w:t>8.2.2 deverá ser indicado expressamente o prazo de prorrogação; e</w:t>
      </w:r>
    </w:p>
    <w:p w14:paraId="3C2C0110">
      <w:pPr>
        <w:autoSpaceDE w:val="0"/>
        <w:autoSpaceDN w:val="0"/>
        <w:adjustRightInd w:val="0"/>
        <w:spacing w:line="288" w:lineRule="auto"/>
        <w:contextualSpacing/>
        <w:jc w:val="both"/>
        <w:rPr>
          <w:sz w:val="24"/>
          <w:szCs w:val="24"/>
        </w:rPr>
      </w:pPr>
    </w:p>
    <w:p w14:paraId="7F318A84">
      <w:pPr>
        <w:autoSpaceDE w:val="0"/>
        <w:autoSpaceDN w:val="0"/>
        <w:adjustRightInd w:val="0"/>
        <w:spacing w:line="288" w:lineRule="auto"/>
        <w:contextualSpacing/>
        <w:jc w:val="both"/>
        <w:rPr>
          <w:sz w:val="24"/>
          <w:szCs w:val="24"/>
        </w:rPr>
      </w:pPr>
      <w:r>
        <w:rPr>
          <w:sz w:val="24"/>
          <w:szCs w:val="24"/>
        </w:rPr>
        <w:t>8.2.3 deverá ser confirmado se os preços registrados permanecem atualizados, por meio de pesquisa de preços realizada na forma do Decreto nº 46/2025.</w:t>
      </w:r>
    </w:p>
    <w:p w14:paraId="2A9BE3A3">
      <w:pPr>
        <w:spacing w:line="288" w:lineRule="auto"/>
        <w:contextualSpacing/>
        <w:jc w:val="both"/>
        <w:rPr>
          <w:sz w:val="24"/>
          <w:szCs w:val="24"/>
        </w:rPr>
      </w:pPr>
    </w:p>
    <w:p w14:paraId="3978BD75">
      <w:pPr>
        <w:spacing w:line="288" w:lineRule="auto"/>
        <w:contextualSpacing/>
        <w:jc w:val="both"/>
        <w:rPr>
          <w:sz w:val="24"/>
          <w:szCs w:val="24"/>
        </w:rPr>
      </w:pPr>
      <w:r>
        <w:rPr>
          <w:b/>
          <w:sz w:val="24"/>
          <w:szCs w:val="24"/>
        </w:rPr>
        <w:t>CLÁUSULA NONA: DO CADASTRO DE RESERVA</w:t>
      </w:r>
    </w:p>
    <w:p w14:paraId="6808F1CA">
      <w:pPr>
        <w:spacing w:line="288" w:lineRule="auto"/>
        <w:contextualSpacing/>
        <w:jc w:val="both"/>
        <w:rPr>
          <w:rFonts w:eastAsia="Arial"/>
          <w:sz w:val="24"/>
          <w:szCs w:val="24"/>
        </w:rPr>
      </w:pPr>
    </w:p>
    <w:p w14:paraId="3A30CCBE">
      <w:pPr>
        <w:spacing w:line="288" w:lineRule="auto"/>
        <w:contextualSpacing/>
        <w:jc w:val="both"/>
        <w:rPr>
          <w:rFonts w:eastAsia="Arial"/>
          <w:sz w:val="24"/>
          <w:szCs w:val="24"/>
        </w:rPr>
      </w:pPr>
      <w:r>
        <w:rPr>
          <w:rFonts w:eastAsia="Arial"/>
          <w:sz w:val="24"/>
          <w:szCs w:val="24"/>
        </w:rPr>
        <w:t xml:space="preserve">9.1 Fazem parte do Cadastro de Reserva os </w:t>
      </w:r>
      <w:r>
        <w:rPr>
          <w:sz w:val="24"/>
          <w:szCs w:val="24"/>
        </w:rPr>
        <w:t xml:space="preserve">proponentes que aceitaram cotar os bens ou serviços em preços iguais aos do proponente vencedor do certame, observada a ordem de classificação, e os proponentes que mantiveram sua proposta original, conforme informações reunidas no Anexo II – Cadastro de Reserva. </w:t>
      </w:r>
    </w:p>
    <w:p w14:paraId="7D2B603F">
      <w:pPr>
        <w:autoSpaceDE w:val="0"/>
        <w:autoSpaceDN w:val="0"/>
        <w:adjustRightInd w:val="0"/>
        <w:spacing w:line="288" w:lineRule="auto"/>
        <w:contextualSpacing/>
        <w:jc w:val="both"/>
        <w:rPr>
          <w:color w:val="231F20"/>
          <w:sz w:val="24"/>
          <w:szCs w:val="24"/>
        </w:rPr>
      </w:pPr>
    </w:p>
    <w:p w14:paraId="04185F2E">
      <w:pPr>
        <w:autoSpaceDE w:val="0"/>
        <w:autoSpaceDN w:val="0"/>
        <w:adjustRightInd w:val="0"/>
        <w:spacing w:line="288" w:lineRule="auto"/>
        <w:contextualSpacing/>
        <w:jc w:val="both"/>
        <w:rPr>
          <w:color w:val="231F20"/>
          <w:sz w:val="24"/>
          <w:szCs w:val="24"/>
        </w:rPr>
      </w:pPr>
      <w:r>
        <w:rPr>
          <w:color w:val="231F20"/>
          <w:sz w:val="24"/>
          <w:szCs w:val="24"/>
        </w:rPr>
        <w:t>9.2 A ordem de classificação dos registrados na ata deverá ser respeitada para as contratações, cabendo ao gerenciador realizar os devidos registros na Ata de Registro de Preços, para a sua atualização.</w:t>
      </w:r>
    </w:p>
    <w:p w14:paraId="360818CA">
      <w:pPr>
        <w:autoSpaceDE w:val="0"/>
        <w:autoSpaceDN w:val="0"/>
        <w:adjustRightInd w:val="0"/>
        <w:spacing w:line="288" w:lineRule="auto"/>
        <w:contextualSpacing/>
        <w:jc w:val="both"/>
        <w:rPr>
          <w:color w:val="231F20"/>
          <w:sz w:val="24"/>
          <w:szCs w:val="24"/>
        </w:rPr>
      </w:pPr>
    </w:p>
    <w:p w14:paraId="6FABD63F">
      <w:pPr>
        <w:autoSpaceDE w:val="0"/>
        <w:autoSpaceDN w:val="0"/>
        <w:adjustRightInd w:val="0"/>
        <w:spacing w:line="288" w:lineRule="auto"/>
        <w:contextualSpacing/>
        <w:jc w:val="both"/>
        <w:rPr>
          <w:color w:val="231F20"/>
          <w:sz w:val="24"/>
          <w:szCs w:val="24"/>
        </w:rPr>
      </w:pPr>
      <w:r>
        <w:rPr>
          <w:color w:val="231F20"/>
          <w:sz w:val="24"/>
          <w:szCs w:val="24"/>
        </w:rPr>
        <w:t xml:space="preserve">9.3 </w:t>
      </w:r>
      <w:r>
        <w:rPr>
          <w:sz w:val="24"/>
          <w:szCs w:val="24"/>
        </w:rPr>
        <w:t>A habilitação dos proponentes que irão compor o Cadastro de Reserva somente será efetuada quando houver necessidade de contratação dos proponentes remanescentes, na forma do parágrafo 3º do art. 19 do Decreto nº 46/2025.</w:t>
      </w:r>
    </w:p>
    <w:p w14:paraId="2E471910">
      <w:pPr>
        <w:autoSpaceDE w:val="0"/>
        <w:autoSpaceDN w:val="0"/>
        <w:adjustRightInd w:val="0"/>
        <w:spacing w:line="288" w:lineRule="auto"/>
        <w:contextualSpacing/>
        <w:jc w:val="both"/>
        <w:rPr>
          <w:color w:val="231F20"/>
          <w:sz w:val="24"/>
          <w:szCs w:val="24"/>
        </w:rPr>
      </w:pPr>
    </w:p>
    <w:p w14:paraId="78993D1F">
      <w:pPr>
        <w:autoSpaceDE w:val="0"/>
        <w:autoSpaceDN w:val="0"/>
        <w:adjustRightInd w:val="0"/>
        <w:spacing w:line="288" w:lineRule="auto"/>
        <w:contextualSpacing/>
        <w:jc w:val="both"/>
        <w:rPr>
          <w:color w:val="231F20"/>
          <w:sz w:val="24"/>
          <w:szCs w:val="24"/>
        </w:rPr>
      </w:pPr>
      <w:r>
        <w:rPr>
          <w:color w:val="231F20"/>
          <w:sz w:val="24"/>
          <w:szCs w:val="24"/>
        </w:rPr>
        <w:t xml:space="preserve">9.4 </w:t>
      </w:r>
      <w:r>
        <w:rPr>
          <w:sz w:val="24"/>
          <w:szCs w:val="24"/>
        </w:rPr>
        <w:t>É facultado à Administração, quando o convocado não assinar a Ata de Registro de Preços no prazo e condições estabelecidos no instrumento convocatório, quando houver,</w:t>
      </w:r>
      <w:r>
        <w:rPr>
          <w:rFonts w:eastAsia="Arial"/>
          <w:sz w:val="24"/>
          <w:szCs w:val="24"/>
        </w:rPr>
        <w:t xml:space="preserve"> e no Termo de Referência</w:t>
      </w:r>
      <w:r>
        <w:rPr>
          <w:sz w:val="24"/>
          <w:szCs w:val="24"/>
        </w:rPr>
        <w:t xml:space="preserve">, convocar os proponentes do Cadastro de Reserva, na ordem de classificação, para fazê-lo em igual prazo e nas mesmas condições propostas pelo primeiro classificado. </w:t>
      </w:r>
    </w:p>
    <w:p w14:paraId="29CAC4F3">
      <w:pPr>
        <w:autoSpaceDE w:val="0"/>
        <w:autoSpaceDN w:val="0"/>
        <w:adjustRightInd w:val="0"/>
        <w:spacing w:line="288" w:lineRule="auto"/>
        <w:contextualSpacing/>
        <w:jc w:val="both"/>
        <w:rPr>
          <w:color w:val="231F20"/>
          <w:sz w:val="24"/>
          <w:szCs w:val="24"/>
        </w:rPr>
      </w:pPr>
    </w:p>
    <w:p w14:paraId="62F26D53">
      <w:pPr>
        <w:autoSpaceDE w:val="0"/>
        <w:autoSpaceDN w:val="0"/>
        <w:adjustRightInd w:val="0"/>
        <w:spacing w:line="288" w:lineRule="auto"/>
        <w:contextualSpacing/>
        <w:jc w:val="both"/>
        <w:rPr>
          <w:color w:val="231F20"/>
          <w:sz w:val="24"/>
          <w:szCs w:val="24"/>
        </w:rPr>
      </w:pPr>
      <w:r>
        <w:rPr>
          <w:color w:val="231F20"/>
          <w:sz w:val="24"/>
          <w:szCs w:val="24"/>
        </w:rPr>
        <w:t xml:space="preserve">9.5 O Cadastro de Reserva poderá ser empregado no caso de exclusão do fornecedor da Ata de Registro de Preços, nas seguintes ocorrências: </w:t>
      </w:r>
    </w:p>
    <w:p w14:paraId="0958FB32">
      <w:pPr>
        <w:autoSpaceDE w:val="0"/>
        <w:autoSpaceDN w:val="0"/>
        <w:adjustRightInd w:val="0"/>
        <w:spacing w:line="288" w:lineRule="auto"/>
        <w:contextualSpacing/>
        <w:jc w:val="both"/>
        <w:rPr>
          <w:color w:val="231F20"/>
          <w:sz w:val="24"/>
          <w:szCs w:val="24"/>
        </w:rPr>
      </w:pPr>
      <w:r>
        <w:rPr>
          <w:color w:val="231F20"/>
          <w:sz w:val="24"/>
          <w:szCs w:val="24"/>
        </w:rPr>
        <w:t xml:space="preserve"> </w:t>
      </w:r>
    </w:p>
    <w:p w14:paraId="35A9722D">
      <w:pPr>
        <w:autoSpaceDE w:val="0"/>
        <w:autoSpaceDN w:val="0"/>
        <w:adjustRightInd w:val="0"/>
        <w:spacing w:line="288" w:lineRule="auto"/>
        <w:contextualSpacing/>
        <w:jc w:val="both"/>
        <w:rPr>
          <w:color w:val="231F20"/>
          <w:sz w:val="24"/>
          <w:szCs w:val="24"/>
        </w:rPr>
      </w:pPr>
      <w:r>
        <w:rPr>
          <w:color w:val="231F20"/>
          <w:sz w:val="24"/>
          <w:szCs w:val="24"/>
        </w:rPr>
        <w:t xml:space="preserve">a) cancelamento do registro do fornecedor, nas hipóteses previstas na cláusula décima; ou </w:t>
      </w:r>
    </w:p>
    <w:p w14:paraId="408DE6FD">
      <w:pPr>
        <w:autoSpaceDE w:val="0"/>
        <w:autoSpaceDN w:val="0"/>
        <w:adjustRightInd w:val="0"/>
        <w:spacing w:line="288" w:lineRule="auto"/>
        <w:contextualSpacing/>
        <w:jc w:val="both"/>
        <w:rPr>
          <w:color w:val="231F20"/>
          <w:sz w:val="24"/>
          <w:szCs w:val="24"/>
        </w:rPr>
      </w:pPr>
    </w:p>
    <w:p w14:paraId="1EE34C0F">
      <w:pPr>
        <w:autoSpaceDE w:val="0"/>
        <w:autoSpaceDN w:val="0"/>
        <w:adjustRightInd w:val="0"/>
        <w:spacing w:line="288" w:lineRule="auto"/>
        <w:contextualSpacing/>
        <w:jc w:val="both"/>
        <w:rPr>
          <w:color w:val="231F20"/>
          <w:sz w:val="24"/>
          <w:szCs w:val="24"/>
        </w:rPr>
      </w:pPr>
      <w:r>
        <w:rPr>
          <w:color w:val="231F20"/>
          <w:sz w:val="24"/>
          <w:szCs w:val="24"/>
        </w:rPr>
        <w:t>b) cancelamento do registro de preços, nas hipóteses previstas nos arts. 28, § 4º, 29 e 31, do Decreto nº 46/2025, e itens 6.3.4 e 6.4 da cláusula sexta.</w:t>
      </w:r>
    </w:p>
    <w:p w14:paraId="10E98E41">
      <w:pPr>
        <w:pStyle w:val="20"/>
        <w:spacing w:line="288" w:lineRule="auto"/>
        <w:contextualSpacing/>
        <w:jc w:val="both"/>
        <w:rPr>
          <w:rFonts w:ascii="Times New Roman" w:hAnsi="Times New Roman" w:cs="Times New Roman"/>
        </w:rPr>
      </w:pPr>
    </w:p>
    <w:p w14:paraId="6B030CEE">
      <w:pPr>
        <w:spacing w:line="288" w:lineRule="auto"/>
        <w:contextualSpacing/>
        <w:jc w:val="both"/>
        <w:rPr>
          <w:b/>
          <w:sz w:val="24"/>
          <w:szCs w:val="24"/>
        </w:rPr>
      </w:pPr>
      <w:r>
        <w:rPr>
          <w:b/>
          <w:sz w:val="24"/>
          <w:szCs w:val="24"/>
        </w:rPr>
        <w:t xml:space="preserve">CLÁUSULA DÉCIMA: DO CANCELAMENTO DO REGISTRO DO FORNECEDOR </w:t>
      </w:r>
    </w:p>
    <w:p w14:paraId="6F1404F0">
      <w:pPr>
        <w:spacing w:line="288" w:lineRule="auto"/>
        <w:contextualSpacing/>
        <w:jc w:val="both"/>
        <w:rPr>
          <w:color w:val="231F20"/>
          <w:sz w:val="24"/>
          <w:szCs w:val="24"/>
        </w:rPr>
      </w:pPr>
    </w:p>
    <w:p w14:paraId="6E0E5C67">
      <w:pPr>
        <w:spacing w:line="288" w:lineRule="auto"/>
        <w:contextualSpacing/>
        <w:jc w:val="both"/>
        <w:rPr>
          <w:sz w:val="24"/>
          <w:szCs w:val="24"/>
        </w:rPr>
      </w:pPr>
      <w:r>
        <w:rPr>
          <w:color w:val="231F20"/>
          <w:sz w:val="24"/>
          <w:szCs w:val="24"/>
        </w:rPr>
        <w:t>10.1 O registro do fornecedor será cancelado quando:</w:t>
      </w:r>
    </w:p>
    <w:p w14:paraId="37FBC6F1">
      <w:pPr>
        <w:autoSpaceDE w:val="0"/>
        <w:autoSpaceDN w:val="0"/>
        <w:adjustRightInd w:val="0"/>
        <w:spacing w:line="288" w:lineRule="auto"/>
        <w:contextualSpacing/>
        <w:jc w:val="both"/>
        <w:rPr>
          <w:b/>
          <w:bCs/>
          <w:color w:val="231F20"/>
          <w:sz w:val="24"/>
          <w:szCs w:val="24"/>
        </w:rPr>
      </w:pPr>
    </w:p>
    <w:p w14:paraId="510BD834">
      <w:pPr>
        <w:autoSpaceDE w:val="0"/>
        <w:autoSpaceDN w:val="0"/>
        <w:adjustRightInd w:val="0"/>
        <w:spacing w:line="288" w:lineRule="auto"/>
        <w:contextualSpacing/>
        <w:jc w:val="both"/>
        <w:rPr>
          <w:color w:val="231F20"/>
          <w:sz w:val="24"/>
          <w:szCs w:val="24"/>
        </w:rPr>
      </w:pPr>
      <w:r>
        <w:rPr>
          <w:color w:val="231F20"/>
          <w:sz w:val="24"/>
          <w:szCs w:val="24"/>
        </w:rPr>
        <w:t>a) forem descumpridas as condições da ata de registro de preços, sem motivo justificado;</w:t>
      </w:r>
    </w:p>
    <w:p w14:paraId="4E7215C3">
      <w:pPr>
        <w:autoSpaceDE w:val="0"/>
        <w:autoSpaceDN w:val="0"/>
        <w:adjustRightInd w:val="0"/>
        <w:spacing w:line="288" w:lineRule="auto"/>
        <w:contextualSpacing/>
        <w:jc w:val="both"/>
        <w:rPr>
          <w:color w:val="231F20"/>
          <w:sz w:val="24"/>
          <w:szCs w:val="24"/>
        </w:rPr>
      </w:pPr>
    </w:p>
    <w:p w14:paraId="09B9AFA3">
      <w:pPr>
        <w:autoSpaceDE w:val="0"/>
        <w:autoSpaceDN w:val="0"/>
        <w:adjustRightInd w:val="0"/>
        <w:spacing w:line="288" w:lineRule="auto"/>
        <w:contextualSpacing/>
        <w:jc w:val="both"/>
        <w:rPr>
          <w:color w:val="231F20"/>
          <w:sz w:val="24"/>
          <w:szCs w:val="24"/>
        </w:rPr>
      </w:pPr>
      <w:r>
        <w:rPr>
          <w:color w:val="231F20"/>
          <w:sz w:val="24"/>
          <w:szCs w:val="24"/>
        </w:rPr>
        <w:t xml:space="preserve">b) </w:t>
      </w:r>
      <w:r>
        <w:rPr>
          <w:sz w:val="24"/>
          <w:szCs w:val="24"/>
        </w:rPr>
        <w:t>não assinar o contrato ou não retirar a nota de empenho ou instrumento equivalente no prazo estabelecido pela Administração, sem justificativa aceitável;</w:t>
      </w:r>
    </w:p>
    <w:p w14:paraId="3393B2DE">
      <w:pPr>
        <w:autoSpaceDE w:val="0"/>
        <w:autoSpaceDN w:val="0"/>
        <w:adjustRightInd w:val="0"/>
        <w:spacing w:line="288" w:lineRule="auto"/>
        <w:contextualSpacing/>
        <w:jc w:val="both"/>
        <w:rPr>
          <w:color w:val="231F20"/>
          <w:sz w:val="24"/>
          <w:szCs w:val="24"/>
        </w:rPr>
      </w:pPr>
    </w:p>
    <w:p w14:paraId="4441C065">
      <w:pPr>
        <w:autoSpaceDE w:val="0"/>
        <w:autoSpaceDN w:val="0"/>
        <w:adjustRightInd w:val="0"/>
        <w:spacing w:line="288" w:lineRule="auto"/>
        <w:contextualSpacing/>
        <w:jc w:val="both"/>
        <w:rPr>
          <w:color w:val="231F20"/>
          <w:sz w:val="24"/>
          <w:szCs w:val="24"/>
        </w:rPr>
      </w:pPr>
      <w:r>
        <w:rPr>
          <w:color w:val="231F20"/>
          <w:sz w:val="24"/>
          <w:szCs w:val="24"/>
        </w:rPr>
        <w:t>c) não aceitar reduzir o seu preço registrado, na hipótese deste se tornar superior àqueles praticados no mercado; ou</w:t>
      </w:r>
    </w:p>
    <w:p w14:paraId="297EC30D">
      <w:pPr>
        <w:autoSpaceDE w:val="0"/>
        <w:autoSpaceDN w:val="0"/>
        <w:adjustRightInd w:val="0"/>
        <w:spacing w:line="288" w:lineRule="auto"/>
        <w:contextualSpacing/>
        <w:jc w:val="both"/>
        <w:rPr>
          <w:color w:val="231F20"/>
          <w:sz w:val="24"/>
          <w:szCs w:val="24"/>
        </w:rPr>
      </w:pPr>
    </w:p>
    <w:p w14:paraId="7F0D93D3">
      <w:pPr>
        <w:autoSpaceDE w:val="0"/>
        <w:autoSpaceDN w:val="0"/>
        <w:adjustRightInd w:val="0"/>
        <w:spacing w:line="288" w:lineRule="auto"/>
        <w:contextualSpacing/>
        <w:jc w:val="both"/>
        <w:rPr>
          <w:sz w:val="24"/>
          <w:szCs w:val="24"/>
        </w:rPr>
      </w:pPr>
      <w:r>
        <w:rPr>
          <w:color w:val="231F20"/>
          <w:sz w:val="24"/>
          <w:szCs w:val="24"/>
        </w:rPr>
        <w:t xml:space="preserve">d) </w:t>
      </w:r>
      <w:r>
        <w:rPr>
          <w:sz w:val="24"/>
          <w:szCs w:val="24"/>
        </w:rPr>
        <w:t xml:space="preserve">sofrer sanção prevista nos incisos III ou IV do </w:t>
      </w:r>
      <w:r>
        <w:rPr>
          <w:i/>
          <w:iCs/>
          <w:sz w:val="24"/>
          <w:szCs w:val="24"/>
        </w:rPr>
        <w:t>caput</w:t>
      </w:r>
      <w:r>
        <w:rPr>
          <w:sz w:val="24"/>
          <w:szCs w:val="24"/>
        </w:rPr>
        <w:t xml:space="preserve"> do art. 156 da Lei nº 14.133/2021, observado os parágrafos 4º e 5º do referido dispositivo. </w:t>
      </w:r>
    </w:p>
    <w:p w14:paraId="46ECF825">
      <w:pPr>
        <w:autoSpaceDE w:val="0"/>
        <w:autoSpaceDN w:val="0"/>
        <w:adjustRightInd w:val="0"/>
        <w:spacing w:line="288" w:lineRule="auto"/>
        <w:contextualSpacing/>
        <w:jc w:val="both"/>
        <w:rPr>
          <w:sz w:val="24"/>
          <w:szCs w:val="24"/>
        </w:rPr>
      </w:pPr>
    </w:p>
    <w:p w14:paraId="0BF86BE7">
      <w:pPr>
        <w:autoSpaceDE w:val="0"/>
        <w:autoSpaceDN w:val="0"/>
        <w:adjustRightInd w:val="0"/>
        <w:spacing w:line="288" w:lineRule="auto"/>
        <w:contextualSpacing/>
        <w:jc w:val="both"/>
        <w:rPr>
          <w:sz w:val="24"/>
          <w:szCs w:val="24"/>
        </w:rPr>
      </w:pPr>
      <w:r>
        <w:rPr>
          <w:sz w:val="24"/>
          <w:szCs w:val="24"/>
        </w:rPr>
        <w:t xml:space="preserve">10.2 Na hipótese de que trata a alínea d do item 10.1, caso a penalidade aplicada ao </w:t>
      </w:r>
      <w:r>
        <w:rPr>
          <w:color w:val="231F20"/>
          <w:sz w:val="24"/>
          <w:szCs w:val="24"/>
        </w:rPr>
        <w:t>fornecedor</w:t>
      </w:r>
      <w:r>
        <w:rPr>
          <w:sz w:val="24"/>
          <w:szCs w:val="24"/>
        </w:rPr>
        <w:t xml:space="preserve"> não ultrapasse o prazo de vigência da ata, poderá o gerenciador, desde que não seja o responsável pela aplicação da sanção, mediante decisão fundamentada, garantido o contraditório e a ampla defesa, decidir pela manutenção do registro de preços. </w:t>
      </w:r>
    </w:p>
    <w:p w14:paraId="545022D5">
      <w:pPr>
        <w:autoSpaceDE w:val="0"/>
        <w:autoSpaceDN w:val="0"/>
        <w:adjustRightInd w:val="0"/>
        <w:spacing w:line="288" w:lineRule="auto"/>
        <w:contextualSpacing/>
        <w:jc w:val="both"/>
        <w:rPr>
          <w:sz w:val="24"/>
          <w:szCs w:val="24"/>
        </w:rPr>
      </w:pPr>
    </w:p>
    <w:p w14:paraId="21551BC6">
      <w:pPr>
        <w:autoSpaceDE w:val="0"/>
        <w:autoSpaceDN w:val="0"/>
        <w:adjustRightInd w:val="0"/>
        <w:spacing w:line="288" w:lineRule="auto"/>
        <w:contextualSpacing/>
        <w:jc w:val="both"/>
        <w:rPr>
          <w:b/>
          <w:bCs/>
          <w:color w:val="231F20"/>
          <w:sz w:val="24"/>
          <w:szCs w:val="24"/>
        </w:rPr>
      </w:pPr>
      <w:r>
        <w:rPr>
          <w:sz w:val="24"/>
          <w:szCs w:val="24"/>
        </w:rPr>
        <w:t xml:space="preserve">10.3 O cancelamento do registro nas hipóteses previstas das alíneas a, b e d do item 10.1 será formalizado por decisão do gerenciador, assegurado o contraditório e a ampla defesa ao </w:t>
      </w:r>
      <w:r>
        <w:rPr>
          <w:color w:val="231F20"/>
          <w:sz w:val="24"/>
          <w:szCs w:val="24"/>
        </w:rPr>
        <w:t>fornecedor</w:t>
      </w:r>
      <w:r>
        <w:rPr>
          <w:sz w:val="24"/>
          <w:szCs w:val="24"/>
        </w:rPr>
        <w:t>.</w:t>
      </w:r>
    </w:p>
    <w:p w14:paraId="59173EF7">
      <w:pPr>
        <w:spacing w:line="288" w:lineRule="auto"/>
        <w:contextualSpacing/>
        <w:jc w:val="both"/>
        <w:rPr>
          <w:b/>
          <w:sz w:val="24"/>
          <w:szCs w:val="24"/>
          <w:u w:val="single"/>
        </w:rPr>
      </w:pPr>
    </w:p>
    <w:p w14:paraId="6BD760DF">
      <w:pPr>
        <w:spacing w:line="288" w:lineRule="auto"/>
        <w:contextualSpacing/>
        <w:jc w:val="both"/>
        <w:rPr>
          <w:b/>
          <w:sz w:val="24"/>
          <w:szCs w:val="24"/>
        </w:rPr>
      </w:pPr>
      <w:r>
        <w:rPr>
          <w:b/>
          <w:sz w:val="24"/>
          <w:szCs w:val="24"/>
        </w:rPr>
        <w:t xml:space="preserve">CLÁUSULA DÉCIMA PRIMEIRA: DO CANCELAMENTO DO REGISTRO DE PREÇOS: </w:t>
      </w:r>
    </w:p>
    <w:p w14:paraId="40AC2E5E">
      <w:pPr>
        <w:autoSpaceDE w:val="0"/>
        <w:autoSpaceDN w:val="0"/>
        <w:adjustRightInd w:val="0"/>
        <w:spacing w:line="288" w:lineRule="auto"/>
        <w:contextualSpacing/>
        <w:jc w:val="both"/>
        <w:rPr>
          <w:color w:val="231F20"/>
          <w:sz w:val="24"/>
          <w:szCs w:val="24"/>
        </w:rPr>
      </w:pPr>
    </w:p>
    <w:p w14:paraId="287BA098">
      <w:pPr>
        <w:autoSpaceDE w:val="0"/>
        <w:autoSpaceDN w:val="0"/>
        <w:adjustRightInd w:val="0"/>
        <w:spacing w:line="288" w:lineRule="auto"/>
        <w:contextualSpacing/>
        <w:jc w:val="both"/>
        <w:rPr>
          <w:sz w:val="24"/>
          <w:szCs w:val="24"/>
        </w:rPr>
      </w:pPr>
      <w:r>
        <w:rPr>
          <w:color w:val="231F20"/>
          <w:sz w:val="24"/>
          <w:szCs w:val="24"/>
        </w:rPr>
        <w:t>11.1 O cancelamento do registro de preços poderá ocorrer</w:t>
      </w:r>
      <w:r>
        <w:rPr>
          <w:sz w:val="24"/>
          <w:szCs w:val="24"/>
        </w:rPr>
        <w:t xml:space="preserve">, total ou parcialmente, pelo gerenciador, desde que devidamente comprovados e justificados: </w:t>
      </w:r>
    </w:p>
    <w:p w14:paraId="29CCB5E5">
      <w:pPr>
        <w:autoSpaceDE w:val="0"/>
        <w:autoSpaceDN w:val="0"/>
        <w:adjustRightInd w:val="0"/>
        <w:spacing w:line="288" w:lineRule="auto"/>
        <w:contextualSpacing/>
        <w:jc w:val="both"/>
        <w:rPr>
          <w:sz w:val="24"/>
          <w:szCs w:val="24"/>
        </w:rPr>
      </w:pPr>
    </w:p>
    <w:p w14:paraId="2D6AE164">
      <w:pPr>
        <w:autoSpaceDE w:val="0"/>
        <w:autoSpaceDN w:val="0"/>
        <w:adjustRightInd w:val="0"/>
        <w:spacing w:line="288" w:lineRule="auto"/>
        <w:contextualSpacing/>
        <w:jc w:val="both"/>
        <w:rPr>
          <w:sz w:val="24"/>
          <w:szCs w:val="24"/>
        </w:rPr>
      </w:pPr>
      <w:r>
        <w:rPr>
          <w:sz w:val="24"/>
          <w:szCs w:val="24"/>
        </w:rPr>
        <w:t xml:space="preserve">a)  por razão de interesse público; </w:t>
      </w:r>
    </w:p>
    <w:p w14:paraId="785592F0">
      <w:pPr>
        <w:autoSpaceDE w:val="0"/>
        <w:autoSpaceDN w:val="0"/>
        <w:adjustRightInd w:val="0"/>
        <w:spacing w:line="288" w:lineRule="auto"/>
        <w:contextualSpacing/>
        <w:jc w:val="both"/>
        <w:rPr>
          <w:sz w:val="24"/>
          <w:szCs w:val="24"/>
        </w:rPr>
      </w:pPr>
    </w:p>
    <w:p w14:paraId="05F30AAF">
      <w:pPr>
        <w:autoSpaceDE w:val="0"/>
        <w:autoSpaceDN w:val="0"/>
        <w:adjustRightInd w:val="0"/>
        <w:spacing w:line="288" w:lineRule="auto"/>
        <w:contextualSpacing/>
        <w:jc w:val="both"/>
        <w:rPr>
          <w:sz w:val="24"/>
          <w:szCs w:val="24"/>
        </w:rPr>
      </w:pPr>
      <w:r>
        <w:rPr>
          <w:sz w:val="24"/>
          <w:szCs w:val="24"/>
        </w:rPr>
        <w:t xml:space="preserve">b) pelo cancelamento de todos os preços registrados; ou </w:t>
      </w:r>
    </w:p>
    <w:p w14:paraId="57ED9B0A">
      <w:pPr>
        <w:autoSpaceDE w:val="0"/>
        <w:autoSpaceDN w:val="0"/>
        <w:adjustRightInd w:val="0"/>
        <w:spacing w:line="288" w:lineRule="auto"/>
        <w:contextualSpacing/>
        <w:jc w:val="both"/>
        <w:rPr>
          <w:sz w:val="24"/>
          <w:szCs w:val="24"/>
        </w:rPr>
      </w:pPr>
    </w:p>
    <w:p w14:paraId="5161A2B4">
      <w:pPr>
        <w:autoSpaceDE w:val="0"/>
        <w:autoSpaceDN w:val="0"/>
        <w:adjustRightInd w:val="0"/>
        <w:spacing w:line="288" w:lineRule="auto"/>
        <w:contextualSpacing/>
        <w:jc w:val="both"/>
        <w:rPr>
          <w:sz w:val="24"/>
          <w:szCs w:val="24"/>
        </w:rPr>
      </w:pPr>
      <w:r>
        <w:rPr>
          <w:sz w:val="24"/>
          <w:szCs w:val="24"/>
        </w:rPr>
        <w:t xml:space="preserve">c) a pedido do </w:t>
      </w:r>
      <w:r>
        <w:rPr>
          <w:color w:val="231F20"/>
          <w:sz w:val="24"/>
          <w:szCs w:val="24"/>
        </w:rPr>
        <w:t>fornecedor</w:t>
      </w:r>
      <w:r>
        <w:rPr>
          <w:sz w:val="24"/>
          <w:szCs w:val="24"/>
        </w:rPr>
        <w:t>, decorrente de fato superveniente, de caso fortuito ou força maior, que prejudique o cumprimento da Ata.</w:t>
      </w:r>
    </w:p>
    <w:p w14:paraId="29ABA597">
      <w:pPr>
        <w:spacing w:line="288" w:lineRule="auto"/>
        <w:contextualSpacing/>
        <w:jc w:val="both"/>
        <w:rPr>
          <w:sz w:val="24"/>
          <w:szCs w:val="24"/>
        </w:rPr>
      </w:pPr>
    </w:p>
    <w:p w14:paraId="38FC4F4C">
      <w:pPr>
        <w:spacing w:line="288" w:lineRule="auto"/>
        <w:contextualSpacing/>
        <w:jc w:val="both"/>
        <w:rPr>
          <w:rFonts w:eastAsia="Arial"/>
          <w:b/>
          <w:sz w:val="24"/>
          <w:szCs w:val="24"/>
        </w:rPr>
      </w:pPr>
      <w:r>
        <w:rPr>
          <w:rFonts w:eastAsia="Arial"/>
          <w:b/>
          <w:sz w:val="24"/>
          <w:szCs w:val="24"/>
        </w:rPr>
        <w:t xml:space="preserve">CLÁUSULA DÉCIMA SEGUNDA: DOS CONTRATOS DECORRENTES DA ATA DE REGISTRO DE PREÇOS </w:t>
      </w:r>
    </w:p>
    <w:p w14:paraId="427AEE5A">
      <w:pPr>
        <w:pStyle w:val="99"/>
        <w:numPr>
          <w:ilvl w:val="1"/>
          <w:numId w:val="0"/>
        </w:numPr>
        <w:autoSpaceDE w:val="0"/>
        <w:autoSpaceDN w:val="0"/>
        <w:adjustRightInd w:val="0"/>
        <w:spacing w:before="0" w:line="288" w:lineRule="auto"/>
        <w:contextualSpacing/>
        <w:rPr>
          <w:rFonts w:ascii="Times New Roman" w:hAnsi="Times New Roman" w:cs="Times New Roman"/>
          <w:sz w:val="24"/>
          <w:szCs w:val="24"/>
        </w:rPr>
      </w:pPr>
    </w:p>
    <w:p w14:paraId="0116C113">
      <w:pPr>
        <w:pStyle w:val="99"/>
        <w:numPr>
          <w:ilvl w:val="1"/>
          <w:numId w:val="0"/>
        </w:numPr>
        <w:autoSpaceDE w:val="0"/>
        <w:autoSpaceDN w:val="0"/>
        <w:adjustRightInd w:val="0"/>
        <w:spacing w:before="0" w:after="0" w:line="288" w:lineRule="auto"/>
        <w:contextualSpacing/>
        <w:rPr>
          <w:rFonts w:ascii="Times New Roman" w:hAnsi="Times New Roman" w:cs="Times New Roman"/>
          <w:b/>
          <w:sz w:val="24"/>
          <w:szCs w:val="24"/>
          <w:highlight w:val="yellow"/>
        </w:rPr>
      </w:pPr>
      <w:r>
        <w:rPr>
          <w:rFonts w:ascii="Times New Roman" w:hAnsi="Times New Roman" w:cs="Times New Roman"/>
          <w:sz w:val="24"/>
          <w:szCs w:val="24"/>
        </w:rPr>
        <w:t xml:space="preserve">12.1 As </w:t>
      </w:r>
      <w:bookmarkStart w:id="47" w:name="_Hlk158816472"/>
      <w:r>
        <w:rPr>
          <w:rFonts w:ascii="Times New Roman" w:hAnsi="Times New Roman" w:cs="Times New Roman"/>
          <w:sz w:val="24"/>
          <w:szCs w:val="24"/>
        </w:rPr>
        <w:t xml:space="preserve">condições gerais de execução do objeto, tais como os prazos para entrega e recebimento, as obrigações da Administração e do </w:t>
      </w:r>
      <w:r>
        <w:rPr>
          <w:rFonts w:ascii="Times New Roman" w:hAnsi="Times New Roman" w:cs="Times New Roman"/>
          <w:color w:val="231F20"/>
          <w:sz w:val="24"/>
          <w:szCs w:val="24"/>
        </w:rPr>
        <w:t>fornecedor</w:t>
      </w:r>
      <w:r>
        <w:rPr>
          <w:rFonts w:ascii="Times New Roman" w:hAnsi="Times New Roman" w:cs="Times New Roman"/>
          <w:sz w:val="24"/>
          <w:szCs w:val="24"/>
        </w:rPr>
        <w:t xml:space="preserve"> registrado, penalidades e demais condições do ajuste, inclusive, o prazo de vigência dos contratos a serem celebrados, a garantia, o pagamento, o reajuste ou repactuação, encontram-se definidos no instrumento convocatório, quando houver,</w:t>
      </w:r>
      <w:r>
        <w:rPr>
          <w:rFonts w:ascii="Times New Roman" w:hAnsi="Times New Roman" w:eastAsia="Arial" w:cs="Times New Roman"/>
          <w:sz w:val="24"/>
          <w:szCs w:val="24"/>
        </w:rPr>
        <w:t xml:space="preserve"> </w:t>
      </w:r>
      <w:r>
        <w:rPr>
          <w:rFonts w:ascii="Times New Roman" w:hAnsi="Times New Roman" w:cs="Times New Roman"/>
          <w:color w:val="231F20"/>
          <w:sz w:val="24"/>
          <w:szCs w:val="24"/>
        </w:rPr>
        <w:t>no Termo de Referência e no contrato</w:t>
      </w:r>
      <w:bookmarkEnd w:id="47"/>
      <w:r>
        <w:rPr>
          <w:rFonts w:ascii="Times New Roman" w:hAnsi="Times New Roman" w:cs="Times New Roman"/>
          <w:color w:val="231F20"/>
          <w:sz w:val="24"/>
          <w:szCs w:val="24"/>
        </w:rPr>
        <w:t>.</w:t>
      </w:r>
    </w:p>
    <w:p w14:paraId="60F9A93A">
      <w:pPr>
        <w:tabs>
          <w:tab w:val="left" w:pos="1404"/>
        </w:tabs>
        <w:spacing w:line="288" w:lineRule="auto"/>
        <w:contextualSpacing/>
        <w:jc w:val="both"/>
        <w:rPr>
          <w:rFonts w:eastAsia="Arial"/>
          <w:sz w:val="24"/>
          <w:szCs w:val="24"/>
        </w:rPr>
      </w:pPr>
    </w:p>
    <w:p w14:paraId="64DE002B">
      <w:pPr>
        <w:tabs>
          <w:tab w:val="left" w:pos="1404"/>
        </w:tabs>
        <w:spacing w:line="288" w:lineRule="auto"/>
        <w:contextualSpacing/>
        <w:jc w:val="both"/>
        <w:rPr>
          <w:rFonts w:eastAsia="Arial"/>
          <w:sz w:val="24"/>
          <w:szCs w:val="24"/>
        </w:rPr>
      </w:pPr>
      <w:r>
        <w:rPr>
          <w:rFonts w:eastAsia="Arial"/>
          <w:sz w:val="24"/>
          <w:szCs w:val="24"/>
        </w:rPr>
        <w:t xml:space="preserve">12.1.1 </w:t>
      </w:r>
      <w:r>
        <w:rPr>
          <w:sz w:val="24"/>
          <w:szCs w:val="24"/>
        </w:rPr>
        <w:t>Os contratos decorrentes de registro de preços poderão ser alterados, observado o disposto no art. 124 da Lei nº 14.133/2021.</w:t>
      </w:r>
    </w:p>
    <w:p w14:paraId="33B95EB8">
      <w:pPr>
        <w:tabs>
          <w:tab w:val="left" w:pos="1404"/>
        </w:tabs>
        <w:spacing w:line="288" w:lineRule="auto"/>
        <w:contextualSpacing/>
        <w:jc w:val="both"/>
        <w:rPr>
          <w:rFonts w:eastAsia="Arial"/>
          <w:sz w:val="24"/>
          <w:szCs w:val="24"/>
        </w:rPr>
      </w:pPr>
    </w:p>
    <w:p w14:paraId="69737E4D">
      <w:pPr>
        <w:tabs>
          <w:tab w:val="left" w:pos="1404"/>
        </w:tabs>
        <w:spacing w:line="288" w:lineRule="auto"/>
        <w:contextualSpacing/>
        <w:jc w:val="both"/>
        <w:rPr>
          <w:color w:val="000000" w:themeColor="text1"/>
          <w:sz w:val="24"/>
          <w:szCs w:val="24"/>
          <w14:textFill>
            <w14:solidFill>
              <w14:schemeClr w14:val="tx1"/>
            </w14:solidFill>
          </w14:textFill>
        </w:rPr>
      </w:pPr>
      <w:r>
        <w:rPr>
          <w:rFonts w:eastAsia="Arial"/>
          <w:sz w:val="24"/>
          <w:szCs w:val="24"/>
        </w:rPr>
        <w:t xml:space="preserve">12.2 </w:t>
      </w:r>
      <w:r>
        <w:rPr>
          <w:sz w:val="24"/>
          <w:szCs w:val="24"/>
        </w:rPr>
        <w:t xml:space="preserve">A contratação realizada pelo </w:t>
      </w:r>
      <w:r>
        <w:rPr>
          <w:bCs/>
          <w:sz w:val="24"/>
          <w:szCs w:val="24"/>
        </w:rPr>
        <w:t>gerenciador e pelos participantes</w:t>
      </w:r>
      <w:r>
        <w:rPr>
          <w:b/>
          <w:sz w:val="24"/>
          <w:szCs w:val="24"/>
        </w:rPr>
        <w:t xml:space="preserve"> </w:t>
      </w:r>
      <w:r>
        <w:rPr>
          <w:sz w:val="24"/>
          <w:szCs w:val="24"/>
        </w:rPr>
        <w:t xml:space="preserve">será formalizada, dentro do prazo de validade da Ata de Registro de Preços, por intermédio de </w:t>
      </w:r>
      <w:r>
        <w:rPr>
          <w:color w:val="000000" w:themeColor="text1"/>
          <w:sz w:val="24"/>
          <w:szCs w:val="24"/>
          <w14:textFill>
            <w14:solidFill>
              <w14:schemeClr w14:val="tx1"/>
            </w14:solidFill>
          </w14:textFill>
        </w:rPr>
        <w:t>instrumento contratual A</w:t>
      </w:r>
      <w:r>
        <w:rPr>
          <w:bCs/>
          <w:color w:val="000000" w:themeColor="text1"/>
          <w:sz w:val="24"/>
          <w:szCs w:val="24"/>
          <w14:textFill>
            <w14:solidFill>
              <w14:schemeClr w14:val="tx1"/>
            </w14:solidFill>
          </w14:textFill>
        </w:rPr>
        <w:t>nexo IX do Edital – Minuta de Contrato</w:t>
      </w:r>
      <w:r>
        <w:rPr>
          <w:color w:val="000000" w:themeColor="text1"/>
          <w:sz w:val="24"/>
          <w:szCs w:val="24"/>
          <w14:textFill>
            <w14:solidFill>
              <w14:schemeClr w14:val="tx1"/>
            </w14:solidFill>
          </w14:textFill>
        </w:rPr>
        <w:t>.</w:t>
      </w:r>
    </w:p>
    <w:p w14:paraId="0EC1386D">
      <w:pPr>
        <w:tabs>
          <w:tab w:val="left" w:pos="0"/>
        </w:tabs>
        <w:spacing w:line="360" w:lineRule="auto"/>
        <w:jc w:val="both"/>
        <w:rPr>
          <w:sz w:val="24"/>
          <w:szCs w:val="24"/>
          <w:highlight w:val="yellow"/>
        </w:rPr>
      </w:pPr>
    </w:p>
    <w:p w14:paraId="259E6905">
      <w:pPr>
        <w:spacing w:line="288" w:lineRule="auto"/>
        <w:contextualSpacing/>
        <w:jc w:val="both"/>
        <w:rPr>
          <w:b/>
          <w:bCs/>
          <w:sz w:val="24"/>
          <w:szCs w:val="24"/>
        </w:rPr>
      </w:pPr>
      <w:r>
        <w:rPr>
          <w:b/>
          <w:bCs/>
          <w:sz w:val="24"/>
          <w:szCs w:val="24"/>
        </w:rPr>
        <w:t>CLÁUSULA DÉCIMA TERCEIRA: DAS INFRAÇÕES ADMINISTRATIVAS E SANÇÕES</w:t>
      </w:r>
    </w:p>
    <w:p w14:paraId="492F99DE">
      <w:pPr>
        <w:spacing w:line="288" w:lineRule="auto"/>
        <w:contextualSpacing/>
        <w:jc w:val="both"/>
        <w:rPr>
          <w:sz w:val="24"/>
          <w:szCs w:val="24"/>
        </w:rPr>
      </w:pPr>
    </w:p>
    <w:p w14:paraId="422EA434">
      <w:pPr>
        <w:pStyle w:val="99"/>
        <w:numPr>
          <w:ilvl w:val="1"/>
          <w:numId w:val="0"/>
        </w:numPr>
        <w:autoSpaceDE w:val="0"/>
        <w:autoSpaceDN w:val="0"/>
        <w:adjustRightInd w:val="0"/>
        <w:spacing w:after="0" w:line="288" w:lineRule="auto"/>
        <w:contextualSpacing/>
        <w:rPr>
          <w:rFonts w:ascii="Times New Roman" w:hAnsi="Times New Roman" w:cs="Times New Roman"/>
          <w:sz w:val="24"/>
          <w:szCs w:val="24"/>
        </w:rPr>
      </w:pPr>
      <w:r>
        <w:rPr>
          <w:rFonts w:ascii="Times New Roman" w:hAnsi="Times New Roman" w:cs="Times New Roman"/>
          <w:sz w:val="24"/>
          <w:szCs w:val="24"/>
        </w:rPr>
        <w:t>13.1 O descumprimento da Ata de Registro de Preços ensejará a aplicação das penalidades estabelecidas no instrumento convocatório, quando houver,</w:t>
      </w:r>
      <w:r>
        <w:rPr>
          <w:rFonts w:ascii="Times New Roman" w:hAnsi="Times New Roman" w:eastAsia="Arial" w:cs="Times New Roman"/>
          <w:sz w:val="24"/>
          <w:szCs w:val="24"/>
        </w:rPr>
        <w:t xml:space="preserve"> e no Termo de Referência</w:t>
      </w:r>
      <w:r>
        <w:rPr>
          <w:rFonts w:ascii="Times New Roman" w:hAnsi="Times New Roman" w:cs="Times New Roman"/>
          <w:sz w:val="24"/>
          <w:szCs w:val="24"/>
        </w:rPr>
        <w:t>.</w:t>
      </w:r>
    </w:p>
    <w:p w14:paraId="125E2E78">
      <w:pPr>
        <w:spacing w:line="288" w:lineRule="auto"/>
        <w:contextualSpacing/>
        <w:jc w:val="both"/>
        <w:rPr>
          <w:sz w:val="24"/>
          <w:szCs w:val="24"/>
        </w:rPr>
      </w:pPr>
    </w:p>
    <w:p w14:paraId="42296153">
      <w:pPr>
        <w:spacing w:line="288" w:lineRule="auto"/>
        <w:contextualSpacing/>
        <w:jc w:val="both"/>
        <w:rPr>
          <w:sz w:val="24"/>
          <w:szCs w:val="24"/>
        </w:rPr>
      </w:pPr>
      <w:r>
        <w:rPr>
          <w:sz w:val="24"/>
          <w:szCs w:val="24"/>
        </w:rPr>
        <w:t>13.2 Compete ao gerenciador aplicar, garantida a ampla defesa e o contraditório, as penalidades decorrentes do descumprimento do pactuado na Ata de Registro de Preços ou do descumprimento das obrigações contratuais, em relação às suas próprias contratações, e promover as publicações, encaminhamentos e registros cabíveis.</w:t>
      </w:r>
    </w:p>
    <w:p w14:paraId="48877BAD">
      <w:pPr>
        <w:spacing w:line="288" w:lineRule="auto"/>
        <w:contextualSpacing/>
        <w:jc w:val="both"/>
        <w:rPr>
          <w:sz w:val="24"/>
          <w:szCs w:val="24"/>
        </w:rPr>
      </w:pPr>
    </w:p>
    <w:p w14:paraId="10A0837A">
      <w:pPr>
        <w:spacing w:line="288" w:lineRule="auto"/>
        <w:contextualSpacing/>
        <w:jc w:val="both"/>
        <w:rPr>
          <w:sz w:val="24"/>
          <w:szCs w:val="24"/>
        </w:rPr>
      </w:pPr>
      <w:r>
        <w:rPr>
          <w:sz w:val="24"/>
          <w:szCs w:val="24"/>
        </w:rPr>
        <w:t xml:space="preserve">13.3 Compete aos participantes e aos </w:t>
      </w:r>
      <w:r>
        <w:rPr>
          <w:bCs/>
          <w:color w:val="231F20"/>
          <w:sz w:val="24"/>
          <w:szCs w:val="24"/>
        </w:rPr>
        <w:t xml:space="preserve">não-participantes </w:t>
      </w:r>
      <w:r>
        <w:rPr>
          <w:sz w:val="24"/>
          <w:szCs w:val="24"/>
        </w:rPr>
        <w:t>aplicar, garantida a ampla defesa e o contraditório, as penalidades decorrentes do descumprimento das obrigações contratuais, em relação às suas próprias contratações, e promover as publicações, encaminhamentos e registros cabíveis.</w:t>
      </w:r>
    </w:p>
    <w:p w14:paraId="78E09ACF">
      <w:pPr>
        <w:spacing w:line="288" w:lineRule="auto"/>
        <w:contextualSpacing/>
        <w:jc w:val="both"/>
        <w:rPr>
          <w:sz w:val="24"/>
          <w:szCs w:val="24"/>
        </w:rPr>
      </w:pPr>
    </w:p>
    <w:p w14:paraId="5B9FFFF1">
      <w:pPr>
        <w:spacing w:line="288" w:lineRule="auto"/>
        <w:contextualSpacing/>
        <w:jc w:val="both"/>
        <w:rPr>
          <w:sz w:val="24"/>
          <w:szCs w:val="24"/>
        </w:rPr>
      </w:pPr>
      <w:r>
        <w:rPr>
          <w:sz w:val="24"/>
          <w:szCs w:val="24"/>
        </w:rPr>
        <w:t>13.5 A aplicação das penalidades deverá observar o procedimento estabelecido no instrumento convocatório e contrato, quando houver,</w:t>
      </w:r>
      <w:r>
        <w:rPr>
          <w:rFonts w:eastAsia="Arial"/>
          <w:sz w:val="24"/>
          <w:szCs w:val="24"/>
        </w:rPr>
        <w:t xml:space="preserve"> e no Termo de Referência</w:t>
      </w:r>
      <w:r>
        <w:rPr>
          <w:sz w:val="24"/>
          <w:szCs w:val="24"/>
        </w:rPr>
        <w:t>.</w:t>
      </w:r>
    </w:p>
    <w:p w14:paraId="242AAD6C">
      <w:pPr>
        <w:spacing w:line="288" w:lineRule="auto"/>
        <w:contextualSpacing/>
        <w:jc w:val="both"/>
        <w:rPr>
          <w:sz w:val="24"/>
          <w:szCs w:val="24"/>
        </w:rPr>
      </w:pPr>
    </w:p>
    <w:p w14:paraId="144BDF27">
      <w:pPr>
        <w:spacing w:line="288" w:lineRule="auto"/>
        <w:contextualSpacing/>
        <w:jc w:val="both"/>
        <w:rPr>
          <w:rFonts w:eastAsia="Arial"/>
          <w:b/>
          <w:sz w:val="24"/>
          <w:szCs w:val="24"/>
        </w:rPr>
      </w:pPr>
      <w:r>
        <w:rPr>
          <w:rFonts w:eastAsia="Arial"/>
          <w:b/>
          <w:sz w:val="24"/>
          <w:szCs w:val="24"/>
        </w:rPr>
        <w:t>CLÁUSULA DÉCIMA QUARTA: DOS RECURSOS ORÇAMENTÁRIOS</w:t>
      </w:r>
    </w:p>
    <w:p w14:paraId="3DBCA99E">
      <w:pPr>
        <w:spacing w:line="288" w:lineRule="auto"/>
        <w:contextualSpacing/>
        <w:jc w:val="both"/>
        <w:rPr>
          <w:rFonts w:eastAsia="Arial"/>
          <w:sz w:val="24"/>
          <w:szCs w:val="24"/>
        </w:rPr>
      </w:pPr>
    </w:p>
    <w:p w14:paraId="09C3F30F">
      <w:pPr>
        <w:spacing w:line="288" w:lineRule="auto"/>
        <w:contextualSpacing/>
        <w:jc w:val="both"/>
        <w:rPr>
          <w:bCs/>
          <w:sz w:val="24"/>
          <w:szCs w:val="24"/>
        </w:rPr>
      </w:pPr>
      <w:r>
        <w:rPr>
          <w:rFonts w:eastAsia="Arial"/>
          <w:sz w:val="24"/>
          <w:szCs w:val="24"/>
        </w:rPr>
        <w:t xml:space="preserve">14.1 Os recursos necessários para as contratações decorrentes desta Ata de Registro de Preços correrão por conta da Natureza da Despesa e do Programa de Trabalho próprios do </w:t>
      </w:r>
      <w:r>
        <w:rPr>
          <w:bCs/>
          <w:sz w:val="24"/>
          <w:szCs w:val="24"/>
        </w:rPr>
        <w:t>gerenciador, dos participantes e dos não-participantes.</w:t>
      </w:r>
    </w:p>
    <w:p w14:paraId="3D504610">
      <w:pPr>
        <w:spacing w:line="288" w:lineRule="auto"/>
        <w:contextualSpacing/>
        <w:jc w:val="both"/>
        <w:rPr>
          <w:b/>
          <w:sz w:val="24"/>
          <w:szCs w:val="24"/>
          <w:highlight w:val="yellow"/>
        </w:rPr>
      </w:pPr>
    </w:p>
    <w:p w14:paraId="4B9CB5D1">
      <w:pPr>
        <w:spacing w:line="288" w:lineRule="auto"/>
        <w:contextualSpacing/>
        <w:jc w:val="both"/>
        <w:rPr>
          <w:b/>
          <w:sz w:val="24"/>
          <w:szCs w:val="24"/>
        </w:rPr>
      </w:pPr>
      <w:r>
        <w:rPr>
          <w:b/>
          <w:sz w:val="24"/>
          <w:szCs w:val="24"/>
        </w:rPr>
        <w:t>CLÁUSULA DÉCIMA QUINTA:</w:t>
      </w:r>
      <w:r>
        <w:rPr>
          <w:rFonts w:eastAsia="Arial"/>
          <w:b/>
          <w:sz w:val="24"/>
          <w:szCs w:val="24"/>
        </w:rPr>
        <w:t xml:space="preserve"> </w:t>
      </w:r>
      <w:r>
        <w:rPr>
          <w:b/>
          <w:sz w:val="24"/>
          <w:szCs w:val="24"/>
        </w:rPr>
        <w:t>DO FORO DE ELEIÇÃO</w:t>
      </w:r>
    </w:p>
    <w:p w14:paraId="55F8033E">
      <w:pPr>
        <w:spacing w:line="288" w:lineRule="auto"/>
        <w:contextualSpacing/>
        <w:jc w:val="both"/>
        <w:rPr>
          <w:sz w:val="24"/>
          <w:szCs w:val="24"/>
        </w:rPr>
      </w:pPr>
    </w:p>
    <w:p w14:paraId="26A14614">
      <w:pPr>
        <w:spacing w:line="288" w:lineRule="auto"/>
        <w:contextualSpacing/>
        <w:jc w:val="both"/>
        <w:rPr>
          <w:sz w:val="24"/>
          <w:szCs w:val="24"/>
        </w:rPr>
      </w:pPr>
      <w:r>
        <w:rPr>
          <w:sz w:val="24"/>
          <w:szCs w:val="24"/>
        </w:rPr>
        <w:t xml:space="preserve">15.1 Fica eleito o Foro da Comarca de Valença RJ para dirimir qualquer litígio decorrente da presente Ata de Registro de Preços que não possa ser resolvido por meio amigável, com expressa renúncia a qualquer outro, por mais privilegiado que seja. </w:t>
      </w:r>
    </w:p>
    <w:p w14:paraId="140A3DF7">
      <w:pPr>
        <w:widowControl w:val="0"/>
        <w:autoSpaceDE w:val="0"/>
        <w:autoSpaceDN w:val="0"/>
        <w:adjustRightInd w:val="0"/>
        <w:spacing w:before="120" w:after="120" w:line="288" w:lineRule="auto"/>
        <w:contextualSpacing/>
        <w:jc w:val="both"/>
        <w:rPr>
          <w:sz w:val="24"/>
          <w:szCs w:val="24"/>
        </w:rPr>
      </w:pPr>
    </w:p>
    <w:p w14:paraId="67F7F842">
      <w:pPr>
        <w:widowControl w:val="0"/>
        <w:autoSpaceDE w:val="0"/>
        <w:autoSpaceDN w:val="0"/>
        <w:adjustRightInd w:val="0"/>
        <w:spacing w:before="120" w:after="120" w:line="288" w:lineRule="auto"/>
        <w:contextualSpacing/>
        <w:jc w:val="both"/>
        <w:rPr>
          <w:i/>
          <w:iCs/>
          <w:color w:val="FF0000"/>
          <w:sz w:val="24"/>
          <w:szCs w:val="24"/>
        </w:rPr>
      </w:pPr>
      <w:r>
        <w:rPr>
          <w:sz w:val="24"/>
          <w:szCs w:val="24"/>
        </w:rPr>
        <w:t xml:space="preserve">Para firmeza e validade do pactuado, a presente Ata foi lavrada em 02 (duas) vias de igual teor, que, depois de lida e achada em ordem, vai assinada pelas partes e encaminhada cópia aos demais órgãos participantes. </w:t>
      </w:r>
    </w:p>
    <w:p w14:paraId="2EFBD96A">
      <w:pPr>
        <w:spacing w:line="288" w:lineRule="auto"/>
        <w:contextualSpacing/>
        <w:jc w:val="both"/>
        <w:rPr>
          <w:sz w:val="24"/>
          <w:szCs w:val="24"/>
        </w:rPr>
      </w:pPr>
    </w:p>
    <w:p w14:paraId="0ED07E65">
      <w:pPr>
        <w:spacing w:line="288" w:lineRule="auto"/>
        <w:contextualSpacing/>
        <w:jc w:val="both"/>
        <w:rPr>
          <w:sz w:val="24"/>
          <w:szCs w:val="24"/>
        </w:rPr>
      </w:pPr>
    </w:p>
    <w:p w14:paraId="6F8D95B9">
      <w:pPr>
        <w:pStyle w:val="99"/>
        <w:spacing w:before="0" w:after="0" w:line="288" w:lineRule="auto"/>
        <w:ind w:left="0" w:firstLine="567"/>
        <w:contextualSpacing/>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Valença, xxx de xxx de 2026.</w:t>
      </w:r>
    </w:p>
    <w:p w14:paraId="25B5BA6B">
      <w:pPr>
        <w:pStyle w:val="99"/>
        <w:spacing w:before="0" w:after="0" w:line="288" w:lineRule="auto"/>
        <w:ind w:left="0" w:firstLine="567"/>
        <w:contextualSpacing/>
        <w:jc w:val="center"/>
        <w:rPr>
          <w:rFonts w:ascii="Times New Roman" w:hAnsi="Times New Roman" w:cs="Times New Roman"/>
          <w:color w:val="FF0000"/>
          <w:sz w:val="24"/>
          <w:szCs w:val="24"/>
        </w:rPr>
      </w:pPr>
    </w:p>
    <w:p w14:paraId="47BD570A">
      <w:pPr>
        <w:pStyle w:val="99"/>
        <w:spacing w:before="0" w:after="0" w:line="288" w:lineRule="auto"/>
        <w:ind w:left="0" w:firstLine="567"/>
        <w:contextualSpacing/>
        <w:jc w:val="center"/>
        <w:rPr>
          <w:rFonts w:ascii="Times New Roman" w:hAnsi="Times New Roman" w:cs="Times New Roman"/>
          <w:color w:val="auto"/>
          <w:sz w:val="24"/>
          <w:szCs w:val="24"/>
        </w:rPr>
      </w:pPr>
    </w:p>
    <w:p w14:paraId="45C0EF01">
      <w:pPr>
        <w:spacing w:line="288" w:lineRule="auto"/>
        <w:ind w:firstLine="567"/>
        <w:contextualSpacing/>
        <w:jc w:val="center"/>
        <w:rPr>
          <w:bCs/>
          <w:sz w:val="24"/>
          <w:szCs w:val="24"/>
        </w:rPr>
      </w:pPr>
      <w:r>
        <w:rPr>
          <w:bCs/>
          <w:sz w:val="24"/>
          <w:szCs w:val="24"/>
        </w:rPr>
        <w:t>_________________________</w:t>
      </w:r>
    </w:p>
    <w:p w14:paraId="159DC113">
      <w:pPr>
        <w:spacing w:line="288" w:lineRule="auto"/>
        <w:ind w:firstLine="567"/>
        <w:contextualSpacing/>
        <w:jc w:val="center"/>
        <w:rPr>
          <w:sz w:val="24"/>
          <w:szCs w:val="24"/>
        </w:rPr>
      </w:pPr>
      <w:r>
        <w:rPr>
          <w:sz w:val="24"/>
          <w:szCs w:val="24"/>
        </w:rPr>
        <w:t>Rafael de Oliveira Tavares</w:t>
      </w:r>
    </w:p>
    <w:p w14:paraId="6004A2DC">
      <w:pPr>
        <w:spacing w:line="288" w:lineRule="auto"/>
        <w:ind w:firstLine="567"/>
        <w:contextualSpacing/>
        <w:jc w:val="center"/>
        <w:rPr>
          <w:bCs/>
          <w:sz w:val="24"/>
          <w:szCs w:val="24"/>
        </w:rPr>
      </w:pPr>
      <w:r>
        <w:rPr>
          <w:sz w:val="24"/>
          <w:szCs w:val="24"/>
        </w:rPr>
        <w:t>Secretária Municipal de Saúde</w:t>
      </w:r>
    </w:p>
    <w:p w14:paraId="2CE8AB2A">
      <w:pPr>
        <w:spacing w:line="288" w:lineRule="auto"/>
        <w:ind w:firstLine="567"/>
        <w:contextualSpacing/>
        <w:jc w:val="center"/>
        <w:rPr>
          <w:bCs/>
          <w:sz w:val="24"/>
          <w:szCs w:val="24"/>
        </w:rPr>
      </w:pPr>
      <w:r>
        <w:rPr>
          <w:bCs/>
          <w:sz w:val="24"/>
          <w:szCs w:val="24"/>
        </w:rPr>
        <w:t>MUNICÍPIO DE VALENÇA</w:t>
      </w:r>
    </w:p>
    <w:p w14:paraId="74FB2A8B">
      <w:pPr>
        <w:spacing w:line="288" w:lineRule="auto"/>
        <w:ind w:firstLine="567"/>
        <w:contextualSpacing/>
        <w:jc w:val="center"/>
        <w:rPr>
          <w:bCs/>
          <w:sz w:val="24"/>
          <w:szCs w:val="24"/>
        </w:rPr>
      </w:pPr>
    </w:p>
    <w:p w14:paraId="629C10DA">
      <w:pPr>
        <w:spacing w:line="288" w:lineRule="auto"/>
        <w:ind w:firstLine="567"/>
        <w:contextualSpacing/>
        <w:jc w:val="center"/>
        <w:rPr>
          <w:sz w:val="24"/>
          <w:szCs w:val="24"/>
        </w:rPr>
      </w:pPr>
      <w:r>
        <w:rPr>
          <w:sz w:val="24"/>
          <w:szCs w:val="24"/>
        </w:rPr>
        <w:t>_________________________</w:t>
      </w:r>
    </w:p>
    <w:p w14:paraId="183F6CDD">
      <w:pPr>
        <w:spacing w:line="288" w:lineRule="auto"/>
        <w:ind w:firstLine="567"/>
        <w:contextualSpacing/>
        <w:jc w:val="center"/>
        <w:rPr>
          <w:sz w:val="24"/>
          <w:szCs w:val="24"/>
        </w:rPr>
      </w:pPr>
      <w:r>
        <w:rPr>
          <w:bCs/>
          <w:sz w:val="24"/>
          <w:szCs w:val="24"/>
        </w:rPr>
        <w:t>Representante</w:t>
      </w:r>
      <w:r>
        <w:rPr>
          <w:sz w:val="24"/>
          <w:szCs w:val="24"/>
        </w:rPr>
        <w:t xml:space="preserve"> legal do CONTRATADO</w:t>
      </w:r>
    </w:p>
    <w:p w14:paraId="544022D1">
      <w:pPr>
        <w:spacing w:line="288" w:lineRule="auto"/>
        <w:contextualSpacing/>
        <w:jc w:val="both"/>
        <w:rPr>
          <w:color w:val="FF0000"/>
          <w:sz w:val="24"/>
          <w:szCs w:val="24"/>
        </w:rPr>
      </w:pPr>
    </w:p>
    <w:p w14:paraId="3B847F2C">
      <w:pPr>
        <w:spacing w:line="288" w:lineRule="auto"/>
        <w:contextualSpacing/>
        <w:jc w:val="both"/>
        <w:rPr>
          <w:sz w:val="24"/>
          <w:szCs w:val="24"/>
        </w:rPr>
      </w:pPr>
      <w:r>
        <w:rPr>
          <w:sz w:val="24"/>
          <w:szCs w:val="24"/>
        </w:rPr>
        <w:t>TESTEMUNHAS:</w:t>
      </w:r>
    </w:p>
    <w:p w14:paraId="650F8D41">
      <w:pPr>
        <w:spacing w:line="288" w:lineRule="auto"/>
        <w:contextualSpacing/>
        <w:rPr>
          <w:sz w:val="24"/>
          <w:szCs w:val="24"/>
        </w:rPr>
      </w:pPr>
      <w:r>
        <w:rPr>
          <w:sz w:val="24"/>
          <w:szCs w:val="24"/>
        </w:rPr>
        <w:t>1-</w:t>
      </w:r>
    </w:p>
    <w:p w14:paraId="20AAE163">
      <w:pPr>
        <w:spacing w:line="288" w:lineRule="auto"/>
        <w:contextualSpacing/>
        <w:rPr>
          <w:sz w:val="24"/>
          <w:szCs w:val="24"/>
        </w:rPr>
      </w:pPr>
      <w:r>
        <w:rPr>
          <w:sz w:val="24"/>
          <w:szCs w:val="24"/>
        </w:rPr>
        <w:t xml:space="preserve">2- </w:t>
      </w:r>
    </w:p>
    <w:p w14:paraId="56956695">
      <w:pPr>
        <w:spacing w:line="360" w:lineRule="auto"/>
        <w:jc w:val="both"/>
        <w:rPr>
          <w:b/>
          <w:sz w:val="24"/>
          <w:szCs w:val="24"/>
        </w:rPr>
      </w:pPr>
    </w:p>
    <w:p w14:paraId="3C8D573E">
      <w:pPr>
        <w:spacing w:line="360" w:lineRule="auto"/>
        <w:jc w:val="both"/>
        <w:rPr>
          <w:b/>
          <w:sz w:val="24"/>
          <w:szCs w:val="24"/>
        </w:rPr>
      </w:pPr>
      <w:r>
        <w:rPr>
          <w:b/>
          <w:sz w:val="24"/>
          <w:szCs w:val="24"/>
        </w:rPr>
        <w:t xml:space="preserve">Anexos: </w:t>
      </w:r>
    </w:p>
    <w:p w14:paraId="1558BBB2">
      <w:pPr>
        <w:spacing w:line="360" w:lineRule="auto"/>
        <w:jc w:val="both"/>
        <w:rPr>
          <w:sz w:val="24"/>
          <w:szCs w:val="24"/>
        </w:rPr>
      </w:pPr>
      <w:r>
        <w:rPr>
          <w:sz w:val="24"/>
          <w:szCs w:val="24"/>
        </w:rPr>
        <w:t>Anexo I – Consolidação das Informações da Ata de Registro de Preços</w:t>
      </w:r>
    </w:p>
    <w:p w14:paraId="08254ACC">
      <w:pPr>
        <w:spacing w:line="360" w:lineRule="auto"/>
        <w:jc w:val="both"/>
        <w:rPr>
          <w:sz w:val="24"/>
          <w:szCs w:val="24"/>
        </w:rPr>
      </w:pPr>
      <w:r>
        <w:rPr>
          <w:sz w:val="24"/>
          <w:szCs w:val="24"/>
        </w:rPr>
        <w:t xml:space="preserve">Anexo II – Cadastro de Reserva </w:t>
      </w:r>
    </w:p>
    <w:p w14:paraId="19B33141">
      <w:pPr>
        <w:spacing w:line="360" w:lineRule="auto"/>
        <w:jc w:val="both"/>
        <w:rPr>
          <w:b/>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Anexo III – Relação de órgãos/entidades participantes</w:t>
      </w:r>
    </w:p>
    <w:p w14:paraId="0A75467C">
      <w:pPr>
        <w:spacing w:line="288" w:lineRule="auto"/>
        <w:contextualSpacing/>
        <w:jc w:val="center"/>
        <w:rPr>
          <w:rFonts w:eastAsia="Calibri"/>
          <w:b/>
          <w:bCs/>
          <w:sz w:val="24"/>
          <w:szCs w:val="24"/>
          <w:lang w:eastAsia="en-US"/>
        </w:rPr>
      </w:pPr>
    </w:p>
    <w:p w14:paraId="501DBB8B">
      <w:pPr>
        <w:jc w:val="center"/>
        <w:rPr>
          <w:b/>
          <w:sz w:val="24"/>
          <w:szCs w:val="24"/>
          <w:u w:val="single"/>
        </w:rPr>
      </w:pPr>
      <w:r>
        <w:rPr>
          <w:b/>
          <w:sz w:val="24"/>
          <w:szCs w:val="24"/>
          <w:u w:val="single"/>
        </w:rPr>
        <w:t>Anexo I – Consolidação das Informações da Ata de Registro de Preços</w:t>
      </w:r>
    </w:p>
    <w:p w14:paraId="1FB09BB0">
      <w:pPr>
        <w:jc w:val="center"/>
        <w:rPr>
          <w:b/>
          <w:sz w:val="24"/>
          <w:szCs w:val="24"/>
          <w:u w:val="single"/>
        </w:rPr>
      </w:pPr>
    </w:p>
    <w:p w14:paraId="555180C2">
      <w:pPr>
        <w:jc w:val="center"/>
        <w:rPr>
          <w:rFonts w:eastAsia="Arial"/>
          <w:b/>
          <w:sz w:val="24"/>
          <w:szCs w:val="24"/>
        </w:rPr>
      </w:pPr>
    </w:p>
    <w:p w14:paraId="32C579CE">
      <w:pPr>
        <w:ind w:hanging="426"/>
        <w:rPr>
          <w:rFonts w:eastAsia="Arial"/>
          <w:b/>
          <w:sz w:val="24"/>
          <w:szCs w:val="24"/>
        </w:rPr>
      </w:pPr>
      <w:r>
        <w:rPr>
          <w:rFonts w:eastAsia="Arial"/>
          <w:b/>
          <w:sz w:val="24"/>
          <w:szCs w:val="24"/>
        </w:rPr>
        <w:t>ATA DE REGISTRO DE PREÇOS nº ___/___</w:t>
      </w:r>
    </w:p>
    <w:p w14:paraId="5CDE99D1">
      <w:pPr>
        <w:ind w:hanging="426"/>
        <w:rPr>
          <w:rFonts w:eastAsia="Arial"/>
          <w:b/>
          <w:sz w:val="24"/>
          <w:szCs w:val="24"/>
        </w:rPr>
      </w:pPr>
      <w:r>
        <w:rPr>
          <w:rFonts w:eastAsia="Arial"/>
          <w:b/>
          <w:sz w:val="24"/>
          <w:szCs w:val="24"/>
        </w:rPr>
        <w:t>ÓRGÃO GERENCIADOR:</w:t>
      </w:r>
    </w:p>
    <w:p w14:paraId="62BFD9CA">
      <w:pPr>
        <w:ind w:hanging="426"/>
        <w:rPr>
          <w:rFonts w:eastAsia="Arial"/>
          <w:b/>
          <w:sz w:val="24"/>
          <w:szCs w:val="24"/>
        </w:rPr>
      </w:pPr>
      <w:r>
        <w:rPr>
          <w:rFonts w:eastAsia="Arial"/>
          <w:b/>
          <w:sz w:val="24"/>
          <w:szCs w:val="24"/>
        </w:rPr>
        <w:t>OBJETO:</w:t>
      </w:r>
    </w:p>
    <w:p w14:paraId="751305AD">
      <w:pPr>
        <w:ind w:hanging="426"/>
        <w:rPr>
          <w:rFonts w:eastAsia="Arial"/>
          <w:b/>
          <w:sz w:val="24"/>
          <w:szCs w:val="24"/>
        </w:rPr>
      </w:pPr>
      <w:r>
        <w:rPr>
          <w:rFonts w:eastAsia="Arial"/>
          <w:b/>
          <w:sz w:val="24"/>
          <w:szCs w:val="24"/>
        </w:rPr>
        <w:t xml:space="preserve">FORNECEDOR: </w:t>
      </w:r>
    </w:p>
    <w:p w14:paraId="75CDC23E">
      <w:pPr>
        <w:ind w:hanging="426"/>
        <w:rPr>
          <w:rFonts w:eastAsia="Arial"/>
          <w:b/>
          <w:sz w:val="24"/>
          <w:szCs w:val="24"/>
        </w:rPr>
      </w:pPr>
    </w:p>
    <w:p w14:paraId="71A1C339">
      <w:pPr>
        <w:jc w:val="center"/>
        <w:rPr>
          <w:rFonts w:eastAsia="Arial"/>
          <w:b/>
          <w:sz w:val="24"/>
          <w:szCs w:val="24"/>
        </w:rPr>
      </w:pPr>
    </w:p>
    <w:tbl>
      <w:tblPr>
        <w:tblStyle w:val="10"/>
        <w:tblW w:w="96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851"/>
        <w:gridCol w:w="1135"/>
        <w:gridCol w:w="2126"/>
        <w:gridCol w:w="1701"/>
        <w:gridCol w:w="1560"/>
        <w:gridCol w:w="1417"/>
      </w:tblGrid>
      <w:tr w14:paraId="49A8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0" w:type="dxa"/>
            <w:shd w:val="clear" w:color="auto" w:fill="auto"/>
          </w:tcPr>
          <w:p w14:paraId="65CB67E7">
            <w:pPr>
              <w:jc w:val="center"/>
              <w:rPr>
                <w:rFonts w:eastAsia="Arial"/>
                <w:b/>
                <w:color w:val="FF0000"/>
                <w:sz w:val="24"/>
                <w:szCs w:val="24"/>
              </w:rPr>
            </w:pPr>
          </w:p>
        </w:tc>
        <w:tc>
          <w:tcPr>
            <w:tcW w:w="851" w:type="dxa"/>
            <w:shd w:val="clear" w:color="auto" w:fill="auto"/>
          </w:tcPr>
          <w:p w14:paraId="475DEF0C">
            <w:pPr>
              <w:jc w:val="center"/>
              <w:rPr>
                <w:rFonts w:eastAsia="Arial"/>
                <w:b/>
                <w:sz w:val="24"/>
                <w:szCs w:val="24"/>
              </w:rPr>
            </w:pPr>
            <w:r>
              <w:rPr>
                <w:rFonts w:eastAsia="Arial"/>
                <w:b/>
                <w:sz w:val="24"/>
                <w:szCs w:val="24"/>
              </w:rPr>
              <w:t>ITEM</w:t>
            </w:r>
          </w:p>
          <w:p w14:paraId="79A868F0">
            <w:pPr>
              <w:jc w:val="center"/>
              <w:rPr>
                <w:rFonts w:eastAsia="Arial"/>
                <w:b/>
                <w:sz w:val="24"/>
                <w:szCs w:val="24"/>
              </w:rPr>
            </w:pPr>
          </w:p>
        </w:tc>
        <w:tc>
          <w:tcPr>
            <w:tcW w:w="1134" w:type="dxa"/>
            <w:shd w:val="clear" w:color="auto" w:fill="auto"/>
          </w:tcPr>
          <w:p w14:paraId="4CCEA743">
            <w:pPr>
              <w:jc w:val="center"/>
              <w:rPr>
                <w:rFonts w:eastAsia="Arial"/>
                <w:b/>
                <w:sz w:val="24"/>
                <w:szCs w:val="24"/>
              </w:rPr>
            </w:pPr>
            <w:r>
              <w:rPr>
                <w:rFonts w:eastAsia="Arial"/>
                <w:b/>
                <w:sz w:val="24"/>
                <w:szCs w:val="24"/>
              </w:rPr>
              <w:t>CÓD.</w:t>
            </w:r>
          </w:p>
          <w:p w14:paraId="2EF39AB8">
            <w:pPr>
              <w:jc w:val="center"/>
              <w:rPr>
                <w:rFonts w:eastAsia="Arial"/>
                <w:b/>
                <w:sz w:val="24"/>
                <w:szCs w:val="24"/>
              </w:rPr>
            </w:pPr>
            <w:r>
              <w:rPr>
                <w:rFonts w:eastAsia="Arial"/>
                <w:b/>
                <w:sz w:val="24"/>
                <w:szCs w:val="24"/>
              </w:rPr>
              <w:t>ID SIGA</w:t>
            </w:r>
          </w:p>
        </w:tc>
        <w:tc>
          <w:tcPr>
            <w:tcW w:w="2126" w:type="dxa"/>
            <w:shd w:val="clear" w:color="auto" w:fill="auto"/>
          </w:tcPr>
          <w:p w14:paraId="52835577">
            <w:pPr>
              <w:jc w:val="center"/>
              <w:rPr>
                <w:rFonts w:eastAsia="Arial"/>
                <w:b/>
                <w:sz w:val="24"/>
                <w:szCs w:val="24"/>
              </w:rPr>
            </w:pPr>
            <w:r>
              <w:rPr>
                <w:rFonts w:eastAsia="Arial"/>
                <w:b/>
                <w:sz w:val="24"/>
                <w:szCs w:val="24"/>
              </w:rPr>
              <w:t>DESCRIÇÃO/</w:t>
            </w:r>
          </w:p>
          <w:p w14:paraId="1372A128">
            <w:pPr>
              <w:jc w:val="center"/>
              <w:rPr>
                <w:rFonts w:eastAsia="Arial"/>
                <w:b/>
                <w:sz w:val="24"/>
                <w:szCs w:val="24"/>
              </w:rPr>
            </w:pPr>
            <w:r>
              <w:rPr>
                <w:rFonts w:eastAsia="Arial"/>
                <w:b/>
                <w:sz w:val="24"/>
                <w:szCs w:val="24"/>
              </w:rPr>
              <w:t>ESPECIFICAÇÃO</w:t>
            </w:r>
          </w:p>
        </w:tc>
        <w:tc>
          <w:tcPr>
            <w:tcW w:w="1701" w:type="dxa"/>
            <w:shd w:val="clear" w:color="auto" w:fill="auto"/>
          </w:tcPr>
          <w:p w14:paraId="2F9D36BA">
            <w:pPr>
              <w:spacing w:line="288" w:lineRule="auto"/>
              <w:jc w:val="center"/>
              <w:rPr>
                <w:rFonts w:eastAsia="Arial"/>
                <w:b/>
                <w:sz w:val="24"/>
                <w:szCs w:val="24"/>
              </w:rPr>
            </w:pPr>
            <w:r>
              <w:rPr>
                <w:rFonts w:eastAsia="Arial"/>
                <w:b/>
                <w:sz w:val="24"/>
                <w:szCs w:val="24"/>
              </w:rPr>
              <w:t>QUANTIDADE TOTAL REGISTRADA</w:t>
            </w:r>
          </w:p>
          <w:p w14:paraId="3D494414">
            <w:pPr>
              <w:jc w:val="center"/>
              <w:rPr>
                <w:rFonts w:eastAsia="Arial"/>
                <w:b/>
                <w:sz w:val="24"/>
                <w:szCs w:val="24"/>
              </w:rPr>
            </w:pPr>
          </w:p>
        </w:tc>
        <w:tc>
          <w:tcPr>
            <w:tcW w:w="1560" w:type="dxa"/>
            <w:shd w:val="clear" w:color="auto" w:fill="auto"/>
          </w:tcPr>
          <w:p w14:paraId="3EC58A2F">
            <w:pPr>
              <w:spacing w:line="288" w:lineRule="auto"/>
              <w:jc w:val="center"/>
              <w:rPr>
                <w:rFonts w:eastAsia="Arial"/>
                <w:b/>
                <w:sz w:val="24"/>
                <w:szCs w:val="24"/>
              </w:rPr>
            </w:pPr>
            <w:r>
              <w:rPr>
                <w:rFonts w:eastAsia="Arial"/>
                <w:b/>
                <w:sz w:val="24"/>
                <w:szCs w:val="24"/>
              </w:rPr>
              <w:t>UNIDADE DE MEDIDA</w:t>
            </w:r>
          </w:p>
          <w:p w14:paraId="3B52FB86">
            <w:pPr>
              <w:spacing w:line="288" w:lineRule="auto"/>
              <w:jc w:val="center"/>
              <w:rPr>
                <w:rFonts w:eastAsia="Arial"/>
                <w:b/>
                <w:color w:val="FF0000"/>
                <w:sz w:val="24"/>
                <w:szCs w:val="24"/>
              </w:rPr>
            </w:pPr>
            <w:r>
              <w:rPr>
                <w:rFonts w:eastAsia="Arial"/>
                <w:b/>
                <w:color w:val="FF0000"/>
                <w:sz w:val="24"/>
                <w:szCs w:val="24"/>
              </w:rPr>
              <w:t>(ex.: m</w:t>
            </w:r>
            <w:r>
              <w:rPr>
                <w:rFonts w:eastAsia="Arial"/>
                <w:b/>
                <w:color w:val="FF0000"/>
                <w:sz w:val="24"/>
                <w:szCs w:val="24"/>
                <w:vertAlign w:val="superscript"/>
              </w:rPr>
              <w:t>2</w:t>
            </w:r>
            <w:r>
              <w:rPr>
                <w:rFonts w:eastAsia="Arial"/>
                <w:b/>
                <w:color w:val="FF0000"/>
                <w:sz w:val="24"/>
                <w:szCs w:val="24"/>
              </w:rPr>
              <w:t>, item, litros, kg, pacote etc.)</w:t>
            </w:r>
          </w:p>
          <w:p w14:paraId="79882456">
            <w:pPr>
              <w:jc w:val="center"/>
              <w:rPr>
                <w:rFonts w:eastAsia="Arial"/>
                <w:b/>
                <w:sz w:val="24"/>
                <w:szCs w:val="24"/>
              </w:rPr>
            </w:pPr>
          </w:p>
        </w:tc>
        <w:tc>
          <w:tcPr>
            <w:tcW w:w="1417" w:type="dxa"/>
            <w:shd w:val="clear" w:color="auto" w:fill="auto"/>
          </w:tcPr>
          <w:p w14:paraId="76E6DD37">
            <w:pPr>
              <w:spacing w:line="288" w:lineRule="auto"/>
              <w:jc w:val="center"/>
              <w:rPr>
                <w:rFonts w:eastAsia="Arial"/>
                <w:b/>
                <w:sz w:val="24"/>
                <w:szCs w:val="24"/>
              </w:rPr>
            </w:pPr>
            <w:r>
              <w:rPr>
                <w:rFonts w:eastAsia="Arial"/>
                <w:b/>
                <w:sz w:val="24"/>
                <w:szCs w:val="24"/>
              </w:rPr>
              <w:t>PREÇO UNITÁRIO</w:t>
            </w:r>
          </w:p>
          <w:p w14:paraId="11C18F6E">
            <w:pPr>
              <w:jc w:val="center"/>
              <w:rPr>
                <w:rFonts w:eastAsia="Arial"/>
                <w:b/>
                <w:sz w:val="24"/>
                <w:szCs w:val="24"/>
              </w:rPr>
            </w:pPr>
          </w:p>
        </w:tc>
      </w:tr>
      <w:tr w14:paraId="6BF50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shd w:val="clear" w:color="auto" w:fill="auto"/>
          </w:tcPr>
          <w:p w14:paraId="50EAC39E">
            <w:pPr>
              <w:jc w:val="center"/>
              <w:rPr>
                <w:rFonts w:eastAsia="Arial"/>
                <w:b/>
                <w:sz w:val="24"/>
                <w:szCs w:val="24"/>
              </w:rPr>
            </w:pPr>
          </w:p>
        </w:tc>
        <w:tc>
          <w:tcPr>
            <w:tcW w:w="851" w:type="dxa"/>
            <w:shd w:val="clear" w:color="auto" w:fill="auto"/>
          </w:tcPr>
          <w:p w14:paraId="595F77B6">
            <w:pPr>
              <w:jc w:val="center"/>
              <w:rPr>
                <w:rFonts w:eastAsia="Arial"/>
                <w:b/>
                <w:sz w:val="24"/>
                <w:szCs w:val="24"/>
              </w:rPr>
            </w:pPr>
          </w:p>
        </w:tc>
        <w:tc>
          <w:tcPr>
            <w:tcW w:w="1135" w:type="dxa"/>
            <w:shd w:val="clear" w:color="auto" w:fill="auto"/>
          </w:tcPr>
          <w:p w14:paraId="3E806FDD">
            <w:pPr>
              <w:jc w:val="center"/>
              <w:rPr>
                <w:rFonts w:eastAsia="Arial"/>
                <w:b/>
                <w:sz w:val="24"/>
                <w:szCs w:val="24"/>
              </w:rPr>
            </w:pPr>
          </w:p>
        </w:tc>
        <w:tc>
          <w:tcPr>
            <w:tcW w:w="2125" w:type="dxa"/>
            <w:shd w:val="clear" w:color="auto" w:fill="auto"/>
          </w:tcPr>
          <w:p w14:paraId="60503698">
            <w:pPr>
              <w:jc w:val="center"/>
              <w:rPr>
                <w:rFonts w:eastAsia="Arial"/>
                <w:b/>
                <w:sz w:val="24"/>
                <w:szCs w:val="24"/>
              </w:rPr>
            </w:pPr>
          </w:p>
        </w:tc>
        <w:tc>
          <w:tcPr>
            <w:tcW w:w="1701" w:type="dxa"/>
            <w:shd w:val="clear" w:color="auto" w:fill="auto"/>
          </w:tcPr>
          <w:p w14:paraId="004B3FBD">
            <w:pPr>
              <w:spacing w:line="288" w:lineRule="auto"/>
              <w:jc w:val="center"/>
              <w:rPr>
                <w:rFonts w:eastAsia="Arial"/>
                <w:b/>
                <w:sz w:val="24"/>
                <w:szCs w:val="24"/>
              </w:rPr>
            </w:pPr>
          </w:p>
        </w:tc>
        <w:tc>
          <w:tcPr>
            <w:tcW w:w="1560" w:type="dxa"/>
            <w:shd w:val="clear" w:color="auto" w:fill="auto"/>
          </w:tcPr>
          <w:p w14:paraId="61D8D2F5">
            <w:pPr>
              <w:spacing w:line="288" w:lineRule="auto"/>
              <w:jc w:val="center"/>
              <w:rPr>
                <w:rFonts w:eastAsia="Arial"/>
                <w:b/>
                <w:sz w:val="24"/>
                <w:szCs w:val="24"/>
              </w:rPr>
            </w:pPr>
          </w:p>
        </w:tc>
        <w:tc>
          <w:tcPr>
            <w:tcW w:w="1417" w:type="dxa"/>
            <w:shd w:val="clear" w:color="auto" w:fill="auto"/>
          </w:tcPr>
          <w:p w14:paraId="5621DBAB">
            <w:pPr>
              <w:spacing w:line="288" w:lineRule="auto"/>
              <w:jc w:val="center"/>
              <w:rPr>
                <w:rFonts w:eastAsia="Arial"/>
                <w:b/>
                <w:sz w:val="24"/>
                <w:szCs w:val="24"/>
              </w:rPr>
            </w:pPr>
          </w:p>
        </w:tc>
      </w:tr>
      <w:tr w14:paraId="47FF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shd w:val="clear" w:color="auto" w:fill="auto"/>
          </w:tcPr>
          <w:p w14:paraId="33514C6F">
            <w:pPr>
              <w:jc w:val="center"/>
              <w:rPr>
                <w:rFonts w:eastAsia="Arial"/>
                <w:b/>
                <w:sz w:val="24"/>
                <w:szCs w:val="24"/>
              </w:rPr>
            </w:pPr>
          </w:p>
        </w:tc>
        <w:tc>
          <w:tcPr>
            <w:tcW w:w="851" w:type="dxa"/>
            <w:shd w:val="clear" w:color="auto" w:fill="auto"/>
          </w:tcPr>
          <w:p w14:paraId="50EE1F0E">
            <w:pPr>
              <w:jc w:val="center"/>
              <w:rPr>
                <w:rFonts w:eastAsia="Arial"/>
                <w:b/>
                <w:sz w:val="24"/>
                <w:szCs w:val="24"/>
              </w:rPr>
            </w:pPr>
          </w:p>
        </w:tc>
        <w:tc>
          <w:tcPr>
            <w:tcW w:w="1135" w:type="dxa"/>
            <w:shd w:val="clear" w:color="auto" w:fill="auto"/>
          </w:tcPr>
          <w:p w14:paraId="5A2A4908">
            <w:pPr>
              <w:jc w:val="center"/>
              <w:rPr>
                <w:rFonts w:eastAsia="Arial"/>
                <w:b/>
                <w:sz w:val="24"/>
                <w:szCs w:val="24"/>
              </w:rPr>
            </w:pPr>
          </w:p>
        </w:tc>
        <w:tc>
          <w:tcPr>
            <w:tcW w:w="2125" w:type="dxa"/>
            <w:shd w:val="clear" w:color="auto" w:fill="auto"/>
          </w:tcPr>
          <w:p w14:paraId="234095CB">
            <w:pPr>
              <w:jc w:val="center"/>
              <w:rPr>
                <w:rFonts w:eastAsia="Arial"/>
                <w:b/>
                <w:sz w:val="24"/>
                <w:szCs w:val="24"/>
              </w:rPr>
            </w:pPr>
          </w:p>
        </w:tc>
        <w:tc>
          <w:tcPr>
            <w:tcW w:w="1701" w:type="dxa"/>
            <w:shd w:val="clear" w:color="auto" w:fill="auto"/>
          </w:tcPr>
          <w:p w14:paraId="7FBF5712">
            <w:pPr>
              <w:spacing w:line="288" w:lineRule="auto"/>
              <w:jc w:val="center"/>
              <w:rPr>
                <w:rFonts w:eastAsia="Arial"/>
                <w:b/>
                <w:sz w:val="24"/>
                <w:szCs w:val="24"/>
              </w:rPr>
            </w:pPr>
          </w:p>
        </w:tc>
        <w:tc>
          <w:tcPr>
            <w:tcW w:w="1560" w:type="dxa"/>
            <w:shd w:val="clear" w:color="auto" w:fill="auto"/>
          </w:tcPr>
          <w:p w14:paraId="6A7C54EF">
            <w:pPr>
              <w:spacing w:line="288" w:lineRule="auto"/>
              <w:jc w:val="center"/>
              <w:rPr>
                <w:rFonts w:eastAsia="Arial"/>
                <w:b/>
                <w:sz w:val="24"/>
                <w:szCs w:val="24"/>
              </w:rPr>
            </w:pPr>
          </w:p>
        </w:tc>
        <w:tc>
          <w:tcPr>
            <w:tcW w:w="1417" w:type="dxa"/>
            <w:shd w:val="clear" w:color="auto" w:fill="auto"/>
          </w:tcPr>
          <w:p w14:paraId="3ED3375B">
            <w:pPr>
              <w:spacing w:line="288" w:lineRule="auto"/>
              <w:jc w:val="center"/>
              <w:rPr>
                <w:rFonts w:eastAsia="Arial"/>
                <w:b/>
                <w:sz w:val="24"/>
                <w:szCs w:val="24"/>
              </w:rPr>
            </w:pPr>
          </w:p>
        </w:tc>
      </w:tr>
      <w:tr w14:paraId="6344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shd w:val="clear" w:color="auto" w:fill="auto"/>
          </w:tcPr>
          <w:p w14:paraId="2DD5ADAB">
            <w:pPr>
              <w:jc w:val="center"/>
              <w:rPr>
                <w:rFonts w:eastAsia="Arial"/>
                <w:b/>
                <w:sz w:val="24"/>
                <w:szCs w:val="24"/>
              </w:rPr>
            </w:pPr>
          </w:p>
        </w:tc>
        <w:tc>
          <w:tcPr>
            <w:tcW w:w="851" w:type="dxa"/>
            <w:shd w:val="clear" w:color="auto" w:fill="auto"/>
          </w:tcPr>
          <w:p w14:paraId="79744C70">
            <w:pPr>
              <w:jc w:val="center"/>
              <w:rPr>
                <w:rFonts w:eastAsia="Arial"/>
                <w:b/>
                <w:sz w:val="24"/>
                <w:szCs w:val="24"/>
              </w:rPr>
            </w:pPr>
          </w:p>
        </w:tc>
        <w:tc>
          <w:tcPr>
            <w:tcW w:w="1135" w:type="dxa"/>
            <w:shd w:val="clear" w:color="auto" w:fill="auto"/>
          </w:tcPr>
          <w:p w14:paraId="7DA56449">
            <w:pPr>
              <w:jc w:val="center"/>
              <w:rPr>
                <w:rFonts w:eastAsia="Arial"/>
                <w:b/>
                <w:sz w:val="24"/>
                <w:szCs w:val="24"/>
              </w:rPr>
            </w:pPr>
          </w:p>
        </w:tc>
        <w:tc>
          <w:tcPr>
            <w:tcW w:w="2125" w:type="dxa"/>
            <w:shd w:val="clear" w:color="auto" w:fill="auto"/>
          </w:tcPr>
          <w:p w14:paraId="4D05519C">
            <w:pPr>
              <w:jc w:val="center"/>
              <w:rPr>
                <w:rFonts w:eastAsia="Arial"/>
                <w:b/>
                <w:sz w:val="24"/>
                <w:szCs w:val="24"/>
              </w:rPr>
            </w:pPr>
          </w:p>
        </w:tc>
        <w:tc>
          <w:tcPr>
            <w:tcW w:w="1701" w:type="dxa"/>
            <w:shd w:val="clear" w:color="auto" w:fill="auto"/>
          </w:tcPr>
          <w:p w14:paraId="6018A8B5">
            <w:pPr>
              <w:spacing w:line="288" w:lineRule="auto"/>
              <w:jc w:val="center"/>
              <w:rPr>
                <w:rFonts w:eastAsia="Arial"/>
                <w:b/>
                <w:sz w:val="24"/>
                <w:szCs w:val="24"/>
              </w:rPr>
            </w:pPr>
          </w:p>
        </w:tc>
        <w:tc>
          <w:tcPr>
            <w:tcW w:w="1560" w:type="dxa"/>
            <w:shd w:val="clear" w:color="auto" w:fill="auto"/>
          </w:tcPr>
          <w:p w14:paraId="2D0D1C32">
            <w:pPr>
              <w:spacing w:line="288" w:lineRule="auto"/>
              <w:jc w:val="center"/>
              <w:rPr>
                <w:rFonts w:eastAsia="Arial"/>
                <w:b/>
                <w:sz w:val="24"/>
                <w:szCs w:val="24"/>
              </w:rPr>
            </w:pPr>
          </w:p>
        </w:tc>
        <w:tc>
          <w:tcPr>
            <w:tcW w:w="1417" w:type="dxa"/>
            <w:shd w:val="clear" w:color="auto" w:fill="auto"/>
          </w:tcPr>
          <w:p w14:paraId="6AFF67FA">
            <w:pPr>
              <w:spacing w:line="288" w:lineRule="auto"/>
              <w:jc w:val="center"/>
              <w:rPr>
                <w:rFonts w:eastAsia="Arial"/>
                <w:b/>
                <w:sz w:val="24"/>
                <w:szCs w:val="24"/>
              </w:rPr>
            </w:pPr>
          </w:p>
        </w:tc>
      </w:tr>
    </w:tbl>
    <w:p w14:paraId="63C83B8D">
      <w:pPr>
        <w:jc w:val="center"/>
        <w:rPr>
          <w:b/>
          <w:sz w:val="24"/>
          <w:szCs w:val="24"/>
          <w:u w:val="single"/>
        </w:rPr>
      </w:pPr>
    </w:p>
    <w:p w14:paraId="13A16BCA">
      <w:pPr>
        <w:jc w:val="center"/>
        <w:rPr>
          <w:b/>
          <w:sz w:val="24"/>
          <w:szCs w:val="24"/>
          <w:u w:val="single"/>
        </w:rPr>
      </w:pPr>
    </w:p>
    <w:p w14:paraId="32B0D683">
      <w:pPr>
        <w:jc w:val="center"/>
        <w:rPr>
          <w:b/>
          <w:sz w:val="24"/>
          <w:szCs w:val="24"/>
          <w:u w:val="single"/>
        </w:rPr>
      </w:pPr>
    </w:p>
    <w:p w14:paraId="452226EC">
      <w:pPr>
        <w:jc w:val="center"/>
        <w:rPr>
          <w:b/>
          <w:sz w:val="24"/>
          <w:szCs w:val="24"/>
          <w:u w:val="single"/>
        </w:rPr>
      </w:pPr>
    </w:p>
    <w:p w14:paraId="4A3C0293">
      <w:pPr>
        <w:jc w:val="center"/>
        <w:rPr>
          <w:b/>
          <w:sz w:val="24"/>
          <w:szCs w:val="24"/>
          <w:u w:val="single"/>
        </w:rPr>
      </w:pPr>
      <w:r>
        <w:rPr>
          <w:b/>
          <w:sz w:val="24"/>
          <w:szCs w:val="24"/>
          <w:u w:val="single"/>
        </w:rPr>
        <w:t>Anexo II – Cadastro de Reserva</w:t>
      </w:r>
    </w:p>
    <w:p w14:paraId="7B3BAF3E">
      <w:pPr>
        <w:rPr>
          <w:rFonts w:eastAsia="Arial"/>
          <w:b/>
          <w:sz w:val="24"/>
          <w:szCs w:val="24"/>
        </w:rPr>
      </w:pPr>
    </w:p>
    <w:p w14:paraId="3BBEE8AA">
      <w:pPr>
        <w:rPr>
          <w:rFonts w:eastAsia="Arial"/>
          <w:b/>
          <w:sz w:val="24"/>
          <w:szCs w:val="24"/>
        </w:rPr>
      </w:pPr>
      <w:r>
        <w:rPr>
          <w:rFonts w:eastAsia="Arial"/>
          <w:b/>
          <w:sz w:val="24"/>
          <w:szCs w:val="24"/>
        </w:rPr>
        <w:t>ATA DE REGISTRO DE PREÇOS nº ___/202</w:t>
      </w:r>
      <w:r>
        <w:rPr>
          <w:rFonts w:eastAsia="Arial"/>
          <w:b/>
          <w:color w:val="FF0000"/>
          <w:sz w:val="24"/>
          <w:szCs w:val="24"/>
        </w:rPr>
        <w:t>...._</w:t>
      </w:r>
      <w:r>
        <w:rPr>
          <w:rFonts w:eastAsia="Arial"/>
          <w:b/>
          <w:sz w:val="24"/>
          <w:szCs w:val="24"/>
        </w:rPr>
        <w:t>__</w:t>
      </w:r>
    </w:p>
    <w:p w14:paraId="25F0A770">
      <w:pPr>
        <w:rPr>
          <w:rFonts w:eastAsia="Arial"/>
          <w:b/>
          <w:sz w:val="24"/>
          <w:szCs w:val="24"/>
        </w:rPr>
      </w:pPr>
      <w:r>
        <w:rPr>
          <w:rFonts w:eastAsia="Arial"/>
          <w:b/>
          <w:sz w:val="24"/>
          <w:szCs w:val="24"/>
        </w:rPr>
        <w:t>ÓRGÃO GERENCIADOR:</w:t>
      </w:r>
    </w:p>
    <w:p w14:paraId="1C5439D3">
      <w:pPr>
        <w:rPr>
          <w:rFonts w:eastAsia="Arial"/>
          <w:b/>
          <w:sz w:val="24"/>
          <w:szCs w:val="24"/>
        </w:rPr>
      </w:pPr>
      <w:r>
        <w:rPr>
          <w:rFonts w:eastAsia="Arial"/>
          <w:b/>
          <w:sz w:val="24"/>
          <w:szCs w:val="24"/>
        </w:rPr>
        <w:t>OBJETO:</w:t>
      </w:r>
    </w:p>
    <w:p w14:paraId="663B07BA">
      <w:pPr>
        <w:rPr>
          <w:rFonts w:eastAsia="Arial"/>
          <w:b/>
          <w:sz w:val="24"/>
          <w:szCs w:val="24"/>
        </w:rPr>
      </w:pPr>
    </w:p>
    <w:p w14:paraId="01A44DA1">
      <w:pPr>
        <w:jc w:val="both"/>
        <w:rPr>
          <w:rFonts w:eastAsia="Arial"/>
          <w:b/>
          <w:sz w:val="24"/>
          <w:szCs w:val="24"/>
        </w:rPr>
      </w:pPr>
      <w:r>
        <w:rPr>
          <w:rFonts w:eastAsia="Arial"/>
          <w:b/>
          <w:sz w:val="24"/>
          <w:szCs w:val="24"/>
        </w:rPr>
        <w:t xml:space="preserve">FORNECEDOR nº1 DO CADASTRO DE RESERVA: </w:t>
      </w:r>
      <w:r>
        <w:rPr>
          <w:sz w:val="24"/>
          <w:szCs w:val="24"/>
        </w:rPr>
        <w:t xml:space="preserve">empresa </w:t>
      </w:r>
      <w:r>
        <w:rPr>
          <w:color w:val="FF0000"/>
          <w:sz w:val="24"/>
          <w:szCs w:val="24"/>
        </w:rPr>
        <w:t>.............</w:t>
      </w:r>
      <w:r>
        <w:rPr>
          <w:sz w:val="24"/>
          <w:szCs w:val="24"/>
        </w:rPr>
        <w:t xml:space="preserve">, situada na Rua </w:t>
      </w:r>
      <w:r>
        <w:rPr>
          <w:color w:val="FF0000"/>
          <w:sz w:val="24"/>
          <w:szCs w:val="24"/>
        </w:rPr>
        <w:t>.............</w:t>
      </w:r>
      <w:r>
        <w:rPr>
          <w:sz w:val="24"/>
          <w:szCs w:val="24"/>
        </w:rPr>
        <w:t xml:space="preserve">, Bairro </w:t>
      </w:r>
      <w:r>
        <w:rPr>
          <w:color w:val="FF0000"/>
          <w:sz w:val="24"/>
          <w:szCs w:val="24"/>
        </w:rPr>
        <w:t>.............</w:t>
      </w:r>
      <w:r>
        <w:rPr>
          <w:sz w:val="24"/>
          <w:szCs w:val="24"/>
        </w:rPr>
        <w:t xml:space="preserve">, Cidade </w:t>
      </w:r>
      <w:r>
        <w:rPr>
          <w:color w:val="FF0000"/>
          <w:sz w:val="24"/>
          <w:szCs w:val="24"/>
        </w:rPr>
        <w:t>.............</w:t>
      </w:r>
      <w:r>
        <w:rPr>
          <w:sz w:val="24"/>
          <w:szCs w:val="24"/>
        </w:rPr>
        <w:t xml:space="preserve"> e inscrita no CNPJ/MF sob o nº </w:t>
      </w:r>
      <w:r>
        <w:rPr>
          <w:color w:val="FF0000"/>
          <w:sz w:val="24"/>
          <w:szCs w:val="24"/>
        </w:rPr>
        <w:t>.............</w:t>
      </w:r>
      <w:r>
        <w:rPr>
          <w:sz w:val="24"/>
          <w:szCs w:val="24"/>
        </w:rPr>
        <w:t xml:space="preserve">, representada neste ato por </w:t>
      </w:r>
      <w:r>
        <w:rPr>
          <w:color w:val="FF0000"/>
          <w:sz w:val="24"/>
          <w:szCs w:val="24"/>
        </w:rPr>
        <w:t>.............</w:t>
      </w:r>
      <w:r>
        <w:rPr>
          <w:sz w:val="24"/>
          <w:szCs w:val="24"/>
        </w:rPr>
        <w:t xml:space="preserve">, cédula de identidade nº </w:t>
      </w:r>
      <w:r>
        <w:rPr>
          <w:color w:val="FF0000"/>
          <w:sz w:val="24"/>
          <w:szCs w:val="24"/>
        </w:rPr>
        <w:t>.............</w:t>
      </w:r>
      <w:r>
        <w:rPr>
          <w:sz w:val="24"/>
          <w:szCs w:val="24"/>
        </w:rPr>
        <w:t xml:space="preserve">,  domiciliada na Rua </w:t>
      </w:r>
      <w:r>
        <w:rPr>
          <w:color w:val="FF0000"/>
          <w:sz w:val="24"/>
          <w:szCs w:val="24"/>
        </w:rPr>
        <w:t>.............</w:t>
      </w:r>
      <w:r>
        <w:rPr>
          <w:color w:val="000000"/>
          <w:sz w:val="24"/>
          <w:szCs w:val="24"/>
        </w:rPr>
        <w:t xml:space="preserve">, Cidade </w:t>
      </w:r>
      <w:r>
        <w:rPr>
          <w:color w:val="FF0000"/>
          <w:sz w:val="24"/>
          <w:szCs w:val="24"/>
        </w:rPr>
        <w:t>.............</w:t>
      </w:r>
      <w:r>
        <w:rPr>
          <w:color w:val="000000"/>
          <w:sz w:val="24"/>
          <w:szCs w:val="24"/>
        </w:rPr>
        <w:t xml:space="preserve">; </w:t>
      </w:r>
    </w:p>
    <w:p w14:paraId="1742D1E9">
      <w:pPr>
        <w:rPr>
          <w:rFonts w:eastAsia="Arial"/>
          <w:b/>
          <w:sz w:val="24"/>
          <w:szCs w:val="24"/>
        </w:rPr>
      </w:pPr>
    </w:p>
    <w:p w14:paraId="797BA8DD">
      <w:pPr>
        <w:rPr>
          <w:rFonts w:eastAsia="Arial"/>
          <w:b/>
          <w:sz w:val="24"/>
          <w:szCs w:val="24"/>
        </w:rPr>
      </w:pPr>
    </w:p>
    <w:p w14:paraId="180A2E18">
      <w:pPr>
        <w:jc w:val="both"/>
        <w:rPr>
          <w:rFonts w:eastAsia="Arial"/>
          <w:b/>
          <w:sz w:val="24"/>
          <w:szCs w:val="24"/>
        </w:rPr>
      </w:pPr>
      <w:r>
        <w:rPr>
          <w:rFonts w:eastAsia="Arial"/>
          <w:b/>
          <w:sz w:val="24"/>
          <w:szCs w:val="24"/>
        </w:rPr>
        <w:t xml:space="preserve">FORNECEDOR nº2 DO CADASTRO DE RESERVA: </w:t>
      </w:r>
      <w:r>
        <w:rPr>
          <w:sz w:val="24"/>
          <w:szCs w:val="24"/>
        </w:rPr>
        <w:t xml:space="preserve">empresa </w:t>
      </w:r>
      <w:r>
        <w:rPr>
          <w:color w:val="FF0000"/>
          <w:sz w:val="24"/>
          <w:szCs w:val="24"/>
        </w:rPr>
        <w:t>.............</w:t>
      </w:r>
      <w:r>
        <w:rPr>
          <w:sz w:val="24"/>
          <w:szCs w:val="24"/>
        </w:rPr>
        <w:t xml:space="preserve">, situada na Rua </w:t>
      </w:r>
      <w:r>
        <w:rPr>
          <w:color w:val="FF0000"/>
          <w:sz w:val="24"/>
          <w:szCs w:val="24"/>
        </w:rPr>
        <w:t>.............</w:t>
      </w:r>
      <w:r>
        <w:rPr>
          <w:sz w:val="24"/>
          <w:szCs w:val="24"/>
        </w:rPr>
        <w:t xml:space="preserve">, Bairro </w:t>
      </w:r>
      <w:r>
        <w:rPr>
          <w:color w:val="FF0000"/>
          <w:sz w:val="24"/>
          <w:szCs w:val="24"/>
        </w:rPr>
        <w:t>.............</w:t>
      </w:r>
      <w:r>
        <w:rPr>
          <w:sz w:val="24"/>
          <w:szCs w:val="24"/>
        </w:rPr>
        <w:t xml:space="preserve">, Cidade </w:t>
      </w:r>
      <w:r>
        <w:rPr>
          <w:color w:val="FF0000"/>
          <w:sz w:val="24"/>
          <w:szCs w:val="24"/>
        </w:rPr>
        <w:t>.............</w:t>
      </w:r>
      <w:r>
        <w:rPr>
          <w:sz w:val="24"/>
          <w:szCs w:val="24"/>
        </w:rPr>
        <w:t xml:space="preserve"> e inscrita no CNPJ/MF sob o nº </w:t>
      </w:r>
      <w:r>
        <w:rPr>
          <w:color w:val="FF0000"/>
          <w:sz w:val="24"/>
          <w:szCs w:val="24"/>
        </w:rPr>
        <w:t>.............</w:t>
      </w:r>
      <w:r>
        <w:rPr>
          <w:sz w:val="24"/>
          <w:szCs w:val="24"/>
        </w:rPr>
        <w:t xml:space="preserve">, representada neste ato por </w:t>
      </w:r>
      <w:r>
        <w:rPr>
          <w:color w:val="FF0000"/>
          <w:sz w:val="24"/>
          <w:szCs w:val="24"/>
        </w:rPr>
        <w:t>.............</w:t>
      </w:r>
      <w:r>
        <w:rPr>
          <w:sz w:val="24"/>
          <w:szCs w:val="24"/>
        </w:rPr>
        <w:t xml:space="preserve">, cédula de identidade nº </w:t>
      </w:r>
      <w:r>
        <w:rPr>
          <w:color w:val="FF0000"/>
          <w:sz w:val="24"/>
          <w:szCs w:val="24"/>
        </w:rPr>
        <w:t>.............</w:t>
      </w:r>
      <w:r>
        <w:rPr>
          <w:sz w:val="24"/>
          <w:szCs w:val="24"/>
        </w:rPr>
        <w:t xml:space="preserve">,  domiciliada na Rua </w:t>
      </w:r>
      <w:r>
        <w:rPr>
          <w:color w:val="FF0000"/>
          <w:sz w:val="24"/>
          <w:szCs w:val="24"/>
        </w:rPr>
        <w:t>.............</w:t>
      </w:r>
      <w:r>
        <w:rPr>
          <w:color w:val="000000"/>
          <w:sz w:val="24"/>
          <w:szCs w:val="24"/>
        </w:rPr>
        <w:t xml:space="preserve">, Cidade </w:t>
      </w:r>
      <w:r>
        <w:rPr>
          <w:color w:val="FF0000"/>
          <w:sz w:val="24"/>
          <w:szCs w:val="24"/>
        </w:rPr>
        <w:t>.............</w:t>
      </w:r>
      <w:r>
        <w:rPr>
          <w:color w:val="000000"/>
          <w:sz w:val="24"/>
          <w:szCs w:val="24"/>
        </w:rPr>
        <w:t xml:space="preserve">; </w:t>
      </w:r>
    </w:p>
    <w:p w14:paraId="59971E11">
      <w:pPr>
        <w:rPr>
          <w:rFonts w:eastAsia="Arial"/>
          <w:b/>
          <w:sz w:val="24"/>
          <w:szCs w:val="24"/>
        </w:rPr>
      </w:pPr>
    </w:p>
    <w:p w14:paraId="156959BB">
      <w:pPr>
        <w:rPr>
          <w:rFonts w:eastAsia="Arial"/>
          <w:b/>
          <w:sz w:val="24"/>
          <w:szCs w:val="24"/>
        </w:rPr>
      </w:pPr>
    </w:p>
    <w:p w14:paraId="05A40F76">
      <w:pPr>
        <w:jc w:val="both"/>
        <w:rPr>
          <w:rFonts w:eastAsia="Arial"/>
          <w:b/>
          <w:sz w:val="24"/>
          <w:szCs w:val="24"/>
        </w:rPr>
      </w:pPr>
      <w:r>
        <w:rPr>
          <w:rFonts w:eastAsia="Arial"/>
          <w:b/>
          <w:sz w:val="24"/>
          <w:szCs w:val="24"/>
        </w:rPr>
        <w:t xml:space="preserve">FORNECEDOR nº3 DO CADASTRO DE RESERVA: </w:t>
      </w:r>
      <w:r>
        <w:rPr>
          <w:sz w:val="24"/>
          <w:szCs w:val="24"/>
        </w:rPr>
        <w:t xml:space="preserve">empresa </w:t>
      </w:r>
      <w:r>
        <w:rPr>
          <w:color w:val="FF0000"/>
          <w:sz w:val="24"/>
          <w:szCs w:val="24"/>
        </w:rPr>
        <w:t>.............</w:t>
      </w:r>
      <w:r>
        <w:rPr>
          <w:sz w:val="24"/>
          <w:szCs w:val="24"/>
        </w:rPr>
        <w:t xml:space="preserve">, situada na Rua </w:t>
      </w:r>
      <w:r>
        <w:rPr>
          <w:color w:val="FF0000"/>
          <w:sz w:val="24"/>
          <w:szCs w:val="24"/>
        </w:rPr>
        <w:t>.............</w:t>
      </w:r>
      <w:r>
        <w:rPr>
          <w:sz w:val="24"/>
          <w:szCs w:val="24"/>
        </w:rPr>
        <w:t xml:space="preserve">, Bairro </w:t>
      </w:r>
      <w:r>
        <w:rPr>
          <w:color w:val="FF0000"/>
          <w:sz w:val="24"/>
          <w:szCs w:val="24"/>
        </w:rPr>
        <w:t>.............</w:t>
      </w:r>
      <w:r>
        <w:rPr>
          <w:sz w:val="24"/>
          <w:szCs w:val="24"/>
        </w:rPr>
        <w:t xml:space="preserve">, Cidade </w:t>
      </w:r>
      <w:r>
        <w:rPr>
          <w:color w:val="FF0000"/>
          <w:sz w:val="24"/>
          <w:szCs w:val="24"/>
        </w:rPr>
        <w:t>.............</w:t>
      </w:r>
      <w:r>
        <w:rPr>
          <w:sz w:val="24"/>
          <w:szCs w:val="24"/>
        </w:rPr>
        <w:t xml:space="preserve"> e inscrita no CNPJ/MF sob o nº </w:t>
      </w:r>
      <w:r>
        <w:rPr>
          <w:color w:val="FF0000"/>
          <w:sz w:val="24"/>
          <w:szCs w:val="24"/>
        </w:rPr>
        <w:t>.............</w:t>
      </w:r>
      <w:r>
        <w:rPr>
          <w:sz w:val="24"/>
          <w:szCs w:val="24"/>
        </w:rPr>
        <w:t xml:space="preserve">, representada neste ato por </w:t>
      </w:r>
      <w:r>
        <w:rPr>
          <w:color w:val="FF0000"/>
          <w:sz w:val="24"/>
          <w:szCs w:val="24"/>
        </w:rPr>
        <w:t>.............</w:t>
      </w:r>
      <w:r>
        <w:rPr>
          <w:sz w:val="24"/>
          <w:szCs w:val="24"/>
        </w:rPr>
        <w:t xml:space="preserve">, cédula de identidade nº </w:t>
      </w:r>
      <w:r>
        <w:rPr>
          <w:color w:val="FF0000"/>
          <w:sz w:val="24"/>
          <w:szCs w:val="24"/>
        </w:rPr>
        <w:t>.............</w:t>
      </w:r>
      <w:r>
        <w:rPr>
          <w:sz w:val="24"/>
          <w:szCs w:val="24"/>
        </w:rPr>
        <w:t xml:space="preserve">,  domiciliada na Rua </w:t>
      </w:r>
      <w:r>
        <w:rPr>
          <w:color w:val="FF0000"/>
          <w:sz w:val="24"/>
          <w:szCs w:val="24"/>
        </w:rPr>
        <w:t>.............</w:t>
      </w:r>
      <w:r>
        <w:rPr>
          <w:color w:val="000000"/>
          <w:sz w:val="24"/>
          <w:szCs w:val="24"/>
        </w:rPr>
        <w:t xml:space="preserve">, Cidade </w:t>
      </w:r>
      <w:r>
        <w:rPr>
          <w:color w:val="FF0000"/>
          <w:sz w:val="24"/>
          <w:szCs w:val="24"/>
        </w:rPr>
        <w:t>.............</w:t>
      </w:r>
      <w:r>
        <w:rPr>
          <w:color w:val="000000"/>
          <w:sz w:val="24"/>
          <w:szCs w:val="24"/>
        </w:rPr>
        <w:t xml:space="preserve">; </w:t>
      </w:r>
    </w:p>
    <w:p w14:paraId="01F1E203">
      <w:pPr>
        <w:rPr>
          <w:rFonts w:eastAsia="Arial"/>
          <w:b/>
          <w:sz w:val="24"/>
          <w:szCs w:val="24"/>
        </w:rPr>
      </w:pPr>
    </w:p>
    <w:p w14:paraId="37782CC9">
      <w:pPr>
        <w:spacing w:line="288" w:lineRule="auto"/>
        <w:jc w:val="center"/>
        <w:rPr>
          <w:rFonts w:eastAsia="Arial"/>
          <w:b/>
          <w:sz w:val="24"/>
          <w:szCs w:val="24"/>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3"/>
        <w:gridCol w:w="4223"/>
      </w:tblGrid>
      <w:tr w14:paraId="7E3A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4" w:type="dxa"/>
            <w:shd w:val="clear" w:color="auto" w:fill="auto"/>
          </w:tcPr>
          <w:p w14:paraId="185AEE7F">
            <w:pPr>
              <w:spacing w:line="288" w:lineRule="auto"/>
              <w:jc w:val="center"/>
              <w:rPr>
                <w:rFonts w:eastAsia="Arial"/>
                <w:b/>
                <w:sz w:val="24"/>
                <w:szCs w:val="24"/>
              </w:rPr>
            </w:pPr>
            <w:r>
              <w:rPr>
                <w:rFonts w:eastAsia="Arial"/>
                <w:b/>
                <w:sz w:val="24"/>
                <w:szCs w:val="24"/>
              </w:rPr>
              <w:t>FORNECEDOR</w:t>
            </w:r>
          </w:p>
        </w:tc>
        <w:tc>
          <w:tcPr>
            <w:tcW w:w="7072" w:type="dxa"/>
            <w:shd w:val="clear" w:color="auto" w:fill="auto"/>
          </w:tcPr>
          <w:p w14:paraId="737C2F96">
            <w:pPr>
              <w:spacing w:line="288" w:lineRule="auto"/>
              <w:jc w:val="center"/>
              <w:rPr>
                <w:rFonts w:eastAsia="Arial"/>
                <w:b/>
                <w:sz w:val="24"/>
                <w:szCs w:val="24"/>
              </w:rPr>
            </w:pPr>
            <w:r>
              <w:rPr>
                <w:rFonts w:eastAsia="Arial"/>
                <w:b/>
                <w:sz w:val="24"/>
                <w:szCs w:val="24"/>
              </w:rPr>
              <w:t>ITEM</w:t>
            </w:r>
          </w:p>
        </w:tc>
      </w:tr>
      <w:tr w14:paraId="5621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4" w:type="dxa"/>
            <w:shd w:val="clear" w:color="auto" w:fill="auto"/>
          </w:tcPr>
          <w:p w14:paraId="26AE3F2C">
            <w:pPr>
              <w:spacing w:line="288" w:lineRule="auto"/>
              <w:jc w:val="center"/>
              <w:rPr>
                <w:rFonts w:eastAsia="Arial"/>
                <w:b/>
                <w:sz w:val="24"/>
                <w:szCs w:val="24"/>
              </w:rPr>
            </w:pPr>
          </w:p>
        </w:tc>
        <w:tc>
          <w:tcPr>
            <w:tcW w:w="7072" w:type="dxa"/>
            <w:shd w:val="clear" w:color="auto" w:fill="auto"/>
          </w:tcPr>
          <w:p w14:paraId="05BA4624">
            <w:pPr>
              <w:spacing w:line="288" w:lineRule="auto"/>
              <w:jc w:val="center"/>
              <w:rPr>
                <w:rFonts w:eastAsia="Arial"/>
                <w:b/>
                <w:sz w:val="24"/>
                <w:szCs w:val="24"/>
              </w:rPr>
            </w:pPr>
          </w:p>
        </w:tc>
      </w:tr>
    </w:tbl>
    <w:p w14:paraId="6044DAF8">
      <w:pPr>
        <w:spacing w:line="288" w:lineRule="auto"/>
        <w:jc w:val="center"/>
        <w:rPr>
          <w:rFonts w:eastAsia="Arial"/>
          <w:b/>
          <w:sz w:val="24"/>
          <w:szCs w:val="24"/>
        </w:rPr>
      </w:pPr>
    </w:p>
    <w:p w14:paraId="4C9153FB">
      <w:pPr>
        <w:spacing w:line="288" w:lineRule="auto"/>
        <w:contextualSpacing/>
        <w:rPr>
          <w:b/>
          <w:bCs/>
          <w:sz w:val="24"/>
          <w:szCs w:val="24"/>
        </w:rPr>
      </w:pPr>
    </w:p>
    <w:p w14:paraId="7E4F8FA2">
      <w:pPr>
        <w:spacing w:line="288" w:lineRule="auto"/>
        <w:contextualSpacing/>
        <w:jc w:val="center"/>
        <w:rPr>
          <w:b/>
          <w:bCs/>
          <w:color w:val="000000" w:themeColor="text1"/>
          <w:sz w:val="24"/>
          <w:szCs w:val="24"/>
          <w14:textFill>
            <w14:solidFill>
              <w14:schemeClr w14:val="tx1"/>
            </w14:solidFill>
          </w14:textFill>
        </w:rPr>
      </w:pPr>
    </w:p>
    <w:p w14:paraId="4D4636AE">
      <w:pPr>
        <w:pStyle w:val="97"/>
        <w:spacing w:before="0" w:beforeAutospacing="0" w:after="0" w:afterAutospacing="0" w:line="360" w:lineRule="auto"/>
        <w:ind w:right="-1" w:firstLine="993"/>
        <w:rPr>
          <w:rFonts w:eastAsia="Calibri"/>
          <w:b/>
          <w:bCs/>
          <w:highlight w:val="yellow"/>
          <w:u w:val="single"/>
          <w:lang w:eastAsia="en-US"/>
        </w:rPr>
      </w:pPr>
      <w:r>
        <w:rPr>
          <w:rFonts w:eastAsia="Calibri"/>
          <w:b/>
          <w:bCs/>
          <w:lang w:eastAsia="en-US"/>
        </w:rPr>
        <w:t xml:space="preserve">                                                    </w:t>
      </w:r>
      <w:r>
        <w:rPr>
          <w:rFonts w:eastAsia="Calibri"/>
          <w:b/>
          <w:bCs/>
          <w:highlight w:val="yellow"/>
          <w:u w:val="single"/>
          <w:lang w:eastAsia="en-US"/>
        </w:rPr>
        <w:t>ANEXO VI</w:t>
      </w:r>
    </w:p>
    <w:p w14:paraId="19ACA2BB">
      <w:pPr>
        <w:spacing w:line="288" w:lineRule="auto"/>
        <w:contextualSpacing/>
        <w:jc w:val="center"/>
        <w:rPr>
          <w:b/>
          <w:bCs/>
          <w:sz w:val="24"/>
          <w:szCs w:val="24"/>
          <w:u w:val="single"/>
        </w:rPr>
      </w:pPr>
      <w:r>
        <w:rPr>
          <w:b/>
          <w:bCs/>
          <w:sz w:val="24"/>
          <w:szCs w:val="24"/>
          <w:highlight w:val="yellow"/>
          <w:u w:val="single"/>
        </w:rPr>
        <w:t>MINUTA- CONTRATO</w:t>
      </w:r>
      <w:r>
        <w:rPr>
          <w:b/>
          <w:bCs/>
          <w:sz w:val="24"/>
          <w:szCs w:val="24"/>
          <w:u w:val="single"/>
        </w:rPr>
        <w:t xml:space="preserve"> </w:t>
      </w:r>
    </w:p>
    <w:p w14:paraId="6D181AED">
      <w:pPr>
        <w:spacing w:line="288" w:lineRule="auto"/>
        <w:contextualSpacing/>
        <w:jc w:val="both"/>
        <w:rPr>
          <w:color w:val="000000" w:themeColor="text1"/>
          <w:sz w:val="24"/>
          <w:szCs w:val="24"/>
          <w14:textFill>
            <w14:solidFill>
              <w14:schemeClr w14:val="tx1"/>
            </w14:solidFill>
          </w14:textFill>
        </w:rPr>
      </w:pPr>
    </w:p>
    <w:p w14:paraId="73579F18">
      <w:pPr>
        <w:spacing w:line="288" w:lineRule="auto"/>
        <w:ind w:left="3544"/>
        <w:contextualSpacing/>
        <w:jc w:val="both"/>
        <w:rPr>
          <w:b/>
          <w:sz w:val="24"/>
          <w:szCs w:val="24"/>
        </w:rPr>
      </w:pPr>
      <w:r>
        <w:rPr>
          <w:b/>
          <w:sz w:val="24"/>
          <w:szCs w:val="24"/>
        </w:rPr>
        <w:t xml:space="preserve">CONTRATO Nº XXX/2026, DE </w:t>
      </w:r>
      <w:r>
        <w:rPr>
          <w:rFonts w:eastAsia="Cambria"/>
          <w:b/>
          <w:sz w:val="24"/>
          <w:szCs w:val="24"/>
        </w:rPr>
        <w:t xml:space="preserve">AQUISIÇÃO DE FÓRMULA E SUPLEMENTOS - </w:t>
      </w:r>
      <w:r>
        <w:rPr>
          <w:rFonts w:eastAsia="Cambria" w:asciiTheme="minorHAnsi" w:hAnsiTheme="minorHAnsi" w:cstheme="minorHAnsi"/>
          <w:sz w:val="24"/>
          <w:szCs w:val="24"/>
        </w:rPr>
        <w:t xml:space="preserve"> </w:t>
      </w:r>
      <w:r>
        <w:rPr>
          <w:b/>
          <w:sz w:val="24"/>
          <w:szCs w:val="24"/>
        </w:rPr>
        <w:t xml:space="preserve">QUE FAZEM ENTRE SI O </w:t>
      </w:r>
      <w:r>
        <w:rPr>
          <w:b/>
          <w:bCs/>
          <w:sz w:val="24"/>
          <w:szCs w:val="24"/>
        </w:rPr>
        <w:t>MUNICÍPIO DE VALENÇA, PELA SECRETARIA MUNICIPAL DE SAÚDE.</w:t>
      </w:r>
    </w:p>
    <w:p w14:paraId="0646D28E">
      <w:pPr>
        <w:spacing w:line="288" w:lineRule="auto"/>
        <w:contextualSpacing/>
        <w:jc w:val="both"/>
        <w:rPr>
          <w:rFonts w:eastAsia="Arial"/>
          <w:b/>
          <w:bCs/>
          <w:color w:val="000000" w:themeColor="text1"/>
          <w:sz w:val="24"/>
          <w:szCs w:val="24"/>
          <w14:textFill>
            <w14:solidFill>
              <w14:schemeClr w14:val="tx1"/>
            </w14:solidFill>
          </w14:textFill>
        </w:rPr>
      </w:pPr>
    </w:p>
    <w:p w14:paraId="66083D31">
      <w:pPr>
        <w:spacing w:line="288" w:lineRule="auto"/>
        <w:contextualSpacing/>
        <w:jc w:val="both"/>
        <w:rPr>
          <w:color w:val="000000" w:themeColor="text1"/>
          <w:sz w:val="24"/>
          <w:szCs w:val="24"/>
          <w14:textFill>
            <w14:solidFill>
              <w14:schemeClr w14:val="tx1"/>
            </w14:solidFill>
          </w14:textFill>
        </w:rPr>
      </w:pPr>
      <w:r>
        <w:rPr>
          <w:rFonts w:eastAsia="Arial"/>
          <w:b/>
          <w:bCs/>
          <w:color w:val="000000" w:themeColor="text1"/>
          <w:sz w:val="24"/>
          <w:szCs w:val="24"/>
          <w14:textFill>
            <w14:solidFill>
              <w14:schemeClr w14:val="tx1"/>
            </w14:solidFill>
          </w14:textFill>
        </w:rPr>
        <w:t xml:space="preserve">O MUNICÍPIO DE VALENÇA, </w:t>
      </w:r>
      <w:r>
        <w:rPr>
          <w:b/>
          <w:bCs/>
          <w:color w:val="000000" w:themeColor="text1"/>
          <w:sz w:val="24"/>
          <w:szCs w:val="24"/>
          <w14:textFill>
            <w14:solidFill>
              <w14:schemeClr w14:val="tx1"/>
            </w14:solidFill>
          </w14:textFill>
        </w:rPr>
        <w:t>pela SECRETARIA MUNICIPAL DE SAÚDE</w:t>
      </w:r>
      <w:r>
        <w:rPr>
          <w:color w:val="000000" w:themeColor="text1"/>
          <w:sz w:val="24"/>
          <w:szCs w:val="24"/>
          <w14:textFill>
            <w14:solidFill>
              <w14:schemeClr w14:val="tx1"/>
            </w14:solidFill>
          </w14:textFill>
        </w:rPr>
        <w:t xml:space="preserve">, com sede na ....................................................., na cidade do ......................................, no Estado do Rio de Janeiro, inscrita no CNPJ sob o nº ................................, neste ato representada por Rafael de Oliveira Tavares, portador do CPF nº 105.832.167-65 doravante denominado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e xxx, com sede na xxxx, inscrita no CNPJ/MF sob o nº xxx, neste ato representada por .................................. (nome e função), conforme atos constitutivos da empresa, doravante denominado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com fundamento no Processo SEI nº......., que se regerá pelas disposições da Lei nº 14.133, de 1º de abril de 2021, </w:t>
      </w:r>
      <w:r>
        <w:rPr>
          <w:rFonts w:eastAsia="Arial"/>
          <w:color w:val="000000" w:themeColor="text1"/>
          <w:sz w:val="24"/>
          <w:szCs w:val="24"/>
          <w14:textFill>
            <w14:solidFill>
              <w14:schemeClr w14:val="tx1"/>
            </w14:solidFill>
          </w14:textFill>
        </w:rPr>
        <w:t xml:space="preserve">e pelos normativos municipais aplicáveis, todos disponíveis </w:t>
      </w:r>
      <w:r>
        <w:rPr>
          <w:color w:val="000000" w:themeColor="text1"/>
          <w:sz w:val="24"/>
          <w:szCs w:val="24"/>
          <w14:textFill>
            <w14:solidFill>
              <w14:schemeClr w14:val="tx1"/>
            </w14:solidFill>
          </w14:textFill>
        </w:rPr>
        <w:t>no endereço eletrônico https://valenca.rj.gov.br/, resolvem celebrar o presente instrumento de Contrato, decorrente do Pregão Eletrônico nº xxx/2026 mediante as cláusulas e condições a seguir enunciadas.</w:t>
      </w:r>
    </w:p>
    <w:p w14:paraId="65207610">
      <w:pPr>
        <w:spacing w:line="288" w:lineRule="auto"/>
        <w:contextualSpacing/>
        <w:jc w:val="both"/>
        <w:rPr>
          <w:color w:val="000000" w:themeColor="text1"/>
          <w:sz w:val="24"/>
          <w:szCs w:val="24"/>
          <w14:textFill>
            <w14:solidFill>
              <w14:schemeClr w14:val="tx1"/>
            </w14:solidFill>
          </w14:textFill>
        </w:rPr>
      </w:pPr>
    </w:p>
    <w:p w14:paraId="295E27EB">
      <w:pPr>
        <w:pStyle w:val="101"/>
        <w:spacing w:before="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CLÁUSULA PRIMEIRA – OBJETO</w:t>
      </w:r>
    </w:p>
    <w:p w14:paraId="1C2E2FA0">
      <w:pPr>
        <w:spacing w:line="288" w:lineRule="auto"/>
        <w:contextualSpacing/>
        <w:rPr>
          <w:sz w:val="24"/>
          <w:szCs w:val="24"/>
        </w:rPr>
      </w:pPr>
    </w:p>
    <w:p w14:paraId="248274FD">
      <w:pPr>
        <w:pStyle w:val="77"/>
        <w:spacing w:line="360" w:lineRule="auto"/>
        <w:jc w:val="both"/>
        <w:rPr>
          <w:rFonts w:ascii="Times New Roman" w:hAnsi="Times New Roman" w:cs="Times New Roman"/>
          <w:sz w:val="24"/>
          <w:szCs w:val="24"/>
        </w:rPr>
      </w:pPr>
      <w:r>
        <w:rPr>
          <w:rFonts w:ascii="Times New Roman" w:hAnsi="Times New Roman" w:cs="Times New Roman"/>
          <w:sz w:val="24"/>
          <w:szCs w:val="24"/>
        </w:rPr>
        <w:t>A aquisição de fórmulas alimentares e suplementos tem como objetivo atender pacientes hipossuficientes e cumprir demandas judiciais, assegurando a continuidade do tratamento nutricional de pessoas com patologias que exigem suporte alimentar específico ou suplementação especializada.</w:t>
      </w:r>
    </w:p>
    <w:p w14:paraId="34AA33A4">
      <w:pPr>
        <w:pStyle w:val="99"/>
        <w:spacing w:before="0" w:after="0" w:line="288" w:lineRule="auto"/>
        <w:ind w:left="0" w:firstLine="0"/>
        <w:contextualSpacing/>
        <w:rPr>
          <w:rFonts w:ascii="Times New Roman" w:hAnsi="Times New Roman" w:cs="Times New Roman"/>
          <w:sz w:val="24"/>
          <w:szCs w:val="24"/>
        </w:rPr>
      </w:pPr>
    </w:p>
    <w:p w14:paraId="008BF698">
      <w:pPr>
        <w:pStyle w:val="99"/>
        <w:numPr>
          <w:ilvl w:val="1"/>
          <w:numId w:val="8"/>
        </w:numPr>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Objeto da contratação: </w:t>
      </w:r>
    </w:p>
    <w:p w14:paraId="147FDACC">
      <w:pPr>
        <w:pStyle w:val="99"/>
        <w:spacing w:before="0" w:after="0" w:line="288" w:lineRule="auto"/>
        <w:ind w:left="0" w:firstLine="0"/>
        <w:contextualSpacing/>
        <w:rPr>
          <w:rFonts w:ascii="Times New Roman" w:hAnsi="Times New Roman" w:cs="Times New Roman"/>
          <w:sz w:val="24"/>
          <w:szCs w:val="24"/>
        </w:rPr>
      </w:pPr>
    </w:p>
    <w:tbl>
      <w:tblPr>
        <w:tblStyle w:val="10"/>
        <w:tblW w:w="9649" w:type="dxa"/>
        <w:tblInd w:w="0" w:type="dxa"/>
        <w:tblLayout w:type="fixed"/>
        <w:tblCellMar>
          <w:top w:w="0" w:type="dxa"/>
          <w:left w:w="108" w:type="dxa"/>
          <w:bottom w:w="0" w:type="dxa"/>
          <w:right w:w="108" w:type="dxa"/>
        </w:tblCellMar>
      </w:tblPr>
      <w:tblGrid>
        <w:gridCol w:w="1021"/>
        <w:gridCol w:w="2240"/>
        <w:gridCol w:w="1277"/>
        <w:gridCol w:w="1134"/>
        <w:gridCol w:w="1709"/>
        <w:gridCol w:w="1279"/>
        <w:gridCol w:w="989"/>
      </w:tblGrid>
      <w:tr w14:paraId="483CA3A7">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07F972B8">
            <w:pPr>
              <w:widowControl w:val="0"/>
              <w:spacing w:line="288" w:lineRule="auto"/>
              <w:contextualSpacing/>
              <w:jc w:val="both"/>
              <w:rPr>
                <w:rFonts w:eastAsia="Arial"/>
                <w:b/>
                <w:bCs/>
                <w:color w:val="000000"/>
                <w:sz w:val="24"/>
                <w:szCs w:val="24"/>
              </w:rPr>
            </w:pPr>
            <w:r>
              <w:rPr>
                <w:rFonts w:eastAsia="Arial"/>
                <w:b/>
                <w:bCs/>
                <w:color w:val="000000"/>
                <w:sz w:val="24"/>
                <w:szCs w:val="24"/>
              </w:rPr>
              <w:t>ITEM</w:t>
            </w:r>
          </w:p>
          <w:p w14:paraId="07B2BB13">
            <w:pPr>
              <w:widowControl w:val="0"/>
              <w:spacing w:line="288" w:lineRule="auto"/>
              <w:contextualSpacing/>
              <w:jc w:val="both"/>
              <w:rPr>
                <w:rFonts w:eastAsia="Arial"/>
                <w:b/>
                <w:bCs/>
                <w:color w:val="000000"/>
                <w:sz w:val="24"/>
                <w:szCs w:val="24"/>
              </w:rPr>
            </w:pPr>
          </w:p>
        </w:tc>
        <w:tc>
          <w:tcPr>
            <w:tcW w:w="2240" w:type="dxa"/>
            <w:tcBorders>
              <w:top w:val="single" w:color="000000" w:sz="4" w:space="0"/>
              <w:left w:val="single" w:color="000000" w:sz="4" w:space="0"/>
              <w:bottom w:val="single" w:color="000000" w:sz="4" w:space="0"/>
              <w:right w:val="single" w:color="000000" w:sz="4" w:space="0"/>
            </w:tcBorders>
          </w:tcPr>
          <w:p w14:paraId="6EBF88E6">
            <w:pPr>
              <w:widowControl w:val="0"/>
              <w:spacing w:line="288" w:lineRule="auto"/>
              <w:contextualSpacing/>
              <w:jc w:val="both"/>
              <w:rPr>
                <w:rFonts w:eastAsia="Arial"/>
                <w:color w:val="000000"/>
                <w:sz w:val="24"/>
                <w:szCs w:val="24"/>
              </w:rPr>
            </w:pPr>
            <w:r>
              <w:rPr>
                <w:rFonts w:eastAsia="Arial"/>
                <w:b/>
                <w:bCs/>
                <w:color w:val="000000"/>
                <w:sz w:val="24"/>
                <w:szCs w:val="24"/>
              </w:rPr>
              <w:t>ESPECIFICAÇÃO</w:t>
            </w:r>
          </w:p>
        </w:tc>
        <w:tc>
          <w:tcPr>
            <w:tcW w:w="1277" w:type="dxa"/>
            <w:tcBorders>
              <w:top w:val="single" w:color="000000" w:sz="4" w:space="0"/>
              <w:left w:val="single" w:color="000000" w:sz="4" w:space="0"/>
              <w:bottom w:val="single" w:color="000000" w:sz="4" w:space="0"/>
              <w:right w:val="single" w:color="000000" w:sz="4" w:space="0"/>
            </w:tcBorders>
          </w:tcPr>
          <w:p w14:paraId="44F3E291">
            <w:pPr>
              <w:widowControl w:val="0"/>
              <w:spacing w:line="288" w:lineRule="auto"/>
              <w:contextualSpacing/>
              <w:jc w:val="both"/>
              <w:rPr>
                <w:rFonts w:eastAsia="Arial"/>
                <w:color w:val="000000"/>
                <w:sz w:val="24"/>
                <w:szCs w:val="24"/>
              </w:rPr>
            </w:pPr>
            <w:r>
              <w:rPr>
                <w:rFonts w:eastAsia="Arial"/>
                <w:b/>
                <w:bCs/>
                <w:color w:val="000000"/>
                <w:sz w:val="24"/>
                <w:szCs w:val="24"/>
              </w:rPr>
              <w:t>CATMAT</w:t>
            </w:r>
          </w:p>
        </w:tc>
        <w:tc>
          <w:tcPr>
            <w:tcW w:w="1134" w:type="dxa"/>
            <w:tcBorders>
              <w:top w:val="single" w:color="000000" w:sz="4" w:space="0"/>
              <w:left w:val="single" w:color="000000" w:sz="4" w:space="0"/>
              <w:bottom w:val="single" w:color="000000" w:sz="4" w:space="0"/>
              <w:right w:val="single" w:color="000000" w:sz="4" w:space="0"/>
            </w:tcBorders>
          </w:tcPr>
          <w:p w14:paraId="5B47B269">
            <w:pPr>
              <w:widowControl w:val="0"/>
              <w:spacing w:line="288" w:lineRule="auto"/>
              <w:contextualSpacing/>
              <w:jc w:val="both"/>
              <w:rPr>
                <w:rFonts w:eastAsia="Arial"/>
                <w:color w:val="000000"/>
                <w:sz w:val="24"/>
                <w:szCs w:val="24"/>
              </w:rPr>
            </w:pPr>
            <w:r>
              <w:rPr>
                <w:rFonts w:eastAsia="Arial"/>
                <w:b/>
                <w:bCs/>
                <w:color w:val="000000"/>
                <w:sz w:val="24"/>
                <w:szCs w:val="24"/>
              </w:rPr>
              <w:t>UNIDADE DE MEDIDA</w:t>
            </w:r>
          </w:p>
        </w:tc>
        <w:tc>
          <w:tcPr>
            <w:tcW w:w="1709" w:type="dxa"/>
            <w:tcBorders>
              <w:top w:val="single" w:color="000000" w:sz="4" w:space="0"/>
              <w:left w:val="single" w:color="000000" w:sz="4" w:space="0"/>
              <w:bottom w:val="single" w:color="000000" w:sz="4" w:space="0"/>
              <w:right w:val="single" w:color="000000" w:sz="4" w:space="0"/>
            </w:tcBorders>
          </w:tcPr>
          <w:p w14:paraId="689448E6">
            <w:pPr>
              <w:widowControl w:val="0"/>
              <w:spacing w:line="288" w:lineRule="auto"/>
              <w:contextualSpacing/>
              <w:jc w:val="both"/>
              <w:rPr>
                <w:rFonts w:eastAsia="Arial"/>
                <w:b/>
                <w:bCs/>
                <w:sz w:val="24"/>
                <w:szCs w:val="24"/>
              </w:rPr>
            </w:pPr>
            <w:r>
              <w:rPr>
                <w:rFonts w:eastAsia="Arial"/>
                <w:b/>
                <w:bCs/>
                <w:sz w:val="24"/>
                <w:szCs w:val="24"/>
              </w:rPr>
              <w:t>QUANTIDADE</w:t>
            </w:r>
          </w:p>
        </w:tc>
        <w:tc>
          <w:tcPr>
            <w:tcW w:w="1279" w:type="dxa"/>
            <w:tcBorders>
              <w:top w:val="single" w:color="000000" w:sz="4" w:space="0"/>
              <w:left w:val="single" w:color="000000" w:sz="4" w:space="0"/>
              <w:bottom w:val="single" w:color="000000" w:sz="4" w:space="0"/>
              <w:right w:val="single" w:color="000000" w:sz="4" w:space="0"/>
            </w:tcBorders>
          </w:tcPr>
          <w:p w14:paraId="1BBD88D5">
            <w:pPr>
              <w:widowControl w:val="0"/>
              <w:spacing w:line="288" w:lineRule="auto"/>
              <w:contextualSpacing/>
              <w:jc w:val="both"/>
              <w:rPr>
                <w:rFonts w:eastAsia="Arial"/>
                <w:b/>
                <w:bCs/>
                <w:sz w:val="24"/>
                <w:szCs w:val="24"/>
              </w:rPr>
            </w:pPr>
            <w:r>
              <w:rPr>
                <w:rFonts w:eastAsia="Arial"/>
                <w:b/>
                <w:bCs/>
                <w:sz w:val="24"/>
                <w:szCs w:val="24"/>
              </w:rPr>
              <w:t>VALOR UNITÁRIO</w:t>
            </w:r>
          </w:p>
        </w:tc>
        <w:tc>
          <w:tcPr>
            <w:tcW w:w="989" w:type="dxa"/>
            <w:tcBorders>
              <w:top w:val="single" w:color="000000" w:sz="4" w:space="0"/>
              <w:left w:val="single" w:color="000000" w:sz="4" w:space="0"/>
              <w:bottom w:val="single" w:color="000000" w:sz="4" w:space="0"/>
              <w:right w:val="single" w:color="000000" w:sz="4" w:space="0"/>
            </w:tcBorders>
          </w:tcPr>
          <w:p w14:paraId="51370EB9">
            <w:pPr>
              <w:widowControl w:val="0"/>
              <w:spacing w:line="288" w:lineRule="auto"/>
              <w:contextualSpacing/>
              <w:jc w:val="both"/>
              <w:rPr>
                <w:rFonts w:eastAsia="Arial"/>
                <w:b/>
                <w:bCs/>
                <w:sz w:val="24"/>
                <w:szCs w:val="24"/>
              </w:rPr>
            </w:pPr>
            <w:r>
              <w:rPr>
                <w:rFonts w:eastAsia="Arial"/>
                <w:b/>
                <w:bCs/>
                <w:sz w:val="24"/>
                <w:szCs w:val="24"/>
              </w:rPr>
              <w:t>VALOR TOTAL</w:t>
            </w:r>
          </w:p>
        </w:tc>
      </w:tr>
      <w:tr w14:paraId="466B674F">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595F0C57">
            <w:pPr>
              <w:widowControl w:val="0"/>
              <w:spacing w:line="288" w:lineRule="auto"/>
              <w:contextualSpacing/>
              <w:jc w:val="both"/>
              <w:rPr>
                <w:rFonts w:eastAsia="Arial"/>
                <w:b/>
                <w:bCs/>
                <w:color w:val="000000"/>
                <w:sz w:val="24"/>
                <w:szCs w:val="24"/>
              </w:rPr>
            </w:pPr>
            <w:r>
              <w:rPr>
                <w:rFonts w:eastAsia="Arial"/>
                <w:b/>
                <w:bCs/>
                <w:color w:val="000000"/>
                <w:sz w:val="24"/>
                <w:szCs w:val="24"/>
              </w:rPr>
              <w:t>1</w:t>
            </w:r>
          </w:p>
        </w:tc>
        <w:tc>
          <w:tcPr>
            <w:tcW w:w="2240" w:type="dxa"/>
            <w:tcBorders>
              <w:top w:val="single" w:color="000000" w:sz="4" w:space="0"/>
              <w:left w:val="single" w:color="000000" w:sz="4" w:space="0"/>
              <w:bottom w:val="single" w:color="000000" w:sz="4" w:space="0"/>
              <w:right w:val="single" w:color="000000" w:sz="4" w:space="0"/>
            </w:tcBorders>
          </w:tcPr>
          <w:p w14:paraId="2E695B2B">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1ADB5A3D">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6C2192ED">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F0E73D9">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487F3F72">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4B1DCAB">
            <w:pPr>
              <w:widowControl w:val="0"/>
              <w:spacing w:line="288" w:lineRule="auto"/>
              <w:contextualSpacing/>
              <w:jc w:val="both"/>
              <w:rPr>
                <w:rFonts w:eastAsia="Arial"/>
                <w:color w:val="000000"/>
                <w:sz w:val="24"/>
                <w:szCs w:val="24"/>
              </w:rPr>
            </w:pPr>
          </w:p>
        </w:tc>
      </w:tr>
      <w:tr w14:paraId="4BF7ECC6">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21671DB7">
            <w:pPr>
              <w:widowControl w:val="0"/>
              <w:spacing w:line="288" w:lineRule="auto"/>
              <w:contextualSpacing/>
              <w:jc w:val="both"/>
              <w:rPr>
                <w:rFonts w:eastAsia="Arial"/>
                <w:b/>
                <w:bCs/>
                <w:color w:val="000000"/>
                <w:sz w:val="24"/>
                <w:szCs w:val="24"/>
              </w:rPr>
            </w:pPr>
            <w:r>
              <w:rPr>
                <w:rFonts w:eastAsia="Arial"/>
                <w:b/>
                <w:bCs/>
                <w:color w:val="000000"/>
                <w:sz w:val="24"/>
                <w:szCs w:val="24"/>
              </w:rPr>
              <w:t>2</w:t>
            </w:r>
          </w:p>
        </w:tc>
        <w:tc>
          <w:tcPr>
            <w:tcW w:w="2240" w:type="dxa"/>
            <w:tcBorders>
              <w:top w:val="single" w:color="000000" w:sz="4" w:space="0"/>
              <w:left w:val="single" w:color="000000" w:sz="4" w:space="0"/>
              <w:bottom w:val="single" w:color="000000" w:sz="4" w:space="0"/>
              <w:right w:val="single" w:color="000000" w:sz="4" w:space="0"/>
            </w:tcBorders>
          </w:tcPr>
          <w:p w14:paraId="0BEBAB0F">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6B0E0D0D">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517AB2E">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480EB623">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776E3FEB">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B970717">
            <w:pPr>
              <w:widowControl w:val="0"/>
              <w:spacing w:line="288" w:lineRule="auto"/>
              <w:contextualSpacing/>
              <w:jc w:val="both"/>
              <w:rPr>
                <w:rFonts w:eastAsia="Arial"/>
                <w:color w:val="000000"/>
                <w:sz w:val="24"/>
                <w:szCs w:val="24"/>
              </w:rPr>
            </w:pPr>
          </w:p>
        </w:tc>
      </w:tr>
      <w:tr w14:paraId="56305809">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01434598">
            <w:pPr>
              <w:widowControl w:val="0"/>
              <w:spacing w:line="288" w:lineRule="auto"/>
              <w:contextualSpacing/>
              <w:jc w:val="both"/>
              <w:rPr>
                <w:rFonts w:eastAsia="Arial"/>
                <w:b/>
                <w:bCs/>
                <w:color w:val="000000"/>
                <w:sz w:val="24"/>
                <w:szCs w:val="24"/>
              </w:rPr>
            </w:pPr>
            <w:r>
              <w:rPr>
                <w:rFonts w:eastAsia="Arial"/>
                <w:b/>
                <w:bCs/>
                <w:color w:val="000000"/>
                <w:sz w:val="24"/>
                <w:szCs w:val="24"/>
              </w:rPr>
              <w:t>3</w:t>
            </w:r>
          </w:p>
        </w:tc>
        <w:tc>
          <w:tcPr>
            <w:tcW w:w="2240" w:type="dxa"/>
            <w:tcBorders>
              <w:top w:val="single" w:color="000000" w:sz="4" w:space="0"/>
              <w:left w:val="single" w:color="000000" w:sz="4" w:space="0"/>
              <w:bottom w:val="single" w:color="000000" w:sz="4" w:space="0"/>
              <w:right w:val="single" w:color="000000" w:sz="4" w:space="0"/>
            </w:tcBorders>
          </w:tcPr>
          <w:p w14:paraId="0CD18DA5">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5E33B9F9">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0172724B">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1E976789">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316BC6C4">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0EB523F0">
            <w:pPr>
              <w:widowControl w:val="0"/>
              <w:spacing w:line="288" w:lineRule="auto"/>
              <w:contextualSpacing/>
              <w:jc w:val="both"/>
              <w:rPr>
                <w:rFonts w:eastAsia="Arial"/>
                <w:color w:val="000000"/>
                <w:sz w:val="24"/>
                <w:szCs w:val="24"/>
              </w:rPr>
            </w:pPr>
          </w:p>
        </w:tc>
      </w:tr>
      <w:tr w14:paraId="06CDE73E">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17AE290D">
            <w:pPr>
              <w:widowControl w:val="0"/>
              <w:spacing w:line="288" w:lineRule="auto"/>
              <w:contextualSpacing/>
              <w:jc w:val="both"/>
              <w:rPr>
                <w:rFonts w:eastAsia="Arial"/>
                <w:b/>
                <w:bCs/>
                <w:color w:val="000000"/>
                <w:sz w:val="24"/>
                <w:szCs w:val="24"/>
              </w:rPr>
            </w:pPr>
            <w:r>
              <w:rPr>
                <w:rFonts w:eastAsia="Arial"/>
                <w:b/>
                <w:bCs/>
                <w:color w:val="000000"/>
                <w:sz w:val="24"/>
                <w:szCs w:val="24"/>
              </w:rPr>
              <w:t>...</w:t>
            </w:r>
          </w:p>
        </w:tc>
        <w:tc>
          <w:tcPr>
            <w:tcW w:w="2240" w:type="dxa"/>
            <w:tcBorders>
              <w:top w:val="single" w:color="000000" w:sz="4" w:space="0"/>
              <w:left w:val="single" w:color="000000" w:sz="4" w:space="0"/>
              <w:bottom w:val="single" w:color="000000" w:sz="4" w:space="0"/>
              <w:right w:val="single" w:color="000000" w:sz="4" w:space="0"/>
            </w:tcBorders>
          </w:tcPr>
          <w:p w14:paraId="0F69965E">
            <w:pPr>
              <w:widowControl w:val="0"/>
              <w:spacing w:line="288" w:lineRule="auto"/>
              <w:contextualSpacing/>
              <w:jc w:val="both"/>
              <w:rPr>
                <w:rFonts w:eastAsia="Arial"/>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60BA41EE">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648020A0">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227079D0">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4FFDD250">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77A3847">
            <w:pPr>
              <w:widowControl w:val="0"/>
              <w:spacing w:line="288" w:lineRule="auto"/>
              <w:contextualSpacing/>
              <w:jc w:val="both"/>
              <w:rPr>
                <w:rFonts w:eastAsia="Arial"/>
                <w:color w:val="000000"/>
                <w:sz w:val="24"/>
                <w:szCs w:val="24"/>
              </w:rPr>
            </w:pPr>
          </w:p>
        </w:tc>
      </w:tr>
    </w:tbl>
    <w:p w14:paraId="242CFB22">
      <w:pPr>
        <w:autoSpaceDE w:val="0"/>
        <w:spacing w:line="288" w:lineRule="auto"/>
        <w:contextualSpacing/>
        <w:jc w:val="both"/>
        <w:rPr>
          <w:sz w:val="24"/>
          <w:szCs w:val="24"/>
          <w:lang w:val="zh-CN"/>
        </w:rPr>
      </w:pPr>
      <w:r>
        <w:rPr>
          <w:sz w:val="24"/>
          <w:szCs w:val="24"/>
          <w:lang w:val="zh-CN"/>
        </w:rPr>
        <w:tab/>
      </w:r>
    </w:p>
    <w:p w14:paraId="6CAB175F">
      <w:pPr>
        <w:pStyle w:val="99"/>
        <w:tabs>
          <w:tab w:val="left" w:pos="1620"/>
        </w:tabs>
        <w:spacing w:before="0" w:after="0" w:line="288" w:lineRule="auto"/>
        <w:ind w:left="0" w:firstLine="0"/>
        <w:contextualSpacing/>
        <w:rPr>
          <w:rFonts w:ascii="Times New Roman" w:hAnsi="Times New Roman" w:cs="Times New Roman"/>
          <w:sz w:val="24"/>
          <w:szCs w:val="24"/>
          <w:lang w:val="zh-CN"/>
        </w:rPr>
      </w:pPr>
      <w:r>
        <w:rPr>
          <w:rFonts w:ascii="Times New Roman" w:hAnsi="Times New Roman" w:cs="Times New Roman"/>
          <w:sz w:val="24"/>
          <w:szCs w:val="24"/>
        </w:rPr>
        <w:t xml:space="preserve"> 1.3    São anexos a este instrumento e vinculam esta contratação, independentemente de transcrição:</w:t>
      </w:r>
    </w:p>
    <w:p w14:paraId="7AAC9769">
      <w:pPr>
        <w:pStyle w:val="99"/>
        <w:spacing w:before="0" w:after="0" w:line="288" w:lineRule="auto"/>
        <w:ind w:left="0" w:firstLine="0"/>
        <w:contextualSpacing/>
        <w:rPr>
          <w:rFonts w:ascii="Times New Roman" w:hAnsi="Times New Roman" w:cs="Times New Roman"/>
          <w:sz w:val="24"/>
          <w:szCs w:val="24"/>
          <w:lang w:val="zh-CN"/>
        </w:rPr>
      </w:pPr>
    </w:p>
    <w:p w14:paraId="4A3999BF">
      <w:pPr>
        <w:pStyle w:val="10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1.3.1 O Termo de Referência que embasou a contratação;</w:t>
      </w:r>
    </w:p>
    <w:p w14:paraId="1ECBFEF1">
      <w:pPr>
        <w:pStyle w:val="103"/>
        <w:spacing w:before="0" w:after="0" w:line="288" w:lineRule="auto"/>
        <w:ind w:left="0" w:firstLine="0"/>
        <w:contextualSpacing/>
        <w:rPr>
          <w:rFonts w:ascii="Times New Roman" w:hAnsi="Times New Roman" w:cs="Times New Roman"/>
          <w:color w:val="auto"/>
          <w:sz w:val="24"/>
          <w:szCs w:val="24"/>
          <w:lang w:val="zh-CN"/>
        </w:rPr>
      </w:pPr>
    </w:p>
    <w:p w14:paraId="13003321">
      <w:pPr>
        <w:pStyle w:val="10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sz w:val="24"/>
          <w:szCs w:val="24"/>
        </w:rPr>
        <w:t>1.3.2 O instrumento convocatório, assim considerado o Edital de Licitação ou o Aviso de Contratação Direta, conforme o caso</w:t>
      </w:r>
      <w:r>
        <w:rPr>
          <w:rFonts w:ascii="Times New Roman" w:hAnsi="Times New Roman" w:cs="Times New Roman"/>
          <w:color w:val="auto"/>
          <w:sz w:val="24"/>
          <w:szCs w:val="24"/>
        </w:rPr>
        <w:t>;</w:t>
      </w:r>
    </w:p>
    <w:p w14:paraId="09B628B9">
      <w:pPr>
        <w:pStyle w:val="103"/>
        <w:spacing w:before="0" w:after="0" w:line="288" w:lineRule="auto"/>
        <w:ind w:left="0" w:firstLine="0"/>
        <w:contextualSpacing/>
        <w:rPr>
          <w:rFonts w:ascii="Times New Roman" w:hAnsi="Times New Roman" w:cs="Times New Roman"/>
          <w:color w:val="auto"/>
          <w:sz w:val="24"/>
          <w:szCs w:val="24"/>
          <w:lang w:val="zh-CN"/>
        </w:rPr>
      </w:pPr>
    </w:p>
    <w:p w14:paraId="2C44E95F">
      <w:pPr>
        <w:pStyle w:val="10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 xml:space="preserve">1.3.3 A Proposta do </w:t>
      </w:r>
      <w:r>
        <w:rPr>
          <w:rFonts w:ascii="Times New Roman" w:hAnsi="Times New Roman" w:eastAsia="Arial" w:cs="Times New Roman"/>
          <w:b/>
          <w:bCs/>
          <w:sz w:val="24"/>
          <w:szCs w:val="24"/>
        </w:rPr>
        <w:t>CONTRATADO</w:t>
      </w:r>
      <w:r>
        <w:rPr>
          <w:rFonts w:ascii="Times New Roman" w:hAnsi="Times New Roman" w:cs="Times New Roman"/>
          <w:color w:val="auto"/>
          <w:sz w:val="24"/>
          <w:szCs w:val="24"/>
        </w:rPr>
        <w:t xml:space="preserve">, </w:t>
      </w:r>
      <w:r>
        <w:rPr>
          <w:rFonts w:ascii="Times New Roman" w:hAnsi="Times New Roman" w:cs="Times New Roman"/>
          <w:sz w:val="24"/>
          <w:szCs w:val="24"/>
        </w:rPr>
        <w:t>que, em caso de divergência com as condições estabelecidas neste Contrato e nos demais instrumentos anexos, cederá àquelas</w:t>
      </w:r>
      <w:r>
        <w:rPr>
          <w:rFonts w:ascii="Times New Roman" w:hAnsi="Times New Roman" w:cs="Times New Roman"/>
          <w:color w:val="auto"/>
          <w:sz w:val="24"/>
          <w:szCs w:val="24"/>
        </w:rPr>
        <w:t>;</w:t>
      </w:r>
    </w:p>
    <w:p w14:paraId="6AB9A2C6">
      <w:pPr>
        <w:pStyle w:val="103"/>
        <w:spacing w:before="0" w:after="0" w:line="288" w:lineRule="auto"/>
        <w:ind w:left="0" w:firstLine="0"/>
        <w:contextualSpacing/>
        <w:rPr>
          <w:rFonts w:ascii="Times New Roman" w:hAnsi="Times New Roman" w:cs="Times New Roman"/>
          <w:color w:val="auto"/>
          <w:sz w:val="24"/>
          <w:szCs w:val="24"/>
          <w:lang w:val="zh-CN"/>
        </w:rPr>
      </w:pPr>
    </w:p>
    <w:p w14:paraId="6EA667C9">
      <w:pPr>
        <w:pStyle w:val="10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1.3.4 Eventuais </w:t>
      </w:r>
      <w:r>
        <w:rPr>
          <w:rFonts w:ascii="Times New Roman" w:hAnsi="Times New Roman" w:cs="Times New Roman"/>
          <w:sz w:val="24"/>
          <w:szCs w:val="24"/>
        </w:rPr>
        <w:t>anexos dos documentos supracitados.</w:t>
      </w:r>
    </w:p>
    <w:p w14:paraId="00E86C68">
      <w:pPr>
        <w:pStyle w:val="103"/>
        <w:spacing w:before="0" w:after="0" w:line="288" w:lineRule="auto"/>
        <w:ind w:left="0" w:firstLine="0"/>
        <w:contextualSpacing/>
        <w:rPr>
          <w:rFonts w:ascii="Times New Roman" w:hAnsi="Times New Roman" w:cs="Times New Roman"/>
          <w:sz w:val="24"/>
          <w:szCs w:val="24"/>
          <w:lang w:val="zh-CN"/>
        </w:rPr>
      </w:pPr>
    </w:p>
    <w:p w14:paraId="6F9371EC">
      <w:pPr>
        <w:spacing w:line="288" w:lineRule="auto"/>
        <w:contextualSpacing/>
        <w:jc w:val="both"/>
        <w:rPr>
          <w:sz w:val="24"/>
          <w:szCs w:val="24"/>
        </w:rPr>
      </w:pPr>
      <w:r>
        <w:rPr>
          <w:sz w:val="24"/>
          <w:szCs w:val="24"/>
        </w:rPr>
        <w:t>1.4 Havendo qualquer divergência entre as disposições deste instrumento e dos seus Anexos, como o Termo de Referência, prevalecerá o disposto no presente Contrato.</w:t>
      </w:r>
    </w:p>
    <w:p w14:paraId="06866805">
      <w:pPr>
        <w:spacing w:line="288" w:lineRule="auto"/>
        <w:contextualSpacing/>
        <w:jc w:val="both"/>
        <w:rPr>
          <w:sz w:val="24"/>
          <w:szCs w:val="24"/>
        </w:rPr>
      </w:pPr>
    </w:p>
    <w:p w14:paraId="6D513B71">
      <w:pPr>
        <w:pStyle w:val="107"/>
        <w:numPr>
          <w:ilvl w:val="0"/>
          <w:numId w:val="0"/>
        </w:numPr>
        <w:spacing w:before="0" w:after="0" w:line="288" w:lineRule="auto"/>
        <w:contextualSpacing/>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60623DA8">
      <w:pPr>
        <w:spacing w:line="288" w:lineRule="auto"/>
        <w:contextualSpacing/>
        <w:jc w:val="both"/>
        <w:rPr>
          <w:sz w:val="24"/>
          <w:szCs w:val="24"/>
        </w:rPr>
      </w:pPr>
    </w:p>
    <w:p w14:paraId="33E44D8B">
      <w:pPr>
        <w:tabs>
          <w:tab w:val="left" w:pos="7938"/>
        </w:tabs>
        <w:spacing w:line="288" w:lineRule="auto"/>
        <w:ind w:right="849"/>
        <w:contextualSpacing/>
        <w:jc w:val="both"/>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2.1 O prazo de vigência do Contrato é de ..........</w:t>
      </w:r>
      <w:r>
        <w:rPr>
          <w:rFonts w:eastAsia="Arial"/>
          <w:color w:val="000000" w:themeColor="text1"/>
          <w:sz w:val="24"/>
          <w:szCs w:val="24"/>
          <w14:textFill>
            <w14:solidFill>
              <w14:schemeClr w14:val="tx1"/>
            </w14:solidFill>
          </w14:textFill>
        </w:rPr>
        <w:t xml:space="preserve"> (dias/meses/anos), contado da expedição da </w:t>
      </w:r>
      <w:r>
        <w:rPr>
          <w:color w:val="000000" w:themeColor="text1"/>
          <w:sz w:val="24"/>
          <w:szCs w:val="24"/>
          <w14:textFill>
            <w14:solidFill>
              <w14:schemeClr w14:val="tx1"/>
            </w14:solidFill>
          </w14:textFill>
        </w:rPr>
        <w:t>Autorização de Fornecimento</w:t>
      </w:r>
      <w:r>
        <w:rPr>
          <w:rFonts w:eastAsia="Arial"/>
          <w:color w:val="000000" w:themeColor="text1"/>
          <w:sz w:val="24"/>
          <w:szCs w:val="24"/>
          <w14:textFill>
            <w14:solidFill>
              <w14:schemeClr w14:val="tx1"/>
            </w14:solidFill>
          </w14:textFill>
        </w:rPr>
        <w:t>, desde que previamente divulgado no Portal Nacional de Contratações Públicas.</w:t>
      </w:r>
      <w:r>
        <w:rPr>
          <w:bCs/>
          <w:color w:val="000000" w:themeColor="text1"/>
          <w:sz w:val="24"/>
          <w:szCs w:val="24"/>
          <w14:textFill>
            <w14:solidFill>
              <w14:schemeClr w14:val="tx1"/>
            </w14:solidFill>
          </w14:textFill>
        </w:rPr>
        <w:t xml:space="preserve"> </w:t>
      </w:r>
    </w:p>
    <w:p w14:paraId="587F9C78">
      <w:pPr>
        <w:spacing w:line="288" w:lineRule="auto"/>
        <w:ind w:left="567" w:right="565"/>
        <w:contextualSpacing/>
        <w:jc w:val="both"/>
        <w:rPr>
          <w:color w:val="000000" w:themeColor="text1"/>
          <w:sz w:val="24"/>
          <w:szCs w:val="24"/>
          <w14:textFill>
            <w14:solidFill>
              <w14:schemeClr w14:val="tx1"/>
            </w14:solidFill>
          </w14:textFill>
        </w:rPr>
      </w:pPr>
    </w:p>
    <w:p w14:paraId="32A292AB">
      <w:pPr>
        <w:spacing w:line="288" w:lineRule="auto"/>
        <w:ind w:right="565"/>
        <w:contextualSpacing/>
        <w:jc w:val="both"/>
        <w:rPr>
          <w:rFonts w:eastAsia="Arial"/>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 O prazo de vigência do Contrato poderá</w:t>
      </w:r>
      <w:r>
        <w:rPr>
          <w:rFonts w:eastAsia="Arial"/>
          <w:color w:val="000000" w:themeColor="text1"/>
          <w:sz w:val="24"/>
          <w:szCs w:val="24"/>
          <w14:textFill>
            <w14:solidFill>
              <w14:schemeClr w14:val="tx1"/>
            </w14:solidFill>
          </w14:textFill>
        </w:rPr>
        <w:t xml:space="preserve"> ser prorrogado, sucessivamente, até o máximo de 10 (dez) anos, na forma dos artigos 106 e 107 da </w:t>
      </w:r>
      <w:r>
        <w:fldChar w:fldCharType="begin"/>
      </w:r>
      <w:r>
        <w:instrText xml:space="preserve"> HYPERLINK "http://www.planalto.gov.br/ccivil_03/_ato2019-2022/2021/lei/L14133.htm" </w:instrText>
      </w:r>
      <w:r>
        <w:fldChar w:fldCharType="separate"/>
      </w:r>
      <w:r>
        <w:rPr>
          <w:rStyle w:val="16"/>
          <w:rFonts w:eastAsia="Arial"/>
          <w:color w:val="000000" w:themeColor="text1"/>
          <w:sz w:val="24"/>
          <w:szCs w:val="24"/>
          <w14:textFill>
            <w14:solidFill>
              <w14:schemeClr w14:val="tx1"/>
            </w14:solidFill>
          </w14:textFill>
        </w:rPr>
        <w:t>Lei nº 14.133/2021</w:t>
      </w:r>
      <w:r>
        <w:rPr>
          <w:rStyle w:val="16"/>
          <w:rFonts w:eastAsia="Arial"/>
          <w:color w:val="000000" w:themeColor="text1"/>
          <w:sz w:val="24"/>
          <w:szCs w:val="24"/>
          <w14:textFill>
            <w14:solidFill>
              <w14:schemeClr w14:val="tx1"/>
            </w14:solidFill>
          </w14:textFill>
        </w:rPr>
        <w:fldChar w:fldCharType="end"/>
      </w:r>
      <w:r>
        <w:rPr>
          <w:rFonts w:eastAsia="Arial"/>
          <w:color w:val="000000" w:themeColor="text1"/>
          <w:sz w:val="24"/>
          <w:szCs w:val="24"/>
          <w14:textFill>
            <w14:solidFill>
              <w14:schemeClr w14:val="tx1"/>
            </w14:solidFill>
          </w14:textFill>
        </w:rPr>
        <w:t>.</w:t>
      </w:r>
    </w:p>
    <w:p w14:paraId="21E17341">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2.2.1 A prorrogação de que trata este item é condicionada ao ateste, pela autoridade competente, de que as condições e os preços permanecem vantajosos para a Administração, permitida a negociação com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desde que observados, ainda, os seguintes requisitos:</w:t>
      </w:r>
    </w:p>
    <w:p w14:paraId="610F42E1">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 demonstração formal, no processo, de que a forma do fornecimento tem natureza continuada;</w:t>
      </w:r>
    </w:p>
    <w:p w14:paraId="21858968">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b) juntada de relatório sobre a execução do Contrato, com informações de que o fornecimento tenha sido realizado regularmente;  </w:t>
      </w:r>
    </w:p>
    <w:p w14:paraId="1AF52231">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c) juntada de justificativa de que a Administração mantém interesse na continuidade do fornecimento;  </w:t>
      </w:r>
    </w:p>
    <w:p w14:paraId="492D693F">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 manifestação expressa do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informando o interesse na prorrogação; </w:t>
      </w:r>
    </w:p>
    <w:p w14:paraId="6E2B7F9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e) comprovação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mantém as condições de habilitação; e</w:t>
      </w:r>
    </w:p>
    <w:p w14:paraId="15CB68D4">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f) informação quanto à existência de disponibilidade orçamentário-financeira para as despesas vindouras.</w:t>
      </w:r>
    </w:p>
    <w:p w14:paraId="378148E2">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2.3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tem direito subjetivo à prorrogação do prazo de vigência contratual.</w:t>
      </w:r>
    </w:p>
    <w:p w14:paraId="75D5E4F5">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2.4 A prorrogação do Contrato deverá ser promovida mediante a celebração de termo aditivo.</w:t>
      </w:r>
    </w:p>
    <w:p w14:paraId="29BD898F">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2.5 O Contrato não poderá ser prorrogado quando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tiver sido penalizado com as sanções de declaração de inidoneidade ou impedimento de licitar e contratar com o Poder Público, observadas as abrangências de aplicação.</w:t>
      </w:r>
    </w:p>
    <w:p w14:paraId="675304D8">
      <w:pPr>
        <w:pStyle w:val="101"/>
        <w:tabs>
          <w:tab w:val="left" w:pos="32"/>
          <w:tab w:val="clear" w:pos="567"/>
        </w:tabs>
        <w:spacing w:before="288" w:beforeLines="120" w:after="288" w:afterLines="120" w:line="288" w:lineRule="auto"/>
        <w:ind w:left="34" w:firstLine="0"/>
        <w:contextualSpacing/>
        <w:rPr>
          <w:rFonts w:ascii="Times New Roman" w:hAnsi="Times New Roman" w:cs="Times New Roman"/>
          <w:sz w:val="24"/>
          <w:szCs w:val="24"/>
        </w:rPr>
      </w:pPr>
      <w:r>
        <w:rPr>
          <w:rFonts w:ascii="Times New Roman" w:hAnsi="Times New Roman" w:cs="Times New Roman"/>
          <w:sz w:val="24"/>
          <w:szCs w:val="24"/>
        </w:rPr>
        <w:t>CLÁUSULA TERCEIRA – EXECUÇÃO, GESTÃO E FISCALIZAÇÃO CONTRATUAIS</w:t>
      </w:r>
    </w:p>
    <w:p w14:paraId="76EDC0C3">
      <w:pPr>
        <w:pStyle w:val="101"/>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p>
    <w:p w14:paraId="1A08E111">
      <w:pPr>
        <w:pStyle w:val="101"/>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40, 25 de fevereiro de 2025.</w:t>
      </w:r>
    </w:p>
    <w:p w14:paraId="61AF1620">
      <w:pPr>
        <w:pStyle w:val="101"/>
        <w:spacing w:before="0" w:line="288" w:lineRule="auto"/>
        <w:ind w:left="0" w:firstLine="0"/>
        <w:contextualSpacing/>
        <w:rPr>
          <w:rFonts w:ascii="Times New Roman" w:hAnsi="Times New Roman" w:cs="Times New Roman"/>
          <w:sz w:val="24"/>
          <w:szCs w:val="24"/>
        </w:rPr>
      </w:pPr>
    </w:p>
    <w:p w14:paraId="14F0B85F">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QUARTA – SUBCONTRATAÇÃO</w:t>
      </w:r>
    </w:p>
    <w:p w14:paraId="71DDD9D1">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66FA27CD">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 Não será admitida a subcontratação do objeto contratual.</w:t>
      </w:r>
    </w:p>
    <w:p w14:paraId="25D5CD80">
      <w:pPr>
        <w:pStyle w:val="113"/>
        <w:spacing w:before="0" w:after="0" w:line="288" w:lineRule="auto"/>
        <w:contextualSpacing/>
        <w:jc w:val="both"/>
        <w:rPr>
          <w:rFonts w:ascii="Times New Roman" w:hAnsi="Times New Roman" w:cs="Times New Roman"/>
          <w:lang w:eastAsia="zh-CN" w:bidi="hi-IN"/>
        </w:rPr>
      </w:pPr>
    </w:p>
    <w:p w14:paraId="16395BCE">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QUINTA – PREÇO</w:t>
      </w:r>
    </w:p>
    <w:p w14:paraId="31839912">
      <w:pPr>
        <w:pStyle w:val="113"/>
        <w:spacing w:before="0" w:after="0" w:line="288" w:lineRule="auto"/>
        <w:contextualSpacing/>
        <w:jc w:val="both"/>
        <w:rPr>
          <w:rFonts w:ascii="Times New Roman" w:hAnsi="Times New Roman" w:cs="Times New Roman"/>
          <w:b w:val="0"/>
          <w:bCs w:val="0"/>
          <w:i w:val="0"/>
          <w:iCs w:val="0"/>
          <w:u w:val="none"/>
        </w:rPr>
      </w:pPr>
    </w:p>
    <w:p w14:paraId="209419F6">
      <w:pPr>
        <w:pStyle w:val="108"/>
        <w:numPr>
          <w:ilvl w:val="0"/>
          <w:numId w:val="0"/>
        </w:numPr>
        <w:spacing w:before="0" w:after="0" w:line="288" w:lineRule="auto"/>
        <w:contextualSpacing/>
        <w:rPr>
          <w:rFonts w:ascii="Times New Roman" w:hAnsi="Times New Roman" w:cs="Times New Roman"/>
          <w:i w:val="0"/>
          <w:iCs w:val="0"/>
          <w:color w:val="auto"/>
          <w:sz w:val="24"/>
          <w:szCs w:val="24"/>
          <w:lang w:eastAsia="en-US"/>
        </w:rPr>
      </w:pPr>
      <w:r>
        <w:rPr>
          <w:rFonts w:ascii="Times New Roman" w:hAnsi="Times New Roman" w:cs="Times New Roman"/>
          <w:i w:val="0"/>
          <w:iCs w:val="0"/>
          <w:color w:val="auto"/>
          <w:sz w:val="24"/>
          <w:szCs w:val="24"/>
        </w:rPr>
        <w:t xml:space="preserve">5.1 O valor total máximo do Contrato é de R$ </w:t>
      </w:r>
      <w:r>
        <w:rPr>
          <w:rFonts w:ascii="Times New Roman" w:hAnsi="Times New Roman" w:cs="Times New Roman"/>
          <w:i w:val="0"/>
          <w:iCs w:val="0"/>
          <w:sz w:val="24"/>
          <w:szCs w:val="24"/>
          <w:lang w:eastAsia="en-US"/>
        </w:rPr>
        <w:t xml:space="preserve">......... </w:t>
      </w:r>
      <w:r>
        <w:rPr>
          <w:rFonts w:ascii="Times New Roman" w:hAnsi="Times New Roman" w:cs="Times New Roman"/>
          <w:i w:val="0"/>
          <w:iCs w:val="0"/>
          <w:color w:val="auto"/>
          <w:sz w:val="24"/>
          <w:szCs w:val="24"/>
          <w:lang w:eastAsia="en-US"/>
        </w:rPr>
        <w:t>(</w:t>
      </w:r>
      <w:r>
        <w:rPr>
          <w:rFonts w:ascii="Times New Roman" w:hAnsi="Times New Roman" w:cs="Times New Roman"/>
          <w:iCs w:val="0"/>
          <w:sz w:val="24"/>
          <w:szCs w:val="24"/>
        </w:rPr>
        <w:t>.....</w:t>
      </w:r>
      <w:r>
        <w:rPr>
          <w:rFonts w:ascii="Times New Roman" w:hAnsi="Times New Roman" w:cs="Times New Roman"/>
          <w:i w:val="0"/>
          <w:iCs w:val="0"/>
          <w:color w:val="auto"/>
          <w:sz w:val="24"/>
          <w:szCs w:val="24"/>
          <w:lang w:eastAsia="en-US"/>
        </w:rPr>
        <w:t>).</w:t>
      </w:r>
    </w:p>
    <w:p w14:paraId="6CB4C4B6">
      <w:pPr>
        <w:pStyle w:val="108"/>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6DEB6BDB">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7B95A691">
      <w:pPr>
        <w:pStyle w:val="108"/>
        <w:numPr>
          <w:ilvl w:val="0"/>
          <w:numId w:val="0"/>
        </w:numPr>
        <w:spacing w:before="0" w:after="0" w:line="288" w:lineRule="auto"/>
        <w:contextualSpacing/>
        <w:rPr>
          <w:rFonts w:ascii="Times New Roman" w:hAnsi="Times New Roman" w:cs="Times New Roman"/>
          <w:i w:val="0"/>
          <w:iCs w:val="0"/>
          <w:sz w:val="24"/>
          <w:szCs w:val="24"/>
        </w:rPr>
      </w:pPr>
    </w:p>
    <w:p w14:paraId="37240C2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5.3 Os pagamentos devidos ao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xml:space="preserve"> dependerão dos quantitativos efetivamente fornecidos.</w:t>
      </w:r>
    </w:p>
    <w:p w14:paraId="7CF3EBCB">
      <w:pPr>
        <w:pStyle w:val="108"/>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34A9B598">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SEXTA – PAGAMENTO</w:t>
      </w:r>
    </w:p>
    <w:p w14:paraId="6DA862F4">
      <w:pPr>
        <w:spacing w:line="288" w:lineRule="auto"/>
        <w:contextualSpacing/>
        <w:jc w:val="both"/>
        <w:rPr>
          <w:sz w:val="24"/>
          <w:szCs w:val="24"/>
        </w:rPr>
      </w:pPr>
    </w:p>
    <w:p w14:paraId="6FE92991">
      <w:pPr>
        <w:pStyle w:val="20"/>
        <w:spacing w:line="288" w:lineRule="auto"/>
        <w:contextualSpacing/>
        <w:jc w:val="both"/>
        <w:rPr>
          <w:rFonts w:ascii="Times New Roman" w:hAnsi="Times New Roman" w:cs="Times New Roman"/>
        </w:rPr>
      </w:pPr>
      <w:r>
        <w:rPr>
          <w:rFonts w:ascii="Times New Roman" w:hAnsi="Times New Roman" w:cs="Times New Roman"/>
        </w:rPr>
        <w:t xml:space="preserve">6.1 O </w:t>
      </w:r>
      <w:r>
        <w:rPr>
          <w:rFonts w:ascii="Times New Roman" w:hAnsi="Times New Roman" w:cs="Times New Roman"/>
          <w:b/>
        </w:rPr>
        <w:t>CONTRATANTE</w:t>
      </w:r>
      <w:r>
        <w:rPr>
          <w:rFonts w:ascii="Times New Roman" w:hAnsi="Times New Roman" w:cs="Times New Roman"/>
          <w:bCs/>
        </w:rPr>
        <w:t xml:space="preserve"> deverá pagar ao </w:t>
      </w:r>
      <w:r>
        <w:rPr>
          <w:rFonts w:ascii="Times New Roman" w:hAnsi="Times New Roman" w:cs="Times New Roman"/>
          <w:b/>
        </w:rPr>
        <w:t>CONTRATADO</w:t>
      </w:r>
      <w:r>
        <w:rPr>
          <w:rFonts w:ascii="Times New Roman" w:hAnsi="Times New Roman" w:cs="Times New Roman"/>
        </w:rPr>
        <w:t xml:space="preserve"> o valor total de R$ </w:t>
      </w:r>
      <w:r>
        <w:rPr>
          <w:rFonts w:ascii="Times New Roman" w:hAnsi="Times New Roman" w:cs="Times New Roman"/>
          <w:color w:val="FF0000"/>
        </w:rPr>
        <w:t xml:space="preserve">xxx </w:t>
      </w:r>
      <w:r>
        <w:rPr>
          <w:rFonts w:ascii="Times New Roman" w:hAnsi="Times New Roman" w:cs="Times New Roman"/>
        </w:rPr>
        <w:t>(</w:t>
      </w:r>
      <w:r>
        <w:rPr>
          <w:rFonts w:ascii="Times New Roman" w:hAnsi="Times New Roman" w:cs="Times New Roman"/>
          <w:iCs/>
          <w:color w:val="FF0000"/>
        </w:rPr>
        <w:t>xx</w:t>
      </w:r>
      <w:r>
        <w:rPr>
          <w:rFonts w:ascii="Times New Roman" w:hAnsi="Times New Roman" w:cs="Times New Roman"/>
        </w:rPr>
        <w:t xml:space="preserve">), em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w:t>
      </w:r>
      <w:r>
        <w:rPr>
          <w:rFonts w:ascii="Times New Roman" w:hAnsi="Times New Roman" w:cs="Times New Roman"/>
          <w:color w:val="FF0000"/>
        </w:rPr>
        <w:t xml:space="preserve"> </w:t>
      </w:r>
      <w:r>
        <w:rPr>
          <w:rFonts w:ascii="Times New Roman" w:hAnsi="Times New Roman" w:cs="Times New Roman"/>
        </w:rPr>
        <w:t xml:space="preserve">parcelas, no valor de R$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 xml:space="preserve">), cada uma delas, conforme cronograma de pagamento em anexo, diretamente na conta corrente nº </w:t>
      </w:r>
      <w:r>
        <w:rPr>
          <w:rFonts w:ascii="Times New Roman" w:hAnsi="Times New Roman" w:cs="Times New Roman"/>
          <w:color w:val="FF0000"/>
        </w:rPr>
        <w:t>......</w:t>
      </w:r>
      <w:r>
        <w:rPr>
          <w:rFonts w:ascii="Times New Roman" w:hAnsi="Times New Roman" w:cs="Times New Roman"/>
        </w:rPr>
        <w:t xml:space="preserve"> da agência </w:t>
      </w:r>
      <w:r>
        <w:rPr>
          <w:rFonts w:ascii="Times New Roman" w:hAnsi="Times New Roman" w:cs="Times New Roman"/>
          <w:color w:val="FF0000"/>
        </w:rPr>
        <w:t>......</w:t>
      </w:r>
      <w:r>
        <w:rPr>
          <w:rFonts w:ascii="Times New Roman" w:hAnsi="Times New Roman" w:cs="Times New Roman"/>
        </w:rPr>
        <w:t>, de titularidade d</w:t>
      </w:r>
      <w:r>
        <w:rPr>
          <w:rFonts w:ascii="Times New Roman" w:hAnsi="Times New Roman" w:cs="Times New Roman"/>
          <w:bCs/>
        </w:rPr>
        <w:t xml:space="preserve">o </w:t>
      </w:r>
      <w:r>
        <w:rPr>
          <w:rFonts w:ascii="Times New Roman" w:hAnsi="Times New Roman" w:cs="Times New Roman"/>
          <w:b/>
        </w:rPr>
        <w:t>CONTRATADO</w:t>
      </w:r>
      <w:r>
        <w:rPr>
          <w:rFonts w:ascii="Times New Roman" w:hAnsi="Times New Roman" w:cs="Times New Roman"/>
        </w:rPr>
        <w:t xml:space="preserve">, junto à instituição indicada pelo mesmo, observando-se o disposto no item 5.3. deste Contrato. </w:t>
      </w:r>
    </w:p>
    <w:p w14:paraId="7866DE58">
      <w:pPr>
        <w:pStyle w:val="20"/>
        <w:spacing w:line="288" w:lineRule="auto"/>
        <w:contextualSpacing/>
        <w:jc w:val="both"/>
        <w:rPr>
          <w:rFonts w:ascii="Times New Roman" w:hAnsi="Times New Roman" w:cs="Times New Roman"/>
        </w:rPr>
      </w:pPr>
    </w:p>
    <w:p w14:paraId="1CBE5D47">
      <w:pPr>
        <w:pStyle w:val="20"/>
        <w:spacing w:line="288" w:lineRule="auto"/>
        <w:contextualSpacing/>
        <w:jc w:val="both"/>
        <w:rPr>
          <w:rFonts w:ascii="Times New Roman" w:hAnsi="Times New Roman" w:cs="Times New Roman"/>
        </w:rPr>
      </w:pPr>
      <w:r>
        <w:rPr>
          <w:rFonts w:ascii="Times New Roman" w:hAnsi="Times New Roman" w:cs="Times New Roman"/>
        </w:rPr>
        <w:t xml:space="preserve">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rPr>
        <w:t>Banco Itaú S.A</w:t>
      </w:r>
      <w:r>
        <w:rPr>
          <w:rFonts w:ascii="Times New Roman" w:hAnsi="Times New Roman" w:cs="Times New Roman"/>
        </w:rPr>
        <w:t>, cujo número e agência deverão ser informados pelo adjudicatário.</w:t>
      </w:r>
    </w:p>
    <w:p w14:paraId="5EEC947D">
      <w:pPr>
        <w:spacing w:line="288" w:lineRule="auto"/>
        <w:contextualSpacing/>
        <w:jc w:val="both"/>
        <w:rPr>
          <w:sz w:val="24"/>
          <w:szCs w:val="24"/>
        </w:rPr>
      </w:pPr>
    </w:p>
    <w:p w14:paraId="35096025">
      <w:pPr>
        <w:spacing w:line="288" w:lineRule="auto"/>
        <w:contextualSpacing/>
        <w:jc w:val="both"/>
        <w:rPr>
          <w:sz w:val="24"/>
          <w:szCs w:val="24"/>
        </w:rPr>
      </w:pPr>
      <w:r>
        <w:rPr>
          <w:sz w:val="24"/>
          <w:szCs w:val="24"/>
        </w:rPr>
        <w:t xml:space="preserve">6.3 </w:t>
      </w:r>
      <w:r>
        <w:rPr>
          <w:rFonts w:eastAsia="Arial"/>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40/2025.</w:t>
      </w:r>
    </w:p>
    <w:p w14:paraId="43BA3206">
      <w:pPr>
        <w:spacing w:line="288" w:lineRule="auto"/>
        <w:contextualSpacing/>
        <w:jc w:val="both"/>
        <w:rPr>
          <w:sz w:val="24"/>
          <w:szCs w:val="24"/>
        </w:rPr>
      </w:pPr>
    </w:p>
    <w:p w14:paraId="591DEE10">
      <w:pPr>
        <w:spacing w:line="288" w:lineRule="auto"/>
        <w:contextualSpacing/>
        <w:jc w:val="both"/>
        <w:rPr>
          <w:rFonts w:eastAsia="Arial"/>
          <w:sz w:val="24"/>
          <w:szCs w:val="24"/>
        </w:rPr>
      </w:pPr>
      <w:r>
        <w:rPr>
          <w:rFonts w:eastAsia="Arial"/>
          <w:sz w:val="24"/>
          <w:szCs w:val="24"/>
        </w:rPr>
        <w:t xml:space="preserve">6.3.1 Quando houver glosa parcial do objeto, o </w:t>
      </w:r>
      <w:r>
        <w:rPr>
          <w:rFonts w:eastAsia="Arial"/>
          <w:b/>
          <w:bCs/>
          <w:sz w:val="24"/>
          <w:szCs w:val="24"/>
        </w:rPr>
        <w:t>CONTRATANTE</w:t>
      </w:r>
      <w:r>
        <w:rPr>
          <w:rFonts w:eastAsia="Arial"/>
          <w:sz w:val="24"/>
          <w:szCs w:val="24"/>
        </w:rPr>
        <w:t xml:space="preserve"> deverá comunicar ao </w:t>
      </w:r>
      <w:r>
        <w:rPr>
          <w:rFonts w:eastAsia="Arial"/>
          <w:b/>
          <w:bCs/>
          <w:sz w:val="24"/>
          <w:szCs w:val="24"/>
        </w:rPr>
        <w:t>CONTRATADO</w:t>
      </w:r>
      <w:r>
        <w:rPr>
          <w:rFonts w:eastAsia="Arial"/>
          <w:sz w:val="24"/>
          <w:szCs w:val="24"/>
        </w:rPr>
        <w:t xml:space="preserve"> para que emita Nota Fiscal ou Fatura com o valor exato dimensionado.</w:t>
      </w:r>
    </w:p>
    <w:p w14:paraId="6C42CC81">
      <w:pPr>
        <w:spacing w:line="288" w:lineRule="auto"/>
        <w:contextualSpacing/>
        <w:jc w:val="both"/>
        <w:rPr>
          <w:sz w:val="24"/>
          <w:szCs w:val="24"/>
        </w:rPr>
      </w:pPr>
    </w:p>
    <w:p w14:paraId="59AC51E5">
      <w:pPr>
        <w:spacing w:line="288" w:lineRule="auto"/>
        <w:contextualSpacing/>
        <w:jc w:val="both"/>
        <w:rPr>
          <w:rFonts w:eastAsia="Arial"/>
          <w:sz w:val="24"/>
          <w:szCs w:val="24"/>
        </w:rPr>
      </w:pPr>
      <w:r>
        <w:rPr>
          <w:sz w:val="24"/>
          <w:szCs w:val="24"/>
        </w:rPr>
        <w:t xml:space="preserve">6.4 O </w:t>
      </w:r>
      <w:r>
        <w:rPr>
          <w:b/>
          <w:bCs/>
          <w:sz w:val="24"/>
          <w:szCs w:val="24"/>
        </w:rPr>
        <w:t>CONTRATADO</w:t>
      </w:r>
      <w:r>
        <w:rPr>
          <w:sz w:val="24"/>
          <w:szCs w:val="24"/>
        </w:rPr>
        <w:t xml:space="preserve"> deverá encaminhar a Nota Fiscal ou Fatura para pagamento à </w:t>
      </w:r>
      <w:r>
        <w:rPr>
          <w:color w:val="FF0000"/>
          <w:sz w:val="24"/>
          <w:szCs w:val="24"/>
        </w:rPr>
        <w:t>......</w:t>
      </w:r>
      <w:r>
        <w:rPr>
          <w:rFonts w:eastAsia="Arial"/>
          <w:sz w:val="24"/>
          <w:szCs w:val="24"/>
        </w:rPr>
        <w:t xml:space="preserve">, situada </w:t>
      </w:r>
      <w:r>
        <w:rPr>
          <w:rFonts w:eastAsia="Arial"/>
          <w:color w:val="FF0000"/>
          <w:sz w:val="24"/>
          <w:szCs w:val="24"/>
        </w:rPr>
        <w:t xml:space="preserve">na </w:t>
      </w:r>
      <w:r>
        <w:rPr>
          <w:color w:val="FF0000"/>
          <w:sz w:val="24"/>
          <w:szCs w:val="24"/>
        </w:rPr>
        <w:t>......</w:t>
      </w:r>
      <w:r>
        <w:rPr>
          <w:rFonts w:eastAsia="Arial"/>
          <w:sz w:val="24"/>
          <w:szCs w:val="24"/>
        </w:rPr>
        <w:t xml:space="preserve">, na cidade </w:t>
      </w:r>
      <w:r>
        <w:rPr>
          <w:rFonts w:eastAsia="Arial"/>
          <w:color w:val="FF0000"/>
          <w:sz w:val="24"/>
          <w:szCs w:val="24"/>
        </w:rPr>
        <w:t xml:space="preserve">do </w:t>
      </w:r>
      <w:r>
        <w:rPr>
          <w:color w:val="FF0000"/>
          <w:sz w:val="24"/>
          <w:szCs w:val="24"/>
        </w:rPr>
        <w:t>......</w:t>
      </w:r>
      <w:r>
        <w:rPr>
          <w:rFonts w:eastAsia="Arial"/>
          <w:sz w:val="24"/>
          <w:szCs w:val="24"/>
        </w:rPr>
        <w:t xml:space="preserve">, no Estado do Rio de Janeiro ou para o endereço eletrônico </w:t>
      </w:r>
      <w:r>
        <w:rPr>
          <w:color w:val="FF0000"/>
          <w:sz w:val="24"/>
          <w:szCs w:val="24"/>
        </w:rPr>
        <w:t>......</w:t>
      </w:r>
      <w:r>
        <w:rPr>
          <w:rFonts w:eastAsia="Arial"/>
          <w:sz w:val="24"/>
          <w:szCs w:val="24"/>
        </w:rPr>
        <w:t>.</w:t>
      </w:r>
    </w:p>
    <w:p w14:paraId="42CEA0B9">
      <w:pPr>
        <w:spacing w:line="288" w:lineRule="auto"/>
        <w:contextualSpacing/>
        <w:jc w:val="both"/>
        <w:rPr>
          <w:rFonts w:eastAsia="Arial"/>
          <w:sz w:val="24"/>
          <w:szCs w:val="24"/>
        </w:rPr>
      </w:pPr>
    </w:p>
    <w:p w14:paraId="0BF8AD94">
      <w:pPr>
        <w:spacing w:line="288" w:lineRule="auto"/>
        <w:contextualSpacing/>
        <w:jc w:val="both"/>
        <w:rPr>
          <w:rFonts w:eastAsia="Arial"/>
          <w:sz w:val="24"/>
          <w:szCs w:val="24"/>
        </w:rPr>
      </w:pPr>
      <w:r>
        <w:rPr>
          <w:rFonts w:eastAsia="Arial"/>
          <w:sz w:val="24"/>
          <w:szCs w:val="24"/>
        </w:rPr>
        <w:t>6.5  Recebida a Nota Fiscal ou Fatura, o órgão competente deverá realizar consulta ao SICAF para verificar:</w:t>
      </w:r>
    </w:p>
    <w:p w14:paraId="5E27CE78">
      <w:pPr>
        <w:spacing w:line="288" w:lineRule="auto"/>
        <w:contextualSpacing/>
        <w:jc w:val="both"/>
        <w:rPr>
          <w:sz w:val="24"/>
          <w:szCs w:val="24"/>
        </w:rPr>
      </w:pPr>
      <w:r>
        <w:rPr>
          <w:sz w:val="24"/>
          <w:szCs w:val="24"/>
        </w:rPr>
        <w:t xml:space="preserve">a) a manutenção das condições de habilitação exigidas pelo instrumento convocatório; </w:t>
      </w:r>
    </w:p>
    <w:p w14:paraId="3828CB47">
      <w:pPr>
        <w:spacing w:line="288" w:lineRule="auto"/>
        <w:contextualSpacing/>
        <w:jc w:val="both"/>
        <w:rPr>
          <w:sz w:val="24"/>
          <w:szCs w:val="24"/>
        </w:rPr>
      </w:pPr>
      <w:r>
        <w:rPr>
          <w:sz w:val="24"/>
          <w:szCs w:val="24"/>
        </w:rPr>
        <w:t xml:space="preserve">b) se o </w:t>
      </w:r>
      <w:r>
        <w:rPr>
          <w:b/>
          <w:bCs/>
          <w:sz w:val="24"/>
          <w:szCs w:val="24"/>
        </w:rPr>
        <w:t>CONTRATADO</w:t>
      </w:r>
      <w:r>
        <w:rPr>
          <w:sz w:val="24"/>
          <w:szCs w:val="24"/>
        </w:rPr>
        <w:t xml:space="preserve"> foi penalizado com as sanções de declaração de inidoneidade ou impedimento de licitar e contratar com o Poder Público, observadas as abrangências de aplicação; e</w:t>
      </w:r>
    </w:p>
    <w:p w14:paraId="100B3C09">
      <w:pPr>
        <w:spacing w:line="288" w:lineRule="auto"/>
        <w:contextualSpacing/>
        <w:jc w:val="both"/>
        <w:rPr>
          <w:sz w:val="24"/>
          <w:szCs w:val="24"/>
        </w:rPr>
      </w:pPr>
      <w:r>
        <w:rPr>
          <w:sz w:val="24"/>
          <w:szCs w:val="24"/>
        </w:rPr>
        <w:t>c) eventuais ocorrências impeditivas indiretas, hipótese na qual o gestor deverá verificar se houve fraude por parte das empresas apontadas no Relatório de Ocorrências Impeditivas Indiretas;</w:t>
      </w:r>
    </w:p>
    <w:p w14:paraId="1A0AE590">
      <w:pPr>
        <w:spacing w:line="288" w:lineRule="auto"/>
        <w:contextualSpacing/>
        <w:jc w:val="both"/>
        <w:rPr>
          <w:sz w:val="24"/>
          <w:szCs w:val="24"/>
        </w:rPr>
      </w:pPr>
    </w:p>
    <w:p w14:paraId="2F1572F2">
      <w:pPr>
        <w:spacing w:line="288" w:lineRule="auto"/>
        <w:contextualSpacing/>
        <w:jc w:val="both"/>
        <w:rPr>
          <w:sz w:val="24"/>
          <w:szCs w:val="24"/>
        </w:rPr>
      </w:pPr>
      <w:r>
        <w:rPr>
          <w:sz w:val="24"/>
          <w:szCs w:val="24"/>
        </w:rPr>
        <w:t xml:space="preserve">6.5.1 Constatando-se a situação de irregularidade do </w:t>
      </w:r>
      <w:r>
        <w:rPr>
          <w:b/>
          <w:bCs/>
          <w:sz w:val="24"/>
          <w:szCs w:val="24"/>
        </w:rPr>
        <w:t>CONTRATADO</w:t>
      </w:r>
      <w:r>
        <w:rPr>
          <w:sz w:val="24"/>
          <w:szCs w:val="24"/>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bCs/>
          <w:sz w:val="24"/>
          <w:szCs w:val="24"/>
        </w:rPr>
        <w:t>CONTRATANTE</w:t>
      </w:r>
      <w:r>
        <w:rPr>
          <w:sz w:val="24"/>
          <w:szCs w:val="24"/>
        </w:rPr>
        <w:t>.</w:t>
      </w:r>
    </w:p>
    <w:p w14:paraId="64E77924">
      <w:pPr>
        <w:spacing w:line="288" w:lineRule="auto"/>
        <w:contextualSpacing/>
        <w:jc w:val="both"/>
        <w:rPr>
          <w:sz w:val="24"/>
          <w:szCs w:val="24"/>
        </w:rPr>
      </w:pPr>
    </w:p>
    <w:p w14:paraId="1F1F4202">
      <w:pPr>
        <w:spacing w:line="288" w:lineRule="auto"/>
        <w:contextualSpacing/>
        <w:jc w:val="both"/>
        <w:rPr>
          <w:sz w:val="24"/>
          <w:szCs w:val="24"/>
        </w:rPr>
      </w:pPr>
      <w:r>
        <w:rPr>
          <w:sz w:val="24"/>
          <w:szCs w:val="24"/>
        </w:rPr>
        <w:t xml:space="preserve">6.5.2 Não havendo regularização ou sendo a defesa considerada improcedente, o </w:t>
      </w:r>
      <w:r>
        <w:rPr>
          <w:b/>
          <w:bCs/>
          <w:sz w:val="24"/>
          <w:szCs w:val="24"/>
        </w:rPr>
        <w:t>CONTRATANTE</w:t>
      </w:r>
      <w:r>
        <w:rPr>
          <w:sz w:val="24"/>
          <w:szCs w:val="24"/>
        </w:rPr>
        <w:t xml:space="preserve"> deverá comunicar aos órgãos responsáveis pela fiscalização da regularidade fiscal quanto à inadimplência do </w:t>
      </w:r>
      <w:r>
        <w:rPr>
          <w:b/>
          <w:bCs/>
          <w:sz w:val="24"/>
          <w:szCs w:val="24"/>
        </w:rPr>
        <w:t>CONTRATADO</w:t>
      </w:r>
      <w:r>
        <w:rPr>
          <w:sz w:val="24"/>
          <w:szCs w:val="24"/>
        </w:rPr>
        <w:t xml:space="preserve">, bem como quanto à existência de pagamento a ser efetuado, para que sejam acionados os meios pertinentes e necessários para garantir o recebimento de seus créditos.  </w:t>
      </w:r>
    </w:p>
    <w:p w14:paraId="0D33F7BC">
      <w:pPr>
        <w:spacing w:line="288" w:lineRule="auto"/>
        <w:contextualSpacing/>
        <w:jc w:val="both"/>
        <w:rPr>
          <w:sz w:val="24"/>
          <w:szCs w:val="24"/>
        </w:rPr>
      </w:pPr>
    </w:p>
    <w:p w14:paraId="1DB392D5">
      <w:pPr>
        <w:spacing w:line="288" w:lineRule="auto"/>
        <w:contextualSpacing/>
        <w:jc w:val="both"/>
        <w:rPr>
          <w:sz w:val="24"/>
          <w:szCs w:val="24"/>
        </w:rPr>
      </w:pPr>
      <w:r>
        <w:rPr>
          <w:sz w:val="24"/>
          <w:szCs w:val="24"/>
        </w:rPr>
        <w:t xml:space="preserve">6.5.3 Persistindo a irregularidade, o </w:t>
      </w:r>
      <w:r>
        <w:rPr>
          <w:b/>
          <w:bCs/>
          <w:sz w:val="24"/>
          <w:szCs w:val="24"/>
        </w:rPr>
        <w:t>CONTRATANTE</w:t>
      </w:r>
      <w:r>
        <w:rPr>
          <w:sz w:val="24"/>
          <w:szCs w:val="24"/>
        </w:rPr>
        <w:t xml:space="preserve"> deverá adotar as medidas necessárias à rescisão do Contrato nos autos do processo administrativo correspondente, assegurada ao </w:t>
      </w:r>
      <w:r>
        <w:rPr>
          <w:b/>
          <w:bCs/>
          <w:sz w:val="24"/>
          <w:szCs w:val="24"/>
        </w:rPr>
        <w:t>CONTRATADO</w:t>
      </w:r>
      <w:r>
        <w:rPr>
          <w:sz w:val="24"/>
          <w:szCs w:val="24"/>
        </w:rPr>
        <w:t xml:space="preserve"> a ampla defesa.</w:t>
      </w:r>
    </w:p>
    <w:p w14:paraId="0D14BD50">
      <w:pPr>
        <w:spacing w:line="288" w:lineRule="auto"/>
        <w:contextualSpacing/>
        <w:jc w:val="both"/>
        <w:rPr>
          <w:sz w:val="24"/>
          <w:szCs w:val="24"/>
        </w:rPr>
      </w:pPr>
    </w:p>
    <w:p w14:paraId="6FAF67EC">
      <w:pPr>
        <w:spacing w:line="288" w:lineRule="auto"/>
        <w:contextualSpacing/>
        <w:jc w:val="both"/>
        <w:rPr>
          <w:sz w:val="24"/>
          <w:szCs w:val="24"/>
        </w:rPr>
      </w:pPr>
      <w:r>
        <w:rPr>
          <w:sz w:val="24"/>
          <w:szCs w:val="24"/>
        </w:rPr>
        <w:t xml:space="preserve">6.5.4 Havendo a efetiva execução do objeto, os pagamentos serão realizados normalmente, até que se decida pela rescisão do Contrato, caso o </w:t>
      </w:r>
      <w:r>
        <w:rPr>
          <w:b/>
          <w:bCs/>
          <w:sz w:val="24"/>
          <w:szCs w:val="24"/>
        </w:rPr>
        <w:t>CONTRATADO</w:t>
      </w:r>
      <w:r>
        <w:rPr>
          <w:sz w:val="24"/>
          <w:szCs w:val="24"/>
        </w:rPr>
        <w:t xml:space="preserve"> não regularize sua situação. </w:t>
      </w:r>
    </w:p>
    <w:p w14:paraId="3732BBFA">
      <w:pPr>
        <w:spacing w:line="288" w:lineRule="auto"/>
        <w:contextualSpacing/>
        <w:jc w:val="both"/>
        <w:rPr>
          <w:sz w:val="24"/>
          <w:szCs w:val="24"/>
        </w:rPr>
      </w:pPr>
    </w:p>
    <w:p w14:paraId="30622762">
      <w:pPr>
        <w:spacing w:line="288" w:lineRule="auto"/>
        <w:contextualSpacing/>
        <w:jc w:val="both"/>
        <w:rPr>
          <w:sz w:val="24"/>
          <w:szCs w:val="24"/>
        </w:rPr>
      </w:pPr>
      <w:r>
        <w:rPr>
          <w:sz w:val="24"/>
          <w:szCs w:val="24"/>
        </w:rPr>
        <w:t>6.6 O pagamento será efetuado no prazo máximo de até 30</w:t>
      </w:r>
      <w:r>
        <w:rPr>
          <w:color w:val="FF0000"/>
          <w:sz w:val="24"/>
          <w:szCs w:val="24"/>
        </w:rPr>
        <w:t xml:space="preserve"> </w:t>
      </w:r>
      <w:r>
        <w:rPr>
          <w:sz w:val="24"/>
          <w:szCs w:val="24"/>
        </w:rPr>
        <w:t>(trinta)</w:t>
      </w:r>
      <w:r>
        <w:rPr>
          <w:color w:val="FF0000"/>
          <w:sz w:val="24"/>
          <w:szCs w:val="24"/>
        </w:rPr>
        <w:t xml:space="preserve"> </w:t>
      </w:r>
      <w:r>
        <w:rPr>
          <w:sz w:val="24"/>
          <w:szCs w:val="24"/>
        </w:rPr>
        <w:t>dias, contado do recebimento da Nota Fiscal ou Fatura.</w:t>
      </w:r>
    </w:p>
    <w:p w14:paraId="408DB1F8">
      <w:pPr>
        <w:spacing w:line="288" w:lineRule="auto"/>
        <w:contextualSpacing/>
        <w:jc w:val="both"/>
        <w:rPr>
          <w:color w:val="FF0000"/>
          <w:sz w:val="24"/>
          <w:szCs w:val="24"/>
        </w:rPr>
      </w:pPr>
    </w:p>
    <w:p w14:paraId="16F148FE">
      <w:pPr>
        <w:spacing w:line="288" w:lineRule="auto"/>
        <w:contextualSpacing/>
        <w:jc w:val="both"/>
        <w:rPr>
          <w:sz w:val="24"/>
          <w:szCs w:val="24"/>
        </w:rPr>
      </w:pPr>
      <w:r>
        <w:rPr>
          <w:sz w:val="24"/>
          <w:szCs w:val="24"/>
        </w:rPr>
        <w:t xml:space="preserve">6.6.1 Havendo erro na apresentação da Nota Fiscal ou Fatura, ou circunstância que impeça a liquidação da despesa, o pagamento ficará sobrestado até que o </w:t>
      </w:r>
      <w:r>
        <w:rPr>
          <w:b/>
          <w:bCs/>
          <w:sz w:val="24"/>
          <w:szCs w:val="24"/>
        </w:rPr>
        <w:t>CONTRATADO</w:t>
      </w:r>
      <w:r>
        <w:rPr>
          <w:sz w:val="24"/>
          <w:szCs w:val="24"/>
        </w:rPr>
        <w:t xml:space="preserve"> providencie as medidas saneadoras. Nessa hipótese, o prazo para pagamento iniciar-se-á após a comprovação da regularização da situação, não acarretando qualquer ônus para o </w:t>
      </w:r>
      <w:r>
        <w:rPr>
          <w:b/>
          <w:bCs/>
          <w:sz w:val="24"/>
          <w:szCs w:val="24"/>
        </w:rPr>
        <w:t>CONTRATANTE</w:t>
      </w:r>
      <w:r>
        <w:rPr>
          <w:sz w:val="24"/>
          <w:szCs w:val="24"/>
        </w:rPr>
        <w:t>.</w:t>
      </w:r>
    </w:p>
    <w:p w14:paraId="418A0034">
      <w:pPr>
        <w:spacing w:line="288" w:lineRule="auto"/>
        <w:contextualSpacing/>
        <w:jc w:val="both"/>
        <w:rPr>
          <w:sz w:val="24"/>
          <w:szCs w:val="24"/>
        </w:rPr>
      </w:pPr>
    </w:p>
    <w:p w14:paraId="6636B31D">
      <w:pPr>
        <w:spacing w:line="288" w:lineRule="auto"/>
        <w:contextualSpacing/>
        <w:jc w:val="both"/>
        <w:rPr>
          <w:sz w:val="24"/>
          <w:szCs w:val="24"/>
        </w:rPr>
      </w:pPr>
      <w:r>
        <w:rPr>
          <w:sz w:val="24"/>
          <w:szCs w:val="24"/>
        </w:rPr>
        <w:t>6.7 Quando do pagamento, será efetuada a retenção tributária prevista na legislação aplicável.</w:t>
      </w:r>
    </w:p>
    <w:p w14:paraId="5B8252C6">
      <w:pPr>
        <w:spacing w:line="288" w:lineRule="auto"/>
        <w:contextualSpacing/>
        <w:jc w:val="both"/>
        <w:rPr>
          <w:sz w:val="24"/>
          <w:szCs w:val="24"/>
        </w:rPr>
      </w:pPr>
    </w:p>
    <w:p w14:paraId="31AE5DB5">
      <w:pPr>
        <w:spacing w:line="288" w:lineRule="auto"/>
        <w:contextualSpacing/>
        <w:jc w:val="both"/>
        <w:rPr>
          <w:sz w:val="24"/>
          <w:szCs w:val="24"/>
        </w:rPr>
      </w:pPr>
      <w:r>
        <w:rPr>
          <w:sz w:val="24"/>
          <w:szCs w:val="24"/>
        </w:rPr>
        <w:t>6.7.1 Independentemente do percentual de tributo inserido na planilha, no pagamento serão retidos na fonte os percentuais estabelecidos na legislação vigente.</w:t>
      </w:r>
    </w:p>
    <w:p w14:paraId="094DB230">
      <w:pPr>
        <w:spacing w:line="288" w:lineRule="auto"/>
        <w:contextualSpacing/>
        <w:jc w:val="both"/>
        <w:rPr>
          <w:sz w:val="24"/>
          <w:szCs w:val="24"/>
        </w:rPr>
      </w:pPr>
    </w:p>
    <w:p w14:paraId="04B98F38">
      <w:pPr>
        <w:spacing w:line="288" w:lineRule="auto"/>
        <w:contextualSpacing/>
        <w:jc w:val="both"/>
        <w:rPr>
          <w:sz w:val="24"/>
          <w:szCs w:val="24"/>
        </w:rPr>
      </w:pPr>
      <w:r>
        <w:rPr>
          <w:sz w:val="24"/>
          <w:szCs w:val="24"/>
        </w:rPr>
        <w:t xml:space="preserve">6.7.2 O </w:t>
      </w:r>
      <w:r>
        <w:rPr>
          <w:b/>
          <w:bCs/>
          <w:sz w:val="24"/>
          <w:szCs w:val="24"/>
        </w:rPr>
        <w:t>CONTRATADO</w:t>
      </w:r>
      <w:r>
        <w:rPr>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DB7F829">
      <w:pPr>
        <w:spacing w:line="288" w:lineRule="auto"/>
        <w:contextualSpacing/>
        <w:jc w:val="both"/>
        <w:rPr>
          <w:sz w:val="24"/>
          <w:szCs w:val="24"/>
        </w:rPr>
      </w:pPr>
    </w:p>
    <w:p w14:paraId="75B82C29">
      <w:pPr>
        <w:spacing w:line="288" w:lineRule="auto"/>
        <w:contextualSpacing/>
        <w:jc w:val="both"/>
        <w:rPr>
          <w:iCs/>
          <w:sz w:val="24"/>
          <w:szCs w:val="24"/>
        </w:rPr>
      </w:pPr>
      <w:r>
        <w:rPr>
          <w:color w:val="000000"/>
          <w:sz w:val="24"/>
          <w:szCs w:val="24"/>
        </w:rPr>
        <w:t>6.8 Os pagamentos eventualmente realizados com atraso, desde</w:t>
      </w:r>
      <w:r>
        <w:rPr>
          <w:sz w:val="24"/>
          <w:szCs w:val="24"/>
        </w:rPr>
        <w:t xml:space="preserve"> que não decorram de ato ou fato atribuível ao </w:t>
      </w:r>
      <w:r>
        <w:rPr>
          <w:b/>
          <w:bCs/>
          <w:sz w:val="24"/>
          <w:szCs w:val="24"/>
        </w:rPr>
        <w:t>CONTRATADO</w:t>
      </w:r>
      <w:r>
        <w:rPr>
          <w:sz w:val="24"/>
          <w:szCs w:val="24"/>
        </w:rPr>
        <w:t xml:space="preserve">, sofrerão a incidência de atualização monetária e juros de mora pelo IPCA-E, calculado </w:t>
      </w:r>
      <w:r>
        <w:rPr>
          <w:i/>
          <w:sz w:val="24"/>
          <w:szCs w:val="24"/>
        </w:rPr>
        <w:t>pro rata die</w:t>
      </w:r>
      <w:r>
        <w:rPr>
          <w:sz w:val="24"/>
          <w:szCs w:val="24"/>
        </w:rPr>
        <w:t xml:space="preserve">, e aqueles pagos em prazo inferior ao estabelecido no instrumento convocatório serão feitos mediante desconto de 0,5% (um meio por cento) ao mês, calculado </w:t>
      </w:r>
      <w:r>
        <w:rPr>
          <w:i/>
          <w:sz w:val="24"/>
          <w:szCs w:val="24"/>
        </w:rPr>
        <w:t>pro rata die</w:t>
      </w:r>
      <w:r>
        <w:rPr>
          <w:iCs/>
          <w:sz w:val="24"/>
          <w:szCs w:val="24"/>
        </w:rPr>
        <w:t>.</w:t>
      </w:r>
    </w:p>
    <w:p w14:paraId="358316FC">
      <w:pPr>
        <w:spacing w:line="288" w:lineRule="auto"/>
        <w:contextualSpacing/>
        <w:jc w:val="both"/>
        <w:rPr>
          <w:color w:val="000000"/>
          <w:sz w:val="24"/>
          <w:szCs w:val="24"/>
        </w:rPr>
      </w:pPr>
    </w:p>
    <w:p w14:paraId="01157F38">
      <w:pPr>
        <w:spacing w:line="288" w:lineRule="auto"/>
        <w:contextualSpacing/>
        <w:jc w:val="both"/>
        <w:rPr>
          <w:sz w:val="24"/>
          <w:szCs w:val="24"/>
        </w:rPr>
      </w:pPr>
      <w:r>
        <w:rPr>
          <w:color w:val="000000"/>
          <w:sz w:val="24"/>
          <w:szCs w:val="24"/>
        </w:rPr>
        <w:t xml:space="preserve">6.9 </w:t>
      </w:r>
      <w:r>
        <w:rPr>
          <w:sz w:val="24"/>
          <w:szCs w:val="24"/>
        </w:rPr>
        <w:t xml:space="preserve">O </w:t>
      </w:r>
      <w:r>
        <w:rPr>
          <w:b/>
          <w:bCs/>
          <w:sz w:val="24"/>
          <w:szCs w:val="24"/>
        </w:rPr>
        <w:t>CONTRATADO</w:t>
      </w:r>
      <w:r>
        <w:rPr>
          <w:sz w:val="24"/>
          <w:szCs w:val="24"/>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iCs/>
          <w:sz w:val="24"/>
          <w:szCs w:val="24"/>
        </w:rPr>
        <w:t>a, b, c, d e e</w:t>
      </w:r>
      <w:r>
        <w:rPr>
          <w:i/>
          <w:sz w:val="24"/>
          <w:szCs w:val="24"/>
        </w:rPr>
        <w:t xml:space="preserve"> </w:t>
      </w:r>
      <w:r>
        <w:rPr>
          <w:sz w:val="24"/>
          <w:szCs w:val="24"/>
        </w:rPr>
        <w:t>do parágrafo 1º do artigo 2º da Resolução SEFAZ nº 971/2016.</w:t>
      </w:r>
    </w:p>
    <w:p w14:paraId="30BE2744">
      <w:pPr>
        <w:spacing w:line="288" w:lineRule="auto"/>
        <w:contextualSpacing/>
        <w:jc w:val="both"/>
        <w:rPr>
          <w:sz w:val="24"/>
          <w:szCs w:val="24"/>
        </w:rPr>
      </w:pPr>
    </w:p>
    <w:p w14:paraId="09F51DB8">
      <w:pPr>
        <w:spacing w:line="288" w:lineRule="auto"/>
        <w:contextualSpacing/>
        <w:jc w:val="both"/>
        <w:rPr>
          <w:sz w:val="24"/>
          <w:szCs w:val="24"/>
        </w:rPr>
      </w:pPr>
      <w:r>
        <w:rPr>
          <w:sz w:val="24"/>
          <w:szCs w:val="24"/>
        </w:rPr>
        <w:t xml:space="preserve">6.10 Caso o Edital admita a subcontratação, os pagamentos aos subcontratados serão realizados diretamente pelo </w:t>
      </w:r>
      <w:r>
        <w:rPr>
          <w:b/>
          <w:bCs/>
          <w:sz w:val="24"/>
          <w:szCs w:val="24"/>
        </w:rPr>
        <w:t>CONTRATADO</w:t>
      </w:r>
      <w:r>
        <w:rPr>
          <w:sz w:val="24"/>
          <w:szCs w:val="24"/>
        </w:rPr>
        <w:t xml:space="preserve">, ficando vedada a emissão de nota de empenho do </w:t>
      </w:r>
      <w:r>
        <w:rPr>
          <w:b/>
          <w:bCs/>
          <w:sz w:val="24"/>
          <w:szCs w:val="24"/>
        </w:rPr>
        <w:t>CONTRATANTE</w:t>
      </w:r>
      <w:r>
        <w:rPr>
          <w:sz w:val="24"/>
          <w:szCs w:val="24"/>
        </w:rPr>
        <w:t xml:space="preserve"> diretamente aos subcontratados. </w:t>
      </w:r>
    </w:p>
    <w:p w14:paraId="1B81DBCC">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5FD9E8E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6.10.1 A subcontratação porventura realizada será integralmente custeada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45C9BD0D">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676681EC">
      <w:pPr>
        <w:pStyle w:val="101"/>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SÉTIMA - REAJUSTE </w:t>
      </w:r>
    </w:p>
    <w:p w14:paraId="629331A5">
      <w:pPr>
        <w:spacing w:line="288" w:lineRule="auto"/>
        <w:contextualSpacing/>
        <w:jc w:val="both"/>
        <w:rPr>
          <w:sz w:val="24"/>
          <w:szCs w:val="24"/>
        </w:rPr>
      </w:pPr>
    </w:p>
    <w:p w14:paraId="43E46AE5">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Os preços contratados serão reajustados após o interregno de 1 (um) ano, mediante solicitação do </w:t>
      </w:r>
      <w:r>
        <w:rPr>
          <w:rFonts w:ascii="Times New Roman" w:hAnsi="Times New Roman" w:cs="Times New Roman"/>
          <w:b/>
          <w:bCs/>
          <w:sz w:val="24"/>
          <w:szCs w:val="24"/>
        </w:rPr>
        <w:t>CONTRATADO</w:t>
      </w:r>
      <w:r>
        <w:rPr>
          <w:rFonts w:ascii="Times New Roman" w:hAnsi="Times New Roman" w:cs="Times New Roman"/>
          <w:sz w:val="24"/>
          <w:szCs w:val="24"/>
        </w:rPr>
        <w:t>.</w:t>
      </w:r>
    </w:p>
    <w:p w14:paraId="2CE5B8DF">
      <w:pPr>
        <w:pStyle w:val="99"/>
        <w:spacing w:before="0" w:after="0" w:line="288" w:lineRule="auto"/>
        <w:ind w:left="0" w:firstLine="0"/>
        <w:contextualSpacing/>
        <w:rPr>
          <w:rFonts w:ascii="Times New Roman" w:hAnsi="Times New Roman" w:cs="Times New Roman"/>
          <w:sz w:val="24"/>
          <w:szCs w:val="24"/>
        </w:rPr>
      </w:pPr>
    </w:p>
    <w:p w14:paraId="03F2092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7.2 O interregno mínimo de 1 (um) ano para o primeiro reajuste será contado da data do orçamento estimado. </w:t>
      </w:r>
    </w:p>
    <w:p w14:paraId="7755AAE0">
      <w:pPr>
        <w:pStyle w:val="99"/>
        <w:spacing w:before="0" w:after="0" w:line="288" w:lineRule="auto"/>
        <w:ind w:left="0" w:firstLine="0"/>
        <w:contextualSpacing/>
        <w:rPr>
          <w:rFonts w:ascii="Times New Roman" w:hAnsi="Times New Roman" w:cs="Times New Roman"/>
          <w:sz w:val="24"/>
          <w:szCs w:val="24"/>
        </w:rPr>
      </w:pPr>
    </w:p>
    <w:p w14:paraId="2C895CCC">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 Nos reajustes subsequentes ao primeiro, o interregno mínimo de 1 (um) ano será contado a partir do fato gerador que deu ensejo ao último reajuste.</w:t>
      </w:r>
    </w:p>
    <w:p w14:paraId="2CB9B6AF">
      <w:pPr>
        <w:pStyle w:val="99"/>
        <w:spacing w:before="0" w:after="0" w:line="288" w:lineRule="auto"/>
        <w:ind w:left="0" w:firstLine="0"/>
        <w:contextualSpacing/>
        <w:rPr>
          <w:rFonts w:ascii="Times New Roman" w:hAnsi="Times New Roman" w:cs="Times New Roman"/>
          <w:sz w:val="24"/>
          <w:szCs w:val="24"/>
        </w:rPr>
      </w:pPr>
    </w:p>
    <w:p w14:paraId="6BA2105E">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7.4 Os preços iniciais serão reajustados, mediante a aplicação, pelo </w:t>
      </w:r>
      <w:r>
        <w:rPr>
          <w:rFonts w:ascii="Times New Roman" w:hAnsi="Times New Roman" w:cs="Times New Roman"/>
          <w:b/>
          <w:bCs/>
          <w:sz w:val="24"/>
          <w:szCs w:val="24"/>
        </w:rPr>
        <w:t>CONTRATANTE</w:t>
      </w:r>
      <w:r>
        <w:rPr>
          <w:rFonts w:ascii="Times New Roman" w:hAnsi="Times New Roman" w:cs="Times New Roman"/>
          <w:sz w:val="24"/>
          <w:szCs w:val="24"/>
        </w:rPr>
        <w:t>, do índice IPCA-E</w:t>
      </w:r>
      <w:r>
        <w:rPr>
          <w:rFonts w:ascii="Times New Roman" w:hAnsi="Times New Roman" w:cs="Times New Roman"/>
          <w:i/>
          <w:iCs/>
          <w:sz w:val="24"/>
          <w:szCs w:val="24"/>
        </w:rPr>
        <w:t>,</w:t>
      </w:r>
      <w:r>
        <w:rPr>
          <w:rFonts w:ascii="Times New Roman" w:hAnsi="Times New Roman" w:cs="Times New Roman"/>
          <w:sz w:val="24"/>
          <w:szCs w:val="24"/>
        </w:rPr>
        <w:t xml:space="preserve"> exclusivamente para as obrigações </w:t>
      </w:r>
      <w:r>
        <w:rPr>
          <w:rFonts w:ascii="Times New Roman" w:hAnsi="Times New Roman" w:cs="Times New Roman"/>
          <w:color w:val="auto"/>
          <w:sz w:val="24"/>
          <w:szCs w:val="24"/>
        </w:rPr>
        <w:t>que se iniciem após a anualidade</w:t>
      </w:r>
      <w:r>
        <w:rPr>
          <w:rFonts w:ascii="Times New Roman" w:hAnsi="Times New Roman" w:cs="Times New Roman"/>
          <w:sz w:val="24"/>
          <w:szCs w:val="24"/>
        </w:rPr>
        <w:t>.</w:t>
      </w:r>
    </w:p>
    <w:p w14:paraId="435ADA36">
      <w:pPr>
        <w:pStyle w:val="99"/>
        <w:spacing w:before="0" w:after="0" w:line="288" w:lineRule="auto"/>
        <w:ind w:left="0" w:firstLine="0"/>
        <w:contextualSpacing/>
        <w:rPr>
          <w:rFonts w:ascii="Times New Roman" w:hAnsi="Times New Roman" w:cs="Times New Roman"/>
          <w:sz w:val="24"/>
          <w:szCs w:val="24"/>
        </w:rPr>
      </w:pPr>
    </w:p>
    <w:p w14:paraId="0F723165">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No caso de atraso ou não divulgação do(s) índice(s) de reajustamento, o </w:t>
      </w:r>
      <w:r>
        <w:rPr>
          <w:rFonts w:ascii="Times New Roman" w:hAnsi="Times New Roman" w:cs="Times New Roman"/>
          <w:b/>
          <w:bCs/>
          <w:sz w:val="24"/>
          <w:szCs w:val="24"/>
        </w:rPr>
        <w:t>CONTRATANTE</w:t>
      </w:r>
      <w:r>
        <w:rPr>
          <w:rFonts w:ascii="Times New Roman" w:hAnsi="Times New Roman" w:cs="Times New Roman"/>
          <w:sz w:val="24"/>
          <w:szCs w:val="24"/>
        </w:rPr>
        <w:t xml:space="preserve"> pagará ao </w:t>
      </w:r>
      <w:r>
        <w:rPr>
          <w:rFonts w:ascii="Times New Roman" w:hAnsi="Times New Roman" w:cs="Times New Roman"/>
          <w:b/>
          <w:bCs/>
          <w:sz w:val="24"/>
          <w:szCs w:val="24"/>
        </w:rPr>
        <w:t>CONTRATADO</w:t>
      </w:r>
      <w:r>
        <w:rPr>
          <w:rFonts w:ascii="Times New Roman" w:hAnsi="Times New Roman" w:cs="Times New Roman"/>
          <w:sz w:val="24"/>
          <w:szCs w:val="24"/>
        </w:rPr>
        <w:t xml:space="preserve"> a importância calculada pela última variação conhecida, liquidando a diferença correspondente tão logo seja(m) divulgado(s) o(s) índice(s) definitivo(s). </w:t>
      </w:r>
    </w:p>
    <w:p w14:paraId="2ADDB91F">
      <w:pPr>
        <w:pStyle w:val="99"/>
        <w:spacing w:before="0" w:after="0" w:line="288" w:lineRule="auto"/>
        <w:ind w:left="0" w:firstLine="0"/>
        <w:contextualSpacing/>
        <w:rPr>
          <w:rFonts w:ascii="Times New Roman" w:hAnsi="Times New Roman" w:cs="Times New Roman"/>
          <w:sz w:val="24"/>
          <w:szCs w:val="24"/>
        </w:rPr>
      </w:pPr>
    </w:p>
    <w:p w14:paraId="1713B46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7.5.1 Fica o </w:t>
      </w:r>
      <w:r>
        <w:rPr>
          <w:rFonts w:ascii="Times New Roman" w:hAnsi="Times New Roman" w:cs="Times New Roman"/>
          <w:b/>
          <w:bCs/>
          <w:sz w:val="24"/>
          <w:szCs w:val="24"/>
        </w:rPr>
        <w:t>CONTRATADO</w:t>
      </w:r>
      <w:r>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69FC9A99">
      <w:pPr>
        <w:pStyle w:val="99"/>
        <w:spacing w:before="0" w:after="0" w:line="288" w:lineRule="auto"/>
        <w:ind w:left="0" w:firstLine="0"/>
        <w:contextualSpacing/>
        <w:rPr>
          <w:rFonts w:ascii="Times New Roman" w:hAnsi="Times New Roman" w:cs="Times New Roman"/>
          <w:sz w:val="24"/>
          <w:szCs w:val="24"/>
        </w:rPr>
      </w:pPr>
    </w:p>
    <w:p w14:paraId="1AC3CEDA">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64E350EB">
      <w:pPr>
        <w:pStyle w:val="99"/>
        <w:spacing w:before="0" w:after="0" w:line="288" w:lineRule="auto"/>
        <w:ind w:left="0" w:firstLine="0"/>
        <w:contextualSpacing/>
        <w:rPr>
          <w:rFonts w:ascii="Times New Roman" w:hAnsi="Times New Roman" w:cs="Times New Roman"/>
          <w:sz w:val="24"/>
          <w:szCs w:val="24"/>
        </w:rPr>
      </w:pPr>
    </w:p>
    <w:p w14:paraId="7FA42B6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5821D4B3">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24E9BF8E">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pedido de reajuste deverá ser formulado durante a vigência do Contrato e antes de eventual prorrogação contratual, sob pena de preclusão.</w:t>
      </w:r>
    </w:p>
    <w:p w14:paraId="36666CF9">
      <w:pPr>
        <w:spacing w:after="160" w:line="288" w:lineRule="auto"/>
        <w:contextualSpacing/>
        <w:jc w:val="both"/>
        <w:rPr>
          <w:sz w:val="24"/>
          <w:szCs w:val="24"/>
        </w:rPr>
      </w:pPr>
    </w:p>
    <w:p w14:paraId="126F63C0">
      <w:pPr>
        <w:spacing w:after="160" w:line="288" w:lineRule="auto"/>
        <w:contextualSpacing/>
        <w:jc w:val="both"/>
        <w:rPr>
          <w:sz w:val="24"/>
          <w:szCs w:val="24"/>
        </w:rPr>
      </w:pPr>
      <w:r>
        <w:rPr>
          <w:sz w:val="24"/>
          <w:szCs w:val="24"/>
        </w:rPr>
        <w:t>7.8.1 Os efeitos financeiros do pedido de reajuste serão contados:</w:t>
      </w:r>
    </w:p>
    <w:p w14:paraId="565287AD">
      <w:pPr>
        <w:spacing w:line="288" w:lineRule="auto"/>
        <w:contextualSpacing/>
        <w:jc w:val="both"/>
        <w:rPr>
          <w:sz w:val="24"/>
          <w:szCs w:val="24"/>
        </w:rPr>
      </w:pPr>
      <w:r>
        <w:rPr>
          <w:sz w:val="24"/>
          <w:szCs w:val="24"/>
        </w:rPr>
        <w:t>a) da data-base prevista no Contrato, desde que requerido o reajuste no prazo de 60 (sessenta) dias da data de publicação do índice ajustado contratualmente;</w:t>
      </w:r>
    </w:p>
    <w:p w14:paraId="372BEA44">
      <w:pPr>
        <w:spacing w:line="288" w:lineRule="auto"/>
        <w:ind w:left="40"/>
        <w:contextualSpacing/>
        <w:jc w:val="both"/>
        <w:rPr>
          <w:sz w:val="24"/>
          <w:szCs w:val="24"/>
        </w:rPr>
      </w:pPr>
      <w:r>
        <w:rPr>
          <w:sz w:val="24"/>
          <w:szCs w:val="24"/>
        </w:rPr>
        <w:t xml:space="preserve">b) a partir da data do requerimento do </w:t>
      </w:r>
      <w:r>
        <w:rPr>
          <w:b/>
          <w:bCs/>
          <w:sz w:val="24"/>
          <w:szCs w:val="24"/>
        </w:rPr>
        <w:t>CONTRATADO</w:t>
      </w:r>
      <w:r>
        <w:rPr>
          <w:sz w:val="24"/>
          <w:szCs w:val="24"/>
        </w:rPr>
        <w:t xml:space="preserve">, caso o pedido seja formulado após o prazo fixado na alínea </w:t>
      </w:r>
      <w:r>
        <w:rPr>
          <w:sz w:val="24"/>
          <w:szCs w:val="24"/>
          <w:u w:val="single"/>
        </w:rPr>
        <w:t>a</w:t>
      </w:r>
      <w:r>
        <w:rPr>
          <w:sz w:val="24"/>
          <w:szCs w:val="24"/>
        </w:rPr>
        <w:t>, acima, o que não acarretará a alteração do marco para cômputo da anualidade do reajustamento, já adotado no Edital e no Contrato.</w:t>
      </w:r>
    </w:p>
    <w:p w14:paraId="2AC6F431">
      <w:pPr>
        <w:spacing w:line="288" w:lineRule="auto"/>
        <w:ind w:left="40"/>
        <w:contextualSpacing/>
        <w:jc w:val="both"/>
        <w:rPr>
          <w:sz w:val="24"/>
          <w:szCs w:val="24"/>
        </w:rPr>
      </w:pPr>
    </w:p>
    <w:p w14:paraId="2D92CC33">
      <w:pPr>
        <w:spacing w:line="288" w:lineRule="auto"/>
        <w:ind w:left="40"/>
        <w:contextualSpacing/>
        <w:jc w:val="both"/>
        <w:rPr>
          <w:sz w:val="24"/>
          <w:szCs w:val="24"/>
        </w:rPr>
      </w:pPr>
      <w:r>
        <w:rPr>
          <w:sz w:val="24"/>
          <w:szCs w:val="24"/>
        </w:rPr>
        <w:t xml:space="preserve">7.9 Caso, na data de eventual prorrogação contratual, ainda não tenha sido divulgado o índice de reajuste, deverá, a requerimento do </w:t>
      </w:r>
      <w:r>
        <w:rPr>
          <w:b/>
          <w:bCs/>
          <w:sz w:val="24"/>
          <w:szCs w:val="24"/>
        </w:rPr>
        <w:t>CONTRATADO</w:t>
      </w:r>
      <w:r>
        <w:rPr>
          <w:sz w:val="24"/>
          <w:szCs w:val="24"/>
        </w:rPr>
        <w:t xml:space="preserve">, ser inserida cláusula no termo aditivo de prorrogação para resguardar o direito futuro do </w:t>
      </w:r>
      <w:r>
        <w:rPr>
          <w:b/>
          <w:bCs/>
          <w:sz w:val="24"/>
          <w:szCs w:val="24"/>
        </w:rPr>
        <w:t>CONTRATADO</w:t>
      </w:r>
      <w:r>
        <w:rPr>
          <w:sz w:val="24"/>
          <w:szCs w:val="24"/>
        </w:rPr>
        <w:t>, a ser exercido tão logo se disponha dos valores reajustados, sob pena de preclusão.</w:t>
      </w:r>
    </w:p>
    <w:p w14:paraId="73B0968B">
      <w:pPr>
        <w:spacing w:line="288" w:lineRule="auto"/>
        <w:ind w:left="40"/>
        <w:contextualSpacing/>
        <w:jc w:val="both"/>
        <w:rPr>
          <w:sz w:val="24"/>
          <w:szCs w:val="24"/>
        </w:rPr>
      </w:pPr>
    </w:p>
    <w:p w14:paraId="588C406A">
      <w:pPr>
        <w:spacing w:line="288" w:lineRule="auto"/>
        <w:ind w:left="40"/>
        <w:contextualSpacing/>
        <w:jc w:val="both"/>
        <w:rPr>
          <w:sz w:val="24"/>
          <w:szCs w:val="24"/>
        </w:rPr>
      </w:pPr>
      <w:r>
        <w:rPr>
          <w:sz w:val="24"/>
          <w:szCs w:val="24"/>
        </w:rPr>
        <w:t>7.10 A extinção do Contrato não configurará óbice para o deferimento do reajuste solicitado tempestivamente, hipótese em que será concedido por meio de termo indenizatório.</w:t>
      </w:r>
    </w:p>
    <w:p w14:paraId="17900E55">
      <w:pPr>
        <w:pStyle w:val="99"/>
        <w:spacing w:before="0" w:after="0" w:line="288" w:lineRule="auto"/>
        <w:ind w:left="0" w:firstLine="0"/>
        <w:contextualSpacing/>
        <w:rPr>
          <w:rFonts w:ascii="Times New Roman" w:hAnsi="Times New Roman" w:cs="Times New Roman"/>
          <w:sz w:val="24"/>
          <w:szCs w:val="24"/>
        </w:rPr>
      </w:pPr>
    </w:p>
    <w:p w14:paraId="0C8294F8">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O reajuste será realizado por apostilamento, se esta for a única alteração contratual a ser realizada.</w:t>
      </w:r>
    </w:p>
    <w:p w14:paraId="0899A984">
      <w:pPr>
        <w:pStyle w:val="99"/>
        <w:spacing w:before="0" w:after="0" w:line="288" w:lineRule="auto"/>
        <w:ind w:left="0" w:firstLine="0"/>
        <w:contextualSpacing/>
        <w:rPr>
          <w:rFonts w:ascii="Times New Roman" w:hAnsi="Times New Roman" w:cs="Times New Roman"/>
          <w:color w:val="auto"/>
          <w:sz w:val="24"/>
          <w:szCs w:val="24"/>
        </w:rPr>
      </w:pPr>
    </w:p>
    <w:p w14:paraId="0A08E202">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11D30AEC">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6856A8F1">
      <w:pPr>
        <w:pStyle w:val="108"/>
        <w:numPr>
          <w:ilvl w:val="0"/>
          <w:numId w:val="0"/>
        </w:numPr>
        <w:spacing w:before="0" w:after="0" w:line="288" w:lineRule="auto"/>
        <w:contextualSpacing/>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CLÁUSULA OITAVA – OBRIGAÇÕES DO CONTRATANTE</w:t>
      </w:r>
    </w:p>
    <w:p w14:paraId="5F9C2201">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03D17541">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 São obrigações do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w:t>
      </w:r>
    </w:p>
    <w:p w14:paraId="158BFFE1">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36E4163B">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8.1.1 Exigir o cumprimento de todas as obrigações assumidas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de acordo com o Contrato e seus Anexos.</w:t>
      </w:r>
    </w:p>
    <w:p w14:paraId="6735B7D0">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12D9935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8.1.2 Receber o objeto no prazo e condições estabelecidas no Termo de Referência.</w:t>
      </w:r>
    </w:p>
    <w:p w14:paraId="3FF7005F">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01D60F16">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8.1.3 Notificar 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0C0D78EA">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7BE46C24">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8.1.4 Acompanhar e fiscalizar a execução do Contrato e o cumprimento das obrigações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0515AEB0">
      <w:pPr>
        <w:pStyle w:val="101"/>
        <w:spacing w:before="0" w:line="288" w:lineRule="auto"/>
        <w:ind w:left="0" w:firstLine="0"/>
        <w:contextualSpacing/>
        <w:rPr>
          <w:rFonts w:ascii="Times New Roman" w:hAnsi="Times New Roman" w:cs="Times New Roman"/>
          <w:b w:val="0"/>
          <w:bCs w:val="0"/>
          <w:sz w:val="24"/>
          <w:szCs w:val="24"/>
        </w:rPr>
      </w:pPr>
    </w:p>
    <w:p w14:paraId="2BDB45D1">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8.1.5 Comunicar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r>
        <w:fldChar w:fldCharType="begin"/>
      </w:r>
      <w:r>
        <w:instrText xml:space="preserve"> HYPERLINK "http://www.planalto.gov.br/ccivil_03/_ato2019-2022/2021/lei/L14133.htm" \l "art143" </w:instrText>
      </w:r>
      <w:r>
        <w:fldChar w:fldCharType="separate"/>
      </w:r>
      <w:r>
        <w:rPr>
          <w:rStyle w:val="16"/>
          <w:rFonts w:ascii="Times New Roman" w:hAnsi="Times New Roman" w:cs="Times New Roman" w:eastAsiaTheme="minorHAnsi"/>
          <w:b w:val="0"/>
          <w:bCs w:val="0"/>
          <w:sz w:val="24"/>
          <w:szCs w:val="24"/>
        </w:rPr>
        <w:t>art. 143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16123F64">
      <w:pPr>
        <w:pStyle w:val="101"/>
        <w:spacing w:before="0" w:line="288" w:lineRule="auto"/>
        <w:ind w:left="0" w:firstLine="0"/>
        <w:contextualSpacing/>
        <w:rPr>
          <w:rFonts w:ascii="Times New Roman" w:hAnsi="Times New Roman" w:cs="Times New Roman"/>
          <w:b w:val="0"/>
          <w:bCs w:val="0"/>
          <w:sz w:val="24"/>
          <w:szCs w:val="24"/>
        </w:rPr>
      </w:pPr>
    </w:p>
    <w:p w14:paraId="55169859">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8.1.6 Efetuar o pagamento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5EDF70F0">
      <w:pPr>
        <w:pStyle w:val="101"/>
        <w:spacing w:before="0" w:line="288" w:lineRule="auto"/>
        <w:ind w:left="0" w:firstLine="0"/>
        <w:contextualSpacing/>
        <w:rPr>
          <w:rFonts w:ascii="Times New Roman" w:hAnsi="Times New Roman" w:cs="Times New Roman"/>
          <w:b w:val="0"/>
          <w:bCs w:val="0"/>
          <w:sz w:val="24"/>
          <w:szCs w:val="24"/>
        </w:rPr>
      </w:pPr>
    </w:p>
    <w:p w14:paraId="3CFC8287">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8.1.7 Aplicar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3E2838A1">
      <w:pPr>
        <w:pStyle w:val="99"/>
        <w:spacing w:before="0" w:after="0" w:line="288" w:lineRule="auto"/>
        <w:ind w:left="0" w:firstLine="0"/>
        <w:contextualSpacing/>
        <w:rPr>
          <w:rFonts w:ascii="Times New Roman" w:hAnsi="Times New Roman" w:cs="Times New Roman"/>
          <w:sz w:val="24"/>
          <w:szCs w:val="24"/>
        </w:rPr>
      </w:pPr>
    </w:p>
    <w:p w14:paraId="28114C2F">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8.1.8 Dar ciência à Assessoria Jurídica do órgão ou entidade para as providências junto à Procuradoria Geral do Município, com vistas à adoção de eventuais medidas judiciais, em caso de descumprimento de obrigações pelo </w:t>
      </w:r>
      <w:r>
        <w:rPr>
          <w:rFonts w:ascii="Times New Roman" w:hAnsi="Times New Roman" w:cs="Times New Roman"/>
          <w:b/>
          <w:bCs/>
          <w:sz w:val="24"/>
          <w:szCs w:val="24"/>
        </w:rPr>
        <w:t>CONTRATADO</w:t>
      </w:r>
      <w:r>
        <w:rPr>
          <w:rFonts w:ascii="Times New Roman" w:hAnsi="Times New Roman" w:cs="Times New Roman"/>
          <w:sz w:val="24"/>
          <w:szCs w:val="24"/>
        </w:rPr>
        <w:t>.</w:t>
      </w:r>
    </w:p>
    <w:p w14:paraId="3AA47CCB">
      <w:pPr>
        <w:pStyle w:val="99"/>
        <w:spacing w:before="0" w:after="0" w:line="288" w:lineRule="auto"/>
        <w:ind w:left="0" w:firstLine="0"/>
        <w:contextualSpacing/>
        <w:rPr>
          <w:rFonts w:ascii="Times New Roman" w:hAnsi="Times New Roman" w:cs="Times New Roman"/>
          <w:sz w:val="24"/>
          <w:szCs w:val="24"/>
        </w:rPr>
      </w:pPr>
    </w:p>
    <w:p w14:paraId="535449CB">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639FC69D">
      <w:pPr>
        <w:pStyle w:val="99"/>
        <w:spacing w:before="0" w:after="0" w:line="288" w:lineRule="auto"/>
        <w:ind w:left="0" w:firstLine="0"/>
        <w:contextualSpacing/>
        <w:rPr>
          <w:rFonts w:ascii="Times New Roman" w:hAnsi="Times New Roman" w:cs="Times New Roman"/>
          <w:sz w:val="24"/>
          <w:szCs w:val="24"/>
        </w:rPr>
      </w:pPr>
    </w:p>
    <w:p w14:paraId="0393550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8.1.9.1 O </w:t>
      </w:r>
      <w:r>
        <w:rPr>
          <w:rFonts w:ascii="Times New Roman" w:hAnsi="Times New Roman" w:cs="Times New Roman"/>
          <w:b/>
          <w:bCs/>
          <w:sz w:val="24"/>
          <w:szCs w:val="24"/>
        </w:rPr>
        <w:t>CONTRATANTE</w:t>
      </w:r>
      <w:r>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46316E71">
      <w:pPr>
        <w:pStyle w:val="99"/>
        <w:spacing w:before="0" w:after="0" w:line="288" w:lineRule="auto"/>
        <w:ind w:left="0" w:firstLine="0"/>
        <w:contextualSpacing/>
        <w:rPr>
          <w:rFonts w:ascii="Times New Roman" w:hAnsi="Times New Roman" w:cs="Times New Roman"/>
          <w:sz w:val="24"/>
          <w:szCs w:val="24"/>
        </w:rPr>
      </w:pPr>
    </w:p>
    <w:p w14:paraId="7166C5C8">
      <w:pPr>
        <w:pStyle w:val="99"/>
        <w:spacing w:before="0" w:after="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8.1.10 Responder aos eventuais pedidos de reestabelecimento do equilíbrio econômico-financeiro feitos pelo </w:t>
      </w:r>
      <w:r>
        <w:rPr>
          <w:rFonts w:ascii="Times New Roman" w:hAnsi="Times New Roman" w:cs="Times New Roman"/>
          <w:b/>
          <w:bCs/>
          <w:sz w:val="24"/>
          <w:szCs w:val="24"/>
        </w:rPr>
        <w:t>CONTRATADO</w:t>
      </w:r>
      <w:r>
        <w:rPr>
          <w:rFonts w:ascii="Times New Roman" w:hAnsi="Times New Roman" w:cs="Times New Roman"/>
          <w:sz w:val="24"/>
          <w:szCs w:val="24"/>
        </w:rPr>
        <w:t xml:space="preserve"> no prazo máximo de </w:t>
      </w:r>
      <w:r>
        <w:rPr>
          <w:rFonts w:ascii="Times New Roman" w:hAnsi="Times New Roman" w:cs="Times New Roman"/>
          <w:color w:val="000000" w:themeColor="text1"/>
          <w:sz w:val="24"/>
          <w:szCs w:val="24"/>
          <w14:textFill>
            <w14:solidFill>
              <w14:schemeClr w14:val="tx1"/>
            </w14:solidFill>
          </w14:textFill>
        </w:rPr>
        <w:t>45 (quarenta e cinco) dias, admitida a prorrogação motivada, por uma única vez, por igual período.</w:t>
      </w:r>
    </w:p>
    <w:p w14:paraId="0EBE769B">
      <w:pPr>
        <w:pStyle w:val="99"/>
        <w:spacing w:before="0" w:after="0" w:line="288" w:lineRule="auto"/>
        <w:ind w:left="0" w:firstLine="0"/>
        <w:contextualSpacing/>
        <w:rPr>
          <w:rFonts w:ascii="Times New Roman" w:hAnsi="Times New Roman" w:cs="Times New Roman"/>
          <w:color w:val="FF0000"/>
          <w:sz w:val="24"/>
          <w:szCs w:val="24"/>
        </w:rPr>
      </w:pPr>
    </w:p>
    <w:p w14:paraId="3BD8CFFB">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07AFA874">
      <w:pPr>
        <w:pStyle w:val="99"/>
        <w:spacing w:before="0" w:after="0" w:line="288" w:lineRule="auto"/>
        <w:ind w:left="0" w:firstLine="0"/>
        <w:contextualSpacing/>
        <w:rPr>
          <w:rFonts w:ascii="Times New Roman" w:hAnsi="Times New Roman" w:cs="Times New Roman"/>
          <w:sz w:val="24"/>
          <w:szCs w:val="24"/>
        </w:rPr>
      </w:pPr>
    </w:p>
    <w:p w14:paraId="78DE1C90">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8.1.12 A Administração não responderá por quaisquer compromissos assumidos pelo </w:t>
      </w:r>
      <w:r>
        <w:rPr>
          <w:rFonts w:ascii="Times New Roman" w:hAnsi="Times New Roman" w:cs="Times New Roman"/>
          <w:b/>
          <w:bCs/>
          <w:sz w:val="24"/>
          <w:szCs w:val="24"/>
        </w:rPr>
        <w:t>CONTRATADO</w:t>
      </w:r>
      <w:r>
        <w:rPr>
          <w:rFonts w:ascii="Times New Roman" w:hAnsi="Times New Roman" w:cs="Times New Roman"/>
          <w:sz w:val="24"/>
          <w:szCs w:val="24"/>
        </w:rPr>
        <w:t xml:space="preserve"> perante terceiros, ainda que vinculados à execução do Contrato, bem como por qualquer dano causado a terceiros em decorrência de ato do </w:t>
      </w:r>
      <w:r>
        <w:rPr>
          <w:rFonts w:ascii="Times New Roman" w:hAnsi="Times New Roman" w:cs="Times New Roman"/>
          <w:b/>
          <w:bCs/>
          <w:sz w:val="24"/>
          <w:szCs w:val="24"/>
        </w:rPr>
        <w:t>CONTRATADO</w:t>
      </w:r>
      <w:r>
        <w:rPr>
          <w:rFonts w:ascii="Times New Roman" w:hAnsi="Times New Roman" w:cs="Times New Roman"/>
          <w:sz w:val="24"/>
          <w:szCs w:val="24"/>
        </w:rPr>
        <w:t>, de seus empregados, prepostos ou subordinados.</w:t>
      </w:r>
    </w:p>
    <w:p w14:paraId="7BFAC9E1">
      <w:pPr>
        <w:spacing w:line="288" w:lineRule="auto"/>
        <w:contextualSpacing/>
        <w:jc w:val="both"/>
        <w:rPr>
          <w:sz w:val="24"/>
          <w:szCs w:val="24"/>
        </w:rPr>
      </w:pPr>
    </w:p>
    <w:p w14:paraId="5F1FA975">
      <w:pPr>
        <w:spacing w:line="288" w:lineRule="auto"/>
        <w:contextualSpacing/>
        <w:jc w:val="both"/>
        <w:rPr>
          <w:sz w:val="24"/>
          <w:szCs w:val="24"/>
        </w:rPr>
      </w:pPr>
      <w:r>
        <w:rPr>
          <w:sz w:val="24"/>
          <w:szCs w:val="24"/>
        </w:rPr>
        <w:t xml:space="preserve">8.1.13 O presente Contrato não configura vínculo empregatício entre os trabalhadores ou sócios do </w:t>
      </w:r>
      <w:r>
        <w:rPr>
          <w:b/>
          <w:bCs/>
          <w:sz w:val="24"/>
          <w:szCs w:val="24"/>
        </w:rPr>
        <w:t>CONTRATADO</w:t>
      </w:r>
      <w:r>
        <w:rPr>
          <w:sz w:val="24"/>
          <w:szCs w:val="24"/>
        </w:rPr>
        <w:t xml:space="preserve"> e o </w:t>
      </w:r>
      <w:r>
        <w:rPr>
          <w:b/>
          <w:bCs/>
          <w:sz w:val="24"/>
          <w:szCs w:val="24"/>
        </w:rPr>
        <w:t>CONTRATANTE</w:t>
      </w:r>
      <w:r>
        <w:rPr>
          <w:sz w:val="24"/>
          <w:szCs w:val="24"/>
        </w:rPr>
        <w:t>.</w:t>
      </w:r>
    </w:p>
    <w:p w14:paraId="5CB4DCEC">
      <w:pPr>
        <w:spacing w:line="288" w:lineRule="auto"/>
        <w:contextualSpacing/>
        <w:jc w:val="both"/>
        <w:rPr>
          <w:sz w:val="24"/>
          <w:szCs w:val="24"/>
        </w:rPr>
      </w:pPr>
    </w:p>
    <w:p w14:paraId="218C2766">
      <w:pPr>
        <w:pStyle w:val="101"/>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NONA – OBRIGAÇÕES DO CONTRATADO </w:t>
      </w:r>
    </w:p>
    <w:p w14:paraId="18D0297B">
      <w:pPr>
        <w:spacing w:line="288" w:lineRule="auto"/>
        <w:contextualSpacing/>
        <w:rPr>
          <w:sz w:val="24"/>
          <w:szCs w:val="24"/>
        </w:rPr>
      </w:pPr>
    </w:p>
    <w:p w14:paraId="04D41AB8">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9.1 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5811BFD0">
      <w:pPr>
        <w:pStyle w:val="101"/>
        <w:spacing w:before="0" w:line="288" w:lineRule="auto"/>
        <w:ind w:left="0" w:firstLine="0"/>
        <w:contextualSpacing/>
        <w:rPr>
          <w:rFonts w:ascii="Times New Roman" w:hAnsi="Times New Roman" w:cs="Times New Roman"/>
          <w:b w:val="0"/>
          <w:bCs w:val="0"/>
          <w:sz w:val="24"/>
          <w:szCs w:val="24"/>
        </w:rPr>
      </w:pPr>
    </w:p>
    <w:p w14:paraId="3BF86687">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43822C53">
      <w:pPr>
        <w:pStyle w:val="99"/>
        <w:spacing w:before="0" w:after="0" w:line="288" w:lineRule="auto"/>
        <w:ind w:left="0" w:firstLine="0"/>
        <w:contextualSpacing/>
        <w:rPr>
          <w:rFonts w:ascii="Times New Roman" w:hAnsi="Times New Roman" w:cs="Times New Roman"/>
          <w:sz w:val="24"/>
          <w:szCs w:val="24"/>
        </w:rPr>
      </w:pPr>
    </w:p>
    <w:p w14:paraId="73EB397A">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 Comunicar ao </w:t>
      </w:r>
      <w:r>
        <w:rPr>
          <w:rFonts w:ascii="Times New Roman" w:hAnsi="Times New Roman" w:cs="Times New Roman"/>
          <w:b/>
          <w:bCs/>
          <w:sz w:val="24"/>
          <w:szCs w:val="24"/>
        </w:rPr>
        <w:t>CONTRATANTE</w:t>
      </w:r>
      <w:r>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2208E88B">
      <w:pPr>
        <w:pStyle w:val="99"/>
        <w:spacing w:before="0" w:after="0" w:line="288" w:lineRule="auto"/>
        <w:ind w:left="0" w:firstLine="0"/>
        <w:contextualSpacing/>
        <w:rPr>
          <w:rFonts w:ascii="Times New Roman" w:hAnsi="Times New Roman" w:cs="Times New Roman"/>
          <w:sz w:val="24"/>
          <w:szCs w:val="24"/>
        </w:rPr>
      </w:pPr>
    </w:p>
    <w:p w14:paraId="4ACDF3A3">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9.1.3 Atender às determinações regulares emitidas pelo fiscal ou gestor do Contrato ou autoridade superior </w:t>
      </w:r>
      <w:r>
        <w:rPr>
          <w:rFonts w:ascii="Times New Roman" w:hAnsi="Times New Roman" w:cs="Times New Roman"/>
          <w:color w:val="auto"/>
          <w:sz w:val="24"/>
          <w:szCs w:val="24"/>
        </w:rPr>
        <w:t>(</w:t>
      </w:r>
      <w:r>
        <w:fldChar w:fldCharType="begin"/>
      </w:r>
      <w:r>
        <w:instrText xml:space="preserve"> HYPERLINK "http://www.planalto.gov.br/ccivil_03/_ato2019-2022/2021/lei/L14133.htm" \l "art137" </w:instrText>
      </w:r>
      <w:r>
        <w:fldChar w:fldCharType="separate"/>
      </w:r>
      <w:r>
        <w:rPr>
          <w:rStyle w:val="16"/>
          <w:rFonts w:ascii="Times New Roman" w:hAnsi="Times New Roman" w:cs="Times New Roman" w:eastAsiaTheme="minorHAnsi"/>
          <w:color w:val="auto"/>
          <w:sz w:val="24"/>
          <w:szCs w:val="24"/>
        </w:rPr>
        <w:t>art. 137, II,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e prestar todo esclarecimento ou informação por eles solicitados.</w:t>
      </w:r>
    </w:p>
    <w:p w14:paraId="5A089792">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16AB9056">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ECCF3FB">
      <w:pPr>
        <w:pStyle w:val="99"/>
        <w:spacing w:before="0" w:after="0" w:line="288" w:lineRule="auto"/>
        <w:ind w:left="0" w:firstLine="0"/>
        <w:contextualSpacing/>
        <w:rPr>
          <w:rFonts w:ascii="Times New Roman" w:hAnsi="Times New Roman" w:cs="Times New Roman"/>
          <w:sz w:val="24"/>
          <w:szCs w:val="24"/>
        </w:rPr>
      </w:pPr>
    </w:p>
    <w:p w14:paraId="27B8BBA0">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7502C1FD">
      <w:pPr>
        <w:pStyle w:val="99"/>
        <w:spacing w:before="0" w:after="0" w:line="288" w:lineRule="auto"/>
        <w:ind w:left="0" w:firstLine="0"/>
        <w:contextualSpacing/>
        <w:rPr>
          <w:rFonts w:ascii="Times New Roman" w:hAnsi="Times New Roman" w:cs="Times New Roman"/>
          <w:sz w:val="24"/>
          <w:szCs w:val="24"/>
        </w:rPr>
      </w:pPr>
    </w:p>
    <w:p w14:paraId="05D8F11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9.1.6 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Pr>
          <w:rFonts w:ascii="Times New Roman" w:hAnsi="Times New Roman" w:cs="Times New Roman"/>
          <w:b/>
          <w:bCs/>
          <w:sz w:val="24"/>
          <w:szCs w:val="24"/>
        </w:rPr>
        <w:t>CONTRATANTE</w:t>
      </w:r>
      <w:r>
        <w:rPr>
          <w:rFonts w:ascii="Times New Roman" w:hAnsi="Times New Roman" w:cs="Times New Roman"/>
          <w:sz w:val="24"/>
          <w:szCs w:val="24"/>
        </w:rPr>
        <w:t>, que ficará autorizado a descontar dos pagamentos devidos ou da garantia o valor correspondente aos danos sofridos.</w:t>
      </w:r>
    </w:p>
    <w:p w14:paraId="6EA59B4D">
      <w:pPr>
        <w:pStyle w:val="99"/>
        <w:spacing w:before="0" w:after="0" w:line="288" w:lineRule="auto"/>
        <w:ind w:left="0" w:firstLine="0"/>
        <w:contextualSpacing/>
        <w:rPr>
          <w:rFonts w:ascii="Times New Roman" w:hAnsi="Times New Roman" w:cs="Times New Roman"/>
          <w:sz w:val="24"/>
          <w:szCs w:val="24"/>
        </w:rPr>
      </w:pPr>
    </w:p>
    <w:p w14:paraId="6243CFA8">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Pr>
          <w:rFonts w:ascii="Times New Roman" w:hAnsi="Times New Roman" w:cs="Times New Roman"/>
          <w:b/>
          <w:bCs/>
          <w:sz w:val="24"/>
          <w:szCs w:val="24"/>
        </w:rPr>
        <w:t>CONTRATANTE</w:t>
      </w:r>
      <w:r>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5E825571">
      <w:pPr>
        <w:pStyle w:val="99"/>
        <w:spacing w:before="0" w:after="0" w:line="288" w:lineRule="auto"/>
        <w:ind w:left="0" w:firstLine="0"/>
        <w:contextualSpacing/>
        <w:rPr>
          <w:rFonts w:ascii="Times New Roman" w:hAnsi="Times New Roman" w:cs="Times New Roman"/>
          <w:sz w:val="24"/>
          <w:szCs w:val="24"/>
        </w:rPr>
      </w:pPr>
    </w:p>
    <w:p w14:paraId="4914C21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9.1.8 Manter a regularidade junto ao SICAF.</w:t>
      </w:r>
    </w:p>
    <w:p w14:paraId="3C66D7BA">
      <w:pPr>
        <w:pStyle w:val="99"/>
        <w:spacing w:before="0" w:after="0" w:line="288" w:lineRule="auto"/>
        <w:ind w:left="0" w:firstLine="0"/>
        <w:contextualSpacing/>
        <w:rPr>
          <w:rFonts w:ascii="Times New Roman" w:hAnsi="Times New Roman" w:cs="Times New Roman"/>
          <w:sz w:val="24"/>
          <w:szCs w:val="24"/>
        </w:rPr>
      </w:pPr>
    </w:p>
    <w:p w14:paraId="506EDF93">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9.1.8.1 Quando não for possível a verificação da regularidade no Sistema de Cadastro de Fornecedores – SICAF, o </w:t>
      </w:r>
      <w:r>
        <w:rPr>
          <w:rFonts w:ascii="Times New Roman" w:hAnsi="Times New Roman" w:cs="Times New Roman"/>
          <w:b/>
          <w:bCs/>
          <w:sz w:val="24"/>
          <w:szCs w:val="24"/>
        </w:rPr>
        <w:t>CONTRATADO</w:t>
      </w:r>
      <w:r>
        <w:rPr>
          <w:rFonts w:ascii="Times New Roman" w:hAnsi="Times New Roman" w:cs="Times New Roman"/>
          <w:sz w:val="24"/>
          <w:szCs w:val="24"/>
        </w:rPr>
        <w:t xml:space="preserve"> deverá entregar ao setor responsável pela fiscalização do Contrato, junto com a Nota Fiscal para fins de pagamento, os seguintes documentos:</w:t>
      </w:r>
    </w:p>
    <w:p w14:paraId="4883DE8C">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prova de regularidade relativa à Seguridade Social;</w:t>
      </w:r>
    </w:p>
    <w:p w14:paraId="05FD7A0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certidão conjunta relativa aos tributos federais e à Dívida Ativa da União;</w:t>
      </w:r>
    </w:p>
    <w:p w14:paraId="683F17DC">
      <w:pPr>
        <w:pStyle w:val="99"/>
        <w:spacing w:before="0" w:after="0" w:line="288" w:lineRule="auto"/>
        <w:ind w:left="0" w:firstLine="0"/>
        <w:contextualSpacing/>
        <w:rPr>
          <w:rFonts w:ascii="Times New Roman" w:hAnsi="Times New Roman" w:cs="Times New Roman"/>
          <w:iCs/>
          <w:sz w:val="24"/>
          <w:szCs w:val="24"/>
        </w:rPr>
      </w:pPr>
      <w:r>
        <w:rPr>
          <w:rFonts w:ascii="Times New Roman" w:hAnsi="Times New Roman" w:cs="Times New Roman"/>
          <w:iCs/>
          <w:sz w:val="24"/>
          <w:szCs w:val="24"/>
        </w:rPr>
        <w:t xml:space="preserve">c) certidões que comprovem a regularidade perante as Fazendas do domicílio ou sede do </w:t>
      </w:r>
      <w:r>
        <w:rPr>
          <w:rFonts w:ascii="Times New Roman" w:hAnsi="Times New Roman" w:cs="Times New Roman"/>
          <w:b/>
          <w:bCs/>
          <w:sz w:val="24"/>
          <w:szCs w:val="24"/>
        </w:rPr>
        <w:t>CONTRATADO</w:t>
      </w:r>
      <w:r>
        <w:rPr>
          <w:rFonts w:ascii="Times New Roman" w:hAnsi="Times New Roman" w:cs="Times New Roman"/>
          <w:iCs/>
          <w:sz w:val="24"/>
          <w:szCs w:val="24"/>
        </w:rPr>
        <w:t xml:space="preserve">, na mesma forma exigida no Edital ou Aviso de Contratação Direta; </w:t>
      </w:r>
    </w:p>
    <w:p w14:paraId="5783516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d) Certificado de Regularidade do FGTS; e</w:t>
      </w:r>
    </w:p>
    <w:p w14:paraId="63D6A745">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e) Certidão Negativa de Débitos Trabalhistas – CNDT. </w:t>
      </w:r>
    </w:p>
    <w:p w14:paraId="3CDBED84">
      <w:pPr>
        <w:pStyle w:val="99"/>
        <w:spacing w:before="0" w:after="0" w:line="288" w:lineRule="auto"/>
        <w:ind w:left="0" w:firstLine="0"/>
        <w:contextualSpacing/>
        <w:rPr>
          <w:rFonts w:ascii="Times New Roman" w:hAnsi="Times New Roman" w:cs="Times New Roman"/>
          <w:sz w:val="24"/>
          <w:szCs w:val="24"/>
        </w:rPr>
      </w:pPr>
    </w:p>
    <w:p w14:paraId="5C33A68F">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Pr>
          <w:rFonts w:ascii="Times New Roman" w:hAnsi="Times New Roman" w:cs="Times New Roman"/>
          <w:b/>
          <w:bCs/>
          <w:sz w:val="24"/>
          <w:szCs w:val="24"/>
        </w:rPr>
        <w:t>CONTRATANTE</w:t>
      </w:r>
      <w:r>
        <w:rPr>
          <w:rFonts w:ascii="Times New Roman" w:hAnsi="Times New Roman" w:cs="Times New Roman"/>
          <w:sz w:val="24"/>
          <w:szCs w:val="24"/>
        </w:rPr>
        <w:t xml:space="preserve"> e não poderá onerar o objeto do Contrato.</w:t>
      </w:r>
    </w:p>
    <w:p w14:paraId="4489B256">
      <w:pPr>
        <w:pStyle w:val="99"/>
        <w:spacing w:before="0" w:after="0" w:line="288" w:lineRule="auto"/>
        <w:ind w:left="0" w:firstLine="0"/>
        <w:contextualSpacing/>
        <w:rPr>
          <w:rFonts w:ascii="Times New Roman" w:hAnsi="Times New Roman" w:cs="Times New Roman"/>
          <w:sz w:val="24"/>
          <w:szCs w:val="24"/>
        </w:rPr>
      </w:pPr>
    </w:p>
    <w:p w14:paraId="718B66C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0BF2E2D2">
      <w:pPr>
        <w:pStyle w:val="99"/>
        <w:spacing w:before="0" w:after="0" w:line="288" w:lineRule="auto"/>
        <w:ind w:left="0" w:firstLine="0"/>
        <w:contextualSpacing/>
        <w:rPr>
          <w:rFonts w:ascii="Times New Roman" w:hAnsi="Times New Roman" w:cs="Times New Roman"/>
          <w:sz w:val="24"/>
          <w:szCs w:val="24"/>
        </w:rPr>
      </w:pPr>
    </w:p>
    <w:p w14:paraId="7FF455F2">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9.1.11 Paralisar, por determinação do </w:t>
      </w:r>
      <w:r>
        <w:rPr>
          <w:rFonts w:ascii="Times New Roman" w:hAnsi="Times New Roman" w:cs="Times New Roman"/>
          <w:b/>
          <w:bCs/>
          <w:sz w:val="24"/>
          <w:szCs w:val="24"/>
        </w:rPr>
        <w:t>CONTRATANTE</w:t>
      </w:r>
      <w:r>
        <w:rPr>
          <w:rFonts w:ascii="Times New Roman" w:hAnsi="Times New Roman" w:cs="Times New Roman"/>
          <w:sz w:val="24"/>
          <w:szCs w:val="24"/>
        </w:rPr>
        <w:t>, qualquer atividade que não esteja sendo executada de acordo com a boa técnica ou que ponha em risco a segurança de pessoas ou bens de terceiros.</w:t>
      </w:r>
    </w:p>
    <w:p w14:paraId="5B9225F0">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10C6604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sz w:val="24"/>
          <w:szCs w:val="24"/>
          <w:lang w:eastAsia="en-US"/>
        </w:rPr>
        <w:t>e execução do objeto</w:t>
      </w:r>
      <w:r>
        <w:rPr>
          <w:rFonts w:ascii="Times New Roman" w:hAnsi="Times New Roman" w:cs="Times New Roman"/>
          <w:i w:val="0"/>
          <w:iCs w:val="0"/>
          <w:color w:val="auto"/>
          <w:sz w:val="24"/>
          <w:szCs w:val="24"/>
        </w:rPr>
        <w:t xml:space="preserve"> e nas melhores condições de segurança, higiene e disciplina.</w:t>
      </w:r>
    </w:p>
    <w:p w14:paraId="256923F8">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4D95AB33">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9.1.13 Submeter previamente, por escrito, ao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01D58FA9">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78F4E87C">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6687CFB0">
      <w:pPr>
        <w:pStyle w:val="99"/>
        <w:spacing w:before="0" w:after="0" w:line="288" w:lineRule="auto"/>
        <w:ind w:left="0" w:firstLine="0"/>
        <w:contextualSpacing/>
        <w:rPr>
          <w:rFonts w:ascii="Times New Roman" w:hAnsi="Times New Roman" w:cs="Times New Roman"/>
          <w:sz w:val="24"/>
          <w:szCs w:val="24"/>
        </w:rPr>
      </w:pPr>
    </w:p>
    <w:p w14:paraId="03378069">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0345FE16">
      <w:pPr>
        <w:pStyle w:val="99"/>
        <w:spacing w:before="0" w:after="0" w:line="288" w:lineRule="auto"/>
        <w:ind w:left="0" w:firstLine="0"/>
        <w:contextualSpacing/>
        <w:rPr>
          <w:rFonts w:ascii="Times New Roman" w:hAnsi="Times New Roman" w:cs="Times New Roman"/>
          <w:sz w:val="24"/>
          <w:szCs w:val="24"/>
        </w:rPr>
      </w:pPr>
    </w:p>
    <w:p w14:paraId="2F313F7A">
      <w:pPr>
        <w:pStyle w:val="99"/>
        <w:spacing w:before="0" w:after="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0F5CFF9D">
      <w:pPr>
        <w:pStyle w:val="99"/>
        <w:spacing w:before="0" w:after="0" w:line="288" w:lineRule="auto"/>
        <w:ind w:left="0" w:firstLine="0"/>
        <w:contextualSpacing/>
        <w:rPr>
          <w:rFonts w:ascii="Times New Roman" w:hAnsi="Times New Roman" w:cs="Times New Roman"/>
          <w:sz w:val="24"/>
          <w:szCs w:val="24"/>
        </w:rPr>
      </w:pPr>
    </w:p>
    <w:p w14:paraId="7DC6E321">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sz w:val="24"/>
          <w:szCs w:val="24"/>
        </w:rPr>
        <w:t>9</w:t>
      </w:r>
      <w:r>
        <w:rPr>
          <w:rFonts w:ascii="Times New Roman" w:hAnsi="Times New Roman" w:cs="Times New Roman"/>
          <w:b/>
          <w:bCs/>
          <w:sz w:val="24"/>
          <w:szCs w:val="24"/>
        </w:rPr>
        <w:t>.</w:t>
      </w:r>
      <w:r>
        <w:rPr>
          <w:rFonts w:ascii="Times New Roman" w:hAnsi="Times New Roman" w:cs="Times New Roman"/>
          <w:sz w:val="24"/>
          <w:szCs w:val="24"/>
        </w:rPr>
        <w:t>1.16.1</w:t>
      </w:r>
      <w:r>
        <w:rPr>
          <w:rFonts w:ascii="Times New Roman" w:hAnsi="Times New Roman" w:cs="Times New Roman"/>
          <w:b/>
          <w:bCs/>
          <w:sz w:val="24"/>
          <w:szCs w:val="24"/>
        </w:rPr>
        <w:t xml:space="preserve"> </w:t>
      </w:r>
      <w:r>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parágrafo único,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52045290">
      <w:pPr>
        <w:pStyle w:val="99"/>
        <w:spacing w:before="0" w:after="0" w:line="288" w:lineRule="auto"/>
        <w:ind w:left="0" w:firstLine="0"/>
        <w:contextualSpacing/>
        <w:rPr>
          <w:rFonts w:ascii="Times New Roman" w:hAnsi="Times New Roman" w:cs="Times New Roman"/>
          <w:color w:val="auto"/>
          <w:sz w:val="24"/>
          <w:szCs w:val="24"/>
        </w:rPr>
      </w:pPr>
    </w:p>
    <w:p w14:paraId="0AE0359C">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9.1.16.2 No caso de aprendiz, a comprovação do cumprimento do art. 429 e seguintes da Consolidação das Leis do Trabalho se dará pela apresentação da certidão, expedida pelo Ministério do Trabalho e Emprego, sem prejuízo do item 9.1.16.1.</w:t>
      </w:r>
    </w:p>
    <w:p w14:paraId="5675463C">
      <w:pPr>
        <w:pStyle w:val="99"/>
        <w:spacing w:before="0" w:after="0" w:line="288" w:lineRule="auto"/>
        <w:ind w:left="0" w:firstLine="0"/>
        <w:contextualSpacing/>
        <w:rPr>
          <w:rFonts w:ascii="Times New Roman" w:hAnsi="Times New Roman" w:cs="Times New Roman"/>
          <w:color w:val="auto"/>
          <w:sz w:val="24"/>
          <w:szCs w:val="24"/>
        </w:rPr>
      </w:pPr>
    </w:p>
    <w:p w14:paraId="6C145E3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9.1.17 </w:t>
      </w:r>
      <w:r>
        <w:rPr>
          <w:rFonts w:ascii="Times New Roman" w:hAnsi="Times New Roman" w:cs="Times New Roman"/>
          <w:sz w:val="24"/>
          <w:szCs w:val="24"/>
        </w:rPr>
        <w:t>Guardar sigilo sobre todas as informações obtidas em decorrência do cumprimento do Contrato.</w:t>
      </w:r>
    </w:p>
    <w:p w14:paraId="646F2577">
      <w:pPr>
        <w:pStyle w:val="99"/>
        <w:spacing w:before="0" w:after="0" w:line="288" w:lineRule="auto"/>
        <w:ind w:left="0" w:firstLine="0"/>
        <w:contextualSpacing/>
        <w:rPr>
          <w:rFonts w:ascii="Times New Roman" w:hAnsi="Times New Roman" w:cs="Times New Roman"/>
          <w:sz w:val="24"/>
          <w:szCs w:val="24"/>
        </w:rPr>
      </w:pPr>
    </w:p>
    <w:p w14:paraId="16FD3D25">
      <w:pPr>
        <w:pStyle w:val="99"/>
        <w:spacing w:before="0" w:after="0" w:line="288" w:lineRule="auto"/>
        <w:ind w:left="0" w:firstLine="0"/>
        <w:contextualSpacing/>
        <w:rPr>
          <w:rStyle w:val="16"/>
          <w:rFonts w:ascii="Times New Roman" w:hAnsi="Times New Roman" w:cs="Times New Roman" w:eastAsiaTheme="minorHAnsi"/>
          <w:sz w:val="24"/>
          <w:szCs w:val="24"/>
        </w:rPr>
      </w:pPr>
      <w:r>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artigo 124, II, d, da Lei nº 14.133/2021.</w:t>
      </w:r>
      <w:r>
        <w:rPr>
          <w:rStyle w:val="16"/>
          <w:rFonts w:ascii="Times New Roman" w:hAnsi="Times New Roman" w:cs="Times New Roman" w:eastAsiaTheme="minorHAnsi"/>
          <w:color w:val="auto"/>
          <w:sz w:val="24"/>
          <w:szCs w:val="24"/>
        </w:rPr>
        <w:fldChar w:fldCharType="end"/>
      </w:r>
    </w:p>
    <w:p w14:paraId="0C1F7209">
      <w:pPr>
        <w:pStyle w:val="99"/>
        <w:spacing w:before="0" w:after="0" w:line="288" w:lineRule="auto"/>
        <w:ind w:left="0" w:firstLine="0"/>
        <w:contextualSpacing/>
        <w:rPr>
          <w:rFonts w:ascii="Times New Roman" w:hAnsi="Times New Roman" w:cs="Times New Roman"/>
          <w:sz w:val="24"/>
          <w:szCs w:val="24"/>
        </w:rPr>
      </w:pPr>
    </w:p>
    <w:p w14:paraId="2D66829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9.1.19 Cumprir, além dos postulados legais vigentes de âmbito federal, estadual ou municipal, as normas de segurança do </w:t>
      </w:r>
      <w:r>
        <w:rPr>
          <w:rFonts w:ascii="Times New Roman" w:hAnsi="Times New Roman" w:cs="Times New Roman"/>
          <w:b/>
          <w:bCs/>
          <w:sz w:val="24"/>
          <w:szCs w:val="24"/>
        </w:rPr>
        <w:t>CONTRATANTE</w:t>
      </w:r>
      <w:r>
        <w:rPr>
          <w:rFonts w:ascii="Times New Roman" w:hAnsi="Times New Roman" w:cs="Times New Roman"/>
          <w:sz w:val="24"/>
          <w:szCs w:val="24"/>
        </w:rPr>
        <w:t>.</w:t>
      </w:r>
    </w:p>
    <w:p w14:paraId="50AC7AA0">
      <w:pPr>
        <w:pStyle w:val="99"/>
        <w:spacing w:before="0" w:after="0" w:line="288" w:lineRule="auto"/>
        <w:ind w:left="0" w:firstLine="0"/>
        <w:contextualSpacing/>
        <w:rPr>
          <w:rFonts w:ascii="Times New Roman" w:hAnsi="Times New Roman" w:cs="Times New Roman"/>
          <w:sz w:val="24"/>
          <w:szCs w:val="24"/>
        </w:rPr>
      </w:pPr>
    </w:p>
    <w:p w14:paraId="03E92691">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9.1.20 Prestar esclarecimentos ou informações solicitadas pelo </w:t>
      </w:r>
      <w:r>
        <w:rPr>
          <w:rFonts w:ascii="Times New Roman" w:hAnsi="Times New Roman" w:cs="Times New Roman"/>
          <w:b/>
          <w:bCs/>
          <w:sz w:val="24"/>
          <w:szCs w:val="24"/>
        </w:rPr>
        <w:t>CONTRATANTE</w:t>
      </w:r>
      <w:r>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2279455F">
      <w:pPr>
        <w:pStyle w:val="99"/>
        <w:spacing w:before="0" w:after="0" w:line="288" w:lineRule="auto"/>
        <w:ind w:left="0" w:firstLine="0"/>
        <w:contextualSpacing/>
        <w:rPr>
          <w:rFonts w:ascii="Times New Roman" w:hAnsi="Times New Roman" w:cs="Times New Roman"/>
          <w:sz w:val="24"/>
          <w:szCs w:val="24"/>
        </w:rPr>
      </w:pPr>
    </w:p>
    <w:p w14:paraId="216705EF">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9.1.21 </w:t>
      </w:r>
      <w:bookmarkStart w:id="48" w:name="_Hlk175228415"/>
      <w:r>
        <w:rPr>
          <w:rFonts w:ascii="Times New Roman" w:hAnsi="Times New Roman" w:cs="Times New Roman"/>
          <w:sz w:val="24"/>
          <w:szCs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085B730D">
      <w:pPr>
        <w:pStyle w:val="99"/>
        <w:spacing w:before="0" w:after="0" w:line="288" w:lineRule="auto"/>
        <w:ind w:left="0" w:firstLine="0"/>
        <w:contextualSpacing/>
        <w:rPr>
          <w:rFonts w:ascii="Times New Roman" w:hAnsi="Times New Roman" w:eastAsia="Calibri" w:cs="Times New Roman"/>
          <w:color w:val="auto"/>
          <w:sz w:val="24"/>
          <w:szCs w:val="24"/>
          <w:lang w:eastAsia="en-US"/>
        </w:rPr>
      </w:pPr>
    </w:p>
    <w:p w14:paraId="3759694E">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color w:val="auto"/>
          <w:sz w:val="24"/>
          <w:szCs w:val="24"/>
          <w:lang w:eastAsia="en-US"/>
        </w:rPr>
        <w:t xml:space="preserve">9.1.21.1 Caso o </w:t>
      </w:r>
      <w:r>
        <w:rPr>
          <w:rFonts w:ascii="Times New Roman" w:hAnsi="Times New Roman" w:eastAsia="Calibri" w:cs="Times New Roman"/>
          <w:b/>
          <w:bCs/>
          <w:color w:val="auto"/>
          <w:sz w:val="24"/>
          <w:szCs w:val="24"/>
          <w:lang w:eastAsia="en-US"/>
        </w:rPr>
        <w:t>CONTRATADO</w:t>
      </w:r>
      <w:r>
        <w:rPr>
          <w:rFonts w:ascii="Times New Roman" w:hAnsi="Times New Roman" w:eastAsia="Calibri"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Pr>
          <w:rFonts w:ascii="Times New Roman" w:hAnsi="Times New Roman" w:cs="Times New Roman"/>
          <w:color w:val="auto"/>
          <w:sz w:val="24"/>
          <w:szCs w:val="24"/>
        </w:rPr>
        <w:t>na forma da legislação vigente.</w:t>
      </w:r>
    </w:p>
    <w:bookmarkEnd w:id="48"/>
    <w:p w14:paraId="7C2995EC">
      <w:pPr>
        <w:spacing w:line="288" w:lineRule="auto"/>
        <w:contextualSpacing/>
        <w:jc w:val="both"/>
        <w:rPr>
          <w:sz w:val="24"/>
          <w:szCs w:val="24"/>
        </w:rPr>
      </w:pPr>
    </w:p>
    <w:p w14:paraId="62696E9A">
      <w:pPr>
        <w:spacing w:line="288" w:lineRule="auto"/>
        <w:contextualSpacing/>
        <w:jc w:val="both"/>
        <w:rPr>
          <w:sz w:val="24"/>
          <w:szCs w:val="24"/>
        </w:rPr>
      </w:pPr>
      <w:r>
        <w:rPr>
          <w:sz w:val="24"/>
          <w:szCs w:val="24"/>
        </w:rPr>
        <w:t>9.1.22 Orientar e treinar seus empregados sobre os deveres previstos na Lei nº 13.709, de 14 de agosto de 2018 (LGPD), adotando medidas eficazes para proteção de dados pessoais a que tenha acesso por força da execução deste Contrato.</w:t>
      </w:r>
    </w:p>
    <w:p w14:paraId="01C4EB22">
      <w:pPr>
        <w:spacing w:line="288" w:lineRule="auto"/>
        <w:contextualSpacing/>
        <w:jc w:val="both"/>
        <w:rPr>
          <w:sz w:val="24"/>
          <w:szCs w:val="24"/>
        </w:rPr>
      </w:pPr>
    </w:p>
    <w:p w14:paraId="7A7D1B04">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DÉCIMA – GARANTIA DE EXECUÇÃO</w:t>
      </w:r>
    </w:p>
    <w:p w14:paraId="2C8253FB">
      <w:pPr>
        <w:spacing w:line="288" w:lineRule="auto"/>
        <w:contextualSpacing/>
        <w:jc w:val="both"/>
        <w:rPr>
          <w:sz w:val="24"/>
          <w:szCs w:val="24"/>
        </w:rPr>
      </w:pPr>
    </w:p>
    <w:p w14:paraId="1EDC816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 O Contrato conta com garantia de execução, nos moldes do </w:t>
      </w:r>
      <w:r>
        <w:fldChar w:fldCharType="begin"/>
      </w:r>
      <w:r>
        <w:instrText xml:space="preserve"> HYPERLINK "http://www.planalto.gov.br/ccivil_03/_ato2019-2022/2021/lei/L14133.htm" \l "art96" </w:instrText>
      </w:r>
      <w:r>
        <w:fldChar w:fldCharType="separate"/>
      </w:r>
      <w:r>
        <w:rPr>
          <w:rStyle w:val="16"/>
          <w:rFonts w:eastAsiaTheme="minorHAnsi"/>
          <w:color w:val="000000" w:themeColor="text1"/>
          <w:sz w:val="24"/>
          <w:szCs w:val="24"/>
          <w14:textFill>
            <w14:solidFill>
              <w14:schemeClr w14:val="tx1"/>
            </w14:solidFill>
          </w14:textFill>
        </w:rPr>
        <w:t>artigo 96 da Lei nº 14.133</w:t>
      </w:r>
      <w:r>
        <w:rPr>
          <w:rStyle w:val="16"/>
          <w:rFonts w:eastAsiaTheme="minorHAnsi"/>
          <w:color w:val="000000" w:themeColor="text1"/>
          <w:sz w:val="24"/>
          <w:szCs w:val="24"/>
          <w14:textFill>
            <w14:solidFill>
              <w14:schemeClr w14:val="tx1"/>
            </w14:solidFill>
          </w14:textFill>
        </w:rPr>
        <w:fldChar w:fldCharType="end"/>
      </w:r>
      <w:r>
        <w:rPr>
          <w:rStyle w:val="16"/>
          <w:rFonts w:eastAsiaTheme="minorHAnsi"/>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2021, correspondente a 5 % (cinco) de seu valor inicial/anual.</w:t>
      </w:r>
    </w:p>
    <w:p w14:paraId="0C5D0F42">
      <w:pPr>
        <w:pStyle w:val="103"/>
        <w:spacing w:before="288" w:beforeLines="120" w:after="288" w:afterLines="120" w:line="288" w:lineRule="auto"/>
        <w:ind w:left="0" w:right="849"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10.1.1 Na forma do art. 101 da Lei nº 14.133/2021, nos casos de contratos que impliquem a entrega de bens pela Administração, dos quais o </w:t>
      </w:r>
      <w:r>
        <w:rPr>
          <w:rFonts w:ascii="Times New Roman" w:hAnsi="Times New Roman" w:cs="Times New Roman"/>
          <w:b/>
          <w:bCs/>
          <w:color w:val="000000" w:themeColor="text1"/>
          <w:sz w:val="24"/>
          <w:szCs w:val="24"/>
          <w14:textFill>
            <w14:solidFill>
              <w14:schemeClr w14:val="tx1"/>
            </w14:solidFill>
          </w14:textFill>
        </w:rPr>
        <w:t>CONTRATADO</w:t>
      </w:r>
      <w:r>
        <w:rPr>
          <w:rFonts w:ascii="Times New Roman" w:hAnsi="Times New Roman" w:cs="Times New Roman"/>
          <w:color w:val="000000" w:themeColor="text1"/>
          <w:sz w:val="24"/>
          <w:szCs w:val="24"/>
          <w14:textFill>
            <w14:solidFill>
              <w14:schemeClr w14:val="tx1"/>
            </w14:solidFill>
          </w14:textFill>
        </w:rPr>
        <w:t xml:space="preserve"> ficará depositário, o valor desses bens deverá ser acrescido ao valor da garantia.</w:t>
      </w:r>
    </w:p>
    <w:p w14:paraId="691F0B59">
      <w:pPr>
        <w:pStyle w:val="108"/>
        <w:numPr>
          <w:ilvl w:val="0"/>
          <w:numId w:val="0"/>
        </w:numPr>
        <w:spacing w:after="288" w:afterLines="120" w:line="288" w:lineRule="auto"/>
        <w:ind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10.2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poderá optar pelas seguintes modalidades de garantia:</w:t>
      </w:r>
    </w:p>
    <w:p w14:paraId="67035442">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 - caução em dinheiro ou em títulos da dívida pública;</w:t>
      </w:r>
    </w:p>
    <w:p w14:paraId="05C45CA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II - seguro-garantia; </w:t>
      </w:r>
    </w:p>
    <w:p w14:paraId="5922D24C">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fiança bancária; e</w:t>
      </w:r>
    </w:p>
    <w:p w14:paraId="27EA9BD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IV - título de capitalização custeado por pagamento único, com resgate pelo valor total.</w:t>
      </w:r>
    </w:p>
    <w:p w14:paraId="6E68F54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4B964F6D">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 Qualquer que seja a modalidade escolhida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 garantia assegurará o pagamento de: </w:t>
      </w:r>
    </w:p>
    <w:p w14:paraId="6071F012">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0E13DCD3">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10.3.1 prejuízos advindos do não cumprimento do objeto do Contrato e do não adimplemento das demais obrigações neste previstas;</w:t>
      </w:r>
    </w:p>
    <w:p w14:paraId="2B0B4EEA">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BDF2CB0">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10.3.2 multas moratórias, compensatórias e administrativas aplicadas pela Administração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e</w:t>
      </w:r>
    </w:p>
    <w:p w14:paraId="6BC2594A">
      <w:pPr>
        <w:pStyle w:val="108"/>
        <w:numPr>
          <w:ilvl w:val="0"/>
          <w:numId w:val="0"/>
        </w:numPr>
        <w:spacing w:after="288" w:afterLines="120" w:line="288" w:lineRule="auto"/>
        <w:ind w:left="567" w:right="565"/>
        <w:contextualSpacing/>
        <w:rPr>
          <w:rFonts w:ascii="Times New Roman" w:hAnsi="Times New Roman" w:cs="Times New Roman"/>
          <w:bCs/>
          <w:i w:val="0"/>
          <w:iCs w:val="0"/>
          <w:color w:val="000000" w:themeColor="text1"/>
          <w:sz w:val="24"/>
          <w:szCs w:val="24"/>
          <w14:textFill>
            <w14:solidFill>
              <w14:schemeClr w14:val="tx1"/>
            </w14:solidFill>
          </w14:textFill>
        </w:rPr>
      </w:pPr>
    </w:p>
    <w:p w14:paraId="19E867BE">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bCs/>
          <w:i w:val="0"/>
          <w:iCs w:val="0"/>
          <w:color w:val="000000" w:themeColor="text1"/>
          <w:sz w:val="24"/>
          <w:szCs w:val="24"/>
          <w14:textFill>
            <w14:solidFill>
              <w14:schemeClr w14:val="tx1"/>
            </w14:solidFill>
          </w14:textFill>
        </w:rPr>
        <w:t xml:space="preserve">10.3.3 obrigações trabalhistas e   previdenciárias de </w:t>
      </w:r>
      <w:r>
        <w:rPr>
          <w:rFonts w:ascii="Times New Roman" w:hAnsi="Times New Roman" w:cs="Times New Roman"/>
          <w:i w:val="0"/>
          <w:iCs w:val="0"/>
          <w:color w:val="000000" w:themeColor="text1"/>
          <w:sz w:val="24"/>
          <w:szCs w:val="24"/>
          <w14:textFill>
            <w14:solidFill>
              <w14:schemeClr w14:val="tx1"/>
            </w14:solidFill>
          </w14:textFill>
        </w:rPr>
        <w:t xml:space="preserve">qualquer natureza, assim como as obrigações de regularidade perante o FGTS, não adimplidas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quando couber.</w:t>
      </w:r>
    </w:p>
    <w:p w14:paraId="03E0A13E">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B968A5C">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10.4</w:t>
      </w:r>
      <w:r>
        <w:rPr>
          <w:rStyle w:val="117"/>
          <w:rFonts w:ascii="Times New Roman" w:hAnsi="Times New Roman" w:cs="Times New Roman"/>
          <w:i w:val="0"/>
          <w:iCs w:val="0"/>
          <w:color w:val="000000" w:themeColor="text1"/>
          <w:sz w:val="24"/>
          <w:szCs w:val="24"/>
          <w:shd w:val="clear" w:color="auto" w:fill="FFFFFF"/>
          <w14:textFill>
            <w14:solidFill>
              <w14:schemeClr w14:val="tx1"/>
            </w14:solidFill>
          </w14:textFill>
        </w:rPr>
        <w:t xml:space="preserve"> </w:t>
      </w:r>
      <w:r>
        <w:rPr>
          <w:rFonts w:ascii="Times New Roman" w:hAnsi="Times New Roman" w:cs="Times New Roman"/>
          <w:i w:val="0"/>
          <w:iCs w:val="0"/>
          <w:color w:val="000000" w:themeColor="text1"/>
          <w:sz w:val="24"/>
          <w:szCs w:val="24"/>
          <w14:textFill>
            <w14:solidFill>
              <w14:schemeClr w14:val="tx1"/>
            </w14:solidFill>
          </w14:textFill>
        </w:rPr>
        <w:t>A garantia, qualquer que seja a modalidade escolhida, terá validade durante a vigência do Contrato e por mais 90 (noventa) dias após o término deste prazo de vigência.</w:t>
      </w:r>
    </w:p>
    <w:p w14:paraId="3946C629">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B2CEB7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10.5 Na hipótese de suspensão do Contrato por ordem ou inadimplemento da Administração,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ficará desobrigado de renovar a garantia ou de endossar a apólice de seguro até a ordem de reinício da execução ou o adimplemento pela Administração.</w:t>
      </w:r>
    </w:p>
    <w:p w14:paraId="3551DC2B">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2078306B">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10.6 Ressalvada a hipótese de seguro-garantia, cuja apresentação deve ser anterior à assinatura do Contrato,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apresentará, no prazo máximo de 10 (dez) dias úteis, prorrogáveis por igual período, a critério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contado da assinatura do Contrato, o comprovante de prestação de garantia, na forma do item 10.2.</w:t>
      </w:r>
    </w:p>
    <w:p w14:paraId="3DE647B2">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 Caso oferecida a modalidade de seguro-garantia, observar-se-ão as seguintes condições:</w:t>
      </w:r>
    </w:p>
    <w:p w14:paraId="465954CD">
      <w:pPr>
        <w:spacing w:line="288" w:lineRule="auto"/>
        <w:ind w:left="567" w:right="565"/>
        <w:contextualSpacing/>
        <w:jc w:val="both"/>
        <w:rPr>
          <w:color w:val="000000" w:themeColor="text1"/>
          <w:sz w:val="24"/>
          <w:szCs w:val="24"/>
          <w14:textFill>
            <w14:solidFill>
              <w14:schemeClr w14:val="tx1"/>
            </w14:solidFill>
          </w14:textFill>
        </w:rPr>
      </w:pPr>
    </w:p>
    <w:p w14:paraId="6C170DD8">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10.7.1 a apólice permanecerá em vigor mesmo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pague o prêmio nas datas convencionadas;</w:t>
      </w:r>
    </w:p>
    <w:p w14:paraId="4B7AFB59">
      <w:pPr>
        <w:spacing w:line="288" w:lineRule="auto"/>
        <w:ind w:left="567" w:right="565"/>
        <w:contextualSpacing/>
        <w:jc w:val="both"/>
        <w:rPr>
          <w:color w:val="000000" w:themeColor="text1"/>
          <w:sz w:val="24"/>
          <w:szCs w:val="24"/>
          <w14:textFill>
            <w14:solidFill>
              <w14:schemeClr w14:val="tx1"/>
            </w14:solidFill>
          </w14:textFill>
        </w:rPr>
      </w:pPr>
    </w:p>
    <w:p w14:paraId="4809641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10.7.2 a apólice deverá acompanhar as modificações referentes à vigência do Contrato principal, mediante a emissão do respectivo endosso pela seguradora;</w:t>
      </w:r>
    </w:p>
    <w:p w14:paraId="2B52A41F">
      <w:pPr>
        <w:spacing w:line="288" w:lineRule="auto"/>
        <w:ind w:left="567" w:right="565"/>
        <w:contextualSpacing/>
        <w:jc w:val="both"/>
        <w:rPr>
          <w:color w:val="000000" w:themeColor="text1"/>
          <w:sz w:val="24"/>
          <w:szCs w:val="24"/>
          <w14:textFill>
            <w14:solidFill>
              <w14:schemeClr w14:val="tx1"/>
            </w14:solidFill>
          </w14:textFill>
        </w:rPr>
      </w:pPr>
    </w:p>
    <w:p w14:paraId="1C6F0F35">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10.7.3 será permitida a substituição da apólice na data de renovação ou de aniversário, desde que mantidas as condições e coberturas da apólice vigente e nenhum período fique descoberto, ressalvado o disposto no item 10.5 deste Contrato; e</w:t>
      </w:r>
    </w:p>
    <w:p w14:paraId="6BA724D7">
      <w:pPr>
        <w:spacing w:line="288" w:lineRule="auto"/>
        <w:ind w:left="567" w:right="565"/>
        <w:contextualSpacing/>
        <w:jc w:val="both"/>
        <w:rPr>
          <w:color w:val="000000" w:themeColor="text1"/>
          <w:sz w:val="24"/>
          <w:szCs w:val="24"/>
          <w14:textFill>
            <w14:solidFill>
              <w14:schemeClr w14:val="tx1"/>
            </w14:solidFill>
          </w14:textFill>
        </w:rPr>
      </w:pPr>
    </w:p>
    <w:p w14:paraId="063D3BF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10.7.4 a apólice somente será aceita se contemplar todos os eventos indicados no item 10.3, observada a legislação que rege a matéria.</w:t>
      </w:r>
    </w:p>
    <w:p w14:paraId="7632A0A3">
      <w:pPr>
        <w:spacing w:line="288" w:lineRule="auto"/>
        <w:ind w:left="567" w:right="565"/>
        <w:contextualSpacing/>
        <w:jc w:val="both"/>
        <w:rPr>
          <w:color w:val="000000" w:themeColor="text1"/>
          <w:sz w:val="24"/>
          <w:szCs w:val="24"/>
          <w14:textFill>
            <w14:solidFill>
              <w14:schemeClr w14:val="tx1"/>
            </w14:solidFill>
          </w14:textFill>
        </w:rPr>
      </w:pPr>
    </w:p>
    <w:p w14:paraId="0F497D9C">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11648ED5">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9C84DF4">
      <w:pPr>
        <w:pStyle w:val="108"/>
        <w:numPr>
          <w:ilvl w:val="0"/>
          <w:numId w:val="0"/>
        </w:numPr>
        <w:spacing w:before="0" w:after="288" w:afterLines="120" w:line="288" w:lineRule="auto"/>
        <w:ind w:left="567" w:right="565"/>
        <w:contextualSpacing/>
        <w:rPr>
          <w:rStyle w:val="16"/>
          <w:rFonts w:ascii="Times New Roman" w:hAnsi="Times New Roman" w:cs="Times New Roman" w:eastAsiaTheme="minorHAnsi"/>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10.9 Caso a opção seja por fiança bancária, esta deverá ser emitida por banco ou instituição financeira devidamente autorizada a operar no País pelo Banco Central do Brasil, e deverá constar expressa renúncia do fiador aos benefícios do </w:t>
      </w:r>
      <w:r>
        <w:fldChar w:fldCharType="begin"/>
      </w:r>
      <w:r>
        <w:instrText xml:space="preserve"> HYPERLINK "https://www.planalto.gov.br/ccivil_03/leis/2002/l10406compilada.htm" \l "art827" </w:instrText>
      </w:r>
      <w:r>
        <w:fldChar w:fldCharType="separate"/>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t>artigo 827 do Código Civil.</w:t>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fldChar w:fldCharType="end"/>
      </w:r>
    </w:p>
    <w:p w14:paraId="74637BE7">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27954D32">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10.10 Caso a opção seja por garantia em dinheiro, deverá ser efetuada em favor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na conta corrente e agência  da instituição financeira contratada pelo Município a ser informada, cujo valor será corrigido monetariamente e restituído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na forma do item 10.16 deste Contrato.</w:t>
      </w:r>
    </w:p>
    <w:p w14:paraId="25BF4FCE">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3765671B">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10.11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 </w:t>
      </w:r>
    </w:p>
    <w:p w14:paraId="48314568">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 A inobservância do prazo fixado para apresentação, reposição, suplementação ou renovação da garantia acarretará a aplicação de multa e/ou outras penalidades, na forma disposta na cláusula décima segunda. </w:t>
      </w:r>
    </w:p>
    <w:p w14:paraId="25409561">
      <w:pPr>
        <w:spacing w:line="288" w:lineRule="auto"/>
        <w:ind w:left="567" w:right="565"/>
        <w:contextualSpacing/>
        <w:jc w:val="both"/>
        <w:rPr>
          <w:color w:val="000000" w:themeColor="text1"/>
          <w:sz w:val="24"/>
          <w:szCs w:val="24"/>
          <w14:textFill>
            <w14:solidFill>
              <w14:schemeClr w14:val="tx1"/>
            </w14:solidFill>
          </w14:textFill>
        </w:rPr>
      </w:pPr>
    </w:p>
    <w:p w14:paraId="39AF619C">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10.12.1 O atraso superior a 25 (vinte e cinco) dias autoriza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a promover a rescisão do Contrato por descumprimento ou cumprimento irregular de suas cláusulas, com a aplicação das sanções cabíveis.</w:t>
      </w:r>
    </w:p>
    <w:p w14:paraId="1840806E">
      <w:pPr>
        <w:spacing w:line="288" w:lineRule="auto"/>
        <w:ind w:left="567" w:right="565"/>
        <w:contextualSpacing/>
        <w:jc w:val="both"/>
        <w:rPr>
          <w:color w:val="000000" w:themeColor="text1"/>
          <w:sz w:val="24"/>
          <w:szCs w:val="24"/>
          <w14:textFill>
            <w14:solidFill>
              <w14:schemeClr w14:val="tx1"/>
            </w14:solidFill>
          </w14:textFill>
        </w:rPr>
      </w:pPr>
    </w:p>
    <w:p w14:paraId="7D8BBED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10.13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executará a garantia na forma prevista na legislação que rege a matéria.</w:t>
      </w:r>
    </w:p>
    <w:p w14:paraId="752652B7">
      <w:pPr>
        <w:spacing w:line="288" w:lineRule="auto"/>
        <w:ind w:left="567" w:right="565"/>
        <w:contextualSpacing/>
        <w:jc w:val="both"/>
        <w:rPr>
          <w:color w:val="000000" w:themeColor="text1"/>
          <w:sz w:val="24"/>
          <w:szCs w:val="24"/>
          <w14:textFill>
            <w14:solidFill>
              <w14:schemeClr w14:val="tx1"/>
            </w14:solidFill>
          </w14:textFill>
        </w:rPr>
      </w:pPr>
    </w:p>
    <w:p w14:paraId="5A403149">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 O emitente da garantia ofertada pelo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deverá ser notificado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quanto ao início de processo administrativo para apuração de descumprimento de cláusulas contratuais.</w:t>
      </w:r>
    </w:p>
    <w:p w14:paraId="6BAFB2A1">
      <w:pPr>
        <w:spacing w:line="288" w:lineRule="auto"/>
        <w:ind w:left="567" w:right="565"/>
        <w:contextualSpacing/>
        <w:jc w:val="both"/>
        <w:rPr>
          <w:color w:val="000000" w:themeColor="text1"/>
          <w:sz w:val="24"/>
          <w:szCs w:val="24"/>
          <w14:textFill>
            <w14:solidFill>
              <w14:schemeClr w14:val="tx1"/>
            </w14:solidFill>
          </w14:textFill>
        </w:rPr>
      </w:pPr>
    </w:p>
    <w:p w14:paraId="4E64C705">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10.14.1 O garantidor não é parte para figurar em processo administrativo instaurado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com o objetivo de apurar prejuízos e/ou aplicar sanções ao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w:t>
      </w:r>
    </w:p>
    <w:p w14:paraId="0B33E077">
      <w:pPr>
        <w:spacing w:line="288" w:lineRule="auto"/>
        <w:ind w:left="567" w:right="565"/>
        <w:contextualSpacing/>
        <w:jc w:val="both"/>
        <w:rPr>
          <w:color w:val="000000" w:themeColor="text1"/>
          <w:sz w:val="24"/>
          <w:szCs w:val="24"/>
          <w14:textFill>
            <w14:solidFill>
              <w14:schemeClr w14:val="tx1"/>
            </w14:solidFill>
          </w14:textFill>
        </w:rPr>
      </w:pPr>
    </w:p>
    <w:p w14:paraId="6036D9F2">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353F2E7">
      <w:pPr>
        <w:spacing w:line="288" w:lineRule="auto"/>
        <w:ind w:left="567" w:right="565"/>
        <w:contextualSpacing/>
        <w:jc w:val="both"/>
        <w:rPr>
          <w:color w:val="000000" w:themeColor="text1"/>
          <w:sz w:val="24"/>
          <w:szCs w:val="24"/>
          <w14:textFill>
            <w14:solidFill>
              <w14:schemeClr w14:val="tx1"/>
            </w14:solidFill>
          </w14:textFill>
        </w:rPr>
      </w:pPr>
    </w:p>
    <w:p w14:paraId="369A6787">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10.16 Extinguir-se-á a garantia com a restituição da apólice, carta fiança, título da dívida pública ou autorização para a liberação da caução em dinheiro, atualizada monetariamente, acompanhada de declaração do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mediante termo circunstanciado,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cumpriu todas as cláusulas do Contrato.</w:t>
      </w:r>
    </w:p>
    <w:p w14:paraId="5C827730">
      <w:pPr>
        <w:spacing w:line="288" w:lineRule="auto"/>
        <w:ind w:left="567" w:right="565"/>
        <w:contextualSpacing/>
        <w:jc w:val="both"/>
        <w:rPr>
          <w:color w:val="000000" w:themeColor="text1"/>
          <w:sz w:val="24"/>
          <w:szCs w:val="24"/>
          <w14:textFill>
            <w14:solidFill>
              <w14:schemeClr w14:val="tx1"/>
            </w14:solidFill>
          </w14:textFill>
        </w:rPr>
      </w:pPr>
    </w:p>
    <w:p w14:paraId="142361C7">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10.16.1 A garantia somente será liberada ou restituída, após a fiel execução do Contrato ou pela sua extinção, por culpa exclusiva da Administração, ou quando assim convencionado, em se tratando de extinção consensual da contratação.</w:t>
      </w:r>
    </w:p>
    <w:p w14:paraId="2C6AD401">
      <w:pPr>
        <w:pStyle w:val="10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953F37F">
      <w:pPr>
        <w:pStyle w:val="10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10.17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autoriza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a reter, a qualquer tempo, a garantia, na forma prevista no Edital e neste Contrato.</w:t>
      </w:r>
    </w:p>
    <w:p w14:paraId="44B10D67">
      <w:pPr>
        <w:pStyle w:val="10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75C0015">
      <w:pPr>
        <w:pStyle w:val="105"/>
        <w:numPr>
          <w:ilvl w:val="0"/>
          <w:numId w:val="0"/>
        </w:numPr>
        <w:spacing w:before="0" w:line="288" w:lineRule="auto"/>
        <w:ind w:left="32"/>
        <w:contextualSpacing/>
        <w:rPr>
          <w:rFonts w:ascii="Times New Roman" w:hAnsi="Times New Roman"/>
          <w:color w:val="auto"/>
          <w:sz w:val="24"/>
          <w:szCs w:val="24"/>
        </w:rPr>
      </w:pPr>
      <w:r>
        <w:rPr>
          <w:rFonts w:ascii="Times New Roman" w:hAnsi="Times New Roman"/>
          <w:color w:val="auto"/>
          <w:sz w:val="24"/>
          <w:szCs w:val="24"/>
        </w:rPr>
        <w:t xml:space="preserve">CLÁUSULA DÉCIMA PRIMEIRA – DAS INFRAÇÕES ADMINISTRATIVAS E SANÇÕES </w:t>
      </w:r>
    </w:p>
    <w:p w14:paraId="7F7C1365">
      <w:pPr>
        <w:spacing w:line="288" w:lineRule="auto"/>
        <w:contextualSpacing/>
        <w:jc w:val="both"/>
        <w:rPr>
          <w:sz w:val="24"/>
          <w:szCs w:val="24"/>
        </w:rPr>
      </w:pPr>
    </w:p>
    <w:p w14:paraId="56010DDD">
      <w:pPr>
        <w:spacing w:line="288" w:lineRule="auto"/>
        <w:contextualSpacing/>
        <w:jc w:val="both"/>
        <w:rPr>
          <w:color w:val="000000"/>
          <w:sz w:val="24"/>
          <w:szCs w:val="24"/>
        </w:rPr>
      </w:pPr>
      <w:r>
        <w:rPr>
          <w:color w:val="000000"/>
          <w:sz w:val="24"/>
          <w:szCs w:val="24"/>
        </w:rPr>
        <w:t xml:space="preserve">11.1 Constitui infração administrativa, a prática, pelo </w:t>
      </w:r>
      <w:r>
        <w:rPr>
          <w:b/>
          <w:bCs/>
          <w:color w:val="000000"/>
          <w:sz w:val="24"/>
          <w:szCs w:val="24"/>
        </w:rPr>
        <w:t>CONTRATADO</w:t>
      </w:r>
      <w:r>
        <w:rPr>
          <w:color w:val="000000"/>
          <w:sz w:val="24"/>
          <w:szCs w:val="24"/>
        </w:rPr>
        <w:t>, das seguintes condutas previstas no art. 155 da Lei nº 14.133/2021:</w:t>
      </w:r>
    </w:p>
    <w:p w14:paraId="017DC103">
      <w:pPr>
        <w:spacing w:line="288" w:lineRule="auto"/>
        <w:contextualSpacing/>
        <w:jc w:val="both"/>
        <w:rPr>
          <w:color w:val="000000"/>
          <w:sz w:val="24"/>
          <w:szCs w:val="24"/>
        </w:rPr>
      </w:pPr>
    </w:p>
    <w:p w14:paraId="50624EE1">
      <w:pPr>
        <w:spacing w:line="288" w:lineRule="auto"/>
        <w:contextualSpacing/>
        <w:jc w:val="both"/>
        <w:rPr>
          <w:sz w:val="24"/>
          <w:szCs w:val="24"/>
        </w:rPr>
      </w:pPr>
      <w:r>
        <w:rPr>
          <w:color w:val="000000"/>
          <w:sz w:val="24"/>
          <w:szCs w:val="24"/>
        </w:rPr>
        <w:t>11.1.1 dar causa à inexecução parcial do contrato</w:t>
      </w:r>
      <w:r>
        <w:rPr>
          <w:sz w:val="24"/>
          <w:szCs w:val="24"/>
        </w:rPr>
        <w:t>;</w:t>
      </w:r>
    </w:p>
    <w:p w14:paraId="6678EFD2">
      <w:pPr>
        <w:spacing w:line="288" w:lineRule="auto"/>
        <w:contextualSpacing/>
        <w:jc w:val="both"/>
        <w:rPr>
          <w:sz w:val="24"/>
          <w:szCs w:val="24"/>
        </w:rPr>
      </w:pPr>
    </w:p>
    <w:p w14:paraId="489527AD">
      <w:pPr>
        <w:spacing w:line="288" w:lineRule="auto"/>
        <w:contextualSpacing/>
        <w:jc w:val="both"/>
        <w:rPr>
          <w:sz w:val="24"/>
          <w:szCs w:val="24"/>
        </w:rPr>
      </w:pPr>
      <w:r>
        <w:rPr>
          <w:sz w:val="24"/>
          <w:szCs w:val="24"/>
        </w:rPr>
        <w:t xml:space="preserve">11.1.2 </w:t>
      </w:r>
      <w:r>
        <w:rPr>
          <w:color w:val="000000"/>
          <w:sz w:val="24"/>
          <w:szCs w:val="24"/>
        </w:rPr>
        <w:t>dar causa à inexecução parcial do contrato que cause grave dano à Administração, ao funcionamento dos serviços públicos ou ao interesse coletivo;</w:t>
      </w:r>
    </w:p>
    <w:p w14:paraId="1D1FF044">
      <w:pPr>
        <w:spacing w:line="288" w:lineRule="auto"/>
        <w:contextualSpacing/>
        <w:jc w:val="both"/>
        <w:rPr>
          <w:color w:val="000000"/>
          <w:sz w:val="24"/>
          <w:szCs w:val="24"/>
        </w:rPr>
      </w:pPr>
    </w:p>
    <w:p w14:paraId="6D512110">
      <w:pPr>
        <w:spacing w:line="288" w:lineRule="auto"/>
        <w:contextualSpacing/>
        <w:jc w:val="both"/>
        <w:rPr>
          <w:sz w:val="24"/>
          <w:szCs w:val="24"/>
        </w:rPr>
      </w:pPr>
      <w:r>
        <w:rPr>
          <w:color w:val="000000"/>
          <w:sz w:val="24"/>
          <w:szCs w:val="24"/>
        </w:rPr>
        <w:t>11.1.3 dar causa à inexecução total do contrato;</w:t>
      </w:r>
    </w:p>
    <w:p w14:paraId="5C6E6423">
      <w:pPr>
        <w:spacing w:line="288" w:lineRule="auto"/>
        <w:contextualSpacing/>
        <w:jc w:val="both"/>
        <w:rPr>
          <w:color w:val="000000"/>
          <w:sz w:val="24"/>
          <w:szCs w:val="24"/>
        </w:rPr>
      </w:pPr>
    </w:p>
    <w:p w14:paraId="12048057">
      <w:pPr>
        <w:spacing w:line="288" w:lineRule="auto"/>
        <w:contextualSpacing/>
        <w:jc w:val="both"/>
        <w:rPr>
          <w:sz w:val="24"/>
          <w:szCs w:val="24"/>
        </w:rPr>
      </w:pPr>
      <w:r>
        <w:rPr>
          <w:color w:val="000000"/>
          <w:sz w:val="24"/>
          <w:szCs w:val="24"/>
        </w:rPr>
        <w:t xml:space="preserve">11.1.4 deixar de entregar a documentação exigida para o certame ou não entregar qualquer documento que tenha sido solicitado pelo pregoeiro durante o certame; </w:t>
      </w:r>
    </w:p>
    <w:p w14:paraId="51BC331D">
      <w:pPr>
        <w:spacing w:line="288" w:lineRule="auto"/>
        <w:contextualSpacing/>
        <w:jc w:val="both"/>
        <w:rPr>
          <w:color w:val="000000"/>
          <w:sz w:val="24"/>
          <w:szCs w:val="24"/>
        </w:rPr>
      </w:pPr>
    </w:p>
    <w:p w14:paraId="3C01D180">
      <w:pPr>
        <w:spacing w:line="288" w:lineRule="auto"/>
        <w:contextualSpacing/>
        <w:jc w:val="both"/>
        <w:rPr>
          <w:color w:val="000000"/>
          <w:sz w:val="24"/>
          <w:szCs w:val="24"/>
        </w:rPr>
      </w:pPr>
      <w:r>
        <w:rPr>
          <w:color w:val="000000"/>
          <w:sz w:val="24"/>
          <w:szCs w:val="24"/>
        </w:rPr>
        <w:t>11.1.5 não manter a proposta, salvo em decorrência de fato superveniente devidamente justificado, em especial quando:</w:t>
      </w:r>
    </w:p>
    <w:p w14:paraId="2CCEFFE8">
      <w:pPr>
        <w:spacing w:line="288" w:lineRule="auto"/>
        <w:contextualSpacing/>
        <w:jc w:val="both"/>
        <w:rPr>
          <w:sz w:val="24"/>
          <w:szCs w:val="24"/>
        </w:rPr>
      </w:pPr>
    </w:p>
    <w:p w14:paraId="1C3C2A0B">
      <w:pPr>
        <w:spacing w:line="288" w:lineRule="auto"/>
        <w:contextualSpacing/>
        <w:jc w:val="both"/>
        <w:rPr>
          <w:sz w:val="24"/>
          <w:szCs w:val="24"/>
        </w:rPr>
      </w:pPr>
      <w:r>
        <w:rPr>
          <w:sz w:val="24"/>
          <w:szCs w:val="24"/>
        </w:rPr>
        <w:t xml:space="preserve">11.1.5.1 não enviar a proposta adequada ao último lance ofertado ou após a negociação; </w:t>
      </w:r>
    </w:p>
    <w:p w14:paraId="4B25BBC4">
      <w:pPr>
        <w:spacing w:line="288" w:lineRule="auto"/>
        <w:contextualSpacing/>
        <w:jc w:val="both"/>
        <w:rPr>
          <w:sz w:val="24"/>
          <w:szCs w:val="24"/>
        </w:rPr>
      </w:pPr>
    </w:p>
    <w:p w14:paraId="01A12AE5">
      <w:pPr>
        <w:spacing w:line="288" w:lineRule="auto"/>
        <w:contextualSpacing/>
        <w:jc w:val="both"/>
        <w:rPr>
          <w:sz w:val="24"/>
          <w:szCs w:val="24"/>
        </w:rPr>
      </w:pPr>
      <w:r>
        <w:rPr>
          <w:sz w:val="24"/>
          <w:szCs w:val="24"/>
        </w:rPr>
        <w:t xml:space="preserve">11.1.5.2 recusar-se a enviar o detalhamento da proposta quando exigível; </w:t>
      </w:r>
    </w:p>
    <w:p w14:paraId="1EF73AC2">
      <w:pPr>
        <w:spacing w:line="288" w:lineRule="auto"/>
        <w:contextualSpacing/>
        <w:jc w:val="both"/>
        <w:rPr>
          <w:sz w:val="24"/>
          <w:szCs w:val="24"/>
        </w:rPr>
      </w:pPr>
    </w:p>
    <w:p w14:paraId="0D95D45C">
      <w:pPr>
        <w:spacing w:line="288" w:lineRule="auto"/>
        <w:contextualSpacing/>
        <w:jc w:val="both"/>
        <w:rPr>
          <w:sz w:val="24"/>
          <w:szCs w:val="24"/>
        </w:rPr>
      </w:pPr>
      <w:r>
        <w:rPr>
          <w:sz w:val="24"/>
          <w:szCs w:val="24"/>
        </w:rPr>
        <w:t xml:space="preserve">11.1.5.3 pedir para ser desclassificado quando encerrada a etapa competitiva; ou </w:t>
      </w:r>
    </w:p>
    <w:p w14:paraId="48008F05">
      <w:pPr>
        <w:spacing w:line="288" w:lineRule="auto"/>
        <w:contextualSpacing/>
        <w:jc w:val="both"/>
        <w:rPr>
          <w:sz w:val="24"/>
          <w:szCs w:val="24"/>
        </w:rPr>
      </w:pPr>
    </w:p>
    <w:p w14:paraId="587BA0D9">
      <w:pPr>
        <w:spacing w:line="288" w:lineRule="auto"/>
        <w:contextualSpacing/>
        <w:jc w:val="both"/>
        <w:rPr>
          <w:sz w:val="24"/>
          <w:szCs w:val="24"/>
        </w:rPr>
      </w:pPr>
      <w:r>
        <w:rPr>
          <w:sz w:val="24"/>
          <w:szCs w:val="24"/>
        </w:rPr>
        <w:t>11.1.5.4 deixar de apresentar amostra;</w:t>
      </w:r>
    </w:p>
    <w:p w14:paraId="19D687E4">
      <w:pPr>
        <w:spacing w:line="288" w:lineRule="auto"/>
        <w:contextualSpacing/>
        <w:jc w:val="both"/>
        <w:rPr>
          <w:sz w:val="24"/>
          <w:szCs w:val="24"/>
        </w:rPr>
      </w:pPr>
    </w:p>
    <w:p w14:paraId="5627EE40">
      <w:pPr>
        <w:spacing w:line="288" w:lineRule="auto"/>
        <w:contextualSpacing/>
        <w:jc w:val="both"/>
        <w:rPr>
          <w:sz w:val="24"/>
          <w:szCs w:val="24"/>
        </w:rPr>
      </w:pPr>
      <w:r>
        <w:rPr>
          <w:sz w:val="24"/>
          <w:szCs w:val="24"/>
        </w:rPr>
        <w:t xml:space="preserve">11.1.5.5 apresentar proposta ou amostra em desacordo com as especificações do instrumento convocatório; </w:t>
      </w:r>
    </w:p>
    <w:p w14:paraId="54EBDE79">
      <w:pPr>
        <w:spacing w:line="288" w:lineRule="auto"/>
        <w:contextualSpacing/>
        <w:jc w:val="both"/>
        <w:rPr>
          <w:color w:val="000000"/>
          <w:sz w:val="24"/>
          <w:szCs w:val="24"/>
        </w:rPr>
      </w:pPr>
    </w:p>
    <w:p w14:paraId="77C29DE6">
      <w:pPr>
        <w:spacing w:line="288" w:lineRule="auto"/>
        <w:contextualSpacing/>
        <w:jc w:val="both"/>
        <w:rPr>
          <w:color w:val="000000"/>
          <w:sz w:val="24"/>
          <w:szCs w:val="24"/>
        </w:rPr>
      </w:pPr>
      <w:r>
        <w:rPr>
          <w:color w:val="000000"/>
          <w:sz w:val="24"/>
          <w:szCs w:val="24"/>
        </w:rPr>
        <w:t>11.1.6 não celebrar o contrato ou não entregar a documentação exigida para a contratação, quando convocado dentro do prazo de validade de sua proposta;</w:t>
      </w:r>
    </w:p>
    <w:p w14:paraId="00306783">
      <w:pPr>
        <w:spacing w:line="288" w:lineRule="auto"/>
        <w:contextualSpacing/>
        <w:jc w:val="both"/>
        <w:rPr>
          <w:sz w:val="24"/>
          <w:szCs w:val="24"/>
        </w:rPr>
      </w:pPr>
    </w:p>
    <w:p w14:paraId="5BFFAFE1">
      <w:pPr>
        <w:spacing w:line="288" w:lineRule="auto"/>
        <w:contextualSpacing/>
        <w:jc w:val="both"/>
        <w:rPr>
          <w:sz w:val="24"/>
          <w:szCs w:val="24"/>
        </w:rPr>
      </w:pPr>
      <w:r>
        <w:rPr>
          <w:sz w:val="24"/>
          <w:szCs w:val="24"/>
        </w:rPr>
        <w:t>11.1.6.1 recusar-se, sem justificativa, a assinar o contrato ou a ata de registro de preço, ou a aceitar ou retirar o instrumento equivalente no prazo estabelecido pela Administração;</w:t>
      </w:r>
    </w:p>
    <w:p w14:paraId="7B0B39C8">
      <w:pPr>
        <w:spacing w:line="288" w:lineRule="auto"/>
        <w:contextualSpacing/>
        <w:jc w:val="both"/>
        <w:rPr>
          <w:color w:val="000000"/>
          <w:sz w:val="24"/>
          <w:szCs w:val="24"/>
        </w:rPr>
      </w:pPr>
    </w:p>
    <w:p w14:paraId="78B49D39">
      <w:pPr>
        <w:spacing w:line="288" w:lineRule="auto"/>
        <w:contextualSpacing/>
        <w:jc w:val="both"/>
        <w:rPr>
          <w:color w:val="000000"/>
          <w:sz w:val="24"/>
          <w:szCs w:val="24"/>
        </w:rPr>
      </w:pPr>
      <w:r>
        <w:rPr>
          <w:color w:val="000000"/>
          <w:sz w:val="24"/>
          <w:szCs w:val="24"/>
        </w:rPr>
        <w:t>11.1.7 ensejar o retardamento da execução ou da entrega do objeto da contratação sem motivo justificado;</w:t>
      </w:r>
    </w:p>
    <w:p w14:paraId="44007F61">
      <w:pPr>
        <w:spacing w:line="288" w:lineRule="auto"/>
        <w:contextualSpacing/>
        <w:jc w:val="both"/>
        <w:rPr>
          <w:color w:val="000000"/>
          <w:sz w:val="24"/>
          <w:szCs w:val="24"/>
        </w:rPr>
      </w:pPr>
    </w:p>
    <w:p w14:paraId="622386D3">
      <w:pPr>
        <w:spacing w:line="288" w:lineRule="auto"/>
        <w:contextualSpacing/>
        <w:jc w:val="both"/>
        <w:rPr>
          <w:color w:val="000000"/>
          <w:sz w:val="24"/>
          <w:szCs w:val="24"/>
        </w:rPr>
      </w:pPr>
      <w:r>
        <w:rPr>
          <w:color w:val="000000"/>
          <w:sz w:val="24"/>
          <w:szCs w:val="24"/>
        </w:rPr>
        <w:t>11.1.8 apresentar declaração ou documentação falsa exigida para o certame ou prestar declaração falsa durante o certame ou a execução do contrato;</w:t>
      </w:r>
    </w:p>
    <w:p w14:paraId="07F83DA6">
      <w:pPr>
        <w:spacing w:line="288" w:lineRule="auto"/>
        <w:contextualSpacing/>
        <w:jc w:val="both"/>
        <w:rPr>
          <w:color w:val="000000"/>
          <w:sz w:val="24"/>
          <w:szCs w:val="24"/>
        </w:rPr>
      </w:pPr>
    </w:p>
    <w:p w14:paraId="5961B97B">
      <w:pPr>
        <w:spacing w:line="288" w:lineRule="auto"/>
        <w:contextualSpacing/>
        <w:jc w:val="both"/>
        <w:rPr>
          <w:color w:val="000000"/>
          <w:sz w:val="24"/>
          <w:szCs w:val="24"/>
        </w:rPr>
      </w:pPr>
      <w:r>
        <w:rPr>
          <w:color w:val="000000"/>
          <w:sz w:val="24"/>
          <w:szCs w:val="24"/>
        </w:rPr>
        <w:t>11.1.9 fraudar o certame ou praticar ato fraudulento na execução do contrato;</w:t>
      </w:r>
    </w:p>
    <w:p w14:paraId="15159C05">
      <w:pPr>
        <w:spacing w:line="288" w:lineRule="auto"/>
        <w:contextualSpacing/>
        <w:jc w:val="both"/>
        <w:rPr>
          <w:color w:val="000000"/>
          <w:sz w:val="24"/>
          <w:szCs w:val="24"/>
        </w:rPr>
      </w:pPr>
    </w:p>
    <w:p w14:paraId="790F3AB6">
      <w:pPr>
        <w:spacing w:line="288" w:lineRule="auto"/>
        <w:contextualSpacing/>
        <w:jc w:val="both"/>
        <w:rPr>
          <w:color w:val="000000"/>
          <w:sz w:val="24"/>
          <w:szCs w:val="24"/>
        </w:rPr>
      </w:pPr>
      <w:r>
        <w:rPr>
          <w:color w:val="000000"/>
          <w:sz w:val="24"/>
          <w:szCs w:val="24"/>
        </w:rPr>
        <w:t>11.1.10 comportar-se de modo inidôneo ou cometer fraude de qualquer natureza, em especial quando:</w:t>
      </w:r>
    </w:p>
    <w:p w14:paraId="584C6295">
      <w:pPr>
        <w:spacing w:line="288" w:lineRule="auto"/>
        <w:contextualSpacing/>
        <w:jc w:val="both"/>
        <w:rPr>
          <w:sz w:val="24"/>
          <w:szCs w:val="24"/>
        </w:rPr>
      </w:pPr>
    </w:p>
    <w:p w14:paraId="056EE1BF">
      <w:pPr>
        <w:spacing w:line="288" w:lineRule="auto"/>
        <w:contextualSpacing/>
        <w:jc w:val="both"/>
        <w:rPr>
          <w:sz w:val="24"/>
          <w:szCs w:val="24"/>
        </w:rPr>
      </w:pPr>
      <w:r>
        <w:rPr>
          <w:sz w:val="24"/>
          <w:szCs w:val="24"/>
        </w:rPr>
        <w:t xml:space="preserve">11.1.10.1 agir em conluio ou em desconformidade com a lei; </w:t>
      </w:r>
    </w:p>
    <w:p w14:paraId="09D71A48">
      <w:pPr>
        <w:spacing w:line="288" w:lineRule="auto"/>
        <w:contextualSpacing/>
        <w:jc w:val="both"/>
        <w:rPr>
          <w:sz w:val="24"/>
          <w:szCs w:val="24"/>
        </w:rPr>
      </w:pPr>
    </w:p>
    <w:p w14:paraId="1C17F0FC">
      <w:pPr>
        <w:spacing w:line="288" w:lineRule="auto"/>
        <w:contextualSpacing/>
        <w:jc w:val="both"/>
        <w:rPr>
          <w:sz w:val="24"/>
          <w:szCs w:val="24"/>
        </w:rPr>
      </w:pPr>
      <w:r>
        <w:rPr>
          <w:sz w:val="24"/>
          <w:szCs w:val="24"/>
        </w:rPr>
        <w:t xml:space="preserve">11.1.10.2 induzir deliberadamente a erro no julgamento; </w:t>
      </w:r>
    </w:p>
    <w:p w14:paraId="5D84A932">
      <w:pPr>
        <w:spacing w:line="288" w:lineRule="auto"/>
        <w:contextualSpacing/>
        <w:jc w:val="both"/>
        <w:rPr>
          <w:sz w:val="24"/>
          <w:szCs w:val="24"/>
        </w:rPr>
      </w:pPr>
    </w:p>
    <w:p w14:paraId="455BBF1A">
      <w:pPr>
        <w:spacing w:line="288" w:lineRule="auto"/>
        <w:contextualSpacing/>
        <w:jc w:val="both"/>
        <w:rPr>
          <w:sz w:val="24"/>
          <w:szCs w:val="24"/>
        </w:rPr>
      </w:pPr>
      <w:r>
        <w:rPr>
          <w:sz w:val="24"/>
          <w:szCs w:val="24"/>
        </w:rPr>
        <w:t xml:space="preserve">11.1.10.3 apresentar amostra falsificada ou deteriorada; </w:t>
      </w:r>
    </w:p>
    <w:p w14:paraId="6BBF1D69">
      <w:pPr>
        <w:spacing w:line="288" w:lineRule="auto"/>
        <w:contextualSpacing/>
        <w:jc w:val="both"/>
        <w:rPr>
          <w:sz w:val="24"/>
          <w:szCs w:val="24"/>
        </w:rPr>
      </w:pPr>
    </w:p>
    <w:p w14:paraId="1DD8449A">
      <w:pPr>
        <w:spacing w:line="288" w:lineRule="auto"/>
        <w:contextualSpacing/>
        <w:jc w:val="both"/>
        <w:rPr>
          <w:sz w:val="24"/>
          <w:szCs w:val="24"/>
        </w:rPr>
      </w:pPr>
      <w:r>
        <w:rPr>
          <w:sz w:val="24"/>
          <w:szCs w:val="24"/>
        </w:rPr>
        <w:t xml:space="preserve">11.1.10.4 apresentar declaração falsa quanto às condições de participação ou quanto ao enquadramento como ME/EPP; </w:t>
      </w:r>
    </w:p>
    <w:p w14:paraId="0CCC7A60">
      <w:pPr>
        <w:spacing w:line="288" w:lineRule="auto"/>
        <w:contextualSpacing/>
        <w:jc w:val="both"/>
        <w:rPr>
          <w:color w:val="000000"/>
          <w:sz w:val="24"/>
          <w:szCs w:val="24"/>
        </w:rPr>
      </w:pPr>
    </w:p>
    <w:p w14:paraId="1B7F71B8">
      <w:pPr>
        <w:spacing w:line="288" w:lineRule="auto"/>
        <w:contextualSpacing/>
        <w:jc w:val="both"/>
        <w:rPr>
          <w:color w:val="000000"/>
          <w:sz w:val="24"/>
          <w:szCs w:val="24"/>
        </w:rPr>
      </w:pPr>
      <w:r>
        <w:rPr>
          <w:color w:val="000000"/>
          <w:sz w:val="24"/>
          <w:szCs w:val="24"/>
        </w:rPr>
        <w:t>11.1.11 praticar atos ilícitos com vistas a frustrar os objetivos do certame;</w:t>
      </w:r>
    </w:p>
    <w:p w14:paraId="033A6635">
      <w:pPr>
        <w:spacing w:line="288" w:lineRule="auto"/>
        <w:contextualSpacing/>
        <w:jc w:val="both"/>
        <w:rPr>
          <w:color w:val="000000"/>
          <w:sz w:val="24"/>
          <w:szCs w:val="24"/>
        </w:rPr>
      </w:pPr>
    </w:p>
    <w:p w14:paraId="726FA1DE">
      <w:pPr>
        <w:spacing w:line="288" w:lineRule="auto"/>
        <w:contextualSpacing/>
        <w:jc w:val="both"/>
        <w:rPr>
          <w:rStyle w:val="16"/>
          <w:rFonts w:eastAsiaTheme="minorHAnsi"/>
          <w:color w:val="000000"/>
          <w:sz w:val="24"/>
          <w:szCs w:val="24"/>
        </w:rPr>
      </w:pPr>
      <w:r>
        <w:rPr>
          <w:color w:val="000000"/>
          <w:sz w:val="24"/>
          <w:szCs w:val="24"/>
        </w:rPr>
        <w:t>11.1.12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3FA1BEB5">
      <w:pPr>
        <w:spacing w:line="288" w:lineRule="auto"/>
        <w:contextualSpacing/>
        <w:jc w:val="both"/>
        <w:rPr>
          <w:sz w:val="24"/>
          <w:szCs w:val="24"/>
        </w:rPr>
      </w:pPr>
    </w:p>
    <w:p w14:paraId="3B1DF64D">
      <w:pPr>
        <w:spacing w:line="288" w:lineRule="auto"/>
        <w:contextualSpacing/>
        <w:jc w:val="both"/>
        <w:rPr>
          <w:sz w:val="24"/>
          <w:szCs w:val="24"/>
        </w:rPr>
      </w:pPr>
      <w:r>
        <w:rPr>
          <w:sz w:val="24"/>
          <w:szCs w:val="24"/>
        </w:rPr>
        <w:t xml:space="preserve">11.2 O </w:t>
      </w:r>
      <w:r>
        <w:rPr>
          <w:b/>
          <w:bCs/>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077ECBEE">
      <w:pPr>
        <w:spacing w:line="288" w:lineRule="auto"/>
        <w:contextualSpacing/>
        <w:jc w:val="both"/>
        <w:rPr>
          <w:sz w:val="24"/>
          <w:szCs w:val="24"/>
        </w:rPr>
      </w:pPr>
    </w:p>
    <w:p w14:paraId="266228C7">
      <w:pPr>
        <w:spacing w:line="288" w:lineRule="auto"/>
        <w:contextualSpacing/>
        <w:jc w:val="both"/>
        <w:rPr>
          <w:sz w:val="24"/>
          <w:szCs w:val="24"/>
        </w:rPr>
      </w:pPr>
      <w:r>
        <w:rPr>
          <w:sz w:val="24"/>
          <w:szCs w:val="24"/>
        </w:rPr>
        <w:t>11.2.1 Advertência, prevista no art. 156, I, § 2º, da Lei nº 14.133/2021, pela infração descrita no item 11.1.1, de menor potencial ofensivo, quando não se justificar a imposição de penalidade mais grave.</w:t>
      </w:r>
    </w:p>
    <w:p w14:paraId="1EC3206E">
      <w:pPr>
        <w:spacing w:line="288" w:lineRule="auto"/>
        <w:contextualSpacing/>
        <w:jc w:val="both"/>
        <w:rPr>
          <w:sz w:val="24"/>
          <w:szCs w:val="24"/>
        </w:rPr>
      </w:pPr>
    </w:p>
    <w:p w14:paraId="3EBFD009">
      <w:pPr>
        <w:spacing w:line="288" w:lineRule="auto"/>
        <w:contextualSpacing/>
        <w:jc w:val="both"/>
        <w:rPr>
          <w:sz w:val="24"/>
          <w:szCs w:val="24"/>
        </w:rPr>
      </w:pPr>
      <w:r>
        <w:rPr>
          <w:sz w:val="24"/>
          <w:szCs w:val="24"/>
        </w:rPr>
        <w:t xml:space="preserve">11.2.2 Multa administrativa, prevista no art. 156, II, § 3º, da Lei nº 14.133/2021, pela infração dos subitens 11.1.1 a 11.1.12,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5F9CCC53">
      <w:pPr>
        <w:spacing w:line="288" w:lineRule="auto"/>
        <w:contextualSpacing/>
        <w:jc w:val="both"/>
        <w:rPr>
          <w:color w:val="000000" w:themeColor="text1"/>
          <w:sz w:val="24"/>
          <w:szCs w:val="24"/>
          <w14:textFill>
            <w14:solidFill>
              <w14:schemeClr w14:val="tx1"/>
            </w14:solidFill>
          </w14:textFill>
        </w:rPr>
      </w:pPr>
      <w:r>
        <w:rPr>
          <w:sz w:val="24"/>
          <w:szCs w:val="24"/>
        </w:rPr>
        <w:t xml:space="preserve">a) multa de 0,5% a 1,5%, nos casos da infração prevista </w:t>
      </w:r>
      <w:r>
        <w:rPr>
          <w:color w:val="000000" w:themeColor="text1"/>
          <w:sz w:val="24"/>
          <w:szCs w:val="24"/>
          <w14:textFill>
            <w14:solidFill>
              <w14:schemeClr w14:val="tx1"/>
            </w14:solidFill>
          </w14:textFill>
        </w:rPr>
        <w:t xml:space="preserve">no subitem 11.1.1, incidente sobre o valor anual do Contrato; </w:t>
      </w:r>
    </w:p>
    <w:p w14:paraId="1D576AF0">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b) multa de 0,5% a 15%, nos casos das infrações previstas nos subitens 11.1.2 a 11.1.7, incidente sobre o valor anual do Contrato;</w:t>
      </w:r>
    </w:p>
    <w:p w14:paraId="3DAE4A69">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c) multa de 5% a 30%, nos casos das infrações previstas nos subitens 11.1.8 a 11.1.12, incidente sobre o valor anual do Contrato;</w:t>
      </w:r>
    </w:p>
    <w:p w14:paraId="62697416">
      <w:pPr>
        <w:spacing w:line="288" w:lineRule="auto"/>
        <w:contextualSpacing/>
        <w:jc w:val="both"/>
        <w:rPr>
          <w:color w:val="000000" w:themeColor="text1"/>
          <w:sz w:val="24"/>
          <w:szCs w:val="24"/>
          <w14:textFill>
            <w14:solidFill>
              <w14:schemeClr w14:val="tx1"/>
            </w14:solidFill>
          </w14:textFill>
        </w:rPr>
      </w:pPr>
    </w:p>
    <w:p w14:paraId="029756F3">
      <w:pPr>
        <w:spacing w:line="288" w:lineRule="auto"/>
        <w:contextualSpacing/>
        <w:jc w:val="both"/>
        <w:rPr>
          <w:sz w:val="24"/>
          <w:szCs w:val="24"/>
        </w:rPr>
      </w:pPr>
      <w:r>
        <w:rPr>
          <w:sz w:val="24"/>
          <w:szCs w:val="24"/>
        </w:rPr>
        <w:t>11.2.2.1 Na hipótese de a infração ser cometida antes da celebração do contrato, a base de cálculo da multa do item 11.2.2 será o valor anual estimado da contratação.</w:t>
      </w:r>
    </w:p>
    <w:p w14:paraId="02EF4B6C">
      <w:pPr>
        <w:spacing w:line="288" w:lineRule="auto"/>
        <w:contextualSpacing/>
        <w:jc w:val="both"/>
        <w:rPr>
          <w:b/>
          <w:bCs/>
          <w:color w:val="FF0000"/>
          <w:sz w:val="24"/>
          <w:szCs w:val="24"/>
        </w:rPr>
      </w:pPr>
    </w:p>
    <w:p w14:paraId="312D28FB">
      <w:pPr>
        <w:spacing w:line="288" w:lineRule="auto"/>
        <w:contextualSpacing/>
        <w:jc w:val="both"/>
        <w:rPr>
          <w:sz w:val="24"/>
          <w:szCs w:val="24"/>
        </w:rPr>
      </w:pPr>
      <w:r>
        <w:rPr>
          <w:sz w:val="24"/>
          <w:szCs w:val="24"/>
        </w:rPr>
        <w:t>11.2.2.2    Em caso de reincidência, o valor total das multas administrativas aplicadas não poderá exceder o limite de 30% (trinta por cento) sobre o valor total do Contrato.</w:t>
      </w:r>
    </w:p>
    <w:p w14:paraId="2C89FF3F">
      <w:pPr>
        <w:spacing w:line="288" w:lineRule="auto"/>
        <w:contextualSpacing/>
        <w:jc w:val="both"/>
        <w:rPr>
          <w:sz w:val="24"/>
          <w:szCs w:val="24"/>
        </w:rPr>
      </w:pPr>
    </w:p>
    <w:p w14:paraId="4511CC75">
      <w:pPr>
        <w:spacing w:line="288" w:lineRule="auto"/>
        <w:contextualSpacing/>
        <w:jc w:val="both"/>
        <w:rPr>
          <w:sz w:val="24"/>
          <w:szCs w:val="24"/>
        </w:rPr>
      </w:pPr>
      <w:r>
        <w:rPr>
          <w:sz w:val="24"/>
          <w:szCs w:val="24"/>
        </w:rPr>
        <w:t xml:space="preserve">11.2.2.3 Se a multa aplicada e as indenizações cabíveis forem superiores ao valor de pagamento eventualmente devido pela Administração ao </w:t>
      </w:r>
      <w:r>
        <w:rPr>
          <w:b/>
          <w:bCs/>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11.13.</w:t>
      </w:r>
    </w:p>
    <w:p w14:paraId="56DD83A9">
      <w:pPr>
        <w:spacing w:line="288" w:lineRule="auto"/>
        <w:contextualSpacing/>
        <w:jc w:val="both"/>
        <w:rPr>
          <w:sz w:val="24"/>
          <w:szCs w:val="24"/>
        </w:rPr>
      </w:pPr>
    </w:p>
    <w:p w14:paraId="0B10DE76">
      <w:pPr>
        <w:spacing w:line="288" w:lineRule="auto"/>
        <w:contextualSpacing/>
        <w:jc w:val="both"/>
        <w:rPr>
          <w:sz w:val="24"/>
          <w:szCs w:val="24"/>
        </w:rPr>
      </w:pPr>
      <w:r>
        <w:rPr>
          <w:sz w:val="24"/>
          <w:szCs w:val="24"/>
        </w:rPr>
        <w:t>11.2.2.4 A penalidade de multa pode ser aplicada cumulativamente com as demais sanções, na forma do art. 156, § 7º, da Lei nº 14.133/2021.</w:t>
      </w:r>
    </w:p>
    <w:p w14:paraId="21331635">
      <w:pPr>
        <w:spacing w:line="288" w:lineRule="auto"/>
        <w:contextualSpacing/>
        <w:jc w:val="both"/>
        <w:rPr>
          <w:color w:val="000000"/>
          <w:sz w:val="24"/>
          <w:szCs w:val="24"/>
        </w:rPr>
      </w:pPr>
    </w:p>
    <w:p w14:paraId="3FE7B1B7">
      <w:pPr>
        <w:spacing w:line="288" w:lineRule="auto"/>
        <w:contextualSpacing/>
        <w:jc w:val="both"/>
        <w:rPr>
          <w:rFonts w:eastAsia="Arial"/>
          <w:color w:val="000000"/>
          <w:sz w:val="24"/>
          <w:szCs w:val="24"/>
        </w:rPr>
      </w:pPr>
      <w:r>
        <w:rPr>
          <w:color w:val="000000"/>
          <w:sz w:val="24"/>
          <w:szCs w:val="24"/>
        </w:rPr>
        <w:t xml:space="preserve">11.2.3 Impedimento de licitar e contratar, prevista no </w:t>
      </w:r>
      <w:r>
        <w:rPr>
          <w:sz w:val="24"/>
          <w:szCs w:val="24"/>
        </w:rPr>
        <w:t xml:space="preserve">art. 156, III, § 4º, da Lei nº 14.133/2021, </w:t>
      </w:r>
      <w:r>
        <w:rPr>
          <w:color w:val="000000"/>
          <w:sz w:val="24"/>
          <w:szCs w:val="24"/>
        </w:rPr>
        <w:t>nos casos relacionados os subitens 11.1.2 a 11.1.7, quando não se justificar a imposição de penalidade mais grave, e impedirá o responsável de licitar ou contratar no âmbito da Administração Pública direta e indireta do Município, pelo prazo máximo de 3 (três) anos;</w:t>
      </w:r>
    </w:p>
    <w:p w14:paraId="369997BE">
      <w:pPr>
        <w:spacing w:line="288" w:lineRule="auto"/>
        <w:contextualSpacing/>
        <w:jc w:val="both"/>
        <w:rPr>
          <w:color w:val="000000"/>
          <w:sz w:val="24"/>
          <w:szCs w:val="24"/>
        </w:rPr>
      </w:pPr>
    </w:p>
    <w:p w14:paraId="3D5F1AD5">
      <w:pPr>
        <w:spacing w:line="288" w:lineRule="auto"/>
        <w:contextualSpacing/>
        <w:jc w:val="both"/>
        <w:rPr>
          <w:sz w:val="24"/>
          <w:szCs w:val="24"/>
        </w:rPr>
      </w:pPr>
      <w:r>
        <w:rPr>
          <w:color w:val="000000"/>
          <w:sz w:val="24"/>
          <w:szCs w:val="24"/>
        </w:rPr>
        <w:t>11.2.4 Declaração de inidoneidade para licitar ou contratar, prevista no a</w:t>
      </w:r>
      <w:r>
        <w:rPr>
          <w:rStyle w:val="118"/>
          <w:rFonts w:ascii="Times New Roman" w:hAnsi="Times New Roman" w:cs="Times New Roman"/>
          <w:sz w:val="24"/>
          <w:szCs w:val="24"/>
        </w:rPr>
        <w:t xml:space="preserve">rt. 156, IV, § 5º, da Lei nº 14.133/2021, </w:t>
      </w:r>
      <w:r>
        <w:rPr>
          <w:color w:val="000000"/>
          <w:sz w:val="24"/>
          <w:szCs w:val="24"/>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049529CF">
      <w:pPr>
        <w:spacing w:line="288" w:lineRule="auto"/>
        <w:contextualSpacing/>
        <w:jc w:val="both"/>
        <w:rPr>
          <w:sz w:val="24"/>
          <w:szCs w:val="24"/>
        </w:rPr>
      </w:pPr>
    </w:p>
    <w:p w14:paraId="6971A82A">
      <w:pPr>
        <w:spacing w:line="288" w:lineRule="auto"/>
        <w:contextualSpacing/>
        <w:jc w:val="both"/>
        <w:rPr>
          <w:sz w:val="24"/>
          <w:szCs w:val="24"/>
        </w:rPr>
      </w:pPr>
      <w:r>
        <w:rPr>
          <w:sz w:val="24"/>
          <w:szCs w:val="24"/>
        </w:rPr>
        <w:t xml:space="preserve">11.3 Sem prejuízo da multa administrativa prevista no art. 156, II, § 3º, da Lei nº 14.133/2021, o atraso injustificado no cumprimento das obrigações contratuais sujeitará o </w:t>
      </w:r>
      <w:r>
        <w:rPr>
          <w:b/>
          <w:bCs/>
          <w:color w:val="000000"/>
          <w:sz w:val="24"/>
          <w:szCs w:val="24"/>
        </w:rPr>
        <w:t>CONTRATADO</w:t>
      </w:r>
      <w:r>
        <w:rPr>
          <w:sz w:val="24"/>
          <w:szCs w:val="24"/>
        </w:rPr>
        <w:t>,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484D356A">
      <w:pPr>
        <w:spacing w:line="288" w:lineRule="auto"/>
        <w:contextualSpacing/>
        <w:jc w:val="both"/>
        <w:rPr>
          <w:sz w:val="24"/>
          <w:szCs w:val="24"/>
        </w:rPr>
      </w:pPr>
    </w:p>
    <w:p w14:paraId="5506FB66">
      <w:pPr>
        <w:spacing w:line="288" w:lineRule="auto"/>
        <w:contextualSpacing/>
        <w:jc w:val="both"/>
        <w:rPr>
          <w:sz w:val="24"/>
          <w:szCs w:val="24"/>
        </w:rPr>
      </w:pPr>
      <w:r>
        <w:rPr>
          <w:sz w:val="24"/>
          <w:szCs w:val="24"/>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7E7545F">
      <w:pPr>
        <w:spacing w:line="288" w:lineRule="auto"/>
        <w:contextualSpacing/>
        <w:jc w:val="both"/>
        <w:rPr>
          <w:sz w:val="24"/>
          <w:szCs w:val="24"/>
        </w:rPr>
      </w:pPr>
    </w:p>
    <w:p w14:paraId="509C6B98">
      <w:pPr>
        <w:spacing w:line="288" w:lineRule="auto"/>
        <w:contextualSpacing/>
        <w:jc w:val="both"/>
        <w:rPr>
          <w:sz w:val="24"/>
          <w:szCs w:val="24"/>
        </w:rPr>
      </w:pPr>
      <w:r>
        <w:rPr>
          <w:sz w:val="24"/>
          <w:szCs w:val="24"/>
        </w:rPr>
        <w:t>11.3.2 O atraso superior a 25 (vinte e cinco) dias no cumprimento da obrigação prevista no item 11.3.1 autoriza a Administração a promover a rescisão contratual por descumprimento ou cumprimento irregular de suas cláusulas.</w:t>
      </w:r>
    </w:p>
    <w:p w14:paraId="1BD89112">
      <w:pPr>
        <w:spacing w:line="288" w:lineRule="auto"/>
        <w:contextualSpacing/>
        <w:jc w:val="both"/>
        <w:rPr>
          <w:sz w:val="24"/>
          <w:szCs w:val="24"/>
        </w:rPr>
      </w:pPr>
    </w:p>
    <w:p w14:paraId="5E4213C3">
      <w:pPr>
        <w:spacing w:line="288" w:lineRule="auto"/>
        <w:contextualSpacing/>
        <w:jc w:val="both"/>
        <w:rPr>
          <w:sz w:val="24"/>
          <w:szCs w:val="24"/>
        </w:rPr>
      </w:pPr>
    </w:p>
    <w:p w14:paraId="27FD10D5">
      <w:pPr>
        <w:spacing w:line="288" w:lineRule="auto"/>
        <w:contextualSpacing/>
        <w:jc w:val="both"/>
        <w:rPr>
          <w:sz w:val="24"/>
          <w:szCs w:val="24"/>
        </w:rPr>
      </w:pPr>
      <w:r>
        <w:rPr>
          <w:sz w:val="24"/>
          <w:szCs w:val="24"/>
        </w:rPr>
        <w:t>11.3.3 A aplicação de multa de mora não impedirá que a Administração a converta em compensatória e promova a extinção unilateral do Contrato com a aplicação cumulada de outras sanções previstas neste Contrato.</w:t>
      </w:r>
    </w:p>
    <w:p w14:paraId="327B91EC">
      <w:pPr>
        <w:spacing w:line="288" w:lineRule="auto"/>
        <w:contextualSpacing/>
        <w:jc w:val="both"/>
        <w:rPr>
          <w:sz w:val="24"/>
          <w:szCs w:val="24"/>
        </w:rPr>
      </w:pPr>
    </w:p>
    <w:p w14:paraId="4999DCB5">
      <w:pPr>
        <w:spacing w:line="288" w:lineRule="auto"/>
        <w:contextualSpacing/>
        <w:jc w:val="both"/>
        <w:rPr>
          <w:sz w:val="24"/>
          <w:szCs w:val="24"/>
        </w:rPr>
      </w:pPr>
      <w:r>
        <w:rPr>
          <w:sz w:val="24"/>
          <w:szCs w:val="24"/>
        </w:rPr>
        <w:t>11.4 No caso de inexecução total ou parcial do objeto, que acarrete a rescisão do Contrato, será automaticamente devida multa compensatória no valor de 5</w:t>
      </w:r>
      <w:r>
        <w:rPr>
          <w:color w:val="FF0000"/>
          <w:sz w:val="24"/>
          <w:szCs w:val="24"/>
        </w:rPr>
        <w:t xml:space="preserve"> </w:t>
      </w:r>
      <w:r>
        <w:rPr>
          <w:sz w:val="24"/>
          <w:szCs w:val="24"/>
        </w:rPr>
        <w:t>% (cinco por cento)  do valor do Contrato.</w:t>
      </w:r>
    </w:p>
    <w:p w14:paraId="2EB4DAA8">
      <w:pPr>
        <w:spacing w:line="288" w:lineRule="auto"/>
        <w:contextualSpacing/>
        <w:jc w:val="both"/>
        <w:rPr>
          <w:b/>
          <w:bCs/>
          <w:color w:val="FF0000"/>
          <w:sz w:val="24"/>
          <w:szCs w:val="24"/>
        </w:rPr>
      </w:pPr>
    </w:p>
    <w:p w14:paraId="6B351CC5">
      <w:pPr>
        <w:spacing w:line="288" w:lineRule="auto"/>
        <w:contextualSpacing/>
        <w:jc w:val="both"/>
        <w:rPr>
          <w:sz w:val="24"/>
          <w:szCs w:val="24"/>
        </w:rPr>
      </w:pPr>
      <w:r>
        <w:rPr>
          <w:sz w:val="24"/>
          <w:szCs w:val="24"/>
        </w:rPr>
        <w:t>11.4.1 A multa compensatória, isoladamente aplicada ou quando somada ao valor da multa moratória convertida, não poderá exceder o limite previsto no art. 412 do Código Civil, ou seja, o valor da obrigação principal.</w:t>
      </w:r>
    </w:p>
    <w:p w14:paraId="6F9DA52E">
      <w:pPr>
        <w:spacing w:line="288" w:lineRule="auto"/>
        <w:contextualSpacing/>
        <w:jc w:val="both"/>
        <w:rPr>
          <w:sz w:val="24"/>
          <w:szCs w:val="24"/>
        </w:rPr>
      </w:pPr>
    </w:p>
    <w:p w14:paraId="0DD6BA0B">
      <w:pPr>
        <w:spacing w:line="288" w:lineRule="auto"/>
        <w:contextualSpacing/>
        <w:jc w:val="both"/>
        <w:rPr>
          <w:sz w:val="24"/>
          <w:szCs w:val="24"/>
        </w:rPr>
      </w:pPr>
      <w:r>
        <w:rPr>
          <w:sz w:val="24"/>
          <w:szCs w:val="24"/>
        </w:rPr>
        <w:t xml:space="preserve">11.5 Na aplicação das sanções serão considerados os seguintes requisitos, previstos no art. </w:t>
      </w:r>
      <w:r>
        <w:rPr>
          <w:rStyle w:val="118"/>
          <w:rFonts w:ascii="Times New Roman" w:hAnsi="Times New Roman" w:cs="Times New Roman"/>
          <w:sz w:val="24"/>
          <w:szCs w:val="24"/>
        </w:rPr>
        <w:t>156, § 1º, incisos I a V, da Lei nº 14.133/2021</w:t>
      </w:r>
      <w:r>
        <w:rPr>
          <w:sz w:val="24"/>
          <w:szCs w:val="24"/>
        </w:rPr>
        <w:t>:</w:t>
      </w:r>
    </w:p>
    <w:p w14:paraId="01ABF3DE">
      <w:pPr>
        <w:spacing w:line="288" w:lineRule="auto"/>
        <w:contextualSpacing/>
        <w:jc w:val="both"/>
        <w:rPr>
          <w:sz w:val="24"/>
          <w:szCs w:val="24"/>
        </w:rPr>
      </w:pPr>
    </w:p>
    <w:p w14:paraId="3CB74425">
      <w:pPr>
        <w:spacing w:line="288" w:lineRule="auto"/>
        <w:contextualSpacing/>
        <w:jc w:val="both"/>
        <w:rPr>
          <w:sz w:val="24"/>
          <w:szCs w:val="24"/>
        </w:rPr>
      </w:pPr>
      <w:r>
        <w:rPr>
          <w:sz w:val="24"/>
          <w:szCs w:val="24"/>
        </w:rPr>
        <w:t>11.5.1 a natureza e a gravidade da infração cometida;</w:t>
      </w:r>
    </w:p>
    <w:p w14:paraId="5DBE17A2">
      <w:pPr>
        <w:spacing w:line="288" w:lineRule="auto"/>
        <w:contextualSpacing/>
        <w:jc w:val="both"/>
        <w:rPr>
          <w:sz w:val="24"/>
          <w:szCs w:val="24"/>
        </w:rPr>
      </w:pPr>
    </w:p>
    <w:p w14:paraId="609D8AAD">
      <w:pPr>
        <w:spacing w:line="288" w:lineRule="auto"/>
        <w:contextualSpacing/>
        <w:jc w:val="both"/>
        <w:rPr>
          <w:sz w:val="24"/>
          <w:szCs w:val="24"/>
        </w:rPr>
      </w:pPr>
      <w:r>
        <w:rPr>
          <w:sz w:val="24"/>
          <w:szCs w:val="24"/>
        </w:rPr>
        <w:t>11.5.2 as peculiaridades do caso concreto;</w:t>
      </w:r>
    </w:p>
    <w:p w14:paraId="16DDED1C">
      <w:pPr>
        <w:spacing w:line="288" w:lineRule="auto"/>
        <w:contextualSpacing/>
        <w:jc w:val="both"/>
        <w:rPr>
          <w:sz w:val="24"/>
          <w:szCs w:val="24"/>
        </w:rPr>
      </w:pPr>
    </w:p>
    <w:p w14:paraId="5ADE11FA">
      <w:pPr>
        <w:spacing w:line="288" w:lineRule="auto"/>
        <w:contextualSpacing/>
        <w:jc w:val="both"/>
        <w:rPr>
          <w:sz w:val="24"/>
          <w:szCs w:val="24"/>
        </w:rPr>
      </w:pPr>
      <w:r>
        <w:rPr>
          <w:sz w:val="24"/>
          <w:szCs w:val="24"/>
        </w:rPr>
        <w:t>11.5.3 as circunstâncias agravantes ou atenuantes;</w:t>
      </w:r>
    </w:p>
    <w:p w14:paraId="1464969D">
      <w:pPr>
        <w:spacing w:line="288" w:lineRule="auto"/>
        <w:contextualSpacing/>
        <w:jc w:val="both"/>
        <w:rPr>
          <w:sz w:val="24"/>
          <w:szCs w:val="24"/>
        </w:rPr>
      </w:pPr>
    </w:p>
    <w:p w14:paraId="71F2C300">
      <w:pPr>
        <w:spacing w:line="288" w:lineRule="auto"/>
        <w:contextualSpacing/>
        <w:jc w:val="both"/>
        <w:rPr>
          <w:sz w:val="24"/>
          <w:szCs w:val="24"/>
        </w:rPr>
      </w:pPr>
      <w:r>
        <w:rPr>
          <w:sz w:val="24"/>
          <w:szCs w:val="24"/>
        </w:rPr>
        <w:t>11.5.4 os danos que dela provierem para a Administração Pública;</w:t>
      </w:r>
    </w:p>
    <w:p w14:paraId="092FB929">
      <w:pPr>
        <w:spacing w:line="288" w:lineRule="auto"/>
        <w:contextualSpacing/>
        <w:jc w:val="both"/>
        <w:rPr>
          <w:sz w:val="24"/>
          <w:szCs w:val="24"/>
        </w:rPr>
      </w:pPr>
    </w:p>
    <w:p w14:paraId="06DF0B93">
      <w:pPr>
        <w:spacing w:line="288" w:lineRule="auto"/>
        <w:contextualSpacing/>
        <w:jc w:val="both"/>
        <w:rPr>
          <w:sz w:val="24"/>
          <w:szCs w:val="24"/>
        </w:rPr>
      </w:pPr>
      <w:r>
        <w:rPr>
          <w:sz w:val="24"/>
          <w:szCs w:val="24"/>
        </w:rPr>
        <w:t>11.5.5 a implantação ou o aperfeiçoamento de programa de integridade, conforme normas e orientações dos órgãos de controle.</w:t>
      </w:r>
    </w:p>
    <w:p w14:paraId="35CBCA4A">
      <w:pPr>
        <w:spacing w:line="288" w:lineRule="auto"/>
        <w:contextualSpacing/>
        <w:jc w:val="both"/>
        <w:rPr>
          <w:sz w:val="24"/>
          <w:szCs w:val="24"/>
        </w:rPr>
      </w:pPr>
    </w:p>
    <w:p w14:paraId="661C4216">
      <w:pPr>
        <w:spacing w:line="288" w:lineRule="auto"/>
        <w:contextualSpacing/>
        <w:jc w:val="both"/>
        <w:rPr>
          <w:sz w:val="24"/>
          <w:szCs w:val="24"/>
        </w:rPr>
      </w:pPr>
      <w:r>
        <w:rPr>
          <w:sz w:val="24"/>
          <w:szCs w:val="24"/>
        </w:rPr>
        <w:t xml:space="preserve">11.6 A imposição das penalidades é de competência exclusiva do órgão ou entidade contratante, sendo competentes para sua aplicação: </w:t>
      </w:r>
    </w:p>
    <w:p w14:paraId="65203196">
      <w:pPr>
        <w:spacing w:line="288" w:lineRule="auto"/>
        <w:contextualSpacing/>
        <w:jc w:val="both"/>
        <w:rPr>
          <w:sz w:val="24"/>
          <w:szCs w:val="24"/>
        </w:rPr>
      </w:pPr>
      <w:r>
        <w:rPr>
          <w:sz w:val="24"/>
          <w:szCs w:val="24"/>
        </w:rPr>
        <w:t>a) as sanções previstas nos itens 11.2.1, 11.2.2 e 11.2.3 serão impostas pelo Ordenador de Despesa;</w:t>
      </w:r>
    </w:p>
    <w:p w14:paraId="1F1B4167">
      <w:pPr>
        <w:spacing w:line="288" w:lineRule="auto"/>
        <w:contextualSpacing/>
        <w:jc w:val="both"/>
        <w:rPr>
          <w:sz w:val="24"/>
          <w:szCs w:val="24"/>
        </w:rPr>
      </w:pPr>
      <w:r>
        <w:rPr>
          <w:sz w:val="24"/>
          <w:szCs w:val="24"/>
        </w:rPr>
        <w:t xml:space="preserve">b) a aplicação da sanção prevista no item 11.2.4, na forma do art. </w:t>
      </w:r>
      <w:r>
        <w:rPr>
          <w:rStyle w:val="118"/>
          <w:rFonts w:ascii="Times New Roman" w:hAnsi="Times New Roman" w:cs="Times New Roman"/>
          <w:sz w:val="24"/>
          <w:szCs w:val="24"/>
        </w:rPr>
        <w:t>156, § 6º, I, da Lei nº 14.133/2021,</w:t>
      </w:r>
      <w:r>
        <w:rPr>
          <w:sz w:val="24"/>
          <w:szCs w:val="24"/>
        </w:rPr>
        <w:t xml:space="preserve"> é de competência exclusiva:</w:t>
      </w:r>
    </w:p>
    <w:p w14:paraId="73A8D432">
      <w:pPr>
        <w:spacing w:line="288" w:lineRule="auto"/>
        <w:contextualSpacing/>
        <w:jc w:val="both"/>
        <w:rPr>
          <w:rStyle w:val="118"/>
          <w:rFonts w:ascii="Times New Roman" w:hAnsi="Times New Roman" w:cs="Times New Roman"/>
          <w:sz w:val="24"/>
          <w:szCs w:val="24"/>
        </w:rPr>
      </w:pPr>
      <w:r>
        <w:rPr>
          <w:sz w:val="24"/>
          <w:szCs w:val="24"/>
        </w:rPr>
        <w:t>b.1) em se tratando de contratação realizada pela Administração Pública direta, do Secretário de Município</w:t>
      </w:r>
      <w:r>
        <w:rPr>
          <w:rStyle w:val="118"/>
          <w:rFonts w:ascii="Times New Roman" w:hAnsi="Times New Roman" w:cs="Times New Roman"/>
          <w:sz w:val="24"/>
          <w:szCs w:val="24"/>
        </w:rPr>
        <w:t>;</w:t>
      </w:r>
    </w:p>
    <w:p w14:paraId="2EE182D1">
      <w:pPr>
        <w:spacing w:line="288" w:lineRule="auto"/>
        <w:contextualSpacing/>
        <w:jc w:val="both"/>
        <w:rPr>
          <w:sz w:val="24"/>
          <w:szCs w:val="24"/>
        </w:rPr>
      </w:pPr>
      <w:r>
        <w:rPr>
          <w:rStyle w:val="118"/>
          <w:rFonts w:ascii="Times New Roman" w:hAnsi="Times New Roman" w:cs="Times New Roman"/>
          <w:sz w:val="24"/>
          <w:szCs w:val="24"/>
        </w:rPr>
        <w:t>b.2) e</w:t>
      </w:r>
      <w:r>
        <w:rPr>
          <w:sz w:val="24"/>
          <w:szCs w:val="24"/>
        </w:rPr>
        <w:t>m se tratando de contratação realizada pela Administração Pública Indireta (fundação e autarquia), da autoridade máxima da entidade.</w:t>
      </w:r>
    </w:p>
    <w:p w14:paraId="1C64611F">
      <w:pPr>
        <w:spacing w:line="288" w:lineRule="auto"/>
        <w:contextualSpacing/>
        <w:jc w:val="both"/>
        <w:rPr>
          <w:sz w:val="24"/>
          <w:szCs w:val="24"/>
        </w:rPr>
      </w:pPr>
    </w:p>
    <w:p w14:paraId="51EEA9E4">
      <w:pPr>
        <w:spacing w:line="288" w:lineRule="auto"/>
        <w:contextualSpacing/>
        <w:jc w:val="both"/>
        <w:rPr>
          <w:sz w:val="24"/>
          <w:szCs w:val="24"/>
        </w:rPr>
      </w:pPr>
      <w:r>
        <w:rPr>
          <w:sz w:val="24"/>
          <w:szCs w:val="24"/>
        </w:rPr>
        <w:t xml:space="preserve">11.7 A aplicação de quaisquer das penalidades realizar-se-á em processo administrativo que assegurará o contraditório e a ampla defesa ao </w:t>
      </w:r>
      <w:r>
        <w:rPr>
          <w:b/>
          <w:bCs/>
          <w:color w:val="000000"/>
          <w:sz w:val="24"/>
          <w:szCs w:val="24"/>
        </w:rPr>
        <w:t>CONTRATADO</w:t>
      </w:r>
      <w:r>
        <w:rPr>
          <w:sz w:val="24"/>
          <w:szCs w:val="24"/>
        </w:rPr>
        <w:t xml:space="preserve">, na forma do art. </w:t>
      </w:r>
      <w:r>
        <w:rPr>
          <w:rStyle w:val="118"/>
          <w:rFonts w:ascii="Times New Roman" w:hAnsi="Times New Roman" w:cs="Times New Roman"/>
          <w:sz w:val="24"/>
          <w:szCs w:val="24"/>
        </w:rPr>
        <w:t>156, § 6º, I, da Lei nº 14.133/2021</w:t>
      </w:r>
      <w:r>
        <w:rPr>
          <w:sz w:val="24"/>
          <w:szCs w:val="24"/>
        </w:rPr>
        <w:t>, devendo ser observado o procedimento previsto na Lei nº 14.133/2021.</w:t>
      </w:r>
    </w:p>
    <w:p w14:paraId="4BF8828B">
      <w:pPr>
        <w:spacing w:line="288" w:lineRule="auto"/>
        <w:contextualSpacing/>
        <w:jc w:val="both"/>
        <w:rPr>
          <w:sz w:val="24"/>
          <w:szCs w:val="24"/>
        </w:rPr>
      </w:pPr>
    </w:p>
    <w:p w14:paraId="17B4EBDC">
      <w:pPr>
        <w:spacing w:line="288" w:lineRule="auto"/>
        <w:contextualSpacing/>
        <w:jc w:val="both"/>
        <w:rPr>
          <w:sz w:val="24"/>
          <w:szCs w:val="24"/>
        </w:rPr>
      </w:pPr>
      <w:r>
        <w:rPr>
          <w:sz w:val="24"/>
          <w:szCs w:val="24"/>
        </w:rPr>
        <w:t xml:space="preserve">11.7.1 A aplicação de sanção será antecedida de intimação do </w:t>
      </w:r>
      <w:r>
        <w:rPr>
          <w:b/>
          <w:bCs/>
          <w:color w:val="000000"/>
          <w:sz w:val="24"/>
          <w:szCs w:val="24"/>
        </w:rPr>
        <w:t>CONTRATADO</w:t>
      </w:r>
      <w:r>
        <w:rPr>
          <w:sz w:val="24"/>
          <w:szCs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12C916D7">
      <w:pPr>
        <w:spacing w:line="288" w:lineRule="auto"/>
        <w:contextualSpacing/>
        <w:jc w:val="both"/>
        <w:rPr>
          <w:sz w:val="24"/>
          <w:szCs w:val="24"/>
        </w:rPr>
      </w:pPr>
    </w:p>
    <w:p w14:paraId="477DE742">
      <w:pPr>
        <w:spacing w:line="288" w:lineRule="auto"/>
        <w:contextualSpacing/>
        <w:jc w:val="both"/>
        <w:rPr>
          <w:sz w:val="24"/>
          <w:szCs w:val="24"/>
        </w:rPr>
      </w:pPr>
      <w:r>
        <w:rPr>
          <w:sz w:val="24"/>
          <w:szCs w:val="24"/>
        </w:rPr>
        <w:t xml:space="preserve">11.7.2 A defesa prévia do </w:t>
      </w:r>
      <w:r>
        <w:rPr>
          <w:b/>
          <w:bCs/>
          <w:color w:val="000000"/>
          <w:sz w:val="24"/>
          <w:szCs w:val="24"/>
        </w:rPr>
        <w:t>CONTRATADO</w:t>
      </w:r>
      <w:r>
        <w:rPr>
          <w:sz w:val="24"/>
          <w:szCs w:val="24"/>
        </w:rPr>
        <w:t xml:space="preserve"> será exercida no prazo de:</w:t>
      </w:r>
    </w:p>
    <w:p w14:paraId="441DAECF">
      <w:pPr>
        <w:spacing w:line="288" w:lineRule="auto"/>
        <w:contextualSpacing/>
        <w:jc w:val="both"/>
        <w:rPr>
          <w:sz w:val="24"/>
          <w:szCs w:val="24"/>
        </w:rPr>
      </w:pPr>
      <w:r>
        <w:rPr>
          <w:sz w:val="24"/>
          <w:szCs w:val="24"/>
        </w:rPr>
        <w:t>a) 15 (quinze) dias úteis, no caso da aplicação das sanções previstas nos itens 11.2.1 e 11.2.2, contado da data da intimação;</w:t>
      </w:r>
    </w:p>
    <w:p w14:paraId="41C82140">
      <w:pPr>
        <w:spacing w:line="288" w:lineRule="auto"/>
        <w:contextualSpacing/>
        <w:jc w:val="both"/>
        <w:rPr>
          <w:color w:val="000000"/>
          <w:sz w:val="24"/>
          <w:szCs w:val="24"/>
        </w:rPr>
      </w:pPr>
      <w:r>
        <w:rPr>
          <w:sz w:val="24"/>
          <w:szCs w:val="24"/>
        </w:rPr>
        <w:t xml:space="preserve">b) 15 (quinze) dias úteis, no caso de aplicação das sanções previstas nos itens 11.2.3 e 11.2.4, </w:t>
      </w:r>
      <w:r>
        <w:rPr>
          <w:color w:val="000000"/>
          <w:sz w:val="24"/>
          <w:szCs w:val="24"/>
        </w:rPr>
        <w:t>contado da data da intimação, observado o procedimento estabelecido no art. 158 da Lei nº 14.133/2021.</w:t>
      </w:r>
    </w:p>
    <w:p w14:paraId="35B07D3A">
      <w:pPr>
        <w:pStyle w:val="24"/>
        <w:spacing w:line="288" w:lineRule="auto"/>
        <w:contextualSpacing/>
        <w:jc w:val="both"/>
      </w:pPr>
      <w:r>
        <w:t>11.7.3 Será emitida decisão conclusiva sobre a aplicação ou não da sanção, pela autoridade competente, devendo ser apresentada a devida motivação, com a demonstração dos fatos e dos respectivos fundamentos jurídicos.</w:t>
      </w:r>
    </w:p>
    <w:p w14:paraId="4EC0DFE7">
      <w:pPr>
        <w:spacing w:line="288" w:lineRule="auto"/>
        <w:contextualSpacing/>
        <w:jc w:val="both"/>
        <w:rPr>
          <w:sz w:val="24"/>
          <w:szCs w:val="24"/>
        </w:rPr>
      </w:pPr>
      <w:r>
        <w:rPr>
          <w:sz w:val="24"/>
          <w:szCs w:val="24"/>
        </w:rPr>
        <w:t>11.8 A aplicação das sanções previstas neste Contrato não exclui, em hipótese alguma:</w:t>
      </w:r>
    </w:p>
    <w:p w14:paraId="585A85D8">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23CDA303">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22F36104">
      <w:pPr>
        <w:spacing w:line="288" w:lineRule="auto"/>
        <w:contextualSpacing/>
        <w:jc w:val="both"/>
        <w:rPr>
          <w:rFonts w:eastAsia="Arial"/>
          <w:color w:val="000000"/>
          <w:sz w:val="24"/>
          <w:szCs w:val="24"/>
        </w:rPr>
      </w:pPr>
    </w:p>
    <w:p w14:paraId="6DDD8F65">
      <w:pPr>
        <w:spacing w:line="288" w:lineRule="auto"/>
        <w:contextualSpacing/>
        <w:jc w:val="both"/>
        <w:rPr>
          <w:rFonts w:eastAsia="Arial"/>
          <w:color w:val="000000"/>
          <w:sz w:val="24"/>
          <w:szCs w:val="24"/>
        </w:rPr>
      </w:pPr>
      <w:r>
        <w:rPr>
          <w:rFonts w:eastAsia="Arial"/>
          <w:color w:val="000000"/>
          <w:sz w:val="24"/>
          <w:szCs w:val="24"/>
        </w:rPr>
        <w:t xml:space="preserve">11.8.1 Aplica-se o disposto na alínea a do item 11.8 à multa compensatória, nos termos do parágrafo único do art. 416 do Código Civil. </w:t>
      </w:r>
    </w:p>
    <w:p w14:paraId="67D317B1">
      <w:pPr>
        <w:spacing w:line="288" w:lineRule="auto"/>
        <w:contextualSpacing/>
        <w:jc w:val="both"/>
        <w:rPr>
          <w:rFonts w:eastAsia="Arial"/>
          <w:color w:val="000000"/>
          <w:sz w:val="24"/>
          <w:szCs w:val="24"/>
        </w:rPr>
      </w:pPr>
    </w:p>
    <w:p w14:paraId="2840C0D6">
      <w:pPr>
        <w:spacing w:line="288" w:lineRule="auto"/>
        <w:contextualSpacing/>
        <w:jc w:val="both"/>
        <w:rPr>
          <w:rFonts w:eastAsia="Arial"/>
          <w:color w:val="000000"/>
          <w:sz w:val="24"/>
          <w:szCs w:val="24"/>
        </w:rPr>
      </w:pPr>
      <w:r>
        <w:rPr>
          <w:rFonts w:eastAsia="Arial"/>
          <w:color w:val="000000"/>
          <w:sz w:val="24"/>
          <w:szCs w:val="24"/>
        </w:rPr>
        <w:t>11.9 As sanções de impedimento de licitar e contratar e de declaração de inidoneidade para licitar ou contratar são passíveis de reabilitação, observados os requisitos estabelecidos no art. 163 da Lei nº 14.133/2021.</w:t>
      </w:r>
    </w:p>
    <w:p w14:paraId="57329BEC">
      <w:pPr>
        <w:spacing w:line="288" w:lineRule="auto"/>
        <w:contextualSpacing/>
        <w:jc w:val="both"/>
        <w:rPr>
          <w:sz w:val="24"/>
          <w:szCs w:val="24"/>
        </w:rPr>
      </w:pPr>
    </w:p>
    <w:p w14:paraId="4B947FD4">
      <w:pPr>
        <w:spacing w:line="288" w:lineRule="auto"/>
        <w:contextualSpacing/>
        <w:jc w:val="both"/>
        <w:rPr>
          <w:sz w:val="24"/>
          <w:szCs w:val="24"/>
        </w:rPr>
      </w:pPr>
      <w:r>
        <w:rPr>
          <w:sz w:val="24"/>
          <w:szCs w:val="24"/>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AF8D2B7">
      <w:pPr>
        <w:spacing w:line="288" w:lineRule="auto"/>
        <w:contextualSpacing/>
        <w:jc w:val="both"/>
        <w:rPr>
          <w:sz w:val="24"/>
          <w:szCs w:val="24"/>
        </w:rPr>
      </w:pPr>
    </w:p>
    <w:p w14:paraId="56B88322">
      <w:pPr>
        <w:spacing w:line="288" w:lineRule="auto"/>
        <w:contextualSpacing/>
        <w:jc w:val="both"/>
        <w:rPr>
          <w:sz w:val="24"/>
          <w:szCs w:val="24"/>
        </w:rPr>
      </w:pPr>
      <w:r>
        <w:rPr>
          <w:sz w:val="24"/>
          <w:szCs w:val="24"/>
        </w:rPr>
        <w:t>11.10.1 A apuração e o julgamento das demais infrações administrativas não consideradas como ato lesivo à Administração Pública nacional nos termos da Lei nº 12.846/2013 seguirão seu rito normal na unidade administrativa.</w:t>
      </w:r>
    </w:p>
    <w:p w14:paraId="7F8B8238">
      <w:pPr>
        <w:spacing w:line="288" w:lineRule="auto"/>
        <w:contextualSpacing/>
        <w:jc w:val="both"/>
        <w:rPr>
          <w:sz w:val="24"/>
          <w:szCs w:val="24"/>
        </w:rPr>
      </w:pPr>
    </w:p>
    <w:p w14:paraId="260F9A80">
      <w:pPr>
        <w:spacing w:line="288" w:lineRule="auto"/>
        <w:contextualSpacing/>
        <w:jc w:val="both"/>
        <w:rPr>
          <w:sz w:val="24"/>
          <w:szCs w:val="24"/>
        </w:rPr>
      </w:pPr>
      <w:r>
        <w:rPr>
          <w:sz w:val="24"/>
          <w:szCs w:val="24"/>
        </w:rPr>
        <w:t>11.10.2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FA6F997">
      <w:pPr>
        <w:spacing w:line="288" w:lineRule="auto"/>
        <w:contextualSpacing/>
        <w:jc w:val="both"/>
        <w:rPr>
          <w:sz w:val="24"/>
          <w:szCs w:val="24"/>
        </w:rPr>
      </w:pPr>
    </w:p>
    <w:p w14:paraId="03C1EE93">
      <w:pPr>
        <w:spacing w:line="288" w:lineRule="auto"/>
        <w:contextualSpacing/>
        <w:jc w:val="both"/>
        <w:rPr>
          <w:sz w:val="24"/>
          <w:szCs w:val="24"/>
        </w:rPr>
      </w:pPr>
      <w:r>
        <w:rPr>
          <w:sz w:val="24"/>
          <w:szCs w:val="24"/>
        </w:rPr>
        <w:t>11.10.2.1 Caso seja possível, a apuração deverá ser promovida em conjunto no PAR.</w:t>
      </w:r>
    </w:p>
    <w:p w14:paraId="41EA3347">
      <w:pPr>
        <w:spacing w:line="288" w:lineRule="auto"/>
        <w:contextualSpacing/>
        <w:jc w:val="both"/>
        <w:rPr>
          <w:sz w:val="24"/>
          <w:szCs w:val="24"/>
        </w:rPr>
      </w:pPr>
    </w:p>
    <w:p w14:paraId="50BDF545">
      <w:pPr>
        <w:spacing w:line="288" w:lineRule="auto"/>
        <w:contextualSpacing/>
        <w:jc w:val="both"/>
        <w:rPr>
          <w:sz w:val="24"/>
          <w:szCs w:val="24"/>
        </w:rPr>
      </w:pPr>
      <w:r>
        <w:rPr>
          <w:sz w:val="24"/>
          <w:szCs w:val="24"/>
        </w:rPr>
        <w:t xml:space="preserve">11.11 Na hipótese de abertura de processo administrativo destinado a apuração de fatos e, se for o caso, aplicação de sanções ao </w:t>
      </w:r>
      <w:r>
        <w:rPr>
          <w:b/>
          <w:bCs/>
          <w:color w:val="000000"/>
          <w:sz w:val="24"/>
          <w:szCs w:val="24"/>
        </w:rPr>
        <w:t>CONTRATADO</w:t>
      </w:r>
      <w:r>
        <w:rPr>
          <w:sz w:val="24"/>
          <w:szCs w:val="24"/>
        </w:rPr>
        <w:t>, em decorrência de conduta vedada no contrato, as comunicações serão efetuadas por meio do endereço de correio eletrônico ("e-mail") cadastrado pela empresa junto ao Comprasnet.</w:t>
      </w:r>
    </w:p>
    <w:p w14:paraId="2277470A">
      <w:pPr>
        <w:autoSpaceDE w:val="0"/>
        <w:autoSpaceDN w:val="0"/>
        <w:adjustRightInd w:val="0"/>
        <w:spacing w:line="288" w:lineRule="auto"/>
        <w:contextualSpacing/>
        <w:jc w:val="both"/>
        <w:rPr>
          <w:sz w:val="24"/>
          <w:szCs w:val="24"/>
        </w:rPr>
      </w:pPr>
    </w:p>
    <w:p w14:paraId="54ECFE7B">
      <w:pPr>
        <w:autoSpaceDE w:val="0"/>
        <w:autoSpaceDN w:val="0"/>
        <w:adjustRightInd w:val="0"/>
        <w:spacing w:line="288" w:lineRule="auto"/>
        <w:contextualSpacing/>
        <w:jc w:val="both"/>
        <w:rPr>
          <w:sz w:val="24"/>
          <w:szCs w:val="24"/>
        </w:rPr>
      </w:pPr>
      <w:r>
        <w:rPr>
          <w:sz w:val="24"/>
          <w:szCs w:val="24"/>
        </w:rPr>
        <w:t xml:space="preserve">11.11.1 O </w:t>
      </w:r>
      <w:r>
        <w:rPr>
          <w:b/>
          <w:bCs/>
          <w:color w:val="000000"/>
          <w:sz w:val="24"/>
          <w:szCs w:val="24"/>
        </w:rPr>
        <w:t>CONTRATADO</w:t>
      </w:r>
      <w:r>
        <w:rPr>
          <w:sz w:val="24"/>
          <w:szCs w:val="24"/>
        </w:rPr>
        <w:t xml:space="preserve"> deverá manter atualizado o endereço de correio eletrônico ("e-mail") cadastrado junto ao sistema eletrônico Comprasnet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22EBA933">
      <w:pPr>
        <w:autoSpaceDE w:val="0"/>
        <w:autoSpaceDN w:val="0"/>
        <w:adjustRightInd w:val="0"/>
        <w:spacing w:line="288" w:lineRule="auto"/>
        <w:contextualSpacing/>
        <w:jc w:val="both"/>
        <w:rPr>
          <w:sz w:val="24"/>
          <w:szCs w:val="24"/>
        </w:rPr>
      </w:pPr>
    </w:p>
    <w:p w14:paraId="45C6CE50">
      <w:pPr>
        <w:autoSpaceDE w:val="0"/>
        <w:autoSpaceDN w:val="0"/>
        <w:adjustRightInd w:val="0"/>
        <w:spacing w:line="288" w:lineRule="auto"/>
        <w:contextualSpacing/>
        <w:jc w:val="both"/>
        <w:rPr>
          <w:sz w:val="24"/>
          <w:szCs w:val="24"/>
        </w:rPr>
      </w:pPr>
      <w:r>
        <w:rPr>
          <w:sz w:val="24"/>
          <w:szCs w:val="24"/>
        </w:rPr>
        <w:t xml:space="preserve">11.12 O </w:t>
      </w:r>
      <w:r>
        <w:rPr>
          <w:b/>
          <w:bCs/>
          <w:sz w:val="24"/>
          <w:szCs w:val="24"/>
        </w:rPr>
        <w:t>CONTRATANTE</w:t>
      </w:r>
      <w:r>
        <w:rPr>
          <w:sz w:val="24"/>
          <w:szCs w:val="24"/>
        </w:rPr>
        <w:t xml:space="preserv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76E5A328">
      <w:pPr>
        <w:pStyle w:val="74"/>
        <w:spacing w:line="288" w:lineRule="auto"/>
        <w:contextualSpacing/>
        <w:jc w:val="both"/>
        <w:rPr>
          <w:rFonts w:ascii="Times New Roman" w:hAnsi="Times New Roman" w:cs="Times New Roman"/>
        </w:rPr>
      </w:pPr>
    </w:p>
    <w:p w14:paraId="62B13C66">
      <w:pPr>
        <w:pStyle w:val="74"/>
        <w:spacing w:line="288" w:lineRule="auto"/>
        <w:contextualSpacing/>
        <w:jc w:val="both"/>
        <w:rPr>
          <w:rFonts w:ascii="Times New Roman" w:hAnsi="Times New Roman" w:cs="Times New Roman"/>
        </w:rPr>
      </w:pPr>
      <w:r>
        <w:rPr>
          <w:rFonts w:ascii="Times New Roman" w:hAnsi="Times New Roman" w:cs="Times New Roman"/>
        </w:rPr>
        <w:t>11.12.1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44671375">
      <w:pPr>
        <w:spacing w:line="288" w:lineRule="auto"/>
        <w:contextualSpacing/>
        <w:jc w:val="both"/>
        <w:rPr>
          <w:sz w:val="24"/>
          <w:szCs w:val="24"/>
        </w:rPr>
      </w:pPr>
    </w:p>
    <w:p w14:paraId="416259C1">
      <w:pPr>
        <w:spacing w:line="288" w:lineRule="auto"/>
        <w:contextualSpacing/>
        <w:jc w:val="both"/>
        <w:rPr>
          <w:sz w:val="24"/>
          <w:szCs w:val="24"/>
        </w:rPr>
      </w:pPr>
      <w:r>
        <w:rPr>
          <w:sz w:val="24"/>
          <w:szCs w:val="24"/>
        </w:rPr>
        <w:t xml:space="preserve">11.13 Caso o valor da multa aplicada seja superior ao </w:t>
      </w:r>
      <w:r>
        <w:rPr>
          <w:color w:val="000000"/>
          <w:sz w:val="24"/>
          <w:szCs w:val="24"/>
        </w:rPr>
        <w:t xml:space="preserve">do pagamento eventualmente devido pela Administração ao </w:t>
      </w:r>
      <w:r>
        <w:rPr>
          <w:b/>
          <w:bCs/>
          <w:color w:val="000000"/>
          <w:sz w:val="24"/>
          <w:szCs w:val="24"/>
        </w:rPr>
        <w:t>CONTRATADO</w:t>
      </w:r>
      <w:r>
        <w:rPr>
          <w:color w:val="000000"/>
          <w:sz w:val="24"/>
          <w:szCs w:val="24"/>
        </w:rPr>
        <w:t xml:space="preserve"> e da garantia prestada</w:t>
      </w:r>
      <w:r>
        <w:rPr>
          <w:sz w:val="24"/>
          <w:szCs w:val="24"/>
        </w:rPr>
        <w:t>, deverá ser emitida nota de débito no valor do saldo, no prazo de 30 (trinta) dias após a decisão final quanto à penalidade.</w:t>
      </w:r>
    </w:p>
    <w:p w14:paraId="751A0A51">
      <w:pPr>
        <w:spacing w:line="288" w:lineRule="auto"/>
        <w:contextualSpacing/>
        <w:jc w:val="both"/>
        <w:rPr>
          <w:sz w:val="24"/>
          <w:szCs w:val="24"/>
        </w:rPr>
      </w:pPr>
    </w:p>
    <w:p w14:paraId="030AB107">
      <w:pPr>
        <w:spacing w:line="288" w:lineRule="auto"/>
        <w:ind w:right="64"/>
        <w:contextualSpacing/>
        <w:jc w:val="both"/>
        <w:rPr>
          <w:sz w:val="24"/>
          <w:szCs w:val="24"/>
        </w:rPr>
      </w:pPr>
      <w:r>
        <w:rPr>
          <w:sz w:val="24"/>
          <w:szCs w:val="24"/>
        </w:rPr>
        <w:t>11.13.1 A nota de débito deverá ser encaminhada Departamento de Cadastro Controle e Arrecadação para inscrição do débito em dívida ativa e propositura de execução fiscal, na forma do art. 39 da Lei nº 4.320, de 17 de março de 1964.</w:t>
      </w:r>
    </w:p>
    <w:p w14:paraId="4C3606B9">
      <w:pPr>
        <w:spacing w:line="288" w:lineRule="auto"/>
        <w:contextualSpacing/>
        <w:jc w:val="both"/>
        <w:rPr>
          <w:sz w:val="24"/>
          <w:szCs w:val="24"/>
        </w:rPr>
      </w:pPr>
    </w:p>
    <w:p w14:paraId="4FACD55A">
      <w:pPr>
        <w:spacing w:line="288" w:lineRule="auto"/>
        <w:contextualSpacing/>
        <w:jc w:val="both"/>
        <w:rPr>
          <w:sz w:val="24"/>
          <w:szCs w:val="24"/>
        </w:rPr>
      </w:pPr>
      <w:r>
        <w:rPr>
          <w:sz w:val="24"/>
          <w:szCs w:val="24"/>
        </w:rPr>
        <w:t>11.13.2 O procedimento para inscrição do débito em dívida ativa deverá observar o que dispõe a Lei Complementar nº: 279/2024.</w:t>
      </w:r>
    </w:p>
    <w:p w14:paraId="3481CEFD">
      <w:pPr>
        <w:spacing w:line="288" w:lineRule="auto"/>
        <w:contextualSpacing/>
        <w:jc w:val="both"/>
        <w:rPr>
          <w:sz w:val="24"/>
          <w:szCs w:val="24"/>
        </w:rPr>
      </w:pPr>
    </w:p>
    <w:p w14:paraId="72EE8BF6">
      <w:pPr>
        <w:pStyle w:val="107"/>
        <w:numPr>
          <w:ilvl w:val="0"/>
          <w:numId w:val="0"/>
        </w:numPr>
        <w:spacing w:before="0" w:after="0" w:line="288" w:lineRule="auto"/>
        <w:contextualSpacing/>
        <w:rPr>
          <w:rFonts w:ascii="Times New Roman" w:hAnsi="Times New Roman" w:cs="Times New Roman"/>
          <w:color w:val="FFFFFF"/>
          <w:sz w:val="24"/>
          <w:szCs w:val="24"/>
        </w:rPr>
      </w:pPr>
      <w:r>
        <w:rPr>
          <w:rFonts w:ascii="Times New Roman" w:hAnsi="Times New Roman" w:cs="Times New Roman"/>
          <w:sz w:val="24"/>
          <w:szCs w:val="24"/>
        </w:rPr>
        <w:t>CLÁUSULA DÉCIMA SEGUNDA – DA EXTINÇÃO CONTRATUAL</w:t>
      </w:r>
    </w:p>
    <w:p w14:paraId="447C4438">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6E51E8E4">
      <w:pPr>
        <w:pStyle w:val="108"/>
        <w:numPr>
          <w:ilvl w:val="0"/>
          <w:numId w:val="0"/>
        </w:numPr>
        <w:tabs>
          <w:tab w:val="left" w:pos="0"/>
        </w:tabs>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14.133/2021 e neste Contrato.</w:t>
      </w:r>
    </w:p>
    <w:p w14:paraId="576056C8">
      <w:pPr>
        <w:pStyle w:val="108"/>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25EE1C7C">
      <w:pPr>
        <w:pStyle w:val="108"/>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 O Contrato pode ser extinto antes do prazo nele fixado, sem ônus para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quando este não dispuser de créditos orçamentários para sua continuidade ou quando entender que o Contrato não mais lhe oferece vantagem.</w:t>
      </w:r>
    </w:p>
    <w:p w14:paraId="3AC7951E">
      <w:pPr>
        <w:pStyle w:val="108"/>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15B07219">
      <w:pPr>
        <w:pStyle w:val="108"/>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12.2.1 A extinção nesta hipótese ocorrerá na próxima data de aniversário do Contrato, desde que haja a notificação do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pelo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nesse sentido com pelo menos 2 (dois) meses de antecedência desse dia.</w:t>
      </w:r>
    </w:p>
    <w:p w14:paraId="2D15E686">
      <w:pPr>
        <w:spacing w:line="288" w:lineRule="auto"/>
        <w:ind w:left="567" w:right="-78"/>
        <w:contextualSpacing/>
        <w:jc w:val="both"/>
        <w:rPr>
          <w:color w:val="000000" w:themeColor="text1"/>
          <w:sz w:val="24"/>
          <w:szCs w:val="24"/>
          <w14:textFill>
            <w14:solidFill>
              <w14:schemeClr w14:val="tx1"/>
            </w14:solidFill>
          </w14:textFill>
        </w:rPr>
      </w:pPr>
    </w:p>
    <w:p w14:paraId="3C397A6C">
      <w:pPr>
        <w:spacing w:line="288" w:lineRule="auto"/>
        <w:ind w:right="-78"/>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12.2.2 Caso a notificação da não-continuidade do Contrato de que trata este subitem ocorra com menos de 2 (dois) meses de antecedência da data de aniversário, a extinção contratual ocorrerá após 2 (dois) meses da data da comunicação.</w:t>
      </w:r>
    </w:p>
    <w:p w14:paraId="041A4F9D">
      <w:pPr>
        <w:spacing w:line="288" w:lineRule="auto"/>
        <w:ind w:left="567" w:right="565"/>
        <w:contextualSpacing/>
        <w:jc w:val="both"/>
        <w:rPr>
          <w:sz w:val="24"/>
          <w:szCs w:val="24"/>
        </w:rPr>
      </w:pPr>
    </w:p>
    <w:p w14:paraId="006CED5E">
      <w:pPr>
        <w:spacing w:line="288" w:lineRule="auto"/>
        <w:contextualSpacing/>
        <w:jc w:val="both"/>
        <w:rPr>
          <w:sz w:val="24"/>
          <w:szCs w:val="24"/>
        </w:rPr>
      </w:pPr>
      <w:r>
        <w:rPr>
          <w:sz w:val="24"/>
          <w:szCs w:val="24"/>
        </w:rPr>
        <w:t>12.3 O presente Contrato poderá ser extinto, antes de cumpridas as obrigações estipuladas, ou antes do prazo neste fixado:</w:t>
      </w:r>
    </w:p>
    <w:p w14:paraId="6DDACC85">
      <w:pPr>
        <w:spacing w:line="288" w:lineRule="auto"/>
        <w:contextualSpacing/>
        <w:jc w:val="both"/>
        <w:rPr>
          <w:sz w:val="24"/>
          <w:szCs w:val="24"/>
        </w:rPr>
      </w:pPr>
      <w:r>
        <w:rPr>
          <w:sz w:val="24"/>
          <w:szCs w:val="24"/>
        </w:rPr>
        <w:t xml:space="preserve">a) por ato unilateral do </w:t>
      </w:r>
      <w:r>
        <w:rPr>
          <w:b/>
          <w:bCs/>
          <w:sz w:val="24"/>
          <w:szCs w:val="24"/>
        </w:rPr>
        <w:t>CONTRATANTE</w:t>
      </w:r>
      <w:r>
        <w:rPr>
          <w:sz w:val="24"/>
          <w:szCs w:val="24"/>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14:paraId="7DE4EBF2">
      <w:pPr>
        <w:spacing w:line="288" w:lineRule="auto"/>
        <w:contextualSpacing/>
        <w:jc w:val="both"/>
        <w:rPr>
          <w:sz w:val="24"/>
          <w:szCs w:val="24"/>
        </w:rPr>
      </w:pPr>
      <w:r>
        <w:rPr>
          <w:sz w:val="24"/>
          <w:szCs w:val="24"/>
        </w:rPr>
        <w:t>b) consensualmente, na forma do art. 138, II, da Lei nº 14.133/2021; e</w:t>
      </w:r>
    </w:p>
    <w:p w14:paraId="523CA25E">
      <w:pPr>
        <w:spacing w:line="288" w:lineRule="auto"/>
        <w:contextualSpacing/>
        <w:jc w:val="both"/>
        <w:rPr>
          <w:iCs/>
          <w:sz w:val="24"/>
          <w:szCs w:val="24"/>
        </w:rPr>
      </w:pPr>
      <w:r>
        <w:rPr>
          <w:sz w:val="24"/>
          <w:szCs w:val="24"/>
        </w:rPr>
        <w:t xml:space="preserve">c) na hipótese de contratação direta fundamentada no art. 75, VIII, da Lei nº 14.133/2021, </w:t>
      </w:r>
      <w:r>
        <w:rPr>
          <w:iCs/>
          <w:sz w:val="24"/>
          <w:szCs w:val="24"/>
        </w:rPr>
        <w:t xml:space="preserve">a qualquer tempo, sem indenização, e independentemente de aviso ou prazo, pelo </w:t>
      </w:r>
      <w:r>
        <w:rPr>
          <w:b/>
          <w:bCs/>
          <w:iCs/>
          <w:sz w:val="24"/>
          <w:szCs w:val="24"/>
        </w:rPr>
        <w:t>CONTRATANTE</w:t>
      </w:r>
      <w:r>
        <w:rPr>
          <w:iCs/>
          <w:sz w:val="24"/>
          <w:szCs w:val="24"/>
        </w:rPr>
        <w:t>, tão logo esteja(m) concluído(s) o(s) procedimento(s) licitatório(s) implementado(s) para a contratação do objeto em questão.</w:t>
      </w:r>
    </w:p>
    <w:p w14:paraId="7B2DC8EF">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26828265">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77D1230C">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2D3A72B4">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364F3A3C">
      <w:pPr>
        <w:spacing w:line="288" w:lineRule="auto"/>
        <w:contextualSpacing/>
        <w:jc w:val="both"/>
        <w:rPr>
          <w:color w:val="000000"/>
          <w:sz w:val="24"/>
          <w:szCs w:val="24"/>
        </w:rPr>
      </w:pPr>
    </w:p>
    <w:p w14:paraId="1879D748">
      <w:pPr>
        <w:spacing w:line="288" w:lineRule="auto"/>
        <w:contextualSpacing/>
        <w:jc w:val="both"/>
        <w:rPr>
          <w:sz w:val="24"/>
          <w:szCs w:val="24"/>
        </w:rPr>
      </w:pPr>
      <w:r>
        <w:rPr>
          <w:color w:val="000000"/>
          <w:sz w:val="24"/>
          <w:szCs w:val="24"/>
        </w:rPr>
        <w:t>12.4 A extinção prematura do Contrato deverá ser precedida de autorização escrita e fundamentada da autoridade competente e reduzida a termo no respectivo processo.</w:t>
      </w:r>
    </w:p>
    <w:p w14:paraId="1544A393">
      <w:pPr>
        <w:spacing w:line="288" w:lineRule="auto"/>
        <w:contextualSpacing/>
        <w:jc w:val="both"/>
        <w:rPr>
          <w:sz w:val="24"/>
          <w:szCs w:val="24"/>
        </w:rPr>
      </w:pPr>
    </w:p>
    <w:p w14:paraId="0543FDA5">
      <w:pPr>
        <w:spacing w:line="288" w:lineRule="auto"/>
        <w:contextualSpacing/>
        <w:jc w:val="both"/>
        <w:rPr>
          <w:sz w:val="24"/>
          <w:szCs w:val="24"/>
        </w:rPr>
      </w:pPr>
      <w:r>
        <w:rPr>
          <w:sz w:val="24"/>
          <w:szCs w:val="24"/>
        </w:rPr>
        <w:t xml:space="preserve">12.4.1 A justificativa da rescisão por ato unilateral do </w:t>
      </w:r>
      <w:r>
        <w:rPr>
          <w:b/>
          <w:bCs/>
          <w:sz w:val="24"/>
          <w:szCs w:val="24"/>
        </w:rPr>
        <w:t>CONTRATANTE</w:t>
      </w:r>
      <w:r>
        <w:rPr>
          <w:sz w:val="24"/>
          <w:szCs w:val="24"/>
        </w:rPr>
        <w:t>, sempre que possível, contemplará:</w:t>
      </w:r>
    </w:p>
    <w:p w14:paraId="1C66621C">
      <w:pPr>
        <w:spacing w:line="288" w:lineRule="auto"/>
        <w:contextualSpacing/>
        <w:jc w:val="both"/>
        <w:rPr>
          <w:sz w:val="24"/>
          <w:szCs w:val="24"/>
        </w:rPr>
      </w:pPr>
      <w:r>
        <w:rPr>
          <w:sz w:val="24"/>
          <w:szCs w:val="24"/>
        </w:rPr>
        <w:t>a) as obrigações contratuais já cumpridas ou parcialmente cumpridas;</w:t>
      </w:r>
    </w:p>
    <w:p w14:paraId="1ECE845F">
      <w:pPr>
        <w:spacing w:line="288" w:lineRule="auto"/>
        <w:contextualSpacing/>
        <w:jc w:val="both"/>
        <w:rPr>
          <w:sz w:val="24"/>
          <w:szCs w:val="24"/>
        </w:rPr>
      </w:pPr>
      <w:r>
        <w:rPr>
          <w:sz w:val="24"/>
          <w:szCs w:val="24"/>
        </w:rPr>
        <w:t>b) os pagamentos já efetuados e ainda devidos;</w:t>
      </w:r>
    </w:p>
    <w:p w14:paraId="73B8ECD3">
      <w:pPr>
        <w:spacing w:line="288" w:lineRule="auto"/>
        <w:contextualSpacing/>
        <w:jc w:val="both"/>
        <w:rPr>
          <w:sz w:val="24"/>
          <w:szCs w:val="24"/>
        </w:rPr>
      </w:pPr>
      <w:r>
        <w:rPr>
          <w:sz w:val="24"/>
          <w:szCs w:val="24"/>
        </w:rPr>
        <w:t>c) as indenizações e multas.</w:t>
      </w:r>
    </w:p>
    <w:p w14:paraId="18626353">
      <w:pPr>
        <w:pStyle w:val="103"/>
        <w:spacing w:before="0" w:after="0" w:line="288" w:lineRule="auto"/>
        <w:ind w:left="0" w:firstLine="0"/>
        <w:contextualSpacing/>
        <w:rPr>
          <w:rFonts w:ascii="Times New Roman" w:hAnsi="Times New Roman" w:cs="Times New Roman"/>
          <w:sz w:val="24"/>
          <w:szCs w:val="24"/>
        </w:rPr>
      </w:pPr>
    </w:p>
    <w:p w14:paraId="1189269F">
      <w:pPr>
        <w:pStyle w:val="103"/>
        <w:spacing w:before="0" w:after="0" w:line="288" w:lineRule="auto"/>
        <w:ind w:left="0" w:firstLine="0"/>
        <w:contextualSpacing/>
        <w:rPr>
          <w:rStyle w:val="16"/>
          <w:rFonts w:ascii="Times New Roman" w:hAnsi="Times New Roman" w:cs="Times New Roman" w:eastAsiaTheme="minorHAnsi"/>
          <w:color w:val="auto"/>
          <w:sz w:val="24"/>
          <w:szCs w:val="24"/>
        </w:rPr>
      </w:pPr>
      <w:r>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r>
        <w:fldChar w:fldCharType="begin"/>
      </w:r>
      <w:r>
        <w:instrText xml:space="preserve"> HYPERLINK "http://www.planalto.gov.br/ccivil_03/_ato2019-2022/2021/lei/L14133.htm" \l "art131" </w:instrText>
      </w:r>
      <w:r>
        <w:fldChar w:fldCharType="separate"/>
      </w:r>
      <w:r>
        <w:rPr>
          <w:rStyle w:val="16"/>
          <w:rFonts w:ascii="Times New Roman" w:hAnsi="Times New Roman" w:cs="Times New Roman" w:eastAsiaTheme="minorHAnsi"/>
          <w:color w:val="auto"/>
          <w:sz w:val="24"/>
          <w:szCs w:val="24"/>
        </w:rPr>
        <w:t xml:space="preserve">art. 131, </w:t>
      </w:r>
      <w:r>
        <w:rPr>
          <w:rStyle w:val="16"/>
          <w:rFonts w:ascii="Times New Roman" w:hAnsi="Times New Roman" w:cs="Times New Roman" w:eastAsiaTheme="minorHAnsi"/>
          <w:i/>
          <w:iCs/>
          <w:color w:val="auto"/>
          <w:sz w:val="24"/>
          <w:szCs w:val="24"/>
        </w:rPr>
        <w:t xml:space="preserve">caput, </w:t>
      </w:r>
      <w:r>
        <w:rPr>
          <w:rStyle w:val="16"/>
          <w:rFonts w:ascii="Times New Roman" w:hAnsi="Times New Roman" w:cs="Times New Roman" w:eastAsiaTheme="minorHAnsi"/>
          <w:color w:val="auto"/>
          <w:sz w:val="24"/>
          <w:szCs w:val="24"/>
        </w:rPr>
        <w:t xml:space="preserve">da Lei nº 14.133/2021, desde que o pedido seja </w:t>
      </w:r>
      <w:r>
        <w:rPr>
          <w:rFonts w:ascii="Times New Roman" w:hAnsi="Times New Roman" w:cs="Times New Roman"/>
          <w:sz w:val="24"/>
          <w:szCs w:val="24"/>
        </w:rPr>
        <w:t>formulado durante a vigência do Contrato e antes de eventual prorrogação</w:t>
      </w:r>
      <w:r>
        <w:rPr>
          <w:rStyle w:val="16"/>
          <w:rFonts w:ascii="Times New Roman" w:hAnsi="Times New Roman" w:cs="Times New Roman" w:eastAsiaTheme="minorHAnsi"/>
          <w:color w:val="auto"/>
          <w:sz w:val="24"/>
          <w:szCs w:val="24"/>
        </w:rPr>
        <w:t>.</w:t>
      </w:r>
      <w:r>
        <w:rPr>
          <w:rStyle w:val="16"/>
          <w:rFonts w:ascii="Times New Roman" w:hAnsi="Times New Roman" w:cs="Times New Roman" w:eastAsiaTheme="minorHAnsi"/>
          <w:color w:val="auto"/>
          <w:sz w:val="24"/>
          <w:szCs w:val="24"/>
        </w:rPr>
        <w:fldChar w:fldCharType="end"/>
      </w:r>
    </w:p>
    <w:p w14:paraId="559B4F78">
      <w:pPr>
        <w:pStyle w:val="103"/>
        <w:spacing w:before="0" w:after="0" w:line="288" w:lineRule="auto"/>
        <w:ind w:left="0" w:firstLine="0"/>
        <w:contextualSpacing/>
        <w:rPr>
          <w:rStyle w:val="16"/>
          <w:rFonts w:ascii="Times New Roman" w:hAnsi="Times New Roman" w:cs="Times New Roman" w:eastAsiaTheme="minorHAnsi"/>
          <w:color w:val="auto"/>
          <w:sz w:val="24"/>
          <w:szCs w:val="24"/>
        </w:rPr>
      </w:pPr>
    </w:p>
    <w:p w14:paraId="424480CA">
      <w:pPr>
        <w:pStyle w:val="10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12.6. Extinto o Contrato, o </w:t>
      </w:r>
      <w:r>
        <w:rPr>
          <w:rFonts w:ascii="Times New Roman" w:hAnsi="Times New Roman" w:cs="Times New Roman"/>
          <w:b/>
          <w:bCs/>
          <w:sz w:val="24"/>
          <w:szCs w:val="24"/>
        </w:rPr>
        <w:t>CONTRATANTE</w:t>
      </w:r>
      <w:r>
        <w:rPr>
          <w:rFonts w:ascii="Times New Roman" w:hAnsi="Times New Roman" w:cs="Times New Roman"/>
          <w:sz w:val="24"/>
          <w:szCs w:val="24"/>
        </w:rPr>
        <w:t xml:space="preserve"> poderá ainda:</w:t>
      </w:r>
    </w:p>
    <w:p w14:paraId="590DA930">
      <w:pPr>
        <w:spacing w:before="120" w:after="120" w:line="288" w:lineRule="auto"/>
        <w:contextualSpacing/>
        <w:jc w:val="both"/>
        <w:rPr>
          <w:color w:val="000000"/>
          <w:sz w:val="24"/>
          <w:szCs w:val="24"/>
        </w:rPr>
      </w:pPr>
    </w:p>
    <w:p w14:paraId="7C206E2D">
      <w:pPr>
        <w:spacing w:before="120" w:after="120" w:line="288" w:lineRule="auto"/>
        <w:contextualSpacing/>
        <w:jc w:val="both"/>
        <w:rPr>
          <w:color w:val="000000"/>
          <w:sz w:val="24"/>
          <w:szCs w:val="24"/>
        </w:rPr>
      </w:pPr>
      <w:r>
        <w:rPr>
          <w:color w:val="000000"/>
          <w:sz w:val="24"/>
          <w:szCs w:val="24"/>
        </w:rPr>
        <w:t xml:space="preserve">12.6.1 nos casos de obrigação de pagamento de multa pelo </w:t>
      </w:r>
      <w:r>
        <w:rPr>
          <w:b/>
          <w:bCs/>
          <w:color w:val="000000"/>
          <w:sz w:val="24"/>
          <w:szCs w:val="24"/>
        </w:rPr>
        <w:t>CONTRATADO</w:t>
      </w:r>
      <w:r>
        <w:rPr>
          <w:color w:val="000000"/>
          <w:sz w:val="24"/>
          <w:szCs w:val="24"/>
        </w:rPr>
        <w:t>, reter e executar a garantia prestada; e</w:t>
      </w:r>
    </w:p>
    <w:p w14:paraId="032FA917">
      <w:pPr>
        <w:spacing w:before="120" w:after="120" w:line="288" w:lineRule="auto"/>
        <w:contextualSpacing/>
        <w:jc w:val="both"/>
        <w:rPr>
          <w:color w:val="000000"/>
          <w:sz w:val="24"/>
          <w:szCs w:val="24"/>
        </w:rPr>
      </w:pPr>
    </w:p>
    <w:p w14:paraId="56768AD5">
      <w:pPr>
        <w:spacing w:before="120" w:after="120" w:line="288" w:lineRule="auto"/>
        <w:contextualSpacing/>
        <w:jc w:val="both"/>
        <w:rPr>
          <w:sz w:val="24"/>
          <w:szCs w:val="24"/>
        </w:rPr>
      </w:pPr>
      <w:r>
        <w:rPr>
          <w:color w:val="000000"/>
          <w:sz w:val="24"/>
          <w:szCs w:val="24"/>
        </w:rPr>
        <w:t>12.6.2 nos casos em que houver necessidade de ressarcimento de prejuízos causados à Administração, nos termos do inciso IV do art. 139 da Lei nº 14.133/2021, reter os eventuais créditos existentes</w:t>
      </w:r>
      <w:r>
        <w:rPr>
          <w:sz w:val="24"/>
          <w:szCs w:val="24"/>
        </w:rPr>
        <w:t xml:space="preserve"> em favor do </w:t>
      </w:r>
      <w:r>
        <w:rPr>
          <w:b/>
          <w:bCs/>
          <w:sz w:val="24"/>
          <w:szCs w:val="24"/>
        </w:rPr>
        <w:t>C</w:t>
      </w:r>
      <w:r>
        <w:rPr>
          <w:b/>
          <w:bCs/>
          <w:color w:val="000000"/>
          <w:sz w:val="24"/>
          <w:szCs w:val="24"/>
        </w:rPr>
        <w:t>ONTRATADO</w:t>
      </w:r>
      <w:r>
        <w:rPr>
          <w:sz w:val="24"/>
          <w:szCs w:val="24"/>
        </w:rPr>
        <w:t xml:space="preserve"> decorrentes do Contrato.</w:t>
      </w:r>
    </w:p>
    <w:p w14:paraId="1CB8DF0E">
      <w:pPr>
        <w:spacing w:before="120" w:after="120" w:line="288" w:lineRule="auto"/>
        <w:contextualSpacing/>
        <w:jc w:val="both"/>
        <w:rPr>
          <w:sz w:val="24"/>
          <w:szCs w:val="24"/>
        </w:rPr>
      </w:pPr>
    </w:p>
    <w:p w14:paraId="7B51E61D">
      <w:pPr>
        <w:pStyle w:val="101"/>
        <w:spacing w:before="0" w:line="288" w:lineRule="auto"/>
        <w:ind w:left="22"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TERCEIRA – ALTERAÇÕES</w:t>
      </w:r>
    </w:p>
    <w:p w14:paraId="0FF5D20F">
      <w:pPr>
        <w:pStyle w:val="99"/>
        <w:spacing w:before="0" w:after="0" w:line="288" w:lineRule="auto"/>
        <w:ind w:left="22" w:firstLine="0"/>
        <w:contextualSpacing/>
        <w:rPr>
          <w:rFonts w:ascii="Times New Roman" w:hAnsi="Times New Roman" w:cs="Times New Roman"/>
          <w:sz w:val="24"/>
          <w:szCs w:val="24"/>
        </w:rPr>
      </w:pPr>
    </w:p>
    <w:p w14:paraId="64885619">
      <w:pPr>
        <w:pStyle w:val="99"/>
        <w:spacing w:before="0" w:after="0" w:line="288" w:lineRule="auto"/>
        <w:ind w:left="22" w:firstLine="0"/>
        <w:contextualSpacing/>
        <w:rPr>
          <w:rFonts w:ascii="Times New Roman" w:hAnsi="Times New Roman" w:cs="Times New Roman"/>
          <w:color w:val="auto"/>
          <w:sz w:val="24"/>
          <w:szCs w:val="24"/>
        </w:rPr>
      </w:pPr>
      <w:r>
        <w:rPr>
          <w:rFonts w:ascii="Times New Roman" w:hAnsi="Times New Roman" w:cs="Times New Roman"/>
          <w:sz w:val="24"/>
          <w:szCs w:val="24"/>
        </w:rPr>
        <w:t xml:space="preserve">13.1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arts. 124 e seguintes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5D5BF651">
      <w:pPr>
        <w:spacing w:line="288" w:lineRule="auto"/>
        <w:contextualSpacing/>
        <w:jc w:val="both"/>
        <w:rPr>
          <w:sz w:val="24"/>
          <w:szCs w:val="24"/>
        </w:rPr>
      </w:pPr>
    </w:p>
    <w:p w14:paraId="2C055738">
      <w:pPr>
        <w:spacing w:line="288" w:lineRule="auto"/>
        <w:contextualSpacing/>
        <w:jc w:val="both"/>
        <w:rPr>
          <w:sz w:val="24"/>
          <w:szCs w:val="24"/>
        </w:rPr>
      </w:pPr>
      <w:r>
        <w:rPr>
          <w:sz w:val="24"/>
          <w:szCs w:val="24"/>
        </w:rPr>
        <w:t xml:space="preserve">13.2 O </w:t>
      </w:r>
      <w:r>
        <w:rPr>
          <w:b/>
          <w:bCs/>
          <w:sz w:val="24"/>
          <w:szCs w:val="24"/>
        </w:rPr>
        <w:t>CONTRATADO</w:t>
      </w:r>
      <w:r>
        <w:rPr>
          <w:sz w:val="24"/>
          <w:szCs w:val="24"/>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63EFD85B">
      <w:pPr>
        <w:spacing w:line="288" w:lineRule="auto"/>
        <w:contextualSpacing/>
        <w:jc w:val="both"/>
        <w:rPr>
          <w:sz w:val="24"/>
          <w:szCs w:val="24"/>
        </w:rPr>
      </w:pPr>
    </w:p>
    <w:p w14:paraId="034C132C">
      <w:pPr>
        <w:spacing w:line="288" w:lineRule="auto"/>
        <w:contextualSpacing/>
        <w:jc w:val="both"/>
        <w:rPr>
          <w:b/>
          <w:bCs/>
          <w:sz w:val="24"/>
          <w:szCs w:val="24"/>
        </w:rPr>
      </w:pPr>
      <w:r>
        <w:rPr>
          <w:sz w:val="24"/>
          <w:szCs w:val="24"/>
        </w:rPr>
        <w:t xml:space="preserve">13.3 As alterações contratuais deverão ser promovidas mediante celebração de termo aditivo, submetido à prévia aprovação da assessoria jurídica do </w:t>
      </w:r>
      <w:r>
        <w:rPr>
          <w:b/>
          <w:bCs/>
          <w:sz w:val="24"/>
          <w:szCs w:val="24"/>
        </w:rPr>
        <w:t>CONTRATANTE</w:t>
      </w:r>
      <w:r>
        <w:rPr>
          <w:sz w:val="24"/>
          <w:szCs w:val="24"/>
        </w:rPr>
        <w:t>.</w:t>
      </w:r>
    </w:p>
    <w:p w14:paraId="188838FB">
      <w:pPr>
        <w:pStyle w:val="101"/>
        <w:spacing w:before="0" w:line="288" w:lineRule="auto"/>
        <w:ind w:left="0" w:firstLine="0"/>
        <w:contextualSpacing/>
        <w:rPr>
          <w:rFonts w:ascii="Times New Roman" w:hAnsi="Times New Roman" w:cs="Times New Roman"/>
          <w:b w:val="0"/>
          <w:bCs w:val="0"/>
          <w:sz w:val="24"/>
          <w:szCs w:val="24"/>
        </w:rPr>
      </w:pPr>
    </w:p>
    <w:p w14:paraId="3CFEBF4A">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13.4</w:t>
      </w:r>
      <w:r>
        <w:rPr>
          <w:rFonts w:ascii="Times New Roman" w:hAnsi="Times New Roman" w:cs="Times New Roman"/>
          <w:sz w:val="24"/>
          <w:szCs w:val="24"/>
        </w:rPr>
        <w:t xml:space="preserve"> </w:t>
      </w:r>
      <w:r>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 \l "art136" </w:instrText>
      </w:r>
      <w:r>
        <w:fldChar w:fldCharType="separate"/>
      </w:r>
      <w:r>
        <w:rPr>
          <w:rStyle w:val="16"/>
          <w:rFonts w:ascii="Times New Roman" w:hAnsi="Times New Roman" w:cs="Times New Roman" w:eastAsiaTheme="minorHAnsi"/>
          <w:b w:val="0"/>
          <w:bCs w:val="0"/>
          <w:sz w:val="24"/>
          <w:szCs w:val="24"/>
        </w:rPr>
        <w:t>art. 136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13FD5D04">
      <w:pPr>
        <w:spacing w:line="288" w:lineRule="auto"/>
        <w:contextualSpacing/>
        <w:rPr>
          <w:sz w:val="24"/>
          <w:szCs w:val="24"/>
        </w:rPr>
      </w:pPr>
    </w:p>
    <w:p w14:paraId="79E621D7">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QUARTA – DOTAÇÃO ORÇAMENTÁRIA </w:t>
      </w:r>
    </w:p>
    <w:p w14:paraId="0CAD2893">
      <w:pPr>
        <w:spacing w:line="288" w:lineRule="auto"/>
        <w:contextualSpacing/>
        <w:rPr>
          <w:sz w:val="24"/>
          <w:szCs w:val="24"/>
        </w:rPr>
      </w:pPr>
    </w:p>
    <w:p w14:paraId="69FA3F6E">
      <w:pPr>
        <w:pStyle w:val="99"/>
        <w:spacing w:before="0" w:after="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14.1 As despesas com a execução do presente Contrato contratação correrão à conta das seguintes dotações orçamentárias, para o corrente exercício de </w:t>
      </w:r>
      <w:r>
        <w:rPr>
          <w:rFonts w:ascii="Times New Roman" w:hAnsi="Times New Roman" w:cs="Times New Roman"/>
          <w:color w:val="FF0000"/>
          <w:sz w:val="24"/>
          <w:szCs w:val="24"/>
        </w:rPr>
        <w:t>.........</w:t>
      </w:r>
      <w:r>
        <w:rPr>
          <w:rFonts w:ascii="Times New Roman" w:hAnsi="Times New Roman" w:cs="Times New Roman"/>
          <w:sz w:val="24"/>
          <w:szCs w:val="24"/>
        </w:rPr>
        <w:t>, assim classificadas:</w:t>
      </w:r>
    </w:p>
    <w:p w14:paraId="4060495C">
      <w:pPr>
        <w:pStyle w:val="20"/>
        <w:spacing w:line="288" w:lineRule="auto"/>
        <w:contextualSpacing/>
        <w:jc w:val="both"/>
        <w:rPr>
          <w:rFonts w:ascii="Times New Roman" w:hAnsi="Times New Roman" w:cs="Times New Roman"/>
        </w:rPr>
      </w:pPr>
      <w:r>
        <w:rPr>
          <w:rFonts w:ascii="Times New Roman" w:hAnsi="Times New Roman" w:cs="Times New Roman"/>
        </w:rPr>
        <w:t>Natureza da Despesa:</w:t>
      </w:r>
    </w:p>
    <w:p w14:paraId="48EB2590">
      <w:pPr>
        <w:pStyle w:val="20"/>
        <w:spacing w:line="288" w:lineRule="auto"/>
        <w:contextualSpacing/>
        <w:jc w:val="both"/>
        <w:rPr>
          <w:rFonts w:ascii="Times New Roman" w:hAnsi="Times New Roman" w:cs="Times New Roman"/>
        </w:rPr>
      </w:pPr>
      <w:r>
        <w:rPr>
          <w:rFonts w:ascii="Times New Roman" w:hAnsi="Times New Roman" w:cs="Times New Roman"/>
        </w:rPr>
        <w:t>Fonte de Recurso:</w:t>
      </w:r>
    </w:p>
    <w:p w14:paraId="000CE8AC">
      <w:pPr>
        <w:pStyle w:val="20"/>
        <w:spacing w:line="288" w:lineRule="auto"/>
        <w:contextualSpacing/>
        <w:jc w:val="both"/>
        <w:rPr>
          <w:rFonts w:ascii="Times New Roman" w:hAnsi="Times New Roman" w:cs="Times New Roman"/>
        </w:rPr>
      </w:pPr>
      <w:r>
        <w:rPr>
          <w:rFonts w:ascii="Times New Roman" w:hAnsi="Times New Roman" w:cs="Times New Roman"/>
        </w:rPr>
        <w:t>Programa de Trabalho:</w:t>
      </w:r>
    </w:p>
    <w:p w14:paraId="0A46BC6B">
      <w:pPr>
        <w:pStyle w:val="20"/>
        <w:spacing w:line="288" w:lineRule="auto"/>
        <w:contextualSpacing/>
        <w:jc w:val="both"/>
        <w:rPr>
          <w:rFonts w:ascii="Times New Roman" w:hAnsi="Times New Roman" w:cs="Times New Roman"/>
        </w:rPr>
      </w:pPr>
      <w:r>
        <w:rPr>
          <w:rFonts w:ascii="Times New Roman" w:hAnsi="Times New Roman" w:cs="Times New Roman"/>
        </w:rPr>
        <w:t>Nota de Empenho:</w:t>
      </w:r>
    </w:p>
    <w:p w14:paraId="56B7159C">
      <w:pPr>
        <w:pStyle w:val="20"/>
        <w:spacing w:line="288" w:lineRule="auto"/>
        <w:contextualSpacing/>
        <w:jc w:val="both"/>
        <w:rPr>
          <w:rFonts w:ascii="Times New Roman" w:hAnsi="Times New Roman" w:cs="Times New Roman"/>
        </w:rPr>
      </w:pPr>
    </w:p>
    <w:p w14:paraId="48C4E6C5">
      <w:pPr>
        <w:pStyle w:val="20"/>
        <w:spacing w:line="288" w:lineRule="auto"/>
        <w:contextualSpacing/>
        <w:jc w:val="both"/>
        <w:rPr>
          <w:rFonts w:ascii="Times New Roman" w:hAnsi="Times New Roman" w:cs="Times New Roman"/>
        </w:rPr>
      </w:pPr>
      <w:r>
        <w:rPr>
          <w:rFonts w:ascii="Times New Roman" w:hAnsi="Times New Roman" w:cs="Times New Roman"/>
        </w:rPr>
        <w:t xml:space="preserve">14.2 As despesas relativas aos exercícios subsequentes correrão por conta das dotações orçamentárias respectivas, devendo ser empenhadas no início de cada exercício. </w:t>
      </w:r>
    </w:p>
    <w:p w14:paraId="44D5E6D0">
      <w:pPr>
        <w:pStyle w:val="20"/>
        <w:spacing w:line="288" w:lineRule="auto"/>
        <w:contextualSpacing/>
        <w:jc w:val="both"/>
        <w:rPr>
          <w:rFonts w:ascii="Times New Roman" w:hAnsi="Times New Roman" w:cs="Times New Roman"/>
        </w:rPr>
      </w:pPr>
    </w:p>
    <w:p w14:paraId="5D048BD5">
      <w:pPr>
        <w:pStyle w:val="20"/>
        <w:spacing w:line="288" w:lineRule="auto"/>
        <w:contextualSpacing/>
        <w:jc w:val="both"/>
        <w:rPr>
          <w:rFonts w:ascii="Times New Roman" w:hAnsi="Times New Roman" w:cs="Times New Roman"/>
        </w:rPr>
      </w:pPr>
      <w:r>
        <w:rPr>
          <w:rFonts w:ascii="Times New Roman" w:hAnsi="Times New Roman" w:cs="Times New Roman"/>
        </w:rPr>
        <w:t>14.3 No início da contratação e de cada exercício deverá ser atestada a existência de créditos orçamentários vinculados à contratação e, no caso de fornecimento contínuo, a vantagem em sua manutenção, na forma dos arts. 105 e 106 da Lei nº 14.133/2021.</w:t>
      </w:r>
    </w:p>
    <w:p w14:paraId="12755528">
      <w:pPr>
        <w:pStyle w:val="20"/>
        <w:spacing w:line="288" w:lineRule="auto"/>
        <w:contextualSpacing/>
        <w:jc w:val="both"/>
        <w:rPr>
          <w:rFonts w:ascii="Times New Roman" w:hAnsi="Times New Roman" w:cs="Times New Roman"/>
        </w:rPr>
      </w:pPr>
    </w:p>
    <w:p w14:paraId="3A508CCA">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QUINTA – DOS CASOS OMISSOS </w:t>
      </w:r>
    </w:p>
    <w:p w14:paraId="3F35F022">
      <w:pPr>
        <w:spacing w:line="288" w:lineRule="auto"/>
        <w:contextualSpacing/>
        <w:rPr>
          <w:sz w:val="24"/>
          <w:szCs w:val="24"/>
        </w:rPr>
      </w:pPr>
    </w:p>
    <w:p w14:paraId="134A1E86">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 Os casos omissos serão decididos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segundo as disposições contidas na Lei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demais normas federais e estaduais aplicáveis e, subsidiariamente, segundo as disposições contidas na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 – Código de Defesa do Consumidor</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e normas e princípios gerais dos contratos.</w:t>
      </w:r>
    </w:p>
    <w:p w14:paraId="1D81A9D0">
      <w:pPr>
        <w:pStyle w:val="20"/>
        <w:spacing w:line="288" w:lineRule="auto"/>
        <w:contextualSpacing/>
        <w:jc w:val="both"/>
        <w:rPr>
          <w:rFonts w:ascii="Times New Roman" w:hAnsi="Times New Roman" w:cs="Times New Roman"/>
        </w:rPr>
      </w:pPr>
    </w:p>
    <w:p w14:paraId="125C4DB5">
      <w:pPr>
        <w:pStyle w:val="101"/>
        <w:spacing w:before="0" w:line="288" w:lineRule="auto"/>
        <w:ind w:left="36"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SEXTA – PUBLICAÇÃO E CONTROLE DO CONTRATO</w:t>
      </w:r>
    </w:p>
    <w:p w14:paraId="7A1DD49E">
      <w:pPr>
        <w:pStyle w:val="99"/>
        <w:spacing w:before="0" w:after="0" w:line="288" w:lineRule="auto"/>
        <w:ind w:left="36" w:firstLine="0"/>
        <w:contextualSpacing/>
        <w:rPr>
          <w:rFonts w:ascii="Times New Roman" w:hAnsi="Times New Roman" w:cs="Times New Roman"/>
          <w:color w:val="auto"/>
          <w:sz w:val="24"/>
          <w:szCs w:val="24"/>
        </w:rPr>
      </w:pPr>
    </w:p>
    <w:p w14:paraId="6572B69E">
      <w:pPr>
        <w:pStyle w:val="99"/>
        <w:spacing w:before="0" w:after="0" w:line="288" w:lineRule="auto"/>
        <w:ind w:left="36"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16.1 Incumbirá ao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6"/>
          <w:rFonts w:ascii="Times New Roman" w:hAnsi="Times New Roman" w:cs="Times New Roman" w:eastAsiaTheme="minorHAnsi"/>
          <w:color w:val="auto"/>
          <w:sz w:val="24"/>
          <w:szCs w:val="24"/>
        </w:rPr>
        <w:t>art. 94 da Lei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bem como no respectivo sítio oficial na Internet, em atenção ao </w:t>
      </w:r>
      <w:r>
        <w:fldChar w:fldCharType="begin"/>
      </w:r>
      <w:r>
        <w:instrText xml:space="preserve"> HYPERLINK "https://www.planalto.gov.br/ccivil_03/_ato2011-2014/2011/lei/l12527.htm" \l "art8§2" </w:instrText>
      </w:r>
      <w:r>
        <w:fldChar w:fldCharType="separate"/>
      </w:r>
      <w:r>
        <w:rPr>
          <w:rStyle w:val="16"/>
          <w:rFonts w:ascii="Times New Roman" w:hAnsi="Times New Roman" w:cs="Times New Roman" w:eastAsiaTheme="minorHAnsi"/>
          <w:color w:val="auto"/>
          <w:sz w:val="24"/>
          <w:szCs w:val="24"/>
        </w:rPr>
        <w:t>art. 8º, §2º, da Lei nº 12.527/2011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e publicar extrato da contratação no Boletim Oficial do Município.</w:t>
      </w:r>
    </w:p>
    <w:p w14:paraId="7CD4CA19">
      <w:pPr>
        <w:spacing w:line="288" w:lineRule="auto"/>
        <w:contextualSpacing/>
        <w:jc w:val="both"/>
        <w:rPr>
          <w:sz w:val="24"/>
          <w:szCs w:val="24"/>
        </w:rPr>
      </w:pPr>
    </w:p>
    <w:p w14:paraId="0A5A2735">
      <w:pPr>
        <w:spacing w:line="288" w:lineRule="auto"/>
        <w:contextualSpacing/>
        <w:jc w:val="both"/>
        <w:rPr>
          <w:sz w:val="24"/>
          <w:szCs w:val="24"/>
        </w:rPr>
      </w:pPr>
      <w:r>
        <w:rPr>
          <w:sz w:val="24"/>
          <w:szCs w:val="24"/>
        </w:rPr>
        <w:t>16.1.1 A divulgação do Contrato e de seus aditamentos no Portal Nacional de Contratações Públicas – PNCP, condição indispensável para sua eficácia, deverá ocorrer nos prazos estipulados pelo art. 94 da Lei nº 14.133/2021.</w:t>
      </w:r>
    </w:p>
    <w:p w14:paraId="3F9ED520">
      <w:pPr>
        <w:spacing w:line="288" w:lineRule="auto"/>
        <w:contextualSpacing/>
        <w:jc w:val="both"/>
        <w:rPr>
          <w:sz w:val="24"/>
          <w:szCs w:val="24"/>
        </w:rPr>
      </w:pPr>
    </w:p>
    <w:p w14:paraId="4B63014B">
      <w:pPr>
        <w:spacing w:line="288" w:lineRule="auto"/>
        <w:contextualSpacing/>
        <w:jc w:val="both"/>
        <w:rPr>
          <w:sz w:val="24"/>
          <w:szCs w:val="24"/>
        </w:rPr>
      </w:pPr>
      <w:r>
        <w:rPr>
          <w:sz w:val="24"/>
          <w:szCs w:val="24"/>
        </w:rPr>
        <w:t xml:space="preserve">16.2 O </w:t>
      </w:r>
      <w:r>
        <w:rPr>
          <w:b/>
          <w:bCs/>
          <w:sz w:val="24"/>
          <w:szCs w:val="24"/>
        </w:rPr>
        <w:t>CONTRATANTE</w:t>
      </w:r>
      <w:r>
        <w:rPr>
          <w:sz w:val="24"/>
          <w:szCs w:val="24"/>
        </w:rPr>
        <w:t xml:space="preserve"> deverá adotar as providências necessárias para dar conhecimento da contratação, junto ao Tribunal de Contas do Estado.</w:t>
      </w:r>
    </w:p>
    <w:p w14:paraId="30357DD4">
      <w:pPr>
        <w:pStyle w:val="99"/>
        <w:spacing w:before="0" w:after="0" w:line="288" w:lineRule="auto"/>
        <w:ind w:left="36" w:firstLine="0"/>
        <w:contextualSpacing/>
        <w:rPr>
          <w:rFonts w:ascii="Times New Roman" w:hAnsi="Times New Roman" w:cs="Times New Roman"/>
          <w:color w:val="auto"/>
          <w:sz w:val="24"/>
          <w:szCs w:val="24"/>
        </w:rPr>
      </w:pPr>
    </w:p>
    <w:p w14:paraId="0F28F0DB">
      <w:pPr>
        <w:pStyle w:val="101"/>
        <w:spacing w:before="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SÉTIMA – FORO </w:t>
      </w:r>
    </w:p>
    <w:p w14:paraId="30ACB5EF">
      <w:pPr>
        <w:spacing w:line="288" w:lineRule="auto"/>
        <w:contextualSpacing/>
        <w:rPr>
          <w:sz w:val="24"/>
          <w:szCs w:val="24"/>
        </w:rPr>
      </w:pPr>
    </w:p>
    <w:p w14:paraId="6CCC6A63">
      <w:pPr>
        <w:spacing w:line="288" w:lineRule="auto"/>
        <w:contextualSpacing/>
        <w:jc w:val="both"/>
        <w:rPr>
          <w:sz w:val="24"/>
          <w:szCs w:val="24"/>
        </w:rPr>
      </w:pPr>
      <w:r>
        <w:rPr>
          <w:sz w:val="24"/>
          <w:szCs w:val="24"/>
        </w:rPr>
        <w:t xml:space="preserve">17.1 Fica eleito o Foro da Cidade de Valença RJ, para dirimir qualquer litígio decorrente do presente Contrato que não possa ser resolvido por meio amigável, com expressa renúncia a qualquer outro, por mais privilegiado que seja. </w:t>
      </w:r>
    </w:p>
    <w:p w14:paraId="791A4CA0">
      <w:pPr>
        <w:spacing w:line="288" w:lineRule="auto"/>
        <w:contextualSpacing/>
        <w:jc w:val="both"/>
        <w:rPr>
          <w:sz w:val="24"/>
          <w:szCs w:val="24"/>
        </w:rPr>
      </w:pPr>
    </w:p>
    <w:p w14:paraId="00FA8F4A">
      <w:pPr>
        <w:spacing w:line="288" w:lineRule="auto"/>
        <w:contextualSpacing/>
        <w:jc w:val="both"/>
        <w:rPr>
          <w:sz w:val="24"/>
          <w:szCs w:val="24"/>
        </w:rPr>
      </w:pPr>
      <w:r>
        <w:rPr>
          <w:sz w:val="24"/>
          <w:szCs w:val="24"/>
        </w:rPr>
        <w:t>E, por estarem assim acordes em todas as condições e cláusulas estabelecidas neste Contrato, firmam as partes o presente instrumento, depois de achado conforme, em presença das testemunhas abaixo firmadas.</w:t>
      </w:r>
    </w:p>
    <w:p w14:paraId="2757B26C">
      <w:pPr>
        <w:pStyle w:val="99"/>
        <w:spacing w:before="0" w:after="0" w:line="288" w:lineRule="auto"/>
        <w:ind w:left="0" w:firstLine="567"/>
        <w:contextualSpacing/>
        <w:rPr>
          <w:rFonts w:ascii="Times New Roman" w:hAnsi="Times New Roman" w:cs="Times New Roman"/>
          <w:i/>
          <w:iCs/>
          <w:color w:val="FF0000"/>
          <w:sz w:val="24"/>
          <w:szCs w:val="24"/>
        </w:rPr>
      </w:pPr>
    </w:p>
    <w:p w14:paraId="6A6496F9">
      <w:pPr>
        <w:pStyle w:val="99"/>
        <w:spacing w:before="0" w:after="0" w:line="288" w:lineRule="auto"/>
        <w:ind w:left="0" w:firstLine="567"/>
        <w:contextualSpacing/>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Valença, xx de xxxxxxxxx de 2026.</w:t>
      </w:r>
    </w:p>
    <w:p w14:paraId="3000CD93">
      <w:pPr>
        <w:spacing w:line="288" w:lineRule="auto"/>
        <w:ind w:firstLine="567"/>
        <w:contextualSpacing/>
        <w:jc w:val="center"/>
        <w:rPr>
          <w:bCs/>
          <w:sz w:val="24"/>
          <w:szCs w:val="24"/>
        </w:rPr>
      </w:pPr>
    </w:p>
    <w:p w14:paraId="29DB4CFB">
      <w:pPr>
        <w:spacing w:line="288" w:lineRule="auto"/>
        <w:ind w:firstLine="567"/>
        <w:contextualSpacing/>
        <w:jc w:val="center"/>
        <w:rPr>
          <w:bCs/>
          <w:sz w:val="24"/>
          <w:szCs w:val="24"/>
        </w:rPr>
      </w:pPr>
      <w:r>
        <w:rPr>
          <w:bCs/>
          <w:sz w:val="24"/>
          <w:szCs w:val="24"/>
        </w:rPr>
        <w:t xml:space="preserve"> </w:t>
      </w:r>
    </w:p>
    <w:p w14:paraId="5D250516">
      <w:pPr>
        <w:spacing w:line="288" w:lineRule="auto"/>
        <w:ind w:firstLine="567"/>
        <w:contextualSpacing/>
        <w:jc w:val="center"/>
        <w:rPr>
          <w:bCs/>
          <w:sz w:val="24"/>
          <w:szCs w:val="24"/>
        </w:rPr>
      </w:pPr>
      <w:r>
        <w:rPr>
          <w:bCs/>
          <w:sz w:val="24"/>
          <w:szCs w:val="24"/>
        </w:rPr>
        <w:t>_________________________</w:t>
      </w:r>
    </w:p>
    <w:p w14:paraId="7040F6E7">
      <w:pPr>
        <w:spacing w:line="288" w:lineRule="auto"/>
        <w:ind w:firstLine="567"/>
        <w:contextualSpacing/>
        <w:jc w:val="center"/>
        <w:rPr>
          <w:sz w:val="24"/>
          <w:szCs w:val="24"/>
        </w:rPr>
      </w:pPr>
      <w:r>
        <w:rPr>
          <w:sz w:val="24"/>
          <w:szCs w:val="24"/>
        </w:rPr>
        <w:t>Rafael de Oliveira Tavares</w:t>
      </w:r>
    </w:p>
    <w:p w14:paraId="074CFAED">
      <w:pPr>
        <w:spacing w:line="288" w:lineRule="auto"/>
        <w:ind w:firstLine="567"/>
        <w:contextualSpacing/>
        <w:jc w:val="center"/>
        <w:rPr>
          <w:bCs/>
          <w:sz w:val="24"/>
          <w:szCs w:val="24"/>
        </w:rPr>
      </w:pPr>
      <w:r>
        <w:rPr>
          <w:sz w:val="24"/>
          <w:szCs w:val="24"/>
        </w:rPr>
        <w:t>Secretário Municipal de Saúde</w:t>
      </w:r>
    </w:p>
    <w:p w14:paraId="2F430514">
      <w:pPr>
        <w:spacing w:line="288" w:lineRule="auto"/>
        <w:ind w:firstLine="567"/>
        <w:contextualSpacing/>
        <w:jc w:val="center"/>
        <w:rPr>
          <w:bCs/>
          <w:sz w:val="24"/>
          <w:szCs w:val="24"/>
        </w:rPr>
      </w:pPr>
      <w:r>
        <w:rPr>
          <w:bCs/>
          <w:sz w:val="24"/>
          <w:szCs w:val="24"/>
        </w:rPr>
        <w:t>MUNICÍPIO DE VALENÇA</w:t>
      </w:r>
    </w:p>
    <w:p w14:paraId="3926A5D6">
      <w:pPr>
        <w:spacing w:line="288" w:lineRule="auto"/>
        <w:ind w:firstLine="567"/>
        <w:contextualSpacing/>
        <w:jc w:val="center"/>
        <w:rPr>
          <w:bCs/>
          <w:sz w:val="24"/>
          <w:szCs w:val="24"/>
        </w:rPr>
      </w:pPr>
    </w:p>
    <w:p w14:paraId="1AB4C6DB">
      <w:pPr>
        <w:spacing w:line="288" w:lineRule="auto"/>
        <w:ind w:firstLine="567"/>
        <w:contextualSpacing/>
        <w:jc w:val="center"/>
        <w:rPr>
          <w:bCs/>
          <w:sz w:val="24"/>
          <w:szCs w:val="24"/>
        </w:rPr>
      </w:pPr>
    </w:p>
    <w:p w14:paraId="243D774F">
      <w:pPr>
        <w:spacing w:line="288" w:lineRule="auto"/>
        <w:ind w:firstLine="567"/>
        <w:contextualSpacing/>
        <w:jc w:val="center"/>
        <w:rPr>
          <w:sz w:val="24"/>
          <w:szCs w:val="24"/>
        </w:rPr>
      </w:pPr>
      <w:r>
        <w:rPr>
          <w:sz w:val="24"/>
          <w:szCs w:val="24"/>
        </w:rPr>
        <w:t>_________________________</w:t>
      </w:r>
    </w:p>
    <w:p w14:paraId="6516CA91">
      <w:pPr>
        <w:spacing w:line="288" w:lineRule="auto"/>
        <w:ind w:firstLine="567"/>
        <w:contextualSpacing/>
        <w:jc w:val="center"/>
        <w:rPr>
          <w:sz w:val="24"/>
          <w:szCs w:val="24"/>
        </w:rPr>
      </w:pPr>
      <w:r>
        <w:rPr>
          <w:bCs/>
          <w:sz w:val="24"/>
          <w:szCs w:val="24"/>
        </w:rPr>
        <w:t>Representante</w:t>
      </w:r>
      <w:r>
        <w:rPr>
          <w:sz w:val="24"/>
          <w:szCs w:val="24"/>
        </w:rPr>
        <w:t xml:space="preserve"> legal do CONTRATADO</w:t>
      </w:r>
    </w:p>
    <w:p w14:paraId="366617B5">
      <w:pPr>
        <w:spacing w:line="288" w:lineRule="auto"/>
        <w:contextualSpacing/>
        <w:jc w:val="both"/>
        <w:rPr>
          <w:sz w:val="24"/>
          <w:szCs w:val="24"/>
        </w:rPr>
      </w:pPr>
      <w:r>
        <w:rPr>
          <w:sz w:val="24"/>
          <w:szCs w:val="24"/>
        </w:rPr>
        <w:t>TESTEMUNHAS:</w:t>
      </w:r>
    </w:p>
    <w:p w14:paraId="05A85E56">
      <w:pPr>
        <w:spacing w:line="288" w:lineRule="auto"/>
        <w:contextualSpacing/>
        <w:rPr>
          <w:sz w:val="24"/>
          <w:szCs w:val="24"/>
        </w:rPr>
      </w:pPr>
      <w:r>
        <w:rPr>
          <w:sz w:val="24"/>
          <w:szCs w:val="24"/>
        </w:rPr>
        <w:t>1-</w:t>
      </w:r>
    </w:p>
    <w:p w14:paraId="2737CC14">
      <w:pPr>
        <w:spacing w:line="288" w:lineRule="auto"/>
        <w:contextualSpacing/>
        <w:rPr>
          <w:sz w:val="24"/>
          <w:szCs w:val="24"/>
        </w:rPr>
      </w:pPr>
      <w:r>
        <w:rPr>
          <w:sz w:val="24"/>
          <w:szCs w:val="24"/>
        </w:rPr>
        <w:t xml:space="preserve">2- </w:t>
      </w:r>
    </w:p>
    <w:p w14:paraId="229CF602">
      <w:pPr>
        <w:spacing w:line="288" w:lineRule="auto"/>
        <w:contextualSpacing/>
        <w:rPr>
          <w:sz w:val="24"/>
          <w:szCs w:val="24"/>
        </w:rPr>
      </w:pPr>
    </w:p>
    <w:p w14:paraId="7A965CED">
      <w:pPr>
        <w:spacing w:line="288" w:lineRule="auto"/>
        <w:contextualSpacing/>
        <w:rPr>
          <w:sz w:val="24"/>
          <w:szCs w:val="24"/>
        </w:rPr>
      </w:pPr>
    </w:p>
    <w:p w14:paraId="73191FA3">
      <w:pPr>
        <w:spacing w:line="288" w:lineRule="auto"/>
        <w:contextualSpacing/>
        <w:rPr>
          <w:sz w:val="24"/>
          <w:szCs w:val="24"/>
        </w:rPr>
      </w:pPr>
    </w:p>
    <w:p w14:paraId="25DFA3D5">
      <w:pPr>
        <w:ind w:firstLine="142"/>
        <w:rPr>
          <w:sz w:val="24"/>
          <w:szCs w:val="24"/>
        </w:rPr>
      </w:pPr>
    </w:p>
    <w:p w14:paraId="0F9CE059">
      <w:pPr>
        <w:ind w:firstLine="142"/>
        <w:jc w:val="center"/>
        <w:rPr>
          <w:b/>
          <w:bCs/>
          <w:sz w:val="24"/>
          <w:szCs w:val="24"/>
          <w:u w:val="single"/>
        </w:rPr>
      </w:pPr>
      <w:r>
        <w:rPr>
          <w:b/>
          <w:bCs/>
          <w:sz w:val="24"/>
          <w:szCs w:val="24"/>
          <w:highlight w:val="yellow"/>
          <w:u w:val="single"/>
        </w:rPr>
        <w:t>ANEXO VIII</w:t>
      </w:r>
    </w:p>
    <w:p w14:paraId="7D5A5132">
      <w:pPr>
        <w:ind w:firstLine="142"/>
        <w:jc w:val="center"/>
        <w:rPr>
          <w:b/>
          <w:bCs/>
          <w:sz w:val="24"/>
          <w:szCs w:val="24"/>
        </w:rPr>
      </w:pPr>
    </w:p>
    <w:p w14:paraId="10577221">
      <w:pPr>
        <w:pStyle w:val="20"/>
        <w:spacing w:line="360" w:lineRule="auto"/>
        <w:ind w:right="-285" w:firstLine="142"/>
        <w:jc w:val="center"/>
        <w:rPr>
          <w:rFonts w:ascii="Times New Roman" w:hAnsi="Times New Roman" w:cs="Times New Roman"/>
          <w:b/>
        </w:rPr>
      </w:pPr>
      <w:r>
        <w:rPr>
          <w:rFonts w:ascii="Times New Roman" w:hAnsi="Times New Roman" w:cs="Times New Roman"/>
          <w:b/>
        </w:rPr>
        <w:t>DECLARAÇÃO DE RESPONSABILIZAÇÃO CIVIL E ADMINISTRATIVA</w:t>
      </w:r>
    </w:p>
    <w:p w14:paraId="05C20D85">
      <w:pPr>
        <w:pStyle w:val="20"/>
        <w:spacing w:line="360" w:lineRule="auto"/>
        <w:ind w:right="-285" w:firstLine="142"/>
        <w:jc w:val="center"/>
        <w:rPr>
          <w:rFonts w:ascii="Times New Roman" w:hAnsi="Times New Roman" w:cs="Times New Roman"/>
        </w:rPr>
      </w:pPr>
    </w:p>
    <w:p w14:paraId="008D5D45">
      <w:pPr>
        <w:pStyle w:val="20"/>
        <w:spacing w:line="360" w:lineRule="auto"/>
        <w:ind w:right="-285" w:firstLine="142"/>
        <w:jc w:val="both"/>
        <w:rPr>
          <w:rFonts w:ascii="Times New Roman" w:hAnsi="Times New Roman" w:cs="Times New Roman"/>
        </w:rPr>
      </w:pPr>
      <w:r>
        <w:rPr>
          <w:rFonts w:ascii="Times New Roman" w:hAnsi="Times New Roman" w:cs="Times New Roman"/>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14:paraId="4A3FCB26">
      <w:pPr>
        <w:pStyle w:val="20"/>
        <w:spacing w:line="360" w:lineRule="auto"/>
        <w:ind w:right="-285" w:firstLine="142"/>
        <w:jc w:val="center"/>
        <w:rPr>
          <w:rFonts w:ascii="Times New Roman" w:hAnsi="Times New Roman" w:cs="Times New Roman"/>
        </w:rPr>
      </w:pPr>
    </w:p>
    <w:p w14:paraId="0C615BA8">
      <w:pPr>
        <w:pStyle w:val="20"/>
        <w:spacing w:line="360" w:lineRule="auto"/>
        <w:ind w:right="-285" w:firstLine="142"/>
        <w:jc w:val="both"/>
        <w:rPr>
          <w:rFonts w:ascii="Times New Roman" w:hAnsi="Times New Roman" w:cs="Times New Roman"/>
        </w:rPr>
      </w:pPr>
      <w:r>
        <w:rPr>
          <w:rFonts w:ascii="Times New Roman" w:hAnsi="Times New Roman" w:cs="Times New Roman"/>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E05FBB9">
      <w:pPr>
        <w:pStyle w:val="20"/>
        <w:spacing w:line="360" w:lineRule="auto"/>
        <w:ind w:right="-285" w:firstLine="142"/>
        <w:jc w:val="center"/>
        <w:rPr>
          <w:rFonts w:ascii="Times New Roman" w:hAnsi="Times New Roman" w:cs="Times New Roman"/>
        </w:rPr>
      </w:pPr>
    </w:p>
    <w:p w14:paraId="1696AAD2">
      <w:pPr>
        <w:pStyle w:val="20"/>
        <w:spacing w:line="360" w:lineRule="auto"/>
        <w:ind w:right="-285" w:firstLine="142"/>
        <w:jc w:val="both"/>
        <w:rPr>
          <w:rFonts w:ascii="Times New Roman" w:hAnsi="Times New Roman" w:cs="Times New Roman"/>
        </w:rPr>
      </w:pPr>
      <w:r>
        <w:rPr>
          <w:rFonts w:ascii="Times New Roman" w:hAnsi="Times New Roman" w:cs="Times New Roman"/>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2D240020">
      <w:pPr>
        <w:pStyle w:val="20"/>
        <w:spacing w:line="360" w:lineRule="auto"/>
        <w:ind w:right="-285" w:firstLine="142"/>
        <w:jc w:val="center"/>
        <w:rPr>
          <w:rFonts w:ascii="Times New Roman" w:hAnsi="Times New Roman" w:cs="Times New Roman"/>
        </w:rPr>
      </w:pPr>
    </w:p>
    <w:p w14:paraId="59258A30">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103346FB">
      <w:pPr>
        <w:pStyle w:val="20"/>
        <w:spacing w:line="360" w:lineRule="auto"/>
        <w:ind w:right="-285" w:firstLine="142"/>
        <w:jc w:val="center"/>
        <w:rPr>
          <w:rFonts w:ascii="Times New Roman" w:hAnsi="Times New Roman" w:cs="Times New Roman"/>
        </w:rPr>
      </w:pPr>
    </w:p>
    <w:p w14:paraId="1A36C21C">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41C1651E">
      <w:pPr>
        <w:pStyle w:val="20"/>
        <w:ind w:right="-284" w:firstLine="142"/>
        <w:jc w:val="center"/>
        <w:rPr>
          <w:rFonts w:ascii="Times New Roman" w:hAnsi="Times New Roman" w:cs="Times New Roman"/>
        </w:rPr>
      </w:pPr>
      <w:r>
        <w:rPr>
          <w:rFonts w:ascii="Times New Roman" w:hAnsi="Times New Roman" w:cs="Times New Roman"/>
        </w:rPr>
        <w:t>AGENTE PÚBLICO</w:t>
      </w:r>
    </w:p>
    <w:p w14:paraId="33510B89">
      <w:pPr>
        <w:pStyle w:val="20"/>
        <w:ind w:right="-284" w:firstLine="142"/>
        <w:jc w:val="center"/>
        <w:rPr>
          <w:rFonts w:ascii="Times New Roman" w:hAnsi="Times New Roman" w:cs="Times New Roman"/>
        </w:rPr>
      </w:pPr>
      <w:r>
        <w:rPr>
          <w:rFonts w:ascii="Times New Roman" w:hAnsi="Times New Roman" w:cs="Times New Roman"/>
        </w:rPr>
        <w:t>(Nome, cargo, matrícula e lotação)</w:t>
      </w:r>
    </w:p>
    <w:p w14:paraId="4734663A">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4042A8A5">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584C9928">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3BC98F69">
      <w:pPr>
        <w:pStyle w:val="20"/>
        <w:spacing w:line="360" w:lineRule="auto"/>
        <w:ind w:firstLine="142"/>
        <w:jc w:val="center"/>
        <w:rPr>
          <w:rFonts w:ascii="Times New Roman" w:hAnsi="Times New Roman" w:cs="Times New Roman"/>
        </w:rPr>
      </w:pPr>
    </w:p>
    <w:p w14:paraId="3E8F8311">
      <w:pPr>
        <w:pStyle w:val="20"/>
        <w:spacing w:line="360" w:lineRule="auto"/>
        <w:ind w:right="-285" w:firstLine="142"/>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t>DECLARAÇÃO DE INEXISTÊNCIA DE NEPOTISMO</w:t>
      </w:r>
    </w:p>
    <w:p w14:paraId="22A3E770">
      <w:pPr>
        <w:pStyle w:val="20"/>
        <w:spacing w:line="360" w:lineRule="auto"/>
        <w:ind w:right="-285" w:firstLine="142"/>
        <w:jc w:val="center"/>
        <w:rPr>
          <w:rFonts w:ascii="Times New Roman" w:hAnsi="Times New Roman" w:cs="Times New Roman"/>
          <w:color w:val="000000" w:themeColor="text1"/>
          <w14:textFill>
            <w14:solidFill>
              <w14:schemeClr w14:val="tx1"/>
            </w14:solidFill>
          </w14:textFill>
        </w:rPr>
      </w:pPr>
    </w:p>
    <w:p w14:paraId="04F2796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6527088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14:paraId="257E1249">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09030B1">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66A8DCA7">
      <w:pPr>
        <w:pStyle w:val="20"/>
        <w:spacing w:line="360" w:lineRule="auto"/>
        <w:ind w:right="-285" w:firstLine="142"/>
        <w:jc w:val="center"/>
        <w:rPr>
          <w:rFonts w:ascii="Times New Roman" w:hAnsi="Times New Roman" w:cs="Times New Roman"/>
        </w:rPr>
      </w:pPr>
    </w:p>
    <w:p w14:paraId="7725D14D">
      <w:pPr>
        <w:pStyle w:val="20"/>
        <w:spacing w:line="360" w:lineRule="auto"/>
        <w:ind w:right="-285" w:firstLine="142"/>
        <w:jc w:val="center"/>
        <w:rPr>
          <w:rFonts w:ascii="Times New Roman" w:hAnsi="Times New Roman" w:cs="Times New Roman"/>
        </w:rPr>
      </w:pPr>
    </w:p>
    <w:p w14:paraId="00DB60A0">
      <w:pPr>
        <w:pStyle w:val="20"/>
        <w:spacing w:line="360" w:lineRule="auto"/>
        <w:ind w:right="-285" w:firstLine="142"/>
        <w:jc w:val="center"/>
        <w:rPr>
          <w:rFonts w:ascii="Times New Roman" w:hAnsi="Times New Roman" w:cs="Times New Roman"/>
        </w:rPr>
      </w:pPr>
    </w:p>
    <w:p w14:paraId="7B169218">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2BEF96DC">
      <w:pPr>
        <w:pStyle w:val="20"/>
        <w:ind w:right="-284" w:firstLine="142"/>
        <w:jc w:val="center"/>
        <w:rPr>
          <w:rFonts w:ascii="Times New Roman" w:hAnsi="Times New Roman" w:cs="Times New Roman"/>
        </w:rPr>
      </w:pPr>
      <w:r>
        <w:rPr>
          <w:rFonts w:ascii="Times New Roman" w:hAnsi="Times New Roman" w:cs="Times New Roman"/>
        </w:rPr>
        <w:t>CONTRATADA</w:t>
      </w:r>
    </w:p>
    <w:p w14:paraId="217B49C5">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11C9C7DC">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05050CBB">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2DC6123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22B49461">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04AD1805">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F7F35EE">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4E44DB8E">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42A7A63C">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34A128DC">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25A94A54">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6A953A27">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9E4C88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58ECCAA3">
      <w:pPr>
        <w:pStyle w:val="20"/>
        <w:spacing w:line="360" w:lineRule="auto"/>
        <w:ind w:firstLine="142"/>
        <w:jc w:val="both"/>
        <w:rPr>
          <w:rFonts w:ascii="Times New Roman" w:hAnsi="Times New Roman" w:cs="Times New Roman"/>
          <w:color w:val="000000" w:themeColor="text1"/>
          <w14:textFill>
            <w14:solidFill>
              <w14:schemeClr w14:val="tx1"/>
            </w14:solidFill>
          </w14:textFill>
        </w:rPr>
      </w:pPr>
    </w:p>
    <w:p w14:paraId="0F26BE09">
      <w:pPr>
        <w:pStyle w:val="20"/>
        <w:ind w:right="-284" w:firstLine="142"/>
        <w:jc w:val="center"/>
        <w:rPr>
          <w:rFonts w:ascii="Times New Roman" w:hAnsi="Times New Roman" w:cs="Times New Roman"/>
          <w:b/>
          <w:color w:val="000000"/>
        </w:rPr>
      </w:pPr>
    </w:p>
    <w:p w14:paraId="5C552B8C">
      <w:pPr>
        <w:pStyle w:val="20"/>
        <w:ind w:right="-284" w:firstLine="142"/>
        <w:jc w:val="center"/>
        <w:rPr>
          <w:rFonts w:ascii="Times New Roman" w:hAnsi="Times New Roman" w:eastAsia="Times New Roman" w:cs="Times New Roman"/>
          <w:b/>
        </w:rPr>
      </w:pPr>
      <w:r>
        <w:rPr>
          <w:rFonts w:ascii="Times New Roman" w:hAnsi="Times New Roman" w:cs="Times New Roman"/>
          <w:b/>
          <w:color w:val="000000"/>
        </w:rPr>
        <w:t xml:space="preserve">DECLARAÇÃO  REF. </w:t>
      </w:r>
      <w:r>
        <w:rPr>
          <w:rFonts w:ascii="Times New Roman" w:hAnsi="Times New Roman" w:eastAsia="Times New Roman" w:cs="Times New Roman"/>
          <w:b/>
        </w:rPr>
        <w:t>ARTIGO  9º, § 1º, DA LEI FEDERAL Nº 14.133/2021</w:t>
      </w:r>
    </w:p>
    <w:p w14:paraId="4A747040">
      <w:pPr>
        <w:spacing w:line="360" w:lineRule="auto"/>
        <w:ind w:right="-285" w:firstLine="142"/>
        <w:jc w:val="both"/>
        <w:rPr>
          <w:sz w:val="24"/>
          <w:szCs w:val="24"/>
        </w:rPr>
      </w:pPr>
    </w:p>
    <w:p w14:paraId="700331A5">
      <w:pPr>
        <w:spacing w:line="360" w:lineRule="auto"/>
        <w:ind w:right="-285" w:firstLine="142"/>
        <w:jc w:val="both"/>
        <w:rPr>
          <w:sz w:val="24"/>
          <w:szCs w:val="24"/>
        </w:rPr>
      </w:pPr>
      <w:r>
        <w:rPr>
          <w:sz w:val="24"/>
          <w:szCs w:val="24"/>
        </w:rPr>
        <w:t>(em papel timbrado da empresa)</w:t>
      </w:r>
    </w:p>
    <w:p w14:paraId="45948472">
      <w:pPr>
        <w:spacing w:line="360" w:lineRule="auto"/>
        <w:ind w:right="-285" w:firstLine="142"/>
        <w:jc w:val="both"/>
        <w:rPr>
          <w:sz w:val="24"/>
          <w:szCs w:val="24"/>
        </w:rPr>
      </w:pPr>
    </w:p>
    <w:p w14:paraId="6DA9ECD7">
      <w:pPr>
        <w:spacing w:line="360" w:lineRule="auto"/>
        <w:ind w:right="-285" w:firstLine="142"/>
        <w:jc w:val="both"/>
        <w:rPr>
          <w:sz w:val="24"/>
          <w:szCs w:val="24"/>
        </w:rPr>
      </w:pPr>
      <w:r>
        <w:rPr>
          <w:i/>
          <w:sz w:val="24"/>
          <w:szCs w:val="24"/>
        </w:rPr>
        <w:t>[denominação/razão social da sociedade empresarial]</w:t>
      </w:r>
    </w:p>
    <w:p w14:paraId="2AEFF5BC">
      <w:pPr>
        <w:tabs>
          <w:tab w:val="left" w:pos="5980"/>
        </w:tabs>
        <w:spacing w:line="360" w:lineRule="auto"/>
        <w:ind w:right="-285" w:firstLine="142"/>
        <w:jc w:val="both"/>
        <w:rPr>
          <w:sz w:val="24"/>
          <w:szCs w:val="24"/>
        </w:rPr>
      </w:pPr>
      <w:r>
        <w:rPr>
          <w:sz w:val="24"/>
          <w:szCs w:val="24"/>
        </w:rPr>
        <w:t>Cadastro Nacional de Pessoas Jurídicas – CNPJ n°____________.</w:t>
      </w:r>
    </w:p>
    <w:p w14:paraId="52B2EA10">
      <w:pPr>
        <w:spacing w:line="360" w:lineRule="auto"/>
        <w:ind w:right="-285" w:firstLine="142"/>
        <w:jc w:val="both"/>
        <w:rPr>
          <w:i/>
          <w:sz w:val="24"/>
          <w:szCs w:val="24"/>
        </w:rPr>
      </w:pPr>
      <w:r>
        <w:rPr>
          <w:i/>
          <w:sz w:val="24"/>
          <w:szCs w:val="24"/>
        </w:rPr>
        <w:t>[endereço da sociedade empresarial]</w:t>
      </w:r>
    </w:p>
    <w:p w14:paraId="34CA4D91">
      <w:pPr>
        <w:spacing w:line="360" w:lineRule="auto"/>
        <w:ind w:right="-285" w:firstLine="142"/>
        <w:jc w:val="both"/>
        <w:rPr>
          <w:sz w:val="24"/>
          <w:szCs w:val="24"/>
        </w:rPr>
      </w:pPr>
    </w:p>
    <w:p w14:paraId="500E80C7">
      <w:pPr>
        <w:spacing w:line="360" w:lineRule="auto"/>
        <w:ind w:right="-285" w:firstLine="142"/>
        <w:jc w:val="both"/>
        <w:rPr>
          <w:sz w:val="24"/>
          <w:szCs w:val="24"/>
        </w:rPr>
      </w:pPr>
      <w:r>
        <w:rPr>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576F289C">
      <w:pPr>
        <w:spacing w:line="360" w:lineRule="auto"/>
        <w:ind w:right="-285" w:firstLine="142"/>
        <w:jc w:val="both"/>
        <w:rPr>
          <w:sz w:val="24"/>
          <w:szCs w:val="24"/>
        </w:rPr>
      </w:pPr>
      <w:r>
        <w:rPr>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w:t>
      </w:r>
    </w:p>
    <w:p w14:paraId="5E75CC1A">
      <w:pPr>
        <w:spacing w:line="360" w:lineRule="auto"/>
        <w:ind w:right="-285" w:firstLine="142"/>
        <w:jc w:val="both"/>
        <w:rPr>
          <w:sz w:val="24"/>
          <w:szCs w:val="24"/>
        </w:rPr>
      </w:pPr>
      <w:r>
        <w:rPr>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6823DCB5">
      <w:pPr>
        <w:spacing w:line="360" w:lineRule="auto"/>
        <w:ind w:right="-285" w:firstLine="142"/>
        <w:jc w:val="center"/>
        <w:rPr>
          <w:sz w:val="24"/>
          <w:szCs w:val="24"/>
        </w:rPr>
      </w:pPr>
      <w:r>
        <w:rPr>
          <w:sz w:val="24"/>
          <w:szCs w:val="24"/>
        </w:rPr>
        <w:t>Valença, _____ de ___________________de _______.</w:t>
      </w:r>
    </w:p>
    <w:p w14:paraId="42D6EEBC">
      <w:pPr>
        <w:spacing w:line="360" w:lineRule="auto"/>
        <w:ind w:right="-285" w:firstLine="142"/>
        <w:jc w:val="center"/>
        <w:rPr>
          <w:sz w:val="24"/>
          <w:szCs w:val="24"/>
        </w:rPr>
      </w:pPr>
      <w:r>
        <w:rPr>
          <w:sz w:val="24"/>
          <w:szCs w:val="24"/>
        </w:rPr>
        <w:t>_____________________________________________________</w:t>
      </w:r>
    </w:p>
    <w:p w14:paraId="4A917A1D">
      <w:pPr>
        <w:pStyle w:val="20"/>
        <w:ind w:right="-284" w:firstLine="142"/>
        <w:jc w:val="center"/>
        <w:rPr>
          <w:rFonts w:ascii="Times New Roman" w:hAnsi="Times New Roman" w:cs="Times New Roman"/>
        </w:rPr>
      </w:pPr>
      <w:r>
        <w:rPr>
          <w:rFonts w:ascii="Times New Roman" w:hAnsi="Times New Roman" w:cs="Times New Roman"/>
        </w:rPr>
        <w:t>CONTRATADA</w:t>
      </w:r>
    </w:p>
    <w:p w14:paraId="4A067FE1">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7664B04E">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0FCC8AD0">
      <w:pPr>
        <w:pStyle w:val="20"/>
        <w:ind w:right="-284" w:firstLine="142"/>
        <w:jc w:val="center"/>
        <w:rPr>
          <w:rFonts w:ascii="Times New Roman" w:hAnsi="Times New Roman" w:cs="Times New Roman"/>
          <w:b/>
        </w:rPr>
      </w:pPr>
    </w:p>
    <w:p w14:paraId="34F60563">
      <w:pPr>
        <w:pStyle w:val="20"/>
        <w:ind w:right="-284" w:firstLine="142"/>
        <w:jc w:val="center"/>
        <w:rPr>
          <w:rFonts w:ascii="Times New Roman" w:hAnsi="Times New Roman" w:cs="Times New Roman"/>
          <w:b/>
        </w:rPr>
      </w:pPr>
    </w:p>
    <w:p w14:paraId="5D3966CD">
      <w:pPr>
        <w:pStyle w:val="20"/>
        <w:ind w:right="-284" w:firstLine="142"/>
        <w:jc w:val="center"/>
        <w:rPr>
          <w:rFonts w:ascii="Times New Roman" w:hAnsi="Times New Roman" w:cs="Times New Roman"/>
          <w:b/>
        </w:rPr>
      </w:pPr>
    </w:p>
    <w:p w14:paraId="7E29BD61">
      <w:pPr>
        <w:pStyle w:val="20"/>
        <w:ind w:right="-284" w:firstLine="142"/>
        <w:jc w:val="center"/>
        <w:rPr>
          <w:rFonts w:ascii="Times New Roman" w:hAnsi="Times New Roman" w:cs="Times New Roman"/>
          <w:b/>
        </w:rPr>
      </w:pPr>
    </w:p>
    <w:p w14:paraId="22533C8F">
      <w:pPr>
        <w:pStyle w:val="20"/>
        <w:ind w:right="-284" w:firstLine="142"/>
        <w:jc w:val="center"/>
        <w:rPr>
          <w:rFonts w:ascii="Times New Roman" w:hAnsi="Times New Roman" w:cs="Times New Roman"/>
          <w:b/>
        </w:rPr>
      </w:pPr>
    </w:p>
    <w:p w14:paraId="6E46F969">
      <w:pPr>
        <w:pStyle w:val="20"/>
        <w:ind w:right="-284" w:firstLine="142"/>
        <w:jc w:val="center"/>
        <w:rPr>
          <w:rFonts w:ascii="Times New Roman" w:hAnsi="Times New Roman" w:cs="Times New Roman"/>
          <w:b/>
        </w:rPr>
      </w:pPr>
    </w:p>
    <w:p w14:paraId="33DB2B94">
      <w:pPr>
        <w:pStyle w:val="20"/>
        <w:ind w:right="-284" w:firstLine="142"/>
        <w:jc w:val="center"/>
        <w:rPr>
          <w:rFonts w:ascii="Times New Roman" w:hAnsi="Times New Roman" w:cs="Times New Roman"/>
          <w:b/>
        </w:rPr>
      </w:pPr>
    </w:p>
    <w:p w14:paraId="7A239F1C">
      <w:pPr>
        <w:pStyle w:val="20"/>
        <w:ind w:right="-284" w:firstLine="142"/>
        <w:jc w:val="center"/>
        <w:rPr>
          <w:rFonts w:ascii="Times New Roman" w:hAnsi="Times New Roman" w:cs="Times New Roman"/>
          <w:b/>
        </w:rPr>
      </w:pPr>
    </w:p>
    <w:p w14:paraId="439BE6EA">
      <w:pPr>
        <w:pStyle w:val="20"/>
        <w:ind w:right="-284" w:firstLine="142"/>
        <w:jc w:val="center"/>
        <w:rPr>
          <w:rFonts w:ascii="Times New Roman" w:hAnsi="Times New Roman" w:cs="Times New Roman"/>
          <w:b/>
        </w:rPr>
      </w:pPr>
    </w:p>
    <w:p w14:paraId="4EF66EA8">
      <w:pPr>
        <w:pStyle w:val="20"/>
        <w:ind w:right="-284" w:firstLine="142"/>
        <w:jc w:val="center"/>
        <w:rPr>
          <w:rFonts w:ascii="Times New Roman" w:hAnsi="Times New Roman" w:cs="Times New Roman"/>
          <w:b/>
        </w:rPr>
      </w:pPr>
    </w:p>
    <w:p w14:paraId="5F000017">
      <w:pPr>
        <w:pStyle w:val="20"/>
        <w:ind w:right="-284" w:firstLine="142"/>
        <w:jc w:val="center"/>
        <w:rPr>
          <w:rFonts w:ascii="Times New Roman" w:hAnsi="Times New Roman" w:cs="Times New Roman"/>
          <w:b/>
        </w:rPr>
      </w:pPr>
    </w:p>
    <w:p w14:paraId="1E106320">
      <w:pPr>
        <w:pStyle w:val="20"/>
        <w:ind w:right="-284" w:firstLine="142"/>
        <w:jc w:val="center"/>
        <w:rPr>
          <w:rFonts w:ascii="Times New Roman" w:hAnsi="Times New Roman" w:cs="Times New Roman"/>
          <w:b/>
        </w:rPr>
      </w:pPr>
    </w:p>
    <w:p w14:paraId="75B78442">
      <w:pPr>
        <w:pStyle w:val="20"/>
        <w:ind w:right="-284" w:firstLine="142"/>
        <w:jc w:val="center"/>
        <w:rPr>
          <w:rFonts w:ascii="Times New Roman" w:hAnsi="Times New Roman" w:cs="Times New Roman"/>
          <w:b/>
        </w:rPr>
      </w:pPr>
    </w:p>
    <w:p w14:paraId="1C59DCAD">
      <w:pPr>
        <w:pStyle w:val="20"/>
        <w:ind w:right="-284" w:firstLine="142"/>
        <w:jc w:val="center"/>
        <w:rPr>
          <w:rFonts w:ascii="Times New Roman" w:hAnsi="Times New Roman" w:cs="Times New Roman"/>
          <w:b/>
        </w:rPr>
      </w:pPr>
    </w:p>
    <w:p w14:paraId="3E73A6B3">
      <w:pPr>
        <w:pStyle w:val="20"/>
        <w:ind w:right="-284" w:firstLine="142"/>
        <w:jc w:val="center"/>
        <w:rPr>
          <w:rFonts w:ascii="Times New Roman" w:hAnsi="Times New Roman" w:cs="Times New Roman"/>
          <w:b/>
        </w:rPr>
      </w:pPr>
      <w:r>
        <w:rPr>
          <w:rFonts w:ascii="Times New Roman" w:hAnsi="Times New Roman" w:cs="Times New Roman"/>
          <w:b/>
        </w:rPr>
        <w:t>DECLARAÇÃO REF. AO ARTIGO 68, DA LEI FEDERAL Nº 14.133/2021</w:t>
      </w:r>
    </w:p>
    <w:p w14:paraId="75CEF04C">
      <w:pPr>
        <w:pStyle w:val="70"/>
        <w:rPr>
          <w:rFonts w:ascii="Times New Roman" w:hAnsi="Times New Roman" w:cs="Times New Roman"/>
        </w:rPr>
      </w:pPr>
    </w:p>
    <w:p w14:paraId="1EE59A8F">
      <w:pPr>
        <w:pStyle w:val="70"/>
        <w:rPr>
          <w:rFonts w:ascii="Times New Roman" w:hAnsi="Times New Roman" w:cs="Times New Roman"/>
        </w:rPr>
      </w:pPr>
      <w:r>
        <w:rPr>
          <w:rFonts w:ascii="Times New Roman" w:hAnsi="Times New Roman" w:cs="Times New Roman"/>
        </w:rPr>
        <w:t>(em papel timbrado da empresa)</w:t>
      </w:r>
    </w:p>
    <w:p w14:paraId="696718AB">
      <w:pPr>
        <w:pStyle w:val="70"/>
        <w:rPr>
          <w:rFonts w:ascii="Times New Roman" w:hAnsi="Times New Roman" w:cs="Times New Roman"/>
        </w:rPr>
      </w:pPr>
    </w:p>
    <w:p w14:paraId="332A4538">
      <w:pPr>
        <w:pStyle w:val="70"/>
        <w:rPr>
          <w:rFonts w:ascii="Times New Roman" w:hAnsi="Times New Roman" w:cs="Times New Roman"/>
        </w:rPr>
      </w:pPr>
    </w:p>
    <w:p w14:paraId="77AE3ACD">
      <w:pPr>
        <w:pStyle w:val="70"/>
        <w:rPr>
          <w:rFonts w:ascii="Times New Roman" w:hAnsi="Times New Roman" w:cs="Times New Roman"/>
        </w:rPr>
      </w:pPr>
      <w:r>
        <w:rPr>
          <w:rFonts w:ascii="Times New Roman" w:hAnsi="Times New Roman" w:cs="Times New Roman"/>
        </w:rPr>
        <w:t>____________________________________ [</w:t>
      </w:r>
      <w:r>
        <w:rPr>
          <w:rFonts w:ascii="Times New Roman" w:hAnsi="Times New Roman" w:cs="Times New Roman"/>
          <w:i/>
        </w:rPr>
        <w:t>órgão ou entidade licitante</w:t>
      </w:r>
      <w:r>
        <w:rPr>
          <w:rFonts w:ascii="Times New Roman" w:hAnsi="Times New Roman" w:cs="Times New Roman"/>
        </w:rPr>
        <w:t>] Ref. Licitação n° ___/____ ________________________________________ [</w:t>
      </w:r>
      <w:r>
        <w:rPr>
          <w:rFonts w:ascii="Times New Roman" w:hAnsi="Times New Roman" w:cs="Times New Roman"/>
          <w:i/>
        </w:rPr>
        <w:t>denominação/razão social da sociedade empresarial</w:t>
      </w:r>
      <w:r>
        <w:rPr>
          <w:rFonts w:ascii="Times New Roman" w:hAnsi="Times New Roman" w:cs="Times New Roman"/>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14:paraId="7212B2EC">
      <w:pPr>
        <w:pStyle w:val="70"/>
        <w:rPr>
          <w:rFonts w:ascii="Times New Roman" w:hAnsi="Times New Roman" w:cs="Times New Roman"/>
        </w:rPr>
      </w:pPr>
    </w:p>
    <w:p w14:paraId="5266E9AA">
      <w:pPr>
        <w:pStyle w:val="70"/>
        <w:rPr>
          <w:rFonts w:ascii="Times New Roman" w:hAnsi="Times New Roman" w:cs="Times New Roman"/>
        </w:rPr>
      </w:pPr>
      <w:r>
        <w:rPr>
          <w:rFonts w:ascii="Times New Roman" w:hAnsi="Times New Roman" w:cs="Times New Roman"/>
        </w:rPr>
        <w:t>Ressalva: (  ) Emprega menor, a partir de quatorze anos, na condição de aprendiz.</w:t>
      </w:r>
    </w:p>
    <w:p w14:paraId="511F082E">
      <w:pPr>
        <w:pStyle w:val="70"/>
        <w:rPr>
          <w:rFonts w:ascii="Times New Roman" w:hAnsi="Times New Roman" w:cs="Times New Roman"/>
        </w:rPr>
      </w:pPr>
    </w:p>
    <w:p w14:paraId="2E89BC5B">
      <w:pPr>
        <w:pStyle w:val="70"/>
        <w:rPr>
          <w:rFonts w:ascii="Times New Roman" w:hAnsi="Times New Roman" w:cs="Times New Roman"/>
        </w:rPr>
      </w:pPr>
    </w:p>
    <w:p w14:paraId="750BBB42">
      <w:pPr>
        <w:pStyle w:val="70"/>
        <w:rPr>
          <w:rFonts w:ascii="Times New Roman" w:hAnsi="Times New Roman" w:cs="Times New Roman"/>
        </w:rPr>
      </w:pPr>
    </w:p>
    <w:p w14:paraId="5E1BC8C3">
      <w:pPr>
        <w:pStyle w:val="20"/>
        <w:ind w:right="-284" w:firstLine="142"/>
        <w:jc w:val="center"/>
        <w:rPr>
          <w:rFonts w:ascii="Times New Roman" w:hAnsi="Times New Roman" w:cs="Times New Roman"/>
        </w:rPr>
      </w:pPr>
      <w:r>
        <w:rPr>
          <w:rFonts w:ascii="Times New Roman" w:hAnsi="Times New Roman" w:cs="Times New Roman"/>
        </w:rPr>
        <w:t>Valença, ______de ____________de _____.</w:t>
      </w:r>
    </w:p>
    <w:p w14:paraId="6AF1CF5B">
      <w:pPr>
        <w:pStyle w:val="20"/>
        <w:ind w:right="-284" w:firstLine="142"/>
        <w:jc w:val="center"/>
        <w:rPr>
          <w:rFonts w:ascii="Times New Roman" w:hAnsi="Times New Roman" w:cs="Times New Roman"/>
        </w:rPr>
      </w:pPr>
    </w:p>
    <w:p w14:paraId="59ACD330">
      <w:pPr>
        <w:pStyle w:val="20"/>
        <w:ind w:right="-284" w:firstLine="142"/>
        <w:jc w:val="center"/>
        <w:rPr>
          <w:rFonts w:ascii="Times New Roman" w:hAnsi="Times New Roman" w:cs="Times New Roman"/>
        </w:rPr>
      </w:pPr>
    </w:p>
    <w:p w14:paraId="562EBF76">
      <w:pPr>
        <w:pStyle w:val="20"/>
        <w:spacing w:after="120"/>
        <w:ind w:right="-284" w:firstLine="142"/>
        <w:jc w:val="center"/>
        <w:rPr>
          <w:rFonts w:ascii="Times New Roman" w:hAnsi="Times New Roman" w:cs="Times New Roman"/>
        </w:rPr>
      </w:pPr>
      <w:r>
        <w:rPr>
          <w:rFonts w:ascii="Times New Roman" w:hAnsi="Times New Roman" w:cs="Times New Roman"/>
        </w:rPr>
        <w:t>_______________________________________________</w:t>
      </w:r>
    </w:p>
    <w:p w14:paraId="5A7408B4">
      <w:pPr>
        <w:pStyle w:val="20"/>
        <w:ind w:right="-284" w:firstLine="142"/>
        <w:jc w:val="center"/>
        <w:rPr>
          <w:rFonts w:ascii="Times New Roman" w:hAnsi="Times New Roman" w:cs="Times New Roman"/>
        </w:rPr>
      </w:pPr>
      <w:r>
        <w:rPr>
          <w:rFonts w:ascii="Times New Roman" w:hAnsi="Times New Roman" w:cs="Times New Roman"/>
        </w:rPr>
        <w:t>CONTRATADA</w:t>
      </w:r>
    </w:p>
    <w:p w14:paraId="307EBE61">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095A52AD">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69227C9B">
      <w:pPr>
        <w:pStyle w:val="20"/>
        <w:spacing w:line="360" w:lineRule="auto"/>
        <w:ind w:right="-285" w:firstLine="142"/>
        <w:jc w:val="center"/>
        <w:rPr>
          <w:rFonts w:ascii="Times New Roman" w:hAnsi="Times New Roman" w:cs="Times New Roman"/>
          <w:b/>
        </w:rPr>
      </w:pPr>
    </w:p>
    <w:p w14:paraId="6B132444">
      <w:pPr>
        <w:pStyle w:val="20"/>
        <w:spacing w:line="360" w:lineRule="auto"/>
        <w:ind w:right="-285" w:firstLine="142"/>
        <w:jc w:val="center"/>
        <w:rPr>
          <w:rFonts w:ascii="Times New Roman" w:hAnsi="Times New Roman" w:cs="Times New Roman"/>
          <w:b/>
        </w:rPr>
      </w:pPr>
    </w:p>
    <w:p w14:paraId="58633C5D">
      <w:pPr>
        <w:pStyle w:val="20"/>
        <w:spacing w:line="360" w:lineRule="auto"/>
        <w:ind w:right="-285" w:firstLine="142"/>
        <w:jc w:val="center"/>
        <w:rPr>
          <w:rFonts w:ascii="Times New Roman" w:hAnsi="Times New Roman" w:cs="Times New Roman"/>
          <w:b/>
        </w:rPr>
      </w:pPr>
    </w:p>
    <w:p w14:paraId="720F98C5">
      <w:pPr>
        <w:pStyle w:val="20"/>
        <w:spacing w:line="360" w:lineRule="auto"/>
        <w:ind w:right="-285" w:firstLine="142"/>
        <w:jc w:val="center"/>
        <w:rPr>
          <w:rFonts w:ascii="Times New Roman" w:hAnsi="Times New Roman" w:cs="Times New Roman"/>
          <w:b/>
        </w:rPr>
      </w:pPr>
    </w:p>
    <w:p w14:paraId="5B64A75D">
      <w:pPr>
        <w:pStyle w:val="20"/>
        <w:spacing w:line="360" w:lineRule="auto"/>
        <w:ind w:right="-285" w:firstLine="142"/>
        <w:jc w:val="center"/>
        <w:rPr>
          <w:rFonts w:ascii="Times New Roman" w:hAnsi="Times New Roman" w:cs="Times New Roman"/>
          <w:b/>
        </w:rPr>
      </w:pPr>
    </w:p>
    <w:p w14:paraId="3F7586E8">
      <w:pPr>
        <w:pStyle w:val="20"/>
        <w:spacing w:line="360" w:lineRule="auto"/>
        <w:ind w:right="-285" w:firstLine="142"/>
        <w:jc w:val="center"/>
        <w:rPr>
          <w:rFonts w:ascii="Times New Roman" w:hAnsi="Times New Roman" w:cs="Times New Roman"/>
          <w:b/>
        </w:rPr>
      </w:pPr>
    </w:p>
    <w:p w14:paraId="1AC5503E">
      <w:pPr>
        <w:spacing w:line="360" w:lineRule="auto"/>
        <w:ind w:right="-285" w:firstLine="142"/>
        <w:jc w:val="center"/>
        <w:rPr>
          <w:b/>
          <w:sz w:val="24"/>
          <w:szCs w:val="24"/>
        </w:rPr>
      </w:pPr>
      <w:r>
        <w:rPr>
          <w:b/>
          <w:sz w:val="24"/>
          <w:szCs w:val="24"/>
        </w:rPr>
        <w:t>DECLARAÇÃO PARA FINS DE HABILITAÇÃO ECONÔMICO–FINANCEIRA –ART. 63, § 1º, DA LEI FEDERAL Nº 14.133/2021</w:t>
      </w:r>
    </w:p>
    <w:p w14:paraId="1EA42BD3">
      <w:pPr>
        <w:pStyle w:val="70"/>
        <w:rPr>
          <w:rFonts w:ascii="Times New Roman" w:hAnsi="Times New Roman" w:cs="Times New Roman"/>
        </w:rPr>
      </w:pPr>
    </w:p>
    <w:p w14:paraId="1B31F434">
      <w:pPr>
        <w:spacing w:line="360" w:lineRule="auto"/>
        <w:ind w:right="-285" w:firstLine="142"/>
        <w:jc w:val="both"/>
        <w:rPr>
          <w:sz w:val="24"/>
          <w:szCs w:val="24"/>
        </w:rPr>
      </w:pPr>
      <w:r>
        <w:rPr>
          <w:sz w:val="24"/>
          <w:szCs w:val="24"/>
        </w:rPr>
        <w:t>(em papel timbrado da empresa)</w:t>
      </w:r>
    </w:p>
    <w:p w14:paraId="66722B5B">
      <w:pPr>
        <w:spacing w:line="360" w:lineRule="auto"/>
        <w:ind w:right="-285" w:firstLine="142"/>
        <w:jc w:val="both"/>
        <w:rPr>
          <w:sz w:val="24"/>
          <w:szCs w:val="24"/>
        </w:rPr>
      </w:pPr>
    </w:p>
    <w:p w14:paraId="44F6324D">
      <w:pPr>
        <w:spacing w:line="360" w:lineRule="auto"/>
        <w:ind w:right="-285" w:firstLine="142"/>
        <w:jc w:val="both"/>
        <w:rPr>
          <w:sz w:val="24"/>
          <w:szCs w:val="24"/>
        </w:rPr>
      </w:pPr>
      <w:r>
        <w:rPr>
          <w:i/>
          <w:sz w:val="24"/>
          <w:szCs w:val="24"/>
        </w:rPr>
        <w:t>[denominação/razão social da sociedade empresarial]</w:t>
      </w:r>
    </w:p>
    <w:p w14:paraId="33F4918F">
      <w:pPr>
        <w:tabs>
          <w:tab w:val="left" w:pos="5980"/>
        </w:tabs>
        <w:spacing w:line="360" w:lineRule="auto"/>
        <w:ind w:right="-285" w:firstLine="142"/>
        <w:jc w:val="both"/>
        <w:rPr>
          <w:sz w:val="24"/>
          <w:szCs w:val="24"/>
        </w:rPr>
      </w:pPr>
      <w:r>
        <w:rPr>
          <w:sz w:val="24"/>
          <w:szCs w:val="24"/>
        </w:rPr>
        <w:t>Cadastro Nacional de Pessoas Jurídicas – CNPJ n°____________.</w:t>
      </w:r>
    </w:p>
    <w:p w14:paraId="4880EFC5">
      <w:pPr>
        <w:spacing w:line="360" w:lineRule="auto"/>
        <w:ind w:right="-285" w:firstLine="142"/>
        <w:jc w:val="both"/>
        <w:rPr>
          <w:i/>
          <w:sz w:val="24"/>
          <w:szCs w:val="24"/>
        </w:rPr>
      </w:pPr>
      <w:r>
        <w:rPr>
          <w:i/>
          <w:sz w:val="24"/>
          <w:szCs w:val="24"/>
        </w:rPr>
        <w:t>[endereço da sociedade empresarial]</w:t>
      </w:r>
    </w:p>
    <w:p w14:paraId="157B23B9">
      <w:pPr>
        <w:spacing w:line="360" w:lineRule="auto"/>
        <w:ind w:right="-285" w:firstLine="142"/>
        <w:jc w:val="both"/>
        <w:rPr>
          <w:sz w:val="24"/>
          <w:szCs w:val="24"/>
        </w:rPr>
      </w:pPr>
    </w:p>
    <w:p w14:paraId="30162ACD">
      <w:pPr>
        <w:spacing w:line="360" w:lineRule="auto"/>
        <w:ind w:right="-285" w:firstLine="142"/>
        <w:jc w:val="both"/>
        <w:rPr>
          <w:sz w:val="24"/>
          <w:szCs w:val="24"/>
        </w:rPr>
      </w:pPr>
      <w:r>
        <w:rPr>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74D5F5">
      <w:pPr>
        <w:spacing w:line="360" w:lineRule="auto"/>
        <w:ind w:right="-285" w:firstLine="142"/>
        <w:jc w:val="both"/>
        <w:rPr>
          <w:sz w:val="24"/>
          <w:szCs w:val="24"/>
        </w:rPr>
      </w:pPr>
    </w:p>
    <w:p w14:paraId="66410FE3">
      <w:pPr>
        <w:spacing w:line="360" w:lineRule="auto"/>
        <w:ind w:right="-285" w:firstLine="142"/>
        <w:jc w:val="center"/>
        <w:rPr>
          <w:sz w:val="24"/>
          <w:szCs w:val="24"/>
        </w:rPr>
      </w:pPr>
      <w:r>
        <w:rPr>
          <w:sz w:val="24"/>
          <w:szCs w:val="24"/>
        </w:rPr>
        <w:t>Valença, _____ de ___________________de _______.</w:t>
      </w:r>
    </w:p>
    <w:p w14:paraId="690B6947">
      <w:pPr>
        <w:spacing w:line="360" w:lineRule="auto"/>
        <w:ind w:right="-285" w:firstLine="142"/>
        <w:jc w:val="both"/>
        <w:rPr>
          <w:sz w:val="24"/>
          <w:szCs w:val="24"/>
        </w:rPr>
      </w:pPr>
    </w:p>
    <w:p w14:paraId="75D2C59F">
      <w:pPr>
        <w:ind w:right="-284" w:firstLine="142"/>
        <w:jc w:val="center"/>
        <w:rPr>
          <w:sz w:val="24"/>
          <w:szCs w:val="24"/>
        </w:rPr>
      </w:pPr>
      <w:r>
        <w:rPr>
          <w:sz w:val="24"/>
          <w:szCs w:val="24"/>
        </w:rPr>
        <w:t>______________________________________________________</w:t>
      </w:r>
    </w:p>
    <w:p w14:paraId="31F45621">
      <w:pPr>
        <w:pStyle w:val="20"/>
        <w:ind w:right="-284" w:firstLine="142"/>
        <w:jc w:val="center"/>
        <w:rPr>
          <w:rFonts w:ascii="Times New Roman" w:hAnsi="Times New Roman" w:cs="Times New Roman"/>
        </w:rPr>
      </w:pPr>
      <w:r>
        <w:rPr>
          <w:rFonts w:ascii="Times New Roman" w:hAnsi="Times New Roman" w:cs="Times New Roman"/>
        </w:rPr>
        <w:t>CONTRATADA</w:t>
      </w:r>
    </w:p>
    <w:p w14:paraId="05990316">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5A182753">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6BA98E2A">
      <w:pPr>
        <w:pStyle w:val="70"/>
        <w:rPr>
          <w:rFonts w:ascii="Times New Roman" w:hAnsi="Times New Roman" w:cs="Times New Roman"/>
        </w:rPr>
      </w:pPr>
    </w:p>
    <w:p w14:paraId="62BFDA7D">
      <w:pPr>
        <w:pStyle w:val="70"/>
        <w:rPr>
          <w:rFonts w:ascii="Times New Roman" w:hAnsi="Times New Roman" w:cs="Times New Roman"/>
        </w:rPr>
      </w:pPr>
    </w:p>
    <w:p w14:paraId="4AAFC1E4">
      <w:pPr>
        <w:pStyle w:val="70"/>
        <w:ind w:left="0"/>
        <w:rPr>
          <w:rFonts w:ascii="Times New Roman" w:hAnsi="Times New Roman" w:cs="Times New Roman"/>
        </w:rPr>
      </w:pPr>
    </w:p>
    <w:p w14:paraId="53AE23C4">
      <w:pPr>
        <w:spacing w:line="360" w:lineRule="auto"/>
        <w:ind w:right="-285" w:firstLine="142"/>
        <w:jc w:val="center"/>
        <w:rPr>
          <w:sz w:val="24"/>
          <w:szCs w:val="24"/>
        </w:rPr>
      </w:pPr>
      <w:r>
        <w:rPr>
          <w:b/>
          <w:bCs/>
          <w:sz w:val="24"/>
          <w:szCs w:val="24"/>
        </w:rPr>
        <w:t>DECLARAÇÃO DE CUMPRIMENTO DE RESERVA DE CARGOS DO ART. 63, IV, DA LEI FEDERAL Nº 14.133/2021</w:t>
      </w:r>
    </w:p>
    <w:p w14:paraId="5A9EEB2C">
      <w:pPr>
        <w:spacing w:line="360" w:lineRule="auto"/>
        <w:ind w:right="-285" w:firstLine="142"/>
        <w:jc w:val="both"/>
        <w:rPr>
          <w:sz w:val="24"/>
          <w:szCs w:val="24"/>
        </w:rPr>
      </w:pPr>
      <w:r>
        <w:rPr>
          <w:sz w:val="24"/>
          <w:szCs w:val="24"/>
        </w:rPr>
        <w:t>(em papel timbrado da empresa)</w:t>
      </w:r>
    </w:p>
    <w:p w14:paraId="1DB0D014">
      <w:pPr>
        <w:spacing w:line="360" w:lineRule="auto"/>
        <w:ind w:right="-285" w:firstLine="142"/>
        <w:jc w:val="both"/>
        <w:rPr>
          <w:sz w:val="24"/>
          <w:szCs w:val="24"/>
        </w:rPr>
      </w:pPr>
    </w:p>
    <w:p w14:paraId="232B419F">
      <w:pPr>
        <w:spacing w:line="360" w:lineRule="auto"/>
        <w:ind w:right="-285" w:firstLine="142"/>
        <w:jc w:val="both"/>
        <w:rPr>
          <w:sz w:val="24"/>
          <w:szCs w:val="24"/>
        </w:rPr>
      </w:pPr>
      <w:r>
        <w:rPr>
          <w:i/>
          <w:sz w:val="24"/>
          <w:szCs w:val="24"/>
        </w:rPr>
        <w:t>[denominação/razão social da sociedade empresarial]</w:t>
      </w:r>
    </w:p>
    <w:p w14:paraId="4D8126A2">
      <w:pPr>
        <w:tabs>
          <w:tab w:val="left" w:pos="5980"/>
        </w:tabs>
        <w:spacing w:line="360" w:lineRule="auto"/>
        <w:ind w:right="-285" w:firstLine="142"/>
        <w:jc w:val="both"/>
        <w:rPr>
          <w:sz w:val="24"/>
          <w:szCs w:val="24"/>
        </w:rPr>
      </w:pPr>
      <w:r>
        <w:rPr>
          <w:sz w:val="24"/>
          <w:szCs w:val="24"/>
        </w:rPr>
        <w:t>Cadastro Nacional de Pessoas Jurídicas – CNPJ n°____________.</w:t>
      </w:r>
    </w:p>
    <w:p w14:paraId="6EB405B1">
      <w:pPr>
        <w:spacing w:line="360" w:lineRule="auto"/>
        <w:ind w:right="-285" w:firstLine="142"/>
        <w:jc w:val="both"/>
        <w:rPr>
          <w:i/>
          <w:sz w:val="24"/>
          <w:szCs w:val="24"/>
        </w:rPr>
      </w:pPr>
      <w:r>
        <w:rPr>
          <w:i/>
          <w:sz w:val="24"/>
          <w:szCs w:val="24"/>
        </w:rPr>
        <w:t>[endereço da sociedade empresarial]</w:t>
      </w:r>
    </w:p>
    <w:p w14:paraId="0B4B4646">
      <w:pPr>
        <w:spacing w:line="360" w:lineRule="auto"/>
        <w:ind w:right="-285" w:firstLine="142"/>
        <w:jc w:val="both"/>
        <w:rPr>
          <w:sz w:val="24"/>
          <w:szCs w:val="24"/>
        </w:rPr>
      </w:pPr>
    </w:p>
    <w:p w14:paraId="61D39F5A">
      <w:pPr>
        <w:spacing w:line="360" w:lineRule="auto"/>
        <w:ind w:right="-285" w:firstLine="142"/>
        <w:jc w:val="both"/>
        <w:rPr>
          <w:sz w:val="24"/>
          <w:szCs w:val="24"/>
        </w:rPr>
      </w:pPr>
      <w:r>
        <w:rPr>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0E953B2E">
      <w:pPr>
        <w:spacing w:line="360" w:lineRule="auto"/>
        <w:ind w:right="-285" w:firstLine="142"/>
        <w:jc w:val="both"/>
        <w:rPr>
          <w:sz w:val="24"/>
          <w:szCs w:val="24"/>
        </w:rPr>
      </w:pPr>
    </w:p>
    <w:p w14:paraId="0E0C1461">
      <w:pPr>
        <w:spacing w:line="360" w:lineRule="auto"/>
        <w:ind w:right="-285" w:firstLine="142"/>
        <w:jc w:val="center"/>
        <w:rPr>
          <w:sz w:val="24"/>
          <w:szCs w:val="24"/>
        </w:rPr>
      </w:pPr>
      <w:r>
        <w:rPr>
          <w:sz w:val="24"/>
          <w:szCs w:val="24"/>
        </w:rPr>
        <w:t>Valença, _____ de ___________________de _______.</w:t>
      </w:r>
    </w:p>
    <w:p w14:paraId="0076775A">
      <w:pPr>
        <w:spacing w:line="360" w:lineRule="auto"/>
        <w:ind w:right="-285" w:firstLine="142"/>
        <w:jc w:val="both"/>
        <w:rPr>
          <w:sz w:val="24"/>
          <w:szCs w:val="24"/>
        </w:rPr>
      </w:pPr>
    </w:p>
    <w:p w14:paraId="5BCD6E51">
      <w:pPr>
        <w:ind w:right="-284" w:firstLine="142"/>
        <w:jc w:val="center"/>
        <w:rPr>
          <w:sz w:val="24"/>
          <w:szCs w:val="24"/>
        </w:rPr>
      </w:pPr>
      <w:r>
        <w:rPr>
          <w:sz w:val="24"/>
          <w:szCs w:val="24"/>
        </w:rPr>
        <w:t>______________________________________________________</w:t>
      </w:r>
    </w:p>
    <w:p w14:paraId="730E0339">
      <w:pPr>
        <w:pStyle w:val="20"/>
        <w:ind w:right="-284" w:firstLine="142"/>
        <w:jc w:val="center"/>
        <w:rPr>
          <w:rFonts w:ascii="Times New Roman" w:hAnsi="Times New Roman" w:cs="Times New Roman"/>
        </w:rPr>
      </w:pPr>
      <w:r>
        <w:rPr>
          <w:rFonts w:ascii="Times New Roman" w:hAnsi="Times New Roman" w:cs="Times New Roman"/>
        </w:rPr>
        <w:t>CONTRATADA</w:t>
      </w:r>
    </w:p>
    <w:p w14:paraId="7B9E994A">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0E6BA831">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53202077">
      <w:pPr>
        <w:spacing w:line="360" w:lineRule="auto"/>
        <w:jc w:val="center"/>
        <w:rPr>
          <w:b/>
          <w:bCs/>
          <w:color w:val="FF0000"/>
          <w:u w:val="single"/>
        </w:rPr>
      </w:pPr>
    </w:p>
    <w:p w14:paraId="128A45B5">
      <w:pPr>
        <w:spacing w:line="288" w:lineRule="auto"/>
        <w:contextualSpacing/>
        <w:jc w:val="center"/>
        <w:rPr>
          <w:rFonts w:eastAsia="Calibri"/>
          <w:b/>
          <w:bCs/>
          <w:lang w:eastAsia="en-US"/>
        </w:rPr>
      </w:pPr>
    </w:p>
    <w:p w14:paraId="5DA0E760">
      <w:pPr>
        <w:ind w:right="-285" w:firstLine="142"/>
        <w:rPr>
          <w:rFonts w:asciiTheme="minorHAnsi" w:hAnsiTheme="minorHAnsi" w:cstheme="minorHAnsi"/>
          <w:sz w:val="24"/>
          <w:szCs w:val="24"/>
        </w:rPr>
      </w:pPr>
    </w:p>
    <w:sectPr>
      <w:headerReference r:id="rId3" w:type="default"/>
      <w:footerReference r:id="rId4" w:type="default"/>
      <w:pgSz w:w="11900" w:h="16820"/>
      <w:pgMar w:top="314" w:right="1580" w:bottom="566" w:left="1552" w:header="0" w:footer="490" w:gutter="0"/>
      <w:pgNumType w:start="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angal">
    <w:altName w:val="Segoe Print"/>
    <w:panose1 w:val="000004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beration Serif">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Century Gothic">
    <w:panose1 w:val="020B0502020202020204"/>
    <w:charset w:val="00"/>
    <w:family w:val="swiss"/>
    <w:pitch w:val="default"/>
    <w:sig w:usb0="00000287" w:usb1="00000000" w:usb2="00000000" w:usb3="00000000" w:csb0="2000009F" w:csb1="DFD70000"/>
  </w:font>
  <w:font w:name="Cambria Math">
    <w:panose1 w:val="02040503050406030204"/>
    <w:charset w:val="00"/>
    <w:family w:val="roman"/>
    <w:pitch w:val="default"/>
    <w:sig w:usb0="E00006FF" w:usb1="420024FF" w:usb2="02000000" w:usb3="00000000" w:csb0="2000019F" w:csb1="00000000"/>
  </w:font>
  <w:font w:name="Minion Pro">
    <w:altName w:val="Cambria"/>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Ecofont_Spranq_eco_Sans">
    <w:altName w:val="Calibri"/>
    <w:panose1 w:val="00000000000000000000"/>
    <w:charset w:val="00"/>
    <w:family w:val="swiss"/>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iberation Sans">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swiss"/>
    <w:pitch w:val="default"/>
    <w:sig w:usb0="80000287" w:usb1="2ACF3C50" w:usb2="00000016" w:usb3="00000000" w:csb0="0004001F" w:csb1="00000000"/>
  </w:font>
  <w:font w:name="OpenSymbol">
    <w:altName w:val="Calibri"/>
    <w:panose1 w:val="00000000000000000000"/>
    <w:charset w:val="00"/>
    <w:family w:val="auto"/>
    <w:pitch w:val="default"/>
    <w:sig w:usb0="00000000" w:usb1="00000000" w:usb2="00000000" w:usb3="00000000" w:csb0="00000000" w:csb1="00000000"/>
  </w:font>
  <w:font w:name="Aptos">
    <w:altName w:val="Segoe UI"/>
    <w:panose1 w:val="00000000000000000000"/>
    <w:charset w:val="00"/>
    <w:family w:val="auto"/>
    <w:pitch w:val="default"/>
    <w:sig w:usb0="00000000" w:usb1="00000000" w:usb2="00000000" w:usb3="00000000" w:csb0="2000019F" w:csb1="00000000"/>
  </w:font>
  <w:font w:name="ui-serif">
    <w:altName w:val="Segoe Print"/>
    <w:panose1 w:val="00000000000000000000"/>
    <w:charset w:val="00"/>
    <w:family w:val="auto"/>
    <w:pitch w:val="default"/>
    <w:sig w:usb0="00000000" w:usb1="00000000" w:usb2="00000000" w:usb3="00000000" w:csb0="00000000" w:csb1="00000000"/>
  </w:font>
  <w:font w:name="Zurich BT">
    <w:altName w:val="Segoe Print"/>
    <w:panose1 w:val="00000000000000000000"/>
    <w:charset w:val="00"/>
    <w:family w:val="roman"/>
    <w:pitch w:val="default"/>
    <w:sig w:usb0="00000000" w:usb1="00000000" w:usb2="00000000" w:usb3="00000000" w:csb0="00000000" w:csb1="00000000"/>
  </w:font>
  <w:font w:name="MontserratThin">
    <w:altName w:val="Segoe Print"/>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11ECF">
    <w:pPr>
      <w:tabs>
        <w:tab w:val="center" w:pos="4252"/>
        <w:tab w:val="right" w:pos="8504"/>
      </w:tabs>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p w14:paraId="71E7CF60">
    <w:pPr>
      <w:tabs>
        <w:tab w:val="center" w:pos="4252"/>
        <w:tab w:val="right" w:pos="8504"/>
      </w:tabs>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29831">
    <w:pPr>
      <w:pStyle w:val="27"/>
      <w:tabs>
        <w:tab w:val="center" w:pos="2127"/>
      </w:tabs>
      <w:rPr>
        <w:rFonts w:ascii="Book Antiqua" w:hAnsi="Book Antiqua"/>
        <w:b/>
        <w:sz w:val="28"/>
        <w:szCs w:val="28"/>
      </w:rPr>
    </w:pPr>
  </w:p>
  <w:p w14:paraId="6002D546">
    <w:pPr>
      <w:pStyle w:val="27"/>
      <w:tabs>
        <w:tab w:val="center" w:pos="2127"/>
      </w:tabs>
      <w:rPr>
        <w:rFonts w:ascii="Book Antiqua" w:hAnsi="Book Antiqua"/>
        <w:b/>
        <w:sz w:val="28"/>
        <w:szCs w:val="28"/>
      </w:rPr>
    </w:pPr>
  </w:p>
  <w:p w14:paraId="6BD75E03">
    <w:pPr>
      <w:pStyle w:val="27"/>
      <w:tabs>
        <w:tab w:val="center" w:pos="2127"/>
      </w:tabs>
      <w:rPr>
        <w:rFonts w:ascii="Book Antiqua" w:hAnsi="Book Antiqua"/>
        <w:b/>
        <w:sz w:val="28"/>
        <w:szCs w:val="28"/>
      </w:rPr>
    </w:pPr>
    <w:r>
      <w:drawing>
        <wp:anchor distT="0" distB="0" distL="114300" distR="114300" simplePos="0" relativeHeight="251659264" behindDoc="1" locked="0" layoutInCell="1" allowOverlap="1">
          <wp:simplePos x="0" y="0"/>
          <wp:positionH relativeFrom="rightMargin">
            <wp:posOffset>-5745480</wp:posOffset>
          </wp:positionH>
          <wp:positionV relativeFrom="paragraph">
            <wp:posOffset>10160</wp:posOffset>
          </wp:positionV>
          <wp:extent cx="705485" cy="812165"/>
          <wp:effectExtent l="0" t="0" r="0" b="698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05485" cy="812165"/>
                  </a:xfrm>
                  <a:prstGeom prst="rect">
                    <a:avLst/>
                  </a:prstGeom>
                  <a:noFill/>
                </pic:spPr>
              </pic:pic>
            </a:graphicData>
          </a:graphic>
        </wp:anchor>
      </w:drawing>
    </w:r>
  </w:p>
  <w:p w14:paraId="403E8789">
    <w:pPr>
      <w:pStyle w:val="27"/>
      <w:tabs>
        <w:tab w:val="center" w:pos="2127"/>
      </w:tabs>
      <w:jc w:val="center"/>
      <w:rPr>
        <w:rFonts w:ascii="Book Antiqua" w:hAnsi="Book Antiqua"/>
        <w:b/>
        <w:sz w:val="28"/>
        <w:szCs w:val="28"/>
      </w:rPr>
    </w:pPr>
    <w:r>
      <w:rPr>
        <w:rFonts w:ascii="Book Antiqua" w:hAnsi="Book Antiqua"/>
        <w:b/>
        <w:sz w:val="28"/>
        <w:szCs w:val="28"/>
      </w:rPr>
      <w:t>ESTADO DO RIO DE JANEIRO</w:t>
    </w:r>
  </w:p>
  <w:p w14:paraId="39E262B8">
    <w:pPr>
      <w:pStyle w:val="27"/>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59B0A304">
    <w:pPr>
      <w:pStyle w:val="27"/>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tbl>
    <w:tblPr>
      <w:tblStyle w:val="10"/>
      <w:tblW w:w="10538" w:type="dxa"/>
      <w:tblInd w:w="-28" w:type="dxa"/>
      <w:tblLayout w:type="fixed"/>
      <w:tblCellMar>
        <w:top w:w="0" w:type="dxa"/>
        <w:left w:w="108" w:type="dxa"/>
        <w:bottom w:w="0" w:type="dxa"/>
        <w:right w:w="108" w:type="dxa"/>
      </w:tblCellMar>
    </w:tblPr>
    <w:tblGrid>
      <w:gridCol w:w="940"/>
      <w:gridCol w:w="9362"/>
      <w:gridCol w:w="236"/>
    </w:tblGrid>
    <w:tr w14:paraId="377848AA">
      <w:tblPrEx>
        <w:tblCellMar>
          <w:top w:w="0" w:type="dxa"/>
          <w:left w:w="108" w:type="dxa"/>
          <w:bottom w:w="0" w:type="dxa"/>
          <w:right w:w="108" w:type="dxa"/>
        </w:tblCellMar>
      </w:tblPrEx>
      <w:trPr>
        <w:cantSplit/>
        <w:trHeight w:val="192" w:hRule="atLeast"/>
      </w:trPr>
      <w:tc>
        <w:tcPr>
          <w:tcW w:w="945" w:type="dxa"/>
        </w:tcPr>
        <w:p w14:paraId="686ABAB3">
          <w:pPr>
            <w:pStyle w:val="27"/>
            <w:tabs>
              <w:tab w:val="center" w:pos="2127"/>
            </w:tabs>
            <w:jc w:val="center"/>
            <w:rPr>
              <w:rFonts w:ascii="Book Antiqua" w:hAnsi="Book Antiqua"/>
              <w:b/>
              <w:sz w:val="28"/>
              <w:szCs w:val="28"/>
            </w:rPr>
          </w:pPr>
        </w:p>
        <w:p w14:paraId="61895498">
          <w:pPr>
            <w:tabs>
              <w:tab w:val="center" w:pos="4419"/>
              <w:tab w:val="right" w:pos="8838"/>
            </w:tabs>
            <w:rPr>
              <w:rFonts w:eastAsia="Arial" w:cs="Arial"/>
              <w:color w:val="000000"/>
            </w:rPr>
          </w:pPr>
        </w:p>
      </w:tc>
      <w:tc>
        <w:tcPr>
          <w:tcW w:w="9422" w:type="dxa"/>
          <w:vAlign w:val="center"/>
        </w:tcPr>
        <w:p w14:paraId="16A2CCD3">
          <w:pPr>
            <w:tabs>
              <w:tab w:val="center" w:pos="4419"/>
              <w:tab w:val="right" w:pos="8838"/>
            </w:tabs>
            <w:rPr>
              <w:rFonts w:eastAsia="Arial" w:cs="Arial"/>
              <w:color w:val="000000"/>
              <w:szCs w:val="24"/>
            </w:rPr>
          </w:pPr>
        </w:p>
      </w:tc>
      <w:tc>
        <w:tcPr>
          <w:tcW w:w="171" w:type="dxa"/>
        </w:tcPr>
        <w:p w14:paraId="7E98656F">
          <w:pPr>
            <w:tabs>
              <w:tab w:val="center" w:pos="4419"/>
              <w:tab w:val="right" w:pos="8838"/>
            </w:tabs>
            <w:rPr>
              <w:rFonts w:eastAsia="Arial" w:cs="Arial"/>
              <w:b/>
              <w:color w:val="000000"/>
              <w:sz w:val="18"/>
              <w:szCs w:val="18"/>
            </w:rPr>
          </w:pPr>
        </w:p>
      </w:tc>
    </w:tr>
    <w:tr w14:paraId="750A74D0">
      <w:tblPrEx>
        <w:tblCellMar>
          <w:top w:w="0" w:type="dxa"/>
          <w:left w:w="108" w:type="dxa"/>
          <w:bottom w:w="0" w:type="dxa"/>
          <w:right w:w="108" w:type="dxa"/>
        </w:tblCellMar>
      </w:tblPrEx>
      <w:trPr>
        <w:cantSplit/>
        <w:trHeight w:val="192" w:hRule="atLeast"/>
      </w:trPr>
      <w:tc>
        <w:tcPr>
          <w:tcW w:w="945" w:type="dxa"/>
          <w:tcBorders>
            <w:bottom w:val="single" w:color="000000" w:sz="4" w:space="0"/>
          </w:tcBorders>
        </w:tcPr>
        <w:p w14:paraId="1C88669F">
          <w:pPr>
            <w:tabs>
              <w:tab w:val="center" w:pos="4419"/>
              <w:tab w:val="right" w:pos="8838"/>
            </w:tabs>
            <w:rPr>
              <w:color w:val="000000"/>
              <w:szCs w:val="24"/>
            </w:rPr>
          </w:pPr>
        </w:p>
      </w:tc>
      <w:tc>
        <w:tcPr>
          <w:tcW w:w="9422" w:type="dxa"/>
          <w:tcBorders>
            <w:bottom w:val="single" w:color="000000" w:sz="4" w:space="0"/>
          </w:tcBorders>
          <w:vAlign w:val="center"/>
        </w:tcPr>
        <w:p w14:paraId="37D59277">
          <w:pPr>
            <w:tabs>
              <w:tab w:val="center" w:pos="4419"/>
              <w:tab w:val="right" w:pos="8838"/>
            </w:tabs>
            <w:rPr>
              <w:rFonts w:eastAsia="Arial" w:cs="Arial"/>
              <w:color w:val="000000"/>
              <w:szCs w:val="24"/>
            </w:rPr>
          </w:pPr>
        </w:p>
      </w:tc>
      <w:tc>
        <w:tcPr>
          <w:tcW w:w="171" w:type="dxa"/>
          <w:tcBorders>
            <w:bottom w:val="single" w:color="000000" w:sz="4" w:space="0"/>
          </w:tcBorders>
        </w:tcPr>
        <w:p w14:paraId="1760BB9F">
          <w:pPr>
            <w:tabs>
              <w:tab w:val="center" w:pos="4419"/>
              <w:tab w:val="right" w:pos="8838"/>
            </w:tabs>
            <w:rPr>
              <w:rFonts w:eastAsia="Arial" w:cs="Arial"/>
              <w:b/>
              <w:color w:val="000000"/>
              <w:sz w:val="18"/>
              <w:szCs w:val="18"/>
            </w:rPr>
          </w:pPr>
        </w:p>
      </w:tc>
    </w:tr>
  </w:tbl>
  <w:p w14:paraId="2D30364A">
    <w:pPr>
      <w:tabs>
        <w:tab w:val="left" w:pos="2880"/>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75B016"/>
    <w:multiLevelType w:val="singleLevel"/>
    <w:tmpl w:val="D975B016"/>
    <w:lvl w:ilvl="0" w:tentative="0">
      <w:start w:val="1"/>
      <w:numFmt w:val="decimal"/>
      <w:suff w:val="space"/>
      <w:lvlText w:val="%1-"/>
      <w:lvlJc w:val="left"/>
    </w:lvl>
  </w:abstractNum>
  <w:abstractNum w:abstractNumId="1">
    <w:nsid w:val="F2203EBA"/>
    <w:multiLevelType w:val="singleLevel"/>
    <w:tmpl w:val="F2203EBA"/>
    <w:lvl w:ilvl="0" w:tentative="0">
      <w:start w:val="13"/>
      <w:numFmt w:val="decimal"/>
      <w:suff w:val="space"/>
      <w:lvlText w:val="%1-"/>
      <w:lvlJc w:val="left"/>
    </w:lvl>
  </w:abstractNum>
  <w:abstractNum w:abstractNumId="2">
    <w:nsid w:val="FFFFFF89"/>
    <w:multiLevelType w:val="singleLevel"/>
    <w:tmpl w:val="FFFFFF89"/>
    <w:lvl w:ilvl="0" w:tentative="0">
      <w:start w:val="1"/>
      <w:numFmt w:val="bullet"/>
      <w:pStyle w:val="35"/>
      <w:lvlText w:val=""/>
      <w:lvlJc w:val="left"/>
      <w:pPr>
        <w:tabs>
          <w:tab w:val="left" w:pos="360"/>
        </w:tabs>
        <w:ind w:left="360" w:hanging="360"/>
      </w:pPr>
      <w:rPr>
        <w:rFonts w:hint="default" w:ascii="Symbol" w:hAnsi="Symbol"/>
      </w:rPr>
    </w:lvl>
  </w:abstractNum>
  <w:abstractNum w:abstractNumId="3">
    <w:nsid w:val="1D5C100D"/>
    <w:multiLevelType w:val="multilevel"/>
    <w:tmpl w:val="1D5C100D"/>
    <w:lvl w:ilvl="0" w:tentative="0">
      <w:start w:val="3"/>
      <w:numFmt w:val="decimal"/>
      <w:pStyle w:val="107"/>
      <w:lvlText w:val="%1."/>
      <w:lvlJc w:val="left"/>
      <w:pPr>
        <w:ind w:left="360" w:hanging="360"/>
      </w:pPr>
      <w:rPr>
        <w:rFonts w:hint="default"/>
        <w:b/>
        <w:color w:val="auto"/>
      </w:rPr>
    </w:lvl>
    <w:lvl w:ilvl="1" w:tentative="0">
      <w:start w:val="1"/>
      <w:numFmt w:val="decimal"/>
      <w:lvlText w:val="%1.%2."/>
      <w:lvlJc w:val="left"/>
      <w:pPr>
        <w:ind w:left="432" w:hanging="432"/>
      </w:pPr>
      <w:rPr>
        <w:rFonts w:hint="default"/>
        <w:b w:val="0"/>
        <w:i w:val="0"/>
        <w:strike w:val="0"/>
        <w:dstrike w:val="0"/>
        <w:color w:val="auto"/>
        <w:u w:val="none"/>
      </w:rPr>
    </w:lvl>
    <w:lvl w:ilvl="2" w:tentative="0">
      <w:start w:val="1"/>
      <w:numFmt w:val="decimal"/>
      <w:lvlText w:val="%1.%2.%3."/>
      <w:lvlJc w:val="left"/>
      <w:pPr>
        <w:ind w:left="930" w:hanging="504"/>
      </w:pPr>
      <w:rPr>
        <w:rFonts w:hint="default"/>
        <w:b w:val="0"/>
        <w:i w:val="0"/>
        <w:color w:val="auto"/>
      </w:rPr>
    </w:lvl>
    <w:lvl w:ilvl="3" w:tentative="0">
      <w:start w:val="1"/>
      <w:numFmt w:val="decimal"/>
      <w:lvlText w:val="%1.%2.%3.%4."/>
      <w:lvlJc w:val="left"/>
      <w:pPr>
        <w:ind w:left="164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2EFD5C8B"/>
    <w:multiLevelType w:val="multilevel"/>
    <w:tmpl w:val="2EFD5C8B"/>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5">
    <w:nsid w:val="43265457"/>
    <w:multiLevelType w:val="multilevel"/>
    <w:tmpl w:val="43265457"/>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46085681"/>
    <w:multiLevelType w:val="multilevel"/>
    <w:tmpl w:val="46085681"/>
    <w:lvl w:ilvl="0" w:tentative="0">
      <w:start w:val="1"/>
      <w:numFmt w:val="decimal"/>
      <w:pStyle w:val="140"/>
      <w:lvlText w:val="%1."/>
      <w:lvlJc w:val="left"/>
      <w:pPr>
        <w:ind w:left="720" w:hanging="360"/>
      </w:pPr>
      <w:rPr>
        <w:rFonts w:cs="Times New Roman"/>
        <w:b/>
        <w:bCs/>
        <w:color w:val="000000"/>
      </w:rPr>
    </w:lvl>
    <w:lvl w:ilvl="1" w:tentative="0">
      <w:start w:val="1"/>
      <w:numFmt w:val="decimal"/>
      <w:suff w:val="space"/>
      <w:lvlText w:val="%1.%2."/>
      <w:lvlJc w:val="left"/>
      <w:pPr>
        <w:ind w:left="1072" w:hanging="363"/>
      </w:pPr>
      <w:rPr>
        <w:rFonts w:cs="Times New Roman"/>
        <w:b/>
        <w:bCs/>
        <w:strike w:val="0"/>
        <w:dstrike w:val="0"/>
        <w:color w:val="auto"/>
      </w:rPr>
    </w:lvl>
    <w:lvl w:ilvl="2" w:tentative="0">
      <w:start w:val="1"/>
      <w:numFmt w:val="decimal"/>
      <w:suff w:val="space"/>
      <w:lvlText w:val=" %1.%2.%3."/>
      <w:lvlJc w:val="left"/>
      <w:pPr>
        <w:ind w:left="1440" w:hanging="360"/>
      </w:pPr>
      <w:rPr>
        <w:rFonts w:cs="Times New Roman"/>
        <w:b/>
        <w:bCs/>
      </w:rPr>
    </w:lvl>
    <w:lvl w:ilvl="3" w:tentative="0">
      <w:start w:val="1"/>
      <w:numFmt w:val="decimal"/>
      <w:suff w:val="space"/>
      <w:lvlText w:val=" %1.%2.%3.%4."/>
      <w:lvlJc w:val="left"/>
      <w:pPr>
        <w:ind w:left="1920" w:hanging="360"/>
      </w:pPr>
      <w:rPr>
        <w:rFonts w:cs="Times New Roman"/>
        <w:sz w:val="24"/>
        <w:szCs w:val="24"/>
      </w:rPr>
    </w:lvl>
    <w:lvl w:ilvl="4" w:tentative="0">
      <w:start w:val="1"/>
      <w:numFmt w:val="decimal"/>
      <w:suff w:val="space"/>
      <w:lvlText w:val=" %1.%2.%3.%4.%5."/>
      <w:lvlJc w:val="left"/>
      <w:pPr>
        <w:ind w:left="2160" w:hanging="360"/>
      </w:pPr>
      <w:rPr>
        <w:rFonts w:cs="Times New Roman"/>
      </w:rPr>
    </w:lvl>
    <w:lvl w:ilvl="5" w:tentative="0">
      <w:start w:val="1"/>
      <w:numFmt w:val="decimal"/>
      <w:lvlText w:val=" %1.%2.%3.%4.%5.%6."/>
      <w:lvlJc w:val="left"/>
      <w:pPr>
        <w:ind w:left="2520" w:hanging="360"/>
      </w:pPr>
      <w:rPr>
        <w:rFonts w:cs="Times New Roman"/>
      </w:rPr>
    </w:lvl>
    <w:lvl w:ilvl="6" w:tentative="0">
      <w:start w:val="1"/>
      <w:numFmt w:val="decimal"/>
      <w:lvlText w:val=" %1.%2.%3.%4.%5.%6.%7."/>
      <w:lvlJc w:val="left"/>
      <w:pPr>
        <w:ind w:left="2880" w:hanging="360"/>
      </w:pPr>
      <w:rPr>
        <w:rFonts w:cs="Times New Roman"/>
      </w:rPr>
    </w:lvl>
    <w:lvl w:ilvl="7" w:tentative="0">
      <w:start w:val="1"/>
      <w:numFmt w:val="decimal"/>
      <w:lvlText w:val=" %1.%2.%3.%4.%5.%6.%7.%8."/>
      <w:lvlJc w:val="left"/>
      <w:pPr>
        <w:ind w:left="3240" w:hanging="360"/>
      </w:pPr>
      <w:rPr>
        <w:rFonts w:cs="Times New Roman"/>
      </w:rPr>
    </w:lvl>
    <w:lvl w:ilvl="8" w:tentative="0">
      <w:start w:val="1"/>
      <w:numFmt w:val="decimal"/>
      <w:lvlText w:val=" %1.%2.%3.%4.%5.%6.%7.%8.%9."/>
      <w:lvlJc w:val="left"/>
      <w:pPr>
        <w:ind w:left="3600" w:hanging="360"/>
      </w:pPr>
      <w:rPr>
        <w:rFonts w:cs="Times New Roman"/>
      </w:rPr>
    </w:lvl>
  </w:abstractNum>
  <w:abstractNum w:abstractNumId="7">
    <w:nsid w:val="61DD361E"/>
    <w:multiLevelType w:val="multilevel"/>
    <w:tmpl w:val="61DD361E"/>
    <w:lvl w:ilvl="0" w:tentative="0">
      <w:start w:val="1"/>
      <w:numFmt w:val="decimal"/>
      <w:pStyle w:val="105"/>
      <w:lvlText w:val="%1."/>
      <w:lvlJc w:val="left"/>
      <w:pPr>
        <w:ind w:left="502" w:hanging="360"/>
      </w:pPr>
      <w:rPr>
        <w:rFonts w:hint="default"/>
        <w:b/>
        <w:i w:val="0"/>
      </w:rPr>
    </w:lvl>
    <w:lvl w:ilvl="1" w:tentative="0">
      <w:start w:val="1"/>
      <w:numFmt w:val="decimal"/>
      <w:pStyle w:val="108"/>
      <w:suff w:val="space"/>
      <w:lvlText w:val="%1.%2."/>
      <w:lvlJc w:val="left"/>
      <w:pPr>
        <w:ind w:left="851" w:firstLine="0"/>
      </w:pPr>
      <w:rPr>
        <w:rFonts w:hint="default"/>
        <w:b w:val="0"/>
        <w:i w:val="0"/>
        <w:color w:val="auto"/>
      </w:rPr>
    </w:lvl>
    <w:lvl w:ilvl="2" w:tentative="0">
      <w:start w:val="1"/>
      <w:numFmt w:val="decimal"/>
      <w:pStyle w:val="110"/>
      <w:suff w:val="space"/>
      <w:lvlText w:val="%1.%2.%3."/>
      <w:lvlJc w:val="left"/>
      <w:pPr>
        <w:ind w:left="1135" w:firstLine="0"/>
      </w:pPr>
      <w:rPr>
        <w:rFonts w:hint="default"/>
        <w:b w:val="0"/>
        <w:i w:val="0"/>
        <w:color w:val="auto"/>
        <w:sz w:val="20"/>
        <w:szCs w:val="20"/>
      </w:rPr>
    </w:lvl>
    <w:lvl w:ilvl="3" w:tentative="0">
      <w:start w:val="1"/>
      <w:numFmt w:val="decimal"/>
      <w:pStyle w:val="112"/>
      <w:suff w:val="space"/>
      <w:lvlText w:val="%1.%2.%3.%4."/>
      <w:lvlJc w:val="left"/>
      <w:pPr>
        <w:ind w:left="1702" w:firstLine="0"/>
      </w:pPr>
      <w:rPr>
        <w:rFonts w:hint="default" w:ascii="Times New Roman" w:hAnsi="Times New Roman" w:cs="Times New Roman"/>
        <w:b w:val="0"/>
        <w:bCs/>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num w:numId="1">
    <w:abstractNumId w:val="2"/>
  </w:num>
  <w:num w:numId="2">
    <w:abstractNumId w:val="7"/>
  </w:num>
  <w:num w:numId="3">
    <w:abstractNumId w:val="3"/>
  </w:num>
  <w:num w:numId="4">
    <w:abstractNumId w:val="6"/>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6E"/>
    <w:rsid w:val="00001727"/>
    <w:rsid w:val="00002B55"/>
    <w:rsid w:val="000047FF"/>
    <w:rsid w:val="0001108A"/>
    <w:rsid w:val="0002476F"/>
    <w:rsid w:val="00031280"/>
    <w:rsid w:val="000337DD"/>
    <w:rsid w:val="0003551A"/>
    <w:rsid w:val="0004193E"/>
    <w:rsid w:val="00042D77"/>
    <w:rsid w:val="00044F59"/>
    <w:rsid w:val="00046F0A"/>
    <w:rsid w:val="000546F3"/>
    <w:rsid w:val="0005496D"/>
    <w:rsid w:val="00064B05"/>
    <w:rsid w:val="00074132"/>
    <w:rsid w:val="00084938"/>
    <w:rsid w:val="00085292"/>
    <w:rsid w:val="00091296"/>
    <w:rsid w:val="00093103"/>
    <w:rsid w:val="000943D7"/>
    <w:rsid w:val="000978D1"/>
    <w:rsid w:val="000C3FF4"/>
    <w:rsid w:val="000D7E65"/>
    <w:rsid w:val="000E355F"/>
    <w:rsid w:val="00117C41"/>
    <w:rsid w:val="00117CB9"/>
    <w:rsid w:val="00126C9A"/>
    <w:rsid w:val="00132AF6"/>
    <w:rsid w:val="00134E13"/>
    <w:rsid w:val="00136332"/>
    <w:rsid w:val="00136938"/>
    <w:rsid w:val="00136F6E"/>
    <w:rsid w:val="00153F3B"/>
    <w:rsid w:val="00166543"/>
    <w:rsid w:val="001672D9"/>
    <w:rsid w:val="00167314"/>
    <w:rsid w:val="00172E1B"/>
    <w:rsid w:val="00175E95"/>
    <w:rsid w:val="00180B8B"/>
    <w:rsid w:val="001917CC"/>
    <w:rsid w:val="00197CAC"/>
    <w:rsid w:val="001B3FB8"/>
    <w:rsid w:val="001C13C8"/>
    <w:rsid w:val="001C22A8"/>
    <w:rsid w:val="001C53A2"/>
    <w:rsid w:val="001D6836"/>
    <w:rsid w:val="001D7B8A"/>
    <w:rsid w:val="001E2743"/>
    <w:rsid w:val="001E6C6E"/>
    <w:rsid w:val="001F1109"/>
    <w:rsid w:val="001F49CF"/>
    <w:rsid w:val="001F6345"/>
    <w:rsid w:val="00200057"/>
    <w:rsid w:val="00215B76"/>
    <w:rsid w:val="002300D2"/>
    <w:rsid w:val="00240649"/>
    <w:rsid w:val="00242F03"/>
    <w:rsid w:val="00243228"/>
    <w:rsid w:val="0024684C"/>
    <w:rsid w:val="00256763"/>
    <w:rsid w:val="00260EAE"/>
    <w:rsid w:val="00261F0F"/>
    <w:rsid w:val="00263F8F"/>
    <w:rsid w:val="00264ADE"/>
    <w:rsid w:val="00276D74"/>
    <w:rsid w:val="00281726"/>
    <w:rsid w:val="00297107"/>
    <w:rsid w:val="002B5B5D"/>
    <w:rsid w:val="002C3652"/>
    <w:rsid w:val="002C58AE"/>
    <w:rsid w:val="002C60CF"/>
    <w:rsid w:val="002D4334"/>
    <w:rsid w:val="002D66FC"/>
    <w:rsid w:val="002D6BF8"/>
    <w:rsid w:val="002E1E69"/>
    <w:rsid w:val="002E797A"/>
    <w:rsid w:val="002F462C"/>
    <w:rsid w:val="00302FD0"/>
    <w:rsid w:val="003106DF"/>
    <w:rsid w:val="00321757"/>
    <w:rsid w:val="00322708"/>
    <w:rsid w:val="00354BAC"/>
    <w:rsid w:val="0036420F"/>
    <w:rsid w:val="003A122E"/>
    <w:rsid w:val="003C606F"/>
    <w:rsid w:val="003D05A9"/>
    <w:rsid w:val="003D1588"/>
    <w:rsid w:val="003D177A"/>
    <w:rsid w:val="003D2EA0"/>
    <w:rsid w:val="003E114B"/>
    <w:rsid w:val="003E6590"/>
    <w:rsid w:val="003F306E"/>
    <w:rsid w:val="004068F8"/>
    <w:rsid w:val="0041299D"/>
    <w:rsid w:val="0041560B"/>
    <w:rsid w:val="00415D44"/>
    <w:rsid w:val="00416E2B"/>
    <w:rsid w:val="00420256"/>
    <w:rsid w:val="004253EA"/>
    <w:rsid w:val="0043458B"/>
    <w:rsid w:val="00436E02"/>
    <w:rsid w:val="00454E42"/>
    <w:rsid w:val="00461DE5"/>
    <w:rsid w:val="004656EA"/>
    <w:rsid w:val="0047114A"/>
    <w:rsid w:val="00476260"/>
    <w:rsid w:val="00477786"/>
    <w:rsid w:val="00492280"/>
    <w:rsid w:val="00493819"/>
    <w:rsid w:val="0049763F"/>
    <w:rsid w:val="00497AF6"/>
    <w:rsid w:val="004C63EB"/>
    <w:rsid w:val="004D591E"/>
    <w:rsid w:val="004E2B2D"/>
    <w:rsid w:val="004E56E8"/>
    <w:rsid w:val="004E7E4B"/>
    <w:rsid w:val="004F38C4"/>
    <w:rsid w:val="004F662C"/>
    <w:rsid w:val="004F7B84"/>
    <w:rsid w:val="00501A90"/>
    <w:rsid w:val="005251A9"/>
    <w:rsid w:val="0055320B"/>
    <w:rsid w:val="005633E2"/>
    <w:rsid w:val="00565277"/>
    <w:rsid w:val="00565B68"/>
    <w:rsid w:val="00567642"/>
    <w:rsid w:val="00570DF7"/>
    <w:rsid w:val="00575228"/>
    <w:rsid w:val="00581995"/>
    <w:rsid w:val="00585FDB"/>
    <w:rsid w:val="0058624E"/>
    <w:rsid w:val="005A018E"/>
    <w:rsid w:val="005B0D09"/>
    <w:rsid w:val="005B250C"/>
    <w:rsid w:val="005C25FD"/>
    <w:rsid w:val="005C7DCE"/>
    <w:rsid w:val="005D24F4"/>
    <w:rsid w:val="005D7DBE"/>
    <w:rsid w:val="005E09CD"/>
    <w:rsid w:val="00601AB8"/>
    <w:rsid w:val="00601FD3"/>
    <w:rsid w:val="00616503"/>
    <w:rsid w:val="00616BA8"/>
    <w:rsid w:val="00637301"/>
    <w:rsid w:val="006404C6"/>
    <w:rsid w:val="006454C5"/>
    <w:rsid w:val="00645BB7"/>
    <w:rsid w:val="00660E7E"/>
    <w:rsid w:val="00680E06"/>
    <w:rsid w:val="00681CE1"/>
    <w:rsid w:val="0068208C"/>
    <w:rsid w:val="0069381D"/>
    <w:rsid w:val="006A3A82"/>
    <w:rsid w:val="006A3AB0"/>
    <w:rsid w:val="006C60D8"/>
    <w:rsid w:val="006D755A"/>
    <w:rsid w:val="006F6348"/>
    <w:rsid w:val="00705122"/>
    <w:rsid w:val="00717DF6"/>
    <w:rsid w:val="00721F1E"/>
    <w:rsid w:val="00724210"/>
    <w:rsid w:val="007432A6"/>
    <w:rsid w:val="00750F6E"/>
    <w:rsid w:val="00761EB1"/>
    <w:rsid w:val="0077566C"/>
    <w:rsid w:val="00776682"/>
    <w:rsid w:val="00777538"/>
    <w:rsid w:val="00781891"/>
    <w:rsid w:val="0079284B"/>
    <w:rsid w:val="00793A6C"/>
    <w:rsid w:val="0079449F"/>
    <w:rsid w:val="007B2B18"/>
    <w:rsid w:val="007B78AE"/>
    <w:rsid w:val="007C1CCF"/>
    <w:rsid w:val="007D54B2"/>
    <w:rsid w:val="007E2818"/>
    <w:rsid w:val="007F70CB"/>
    <w:rsid w:val="0080251D"/>
    <w:rsid w:val="00802B0D"/>
    <w:rsid w:val="00807740"/>
    <w:rsid w:val="008112DD"/>
    <w:rsid w:val="00812B56"/>
    <w:rsid w:val="0081404E"/>
    <w:rsid w:val="00814E10"/>
    <w:rsid w:val="00825C70"/>
    <w:rsid w:val="00830279"/>
    <w:rsid w:val="00831C20"/>
    <w:rsid w:val="00833722"/>
    <w:rsid w:val="00840B3C"/>
    <w:rsid w:val="00840E0B"/>
    <w:rsid w:val="008427C3"/>
    <w:rsid w:val="008515C8"/>
    <w:rsid w:val="00853326"/>
    <w:rsid w:val="0086051B"/>
    <w:rsid w:val="00885766"/>
    <w:rsid w:val="008977DB"/>
    <w:rsid w:val="008A076D"/>
    <w:rsid w:val="008A1E6F"/>
    <w:rsid w:val="008D1BCA"/>
    <w:rsid w:val="008F1FAC"/>
    <w:rsid w:val="008F3B2D"/>
    <w:rsid w:val="008F5F68"/>
    <w:rsid w:val="008F6AEA"/>
    <w:rsid w:val="008F6FE9"/>
    <w:rsid w:val="00901F2D"/>
    <w:rsid w:val="00905190"/>
    <w:rsid w:val="00910F17"/>
    <w:rsid w:val="00913CAF"/>
    <w:rsid w:val="00916A33"/>
    <w:rsid w:val="00932B6F"/>
    <w:rsid w:val="0093434F"/>
    <w:rsid w:val="00935D0A"/>
    <w:rsid w:val="009372B0"/>
    <w:rsid w:val="00940051"/>
    <w:rsid w:val="00947D72"/>
    <w:rsid w:val="00951D03"/>
    <w:rsid w:val="00953AA6"/>
    <w:rsid w:val="009549D6"/>
    <w:rsid w:val="009652F2"/>
    <w:rsid w:val="00967CFD"/>
    <w:rsid w:val="009720F9"/>
    <w:rsid w:val="00974582"/>
    <w:rsid w:val="0097493B"/>
    <w:rsid w:val="009861B0"/>
    <w:rsid w:val="009932F0"/>
    <w:rsid w:val="009A1021"/>
    <w:rsid w:val="009A7FA7"/>
    <w:rsid w:val="009B0134"/>
    <w:rsid w:val="009B11D6"/>
    <w:rsid w:val="009B7307"/>
    <w:rsid w:val="009D436A"/>
    <w:rsid w:val="009D49ED"/>
    <w:rsid w:val="009E4AB8"/>
    <w:rsid w:val="009F178C"/>
    <w:rsid w:val="009F67F4"/>
    <w:rsid w:val="00A05736"/>
    <w:rsid w:val="00A06FC3"/>
    <w:rsid w:val="00A07671"/>
    <w:rsid w:val="00A15306"/>
    <w:rsid w:val="00A17830"/>
    <w:rsid w:val="00A17C82"/>
    <w:rsid w:val="00A32E29"/>
    <w:rsid w:val="00A33395"/>
    <w:rsid w:val="00A362C3"/>
    <w:rsid w:val="00A41EAE"/>
    <w:rsid w:val="00A4369C"/>
    <w:rsid w:val="00A5112D"/>
    <w:rsid w:val="00A55C27"/>
    <w:rsid w:val="00A605C5"/>
    <w:rsid w:val="00A64472"/>
    <w:rsid w:val="00A72AA9"/>
    <w:rsid w:val="00A80F0E"/>
    <w:rsid w:val="00A83DF7"/>
    <w:rsid w:val="00AB1451"/>
    <w:rsid w:val="00AB58C1"/>
    <w:rsid w:val="00AB702D"/>
    <w:rsid w:val="00AB7357"/>
    <w:rsid w:val="00AC6054"/>
    <w:rsid w:val="00AD3ECC"/>
    <w:rsid w:val="00AD54D4"/>
    <w:rsid w:val="00AE5A43"/>
    <w:rsid w:val="00B10CC3"/>
    <w:rsid w:val="00B20178"/>
    <w:rsid w:val="00B2062A"/>
    <w:rsid w:val="00B25548"/>
    <w:rsid w:val="00B30D0B"/>
    <w:rsid w:val="00B339D5"/>
    <w:rsid w:val="00B34BDB"/>
    <w:rsid w:val="00B355A6"/>
    <w:rsid w:val="00B41BDA"/>
    <w:rsid w:val="00B50433"/>
    <w:rsid w:val="00B60101"/>
    <w:rsid w:val="00B63089"/>
    <w:rsid w:val="00B63832"/>
    <w:rsid w:val="00B6755D"/>
    <w:rsid w:val="00B701E2"/>
    <w:rsid w:val="00B70F01"/>
    <w:rsid w:val="00B71173"/>
    <w:rsid w:val="00B731F6"/>
    <w:rsid w:val="00B75E45"/>
    <w:rsid w:val="00B813E0"/>
    <w:rsid w:val="00B83763"/>
    <w:rsid w:val="00B84E83"/>
    <w:rsid w:val="00B85FCD"/>
    <w:rsid w:val="00B94EEA"/>
    <w:rsid w:val="00BA47FF"/>
    <w:rsid w:val="00BA5F7F"/>
    <w:rsid w:val="00BB19B6"/>
    <w:rsid w:val="00BB5645"/>
    <w:rsid w:val="00BB7EAC"/>
    <w:rsid w:val="00BC1EC1"/>
    <w:rsid w:val="00BC2580"/>
    <w:rsid w:val="00BC44C4"/>
    <w:rsid w:val="00BC579A"/>
    <w:rsid w:val="00BC6EF3"/>
    <w:rsid w:val="00BD329F"/>
    <w:rsid w:val="00BE3D2C"/>
    <w:rsid w:val="00BE426C"/>
    <w:rsid w:val="00BE4911"/>
    <w:rsid w:val="00BE543F"/>
    <w:rsid w:val="00BF5711"/>
    <w:rsid w:val="00BF62FF"/>
    <w:rsid w:val="00C07A79"/>
    <w:rsid w:val="00C343F9"/>
    <w:rsid w:val="00C360B7"/>
    <w:rsid w:val="00C42445"/>
    <w:rsid w:val="00C47608"/>
    <w:rsid w:val="00C557EA"/>
    <w:rsid w:val="00C5674C"/>
    <w:rsid w:val="00C62517"/>
    <w:rsid w:val="00C62A71"/>
    <w:rsid w:val="00C81B7E"/>
    <w:rsid w:val="00C87D25"/>
    <w:rsid w:val="00C97ED5"/>
    <w:rsid w:val="00CC1B49"/>
    <w:rsid w:val="00CD281E"/>
    <w:rsid w:val="00CD4DB6"/>
    <w:rsid w:val="00CD7C56"/>
    <w:rsid w:val="00CE4BEB"/>
    <w:rsid w:val="00CF767F"/>
    <w:rsid w:val="00D03E66"/>
    <w:rsid w:val="00D24215"/>
    <w:rsid w:val="00D27F7C"/>
    <w:rsid w:val="00D44898"/>
    <w:rsid w:val="00D65123"/>
    <w:rsid w:val="00D673CE"/>
    <w:rsid w:val="00D90170"/>
    <w:rsid w:val="00D9343D"/>
    <w:rsid w:val="00D9568C"/>
    <w:rsid w:val="00D9648C"/>
    <w:rsid w:val="00DA4283"/>
    <w:rsid w:val="00DA79AE"/>
    <w:rsid w:val="00DB11D9"/>
    <w:rsid w:val="00DD5A11"/>
    <w:rsid w:val="00DE240B"/>
    <w:rsid w:val="00DF6E52"/>
    <w:rsid w:val="00E008CF"/>
    <w:rsid w:val="00E1354B"/>
    <w:rsid w:val="00E1356C"/>
    <w:rsid w:val="00E15C82"/>
    <w:rsid w:val="00E302A1"/>
    <w:rsid w:val="00E33BE2"/>
    <w:rsid w:val="00E37C10"/>
    <w:rsid w:val="00E6632E"/>
    <w:rsid w:val="00E668F1"/>
    <w:rsid w:val="00E67FFB"/>
    <w:rsid w:val="00E7583B"/>
    <w:rsid w:val="00E8554F"/>
    <w:rsid w:val="00E9542E"/>
    <w:rsid w:val="00E95795"/>
    <w:rsid w:val="00E975C8"/>
    <w:rsid w:val="00EA221C"/>
    <w:rsid w:val="00EB0614"/>
    <w:rsid w:val="00EB2425"/>
    <w:rsid w:val="00EB5C39"/>
    <w:rsid w:val="00EC15C9"/>
    <w:rsid w:val="00EC5BC1"/>
    <w:rsid w:val="00ED316C"/>
    <w:rsid w:val="00ED6392"/>
    <w:rsid w:val="00EF0DE4"/>
    <w:rsid w:val="00EF51C9"/>
    <w:rsid w:val="00F10746"/>
    <w:rsid w:val="00F13D82"/>
    <w:rsid w:val="00F34C41"/>
    <w:rsid w:val="00F371F1"/>
    <w:rsid w:val="00F470C6"/>
    <w:rsid w:val="00F519C4"/>
    <w:rsid w:val="00F66C2E"/>
    <w:rsid w:val="00F72635"/>
    <w:rsid w:val="00F90DC5"/>
    <w:rsid w:val="00F92885"/>
    <w:rsid w:val="00FA11B3"/>
    <w:rsid w:val="00FA30F0"/>
    <w:rsid w:val="00FC11D4"/>
    <w:rsid w:val="00FD7C78"/>
    <w:rsid w:val="00FE52A9"/>
    <w:rsid w:val="00FF38CF"/>
    <w:rsid w:val="00FF7E03"/>
    <w:rsid w:val="01EB1B4B"/>
    <w:rsid w:val="35516530"/>
    <w:rsid w:val="49D51330"/>
    <w:rsid w:val="57946F58"/>
    <w:rsid w:val="609F524C"/>
    <w:rsid w:val="6EC9601E"/>
    <w:rsid w:val="700A684B"/>
    <w:rsid w:val="7266063B"/>
    <w:rsid w:val="791C7DBF"/>
    <w:rsid w:val="7FA5268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qFormat="1" w:uiPriority="0" w:semiHidden="0" w:name="annotation text"/>
    <w:lsdException w:qFormat="1" w:unhideWhenUsed="0"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semiHidden="0" w:name="Body Text 3"/>
    <w:lsdException w:unhideWhenUsed="0" w:uiPriority="0" w:semiHidden="0" w:name="Body Text Indent 2"/>
    <w:lsdException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38"/>
    <w:qFormat/>
    <w:uiPriority w:val="0"/>
    <w:pPr>
      <w:keepNext/>
      <w:keepLines/>
      <w:spacing w:before="480" w:after="120"/>
      <w:outlineLvl w:val="0"/>
    </w:pPr>
    <w:rPr>
      <w:b/>
      <w:sz w:val="48"/>
      <w:szCs w:val="48"/>
    </w:rPr>
  </w:style>
  <w:style w:type="paragraph" w:styleId="3">
    <w:name w:val="heading 2"/>
    <w:basedOn w:val="1"/>
    <w:next w:val="1"/>
    <w:link w:val="39"/>
    <w:unhideWhenUsed/>
    <w:qFormat/>
    <w:uiPriority w:val="0"/>
    <w:pPr>
      <w:keepNext/>
      <w:keepLines/>
      <w:spacing w:before="360" w:after="80"/>
      <w:outlineLvl w:val="1"/>
    </w:pPr>
    <w:rPr>
      <w:b/>
      <w:sz w:val="36"/>
      <w:szCs w:val="36"/>
    </w:rPr>
  </w:style>
  <w:style w:type="paragraph" w:styleId="4">
    <w:name w:val="heading 3"/>
    <w:basedOn w:val="1"/>
    <w:next w:val="1"/>
    <w:link w:val="40"/>
    <w:unhideWhenUsed/>
    <w:qFormat/>
    <w:uiPriority w:val="0"/>
    <w:pPr>
      <w:keepNext/>
      <w:keepLines/>
      <w:spacing w:before="280" w:after="80"/>
      <w:outlineLvl w:val="2"/>
    </w:pPr>
    <w:rPr>
      <w:b/>
      <w:sz w:val="28"/>
      <w:szCs w:val="28"/>
    </w:rPr>
  </w:style>
  <w:style w:type="paragraph" w:styleId="5">
    <w:name w:val="heading 4"/>
    <w:basedOn w:val="1"/>
    <w:next w:val="1"/>
    <w:link w:val="41"/>
    <w:unhideWhenUsed/>
    <w:qFormat/>
    <w:uiPriority w:val="0"/>
    <w:pPr>
      <w:keepNext/>
      <w:keepLines/>
      <w:spacing w:before="240" w:after="40"/>
      <w:outlineLvl w:val="3"/>
    </w:pPr>
    <w:rPr>
      <w:b/>
      <w:sz w:val="24"/>
      <w:szCs w:val="24"/>
    </w:rPr>
  </w:style>
  <w:style w:type="paragraph" w:styleId="6">
    <w:name w:val="heading 5"/>
    <w:basedOn w:val="1"/>
    <w:next w:val="1"/>
    <w:link w:val="42"/>
    <w:unhideWhenUsed/>
    <w:qFormat/>
    <w:uiPriority w:val="0"/>
    <w:pPr>
      <w:keepNext/>
      <w:keepLines/>
      <w:spacing w:before="220" w:after="40"/>
      <w:outlineLvl w:val="4"/>
    </w:pPr>
    <w:rPr>
      <w:b/>
      <w:sz w:val="22"/>
      <w:szCs w:val="22"/>
    </w:rPr>
  </w:style>
  <w:style w:type="paragraph" w:styleId="7">
    <w:name w:val="heading 6"/>
    <w:basedOn w:val="1"/>
    <w:next w:val="1"/>
    <w:link w:val="43"/>
    <w:unhideWhenUsed/>
    <w:qFormat/>
    <w:uiPriority w:val="0"/>
    <w:pPr>
      <w:keepNext/>
      <w:keepLines/>
      <w:spacing w:before="200" w:after="40"/>
      <w:outlineLvl w:val="5"/>
    </w:pPr>
    <w:rPr>
      <w:b/>
    </w:rPr>
  </w:style>
  <w:style w:type="paragraph" w:styleId="8">
    <w:name w:val="heading 7"/>
    <w:basedOn w:val="1"/>
    <w:next w:val="1"/>
    <w:link w:val="44"/>
    <w:qFormat/>
    <w:uiPriority w:val="0"/>
    <w:pPr>
      <w:keepNext/>
      <w:keepLines/>
      <w:widowControl w:val="0"/>
      <w:suppressAutoHyphens/>
      <w:autoSpaceDN w:val="0"/>
      <w:spacing w:before="40"/>
      <w:textAlignment w:val="baseline"/>
      <w:outlineLvl w:val="6"/>
    </w:pPr>
    <w:rPr>
      <w:rFonts w:ascii="Calibri Light" w:hAnsi="Calibri Light"/>
      <w:i/>
      <w:iCs/>
      <w:color w:val="1F3763"/>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qFormat/>
    <w:uiPriority w:val="0"/>
    <w:rPr>
      <w:b/>
      <w:bCs/>
    </w:rPr>
  </w:style>
  <w:style w:type="character" w:styleId="12">
    <w:name w:val="annotation reference"/>
    <w:basedOn w:val="9"/>
    <w:unhideWhenUsed/>
    <w:qFormat/>
    <w:uiPriority w:val="0"/>
    <w:rPr>
      <w:sz w:val="16"/>
      <w:szCs w:val="16"/>
    </w:rPr>
  </w:style>
  <w:style w:type="character" w:styleId="13">
    <w:name w:val="FollowedHyperlink"/>
    <w:basedOn w:val="9"/>
    <w:semiHidden/>
    <w:unhideWhenUsed/>
    <w:qFormat/>
    <w:uiPriority w:val="99"/>
    <w:rPr>
      <w:color w:val="954F72"/>
      <w:u w:val="single"/>
    </w:rPr>
  </w:style>
  <w:style w:type="character" w:styleId="14">
    <w:name w:val="Emphasis"/>
    <w:qFormat/>
    <w:uiPriority w:val="20"/>
    <w:rPr>
      <w:i/>
      <w:iCs/>
    </w:rPr>
  </w:style>
  <w:style w:type="character" w:styleId="15">
    <w:name w:val="footnote reference"/>
    <w:basedOn w:val="9"/>
    <w:unhideWhenUsed/>
    <w:qFormat/>
    <w:uiPriority w:val="99"/>
    <w:rPr>
      <w:vertAlign w:val="superscript"/>
    </w:rPr>
  </w:style>
  <w:style w:type="character" w:styleId="16">
    <w:name w:val="Hyperlink"/>
    <w:basedOn w:val="9"/>
    <w:unhideWhenUsed/>
    <w:qFormat/>
    <w:uiPriority w:val="99"/>
    <w:rPr>
      <w:color w:val="0000FF"/>
      <w:u w:val="single"/>
    </w:rPr>
  </w:style>
  <w:style w:type="paragraph" w:styleId="17">
    <w:name w:val="List"/>
    <w:basedOn w:val="18"/>
    <w:qFormat/>
    <w:uiPriority w:val="0"/>
    <w:rPr>
      <w:rFonts w:cs="Mangal"/>
    </w:rPr>
  </w:style>
  <w:style w:type="paragraph" w:customStyle="1" w:styleId="18">
    <w:name w:val="Text body"/>
    <w:basedOn w:val="19"/>
    <w:qFormat/>
    <w:uiPriority w:val="0"/>
    <w:pPr>
      <w:spacing w:after="140" w:line="276" w:lineRule="auto"/>
    </w:pPr>
  </w:style>
  <w:style w:type="paragraph" w:customStyle="1" w:styleId="19">
    <w:name w:val="Standard"/>
    <w:qFormat/>
    <w:uiPriority w:val="0"/>
    <w:pPr>
      <w:suppressAutoHyphens/>
      <w:autoSpaceDN w:val="0"/>
      <w:spacing w:after="62" w:line="348" w:lineRule="auto"/>
      <w:ind w:left="10" w:right="16" w:hanging="10"/>
      <w:jc w:val="both"/>
      <w:textAlignment w:val="baseline"/>
    </w:pPr>
    <w:rPr>
      <w:rFonts w:ascii="Liberation Serif" w:hAnsi="Liberation Serif" w:eastAsia="Liberation Serif" w:cs="Liberation Serif"/>
      <w:color w:val="000000"/>
      <w:sz w:val="24"/>
      <w:szCs w:val="22"/>
      <w:lang w:val="pt-BR" w:eastAsia="pt-BR" w:bidi="ar-SA"/>
    </w:rPr>
  </w:style>
  <w:style w:type="paragraph" w:styleId="20">
    <w:name w:val="Body Text"/>
    <w:basedOn w:val="1"/>
    <w:link w:val="45"/>
    <w:qFormat/>
    <w:uiPriority w:val="1"/>
    <w:pPr>
      <w:widowControl w:val="0"/>
      <w:suppressAutoHyphens/>
    </w:pPr>
    <w:rPr>
      <w:rFonts w:ascii="Arial" w:hAnsi="Arial" w:eastAsia="Arial" w:cs="Arial"/>
      <w:sz w:val="24"/>
      <w:szCs w:val="24"/>
      <w:lang w:val="pt-PT" w:eastAsia="en-US"/>
    </w:rPr>
  </w:style>
  <w:style w:type="paragraph" w:styleId="21">
    <w:name w:val="annotation text"/>
    <w:basedOn w:val="1"/>
    <w:link w:val="46"/>
    <w:unhideWhenUsed/>
    <w:qFormat/>
    <w:uiPriority w:val="0"/>
    <w:pPr>
      <w:suppressAutoHyphens/>
    </w:pPr>
    <w:rPr>
      <w:rFonts w:ascii="Calibri" w:hAnsi="Calibri" w:eastAsia="Calibri"/>
      <w:lang w:val="en-US" w:eastAsia="zh-CN"/>
    </w:rPr>
  </w:style>
  <w:style w:type="paragraph" w:styleId="22">
    <w:name w:val="Body Text Indent 2"/>
    <w:basedOn w:val="1"/>
    <w:link w:val="47"/>
    <w:uiPriority w:val="0"/>
    <w:pPr>
      <w:spacing w:after="120" w:line="480" w:lineRule="auto"/>
      <w:ind w:left="283"/>
    </w:pPr>
    <w:rPr>
      <w:sz w:val="24"/>
      <w:szCs w:val="24"/>
    </w:rPr>
  </w:style>
  <w:style w:type="paragraph" w:styleId="23">
    <w:name w:val="Title"/>
    <w:basedOn w:val="1"/>
    <w:next w:val="1"/>
    <w:link w:val="48"/>
    <w:qFormat/>
    <w:uiPriority w:val="0"/>
    <w:pPr>
      <w:keepNext/>
      <w:keepLines/>
      <w:spacing w:before="480" w:after="120"/>
    </w:pPr>
    <w:rPr>
      <w:b/>
      <w:sz w:val="72"/>
      <w:szCs w:val="72"/>
    </w:rPr>
  </w:style>
  <w:style w:type="paragraph" w:styleId="24">
    <w:name w:val="Normal (Web)"/>
    <w:basedOn w:val="1"/>
    <w:unhideWhenUsed/>
    <w:qFormat/>
    <w:uiPriority w:val="0"/>
    <w:pPr>
      <w:spacing w:before="100" w:beforeAutospacing="1" w:after="100" w:afterAutospacing="1"/>
    </w:pPr>
    <w:rPr>
      <w:sz w:val="24"/>
      <w:szCs w:val="24"/>
    </w:rPr>
  </w:style>
  <w:style w:type="paragraph" w:styleId="25">
    <w:name w:val="Body Text 3"/>
    <w:basedOn w:val="1"/>
    <w:link w:val="49"/>
    <w:unhideWhenUsed/>
    <w:uiPriority w:val="99"/>
    <w:pPr>
      <w:spacing w:after="120" w:line="259" w:lineRule="auto"/>
    </w:pPr>
    <w:rPr>
      <w:rFonts w:asciiTheme="minorHAnsi" w:hAnsiTheme="minorHAnsi" w:eastAsiaTheme="minorHAnsi" w:cstheme="minorBidi"/>
      <w:sz w:val="16"/>
      <w:szCs w:val="16"/>
      <w:lang w:eastAsia="en-US"/>
    </w:rPr>
  </w:style>
  <w:style w:type="paragraph" w:styleId="26">
    <w:name w:val="HTML Preformatted"/>
    <w:basedOn w:val="1"/>
    <w:link w:val="50"/>
    <w:semiHidden/>
    <w:unhideWhenUsed/>
    <w:qFormat/>
    <w:uiPriority w:val="99"/>
    <w:rPr>
      <w:rFonts w:ascii="Consolas" w:hAnsi="Consolas" w:eastAsiaTheme="minorHAnsi" w:cstheme="minorBidi"/>
      <w:kern w:val="2"/>
      <w:lang w:eastAsia="en-US"/>
      <w14:ligatures w14:val="standardContextual"/>
    </w:rPr>
  </w:style>
  <w:style w:type="paragraph" w:styleId="27">
    <w:name w:val="header"/>
    <w:basedOn w:val="1"/>
    <w:link w:val="51"/>
    <w:qFormat/>
    <w:uiPriority w:val="99"/>
    <w:pPr>
      <w:tabs>
        <w:tab w:val="center" w:pos="4419"/>
        <w:tab w:val="right" w:pos="8838"/>
      </w:tabs>
    </w:pPr>
  </w:style>
  <w:style w:type="paragraph" w:styleId="28">
    <w:name w:val="annotation subject"/>
    <w:basedOn w:val="21"/>
    <w:next w:val="21"/>
    <w:link w:val="52"/>
    <w:unhideWhenUsed/>
    <w:uiPriority w:val="0"/>
    <w:pPr>
      <w:suppressAutoHyphens w:val="0"/>
      <w:spacing w:after="160"/>
    </w:pPr>
    <w:rPr>
      <w:rFonts w:asciiTheme="minorHAnsi" w:hAnsiTheme="minorHAnsi" w:eastAsiaTheme="minorHAnsi" w:cstheme="minorBidi"/>
      <w:b/>
      <w:bCs/>
      <w:lang w:val="pt-BR" w:eastAsia="en-US"/>
    </w:rPr>
  </w:style>
  <w:style w:type="paragraph" w:styleId="29">
    <w:name w:val="footer"/>
    <w:basedOn w:val="1"/>
    <w:link w:val="54"/>
    <w:unhideWhenUsed/>
    <w:qFormat/>
    <w:uiPriority w:val="99"/>
    <w:pPr>
      <w:tabs>
        <w:tab w:val="center" w:pos="4252"/>
        <w:tab w:val="right" w:pos="8504"/>
      </w:tabs>
    </w:pPr>
  </w:style>
  <w:style w:type="paragraph" w:styleId="30">
    <w:name w:val="caption"/>
    <w:basedOn w:val="1"/>
    <w:next w:val="1"/>
    <w:unhideWhenUsed/>
    <w:qFormat/>
    <w:uiPriority w:val="0"/>
    <w:pPr>
      <w:spacing w:after="200"/>
    </w:pPr>
    <w:rPr>
      <w:rFonts w:ascii="Calibri" w:hAnsi="Calibri" w:eastAsia="Calibri" w:cs="Calibri"/>
      <w:i/>
      <w:iCs/>
      <w:color w:val="1F497D" w:themeColor="text2"/>
      <w:sz w:val="18"/>
      <w:szCs w:val="18"/>
      <w14:textFill>
        <w14:solidFill>
          <w14:schemeClr w14:val="tx2"/>
        </w14:solidFill>
      </w14:textFill>
    </w:rPr>
  </w:style>
  <w:style w:type="paragraph" w:styleId="31">
    <w:name w:val="Body Text Indent 3"/>
    <w:basedOn w:val="1"/>
    <w:link w:val="55"/>
    <w:uiPriority w:val="0"/>
    <w:pPr>
      <w:spacing w:line="360" w:lineRule="auto"/>
      <w:ind w:firstLine="2552"/>
      <w:jc w:val="both"/>
    </w:pPr>
    <w:rPr>
      <w:rFonts w:ascii="Arial" w:hAnsi="Arial"/>
      <w:sz w:val="24"/>
    </w:rPr>
  </w:style>
  <w:style w:type="paragraph" w:styleId="32">
    <w:name w:val="Balloon Text"/>
    <w:basedOn w:val="1"/>
    <w:link w:val="56"/>
    <w:unhideWhenUsed/>
    <w:qFormat/>
    <w:uiPriority w:val="99"/>
    <w:rPr>
      <w:rFonts w:ascii="Segoe UI" w:hAnsi="Segoe UI" w:cs="Segoe UI" w:eastAsiaTheme="minorHAnsi"/>
      <w:sz w:val="18"/>
      <w:szCs w:val="18"/>
      <w:lang w:eastAsia="en-US"/>
    </w:rPr>
  </w:style>
  <w:style w:type="paragraph" w:styleId="33">
    <w:name w:val="Subtitle"/>
    <w:basedOn w:val="1"/>
    <w:next w:val="1"/>
    <w:link w:val="57"/>
    <w:qFormat/>
    <w:uiPriority w:val="11"/>
    <w:pPr>
      <w:keepNext/>
      <w:keepLines/>
      <w:spacing w:before="360" w:after="80"/>
    </w:pPr>
    <w:rPr>
      <w:rFonts w:ascii="Georgia" w:hAnsi="Georgia" w:eastAsia="Georgia" w:cs="Georgia"/>
      <w:i/>
      <w:color w:val="666666"/>
      <w:sz w:val="48"/>
      <w:szCs w:val="48"/>
    </w:rPr>
  </w:style>
  <w:style w:type="paragraph" w:styleId="34">
    <w:name w:val="footnote text"/>
    <w:basedOn w:val="1"/>
    <w:link w:val="58"/>
    <w:unhideWhenUsed/>
    <w:uiPriority w:val="99"/>
    <w:rPr>
      <w:rFonts w:asciiTheme="minorHAnsi" w:hAnsiTheme="minorHAnsi" w:eastAsiaTheme="minorHAnsi" w:cstheme="minorBidi"/>
      <w:lang w:eastAsia="en-US"/>
    </w:rPr>
  </w:style>
  <w:style w:type="paragraph" w:styleId="35">
    <w:name w:val="List Bullet"/>
    <w:basedOn w:val="1"/>
    <w:unhideWhenUsed/>
    <w:qFormat/>
    <w:uiPriority w:val="99"/>
    <w:pPr>
      <w:numPr>
        <w:ilvl w:val="0"/>
        <w:numId w:val="1"/>
      </w:numPr>
      <w:spacing w:after="160" w:line="259" w:lineRule="auto"/>
      <w:contextualSpacing/>
    </w:pPr>
    <w:rPr>
      <w:rFonts w:asciiTheme="minorHAnsi" w:hAnsiTheme="minorHAnsi" w:eastAsiaTheme="minorHAnsi" w:cstheme="minorBidi"/>
      <w:sz w:val="22"/>
      <w:szCs w:val="22"/>
      <w:lang w:eastAsia="en-US"/>
    </w:rPr>
  </w:style>
  <w:style w:type="paragraph" w:styleId="36">
    <w:name w:val="Body Text Indent"/>
    <w:basedOn w:val="1"/>
    <w:link w:val="59"/>
    <w:unhideWhenUsed/>
    <w:uiPriority w:val="0"/>
    <w:pPr>
      <w:widowControl w:val="0"/>
      <w:autoSpaceDE w:val="0"/>
      <w:autoSpaceDN w:val="0"/>
      <w:spacing w:after="120"/>
      <w:ind w:left="283"/>
    </w:pPr>
    <w:rPr>
      <w:rFonts w:ascii="Century Gothic" w:hAnsi="Century Gothic" w:eastAsia="Century Gothic" w:cs="Century Gothic"/>
      <w:sz w:val="22"/>
      <w:szCs w:val="22"/>
      <w:lang w:val="pt-PT" w:eastAsia="en-US"/>
    </w:rPr>
  </w:style>
  <w:style w:type="table" w:styleId="37">
    <w:name w:val="Table Grid"/>
    <w:basedOn w:val="10"/>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ítulo 1 Char"/>
    <w:basedOn w:val="9"/>
    <w:link w:val="2"/>
    <w:qFormat/>
    <w:uiPriority w:val="0"/>
    <w:rPr>
      <w:b/>
      <w:sz w:val="48"/>
      <w:szCs w:val="48"/>
    </w:rPr>
  </w:style>
  <w:style w:type="character" w:customStyle="1" w:styleId="39">
    <w:name w:val="Título 2 Char"/>
    <w:basedOn w:val="9"/>
    <w:link w:val="3"/>
    <w:qFormat/>
    <w:uiPriority w:val="0"/>
    <w:rPr>
      <w:b/>
      <w:sz w:val="36"/>
      <w:szCs w:val="36"/>
    </w:rPr>
  </w:style>
  <w:style w:type="character" w:customStyle="1" w:styleId="40">
    <w:name w:val="Título 3 Char"/>
    <w:basedOn w:val="9"/>
    <w:link w:val="4"/>
    <w:qFormat/>
    <w:uiPriority w:val="0"/>
    <w:rPr>
      <w:b/>
      <w:sz w:val="28"/>
      <w:szCs w:val="28"/>
    </w:rPr>
  </w:style>
  <w:style w:type="character" w:customStyle="1" w:styleId="41">
    <w:name w:val="Título 4 Char"/>
    <w:basedOn w:val="9"/>
    <w:link w:val="5"/>
    <w:qFormat/>
    <w:uiPriority w:val="0"/>
    <w:rPr>
      <w:b/>
      <w:sz w:val="24"/>
      <w:szCs w:val="24"/>
    </w:rPr>
  </w:style>
  <w:style w:type="character" w:customStyle="1" w:styleId="42">
    <w:name w:val="Título 5 Char"/>
    <w:basedOn w:val="9"/>
    <w:link w:val="6"/>
    <w:qFormat/>
    <w:uiPriority w:val="0"/>
    <w:rPr>
      <w:b/>
      <w:sz w:val="22"/>
      <w:szCs w:val="22"/>
    </w:rPr>
  </w:style>
  <w:style w:type="character" w:customStyle="1" w:styleId="43">
    <w:name w:val="Título 6 Char"/>
    <w:basedOn w:val="9"/>
    <w:link w:val="7"/>
    <w:qFormat/>
    <w:uiPriority w:val="0"/>
    <w:rPr>
      <w:b/>
    </w:rPr>
  </w:style>
  <w:style w:type="character" w:customStyle="1" w:styleId="44">
    <w:name w:val="Título 7 Char"/>
    <w:basedOn w:val="9"/>
    <w:link w:val="8"/>
    <w:qFormat/>
    <w:uiPriority w:val="0"/>
    <w:rPr>
      <w:rFonts w:ascii="Calibri Light" w:hAnsi="Calibri Light"/>
      <w:i/>
      <w:iCs/>
      <w:color w:val="1F3763"/>
      <w:sz w:val="22"/>
      <w:szCs w:val="22"/>
    </w:rPr>
  </w:style>
  <w:style w:type="character" w:customStyle="1" w:styleId="45">
    <w:name w:val="Corpo de texto Char"/>
    <w:basedOn w:val="9"/>
    <w:link w:val="20"/>
    <w:qFormat/>
    <w:uiPriority w:val="1"/>
    <w:rPr>
      <w:rFonts w:ascii="Arial" w:hAnsi="Arial" w:eastAsia="Arial" w:cs="Arial"/>
      <w:sz w:val="24"/>
      <w:szCs w:val="24"/>
      <w:lang w:val="pt-PT" w:eastAsia="en-US"/>
    </w:rPr>
  </w:style>
  <w:style w:type="character" w:customStyle="1" w:styleId="46">
    <w:name w:val="Texto de comentário Char"/>
    <w:basedOn w:val="9"/>
    <w:link w:val="21"/>
    <w:qFormat/>
    <w:uiPriority w:val="0"/>
    <w:rPr>
      <w:rFonts w:ascii="Calibri" w:hAnsi="Calibri" w:eastAsia="Calibri"/>
      <w:lang w:val="en-US" w:eastAsia="zh-CN"/>
    </w:rPr>
  </w:style>
  <w:style w:type="character" w:customStyle="1" w:styleId="47">
    <w:name w:val="Recuo de corpo de texto 2 Char"/>
    <w:basedOn w:val="9"/>
    <w:link w:val="22"/>
    <w:qFormat/>
    <w:uiPriority w:val="0"/>
    <w:rPr>
      <w:sz w:val="24"/>
      <w:szCs w:val="24"/>
    </w:rPr>
  </w:style>
  <w:style w:type="character" w:customStyle="1" w:styleId="48">
    <w:name w:val="Título Char"/>
    <w:basedOn w:val="9"/>
    <w:link w:val="23"/>
    <w:qFormat/>
    <w:uiPriority w:val="0"/>
    <w:rPr>
      <w:b/>
      <w:sz w:val="72"/>
      <w:szCs w:val="72"/>
    </w:rPr>
  </w:style>
  <w:style w:type="character" w:customStyle="1" w:styleId="49">
    <w:name w:val="Corpo de texto 3 Char"/>
    <w:basedOn w:val="9"/>
    <w:link w:val="25"/>
    <w:uiPriority w:val="99"/>
    <w:rPr>
      <w:rFonts w:asciiTheme="minorHAnsi" w:hAnsiTheme="minorHAnsi" w:eastAsiaTheme="minorHAnsi" w:cstheme="minorBidi"/>
      <w:sz w:val="16"/>
      <w:szCs w:val="16"/>
      <w:lang w:eastAsia="en-US"/>
    </w:rPr>
  </w:style>
  <w:style w:type="character" w:customStyle="1" w:styleId="50">
    <w:name w:val="Pré-formatação HTML Char"/>
    <w:basedOn w:val="9"/>
    <w:link w:val="26"/>
    <w:semiHidden/>
    <w:qFormat/>
    <w:uiPriority w:val="99"/>
    <w:rPr>
      <w:rFonts w:ascii="Consolas" w:hAnsi="Consolas" w:eastAsiaTheme="minorHAnsi" w:cstheme="minorBidi"/>
      <w:kern w:val="2"/>
      <w:lang w:eastAsia="en-US"/>
      <w14:ligatures w14:val="standardContextual"/>
    </w:rPr>
  </w:style>
  <w:style w:type="character" w:customStyle="1" w:styleId="51">
    <w:name w:val="Cabeçalho Char"/>
    <w:basedOn w:val="9"/>
    <w:link w:val="27"/>
    <w:qFormat/>
    <w:uiPriority w:val="99"/>
    <w:rPr>
      <w:rFonts w:ascii="Times New Roman" w:hAnsi="Times New Roman" w:eastAsia="Times New Roman" w:cs="Times New Roman"/>
      <w:sz w:val="20"/>
      <w:szCs w:val="20"/>
      <w:lang w:eastAsia="pt-BR"/>
    </w:rPr>
  </w:style>
  <w:style w:type="character" w:customStyle="1" w:styleId="52">
    <w:name w:val="Assunto do comentário Char"/>
    <w:basedOn w:val="53"/>
    <w:link w:val="28"/>
    <w:uiPriority w:val="0"/>
    <w:rPr>
      <w:rFonts w:asciiTheme="minorHAnsi" w:hAnsiTheme="minorHAnsi" w:eastAsiaTheme="minorHAnsi" w:cstheme="minorBidi"/>
      <w:b/>
      <w:bCs/>
      <w:lang w:eastAsia="en-US"/>
    </w:rPr>
  </w:style>
  <w:style w:type="character" w:customStyle="1" w:styleId="53">
    <w:name w:val="Texto de comentário Char1"/>
    <w:basedOn w:val="9"/>
    <w:semiHidden/>
    <w:qFormat/>
    <w:uiPriority w:val="99"/>
  </w:style>
  <w:style w:type="character" w:customStyle="1" w:styleId="54">
    <w:name w:val="Rodapé Char"/>
    <w:basedOn w:val="9"/>
    <w:link w:val="29"/>
    <w:qFormat/>
    <w:uiPriority w:val="99"/>
    <w:rPr>
      <w:rFonts w:ascii="Times New Roman" w:hAnsi="Times New Roman" w:eastAsia="Times New Roman" w:cs="Times New Roman"/>
      <w:sz w:val="20"/>
      <w:szCs w:val="20"/>
      <w:lang w:eastAsia="pt-BR"/>
    </w:rPr>
  </w:style>
  <w:style w:type="character" w:customStyle="1" w:styleId="55">
    <w:name w:val="Recuo de corpo de texto 3 Char"/>
    <w:basedOn w:val="9"/>
    <w:link w:val="31"/>
    <w:uiPriority w:val="0"/>
    <w:rPr>
      <w:rFonts w:ascii="Arial" w:hAnsi="Arial"/>
      <w:sz w:val="24"/>
    </w:rPr>
  </w:style>
  <w:style w:type="character" w:customStyle="1" w:styleId="56">
    <w:name w:val="Texto de balão Char"/>
    <w:basedOn w:val="9"/>
    <w:link w:val="32"/>
    <w:qFormat/>
    <w:uiPriority w:val="99"/>
    <w:rPr>
      <w:rFonts w:ascii="Segoe UI" w:hAnsi="Segoe UI" w:cs="Segoe UI" w:eastAsiaTheme="minorHAnsi"/>
      <w:sz w:val="18"/>
      <w:szCs w:val="18"/>
      <w:lang w:eastAsia="en-US"/>
    </w:rPr>
  </w:style>
  <w:style w:type="character" w:customStyle="1" w:styleId="57">
    <w:name w:val="Subtítulo Char"/>
    <w:basedOn w:val="9"/>
    <w:link w:val="33"/>
    <w:qFormat/>
    <w:uiPriority w:val="11"/>
    <w:rPr>
      <w:rFonts w:ascii="Georgia" w:hAnsi="Georgia" w:eastAsia="Georgia" w:cs="Georgia"/>
      <w:i/>
      <w:color w:val="666666"/>
      <w:sz w:val="48"/>
      <w:szCs w:val="48"/>
    </w:rPr>
  </w:style>
  <w:style w:type="character" w:customStyle="1" w:styleId="58">
    <w:name w:val="Texto de nota de rodapé Char"/>
    <w:basedOn w:val="9"/>
    <w:link w:val="34"/>
    <w:uiPriority w:val="99"/>
    <w:rPr>
      <w:rFonts w:asciiTheme="minorHAnsi" w:hAnsiTheme="minorHAnsi" w:eastAsiaTheme="minorHAnsi" w:cstheme="minorBidi"/>
      <w:lang w:eastAsia="en-US"/>
    </w:rPr>
  </w:style>
  <w:style w:type="character" w:customStyle="1" w:styleId="59">
    <w:name w:val="Recuo de corpo de texto Char"/>
    <w:basedOn w:val="9"/>
    <w:link w:val="36"/>
    <w:uiPriority w:val="0"/>
    <w:rPr>
      <w:rFonts w:ascii="Century Gothic" w:hAnsi="Century Gothic" w:eastAsia="Century Gothic" w:cs="Century Gothic"/>
      <w:sz w:val="22"/>
      <w:szCs w:val="22"/>
      <w:lang w:val="pt-PT" w:eastAsia="en-US"/>
    </w:rPr>
  </w:style>
  <w:style w:type="table" w:customStyle="1" w:styleId="60">
    <w:name w:val="Table Normal"/>
    <w:qFormat/>
    <w:uiPriority w:val="0"/>
    <w:tblPr>
      <w:tblCellMar>
        <w:top w:w="0" w:type="dxa"/>
        <w:left w:w="0" w:type="dxa"/>
        <w:bottom w:w="0" w:type="dxa"/>
        <w:right w:w="0" w:type="dxa"/>
      </w:tblCellMar>
    </w:tblPr>
  </w:style>
  <w:style w:type="paragraph" w:styleId="61">
    <w:name w:val="List Paragraph"/>
    <w:basedOn w:val="1"/>
    <w:link w:val="62"/>
    <w:qFormat/>
    <w:uiPriority w:val="0"/>
    <w:pPr>
      <w:ind w:left="720"/>
      <w:contextualSpacing/>
    </w:pPr>
  </w:style>
  <w:style w:type="character" w:customStyle="1" w:styleId="62">
    <w:name w:val="Parágrafo da Lista Char"/>
    <w:link w:val="61"/>
    <w:qFormat/>
    <w:uiPriority w:val="1"/>
  </w:style>
  <w:style w:type="table" w:customStyle="1" w:styleId="63">
    <w:name w:val="_Style 17"/>
    <w:basedOn w:val="60"/>
    <w:qFormat/>
    <w:uiPriority w:val="0"/>
    <w:tblPr>
      <w:tblCellMar>
        <w:left w:w="115" w:type="dxa"/>
        <w:right w:w="115" w:type="dxa"/>
      </w:tblCellMar>
    </w:tblPr>
  </w:style>
  <w:style w:type="table" w:customStyle="1" w:styleId="64">
    <w:name w:val="_Style 18"/>
    <w:basedOn w:val="60"/>
    <w:qFormat/>
    <w:uiPriority w:val="0"/>
    <w:tblPr>
      <w:tblCellMar>
        <w:left w:w="115" w:type="dxa"/>
        <w:right w:w="115" w:type="dxa"/>
      </w:tblCellMar>
    </w:tblPr>
  </w:style>
  <w:style w:type="table" w:customStyle="1" w:styleId="65">
    <w:name w:val="_Style 19"/>
    <w:basedOn w:val="60"/>
    <w:qFormat/>
    <w:uiPriority w:val="0"/>
    <w:tblPr>
      <w:tblCellMar>
        <w:left w:w="115" w:type="dxa"/>
        <w:right w:w="115" w:type="dxa"/>
      </w:tblCellMar>
    </w:tblPr>
  </w:style>
  <w:style w:type="table" w:customStyle="1" w:styleId="66">
    <w:name w:val="_Style 20"/>
    <w:basedOn w:val="60"/>
    <w:qFormat/>
    <w:uiPriority w:val="0"/>
    <w:tblPr>
      <w:tblCellMar>
        <w:left w:w="115" w:type="dxa"/>
        <w:right w:w="115" w:type="dxa"/>
      </w:tblCellMar>
    </w:tblPr>
  </w:style>
  <w:style w:type="table" w:customStyle="1" w:styleId="67">
    <w:name w:val="_Style 21"/>
    <w:basedOn w:val="60"/>
    <w:qFormat/>
    <w:uiPriority w:val="0"/>
    <w:tblPr>
      <w:tblCellMar>
        <w:left w:w="115" w:type="dxa"/>
        <w:right w:w="115" w:type="dxa"/>
      </w:tblCellMar>
    </w:tblPr>
  </w:style>
  <w:style w:type="table" w:customStyle="1" w:styleId="68">
    <w:name w:val="_Style 22"/>
    <w:basedOn w:val="60"/>
    <w:qFormat/>
    <w:uiPriority w:val="0"/>
    <w:tblPr>
      <w:tblCellMar>
        <w:left w:w="115" w:type="dxa"/>
        <w:right w:w="115" w:type="dxa"/>
      </w:tblCellMar>
    </w:tblPr>
  </w:style>
  <w:style w:type="table" w:customStyle="1" w:styleId="69">
    <w:name w:val="_Style 23"/>
    <w:basedOn w:val="60"/>
    <w:qFormat/>
    <w:uiPriority w:val="0"/>
    <w:tblPr>
      <w:tblCellMar>
        <w:left w:w="70" w:type="dxa"/>
        <w:right w:w="70" w:type="dxa"/>
      </w:tblCellMar>
    </w:tblPr>
  </w:style>
  <w:style w:type="paragraph" w:customStyle="1" w:styleId="70">
    <w:name w:val="TEXTO"/>
    <w:basedOn w:val="1"/>
    <w:autoRedefine/>
    <w:qFormat/>
    <w:uiPriority w:val="0"/>
    <w:pPr>
      <w:suppressAutoHyphens/>
      <w:spacing w:line="360" w:lineRule="auto"/>
      <w:ind w:left="142" w:right="537"/>
      <w:jc w:val="both"/>
    </w:pPr>
    <w:rPr>
      <w:rFonts w:eastAsia="Cambria Math" w:asciiTheme="minorHAnsi" w:hAnsiTheme="minorHAnsi" w:cstheme="minorHAnsi"/>
      <w:color w:val="000000" w:themeColor="text1"/>
      <w:sz w:val="24"/>
      <w:szCs w:val="24"/>
      <w14:textFill>
        <w14:solidFill>
          <w14:schemeClr w14:val="tx1"/>
        </w14:solidFill>
      </w14:textFill>
    </w:rPr>
  </w:style>
  <w:style w:type="paragraph" w:customStyle="1" w:styleId="71">
    <w:name w:val="WW-Texto sem formatação"/>
    <w:basedOn w:val="1"/>
    <w:qFormat/>
    <w:uiPriority w:val="0"/>
    <w:pPr>
      <w:suppressAutoHyphens/>
    </w:pPr>
    <w:rPr>
      <w:rFonts w:ascii="Courier New" w:hAnsi="Courier New" w:cs="Courier New"/>
      <w:lang w:eastAsia="ar-SA"/>
    </w:rPr>
  </w:style>
  <w:style w:type="character" w:customStyle="1" w:styleId="72">
    <w:name w:val="Footnote Characters"/>
    <w:basedOn w:val="9"/>
    <w:semiHidden/>
    <w:unhideWhenUsed/>
    <w:qFormat/>
    <w:uiPriority w:val="99"/>
    <w:rPr>
      <w:vertAlign w:val="superscript"/>
    </w:rPr>
  </w:style>
  <w:style w:type="paragraph" w:customStyle="1" w:styleId="73">
    <w:name w:val="Table Paragraph"/>
    <w:basedOn w:val="1"/>
    <w:qFormat/>
    <w:uiPriority w:val="1"/>
    <w:pPr>
      <w:widowControl w:val="0"/>
      <w:suppressAutoHyphens/>
      <w:spacing w:before="115"/>
      <w:ind w:left="107"/>
    </w:pPr>
    <w:rPr>
      <w:rFonts w:ascii="Arial" w:hAnsi="Arial" w:eastAsia="Arial" w:cs="Arial"/>
      <w:sz w:val="22"/>
      <w:szCs w:val="22"/>
      <w:lang w:val="pt-PT" w:eastAsia="en-US"/>
    </w:rPr>
  </w:style>
  <w:style w:type="paragraph" w:customStyle="1" w:styleId="74">
    <w:name w:val="Default"/>
    <w:link w:val="75"/>
    <w:qFormat/>
    <w:uiPriority w:val="0"/>
    <w:pPr>
      <w:autoSpaceDE w:val="0"/>
      <w:autoSpaceDN w:val="0"/>
      <w:adjustRightInd w:val="0"/>
    </w:pPr>
    <w:rPr>
      <w:rFonts w:ascii="Minion Pro" w:hAnsi="Minion Pro" w:cs="Minion Pro" w:eastAsiaTheme="minorHAnsi"/>
      <w:color w:val="000000"/>
      <w:sz w:val="24"/>
      <w:szCs w:val="24"/>
      <w:lang w:val="pt-BR" w:eastAsia="en-US" w:bidi="ar-SA"/>
    </w:rPr>
  </w:style>
  <w:style w:type="character" w:customStyle="1" w:styleId="75">
    <w:name w:val="Default Char"/>
    <w:link w:val="74"/>
    <w:qFormat/>
    <w:uiPriority w:val="0"/>
    <w:rPr>
      <w:rFonts w:ascii="Minion Pro" w:hAnsi="Minion Pro" w:cs="Minion Pro" w:eastAsiaTheme="minorHAnsi"/>
      <w:color w:val="000000"/>
      <w:sz w:val="24"/>
      <w:szCs w:val="24"/>
      <w:lang w:eastAsia="en-US"/>
    </w:rPr>
  </w:style>
  <w:style w:type="character" w:customStyle="1" w:styleId="76">
    <w:name w:val="Menção Pendente1"/>
    <w:basedOn w:val="9"/>
    <w:semiHidden/>
    <w:unhideWhenUsed/>
    <w:uiPriority w:val="99"/>
    <w:rPr>
      <w:color w:val="605E5C"/>
      <w:shd w:val="clear" w:color="auto" w:fill="E1DFDD"/>
    </w:rPr>
  </w:style>
  <w:style w:type="paragraph" w:customStyle="1" w:styleId="77">
    <w:name w:val="Normal1"/>
    <w:qFormat/>
    <w:uiPriority w:val="0"/>
    <w:pPr>
      <w:spacing w:line="276" w:lineRule="auto"/>
    </w:pPr>
    <w:rPr>
      <w:rFonts w:ascii="Arial" w:hAnsi="Arial" w:eastAsia="Arial" w:cs="Arial"/>
      <w:sz w:val="22"/>
      <w:szCs w:val="22"/>
      <w:lang w:val="pt-BR" w:eastAsia="pt-BR" w:bidi="ar-SA"/>
    </w:rPr>
  </w:style>
  <w:style w:type="table" w:customStyle="1" w:styleId="78">
    <w:name w:val="Tabela com grade1"/>
    <w:basedOn w:val="10"/>
    <w:qFormat/>
    <w:uiPriority w:val="3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79">
    <w:name w:val="Tabela com grade2"/>
    <w:basedOn w:val="10"/>
    <w:qFormat/>
    <w:uiPriority w:val="5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80">
    <w:name w:val="t1"/>
    <w:basedOn w:val="1"/>
    <w:qFormat/>
    <w:uiPriority w:val="0"/>
    <w:pPr>
      <w:widowControl w:val="0"/>
      <w:autoSpaceDE w:val="0"/>
      <w:autoSpaceDN w:val="0"/>
      <w:adjustRightInd w:val="0"/>
      <w:spacing w:line="240" w:lineRule="atLeast"/>
    </w:pPr>
    <w:rPr>
      <w:sz w:val="24"/>
      <w:szCs w:val="24"/>
      <w:lang w:val="en-US"/>
    </w:rPr>
  </w:style>
  <w:style w:type="character" w:customStyle="1" w:styleId="81">
    <w:name w:val="apple-converted-space"/>
    <w:qFormat/>
    <w:uiPriority w:val="0"/>
  </w:style>
  <w:style w:type="paragraph" w:customStyle="1" w:styleId="82">
    <w:name w:val="TCU - Epígrafe"/>
    <w:basedOn w:val="1"/>
    <w:qFormat/>
    <w:uiPriority w:val="0"/>
    <w:pPr>
      <w:ind w:left="2835"/>
      <w:jc w:val="both"/>
    </w:pPr>
    <w:rPr>
      <w:sz w:val="24"/>
    </w:rPr>
  </w:style>
  <w:style w:type="paragraph" w:customStyle="1" w:styleId="83">
    <w:name w:val="TCU - Sem Recuo"/>
    <w:basedOn w:val="1"/>
    <w:qFormat/>
    <w:uiPriority w:val="0"/>
    <w:pPr>
      <w:tabs>
        <w:tab w:val="left" w:pos="1134"/>
      </w:tabs>
      <w:spacing w:after="160"/>
      <w:jc w:val="both"/>
    </w:pPr>
    <w:rPr>
      <w:sz w:val="24"/>
    </w:rPr>
  </w:style>
  <w:style w:type="paragraph" w:customStyle="1" w:styleId="84">
    <w:name w:val="TCU - Rel/Voto - demais §§"/>
    <w:basedOn w:val="1"/>
    <w:qFormat/>
    <w:uiPriority w:val="0"/>
    <w:pPr>
      <w:tabs>
        <w:tab w:val="left" w:pos="1134"/>
      </w:tabs>
      <w:spacing w:after="160"/>
      <w:jc w:val="both"/>
    </w:pPr>
    <w:rPr>
      <w:sz w:val="24"/>
      <w:szCs w:val="22"/>
      <w:lang w:eastAsia="en-US"/>
    </w:rPr>
  </w:style>
  <w:style w:type="paragraph" w:customStyle="1" w:styleId="85">
    <w:name w:val="corpo de texto"/>
    <w:basedOn w:val="31"/>
    <w:qFormat/>
    <w:uiPriority w:val="0"/>
    <w:pPr>
      <w:spacing w:line="240" w:lineRule="auto"/>
      <w:ind w:firstLine="1134"/>
    </w:pPr>
    <w:rPr>
      <w:rFonts w:ascii="Times New Roman" w:hAnsi="Times New Roman"/>
    </w:rPr>
  </w:style>
  <w:style w:type="character" w:customStyle="1" w:styleId="86">
    <w:name w:val="titulo"/>
    <w:qFormat/>
    <w:uiPriority w:val="0"/>
  </w:style>
  <w:style w:type="character" w:customStyle="1" w:styleId="87">
    <w:name w:val="corpojustificado"/>
    <w:qFormat/>
    <w:uiPriority w:val="0"/>
  </w:style>
  <w:style w:type="paragraph" w:customStyle="1" w:styleId="88">
    <w:name w:val="04partenormativa"/>
    <w:basedOn w:val="1"/>
    <w:qFormat/>
    <w:uiPriority w:val="0"/>
    <w:pPr>
      <w:spacing w:before="100" w:beforeAutospacing="1" w:after="100" w:afterAutospacing="1"/>
    </w:pPr>
    <w:rPr>
      <w:sz w:val="24"/>
      <w:szCs w:val="24"/>
    </w:rPr>
  </w:style>
  <w:style w:type="paragraph" w:customStyle="1" w:styleId="89">
    <w:name w:val="Style 2"/>
    <w:basedOn w:val="1"/>
    <w:qFormat/>
    <w:uiPriority w:val="99"/>
    <w:pPr>
      <w:widowControl w:val="0"/>
      <w:autoSpaceDE w:val="0"/>
      <w:autoSpaceDN w:val="0"/>
      <w:ind w:firstLine="288"/>
      <w:jc w:val="both"/>
    </w:pPr>
    <w:rPr>
      <w:sz w:val="19"/>
      <w:szCs w:val="19"/>
    </w:rPr>
  </w:style>
  <w:style w:type="character" w:customStyle="1" w:styleId="90">
    <w:name w:val="Character Style 1"/>
    <w:qFormat/>
    <w:uiPriority w:val="99"/>
    <w:rPr>
      <w:sz w:val="19"/>
      <w:szCs w:val="19"/>
    </w:rPr>
  </w:style>
  <w:style w:type="paragraph" w:customStyle="1" w:styleId="91">
    <w:name w:val="Style 3"/>
    <w:basedOn w:val="1"/>
    <w:qFormat/>
    <w:uiPriority w:val="99"/>
    <w:pPr>
      <w:widowControl w:val="0"/>
      <w:autoSpaceDE w:val="0"/>
      <w:autoSpaceDN w:val="0"/>
      <w:spacing w:before="324" w:line="360" w:lineRule="auto"/>
      <w:ind w:right="144"/>
      <w:jc w:val="both"/>
    </w:pPr>
    <w:rPr>
      <w:rFonts w:ascii="Arial" w:hAnsi="Arial" w:cs="Arial"/>
      <w:sz w:val="23"/>
      <w:szCs w:val="23"/>
    </w:rPr>
  </w:style>
  <w:style w:type="character" w:customStyle="1" w:styleId="92">
    <w:name w:val="Character Style 2"/>
    <w:qFormat/>
    <w:uiPriority w:val="99"/>
    <w:rPr>
      <w:sz w:val="20"/>
      <w:szCs w:val="20"/>
    </w:rPr>
  </w:style>
  <w:style w:type="paragraph" w:customStyle="1" w:styleId="93">
    <w:name w:val="textbody"/>
    <w:basedOn w:val="1"/>
    <w:qFormat/>
    <w:uiPriority w:val="0"/>
    <w:pPr>
      <w:spacing w:before="100" w:beforeAutospacing="1" w:after="100" w:afterAutospacing="1"/>
    </w:pPr>
    <w:rPr>
      <w:sz w:val="24"/>
      <w:szCs w:val="24"/>
    </w:rPr>
  </w:style>
  <w:style w:type="paragraph" w:customStyle="1" w:styleId="94">
    <w:name w:val="tcu_-_transcrição"/>
    <w:basedOn w:val="1"/>
    <w:qFormat/>
    <w:uiPriority w:val="0"/>
    <w:pPr>
      <w:spacing w:before="100" w:beforeAutospacing="1" w:after="100" w:afterAutospacing="1"/>
    </w:pPr>
    <w:rPr>
      <w:sz w:val="24"/>
      <w:szCs w:val="24"/>
    </w:rPr>
  </w:style>
  <w:style w:type="paragraph" w:customStyle="1" w:styleId="95">
    <w:name w:val="tcu_-_rel/voto_-_demais_§§"/>
    <w:basedOn w:val="1"/>
    <w:qFormat/>
    <w:uiPriority w:val="0"/>
    <w:pPr>
      <w:spacing w:before="100" w:beforeAutospacing="1" w:after="100" w:afterAutospacing="1"/>
    </w:pPr>
    <w:rPr>
      <w:sz w:val="24"/>
      <w:szCs w:val="24"/>
    </w:rPr>
  </w:style>
  <w:style w:type="paragraph" w:customStyle="1" w:styleId="96">
    <w:name w:val="tcu_-_centralizado"/>
    <w:basedOn w:val="1"/>
    <w:qFormat/>
    <w:uiPriority w:val="0"/>
    <w:pPr>
      <w:spacing w:before="100" w:beforeAutospacing="1" w:after="100" w:afterAutospacing="1"/>
    </w:pPr>
    <w:rPr>
      <w:sz w:val="24"/>
      <w:szCs w:val="24"/>
    </w:rPr>
  </w:style>
  <w:style w:type="paragraph" w:customStyle="1" w:styleId="97">
    <w:name w:val="texto_justificado_recuo_primeira_linha"/>
    <w:basedOn w:val="1"/>
    <w:qFormat/>
    <w:uiPriority w:val="0"/>
    <w:pPr>
      <w:spacing w:before="100" w:beforeAutospacing="1" w:after="100" w:afterAutospacing="1"/>
    </w:pPr>
    <w:rPr>
      <w:sz w:val="24"/>
      <w:szCs w:val="24"/>
    </w:rPr>
  </w:style>
  <w:style w:type="paragraph" w:customStyle="1" w:styleId="98">
    <w:name w:val="citacao"/>
    <w:basedOn w:val="1"/>
    <w:qFormat/>
    <w:uiPriority w:val="0"/>
    <w:pPr>
      <w:spacing w:before="100" w:beforeAutospacing="1" w:after="100" w:afterAutospacing="1"/>
    </w:pPr>
    <w:rPr>
      <w:sz w:val="24"/>
      <w:szCs w:val="24"/>
    </w:rPr>
  </w:style>
  <w:style w:type="paragraph" w:customStyle="1" w:styleId="99">
    <w:name w:val="Nivel 2"/>
    <w:basedOn w:val="1"/>
    <w:link w:val="100"/>
    <w:qFormat/>
    <w:uiPriority w:val="0"/>
    <w:pPr>
      <w:spacing w:before="120" w:after="120" w:line="276" w:lineRule="auto"/>
      <w:ind w:left="4969" w:hanging="432"/>
      <w:jc w:val="both"/>
    </w:pPr>
    <w:rPr>
      <w:rFonts w:ascii="Arial" w:hAnsi="Arial" w:cs="Arial"/>
      <w:color w:val="000000"/>
    </w:rPr>
  </w:style>
  <w:style w:type="character" w:customStyle="1" w:styleId="100">
    <w:name w:val="Nivel 2 Char"/>
    <w:link w:val="99"/>
    <w:qFormat/>
    <w:locked/>
    <w:uiPriority w:val="0"/>
    <w:rPr>
      <w:rFonts w:ascii="Arial" w:hAnsi="Arial" w:cs="Arial"/>
      <w:color w:val="000000"/>
    </w:rPr>
  </w:style>
  <w:style w:type="paragraph" w:customStyle="1" w:styleId="101">
    <w:name w:val="Nivel 01"/>
    <w:basedOn w:val="2"/>
    <w:next w:val="1"/>
    <w:link w:val="102"/>
    <w:qFormat/>
    <w:uiPriority w:val="0"/>
    <w:pPr>
      <w:tabs>
        <w:tab w:val="left" w:pos="567"/>
      </w:tabs>
      <w:spacing w:before="240" w:after="0"/>
      <w:ind w:left="360" w:hanging="360"/>
      <w:jc w:val="both"/>
    </w:pPr>
    <w:rPr>
      <w:rFonts w:ascii="Arial" w:hAnsi="Arial" w:cs="Arial"/>
      <w:bCs/>
      <w:sz w:val="20"/>
      <w:szCs w:val="20"/>
    </w:rPr>
  </w:style>
  <w:style w:type="character" w:customStyle="1" w:styleId="102">
    <w:name w:val="Nivel 01 Char"/>
    <w:link w:val="101"/>
    <w:qFormat/>
    <w:uiPriority w:val="0"/>
    <w:rPr>
      <w:rFonts w:ascii="Arial" w:hAnsi="Arial" w:cs="Arial"/>
      <w:b/>
      <w:bCs/>
    </w:rPr>
  </w:style>
  <w:style w:type="paragraph" w:customStyle="1" w:styleId="103">
    <w:name w:val="Nivel 3"/>
    <w:basedOn w:val="1"/>
    <w:link w:val="104"/>
    <w:qFormat/>
    <w:uiPriority w:val="0"/>
    <w:pPr>
      <w:spacing w:before="120" w:after="120" w:line="276" w:lineRule="auto"/>
      <w:ind w:left="3198" w:hanging="504"/>
      <w:jc w:val="both"/>
    </w:pPr>
    <w:rPr>
      <w:rFonts w:ascii="Arial" w:hAnsi="Arial" w:cs="Arial"/>
      <w:color w:val="000000"/>
    </w:rPr>
  </w:style>
  <w:style w:type="character" w:customStyle="1" w:styleId="104">
    <w:name w:val="Nivel 3 Char"/>
    <w:link w:val="103"/>
    <w:qFormat/>
    <w:uiPriority w:val="0"/>
    <w:rPr>
      <w:rFonts w:ascii="Arial" w:hAnsi="Arial" w:cs="Arial"/>
      <w:color w:val="000000"/>
    </w:rPr>
  </w:style>
  <w:style w:type="paragraph" w:customStyle="1" w:styleId="105">
    <w:name w:val="Nivel_01_Titulo"/>
    <w:basedOn w:val="2"/>
    <w:next w:val="1"/>
    <w:link w:val="106"/>
    <w:qFormat/>
    <w:uiPriority w:val="0"/>
    <w:pPr>
      <w:numPr>
        <w:ilvl w:val="0"/>
        <w:numId w:val="2"/>
      </w:numPr>
      <w:tabs>
        <w:tab w:val="left" w:pos="567"/>
      </w:tabs>
      <w:spacing w:before="240" w:after="0"/>
      <w:ind w:left="360" w:hanging="990"/>
      <w:jc w:val="both"/>
    </w:pPr>
    <w:rPr>
      <w:rFonts w:ascii="Arial" w:hAnsi="Arial"/>
      <w:bCs/>
      <w:color w:val="2F5496"/>
      <w:sz w:val="20"/>
      <w:szCs w:val="20"/>
    </w:rPr>
  </w:style>
  <w:style w:type="character" w:customStyle="1" w:styleId="106">
    <w:name w:val="Nivel_01_Titulo Char"/>
    <w:link w:val="105"/>
    <w:qFormat/>
    <w:uiPriority w:val="0"/>
    <w:rPr>
      <w:rFonts w:ascii="Arial" w:hAnsi="Arial"/>
      <w:b/>
      <w:bCs/>
      <w:color w:val="2F5496"/>
    </w:rPr>
  </w:style>
  <w:style w:type="paragraph" w:customStyle="1" w:styleId="107">
    <w:name w:val="Nivel1"/>
    <w:basedOn w:val="2"/>
    <w:next w:val="1"/>
    <w:qFormat/>
    <w:uiPriority w:val="0"/>
    <w:pPr>
      <w:numPr>
        <w:ilvl w:val="0"/>
        <w:numId w:val="3"/>
      </w:numPr>
      <w:spacing w:line="276" w:lineRule="auto"/>
      <w:ind w:left="1859"/>
      <w:jc w:val="both"/>
    </w:pPr>
    <w:rPr>
      <w:rFonts w:ascii="Arial" w:hAnsi="Arial" w:cs="Arial"/>
      <w:color w:val="000000"/>
      <w:sz w:val="32"/>
      <w:szCs w:val="32"/>
      <w:lang w:eastAsia="en-US"/>
    </w:rPr>
  </w:style>
  <w:style w:type="paragraph" w:customStyle="1" w:styleId="108">
    <w:name w:val="Nível 2 -Red"/>
    <w:basedOn w:val="99"/>
    <w:link w:val="109"/>
    <w:qFormat/>
    <w:uiPriority w:val="0"/>
    <w:pPr>
      <w:numPr>
        <w:ilvl w:val="1"/>
        <w:numId w:val="2"/>
      </w:numPr>
      <w:ind w:left="4969" w:hanging="360"/>
    </w:pPr>
    <w:rPr>
      <w:i/>
      <w:iCs/>
      <w:color w:val="FF0000"/>
    </w:rPr>
  </w:style>
  <w:style w:type="character" w:customStyle="1" w:styleId="109">
    <w:name w:val="Nível 2 -Red Char"/>
    <w:link w:val="108"/>
    <w:qFormat/>
    <w:uiPriority w:val="0"/>
    <w:rPr>
      <w:rFonts w:ascii="Arial" w:hAnsi="Arial" w:cs="Arial"/>
      <w:i/>
      <w:iCs/>
      <w:color w:val="FF0000"/>
    </w:rPr>
  </w:style>
  <w:style w:type="paragraph" w:customStyle="1" w:styleId="110">
    <w:name w:val="Nível 3-R"/>
    <w:basedOn w:val="103"/>
    <w:link w:val="111"/>
    <w:qFormat/>
    <w:uiPriority w:val="0"/>
    <w:pPr>
      <w:numPr>
        <w:ilvl w:val="2"/>
        <w:numId w:val="2"/>
      </w:numPr>
    </w:pPr>
    <w:rPr>
      <w:i/>
      <w:iCs/>
      <w:color w:val="FF0000"/>
    </w:rPr>
  </w:style>
  <w:style w:type="character" w:customStyle="1" w:styleId="111">
    <w:name w:val="Nível 3-R Char"/>
    <w:link w:val="110"/>
    <w:qFormat/>
    <w:uiPriority w:val="0"/>
    <w:rPr>
      <w:rFonts w:ascii="Arial" w:hAnsi="Arial" w:cs="Arial"/>
      <w:i/>
      <w:iCs/>
      <w:color w:val="FF0000"/>
    </w:rPr>
  </w:style>
  <w:style w:type="paragraph" w:customStyle="1" w:styleId="112">
    <w:name w:val="Nível 4-R"/>
    <w:basedOn w:val="1"/>
    <w:qFormat/>
    <w:uiPriority w:val="0"/>
    <w:pPr>
      <w:numPr>
        <w:ilvl w:val="3"/>
        <w:numId w:val="2"/>
      </w:numPr>
      <w:spacing w:before="120" w:after="120" w:line="276" w:lineRule="auto"/>
      <w:ind w:left="2491" w:hanging="648"/>
      <w:jc w:val="both"/>
    </w:pPr>
    <w:rPr>
      <w:rFonts w:ascii="Arial" w:hAnsi="Arial" w:cs="Arial"/>
      <w:i/>
      <w:iCs/>
      <w:color w:val="FF0000"/>
    </w:rPr>
  </w:style>
  <w:style w:type="paragraph" w:customStyle="1" w:styleId="113">
    <w:name w:val="ou"/>
    <w:basedOn w:val="61"/>
    <w:link w:val="114"/>
    <w:qFormat/>
    <w:uiPriority w:val="0"/>
    <w:pPr>
      <w:spacing w:before="60" w:after="60" w:line="259" w:lineRule="auto"/>
      <w:ind w:left="0"/>
      <w:contextualSpacing w:val="0"/>
      <w:jc w:val="center"/>
    </w:pPr>
    <w:rPr>
      <w:rFonts w:ascii="Arial" w:hAnsi="Arial" w:eastAsia="Calibri" w:cs="Arial"/>
      <w:b/>
      <w:bCs/>
      <w:i/>
      <w:iCs/>
      <w:color w:val="FF0000"/>
      <w:sz w:val="24"/>
      <w:szCs w:val="24"/>
      <w:u w:val="single"/>
    </w:rPr>
  </w:style>
  <w:style w:type="character" w:customStyle="1" w:styleId="114">
    <w:name w:val="ou Char"/>
    <w:link w:val="113"/>
    <w:qFormat/>
    <w:uiPriority w:val="0"/>
    <w:rPr>
      <w:rFonts w:ascii="Arial" w:hAnsi="Arial" w:eastAsia="Calibri" w:cs="Arial"/>
      <w:b/>
      <w:bCs/>
      <w:i/>
      <w:iCs/>
      <w:color w:val="FF0000"/>
      <w:sz w:val="24"/>
      <w:szCs w:val="24"/>
      <w:u w:val="single"/>
    </w:rPr>
  </w:style>
  <w:style w:type="paragraph" w:customStyle="1" w:styleId="115">
    <w:name w:val="Nivel 3-erro"/>
    <w:basedOn w:val="103"/>
    <w:link w:val="116"/>
    <w:qFormat/>
    <w:uiPriority w:val="0"/>
    <w:pPr>
      <w:spacing w:line="240" w:lineRule="auto"/>
      <w:ind w:left="425"/>
    </w:pPr>
    <w:rPr>
      <w:rFonts w:cs="Tahoma"/>
      <w:color w:val="auto"/>
      <w:szCs w:val="24"/>
    </w:rPr>
  </w:style>
  <w:style w:type="character" w:customStyle="1" w:styleId="116">
    <w:name w:val="Nivel 3-erro Char"/>
    <w:link w:val="115"/>
    <w:qFormat/>
    <w:uiPriority w:val="0"/>
    <w:rPr>
      <w:rFonts w:ascii="Arial" w:hAnsi="Arial" w:cs="Tahoma"/>
      <w:szCs w:val="24"/>
    </w:rPr>
  </w:style>
  <w:style w:type="character" w:customStyle="1" w:styleId="117">
    <w:name w:val="normaltextrun"/>
    <w:basedOn w:val="9"/>
    <w:qFormat/>
    <w:uiPriority w:val="0"/>
  </w:style>
  <w:style w:type="character" w:customStyle="1" w:styleId="118">
    <w:name w:val="cf01"/>
    <w:qFormat/>
    <w:uiPriority w:val="0"/>
    <w:rPr>
      <w:rFonts w:hint="default" w:ascii="Segoe UI" w:hAnsi="Segoe UI" w:cs="Segoe UI"/>
      <w:sz w:val="18"/>
      <w:szCs w:val="18"/>
    </w:rPr>
  </w:style>
  <w:style w:type="paragraph" w:customStyle="1" w:styleId="119">
    <w:name w:val="pf0"/>
    <w:basedOn w:val="1"/>
    <w:qFormat/>
    <w:uiPriority w:val="0"/>
    <w:pPr>
      <w:spacing w:before="100" w:beforeAutospacing="1" w:after="100" w:afterAutospacing="1"/>
    </w:pPr>
    <w:rPr>
      <w:sz w:val="24"/>
      <w:szCs w:val="24"/>
    </w:rPr>
  </w:style>
  <w:style w:type="paragraph" w:customStyle="1" w:styleId="120">
    <w:name w:val="Nivel 4"/>
    <w:basedOn w:val="103"/>
    <w:link w:val="121"/>
    <w:qFormat/>
    <w:uiPriority w:val="0"/>
    <w:pPr>
      <w:ind w:left="851" w:firstLine="0"/>
    </w:pPr>
    <w:rPr>
      <w:rFonts w:eastAsia="MS Mincho"/>
      <w:color w:val="auto"/>
    </w:rPr>
  </w:style>
  <w:style w:type="character" w:customStyle="1" w:styleId="121">
    <w:name w:val="Nivel 4 Char"/>
    <w:link w:val="120"/>
    <w:qFormat/>
    <w:uiPriority w:val="0"/>
    <w:rPr>
      <w:rFonts w:ascii="Arial" w:hAnsi="Arial" w:eastAsia="MS Mincho" w:cs="Arial"/>
    </w:rPr>
  </w:style>
  <w:style w:type="paragraph" w:customStyle="1" w:styleId="122">
    <w:name w:val="Nivel 5"/>
    <w:basedOn w:val="120"/>
    <w:qFormat/>
    <w:uiPriority w:val="0"/>
    <w:pPr>
      <w:ind w:left="1276"/>
    </w:pPr>
  </w:style>
  <w:style w:type="paragraph" w:customStyle="1" w:styleId="123">
    <w:name w:val="Nivel 1"/>
    <w:basedOn w:val="99"/>
    <w:next w:val="99"/>
    <w:qFormat/>
    <w:uiPriority w:val="0"/>
    <w:pPr>
      <w:tabs>
        <w:tab w:val="left" w:pos="360"/>
      </w:tabs>
      <w:ind w:left="858"/>
    </w:pPr>
    <w:rPr>
      <w:rFonts w:ascii="Ecofont_Spranq_eco_Sans" w:hAnsi="Ecofont_Spranq_eco_Sans" w:eastAsia="Arial Unicode MS"/>
      <w:b/>
      <w:color w:val="auto"/>
    </w:rPr>
  </w:style>
  <w:style w:type="character" w:customStyle="1" w:styleId="124">
    <w:name w:val="cf11"/>
    <w:qFormat/>
    <w:uiPriority w:val="0"/>
    <w:rPr>
      <w:rFonts w:hint="default" w:ascii="Segoe UI" w:hAnsi="Segoe UI" w:cs="Segoe UI"/>
      <w:i/>
      <w:iCs/>
      <w:sz w:val="18"/>
      <w:szCs w:val="18"/>
    </w:rPr>
  </w:style>
  <w:style w:type="paragraph" w:customStyle="1" w:styleId="125">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customStyle="1" w:styleId="126">
    <w:name w:val="Revisão1"/>
    <w:hidden/>
    <w:semiHidden/>
    <w:qFormat/>
    <w:uiPriority w:val="99"/>
    <w:rPr>
      <w:rFonts w:ascii="Times New Roman" w:hAnsi="Times New Roman" w:eastAsia="Times New Roman" w:cs="Times New Roman"/>
      <w:sz w:val="24"/>
      <w:szCs w:val="24"/>
      <w:lang w:val="pt-BR" w:eastAsia="pt-BR" w:bidi="ar-SA"/>
    </w:rPr>
  </w:style>
  <w:style w:type="paragraph" w:customStyle="1" w:styleId="127">
    <w:name w:val="Nível 4"/>
    <w:basedOn w:val="1"/>
    <w:qFormat/>
    <w:uiPriority w:val="0"/>
    <w:pPr>
      <w:spacing w:before="120" w:after="120" w:line="276" w:lineRule="auto"/>
      <w:ind w:left="567"/>
      <w:jc w:val="both"/>
    </w:pPr>
    <w:rPr>
      <w:rFonts w:ascii="Arial" w:hAnsi="Arial" w:cs="Arial"/>
    </w:rPr>
  </w:style>
  <w:style w:type="paragraph" w:customStyle="1" w:styleId="128">
    <w:name w:val="Recuo de corpo de texto 21"/>
    <w:basedOn w:val="1"/>
    <w:qFormat/>
    <w:uiPriority w:val="0"/>
    <w:pPr>
      <w:suppressAutoHyphens/>
      <w:spacing w:after="120" w:line="480" w:lineRule="auto"/>
      <w:ind w:left="283"/>
    </w:pPr>
    <w:rPr>
      <w:sz w:val="24"/>
      <w:szCs w:val="24"/>
      <w:lang w:eastAsia="ar-SA"/>
    </w:rPr>
  </w:style>
  <w:style w:type="paragraph" w:customStyle="1" w:styleId="129">
    <w:name w:val="Nível 3"/>
    <w:basedOn w:val="110"/>
    <w:link w:val="130"/>
    <w:qFormat/>
    <w:uiPriority w:val="0"/>
    <w:pPr>
      <w:numPr>
        <w:numId w:val="0"/>
      </w:numPr>
      <w:ind w:left="284"/>
    </w:pPr>
    <w:rPr>
      <w:i w:val="0"/>
      <w:iCs w:val="0"/>
      <w:color w:val="auto"/>
    </w:rPr>
  </w:style>
  <w:style w:type="character" w:customStyle="1" w:styleId="130">
    <w:name w:val="Nível 3 Char"/>
    <w:link w:val="129"/>
    <w:qFormat/>
    <w:uiPriority w:val="0"/>
    <w:rPr>
      <w:rFonts w:ascii="Arial" w:hAnsi="Arial" w:cs="Arial"/>
    </w:rPr>
  </w:style>
  <w:style w:type="paragraph" w:customStyle="1" w:styleId="131">
    <w:name w:val="Título 11"/>
    <w:basedOn w:val="1"/>
    <w:qFormat/>
    <w:uiPriority w:val="1"/>
    <w:pPr>
      <w:widowControl w:val="0"/>
      <w:autoSpaceDE w:val="0"/>
      <w:autoSpaceDN w:val="0"/>
      <w:ind w:left="2330" w:right="29"/>
      <w:jc w:val="center"/>
      <w:outlineLvl w:val="1"/>
    </w:pPr>
    <w:rPr>
      <w:b/>
      <w:bCs/>
      <w:sz w:val="22"/>
      <w:szCs w:val="22"/>
      <w:lang w:val="pt-PT" w:eastAsia="pt-PT" w:bidi="pt-PT"/>
    </w:rPr>
  </w:style>
  <w:style w:type="character" w:customStyle="1" w:styleId="132">
    <w:name w:val="apple-tab-span"/>
    <w:basedOn w:val="9"/>
    <w:qFormat/>
    <w:uiPriority w:val="0"/>
  </w:style>
  <w:style w:type="paragraph" w:customStyle="1" w:styleId="133">
    <w:name w:val="Heading"/>
    <w:basedOn w:val="19"/>
    <w:next w:val="18"/>
    <w:uiPriority w:val="0"/>
    <w:pPr>
      <w:keepNext/>
      <w:spacing w:before="240" w:after="120"/>
    </w:pPr>
    <w:rPr>
      <w:rFonts w:ascii="Liberation Sans" w:hAnsi="Liberation Sans" w:eastAsia="Microsoft YaHei" w:cs="Mangal"/>
      <w:sz w:val="28"/>
      <w:szCs w:val="28"/>
    </w:rPr>
  </w:style>
  <w:style w:type="paragraph" w:customStyle="1" w:styleId="134">
    <w:name w:val="Index"/>
    <w:basedOn w:val="19"/>
    <w:uiPriority w:val="0"/>
    <w:pPr>
      <w:suppressLineNumbers/>
    </w:pPr>
    <w:rPr>
      <w:rFonts w:cs="Mangal"/>
    </w:rPr>
  </w:style>
  <w:style w:type="paragraph" w:customStyle="1" w:styleId="135">
    <w:name w:val="footnote description"/>
    <w:next w:val="19"/>
    <w:uiPriority w:val="0"/>
    <w:pPr>
      <w:suppressAutoHyphens/>
      <w:autoSpaceDN w:val="0"/>
      <w:ind w:left="170" w:right="9" w:hanging="170"/>
      <w:jc w:val="both"/>
      <w:textAlignment w:val="baseline"/>
    </w:pPr>
    <w:rPr>
      <w:rFonts w:ascii="Liberation Serif" w:hAnsi="Liberation Serif" w:eastAsia="Liberation Serif" w:cs="Liberation Serif"/>
      <w:color w:val="000000"/>
      <w:sz w:val="16"/>
      <w:szCs w:val="22"/>
      <w:lang w:val="pt-BR" w:eastAsia="pt-BR" w:bidi="ar-SA"/>
    </w:rPr>
  </w:style>
  <w:style w:type="paragraph" w:customStyle="1" w:styleId="136">
    <w:name w:val="Footnote"/>
    <w:basedOn w:val="19"/>
    <w:uiPriority w:val="0"/>
  </w:style>
  <w:style w:type="paragraph" w:customStyle="1" w:styleId="137">
    <w:name w:val="Table Contents"/>
    <w:basedOn w:val="19"/>
    <w:uiPriority w:val="0"/>
    <w:pPr>
      <w:suppressLineNumbers/>
    </w:pPr>
  </w:style>
  <w:style w:type="paragraph" w:customStyle="1" w:styleId="138">
    <w:name w:val="Table Heading"/>
    <w:basedOn w:val="137"/>
    <w:uiPriority w:val="0"/>
    <w:pPr>
      <w:jc w:val="center"/>
    </w:pPr>
    <w:rPr>
      <w:b/>
      <w:bCs/>
    </w:rPr>
  </w:style>
  <w:style w:type="paragraph" w:customStyle="1" w:styleId="139">
    <w:name w:val="Header and Footer"/>
    <w:basedOn w:val="19"/>
    <w:uiPriority w:val="0"/>
    <w:pPr>
      <w:suppressLineNumbers/>
      <w:tabs>
        <w:tab w:val="center" w:pos="4829"/>
        <w:tab w:val="right" w:pos="9648"/>
      </w:tabs>
    </w:pPr>
  </w:style>
  <w:style w:type="paragraph" w:customStyle="1" w:styleId="140">
    <w:name w:val="Estilo1"/>
    <w:basedOn w:val="27"/>
    <w:uiPriority w:val="0"/>
    <w:pPr>
      <w:widowControl w:val="0"/>
      <w:numPr>
        <w:ilvl w:val="0"/>
        <w:numId w:val="4"/>
      </w:numPr>
      <w:tabs>
        <w:tab w:val="left" w:pos="-2880"/>
        <w:tab w:val="clear" w:pos="4419"/>
        <w:tab w:val="clear" w:pos="8838"/>
      </w:tabs>
      <w:suppressAutoHyphens/>
      <w:autoSpaceDN w:val="0"/>
      <w:spacing w:before="360" w:after="120" w:line="100" w:lineRule="atLeast"/>
      <w:jc w:val="both"/>
    </w:pPr>
    <w:rPr>
      <w:rFonts w:eastAsia="SimSun"/>
      <w:b/>
      <w:bCs/>
      <w:kern w:val="3"/>
      <w:sz w:val="24"/>
      <w:szCs w:val="24"/>
      <w:lang w:eastAsia="zh-CN"/>
    </w:rPr>
  </w:style>
  <w:style w:type="character" w:customStyle="1" w:styleId="141">
    <w:name w:val="footnote description Char"/>
    <w:uiPriority w:val="0"/>
    <w:rPr>
      <w:rFonts w:ascii="Liberation Serif" w:hAnsi="Liberation Serif" w:eastAsia="Liberation Serif" w:cs="Liberation Serif"/>
      <w:color w:val="000000"/>
      <w:sz w:val="16"/>
    </w:rPr>
  </w:style>
  <w:style w:type="character" w:customStyle="1" w:styleId="142">
    <w:name w:val="footnote mark"/>
    <w:uiPriority w:val="0"/>
    <w:rPr>
      <w:rFonts w:ascii="Liberation Serif" w:hAnsi="Liberation Serif" w:eastAsia="Liberation Serif" w:cs="Liberation Serif"/>
      <w:color w:val="000000"/>
      <w:position w:val="0"/>
      <w:sz w:val="16"/>
      <w:vertAlign w:val="superscript"/>
    </w:rPr>
  </w:style>
  <w:style w:type="character" w:customStyle="1" w:styleId="143">
    <w:name w:val="ListLabel 1"/>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4">
    <w:name w:val="ListLabel 2"/>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5">
    <w:name w:val="ListLabel 3"/>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6">
    <w:name w:val="ListLabel 4"/>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7">
    <w:name w:val="ListLabel 5"/>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8">
    <w:name w:val="ListLabel 6"/>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9">
    <w:name w:val="ListLabel 7"/>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0">
    <w:name w:val="ListLabel 8"/>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1">
    <w:name w:val="ListLabel 9"/>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2">
    <w:name w:val="ListLabel 10"/>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3">
    <w:name w:val="ListLabel 11"/>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4">
    <w:name w:val="ListLabel 12"/>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5">
    <w:name w:val="ListLabel 13"/>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6">
    <w:name w:val="ListLabel 14"/>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7">
    <w:name w:val="ListLabel 15"/>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8">
    <w:name w:val="ListLabel 16"/>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9">
    <w:name w:val="ListLabel 17"/>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0">
    <w:name w:val="ListLabel 18"/>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1">
    <w:name w:val="ListLabel 19"/>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2">
    <w:name w:val="ListLabel 20"/>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3">
    <w:name w:val="ListLabel 21"/>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4">
    <w:name w:val="ListLabel 22"/>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5">
    <w:name w:val="ListLabel 23"/>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6">
    <w:name w:val="ListLabel 24"/>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7">
    <w:name w:val="ListLabel 25"/>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8">
    <w:name w:val="ListLabel 26"/>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9">
    <w:name w:val="ListLabel 27"/>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0">
    <w:name w:val="ListLabel 28"/>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1">
    <w:name w:val="ListLabel 29"/>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2">
    <w:name w:val="ListLabel 30"/>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3">
    <w:name w:val="ListLabel 31"/>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4">
    <w:name w:val="ListLabel 32"/>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5">
    <w:name w:val="ListLabel 33"/>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6">
    <w:name w:val="ListLabel 34"/>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7">
    <w:name w:val="ListLabel 35"/>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8">
    <w:name w:val="ListLabel 36"/>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9">
    <w:name w:val="ListLabel 37"/>
    <w:uiPriority w:val="0"/>
    <w:rPr>
      <w:rFonts w:eastAsia="Liberation Serif" w:cs="Liberation Serif"/>
      <w:color w:val="000000"/>
      <w:position w:val="0"/>
      <w:sz w:val="22"/>
      <w:szCs w:val="22"/>
      <w:u w:val="none"/>
      <w:shd w:val="clear" w:color="auto" w:fill="auto"/>
      <w:vertAlign w:val="baseline"/>
    </w:rPr>
  </w:style>
  <w:style w:type="character" w:customStyle="1" w:styleId="180">
    <w:name w:val="ListLabel 38"/>
    <w:uiPriority w:val="0"/>
    <w:rPr>
      <w:rFonts w:eastAsia="Liberation Serif" w:cs="Liberation Serif"/>
      <w:color w:val="000000"/>
      <w:position w:val="0"/>
      <w:sz w:val="22"/>
      <w:szCs w:val="22"/>
      <w:u w:val="none"/>
      <w:shd w:val="clear" w:color="auto" w:fill="auto"/>
      <w:vertAlign w:val="baseline"/>
    </w:rPr>
  </w:style>
  <w:style w:type="character" w:customStyle="1" w:styleId="181">
    <w:name w:val="ListLabel 39"/>
    <w:uiPriority w:val="0"/>
    <w:rPr>
      <w:rFonts w:eastAsia="Liberation Serif" w:cs="Liberation Serif"/>
      <w:color w:val="000000"/>
      <w:position w:val="0"/>
      <w:sz w:val="22"/>
      <w:szCs w:val="22"/>
      <w:u w:val="none"/>
      <w:shd w:val="clear" w:color="auto" w:fill="auto"/>
      <w:vertAlign w:val="baseline"/>
    </w:rPr>
  </w:style>
  <w:style w:type="character" w:customStyle="1" w:styleId="182">
    <w:name w:val="ListLabel 40"/>
    <w:uiPriority w:val="0"/>
    <w:rPr>
      <w:rFonts w:eastAsia="Liberation Serif" w:cs="Liberation Serif"/>
      <w:color w:val="000000"/>
      <w:position w:val="0"/>
      <w:sz w:val="22"/>
      <w:szCs w:val="22"/>
      <w:u w:val="none"/>
      <w:shd w:val="clear" w:color="auto" w:fill="auto"/>
      <w:vertAlign w:val="baseline"/>
    </w:rPr>
  </w:style>
  <w:style w:type="character" w:customStyle="1" w:styleId="183">
    <w:name w:val="ListLabel 41"/>
    <w:uiPriority w:val="0"/>
    <w:rPr>
      <w:rFonts w:eastAsia="Liberation Serif" w:cs="Liberation Serif"/>
      <w:color w:val="000000"/>
      <w:position w:val="0"/>
      <w:sz w:val="22"/>
      <w:szCs w:val="22"/>
      <w:u w:val="none"/>
      <w:shd w:val="clear" w:color="auto" w:fill="auto"/>
      <w:vertAlign w:val="baseline"/>
    </w:rPr>
  </w:style>
  <w:style w:type="character" w:customStyle="1" w:styleId="184">
    <w:name w:val="ListLabel 42"/>
    <w:uiPriority w:val="0"/>
    <w:rPr>
      <w:rFonts w:eastAsia="Liberation Serif" w:cs="Liberation Serif"/>
      <w:color w:val="000000"/>
      <w:position w:val="0"/>
      <w:sz w:val="22"/>
      <w:szCs w:val="22"/>
      <w:u w:val="none"/>
      <w:shd w:val="clear" w:color="auto" w:fill="auto"/>
      <w:vertAlign w:val="baseline"/>
    </w:rPr>
  </w:style>
  <w:style w:type="character" w:customStyle="1" w:styleId="185">
    <w:name w:val="ListLabel 43"/>
    <w:uiPriority w:val="0"/>
    <w:rPr>
      <w:rFonts w:eastAsia="Liberation Serif" w:cs="Liberation Serif"/>
      <w:color w:val="000000"/>
      <w:position w:val="0"/>
      <w:sz w:val="22"/>
      <w:szCs w:val="22"/>
      <w:u w:val="none"/>
      <w:shd w:val="clear" w:color="auto" w:fill="auto"/>
      <w:vertAlign w:val="baseline"/>
    </w:rPr>
  </w:style>
  <w:style w:type="character" w:customStyle="1" w:styleId="186">
    <w:name w:val="ListLabel 44"/>
    <w:uiPriority w:val="0"/>
    <w:rPr>
      <w:rFonts w:eastAsia="Liberation Serif" w:cs="Liberation Serif"/>
      <w:color w:val="000000"/>
      <w:position w:val="0"/>
      <w:sz w:val="22"/>
      <w:szCs w:val="22"/>
      <w:u w:val="none"/>
      <w:shd w:val="clear" w:color="auto" w:fill="auto"/>
      <w:vertAlign w:val="baseline"/>
    </w:rPr>
  </w:style>
  <w:style w:type="character" w:customStyle="1" w:styleId="187">
    <w:name w:val="ListLabel 45"/>
    <w:uiPriority w:val="0"/>
    <w:rPr>
      <w:rFonts w:eastAsia="Liberation Serif" w:cs="Liberation Serif"/>
      <w:color w:val="000000"/>
      <w:position w:val="0"/>
      <w:sz w:val="22"/>
      <w:szCs w:val="22"/>
      <w:u w:val="none"/>
      <w:shd w:val="clear" w:color="auto" w:fill="auto"/>
      <w:vertAlign w:val="baseline"/>
    </w:rPr>
  </w:style>
  <w:style w:type="character" w:customStyle="1" w:styleId="188">
    <w:name w:val="ListLabel 46"/>
    <w:uiPriority w:val="0"/>
    <w:rPr>
      <w:rFonts w:eastAsia="Liberation Serif" w:cs="Liberation Serif"/>
      <w:color w:val="000000"/>
      <w:position w:val="0"/>
      <w:sz w:val="22"/>
      <w:szCs w:val="22"/>
      <w:u w:val="none"/>
      <w:shd w:val="clear" w:color="auto" w:fill="auto"/>
      <w:vertAlign w:val="baseline"/>
    </w:rPr>
  </w:style>
  <w:style w:type="character" w:customStyle="1" w:styleId="189">
    <w:name w:val="ListLabel 47"/>
    <w:uiPriority w:val="0"/>
    <w:rPr>
      <w:rFonts w:eastAsia="Liberation Serif" w:cs="Liberation Serif"/>
      <w:color w:val="000000"/>
      <w:position w:val="0"/>
      <w:sz w:val="22"/>
      <w:szCs w:val="22"/>
      <w:u w:val="none"/>
      <w:shd w:val="clear" w:color="auto" w:fill="auto"/>
      <w:vertAlign w:val="baseline"/>
    </w:rPr>
  </w:style>
  <w:style w:type="character" w:customStyle="1" w:styleId="190">
    <w:name w:val="ListLabel 48"/>
    <w:uiPriority w:val="0"/>
    <w:rPr>
      <w:rFonts w:eastAsia="Liberation Serif" w:cs="Liberation Serif"/>
      <w:color w:val="000000"/>
      <w:position w:val="0"/>
      <w:sz w:val="22"/>
      <w:szCs w:val="22"/>
      <w:u w:val="none"/>
      <w:shd w:val="clear" w:color="auto" w:fill="auto"/>
      <w:vertAlign w:val="baseline"/>
    </w:rPr>
  </w:style>
  <w:style w:type="character" w:customStyle="1" w:styleId="191">
    <w:name w:val="ListLabel 49"/>
    <w:uiPriority w:val="0"/>
    <w:rPr>
      <w:rFonts w:eastAsia="Liberation Serif" w:cs="Liberation Serif"/>
      <w:color w:val="000000"/>
      <w:position w:val="0"/>
      <w:sz w:val="22"/>
      <w:szCs w:val="22"/>
      <w:u w:val="none"/>
      <w:shd w:val="clear" w:color="auto" w:fill="auto"/>
      <w:vertAlign w:val="baseline"/>
    </w:rPr>
  </w:style>
  <w:style w:type="character" w:customStyle="1" w:styleId="192">
    <w:name w:val="ListLabel 50"/>
    <w:uiPriority w:val="0"/>
    <w:rPr>
      <w:rFonts w:eastAsia="Liberation Serif" w:cs="Liberation Serif"/>
      <w:color w:val="000000"/>
      <w:position w:val="0"/>
      <w:sz w:val="22"/>
      <w:szCs w:val="22"/>
      <w:u w:val="none"/>
      <w:shd w:val="clear" w:color="auto" w:fill="auto"/>
      <w:vertAlign w:val="baseline"/>
    </w:rPr>
  </w:style>
  <w:style w:type="character" w:customStyle="1" w:styleId="193">
    <w:name w:val="ListLabel 51"/>
    <w:uiPriority w:val="0"/>
    <w:rPr>
      <w:rFonts w:eastAsia="Liberation Serif" w:cs="Liberation Serif"/>
      <w:color w:val="000000"/>
      <w:position w:val="0"/>
      <w:sz w:val="22"/>
      <w:szCs w:val="22"/>
      <w:u w:val="none"/>
      <w:shd w:val="clear" w:color="auto" w:fill="auto"/>
      <w:vertAlign w:val="baseline"/>
    </w:rPr>
  </w:style>
  <w:style w:type="character" w:customStyle="1" w:styleId="194">
    <w:name w:val="ListLabel 52"/>
    <w:uiPriority w:val="0"/>
    <w:rPr>
      <w:rFonts w:eastAsia="Liberation Serif" w:cs="Liberation Serif"/>
      <w:color w:val="000000"/>
      <w:position w:val="0"/>
      <w:sz w:val="22"/>
      <w:szCs w:val="22"/>
      <w:u w:val="none"/>
      <w:shd w:val="clear" w:color="auto" w:fill="auto"/>
      <w:vertAlign w:val="baseline"/>
    </w:rPr>
  </w:style>
  <w:style w:type="character" w:customStyle="1" w:styleId="195">
    <w:name w:val="ListLabel 53"/>
    <w:uiPriority w:val="0"/>
    <w:rPr>
      <w:rFonts w:eastAsia="Liberation Serif" w:cs="Liberation Serif"/>
      <w:color w:val="000000"/>
      <w:position w:val="0"/>
      <w:sz w:val="22"/>
      <w:szCs w:val="22"/>
      <w:u w:val="none"/>
      <w:shd w:val="clear" w:color="auto" w:fill="auto"/>
      <w:vertAlign w:val="baseline"/>
    </w:rPr>
  </w:style>
  <w:style w:type="character" w:customStyle="1" w:styleId="196">
    <w:name w:val="ListLabel 54"/>
    <w:uiPriority w:val="0"/>
    <w:rPr>
      <w:rFonts w:eastAsia="Liberation Serif" w:cs="Liberation Serif"/>
      <w:color w:val="000000"/>
      <w:position w:val="0"/>
      <w:sz w:val="22"/>
      <w:szCs w:val="22"/>
      <w:u w:val="none"/>
      <w:shd w:val="clear" w:color="auto" w:fill="auto"/>
      <w:vertAlign w:val="baseline"/>
    </w:rPr>
  </w:style>
  <w:style w:type="character" w:customStyle="1" w:styleId="197">
    <w:name w:val="ListLabel 55"/>
    <w:uiPriority w:val="0"/>
    <w:rPr>
      <w:rFonts w:eastAsia="Liberation Serif" w:cs="Liberation Serif"/>
      <w:color w:val="000000"/>
      <w:position w:val="0"/>
      <w:sz w:val="22"/>
      <w:szCs w:val="22"/>
      <w:u w:val="none"/>
      <w:shd w:val="clear" w:color="auto" w:fill="auto"/>
      <w:vertAlign w:val="baseline"/>
    </w:rPr>
  </w:style>
  <w:style w:type="character" w:customStyle="1" w:styleId="198">
    <w:name w:val="ListLabel 56"/>
    <w:uiPriority w:val="0"/>
    <w:rPr>
      <w:rFonts w:eastAsia="Liberation Serif" w:cs="Liberation Serif"/>
      <w:color w:val="000000"/>
      <w:position w:val="0"/>
      <w:sz w:val="22"/>
      <w:szCs w:val="22"/>
      <w:u w:val="none"/>
      <w:shd w:val="clear" w:color="auto" w:fill="auto"/>
      <w:vertAlign w:val="baseline"/>
    </w:rPr>
  </w:style>
  <w:style w:type="character" w:customStyle="1" w:styleId="199">
    <w:name w:val="ListLabel 57"/>
    <w:uiPriority w:val="0"/>
    <w:rPr>
      <w:rFonts w:eastAsia="Liberation Serif" w:cs="Liberation Serif"/>
      <w:color w:val="000000"/>
      <w:position w:val="0"/>
      <w:sz w:val="22"/>
      <w:szCs w:val="22"/>
      <w:u w:val="none"/>
      <w:shd w:val="clear" w:color="auto" w:fill="auto"/>
      <w:vertAlign w:val="baseline"/>
    </w:rPr>
  </w:style>
  <w:style w:type="character" w:customStyle="1" w:styleId="200">
    <w:name w:val="ListLabel 58"/>
    <w:uiPriority w:val="0"/>
    <w:rPr>
      <w:rFonts w:eastAsia="Liberation Serif" w:cs="Liberation Serif"/>
      <w:color w:val="000000"/>
      <w:position w:val="0"/>
      <w:sz w:val="22"/>
      <w:szCs w:val="22"/>
      <w:u w:val="none"/>
      <w:shd w:val="clear" w:color="auto" w:fill="auto"/>
      <w:vertAlign w:val="baseline"/>
    </w:rPr>
  </w:style>
  <w:style w:type="character" w:customStyle="1" w:styleId="201">
    <w:name w:val="ListLabel 59"/>
    <w:uiPriority w:val="0"/>
    <w:rPr>
      <w:rFonts w:eastAsia="Liberation Serif" w:cs="Liberation Serif"/>
      <w:color w:val="000000"/>
      <w:position w:val="0"/>
      <w:sz w:val="22"/>
      <w:szCs w:val="22"/>
      <w:u w:val="none"/>
      <w:shd w:val="clear" w:color="auto" w:fill="auto"/>
      <w:vertAlign w:val="baseline"/>
    </w:rPr>
  </w:style>
  <w:style w:type="character" w:customStyle="1" w:styleId="202">
    <w:name w:val="ListLabel 60"/>
    <w:uiPriority w:val="0"/>
    <w:rPr>
      <w:rFonts w:eastAsia="Liberation Serif" w:cs="Liberation Serif"/>
      <w:color w:val="000000"/>
      <w:position w:val="0"/>
      <w:sz w:val="22"/>
      <w:szCs w:val="22"/>
      <w:u w:val="none"/>
      <w:shd w:val="clear" w:color="auto" w:fill="auto"/>
      <w:vertAlign w:val="baseline"/>
    </w:rPr>
  </w:style>
  <w:style w:type="character" w:customStyle="1" w:styleId="203">
    <w:name w:val="ListLabel 61"/>
    <w:uiPriority w:val="0"/>
    <w:rPr>
      <w:rFonts w:eastAsia="Liberation Serif" w:cs="Liberation Serif"/>
      <w:color w:val="000000"/>
      <w:position w:val="0"/>
      <w:sz w:val="22"/>
      <w:szCs w:val="22"/>
      <w:u w:val="none"/>
      <w:shd w:val="clear" w:color="auto" w:fill="auto"/>
      <w:vertAlign w:val="baseline"/>
    </w:rPr>
  </w:style>
  <w:style w:type="character" w:customStyle="1" w:styleId="204">
    <w:name w:val="ListLabel 62"/>
    <w:uiPriority w:val="0"/>
    <w:rPr>
      <w:rFonts w:eastAsia="Liberation Serif" w:cs="Liberation Serif"/>
      <w:color w:val="000000"/>
      <w:position w:val="0"/>
      <w:sz w:val="22"/>
      <w:szCs w:val="22"/>
      <w:u w:val="none"/>
      <w:shd w:val="clear" w:color="auto" w:fill="auto"/>
      <w:vertAlign w:val="baseline"/>
    </w:rPr>
  </w:style>
  <w:style w:type="character" w:customStyle="1" w:styleId="205">
    <w:name w:val="ListLabel 63"/>
    <w:uiPriority w:val="0"/>
    <w:rPr>
      <w:rFonts w:eastAsia="Liberation Serif" w:cs="Liberation Serif"/>
      <w:color w:val="000000"/>
      <w:position w:val="0"/>
      <w:sz w:val="22"/>
      <w:szCs w:val="22"/>
      <w:u w:val="none"/>
      <w:shd w:val="clear" w:color="auto" w:fill="auto"/>
      <w:vertAlign w:val="baseline"/>
    </w:rPr>
  </w:style>
  <w:style w:type="character" w:customStyle="1" w:styleId="206">
    <w:name w:val="ListLabel 64"/>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7">
    <w:name w:val="ListLabel 65"/>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8">
    <w:name w:val="ListLabel 66"/>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9">
    <w:name w:val="ListLabel 67"/>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0">
    <w:name w:val="ListLabel 68"/>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1">
    <w:name w:val="ListLabel 69"/>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2">
    <w:name w:val="ListLabel 70"/>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3">
    <w:name w:val="ListLabel 71"/>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4">
    <w:name w:val="ListLabel 72"/>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5">
    <w:name w:val="ListLabel 73"/>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6">
    <w:name w:val="ListLabel 74"/>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7">
    <w:name w:val="ListLabel 75"/>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8">
    <w:name w:val="ListLabel 76"/>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9">
    <w:name w:val="ListLabel 77"/>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0">
    <w:name w:val="ListLabel 78"/>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1">
    <w:name w:val="ListLabel 79"/>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2">
    <w:name w:val="ListLabel 80"/>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3">
    <w:name w:val="ListLabel 81"/>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4">
    <w:name w:val="Footnote Symbol"/>
    <w:qFormat/>
    <w:uiPriority w:val="0"/>
  </w:style>
  <w:style w:type="character" w:customStyle="1" w:styleId="225">
    <w:name w:val="Footnote anchor"/>
    <w:qFormat/>
    <w:uiPriority w:val="0"/>
    <w:rPr>
      <w:position w:val="0"/>
      <w:vertAlign w:val="superscript"/>
    </w:rPr>
  </w:style>
  <w:style w:type="character" w:customStyle="1" w:styleId="226">
    <w:name w:val="Bullet Symbols"/>
    <w:qFormat/>
    <w:uiPriority w:val="0"/>
    <w:rPr>
      <w:rFonts w:ascii="OpenSymbol" w:hAnsi="OpenSymbol" w:eastAsia="OpenSymbol" w:cs="OpenSymbol"/>
    </w:rPr>
  </w:style>
  <w:style w:type="character" w:customStyle="1" w:styleId="227">
    <w:name w:val="go"/>
    <w:basedOn w:val="9"/>
    <w:qFormat/>
    <w:uiPriority w:val="0"/>
  </w:style>
  <w:style w:type="character" w:customStyle="1" w:styleId="228">
    <w:name w:val="Internet link"/>
    <w:qFormat/>
    <w:uiPriority w:val="0"/>
    <w:rPr>
      <w:color w:val="000080"/>
      <w:u w:val="single"/>
    </w:rPr>
  </w:style>
  <w:style w:type="character" w:customStyle="1" w:styleId="229">
    <w:name w:val="Menção Pendente2"/>
    <w:basedOn w:val="9"/>
    <w:unhideWhenUsed/>
    <w:qFormat/>
    <w:uiPriority w:val="0"/>
    <w:rPr>
      <w:color w:val="605E5C"/>
      <w:shd w:val="clear" w:color="auto" w:fill="E1DFDD"/>
    </w:rPr>
  </w:style>
  <w:style w:type="paragraph" w:customStyle="1" w:styleId="230">
    <w:name w:val="texto"/>
    <w:qFormat/>
    <w:uiPriority w:val="0"/>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hAnsi="Times New Roman" w:eastAsia="Times New Roman" w:cs="Times New Roman"/>
      <w:kern w:val="3"/>
      <w:lang w:val="pt-BR" w:eastAsia="zh-CN" w:bidi="ar-SA"/>
    </w:rPr>
  </w:style>
  <w:style w:type="paragraph" w:customStyle="1" w:styleId="231">
    <w:name w:val="Quotations"/>
    <w:basedOn w:val="19"/>
    <w:qFormat/>
    <w:uiPriority w:val="0"/>
    <w:pPr>
      <w:widowControl w:val="0"/>
      <w:spacing w:after="283" w:line="240" w:lineRule="auto"/>
      <w:ind w:left="567" w:right="567" w:firstLine="0"/>
      <w:jc w:val="left"/>
    </w:pPr>
    <w:rPr>
      <w:rFonts w:ascii="Times New Roman" w:hAnsi="Times New Roman" w:eastAsia="SimSun" w:cs="Tahoma"/>
      <w:color w:val="auto"/>
      <w:kern w:val="3"/>
      <w:szCs w:val="24"/>
      <w:lang w:eastAsia="zh-CN" w:bidi="hi-IN"/>
    </w:rPr>
  </w:style>
  <w:style w:type="paragraph" w:customStyle="1" w:styleId="232">
    <w:name w:val="EP Tabela"/>
    <w:basedOn w:val="1"/>
    <w:qFormat/>
    <w:uiPriority w:val="0"/>
    <w:pPr>
      <w:widowControl w:val="0"/>
      <w:suppressAutoHyphens/>
      <w:autoSpaceDN w:val="0"/>
      <w:jc w:val="center"/>
      <w:textAlignment w:val="baseline"/>
    </w:pPr>
    <w:rPr>
      <w:rFonts w:eastAsia="SimSun" w:cs="Arial"/>
      <w:b/>
      <w:kern w:val="3"/>
      <w:sz w:val="22"/>
      <w:szCs w:val="24"/>
      <w:lang w:eastAsia="ar-SA" w:bidi="hi-IN"/>
    </w:rPr>
  </w:style>
  <w:style w:type="paragraph" w:customStyle="1" w:styleId="233">
    <w:name w:val="EP Conteudotabela"/>
    <w:basedOn w:val="1"/>
    <w:qFormat/>
    <w:uiPriority w:val="0"/>
    <w:pPr>
      <w:widowControl w:val="0"/>
      <w:tabs>
        <w:tab w:val="left" w:pos="-302"/>
      </w:tabs>
      <w:suppressAutoHyphens/>
      <w:autoSpaceDN w:val="0"/>
      <w:spacing w:line="100" w:lineRule="atLeast"/>
      <w:ind w:left="23" w:firstLine="45"/>
      <w:textAlignment w:val="baseline"/>
    </w:pPr>
    <w:rPr>
      <w:rFonts w:eastAsia="SimSun" w:cs="Arial"/>
      <w:kern w:val="3"/>
      <w:sz w:val="24"/>
      <w:szCs w:val="24"/>
      <w:lang w:eastAsia="ar-SA" w:bidi="hi-IN"/>
    </w:rPr>
  </w:style>
  <w:style w:type="paragraph" w:customStyle="1" w:styleId="234">
    <w:name w:val="western"/>
    <w:basedOn w:val="1"/>
    <w:qFormat/>
    <w:uiPriority w:val="0"/>
    <w:pPr>
      <w:suppressAutoHyphens/>
      <w:autoSpaceDN w:val="0"/>
      <w:spacing w:before="100" w:after="119"/>
      <w:textAlignment w:val="baseline"/>
    </w:pPr>
    <w:rPr>
      <w:sz w:val="24"/>
      <w:szCs w:val="24"/>
    </w:rPr>
  </w:style>
  <w:style w:type="paragraph" w:customStyle="1" w:styleId="235">
    <w:name w:val="msonormal"/>
    <w:basedOn w:val="1"/>
    <w:qFormat/>
    <w:uiPriority w:val="0"/>
    <w:pPr>
      <w:spacing w:before="100" w:beforeAutospacing="1" w:after="100" w:afterAutospacing="1"/>
    </w:pPr>
    <w:rPr>
      <w:sz w:val="24"/>
      <w:szCs w:val="24"/>
    </w:rPr>
  </w:style>
  <w:style w:type="paragraph" w:customStyle="1" w:styleId="236">
    <w:name w:val="xl64"/>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37">
    <w:name w:val="xl65"/>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38">
    <w:name w:val="xl66"/>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39">
    <w:name w:val="xl6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40">
    <w:name w:val="xl68"/>
    <w:basedOn w:val="1"/>
    <w:qFormat/>
    <w:uiPriority w:val="0"/>
    <w:pPr>
      <w:pBdr>
        <w:bottom w:val="single" w:color="auto" w:sz="8" w:space="0"/>
      </w:pBdr>
      <w:spacing w:before="100" w:beforeAutospacing="1" w:after="100" w:afterAutospacing="1"/>
      <w:jc w:val="center"/>
      <w:textAlignment w:val="center"/>
    </w:pPr>
    <w:rPr>
      <w:color w:val="000000"/>
      <w:sz w:val="24"/>
      <w:szCs w:val="24"/>
    </w:rPr>
  </w:style>
  <w:style w:type="paragraph" w:customStyle="1" w:styleId="241">
    <w:name w:val="xl69"/>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2">
    <w:name w:val="xl70"/>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3">
    <w:name w:val="xl71"/>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4">
    <w:name w:val="xl72"/>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5">
    <w:name w:val="xl73"/>
    <w:basedOn w:val="1"/>
    <w:qFormat/>
    <w:uiPriority w:val="0"/>
    <w:pPr>
      <w:pBdr>
        <w:left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6">
    <w:name w:val="xl74"/>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47">
    <w:name w:val="xl75"/>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8">
    <w:name w:val="xl76"/>
    <w:basedOn w:val="1"/>
    <w:qFormat/>
    <w:uiPriority w:val="0"/>
    <w:pPr>
      <w:pBdr>
        <w:left w:val="single" w:color="auto" w:sz="8" w:space="0"/>
        <w:bottom w:val="single" w:color="auto" w:sz="8" w:space="0"/>
      </w:pBdr>
      <w:spacing w:before="100" w:beforeAutospacing="1" w:after="100" w:afterAutospacing="1"/>
      <w:jc w:val="center"/>
      <w:textAlignment w:val="center"/>
    </w:pPr>
    <w:rPr>
      <w:rFonts w:ascii="Arial" w:hAnsi="Arial" w:cs="Arial"/>
      <w:color w:val="000000"/>
    </w:rPr>
  </w:style>
  <w:style w:type="paragraph" w:customStyle="1" w:styleId="249">
    <w:name w:val="xl7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50">
    <w:name w:val="xl78"/>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1">
    <w:name w:val="xl79"/>
    <w:basedOn w:val="1"/>
    <w:qFormat/>
    <w:uiPriority w:val="0"/>
    <w:pPr>
      <w:spacing w:before="100" w:beforeAutospacing="1" w:after="100" w:afterAutospacing="1"/>
      <w:jc w:val="center"/>
      <w:textAlignment w:val="center"/>
    </w:pPr>
    <w:rPr>
      <w:rFonts w:ascii="Arial" w:hAnsi="Arial" w:cs="Arial"/>
      <w:color w:val="000000"/>
    </w:rPr>
  </w:style>
  <w:style w:type="paragraph" w:customStyle="1" w:styleId="252">
    <w:name w:val="xl80"/>
    <w:basedOn w:val="1"/>
    <w:qFormat/>
    <w:uiPriority w:val="0"/>
    <w:pPr>
      <w:spacing w:before="100" w:beforeAutospacing="1" w:after="100" w:afterAutospacing="1"/>
      <w:jc w:val="center"/>
      <w:textAlignment w:val="center"/>
    </w:pPr>
    <w:rPr>
      <w:color w:val="000000"/>
      <w:sz w:val="24"/>
      <w:szCs w:val="24"/>
    </w:rPr>
  </w:style>
  <w:style w:type="paragraph" w:customStyle="1" w:styleId="253">
    <w:name w:val="xl81"/>
    <w:basedOn w:val="1"/>
    <w:qFormat/>
    <w:uiPriority w:val="0"/>
    <w:pPr>
      <w:spacing w:before="100" w:beforeAutospacing="1" w:after="100" w:afterAutospacing="1"/>
      <w:jc w:val="center"/>
      <w:textAlignment w:val="center"/>
    </w:pPr>
    <w:rPr>
      <w:color w:val="000000"/>
      <w:sz w:val="24"/>
      <w:szCs w:val="24"/>
    </w:rPr>
  </w:style>
  <w:style w:type="paragraph" w:customStyle="1" w:styleId="254">
    <w:name w:val="xl82"/>
    <w:basedOn w:val="1"/>
    <w:qFormat/>
    <w:uiPriority w:val="0"/>
    <w:pPr>
      <w:pBdr>
        <w:left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5">
    <w:name w:val="xl83"/>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56">
    <w:name w:val="xl84"/>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57">
    <w:name w:val="xl85"/>
    <w:basedOn w:val="1"/>
    <w:qFormat/>
    <w:uiPriority w:val="0"/>
    <w:pPr>
      <w:pBdr>
        <w:top w:val="single" w:color="auto" w:sz="4"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8">
    <w:name w:val="xl86"/>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9">
    <w:name w:val="xl87"/>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60">
    <w:name w:val="xl88"/>
    <w:basedOn w:val="1"/>
    <w:qFormat/>
    <w:uiPriority w:val="0"/>
    <w:pPr>
      <w:pBdr>
        <w:top w:val="single" w:color="auto" w:sz="4" w:space="0"/>
        <w:bottom w:val="single" w:color="auto" w:sz="8" w:space="0"/>
      </w:pBdr>
      <w:spacing w:before="100" w:beforeAutospacing="1" w:after="100" w:afterAutospacing="1"/>
      <w:jc w:val="center"/>
      <w:textAlignment w:val="center"/>
    </w:pPr>
    <w:rPr>
      <w:color w:val="000000"/>
      <w:sz w:val="24"/>
      <w:szCs w:val="24"/>
    </w:rPr>
  </w:style>
  <w:style w:type="paragraph" w:customStyle="1" w:styleId="261">
    <w:name w:val="xl89"/>
    <w:basedOn w:val="1"/>
    <w:qFormat/>
    <w:uiPriority w:val="0"/>
    <w:pPr>
      <w:spacing w:before="100" w:beforeAutospacing="1" w:after="100" w:afterAutospacing="1"/>
      <w:jc w:val="center"/>
    </w:pPr>
    <w:rPr>
      <w:sz w:val="24"/>
      <w:szCs w:val="24"/>
    </w:rPr>
  </w:style>
  <w:style w:type="paragraph" w:customStyle="1" w:styleId="262">
    <w:name w:val="xl90"/>
    <w:basedOn w:val="1"/>
    <w:qFormat/>
    <w:uiPriority w:val="0"/>
    <w:pPr>
      <w:pBdr>
        <w:top w:val="single" w:color="auto" w:sz="4" w:space="0"/>
      </w:pBdr>
      <w:spacing w:before="100" w:beforeAutospacing="1" w:after="100" w:afterAutospacing="1"/>
      <w:jc w:val="center"/>
      <w:textAlignment w:val="center"/>
    </w:pPr>
    <w:rPr>
      <w:rFonts w:ascii="Arial" w:hAnsi="Arial" w:cs="Arial"/>
      <w:color w:val="000000"/>
    </w:rPr>
  </w:style>
  <w:style w:type="paragraph" w:customStyle="1" w:styleId="263">
    <w:name w:val="xl91"/>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64">
    <w:name w:val="xl92"/>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65">
    <w:name w:val="xl93"/>
    <w:basedOn w:val="1"/>
    <w:qFormat/>
    <w:uiPriority w:val="0"/>
    <w:pPr>
      <w:pBdr>
        <w:bottom w:val="single" w:color="auto" w:sz="4" w:space="0"/>
      </w:pBdr>
      <w:spacing w:before="100" w:beforeAutospacing="1" w:after="100" w:afterAutospacing="1"/>
      <w:jc w:val="center"/>
      <w:textAlignment w:val="center"/>
    </w:pPr>
    <w:rPr>
      <w:rFonts w:ascii="Arial" w:hAnsi="Arial" w:cs="Arial"/>
      <w:color w:val="000000"/>
    </w:rPr>
  </w:style>
  <w:style w:type="paragraph" w:customStyle="1" w:styleId="266">
    <w:name w:val="xl94"/>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67">
    <w:name w:val="xl95"/>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68">
    <w:name w:val="xl96"/>
    <w:basedOn w:val="1"/>
    <w:qFormat/>
    <w:uiPriority w:val="0"/>
    <w:pPr>
      <w:spacing w:before="100" w:beforeAutospacing="1" w:after="100" w:afterAutospacing="1"/>
      <w:jc w:val="center"/>
      <w:textAlignment w:val="center"/>
    </w:pPr>
    <w:rPr>
      <w:b/>
      <w:bCs/>
      <w:color w:val="000000"/>
      <w:sz w:val="24"/>
      <w:szCs w:val="24"/>
    </w:rPr>
  </w:style>
  <w:style w:type="paragraph" w:customStyle="1" w:styleId="269">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0">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1">
    <w:name w:val="Normal11"/>
    <w:qFormat/>
    <w:uiPriority w:val="0"/>
    <w:pPr>
      <w:widowControl w:val="0"/>
    </w:pPr>
    <w:rPr>
      <w:rFonts w:ascii="Calibri" w:hAnsi="Calibri" w:eastAsia="Calibri" w:cs="Calibri"/>
      <w:sz w:val="22"/>
      <w:szCs w:val="22"/>
      <w:lang w:val="pt-BR" w:eastAsia="pt-BR" w:bidi="ar-SA"/>
    </w:rPr>
  </w:style>
  <w:style w:type="paragraph" w:customStyle="1" w:styleId="272">
    <w:name w:val="Normal2"/>
    <w:qFormat/>
    <w:uiPriority w:val="0"/>
    <w:pPr>
      <w:widowControl w:val="0"/>
    </w:pPr>
    <w:rPr>
      <w:rFonts w:ascii="Calibri" w:hAnsi="Calibri" w:eastAsia="Calibri" w:cs="Calibri"/>
      <w:sz w:val="22"/>
      <w:szCs w:val="22"/>
      <w:lang w:val="pt-BR" w:eastAsia="pt-BR" w:bidi="ar-SA"/>
    </w:rPr>
  </w:style>
  <w:style w:type="table" w:customStyle="1" w:styleId="273">
    <w:name w:val="_Style 136"/>
    <w:basedOn w:val="60"/>
    <w:qFormat/>
    <w:uiPriority w:val="0"/>
    <w:rPr>
      <w:rFonts w:ascii="Aptos" w:hAnsi="Aptos" w:eastAsia="Aptos" w:cs="Aptos"/>
    </w:rPr>
    <w:tblPr>
      <w:tblCellMar>
        <w:left w:w="108" w:type="dxa"/>
        <w:right w:w="108" w:type="dxa"/>
      </w:tblCellMar>
    </w:tblPr>
  </w:style>
  <w:style w:type="paragraph" w:customStyle="1" w:styleId="274">
    <w:name w:val="Normal3"/>
    <w:qFormat/>
    <w:uiPriority w:val="0"/>
    <w:pPr>
      <w:widowControl w:val="0"/>
    </w:pPr>
    <w:rPr>
      <w:rFonts w:ascii="Calibri" w:hAnsi="Calibri" w:eastAsia="Calibri" w:cs="Calibri"/>
      <w:sz w:val="22"/>
      <w:szCs w:val="22"/>
      <w:lang w:val="pt-BR" w:eastAsia="pt-BR"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dGJSLzgcsFhq5+ry/kjen7xknA==">CgMxLjA4AHIhMWlCTzhycGRGTHFYMmhZc3ZCelJyNVBUMkFoRU5vQ0xu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EA9A77C8-7AB3-4AE2-98D6-A7A7B2E19ABF}">
  <ds:schemaRefs/>
</ds:datastoreItem>
</file>

<file path=docProps/app.xml><?xml version="1.0" encoding="utf-8"?>
<Properties xmlns="http://schemas.openxmlformats.org/officeDocument/2006/extended-properties" xmlns:vt="http://schemas.openxmlformats.org/officeDocument/2006/docPropsVTypes">
  <Template>Normal.dotm</Template>
  <Pages>111</Pages>
  <Words>204</Words>
  <Characters>1283</Characters>
  <Lines>1494</Lines>
  <Paragraphs>424</Paragraphs>
  <TotalTime>49</TotalTime>
  <ScaleCrop>false</ScaleCrop>
  <LinksUpToDate>false</LinksUpToDate>
  <CharactersWithSpaces>1521</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2026-06-12T14:49:00Z</dcterms:created>
  <dc:creator>Sabrina Guimarães</dc:creator>
  <cp:lastModifiedBy>licitacao04</cp:lastModifiedBy>
  <cp:lastPrinted>2025-09-18T12:50:00Z</cp:lastPrinted>
  <dcterms:modified xsi:type="dcterms:W3CDTF">2026-07-14T15:36:27Z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7D2C4F1AD1CA4B2985EB22EFC2013A23_13</vt:lpwstr>
  </property>
  <property fmtid="{D5CDD505-2E9C-101B-9397-08002B2CF9AE}" pid="4" name="KSOTemplateDocerSaveRecord">
    <vt:lpwstr>eyJoZGlkIjoiODk5ZDUzODY0MzRjZDU1MTZjNjdmZjFjZGJkZmQ3NTUifQ==</vt:lpwstr>
  </property>
</Properties>
</file>