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FC4D9">
      <w:pPr>
        <w:pStyle w:val="60"/>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 xml:space="preserve"> EDITAL DE PREGÃO ELETRÔNICO (AQUISIÇÃO DE BENS) </w:t>
      </w:r>
    </w:p>
    <w:p w14:paraId="6A6259CF">
      <w:pPr>
        <w:pStyle w:val="60"/>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PREGÃO ELETRÔNICO PE – Nº 900</w:t>
      </w:r>
      <w:r>
        <w:rPr>
          <w:rFonts w:hint="default" w:ascii="Times New Roman" w:hAnsi="Times New Roman" w:cs="Times New Roman"/>
          <w:b/>
          <w:sz w:val="24"/>
          <w:szCs w:val="24"/>
          <w:lang w:val="pt-BR"/>
        </w:rPr>
        <w:t>52</w:t>
      </w:r>
      <w:r>
        <w:rPr>
          <w:rFonts w:ascii="Times New Roman" w:hAnsi="Times New Roman" w:cs="Times New Roman"/>
          <w:b/>
          <w:sz w:val="24"/>
          <w:szCs w:val="24"/>
        </w:rPr>
        <w:t xml:space="preserve">/2026 </w:t>
      </w:r>
    </w:p>
    <w:p w14:paraId="3428A954">
      <w:pPr>
        <w:spacing w:line="288" w:lineRule="auto"/>
        <w:contextualSpacing/>
        <w:jc w:val="both"/>
        <w:rPr>
          <w:color w:val="405CA1"/>
          <w:sz w:val="24"/>
          <w:szCs w:val="24"/>
        </w:rPr>
      </w:pPr>
      <w:r>
        <w:rPr>
          <w:sz w:val="24"/>
          <w:szCs w:val="24"/>
        </w:rPr>
        <w:t xml:space="preserve">                                              </w:t>
      </w:r>
      <w:r>
        <w:rPr>
          <w:rFonts w:ascii="ui-serif" w:hAnsi="ui-serif" w:eastAsia="ui-serif" w:cs="ui-serif"/>
          <w:b/>
          <w:bCs/>
          <w:i w:val="0"/>
          <w:iCs w:val="0"/>
          <w:caps w:val="0"/>
          <w:color w:val="333333"/>
          <w:spacing w:val="0"/>
          <w:sz w:val="21"/>
          <w:szCs w:val="21"/>
          <w:shd w:val="clear" w:fill="FFFFFF"/>
        </w:rPr>
        <w:t>Execução da Contratação:</w:t>
      </w:r>
      <w:r>
        <w:rPr>
          <w:rFonts w:hint="default" w:ascii="ui-serif" w:hAnsi="ui-serif" w:eastAsia="ui-serif" w:cs="ui-serif"/>
          <w:b/>
          <w:bCs/>
          <w:i w:val="0"/>
          <w:iCs w:val="0"/>
          <w:caps w:val="0"/>
          <w:color w:val="333333"/>
          <w:spacing w:val="0"/>
          <w:sz w:val="21"/>
          <w:szCs w:val="21"/>
          <w:shd w:val="clear" w:fill="FFFFFF"/>
        </w:rPr>
        <w:t> 985921 - 178/2026</w:t>
      </w:r>
      <w:bookmarkStart w:id="43" w:name="_GoBack"/>
      <w:bookmarkEnd w:id="43"/>
    </w:p>
    <w:p w14:paraId="475F701D">
      <w:pPr>
        <w:spacing w:line="288" w:lineRule="auto"/>
        <w:contextualSpacing/>
        <w:jc w:val="both"/>
        <w:rPr>
          <w:b/>
          <w:bCs/>
          <w:color w:val="405CA1"/>
          <w:sz w:val="24"/>
          <w:szCs w:val="24"/>
        </w:rPr>
      </w:pPr>
    </w:p>
    <w:p w14:paraId="335CDEA1">
      <w:pPr>
        <w:spacing w:line="288" w:lineRule="auto"/>
        <w:contextualSpacing/>
        <w:jc w:val="both"/>
        <w:rPr>
          <w:b/>
          <w:bCs/>
          <w:color w:val="405CA1"/>
          <w:sz w:val="24"/>
          <w:szCs w:val="24"/>
        </w:rPr>
      </w:pPr>
      <w:r>
        <w:rPr>
          <w:b/>
          <w:bCs/>
          <w:color w:val="405CA1"/>
          <w:sz w:val="24"/>
          <w:szCs w:val="24"/>
        </w:rPr>
        <w:t>ÓRGÃO/ENTIDADE GERENCIADORA - Unidade Gestora – UG: 985921</w:t>
      </w:r>
    </w:p>
    <w:p w14:paraId="0CD59504">
      <w:pPr>
        <w:spacing w:line="288" w:lineRule="auto"/>
        <w:contextualSpacing/>
        <w:jc w:val="both"/>
        <w:rPr>
          <w:sz w:val="24"/>
          <w:szCs w:val="24"/>
        </w:rPr>
      </w:pPr>
      <w:r>
        <w:rPr>
          <w:sz w:val="24"/>
          <w:szCs w:val="24"/>
        </w:rPr>
        <w:t>MUNICÍPIO DE VALENÇA RJ, PELA SECRETARIA MUNICIPAL DE SAÚDE.</w:t>
      </w:r>
    </w:p>
    <w:p w14:paraId="0E519076">
      <w:pPr>
        <w:spacing w:line="288" w:lineRule="auto"/>
        <w:contextualSpacing/>
        <w:jc w:val="both"/>
        <w:rPr>
          <w:color w:val="FF0000"/>
          <w:sz w:val="24"/>
          <w:szCs w:val="24"/>
        </w:rPr>
      </w:pPr>
    </w:p>
    <w:p w14:paraId="27F33988">
      <w:pPr>
        <w:spacing w:line="288" w:lineRule="auto"/>
        <w:contextualSpacing/>
        <w:jc w:val="both"/>
        <w:rPr>
          <w:b/>
          <w:bCs/>
          <w:color w:val="5B5B5F"/>
          <w:sz w:val="24"/>
          <w:szCs w:val="24"/>
        </w:rPr>
      </w:pPr>
      <w:r>
        <w:rPr>
          <w:b/>
          <w:bCs/>
          <w:color w:val="405CA1"/>
          <w:sz w:val="24"/>
          <w:szCs w:val="24"/>
        </w:rPr>
        <w:t>OBJETO</w:t>
      </w:r>
    </w:p>
    <w:p w14:paraId="61F35913">
      <w:pPr>
        <w:spacing w:line="360" w:lineRule="auto"/>
        <w:jc w:val="both"/>
        <w:rPr>
          <w:rFonts w:eastAsia="SimSun"/>
          <w:sz w:val="24"/>
          <w:szCs w:val="24"/>
        </w:rPr>
      </w:pPr>
      <w:r>
        <w:rPr>
          <w:rStyle w:val="11"/>
          <w:rFonts w:eastAsia="SimSun"/>
          <w:b w:val="0"/>
          <w:sz w:val="24"/>
          <w:szCs w:val="24"/>
        </w:rPr>
        <w:t>Aquisição de câmaras frias para conservação de imunobiológicos</w:t>
      </w:r>
      <w:r>
        <w:rPr>
          <w:rFonts w:eastAsia="SimSun"/>
          <w:sz w:val="24"/>
          <w:szCs w:val="24"/>
        </w:rPr>
        <w:t>, destinada à Central de Imunização, garantindo a adequada manutenção da Rede de frio.</w:t>
      </w:r>
    </w:p>
    <w:p w14:paraId="19626B20">
      <w:pPr>
        <w:spacing w:line="288" w:lineRule="auto"/>
        <w:contextualSpacing/>
        <w:jc w:val="both"/>
        <w:rPr>
          <w:rFonts w:asciiTheme="minorHAnsi" w:hAnsiTheme="minorHAnsi" w:cstheme="minorHAnsi"/>
          <w:b/>
          <w:bCs/>
          <w:color w:val="405CA1"/>
          <w:sz w:val="24"/>
          <w:szCs w:val="24"/>
        </w:rPr>
      </w:pPr>
    </w:p>
    <w:p w14:paraId="6FBF6236">
      <w:pPr>
        <w:spacing w:line="288" w:lineRule="auto"/>
        <w:contextualSpacing/>
        <w:jc w:val="both"/>
        <w:rPr>
          <w:b/>
          <w:bCs/>
          <w:color w:val="405CA1"/>
          <w:sz w:val="24"/>
          <w:szCs w:val="24"/>
        </w:rPr>
      </w:pPr>
      <w:r>
        <w:rPr>
          <w:b/>
          <w:bCs/>
          <w:color w:val="405CA1"/>
          <w:sz w:val="24"/>
          <w:szCs w:val="24"/>
        </w:rPr>
        <w:t>VALOR TOTAL ESTIMADO DA CONTRATAÇÃO</w:t>
      </w:r>
    </w:p>
    <w:p w14:paraId="1C27A336">
      <w:pPr>
        <w:rPr>
          <w:sz w:val="24"/>
          <w:szCs w:val="24"/>
        </w:rPr>
      </w:pPr>
    </w:p>
    <w:p w14:paraId="37AD102E">
      <w:pPr>
        <w:spacing w:line="288" w:lineRule="auto"/>
        <w:contextualSpacing/>
        <w:jc w:val="both"/>
        <w:rPr>
          <w:color w:val="FF0000"/>
          <w:sz w:val="24"/>
          <w:szCs w:val="24"/>
        </w:rPr>
      </w:pPr>
      <w:r>
        <w:rPr>
          <w:b/>
          <w:bCs/>
          <w:sz w:val="24"/>
          <w:szCs w:val="24"/>
        </w:rPr>
        <w:t>R$</w:t>
      </w:r>
      <w:r>
        <w:rPr>
          <w:b/>
          <w:bCs/>
          <w:color w:val="FF0000"/>
          <w:sz w:val="24"/>
          <w:szCs w:val="24"/>
        </w:rPr>
        <w:t xml:space="preserve"> </w:t>
      </w:r>
      <w:r>
        <w:rPr>
          <w:rFonts w:eastAsia="SimSun"/>
          <w:b/>
          <w:color w:val="000000"/>
          <w:sz w:val="24"/>
          <w:szCs w:val="24"/>
          <w:lang w:eastAsia="zh-CN" w:bidi="ar"/>
        </w:rPr>
        <w:t>34.066,70</w:t>
      </w:r>
      <w:r>
        <w:rPr>
          <w:rFonts w:eastAsia="Cambria"/>
          <w:b/>
          <w:sz w:val="24"/>
          <w:szCs w:val="24"/>
        </w:rPr>
        <w:t xml:space="preserve"> (trinta e quatro mil, sessenta e seis reais e setenta centavos).</w:t>
      </w:r>
    </w:p>
    <w:p w14:paraId="5C03EC30">
      <w:pPr>
        <w:spacing w:line="288" w:lineRule="auto"/>
        <w:contextualSpacing/>
        <w:jc w:val="both"/>
        <w:rPr>
          <w:color w:val="FF0000"/>
          <w:sz w:val="24"/>
          <w:szCs w:val="24"/>
        </w:rPr>
      </w:pPr>
    </w:p>
    <w:p w14:paraId="5249BEEB">
      <w:pPr>
        <w:spacing w:line="288" w:lineRule="auto"/>
        <w:contextualSpacing/>
        <w:jc w:val="both"/>
        <w:rPr>
          <w:b/>
          <w:bCs/>
          <w:color w:val="405CA1"/>
          <w:sz w:val="24"/>
          <w:szCs w:val="24"/>
        </w:rPr>
      </w:pPr>
      <w:r>
        <w:rPr>
          <w:b/>
          <w:bCs/>
          <w:color w:val="405CA1"/>
          <w:sz w:val="24"/>
          <w:szCs w:val="24"/>
        </w:rPr>
        <w:t>DATA DA SESSÃO PÚBLICA</w:t>
      </w:r>
    </w:p>
    <w:p w14:paraId="54E70EEA">
      <w:pPr>
        <w:spacing w:line="288" w:lineRule="auto"/>
        <w:contextualSpacing/>
        <w:jc w:val="both"/>
        <w:rPr>
          <w:b/>
          <w:bCs/>
          <w:color w:val="405CA1"/>
          <w:sz w:val="24"/>
          <w:szCs w:val="24"/>
        </w:rPr>
      </w:pPr>
    </w:p>
    <w:p w14:paraId="722E1782">
      <w:pPr>
        <w:spacing w:line="288" w:lineRule="auto"/>
        <w:contextualSpacing/>
        <w:jc w:val="both"/>
        <w:rPr>
          <w:color w:val="5B5B5F"/>
          <w:sz w:val="24"/>
          <w:szCs w:val="24"/>
        </w:rPr>
      </w:pPr>
      <w:r>
        <w:rPr>
          <w:color w:val="5B5B5F"/>
          <w:sz w:val="24"/>
          <w:szCs w:val="24"/>
        </w:rPr>
        <w:t xml:space="preserve">Dia </w:t>
      </w:r>
      <w:r>
        <w:rPr>
          <w:rFonts w:hint="default"/>
          <w:color w:val="5B5B5F"/>
          <w:sz w:val="24"/>
          <w:szCs w:val="24"/>
          <w:lang w:val="pt-BR"/>
        </w:rPr>
        <w:t>20</w:t>
      </w:r>
      <w:r>
        <w:rPr>
          <w:color w:val="5B5B5F"/>
          <w:sz w:val="24"/>
          <w:szCs w:val="24"/>
        </w:rPr>
        <w:t>/</w:t>
      </w:r>
      <w:r>
        <w:rPr>
          <w:rFonts w:hint="default"/>
          <w:color w:val="5B5B5F"/>
          <w:sz w:val="24"/>
          <w:szCs w:val="24"/>
          <w:lang w:val="pt-BR"/>
        </w:rPr>
        <w:t>08</w:t>
      </w:r>
      <w:r>
        <w:rPr>
          <w:color w:val="5B5B5F"/>
          <w:sz w:val="24"/>
          <w:szCs w:val="24"/>
        </w:rPr>
        <w:t xml:space="preserve">/2026 às </w:t>
      </w:r>
      <w:r>
        <w:rPr>
          <w:rFonts w:hint="default"/>
          <w:color w:val="5B5B5F"/>
          <w:sz w:val="24"/>
          <w:szCs w:val="24"/>
          <w:lang w:val="pt-BR"/>
        </w:rPr>
        <w:t>13</w:t>
      </w:r>
      <w:r>
        <w:rPr>
          <w:sz w:val="24"/>
          <w:szCs w:val="24"/>
        </w:rPr>
        <w:t>h</w:t>
      </w:r>
      <w:r>
        <w:rPr>
          <w:color w:val="5B5B5F"/>
          <w:sz w:val="24"/>
          <w:szCs w:val="24"/>
        </w:rPr>
        <w:t xml:space="preserve"> (horário de Brasília)</w:t>
      </w:r>
    </w:p>
    <w:p w14:paraId="6D48C3C5">
      <w:pPr>
        <w:spacing w:line="288" w:lineRule="auto"/>
        <w:contextualSpacing/>
        <w:jc w:val="both"/>
        <w:rPr>
          <w:color w:val="5B5B5F"/>
          <w:sz w:val="24"/>
          <w:szCs w:val="24"/>
        </w:rPr>
      </w:pPr>
    </w:p>
    <w:p w14:paraId="7E3F2FEA">
      <w:pPr>
        <w:spacing w:line="288" w:lineRule="auto"/>
        <w:contextualSpacing/>
        <w:jc w:val="both"/>
        <w:rPr>
          <w:caps/>
          <w:color w:val="0000FF"/>
          <w:sz w:val="24"/>
          <w:szCs w:val="24"/>
        </w:rPr>
      </w:pPr>
      <w:r>
        <w:rPr>
          <w:b/>
          <w:bCs/>
          <w:caps/>
          <w:color w:val="405CA1"/>
          <w:sz w:val="24"/>
          <w:szCs w:val="24"/>
        </w:rPr>
        <w:t>Critério de Julgamento:</w:t>
      </w:r>
    </w:p>
    <w:p w14:paraId="4C6FC00A">
      <w:pPr>
        <w:spacing w:line="288" w:lineRule="auto"/>
        <w:contextualSpacing/>
        <w:jc w:val="both"/>
        <w:rPr>
          <w:sz w:val="24"/>
          <w:szCs w:val="24"/>
        </w:rPr>
      </w:pPr>
      <w:r>
        <w:rPr>
          <w:sz w:val="24"/>
          <w:szCs w:val="24"/>
        </w:rPr>
        <w:t>MENOR PREÇO POR ITEM</w:t>
      </w:r>
    </w:p>
    <w:p w14:paraId="1F4F49E3">
      <w:pPr>
        <w:spacing w:line="288" w:lineRule="auto"/>
        <w:contextualSpacing/>
        <w:jc w:val="both"/>
        <w:rPr>
          <w:rFonts w:asciiTheme="minorHAnsi" w:hAnsiTheme="minorHAnsi" w:cstheme="minorHAnsi"/>
          <w:sz w:val="24"/>
          <w:szCs w:val="24"/>
        </w:rPr>
      </w:pPr>
    </w:p>
    <w:p w14:paraId="76271619">
      <w:pPr>
        <w:spacing w:line="288" w:lineRule="auto"/>
        <w:contextualSpacing/>
        <w:jc w:val="both"/>
        <w:rPr>
          <w:caps/>
          <w:sz w:val="24"/>
          <w:szCs w:val="24"/>
        </w:rPr>
      </w:pPr>
      <w:r>
        <w:rPr>
          <w:b/>
          <w:bCs/>
          <w:caps/>
          <w:color w:val="405CA1"/>
          <w:sz w:val="24"/>
          <w:szCs w:val="24"/>
        </w:rPr>
        <w:t>Modo de disputa:</w:t>
      </w:r>
    </w:p>
    <w:p w14:paraId="5487AE73">
      <w:pPr>
        <w:spacing w:line="288" w:lineRule="auto"/>
        <w:contextualSpacing/>
        <w:jc w:val="both"/>
        <w:rPr>
          <w:sz w:val="24"/>
          <w:szCs w:val="24"/>
        </w:rPr>
      </w:pPr>
      <w:r>
        <w:rPr>
          <w:sz w:val="24"/>
          <w:szCs w:val="24"/>
        </w:rPr>
        <w:t>ABERTO E FECHADO</w:t>
      </w:r>
    </w:p>
    <w:p w14:paraId="743C44DF">
      <w:pPr>
        <w:pStyle w:val="96"/>
        <w:spacing w:before="0" w:beforeAutospacing="0" w:after="0" w:afterAutospacing="0" w:line="288" w:lineRule="auto"/>
        <w:ind w:right="-1"/>
        <w:contextualSpacing/>
        <w:jc w:val="both"/>
        <w:rPr>
          <w:rFonts w:eastAsia="Calibri"/>
          <w:b/>
          <w:bCs/>
          <w:lang w:eastAsia="en-US"/>
        </w:rPr>
      </w:pPr>
    </w:p>
    <w:p w14:paraId="472B09B6">
      <w:pPr>
        <w:spacing w:line="288" w:lineRule="auto"/>
        <w:ind w:firstLine="567"/>
        <w:contextualSpacing/>
        <w:jc w:val="center"/>
        <w:rPr>
          <w:b/>
          <w:i/>
          <w:color w:val="FF0000"/>
          <w:sz w:val="24"/>
          <w:szCs w:val="24"/>
        </w:rPr>
      </w:pPr>
    </w:p>
    <w:p w14:paraId="3ABEC8D2">
      <w:pPr>
        <w:spacing w:line="288" w:lineRule="auto"/>
        <w:contextualSpacing/>
        <w:jc w:val="both"/>
        <w:rPr>
          <w:sz w:val="24"/>
          <w:szCs w:val="24"/>
        </w:rPr>
      </w:pPr>
      <w:r>
        <w:rPr>
          <w:sz w:val="24"/>
          <w:szCs w:val="24"/>
        </w:rPr>
        <w:t>MUNICÍPIO DE VALENÇA/RJ, PELA SECRETARIA MUNICIPAL DE SAÚDE.</w:t>
      </w:r>
    </w:p>
    <w:p w14:paraId="37B5584A">
      <w:pPr>
        <w:spacing w:before="288" w:beforeLines="120" w:after="288" w:afterLines="120" w:line="288" w:lineRule="auto"/>
        <w:ind w:firstLine="567"/>
        <w:contextualSpacing/>
        <w:jc w:val="center"/>
        <w:rPr>
          <w:b/>
          <w:color w:val="000000"/>
          <w:sz w:val="24"/>
          <w:szCs w:val="24"/>
        </w:rPr>
      </w:pPr>
    </w:p>
    <w:p w14:paraId="4308D923">
      <w:pPr>
        <w:spacing w:before="288" w:beforeLines="120" w:after="288" w:afterLines="120" w:line="288" w:lineRule="auto"/>
        <w:contextualSpacing/>
        <w:rPr>
          <w:b/>
          <w:color w:val="000000" w:themeColor="text1"/>
          <w:sz w:val="24"/>
          <w:szCs w:val="24"/>
          <w14:textFill>
            <w14:solidFill>
              <w14:schemeClr w14:val="tx1"/>
            </w14:solidFill>
          </w14:textFill>
        </w:rPr>
      </w:pPr>
      <w:r>
        <w:rPr>
          <w:b/>
          <w:color w:val="000000"/>
          <w:sz w:val="24"/>
          <w:szCs w:val="24"/>
        </w:rPr>
        <w:t>PREGÃO ELETRÔNICO Nº</w:t>
      </w:r>
      <w:r>
        <w:rPr>
          <w:b/>
          <w:color w:val="000000" w:themeColor="text1"/>
          <w:sz w:val="24"/>
          <w:szCs w:val="24"/>
          <w14:textFill>
            <w14:solidFill>
              <w14:schemeClr w14:val="tx1"/>
            </w14:solidFill>
          </w14:textFill>
        </w:rPr>
        <w:t xml:space="preserve"> 9</w:t>
      </w:r>
      <w:r>
        <w:rPr>
          <w:rFonts w:hint="default"/>
          <w:b/>
          <w:color w:val="000000" w:themeColor="text1"/>
          <w:sz w:val="24"/>
          <w:szCs w:val="24"/>
          <w:lang w:val="pt-BR"/>
          <w14:textFill>
            <w14:solidFill>
              <w14:schemeClr w14:val="tx1"/>
            </w14:solidFill>
          </w14:textFill>
        </w:rPr>
        <w:t>0052</w:t>
      </w:r>
      <w:r>
        <w:rPr>
          <w:b/>
          <w:color w:val="000000" w:themeColor="text1"/>
          <w:sz w:val="24"/>
          <w:szCs w:val="24"/>
          <w14:textFill>
            <w14:solidFill>
              <w14:schemeClr w14:val="tx1"/>
            </w14:solidFill>
          </w14:textFill>
        </w:rPr>
        <w:t>/2026</w:t>
      </w:r>
    </w:p>
    <w:p w14:paraId="457EEDC7">
      <w:pPr>
        <w:spacing w:before="288" w:beforeLines="120" w:after="288" w:afterLines="120" w:line="288" w:lineRule="auto"/>
        <w:ind w:firstLine="567"/>
        <w:contextualSpacing/>
        <w:jc w:val="center"/>
        <w:rPr>
          <w:bCs/>
          <w:color w:val="000000"/>
          <w:sz w:val="24"/>
          <w:szCs w:val="24"/>
        </w:rPr>
      </w:pPr>
      <w:r>
        <w:rPr>
          <w:color w:val="000000"/>
          <w:sz w:val="24"/>
          <w:szCs w:val="24"/>
        </w:rPr>
        <w:t xml:space="preserve">   </w:t>
      </w:r>
    </w:p>
    <w:p w14:paraId="3174D1DF">
      <w:pPr>
        <w:spacing w:line="288" w:lineRule="auto"/>
        <w:contextualSpacing/>
        <w:jc w:val="both"/>
        <w:rPr>
          <w:sz w:val="24"/>
          <w:szCs w:val="24"/>
        </w:rPr>
      </w:pPr>
      <w:r>
        <w:rPr>
          <w:color w:val="000000"/>
          <w:sz w:val="24"/>
          <w:szCs w:val="24"/>
        </w:rPr>
        <w:t xml:space="preserve">Torna-se público que o </w:t>
      </w:r>
      <w:r>
        <w:rPr>
          <w:iCs/>
          <w:sz w:val="24"/>
          <w:szCs w:val="24"/>
        </w:rPr>
        <w:t>MUNICÍPIO DE VALENÇA</w:t>
      </w:r>
      <w:r>
        <w:rPr>
          <w:sz w:val="24"/>
          <w:szCs w:val="24"/>
        </w:rPr>
        <w:t>, PELA SECRETARIA MUNICIPAL DE SAÚDE</w:t>
      </w:r>
      <w:r>
        <w:rPr>
          <w:iCs/>
          <w:color w:val="000000"/>
          <w:sz w:val="24"/>
          <w:szCs w:val="24"/>
        </w:rPr>
        <w:t xml:space="preserve">, sediada Rua Dr. Figueiredo, n° 320, Centro, Valença, RJ, </w:t>
      </w:r>
      <w:r>
        <w:rPr>
          <w:color w:val="000000"/>
          <w:sz w:val="24"/>
          <w:szCs w:val="24"/>
        </w:rPr>
        <w:t xml:space="preserve">realizará licitação, na modalidade PREGÃO, na forma ELETRÔNICA, nos termos do processo nº VLC-020508/001387/2026, da </w:t>
      </w:r>
      <w:r>
        <w:fldChar w:fldCharType="begin"/>
      </w:r>
      <w:r>
        <w:instrText xml:space="preserve"> HYPERLINK "http://www.planalto.gov.br/ccivil_03/_ato2019-2022/2021/lei/L14133.htm" </w:instrText>
      </w:r>
      <w:r>
        <w:fldChar w:fldCharType="separate"/>
      </w:r>
      <w:r>
        <w:rPr>
          <w:rStyle w:val="16"/>
          <w:rFonts w:eastAsiaTheme="minorHAnsi"/>
          <w:sz w:val="24"/>
          <w:szCs w:val="24"/>
        </w:rPr>
        <w:t>Lei nº 14.133, de 1º de abril de 2021</w:t>
      </w:r>
      <w:r>
        <w:rPr>
          <w:rStyle w:val="16"/>
          <w:rFonts w:eastAsiaTheme="minorHAnsi"/>
          <w:sz w:val="24"/>
          <w:szCs w:val="24"/>
        </w:rPr>
        <w:fldChar w:fldCharType="end"/>
      </w:r>
      <w:r>
        <w:rPr>
          <w:sz w:val="24"/>
          <w:szCs w:val="24"/>
        </w:rPr>
        <w:t xml:space="preserve"> </w:t>
      </w:r>
      <w:r>
        <w:rPr>
          <w:rFonts w:eastAsia="Arial"/>
          <w:sz w:val="24"/>
          <w:szCs w:val="24"/>
        </w:rPr>
        <w:t xml:space="preserve">e dos demais normativos municipais aplicáveis, todos disponíveis </w:t>
      </w:r>
      <w:r>
        <w:rPr>
          <w:sz w:val="24"/>
          <w:szCs w:val="24"/>
        </w:rPr>
        <w:t>no endereço eletrônico www.valenca.rj.gov.br, e, ainda, de acordo com as condições estabelecidas neste Edital.</w:t>
      </w:r>
    </w:p>
    <w:p w14:paraId="69A42509">
      <w:pPr>
        <w:pStyle w:val="96"/>
        <w:spacing w:before="0" w:beforeAutospacing="0" w:after="0" w:afterAutospacing="0" w:line="288" w:lineRule="auto"/>
        <w:ind w:right="-1"/>
        <w:contextualSpacing/>
        <w:jc w:val="both"/>
        <w:rPr>
          <w:rFonts w:eastAsia="Calibri" w:asciiTheme="minorHAnsi" w:hAnsiTheme="minorHAnsi" w:cstheme="minorHAnsi"/>
          <w:b/>
          <w:bCs/>
          <w:lang w:eastAsia="en-US"/>
        </w:rPr>
      </w:pPr>
    </w:p>
    <w:p w14:paraId="592DBFFB">
      <w:pPr>
        <w:pStyle w:val="96"/>
        <w:numPr>
          <w:ilvl w:val="0"/>
          <w:numId w:val="5"/>
        </w:numPr>
        <w:spacing w:before="0" w:beforeAutospacing="0" w:after="0" w:afterAutospacing="0" w:line="288" w:lineRule="auto"/>
        <w:ind w:right="-1"/>
        <w:contextualSpacing/>
        <w:jc w:val="both"/>
        <w:rPr>
          <w:rFonts w:eastAsia="Calibri"/>
          <w:b/>
          <w:bCs/>
          <w:lang w:eastAsia="en-US"/>
        </w:rPr>
      </w:pPr>
      <w:r>
        <w:rPr>
          <w:rFonts w:eastAsia="Calibri"/>
          <w:b/>
          <w:bCs/>
          <w:lang w:eastAsia="en-US"/>
        </w:rPr>
        <w:t>OBJETO</w:t>
      </w:r>
    </w:p>
    <w:p w14:paraId="4E7E1FEE">
      <w:pPr>
        <w:pStyle w:val="96"/>
        <w:spacing w:before="0" w:beforeAutospacing="0" w:after="0" w:afterAutospacing="0" w:line="288" w:lineRule="auto"/>
        <w:ind w:right="-1"/>
        <w:contextualSpacing/>
        <w:jc w:val="both"/>
        <w:rPr>
          <w:rFonts w:eastAsia="Calibri"/>
          <w:b/>
          <w:bCs/>
          <w:lang w:eastAsia="en-US"/>
        </w:rPr>
      </w:pPr>
    </w:p>
    <w:p w14:paraId="4808F22F">
      <w:pPr>
        <w:spacing w:line="360" w:lineRule="auto"/>
        <w:jc w:val="both"/>
        <w:rPr>
          <w:rFonts w:eastAsia="SimSun"/>
          <w:sz w:val="24"/>
          <w:szCs w:val="24"/>
        </w:rPr>
      </w:pPr>
      <w:r>
        <w:rPr>
          <w:rFonts w:eastAsia="Cambria"/>
          <w:sz w:val="24"/>
          <w:szCs w:val="24"/>
        </w:rPr>
        <w:t xml:space="preserve">1.1 </w:t>
      </w:r>
      <w:r>
        <w:rPr>
          <w:rStyle w:val="11"/>
          <w:rFonts w:eastAsia="SimSun"/>
          <w:b w:val="0"/>
          <w:sz w:val="24"/>
          <w:szCs w:val="24"/>
        </w:rPr>
        <w:t>Aquisição de câmaras frias para conservação de imunobiológicos</w:t>
      </w:r>
      <w:r>
        <w:rPr>
          <w:rFonts w:eastAsia="SimSun"/>
          <w:sz w:val="24"/>
          <w:szCs w:val="24"/>
        </w:rPr>
        <w:t>, destinada à Central de Imunização, garantindo a adequada manutenção da Rede de frio.</w:t>
      </w:r>
    </w:p>
    <w:p w14:paraId="1A3FDB94">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1.2 </w:t>
      </w:r>
      <w:r>
        <w:rPr>
          <w:rFonts w:ascii="Times New Roman" w:hAnsi="Times New Roman" w:cs="Times New Roman"/>
          <w:color w:val="auto"/>
          <w:sz w:val="24"/>
          <w:szCs w:val="24"/>
        </w:rPr>
        <w:t>A licitação será dividida em um único item, conforme tabela abaixo, facultando-se ao licitante a participação no que for de seu interesse.</w:t>
      </w:r>
    </w:p>
    <w:p w14:paraId="65DDD798">
      <w:pPr>
        <w:pStyle w:val="98"/>
        <w:spacing w:before="288" w:beforeLines="120" w:after="288" w:afterLines="120" w:line="288" w:lineRule="auto"/>
        <w:ind w:left="0" w:firstLine="0"/>
        <w:contextualSpacing/>
        <w:rPr>
          <w:rFonts w:ascii="Times New Roman" w:hAnsi="Times New Roman" w:cs="Times New Roman"/>
          <w:color w:val="auto"/>
          <w:sz w:val="24"/>
          <w:szCs w:val="24"/>
        </w:rPr>
      </w:pPr>
    </w:p>
    <w:tbl>
      <w:tblPr>
        <w:tblStyle w:val="10"/>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027"/>
        <w:gridCol w:w="816"/>
        <w:gridCol w:w="1219"/>
        <w:gridCol w:w="989"/>
        <w:gridCol w:w="1322"/>
      </w:tblGrid>
      <w:tr w14:paraId="3479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750" w:type="dxa"/>
            <w:shd w:val="clear" w:color="auto" w:fill="auto"/>
          </w:tcPr>
          <w:p w14:paraId="485780BE">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5FF2E24C">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03E05F52">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ITEM</w:t>
            </w:r>
          </w:p>
        </w:tc>
        <w:tc>
          <w:tcPr>
            <w:tcW w:w="3027" w:type="dxa"/>
            <w:shd w:val="clear" w:color="auto" w:fill="auto"/>
          </w:tcPr>
          <w:p w14:paraId="51B57ADF">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3A378BB0">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DESCRIÇÃO/</w:t>
            </w:r>
          </w:p>
          <w:p w14:paraId="7FF6AE22">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ESPECIFICAÇÃO</w:t>
            </w:r>
          </w:p>
        </w:tc>
        <w:tc>
          <w:tcPr>
            <w:tcW w:w="742" w:type="dxa"/>
            <w:shd w:val="clear" w:color="auto" w:fill="auto"/>
          </w:tcPr>
          <w:p w14:paraId="35834E54">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0960CFA6">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CÓD. ID SIGA</w:t>
            </w:r>
          </w:p>
        </w:tc>
        <w:tc>
          <w:tcPr>
            <w:tcW w:w="1219" w:type="dxa"/>
            <w:shd w:val="clear" w:color="auto" w:fill="auto"/>
          </w:tcPr>
          <w:p w14:paraId="620AD2B1">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5441C3C4">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UNIDADE DE MEDIDA</w:t>
            </w:r>
          </w:p>
        </w:tc>
        <w:tc>
          <w:tcPr>
            <w:tcW w:w="989" w:type="dxa"/>
            <w:shd w:val="clear" w:color="auto" w:fill="auto"/>
          </w:tcPr>
          <w:p w14:paraId="7A000C84">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6EED2DBE">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1C00D3BA">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QUANT.</w:t>
            </w:r>
          </w:p>
        </w:tc>
        <w:tc>
          <w:tcPr>
            <w:tcW w:w="1322" w:type="dxa"/>
            <w:shd w:val="clear" w:color="auto" w:fill="auto"/>
          </w:tcPr>
          <w:p w14:paraId="66C74A3B">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p>
          <w:p w14:paraId="0677941A">
            <w:pPr>
              <w:pStyle w:val="98"/>
              <w:spacing w:before="288" w:beforeLines="120" w:after="288" w:afterLines="120" w:line="288" w:lineRule="auto"/>
              <w:ind w:left="0" w:firstLine="0"/>
              <w:contextualSpacing/>
              <w:jc w:val="center"/>
              <w:rPr>
                <w:rFonts w:ascii="Times New Roman" w:hAnsi="Times New Roman" w:eastAsia="Calibri" w:cs="Times New Roman"/>
                <w:b/>
                <w:color w:val="auto"/>
              </w:rPr>
            </w:pPr>
            <w:r>
              <w:rPr>
                <w:rFonts w:ascii="Times New Roman" w:hAnsi="Times New Roman" w:eastAsia="Calibri" w:cs="Times New Roman"/>
                <w:b/>
                <w:color w:val="auto"/>
              </w:rPr>
              <w:t>PREÇO ESTIMADO</w:t>
            </w:r>
          </w:p>
        </w:tc>
      </w:tr>
      <w:tr w14:paraId="3EE6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shd w:val="clear" w:color="auto" w:fill="auto"/>
          </w:tcPr>
          <w:p w14:paraId="2DB269A2">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r>
              <w:rPr>
                <w:rFonts w:ascii="Times New Roman" w:hAnsi="Times New Roman" w:eastAsia="Calibri" w:cs="Times New Roman"/>
                <w:color w:val="auto"/>
              </w:rPr>
              <w:t>1</w:t>
            </w:r>
          </w:p>
        </w:tc>
        <w:tc>
          <w:tcPr>
            <w:tcW w:w="3027" w:type="dxa"/>
            <w:shd w:val="clear" w:color="auto" w:fill="auto"/>
          </w:tcPr>
          <w:p w14:paraId="1A0DBA1F">
            <w:pPr>
              <w:pStyle w:val="19"/>
              <w:tabs>
                <w:tab w:val="left" w:pos="555"/>
                <w:tab w:val="left" w:pos="840"/>
                <w:tab w:val="left" w:pos="1140"/>
                <w:tab w:val="left" w:pos="1395"/>
                <w:tab w:val="left" w:pos="1650"/>
                <w:tab w:val="left" w:pos="1965"/>
                <w:tab w:val="left" w:pos="2220"/>
                <w:tab w:val="left" w:leader="underscore" w:pos="7336"/>
              </w:tabs>
              <w:spacing w:before="57" w:after="57"/>
              <w:rPr>
                <w:rFonts w:ascii="Times New Roman" w:hAnsi="Times New Roman" w:cs="Times New Roman"/>
                <w:sz w:val="20"/>
                <w:szCs w:val="20"/>
              </w:rPr>
            </w:pPr>
            <w:r>
              <w:rPr>
                <w:rFonts w:eastAsia="SimSun"/>
              </w:rPr>
              <w:t xml:space="preserve"> </w:t>
            </w:r>
            <w:r>
              <w:rPr>
                <w:rFonts w:ascii="Times New Roman" w:hAnsi="Times New Roman" w:cs="Times New Roman"/>
                <w:sz w:val="20"/>
                <w:szCs w:val="20"/>
              </w:rPr>
              <w:t>CÂMARA FRIA PARA CONSERVAÇÃO DE IMUNOBIOLÓGICOS CAPACIDADE E QUANTIDADE DE GAVETAS ATÉ 300 OU 301 A 500 LITROS E 2 A 5 GAVETAS SISTEMA DE EMERGÊNCIA – POSSUI REGISTRO DE DADOS - POSSUI TEMPERATURA - ENTRE +2°C E +8°C. CIRCULAÇÃO DE AR FORÇADО POSSUI SENSORES INTERNOS - POSSUI, DISCADOR DE EMERGÊNCIA -POSSUI</w:t>
            </w:r>
            <w:r>
              <w:rPr>
                <w:rFonts w:ascii="Times New Roman" w:hAnsi="Times New Roman" w:cs="Times New Roman"/>
                <w:sz w:val="20"/>
                <w:szCs w:val="20"/>
              </w:rPr>
              <w:cr/>
            </w:r>
          </w:p>
          <w:p w14:paraId="1AA10A31">
            <w:pPr>
              <w:jc w:val="both"/>
              <w:rPr>
                <w:rFonts w:eastAsia="SimSun"/>
              </w:rPr>
            </w:pPr>
          </w:p>
          <w:p w14:paraId="2F10B8AB">
            <w:pPr>
              <w:jc w:val="both"/>
              <w:rPr>
                <w:rFonts w:eastAsia="SimSun"/>
              </w:rPr>
            </w:pPr>
          </w:p>
          <w:p w14:paraId="308B3E33">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p>
        </w:tc>
        <w:tc>
          <w:tcPr>
            <w:tcW w:w="742" w:type="dxa"/>
            <w:shd w:val="clear" w:color="auto" w:fill="auto"/>
          </w:tcPr>
          <w:p w14:paraId="68DDF5E7">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r>
              <w:rPr>
                <w:rFonts w:ascii="Times New Roman" w:hAnsi="Times New Roman" w:eastAsia="SimSun" w:cs="Times New Roman"/>
                <w:b/>
                <w:bCs/>
                <w:lang w:eastAsia="zh-CN" w:bidi="ar"/>
              </w:rPr>
              <w:t>621692</w:t>
            </w:r>
          </w:p>
        </w:tc>
        <w:tc>
          <w:tcPr>
            <w:tcW w:w="1219" w:type="dxa"/>
            <w:shd w:val="clear" w:color="auto" w:fill="auto"/>
          </w:tcPr>
          <w:p w14:paraId="262F94C8">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r>
              <w:rPr>
                <w:rFonts w:ascii="Times New Roman" w:hAnsi="Times New Roman" w:cs="Times New Roman"/>
                <w:color w:val="auto"/>
              </w:rPr>
              <w:t>Unid</w:t>
            </w:r>
          </w:p>
        </w:tc>
        <w:tc>
          <w:tcPr>
            <w:tcW w:w="989" w:type="dxa"/>
            <w:shd w:val="clear" w:color="auto" w:fill="auto"/>
          </w:tcPr>
          <w:p w14:paraId="0A6B8BC9">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r>
              <w:rPr>
                <w:rFonts w:ascii="Times New Roman" w:hAnsi="Times New Roman" w:eastAsia="Calibri" w:cs="Times New Roman"/>
                <w:color w:val="auto"/>
              </w:rPr>
              <w:t>02</w:t>
            </w:r>
          </w:p>
        </w:tc>
        <w:tc>
          <w:tcPr>
            <w:tcW w:w="1322" w:type="dxa"/>
            <w:shd w:val="clear" w:color="auto" w:fill="auto"/>
          </w:tcPr>
          <w:p w14:paraId="1CD5533A">
            <w:pPr>
              <w:pStyle w:val="98"/>
              <w:spacing w:before="288" w:beforeLines="120" w:after="288" w:afterLines="120" w:line="288" w:lineRule="auto"/>
              <w:ind w:left="0" w:firstLine="0"/>
              <w:contextualSpacing/>
              <w:jc w:val="center"/>
              <w:rPr>
                <w:rFonts w:ascii="Times New Roman" w:hAnsi="Times New Roman" w:eastAsia="Calibri" w:cs="Times New Roman"/>
                <w:color w:val="auto"/>
              </w:rPr>
            </w:pPr>
            <w:r>
              <w:rPr>
                <w:rFonts w:ascii="Times New Roman" w:hAnsi="Times New Roman" w:eastAsia="SimSun" w:cs="Times New Roman"/>
                <w:lang w:eastAsia="zh-CN" w:bidi="ar"/>
              </w:rPr>
              <w:t>R$ 17.033,35</w:t>
            </w:r>
          </w:p>
        </w:tc>
      </w:tr>
    </w:tbl>
    <w:p w14:paraId="455A4532">
      <w:pPr>
        <w:pStyle w:val="98"/>
        <w:spacing w:before="288" w:beforeLines="120" w:after="288" w:afterLines="120" w:line="288" w:lineRule="auto"/>
        <w:ind w:left="0" w:firstLine="0"/>
        <w:contextualSpacing/>
        <w:rPr>
          <w:rFonts w:ascii="Times New Roman" w:hAnsi="Times New Roman" w:cs="Times New Roman"/>
          <w:sz w:val="24"/>
          <w:szCs w:val="24"/>
        </w:rPr>
      </w:pPr>
    </w:p>
    <w:p w14:paraId="62AF8865">
      <w:pPr>
        <w:pStyle w:val="98"/>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2. DA PARTICIPAÇÃO NA LICITAÇÃO</w:t>
      </w:r>
    </w:p>
    <w:p w14:paraId="03106655">
      <w:pPr>
        <w:pStyle w:val="102"/>
        <w:spacing w:before="288" w:beforeLines="120" w:after="288" w:afterLines="120"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 Poderão participar deste Pregão os interessados que estiverem previamente credenciados no Sistema de Cadastramento Unificado de Fornecedores - SICAF e no sistema de compras do governo federal (</w:t>
      </w:r>
      <w:r>
        <w:fldChar w:fldCharType="begin"/>
      </w:r>
      <w:r>
        <w:instrText xml:space="preserve"> HYPERLINK "http://www.gov.br/compras" </w:instrText>
      </w:r>
      <w:r>
        <w:fldChar w:fldCharType="separate"/>
      </w:r>
      <w:r>
        <w:rPr>
          <w:rStyle w:val="16"/>
          <w:rFonts w:ascii="Times New Roman" w:hAnsi="Times New Roman" w:cs="Times New Roman" w:eastAsiaTheme="minorHAnsi"/>
          <w:color w:val="auto"/>
          <w:sz w:val="24"/>
          <w:szCs w:val="24"/>
        </w:rPr>
        <w:t>www.gov.br/compras</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por meio de Certificado Digital conferido pela Infraestrutura de Chaves Públicas Brasileira – ICP – Brasil.</w:t>
      </w:r>
    </w:p>
    <w:p w14:paraId="273283FA">
      <w:pPr>
        <w:pStyle w:val="102"/>
        <w:spacing w:before="288" w:beforeLines="120" w:after="288" w:afterLines="120" w:line="288" w:lineRule="auto"/>
        <w:ind w:left="567" w:right="565" w:firstLine="0"/>
        <w:contextualSpacing/>
        <w:rPr>
          <w:rFonts w:ascii="Times New Roman" w:hAnsi="Times New Roman" w:cs="Times New Roman"/>
          <w:color w:val="auto"/>
          <w:sz w:val="24"/>
          <w:szCs w:val="24"/>
        </w:rPr>
      </w:pPr>
    </w:p>
    <w:p w14:paraId="57FDD108">
      <w:pPr>
        <w:pStyle w:val="102"/>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2.1.1 Os interessados deverão atender às condições exigidas no cadastramento no SICAF até o terceiro dia útil anterior à data prevista para recebimento das propostas.</w:t>
      </w:r>
    </w:p>
    <w:p w14:paraId="3F490E20">
      <w:pPr>
        <w:pStyle w:val="102"/>
        <w:spacing w:before="288" w:beforeLines="120" w:after="288" w:afterLines="120" w:line="288" w:lineRule="auto"/>
        <w:ind w:left="567" w:right="565" w:firstLine="0"/>
        <w:contextualSpacing/>
        <w:rPr>
          <w:rFonts w:ascii="Times New Roman" w:hAnsi="Times New Roman" w:eastAsia="Calibri" w:cs="Times New Roman"/>
          <w:sz w:val="24"/>
          <w:szCs w:val="24"/>
          <w:lang w:eastAsia="en-US"/>
        </w:rPr>
      </w:pPr>
    </w:p>
    <w:p w14:paraId="70AFC2E1">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eastAsia="Calibri" w:cs="Times New Roman"/>
          <w:sz w:val="24"/>
          <w:szCs w:val="24"/>
          <w:lang w:eastAsia="en-US"/>
        </w:rPr>
        <w:t xml:space="preserve">2.1.2 </w:t>
      </w:r>
      <w:r>
        <w:rPr>
          <w:rFonts w:ascii="Times New Roman" w:hAnsi="Times New Roman" w:cs="Times New Roman"/>
          <w:sz w:val="24"/>
          <w:szCs w:val="24"/>
        </w:rPr>
        <w:t xml:space="preserve">O procedimento será divulgado </w:t>
      </w:r>
      <w:r>
        <w:rPr>
          <w:rFonts w:ascii="Times New Roman" w:hAnsi="Times New Roman" w:cs="Times New Roman"/>
          <w:color w:val="auto"/>
          <w:sz w:val="24"/>
          <w:szCs w:val="24"/>
        </w:rPr>
        <w:t>no sítio eletrônico mencionado no item 3.1</w:t>
      </w:r>
      <w:r>
        <w:rPr>
          <w:rFonts w:ascii="Times New Roman" w:hAnsi="Times New Roman" w:cs="Times New Roman"/>
          <w:color w:val="FF0000"/>
          <w:sz w:val="24"/>
          <w:szCs w:val="24"/>
        </w:rPr>
        <w:t xml:space="preserve"> </w:t>
      </w:r>
      <w:r>
        <w:rPr>
          <w:rFonts w:ascii="Times New Roman" w:hAnsi="Times New Roman" w:cs="Times New Roman"/>
          <w:sz w:val="24"/>
          <w:szCs w:val="24"/>
        </w:rPr>
        <w:t>e no Portal Nacional de Contratações Públicas – PNCP.</w:t>
      </w:r>
      <w:r>
        <w:rPr>
          <w:rFonts w:ascii="Times New Roman" w:hAnsi="Times New Roman" w:cs="Times New Roman"/>
          <w:strike/>
          <w:sz w:val="24"/>
          <w:szCs w:val="24"/>
        </w:rPr>
        <w:t xml:space="preserve"> </w:t>
      </w:r>
    </w:p>
    <w:p w14:paraId="21D4291A">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3398B8E">
      <w:pPr>
        <w:pStyle w:val="98"/>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31ABC0DF">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2.3 </w:t>
      </w:r>
      <w:r>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2512EF46">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6272161C">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2.4 A não observância do disposto no item anterior poderá ensejar desclassificação no momento da habilitação.</w:t>
      </w:r>
    </w:p>
    <w:p w14:paraId="4DC72D87">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6D2A6975">
      <w:pPr>
        <w:pStyle w:val="98"/>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2.5 Será reservada cota de 25% (vinte e cinco por cento) para microempresas e empresas de pequeno porte, na forma do art. 48, III, da Lei Complementar n° 123/2006, e do art. 8º do Decreto n.º 42.063, de 06 de outubro de 2009.</w:t>
      </w:r>
    </w:p>
    <w:p w14:paraId="0F1CB068">
      <w:pPr>
        <w:pStyle w:val="98"/>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5AA845D8">
      <w:pPr>
        <w:pStyle w:val="98"/>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2.5.1 Na hipótese de não haver vencedor para a cota reservada, esta poderá ser adjudicada ao vencedor da cota principal ou, diante de sua recusa, aos licitantes remanescentes, desde que pratiquem o preço do primeiro colocado da cota principal.</w:t>
      </w:r>
    </w:p>
    <w:p w14:paraId="048C54ED">
      <w:pPr>
        <w:pStyle w:val="98"/>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16A2B954">
      <w:pPr>
        <w:pStyle w:val="98"/>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2.5.2 Se a mesma empresa vencer a cota reservada e a cota principal, a contratação das cotas deverá ocorrer pelo menor preço.</w:t>
      </w:r>
    </w:p>
    <w:p w14:paraId="7BAC8BF3">
      <w:pPr>
        <w:pStyle w:val="98"/>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2581F193">
      <w:pPr>
        <w:pStyle w:val="98"/>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 xml:space="preserve">2.5.3 </w:t>
      </w:r>
      <w:r>
        <w:rPr>
          <w:rFonts w:ascii="Times New Roman" w:hAnsi="Times New Roman" w:eastAsia="Calibri" w:cs="Times New Roman"/>
          <w:color w:val="auto"/>
          <w:sz w:val="24"/>
          <w:szCs w:val="24"/>
          <w:lang w:eastAsia="en-US"/>
        </w:rPr>
        <w:tab/>
      </w:r>
      <w:r>
        <w:rPr>
          <w:rFonts w:ascii="Times New Roman" w:hAnsi="Times New Roman" w:eastAsia="Calibri" w:cs="Times New Roman"/>
          <w:color w:val="auto"/>
          <w:sz w:val="24"/>
          <w:szCs w:val="24"/>
          <w:lang w:eastAsia="en-US"/>
        </w:rPr>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051D5778">
      <w:pPr>
        <w:pStyle w:val="98"/>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51B13982">
      <w:pPr>
        <w:pStyle w:val="98"/>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sz w:val="24"/>
          <w:szCs w:val="24"/>
          <w:lang w:eastAsia="en-US"/>
        </w:rPr>
        <w:t xml:space="preserve">2.6 </w:t>
      </w:r>
      <w:r>
        <w:rPr>
          <w:rFonts w:ascii="Times New Roman" w:hAnsi="Times New Roman" w:cs="Times New Roman"/>
          <w:color w:val="auto"/>
          <w:sz w:val="24"/>
          <w:szCs w:val="24"/>
        </w:rPr>
        <w:t xml:space="preserve">Será concedido o tratamento favorecido previsto nos arts. 42 a 49 da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Lei Municipal n° 2367/2027</w:t>
      </w:r>
      <w:r>
        <w:rPr>
          <w:rFonts w:ascii="Times New Roman" w:hAnsi="Times New Roman" w:eastAsia="Calibri" w:cs="Times New Roman"/>
          <w:color w:val="auto"/>
          <w:sz w:val="24"/>
          <w:szCs w:val="24"/>
          <w:lang w:eastAsia="en-US"/>
        </w:rPr>
        <w:t xml:space="preserve"> e Lei complementar Municipal nº 122/2009.</w:t>
      </w:r>
    </w:p>
    <w:p w14:paraId="16F822CB">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485B952B">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7C768123">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694518D8">
      <w:pPr>
        <w:tabs>
          <w:tab w:val="left" w:pos="1440"/>
        </w:tabs>
        <w:autoSpaceDE w:val="0"/>
        <w:snapToGrid w:val="0"/>
        <w:spacing w:before="288" w:beforeLines="120" w:after="288" w:afterLines="120" w:line="288" w:lineRule="auto"/>
        <w:contextualSpacing/>
        <w:jc w:val="both"/>
        <w:rPr>
          <w:sz w:val="24"/>
          <w:szCs w:val="24"/>
        </w:rPr>
      </w:pPr>
      <w:r>
        <w:rPr>
          <w:sz w:val="24"/>
          <w:szCs w:val="24"/>
        </w:rPr>
        <w:t>2.6.2 Nas contratações com prazo de vigência superior a 1 (um) ano, será considerado o valor anual do contrato.</w:t>
      </w:r>
    </w:p>
    <w:p w14:paraId="1AD6FD7F">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2.7 Não poderão disputar esta licitação:</w:t>
      </w:r>
      <w:bookmarkEnd w:id="1"/>
    </w:p>
    <w:p w14:paraId="44C7C19C">
      <w:pPr>
        <w:tabs>
          <w:tab w:val="left" w:pos="1440"/>
        </w:tabs>
        <w:autoSpaceDE w:val="0"/>
        <w:snapToGrid w:val="0"/>
        <w:spacing w:before="288" w:beforeLines="120" w:after="288" w:afterLines="120" w:line="288" w:lineRule="auto"/>
        <w:contextualSpacing/>
        <w:jc w:val="both"/>
        <w:rPr>
          <w:sz w:val="24"/>
          <w:szCs w:val="24"/>
        </w:rPr>
      </w:pPr>
      <w:bookmarkStart w:id="2" w:name="_Ref113883338"/>
      <w:r>
        <w:rPr>
          <w:sz w:val="24"/>
          <w:szCs w:val="24"/>
        </w:rPr>
        <w:t>2.7.1 aquele que não atenda às condições deste Edital e seu(s) anexo(s);</w:t>
      </w:r>
    </w:p>
    <w:p w14:paraId="3E5B5AA9">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3" w:name="_Ref113883003"/>
      <w:bookmarkStart w:id="4" w:name="_Ref114659912"/>
      <w:r>
        <w:rPr>
          <w:rFonts w:ascii="Times New Roman" w:hAnsi="Times New Roman" w:cs="Times New Roman"/>
          <w:color w:val="auto"/>
          <w:sz w:val="24"/>
          <w:szCs w:val="24"/>
        </w:rPr>
        <w:t>2.</w:t>
      </w:r>
      <w:r>
        <w:rPr>
          <w:rFonts w:ascii="Times New Roman" w:hAnsi="Times New Roman" w:cs="Times New Roman"/>
          <w:sz w:val="24"/>
          <w:szCs w:val="24"/>
        </w:rPr>
        <w:t>7</w:t>
      </w:r>
      <w:r>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51B1C8D4">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2C725923">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2.7.3 autor do anteprojeto, do projeto básico ou do projeto executivo, pessoa física ou jurídica, quando a licitação versar sobre serviços ou fornecimento de bens a ele relacionados;</w:t>
      </w:r>
      <w:bookmarkEnd w:id="2"/>
      <w:bookmarkEnd w:id="4"/>
    </w:p>
    <w:p w14:paraId="39D271AD">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595FCB25">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rFonts w:ascii="Times New Roman" w:hAnsi="Times New Roman" w:cs="Times New Roman"/>
          <w:color w:val="auto"/>
          <w:sz w:val="24"/>
          <w:szCs w:val="24"/>
        </w:rPr>
        <w:t xml:space="preserve"> </w:t>
      </w:r>
      <w:bookmarkEnd w:id="6"/>
    </w:p>
    <w:p w14:paraId="4B01275A">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064F8A88">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8226EC">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7" w:name="_Ref113883579"/>
    </w:p>
    <w:p w14:paraId="001C0953">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2.7.6 empresas controladoras, controladas ou coligadas, nos termos da Lei nº 6.404, de 15 de dezembro de 1976, concorrendo entre si;</w:t>
      </w:r>
      <w:bookmarkEnd w:id="7"/>
    </w:p>
    <w:p w14:paraId="4E9E639B">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2D6022D4">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24E7FF">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8" w:name="_Ref113962336"/>
    </w:p>
    <w:p w14:paraId="0EE4F855">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2.7.8 agente público do órgão ou entidade licitante, na qualidade de pessoa física ou de representante de pessoa jurídica;</w:t>
      </w:r>
      <w:bookmarkEnd w:id="8"/>
    </w:p>
    <w:p w14:paraId="01178E6E">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7FBFB240">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2.7.9 </w:t>
      </w:r>
      <w:r>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6"/>
          <w:rFonts w:ascii="Times New Roman" w:hAnsi="Times New Roman" w:cs="Times New Roman" w:eastAsiaTheme="minorHAnsi"/>
          <w:color w:val="auto"/>
          <w:sz w:val="24"/>
          <w:szCs w:val="24"/>
        </w:rPr>
        <w:t>§ 1º do art. 9º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78264C77">
      <w:pPr>
        <w:pStyle w:val="102"/>
        <w:spacing w:before="288" w:beforeLines="120" w:after="288" w:afterLines="120" w:line="288" w:lineRule="auto"/>
        <w:ind w:left="567" w:right="565" w:firstLine="0"/>
        <w:contextualSpacing/>
        <w:rPr>
          <w:rFonts w:ascii="Times New Roman" w:hAnsi="Times New Roman" w:cs="Times New Roman"/>
          <w:color w:val="FF0000"/>
          <w:sz w:val="24"/>
          <w:szCs w:val="24"/>
        </w:rPr>
      </w:pPr>
      <w:bookmarkStart w:id="9" w:name="_Hlk154223269"/>
    </w:p>
    <w:bookmarkEnd w:id="9"/>
    <w:p w14:paraId="7050695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2.8 </w:t>
      </w:r>
      <w:r>
        <w:rPr>
          <w:rFonts w:ascii="Times New Roman" w:hAnsi="Times New Roman" w:cs="Times New Roman"/>
          <w:sz w:val="24"/>
          <w:szCs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E60F09">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0" w:name="art14§2"/>
      <w:bookmarkEnd w:id="10"/>
    </w:p>
    <w:p w14:paraId="2FDBC3C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 A critério da Administração e exclusivamente a seu serviço, o autor dos projetos e a empresa a que se referem os itens 3.7.3 e 3.7.4 poderão participar no apoio das atividades de planejamento da contratação, de execução da licitação ou de gestão do contrato, desde que sob supervisão exclusiva de agentes públicos do órgão ou entidade.</w:t>
      </w:r>
    </w:p>
    <w:p w14:paraId="1CF29EA2">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1" w:name="art14§3"/>
      <w:bookmarkEnd w:id="11"/>
    </w:p>
    <w:p w14:paraId="22BC7190">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2.9.1 Equiparam-se aos autores do projeto as empresas integrantes do mesmo grupo econômico.</w:t>
      </w:r>
    </w:p>
    <w:p w14:paraId="325D6A72">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2" w:name="art14§4"/>
      <w:bookmarkEnd w:id="12"/>
    </w:p>
    <w:p w14:paraId="44C955A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2.9.2 O disposto nos itens 3.7.3 e 3.7.4 não impede a licitação ou a contratação de serviço que inclua como encargo do contratado a elaboração do projeto básico e do projeto executivo, nas contratações integradas, e do projeto executivo, nos demais regimes de execução.</w:t>
      </w:r>
    </w:p>
    <w:p w14:paraId="7AE8CBE0">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3" w:name="art14§5"/>
      <w:bookmarkEnd w:id="13"/>
    </w:p>
    <w:p w14:paraId="4FE23E2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3576EF54">
      <w:pPr>
        <w:pStyle w:val="98"/>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2EC833D9">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2.11 A vedação de que trata o item </w:t>
      </w:r>
      <w:r>
        <w:rPr>
          <w:rFonts w:ascii="Times New Roman" w:hAnsi="Times New Roman" w:cs="Times New Roman"/>
          <w:color w:val="auto"/>
          <w:sz w:val="24"/>
          <w:szCs w:val="24"/>
        </w:rPr>
        <w:t xml:space="preserve">3.7.8 </w:t>
      </w:r>
      <w:r>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5179C680">
      <w:pPr>
        <w:pStyle w:val="98"/>
        <w:spacing w:before="288" w:beforeLines="120" w:after="288" w:afterLines="120" w:line="288" w:lineRule="auto"/>
        <w:ind w:left="0" w:firstLine="0"/>
        <w:contextualSpacing/>
        <w:rPr>
          <w:rFonts w:ascii="Times New Roman" w:hAnsi="Times New Roman" w:cs="Times New Roman"/>
          <w:sz w:val="24"/>
          <w:szCs w:val="24"/>
        </w:rPr>
      </w:pPr>
    </w:p>
    <w:p w14:paraId="47C0FEF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 Será permitida a participação de pessoas jurídicas reunidas em consórcio, observadas as seguintes regras:</w:t>
      </w:r>
    </w:p>
    <w:p w14:paraId="5201CA67">
      <w:pPr>
        <w:pStyle w:val="98"/>
        <w:spacing w:before="288" w:beforeLines="120" w:after="288" w:afterLines="120" w:line="288" w:lineRule="auto"/>
        <w:ind w:left="0" w:firstLine="0"/>
        <w:contextualSpacing/>
        <w:rPr>
          <w:rFonts w:ascii="Times New Roman" w:hAnsi="Times New Roman" w:cs="Times New Roman"/>
          <w:sz w:val="24"/>
          <w:szCs w:val="24"/>
        </w:rPr>
      </w:pPr>
    </w:p>
    <w:p w14:paraId="29BEC39C">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16630A9F">
      <w:pPr>
        <w:tabs>
          <w:tab w:val="left" w:pos="1440"/>
        </w:tabs>
        <w:autoSpaceDE w:val="0"/>
        <w:snapToGrid w:val="0"/>
        <w:spacing w:before="288" w:beforeLines="120" w:after="288" w:afterLines="120" w:line="288" w:lineRule="auto"/>
        <w:contextualSpacing/>
        <w:jc w:val="both"/>
        <w:rPr>
          <w:sz w:val="24"/>
          <w:szCs w:val="24"/>
        </w:rPr>
      </w:pPr>
      <w:r>
        <w:rPr>
          <w:sz w:val="24"/>
          <w:szCs w:val="24"/>
        </w:rPr>
        <w:t>2.12.2 impedimento de a empresa consorciada participar, na mesma licitação, de mais de um consórcio ou de forma isolada;</w:t>
      </w:r>
    </w:p>
    <w:p w14:paraId="709B2C28">
      <w:pPr>
        <w:tabs>
          <w:tab w:val="left" w:pos="1440"/>
        </w:tabs>
        <w:autoSpaceDE w:val="0"/>
        <w:snapToGrid w:val="0"/>
        <w:spacing w:before="288" w:beforeLines="120" w:after="288" w:afterLines="120" w:line="288" w:lineRule="auto"/>
        <w:contextualSpacing/>
        <w:jc w:val="both"/>
        <w:rPr>
          <w:sz w:val="24"/>
          <w:szCs w:val="24"/>
        </w:rPr>
      </w:pPr>
    </w:p>
    <w:p w14:paraId="0BF9F5CB">
      <w:pPr>
        <w:tabs>
          <w:tab w:val="left" w:pos="1440"/>
        </w:tabs>
        <w:autoSpaceDE w:val="0"/>
        <w:snapToGrid w:val="0"/>
        <w:spacing w:before="288" w:beforeLines="120" w:after="288" w:afterLines="120" w:line="288" w:lineRule="auto"/>
        <w:contextualSpacing/>
        <w:jc w:val="both"/>
        <w:rPr>
          <w:sz w:val="24"/>
          <w:szCs w:val="24"/>
        </w:rPr>
      </w:pPr>
      <w:r>
        <w:rPr>
          <w:sz w:val="24"/>
          <w:szCs w:val="24"/>
        </w:rPr>
        <w:t>2.12.3 o consórcio vencedor, quando for o caso, ficará obrigado a promover a sua constituição e registro antes da celebração do Contrato, nos termos do compromisso firmado conforme item 3.12.1;</w:t>
      </w:r>
    </w:p>
    <w:p w14:paraId="0F571895">
      <w:pPr>
        <w:tabs>
          <w:tab w:val="left" w:pos="1440"/>
        </w:tabs>
        <w:autoSpaceDE w:val="0"/>
        <w:snapToGrid w:val="0"/>
        <w:spacing w:before="288" w:beforeLines="120" w:after="288" w:afterLines="120" w:line="288" w:lineRule="auto"/>
        <w:contextualSpacing/>
        <w:jc w:val="both"/>
        <w:rPr>
          <w:sz w:val="24"/>
          <w:szCs w:val="24"/>
        </w:rPr>
      </w:pPr>
    </w:p>
    <w:p w14:paraId="1B56C993">
      <w:pPr>
        <w:tabs>
          <w:tab w:val="left" w:pos="1440"/>
        </w:tabs>
        <w:autoSpaceDE w:val="0"/>
        <w:snapToGrid w:val="0"/>
        <w:spacing w:before="288" w:beforeLines="120" w:after="288" w:afterLines="120" w:line="288" w:lineRule="auto"/>
        <w:contextualSpacing/>
        <w:jc w:val="both"/>
        <w:rPr>
          <w:sz w:val="24"/>
          <w:szCs w:val="24"/>
        </w:rPr>
      </w:pPr>
      <w:r>
        <w:rPr>
          <w:sz w:val="24"/>
          <w:szCs w:val="24"/>
        </w:rPr>
        <w:t>2.12.4 as empresas consorciadas responderão solidariamente pelos atos praticados em consórcio, tanto na fase da licitação quanto na da execução do Contrato;</w:t>
      </w:r>
    </w:p>
    <w:p w14:paraId="6B7FBDC7">
      <w:pPr>
        <w:tabs>
          <w:tab w:val="left" w:pos="1440"/>
        </w:tabs>
        <w:autoSpaceDE w:val="0"/>
        <w:snapToGrid w:val="0"/>
        <w:spacing w:before="288" w:beforeLines="120" w:after="288" w:afterLines="120" w:line="288" w:lineRule="auto"/>
        <w:contextualSpacing/>
        <w:jc w:val="both"/>
        <w:rPr>
          <w:sz w:val="24"/>
          <w:szCs w:val="24"/>
        </w:rPr>
      </w:pPr>
    </w:p>
    <w:p w14:paraId="1EA07009">
      <w:pPr>
        <w:tabs>
          <w:tab w:val="left" w:pos="1440"/>
        </w:tabs>
        <w:autoSpaceDE w:val="0"/>
        <w:snapToGrid w:val="0"/>
        <w:spacing w:before="288" w:beforeLines="120" w:after="288" w:afterLines="120" w:line="288" w:lineRule="auto"/>
        <w:contextualSpacing/>
        <w:jc w:val="both"/>
        <w:rPr>
          <w:sz w:val="24"/>
          <w:szCs w:val="24"/>
        </w:rPr>
      </w:pPr>
      <w:r>
        <w:rPr>
          <w:sz w:val="24"/>
          <w:szCs w:val="24"/>
        </w:rPr>
        <w:t>2.12.5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BF6BCC0">
      <w:pPr>
        <w:pStyle w:val="96"/>
        <w:spacing w:before="0" w:beforeAutospacing="0" w:after="0" w:afterAutospacing="0" w:line="288" w:lineRule="auto"/>
        <w:contextualSpacing/>
        <w:jc w:val="both"/>
        <w:rPr>
          <w:rFonts w:eastAsia="Calibri"/>
          <w:b/>
          <w:bCs/>
          <w:lang w:eastAsia="en-US"/>
        </w:rPr>
      </w:pPr>
      <w:r>
        <w:rPr>
          <w:rFonts w:eastAsia="Calibri"/>
          <w:b/>
          <w:bCs/>
          <w:lang w:eastAsia="en-US"/>
        </w:rPr>
        <w:t>3. DAS DECLARAÇÕES E DA APRESENTAÇÃO DA PROPOSTA</w:t>
      </w:r>
    </w:p>
    <w:p w14:paraId="13B3BD10">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 Na presente licitação, a fase de habilitação será realizada após as fases de apresentação de propostas e lances e de julgamento.</w:t>
      </w:r>
    </w:p>
    <w:p w14:paraId="7168C1D6">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14" w:name="_Ref113886867"/>
    </w:p>
    <w:p w14:paraId="5AE12354">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bookmarkStart w:id="15" w:name="_Ref113968921"/>
    </w:p>
    <w:p w14:paraId="0A153FA3">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6C36F5D4">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 No cadastramento da proposta inicial, o licitante declarará, em campo próprio do sistema, que:</w:t>
      </w:r>
      <w:bookmarkEnd w:id="15"/>
    </w:p>
    <w:p w14:paraId="1381A6E7">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3.3.1 está ciente e concorda com as condições contidas no Edital e seus anexos</w:t>
      </w:r>
      <w:bookmarkStart w:id="16" w:name="_Hlk154224613"/>
      <w:r>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6FEC9A25">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62E2806A">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3.3.2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6"/>
          <w:rFonts w:ascii="Times New Roman" w:hAnsi="Times New Roman" w:cs="Times New Roman" w:eastAsiaTheme="minorHAnsi"/>
          <w:color w:val="auto"/>
          <w:sz w:val="24"/>
          <w:szCs w:val="24"/>
        </w:rPr>
        <w:t>art. 7°, XXXIII,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26654FD4">
      <w:pPr>
        <w:pStyle w:val="102"/>
        <w:spacing w:before="288" w:beforeLines="120" w:after="288" w:afterLines="120" w:line="288" w:lineRule="auto"/>
        <w:ind w:left="0" w:firstLine="0"/>
        <w:contextualSpacing/>
        <w:rPr>
          <w:rFonts w:ascii="Times New Roman" w:hAnsi="Times New Roman" w:cs="Times New Roman"/>
          <w:sz w:val="24"/>
          <w:szCs w:val="24"/>
        </w:rPr>
      </w:pPr>
      <w:bookmarkStart w:id="17" w:name="_Hlk154224321"/>
    </w:p>
    <w:p w14:paraId="17B45262">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3.3.3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incisos III e IV do art. 1º e no inciso III do art. 5º da Constituição Federal</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bookmarkEnd w:id="17"/>
    <w:p w14:paraId="7BC92F52">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7029660E">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3.3.4 cumpre as exigências de reserva de cargos para pessoa com deficiência e para reabilitado da Previdência Social, previstas em lei e em outras normas específicas;</w:t>
      </w:r>
    </w:p>
    <w:p w14:paraId="7F3D1E4B">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66C02326">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18" w:name="_Hlk154224365"/>
      <w:r>
        <w:rPr>
          <w:rFonts w:ascii="Times New Roman" w:hAnsi="Times New Roman" w:cs="Times New Roman"/>
          <w:color w:val="auto"/>
          <w:sz w:val="24"/>
          <w:szCs w:val="24"/>
        </w:rPr>
        <w:t>3.3.5 está ciente da obrigação de cumprimento de cota de aprendiz, na forma dos artigos 429 e seguintes da Consolidação das Leis do Trabalho, e da necessidade de comprovar o cumprimento dessa exigência, por meio de certidão, no momento de assinatura do contrato;</w:t>
      </w:r>
    </w:p>
    <w:bookmarkEnd w:id="18"/>
    <w:p w14:paraId="7411450A">
      <w:pPr>
        <w:pStyle w:val="102"/>
        <w:spacing w:before="288" w:beforeLines="120" w:after="288" w:afterLines="120" w:line="288" w:lineRule="auto"/>
        <w:ind w:left="0" w:firstLine="0"/>
        <w:contextualSpacing/>
        <w:rPr>
          <w:rFonts w:ascii="Times New Roman" w:hAnsi="Times New Roman" w:cs="Times New Roman"/>
          <w:color w:val="auto"/>
          <w:sz w:val="24"/>
          <w:szCs w:val="24"/>
        </w:rPr>
      </w:pPr>
      <w:bookmarkStart w:id="19" w:name="_Hlk154224840"/>
    </w:p>
    <w:p w14:paraId="55928179">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3.3.6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707DEE13">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Style w:val="16"/>
          <w:rFonts w:ascii="Times New Roman" w:hAnsi="Times New Roman" w:cs="Times New Roman" w:eastAsiaTheme="minorHAnsi"/>
          <w:color w:val="auto"/>
          <w:sz w:val="24"/>
          <w:szCs w:val="24"/>
        </w:rPr>
        <w:t>art. 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2A23370E">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20" w:name="_Ref117000019"/>
    </w:p>
    <w:p w14:paraId="2403DA25">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3.5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Style w:val="16"/>
          <w:rFonts w:ascii="Times New Roman" w:hAnsi="Times New Roman" w:cs="Times New Roman" w:eastAsiaTheme="minorHAnsi"/>
          <w:color w:val="auto"/>
          <w:sz w:val="24"/>
          <w:szCs w:val="24"/>
        </w:rPr>
        <w:t>art. 3° da 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estando apto a usufruir do tratamento favorecido estabelecido em seus </w:t>
      </w:r>
      <w:bookmarkEnd w:id="20"/>
      <w:r>
        <w:fldChar w:fldCharType="begin"/>
      </w:r>
      <w:r>
        <w:rPr>
          <w:rFonts w:ascii="Times New Roman" w:hAnsi="Times New Roman" w:cs="Times New Roman"/>
          <w:color w:val="auto"/>
          <w:sz w:val="24"/>
          <w:szCs w:val="24"/>
        </w:rPr>
        <w:instrText xml:space="preserve">HYPERLINK "https://www.planalto.gov.br/ccivil_03/leis/lcp/lcp123.htm" \l "art42"</w:instrText>
      </w:r>
      <w:r>
        <w:fldChar w:fldCharType="separate"/>
      </w:r>
      <w:r>
        <w:rPr>
          <w:rStyle w:val="16"/>
          <w:rFonts w:ascii="Times New Roman" w:hAnsi="Times New Roman" w:cs="Times New Roman" w:eastAsiaTheme="minorHAnsi"/>
          <w:color w:val="auto"/>
          <w:sz w:val="24"/>
          <w:szCs w:val="24"/>
        </w:rPr>
        <w:t>arts. 42 a 49</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observado o disposto nos </w:t>
      </w:r>
      <w:r>
        <w:fldChar w:fldCharType="begin"/>
      </w:r>
      <w:r>
        <w:instrText xml:space="preserve"> HYPERLINK "http://www.planalto.gov.br/ccivil_03/_ato2019-2022/2021/lei/L14133.htm" \l "art4§1" </w:instrText>
      </w:r>
      <w:r>
        <w:fldChar w:fldCharType="separate"/>
      </w:r>
      <w:r>
        <w:rPr>
          <w:rStyle w:val="16"/>
          <w:rFonts w:ascii="Times New Roman" w:hAnsi="Times New Roman" w:cs="Times New Roman" w:eastAsiaTheme="minorHAnsi"/>
          <w:color w:val="auto"/>
          <w:sz w:val="24"/>
          <w:szCs w:val="24"/>
        </w:rPr>
        <w:t>§§ 1º ao 3º do art. 4º da Lei n.º 14.133/2021.</w:t>
      </w:r>
      <w:r>
        <w:rPr>
          <w:rStyle w:val="16"/>
          <w:rFonts w:ascii="Times New Roman" w:hAnsi="Times New Roman" w:cs="Times New Roman" w:eastAsiaTheme="minorHAnsi"/>
          <w:color w:val="auto"/>
          <w:sz w:val="24"/>
          <w:szCs w:val="24"/>
        </w:rPr>
        <w:fldChar w:fldCharType="end"/>
      </w:r>
    </w:p>
    <w:p w14:paraId="42D490E9">
      <w:pPr>
        <w:pStyle w:val="102"/>
        <w:spacing w:before="288" w:beforeLines="120" w:after="288" w:afterLines="120" w:line="288" w:lineRule="auto"/>
        <w:ind w:left="0" w:firstLine="0"/>
        <w:contextualSpacing/>
        <w:rPr>
          <w:rFonts w:ascii="Times New Roman" w:hAnsi="Times New Roman" w:cs="Times New Roman"/>
          <w:sz w:val="24"/>
          <w:szCs w:val="24"/>
        </w:rPr>
      </w:pPr>
      <w:bookmarkStart w:id="21" w:name="_Hlk154225179"/>
      <w:r>
        <w:rPr>
          <w:rFonts w:ascii="Times New Roman" w:hAnsi="Times New Roman" w:cs="Times New Roman"/>
          <w:sz w:val="24"/>
          <w:szCs w:val="24"/>
        </w:rPr>
        <w:t>3.5.1 no item exclusivo para participação de microempresas e empresas de pequeno porte, a ausência de declaração na forma do item anterior impedirá o prosseguimento no certame, para aquele item;</w:t>
      </w:r>
    </w:p>
    <w:p w14:paraId="6FC821D1">
      <w:pPr>
        <w:pStyle w:val="102"/>
        <w:spacing w:before="288" w:beforeLines="120" w:after="288" w:afterLines="120" w:line="288" w:lineRule="auto"/>
        <w:ind w:left="0" w:firstLine="0"/>
        <w:contextualSpacing/>
        <w:rPr>
          <w:rFonts w:ascii="Times New Roman" w:hAnsi="Times New Roman" w:cs="Times New Roman"/>
          <w:sz w:val="24"/>
          <w:szCs w:val="24"/>
        </w:rPr>
      </w:pPr>
    </w:p>
    <w:p w14:paraId="6BC653B2">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3.5.2 nos itens em que a participação não for exclusiva para microempresas e empresas de pequeno porte, a ausência de declaração na forma do item 4.5 apenas produzirá o efeito de o licitante não ter direito ao tratamento favorecido previsto </w:t>
      </w:r>
      <w:r>
        <w:rPr>
          <w:rFonts w:ascii="Times New Roman" w:hAnsi="Times New Roman" w:cs="Times New Roman"/>
          <w:color w:val="auto"/>
          <w:sz w:val="24"/>
          <w:szCs w:val="24"/>
        </w:rPr>
        <w:t xml:space="preserve">na </w:t>
      </w:r>
      <w:r>
        <w:fldChar w:fldCharType="begin"/>
      </w:r>
      <w:r>
        <w:instrText xml:space="preserve"> HYPERLINK "https://www.planalto.gov.br/ccivil_03/leis/lcp/lcp123.htm" </w:instrText>
      </w:r>
      <w:r>
        <w:fldChar w:fldCharType="separate"/>
      </w:r>
      <w:r>
        <w:rPr>
          <w:rStyle w:val="16"/>
          <w:rFonts w:ascii="Times New Roman" w:hAnsi="Times New Roman" w:cs="Times New Roman" w:eastAsiaTheme="minorHAnsi"/>
          <w:color w:val="auto"/>
          <w:sz w:val="24"/>
          <w:szCs w:val="24"/>
        </w:rPr>
        <w:t>Lei Complementar nº 123/2006</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mesmo que microempresa, empresa de pequeno porte ou sociedade cooperativa.</w:t>
      </w:r>
    </w:p>
    <w:p w14:paraId="3285CEC6">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3.6 A falsidade das declarações de que tratam os itens 4.3 a 4.5 sujeitará o licitante às sanções previstas na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neste Edital.</w:t>
      </w:r>
    </w:p>
    <w:bookmarkEnd w:id="21"/>
    <w:p w14:paraId="525A4630">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6C438B7B">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3.7 Os licitantes poderão retirar ou substituir a proposta ou, </w:t>
      </w:r>
      <w:r>
        <w:rPr>
          <w:rFonts w:ascii="Times New Roman" w:hAnsi="Times New Roman" w:cs="Times New Roman"/>
          <w:sz w:val="24"/>
          <w:szCs w:val="24"/>
        </w:rPr>
        <w:t xml:space="preserve">na hipótese de a fase de habilitação anteceder as fases de apresentação de propostas e lances e de julgamento, </w:t>
      </w:r>
      <w:r>
        <w:rPr>
          <w:rFonts w:ascii="Times New Roman" w:hAnsi="Times New Roman" w:cs="Times New Roman"/>
          <w:color w:val="auto"/>
          <w:sz w:val="24"/>
          <w:szCs w:val="24"/>
        </w:rPr>
        <w:t>os documentos de habilitação anteriormente inseridos no sistema, até a abertura da sessão pública.</w:t>
      </w:r>
    </w:p>
    <w:p w14:paraId="764AEB09">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3327B421">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 Não haverá ordem de classificação na etapa de apresentação da proposta e das declarações pelo licitante, o que ocorrerá somente após os procedimentos de abertura da sessão pública e da fase de envio de lances.</w:t>
      </w:r>
    </w:p>
    <w:p w14:paraId="15361335">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568B9B17">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3.9 Após a fase de envio de lances, serão disponibilizados para acesso público os documentos que compõem a proposta dos licitantes convocados para apresentação de propostas.</w:t>
      </w:r>
    </w:p>
    <w:p w14:paraId="44C99C18">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05761D4A">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4E47D2">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19261603">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3.11 O licitante deverá comunicar imediatamente ao provedor do sistema qualquer acontecimento que possa comprometer o sigilo ou a segurança, para imediato bloqueio de acesso.</w:t>
      </w:r>
    </w:p>
    <w:p w14:paraId="652738F2">
      <w:pPr>
        <w:pStyle w:val="98"/>
        <w:spacing w:before="288" w:beforeLines="120" w:after="288" w:afterLines="120" w:line="288" w:lineRule="auto"/>
        <w:ind w:left="567" w:right="565" w:firstLine="0"/>
        <w:contextualSpacing/>
        <w:rPr>
          <w:rFonts w:ascii="Times New Roman" w:hAnsi="Times New Roman" w:cs="Times New Roman"/>
          <w:color w:val="FF0000"/>
          <w:sz w:val="24"/>
          <w:szCs w:val="24"/>
        </w:rPr>
      </w:pPr>
    </w:p>
    <w:p w14:paraId="2CC07D2C">
      <w:pPr>
        <w:pStyle w:val="98"/>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 Desde que disponibilizada a funcionalidade no sistema, o licitante poderá parametrizar o seu valor final mínimo ou o seu percentual de desconto máximo quando do cadastramento da proposta e obedecerá às seguintes regras:</w:t>
      </w:r>
    </w:p>
    <w:p w14:paraId="6F8ED1FB">
      <w:pPr>
        <w:pStyle w:val="102"/>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3.12.1 a aplicação do intervalo mínimo de diferença de valores ou de percentuais entre os lances, conforme disposto no item 6.8, que incidirá tanto em relação aos lances intermediários quanto em relação ao lance que cobrir a melhor oferta;  </w:t>
      </w:r>
    </w:p>
    <w:p w14:paraId="551A7195">
      <w:pPr>
        <w:pStyle w:val="102"/>
        <w:spacing w:before="288" w:beforeLines="120" w:after="288" w:afterLines="120" w:line="288" w:lineRule="auto"/>
        <w:ind w:left="0" w:right="-2" w:firstLine="0"/>
        <w:contextualSpacing/>
        <w:rPr>
          <w:rFonts w:ascii="Times New Roman" w:hAnsi="Times New Roman" w:cs="Times New Roman"/>
          <w:color w:val="auto"/>
          <w:sz w:val="24"/>
          <w:szCs w:val="24"/>
        </w:rPr>
      </w:pPr>
    </w:p>
    <w:p w14:paraId="72845471">
      <w:pPr>
        <w:pStyle w:val="102"/>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3.12.2 os lances serão de envio automático pelo sistema, respeitado o valor final mínimo, caso estabelecido, e o intervalo de que trata o subitem acima.</w:t>
      </w:r>
    </w:p>
    <w:p w14:paraId="59A861CB">
      <w:pPr>
        <w:pStyle w:val="98"/>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 O valor final mínimo ou o percentual de desconto final máximo parametrizado no sistema poderá ser alterado pelo fornecedor durante a fase de disputa, sendo vedado:</w:t>
      </w:r>
    </w:p>
    <w:p w14:paraId="2BBC9492">
      <w:pPr>
        <w:pStyle w:val="102"/>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3.13.1 valor superior a lance já registrado pelo fornecedor no sistema, quando adotado o critério de julgamento por menor preço; e</w:t>
      </w:r>
    </w:p>
    <w:p w14:paraId="7C9C671F">
      <w:pPr>
        <w:pStyle w:val="102"/>
        <w:spacing w:before="288" w:beforeLines="120" w:after="288" w:afterLines="120" w:line="288" w:lineRule="auto"/>
        <w:ind w:left="0" w:right="565" w:firstLine="0"/>
        <w:contextualSpacing/>
        <w:rPr>
          <w:rFonts w:ascii="Times New Roman" w:hAnsi="Times New Roman" w:cs="Times New Roman"/>
          <w:color w:val="auto"/>
          <w:sz w:val="24"/>
          <w:szCs w:val="24"/>
        </w:rPr>
      </w:pPr>
    </w:p>
    <w:p w14:paraId="172D1869">
      <w:pPr>
        <w:pStyle w:val="102"/>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3.13.2 percentual de desconto inferior a lance já registrado pelo fornecedor no sistema, quando adotado o critério de julgamento por maior desconto.</w:t>
      </w:r>
    </w:p>
    <w:p w14:paraId="380E2945">
      <w:pPr>
        <w:pStyle w:val="98"/>
        <w:spacing w:before="288" w:beforeLines="120" w:after="288" w:afterLines="120"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3.14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12520D97">
      <w:pPr>
        <w:pStyle w:val="96"/>
        <w:spacing w:before="0" w:beforeAutospacing="0" w:after="0" w:afterAutospacing="0" w:line="288" w:lineRule="auto"/>
        <w:contextualSpacing/>
        <w:jc w:val="both"/>
        <w:rPr>
          <w:rFonts w:eastAsia="Calibri"/>
          <w:b/>
          <w:bCs/>
          <w:lang w:eastAsia="en-US"/>
        </w:rPr>
      </w:pPr>
      <w:r>
        <w:rPr>
          <w:rFonts w:eastAsia="Calibri"/>
          <w:b/>
          <w:bCs/>
          <w:lang w:eastAsia="en-US"/>
        </w:rPr>
        <w:t>4. DO PREENCHIMENTO DA PROPOSTA</w:t>
      </w:r>
    </w:p>
    <w:p w14:paraId="70E0254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 O licitante deverá enviar sua proposta mediante o preenchimento, no sistema eletrônico, dos seguintes campos:</w:t>
      </w:r>
    </w:p>
    <w:p w14:paraId="62041E2A">
      <w:pPr>
        <w:pStyle w:val="102"/>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4.1.1 Valor unitário do item;</w:t>
      </w:r>
    </w:p>
    <w:p w14:paraId="530622C6">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2D70E6E3">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4.1.2 </w:t>
      </w:r>
      <w:r>
        <w:rPr>
          <w:rFonts w:ascii="Times New Roman" w:hAnsi="Times New Roman" w:cs="Times New Roman"/>
          <w:sz w:val="24"/>
          <w:szCs w:val="24"/>
        </w:rPr>
        <w:t xml:space="preserve">Serão aceitos marcas e fabricantes que comprovem o atendimento a essas especificações. A apresentação de ficha técnica e certificados de qualidade é obrigatória. </w:t>
      </w:r>
    </w:p>
    <w:p w14:paraId="5F566DF3">
      <w:pPr>
        <w:pStyle w:val="102"/>
        <w:spacing w:before="288" w:beforeLines="120" w:after="288" w:afterLines="120" w:line="288" w:lineRule="auto"/>
        <w:ind w:left="0" w:firstLine="0"/>
        <w:contextualSpacing/>
        <w:rPr>
          <w:rFonts w:ascii="Times New Roman" w:hAnsi="Times New Roman" w:cs="Times New Roman"/>
          <w:color w:val="auto"/>
          <w:sz w:val="24"/>
          <w:szCs w:val="24"/>
        </w:rPr>
      </w:pPr>
    </w:p>
    <w:p w14:paraId="11C4FB2A">
      <w:pPr>
        <w:pStyle w:val="102"/>
        <w:spacing w:before="288" w:beforeLines="120" w:after="288" w:afterLines="120" w:line="288" w:lineRule="auto"/>
        <w:ind w:left="0" w:firstLine="0"/>
        <w:contextualSpacing/>
        <w:rPr>
          <w:rFonts w:ascii="Times New Roman" w:hAnsi="Times New Roman" w:cs="Times New Roman"/>
          <w:iCs/>
          <w:color w:val="auto"/>
          <w:sz w:val="24"/>
          <w:szCs w:val="24"/>
        </w:rPr>
      </w:pPr>
      <w:r>
        <w:rPr>
          <w:rFonts w:ascii="Times New Roman" w:hAnsi="Times New Roman" w:cs="Times New Roman"/>
          <w:color w:val="auto"/>
          <w:sz w:val="24"/>
          <w:szCs w:val="24"/>
        </w:rPr>
        <w:t xml:space="preserve">4.1.3 </w:t>
      </w:r>
      <w:r>
        <w:rPr>
          <w:rFonts w:ascii="Times New Roman" w:hAnsi="Times New Roman" w:cs="Times New Roman"/>
          <w:sz w:val="24"/>
          <w:szCs w:val="24"/>
        </w:rPr>
        <w:t>Descrição do objeto, contendo as informações similares à especificação do Termo de Referência</w:t>
      </w:r>
      <w:r>
        <w:rPr>
          <w:rFonts w:ascii="Times New Roman" w:hAnsi="Times New Roman" w:cs="Times New Roman"/>
          <w:iCs/>
          <w:color w:val="auto"/>
          <w:sz w:val="24"/>
          <w:szCs w:val="24"/>
        </w:rPr>
        <w:t xml:space="preserve">; </w:t>
      </w:r>
    </w:p>
    <w:p w14:paraId="4CE445B6">
      <w:pPr>
        <w:pStyle w:val="102"/>
        <w:spacing w:before="288" w:beforeLines="120" w:after="288" w:afterLines="120" w:line="288" w:lineRule="auto"/>
        <w:ind w:left="0" w:right="565" w:firstLine="0"/>
        <w:contextualSpacing/>
        <w:rPr>
          <w:rFonts w:ascii="Times New Roman" w:hAnsi="Times New Roman" w:cs="Times New Roman"/>
          <w:color w:val="auto"/>
          <w:sz w:val="24"/>
          <w:szCs w:val="24"/>
        </w:rPr>
      </w:pPr>
    </w:p>
    <w:p w14:paraId="6C532D95">
      <w:pPr>
        <w:pStyle w:val="102"/>
        <w:spacing w:before="288" w:beforeLines="120" w:after="288" w:afterLines="120" w:line="288" w:lineRule="auto"/>
        <w:ind w:left="0" w:right="565" w:firstLine="0"/>
        <w:contextualSpacing/>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4.1.4 Quantidade cotada, que não poderá ser inferior ao quantitativo máximo de cada item que poderá ser adquirido.</w:t>
      </w:r>
    </w:p>
    <w:p w14:paraId="4E089E7F">
      <w:pPr>
        <w:pStyle w:val="98"/>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 Todas as especificações do objeto contidas na proposta vinculam o licitante.</w:t>
      </w:r>
    </w:p>
    <w:p w14:paraId="3BB5413C">
      <w:pPr>
        <w:pStyle w:val="102"/>
        <w:spacing w:line="288" w:lineRule="auto"/>
        <w:ind w:left="0" w:right="565"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4.2.1 O licitante não poderá oferecer proposta em quantitativo inferior ao máximo previsto para contratação.</w:t>
      </w:r>
    </w:p>
    <w:p w14:paraId="33945F22">
      <w:pPr>
        <w:pStyle w:val="102"/>
        <w:spacing w:line="288" w:lineRule="auto"/>
        <w:ind w:left="0" w:firstLine="0"/>
        <w:contextualSpacing/>
        <w:rPr>
          <w:rFonts w:ascii="Times New Roman" w:hAnsi="Times New Roman" w:cs="Times New Roman"/>
          <w:color w:val="auto"/>
          <w:sz w:val="24"/>
          <w:szCs w:val="24"/>
        </w:rPr>
      </w:pPr>
    </w:p>
    <w:p w14:paraId="5E126800">
      <w:pPr>
        <w:pStyle w:val="102"/>
        <w:spacing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32CC13D">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6FDF096">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3703A9E0">
      <w:pPr>
        <w:pStyle w:val="98"/>
        <w:spacing w:before="288" w:beforeLines="120" w:after="288" w:afterLines="120" w:line="288" w:lineRule="auto"/>
        <w:ind w:left="0" w:firstLine="0"/>
        <w:contextualSpacing/>
        <w:rPr>
          <w:rFonts w:ascii="Times New Roman" w:hAnsi="Times New Roman" w:cs="Times New Roman"/>
          <w:color w:val="FF66FF"/>
          <w:sz w:val="24"/>
          <w:szCs w:val="24"/>
        </w:rPr>
      </w:pPr>
      <w:r>
        <w:rPr>
          <w:rFonts w:ascii="Times New Roman" w:hAnsi="Times New Roman" w:cs="Times New Roman"/>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298B8C3">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57F4E821">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4.6 Independentemente do percentual de tributo inserido na planilha, no pagamento serão retidos na fonte os percentuais estabelecidos na legislação vigente.</w:t>
      </w:r>
    </w:p>
    <w:p w14:paraId="697A2B47">
      <w:pPr>
        <w:pStyle w:val="98"/>
        <w:spacing w:before="288" w:beforeLines="120" w:after="288" w:afterLines="120" w:line="288" w:lineRule="auto"/>
        <w:ind w:left="0" w:firstLine="0"/>
        <w:contextualSpacing/>
        <w:rPr>
          <w:rFonts w:ascii="Times New Roman" w:hAnsi="Times New Roman" w:cs="Times New Roman"/>
          <w:i/>
          <w:iCs/>
          <w:color w:val="FF0000"/>
          <w:sz w:val="24"/>
          <w:szCs w:val="24"/>
        </w:rPr>
      </w:pPr>
      <w:bookmarkStart w:id="22" w:name="_Hlk154227498"/>
    </w:p>
    <w:p w14:paraId="0EDB3536">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4.7</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0A951A1C">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15174E36">
      <w:pPr>
        <w:pStyle w:val="98"/>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sz w:val="24"/>
          <w:szCs w:val="24"/>
        </w:rPr>
        <w:t>4.8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3A201D46">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7D0FCDFC">
      <w:pPr>
        <w:pStyle w:val="98"/>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color w:val="auto"/>
          <w:sz w:val="24"/>
          <w:szCs w:val="24"/>
        </w:rPr>
        <w:t>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25E284B">
      <w:pPr>
        <w:pStyle w:val="98"/>
        <w:spacing w:before="288" w:beforeLines="120" w:after="288" w:afterLines="120" w:line="288" w:lineRule="auto"/>
        <w:ind w:left="0" w:firstLine="0"/>
        <w:contextualSpacing/>
        <w:rPr>
          <w:rFonts w:ascii="Times New Roman" w:hAnsi="Times New Roman" w:cs="Times New Roman"/>
          <w:sz w:val="24"/>
          <w:szCs w:val="24"/>
        </w:rPr>
      </w:pPr>
    </w:p>
    <w:p w14:paraId="513CA6E0">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4.10 O prazo de validade da proposta não será inferior </w:t>
      </w:r>
      <w:r>
        <w:rPr>
          <w:rFonts w:ascii="Times New Roman" w:hAnsi="Times New Roman" w:cs="Times New Roman"/>
          <w:color w:val="000000" w:themeColor="text1"/>
          <w:sz w:val="24"/>
          <w:szCs w:val="24"/>
          <w14:textFill>
            <w14:solidFill>
              <w14:schemeClr w14:val="tx1"/>
            </w14:solidFill>
          </w14:textFill>
        </w:rPr>
        <w:t>a 60 (sessenta) dias corridos</w:t>
      </w:r>
      <w:r>
        <w:rPr>
          <w:rFonts w:ascii="Times New Roman" w:hAnsi="Times New Roman" w:cs="Times New Roman"/>
          <w:b/>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1EDAD337">
      <w:pPr>
        <w:pStyle w:val="98"/>
        <w:spacing w:before="288" w:beforeLines="120" w:after="288" w:afterLines="120" w:line="288" w:lineRule="auto"/>
        <w:ind w:left="0" w:firstLine="0"/>
        <w:contextualSpacing/>
        <w:rPr>
          <w:rFonts w:ascii="Times New Roman" w:hAnsi="Times New Roman" w:cs="Times New Roman"/>
          <w:sz w:val="24"/>
          <w:szCs w:val="24"/>
        </w:rPr>
      </w:pPr>
      <w:bookmarkStart w:id="23" w:name="_Hlk154229074"/>
    </w:p>
    <w:p w14:paraId="4BE5B7C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4.11 Os licitantes devem respeitar os preços máximos estabelecidos no Anexo deste Edital referente ao orçamento estimado (art. 59, III, da Lei nº 14.133/2021).</w:t>
      </w:r>
    </w:p>
    <w:p w14:paraId="46C81C1E">
      <w:pPr>
        <w:pStyle w:val="98"/>
        <w:spacing w:before="288" w:beforeLines="120" w:after="288" w:afterLines="120" w:line="288" w:lineRule="auto"/>
        <w:ind w:left="0" w:firstLine="0"/>
        <w:contextualSpacing/>
        <w:rPr>
          <w:rFonts w:ascii="Times New Roman" w:hAnsi="Times New Roman" w:cs="Times New Roman"/>
          <w:sz w:val="24"/>
          <w:szCs w:val="24"/>
        </w:rPr>
      </w:pPr>
    </w:p>
    <w:p w14:paraId="05EB880A">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6"/>
          <w:rFonts w:ascii="Times New Roman" w:hAnsi="Times New Roman" w:cs="Times New Roman" w:eastAsiaTheme="minorHAnsi"/>
          <w:color w:val="auto"/>
          <w:sz w:val="24"/>
          <w:szCs w:val="24"/>
        </w:rPr>
        <w:t>art. 71, inciso IX, da Constituição</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37CE92A4">
      <w:pPr>
        <w:pStyle w:val="96"/>
        <w:spacing w:before="0" w:beforeAutospacing="0" w:after="0" w:afterAutospacing="0" w:line="288" w:lineRule="auto"/>
        <w:contextualSpacing/>
        <w:jc w:val="both"/>
        <w:rPr>
          <w:rFonts w:eastAsia="Calibri"/>
          <w:b/>
          <w:bCs/>
          <w:lang w:eastAsia="en-US"/>
        </w:rPr>
      </w:pPr>
      <w:r>
        <w:rPr>
          <w:rFonts w:eastAsia="Calibri"/>
          <w:b/>
          <w:bCs/>
          <w:lang w:eastAsia="en-US"/>
        </w:rPr>
        <w:t>5. DA ABERTURA DA SESSÃO, CLASSIFICAÇÃO DAS PROPOSTAS E FORMULAÇÃO DE LANCES</w:t>
      </w:r>
    </w:p>
    <w:p w14:paraId="0ADC8176">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 A abertura da presente licitação dar-se-á em sessão pública, por meio de sistema eletrônico, na data, horário e local indicados neste Edital.</w:t>
      </w:r>
    </w:p>
    <w:p w14:paraId="485F4437">
      <w:pPr>
        <w:pStyle w:val="98"/>
        <w:spacing w:before="288" w:beforeLines="120" w:after="288" w:afterLines="120" w:line="288" w:lineRule="auto"/>
        <w:ind w:left="0" w:firstLine="0"/>
        <w:contextualSpacing/>
        <w:rPr>
          <w:rFonts w:ascii="Times New Roman" w:hAnsi="Times New Roman" w:cs="Times New Roman"/>
          <w:sz w:val="24"/>
          <w:szCs w:val="24"/>
        </w:rPr>
      </w:pPr>
    </w:p>
    <w:p w14:paraId="09C8BC3D">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5.2 Os licitantes poderão retirar ou substituir a proposta </w:t>
      </w:r>
      <w:r>
        <w:rPr>
          <w:rFonts w:ascii="Times New Roman" w:hAnsi="Times New Roman" w:cs="Times New Roman"/>
          <w:color w:val="auto"/>
          <w:sz w:val="24"/>
          <w:szCs w:val="24"/>
        </w:rPr>
        <w:t>ou os documentos de habilitação</w:t>
      </w:r>
      <w:r>
        <w:rPr>
          <w:rFonts w:ascii="Times New Roman" w:hAnsi="Times New Roman" w:cs="Times New Roman"/>
          <w:sz w:val="24"/>
          <w:szCs w:val="24"/>
        </w:rPr>
        <w:t>, quando for o caso, anteriormente inseridos no sistema, até a abertura da sessão pública.</w:t>
      </w:r>
    </w:p>
    <w:p w14:paraId="74EA23DC">
      <w:pPr>
        <w:pStyle w:val="98"/>
        <w:spacing w:before="288" w:beforeLines="120" w:after="288" w:afterLines="120" w:line="288" w:lineRule="auto"/>
        <w:ind w:left="0" w:firstLine="0"/>
        <w:contextualSpacing/>
        <w:rPr>
          <w:rFonts w:ascii="Times New Roman" w:hAnsi="Times New Roman" w:cs="Times New Roman"/>
          <w:sz w:val="24"/>
          <w:szCs w:val="24"/>
        </w:rPr>
      </w:pPr>
    </w:p>
    <w:p w14:paraId="556E957F">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5.3 O sistema disponibilizará campo próprio para troca de mensagens entre o Pregoeiro e os licitantes.</w:t>
      </w:r>
    </w:p>
    <w:p w14:paraId="0E6A1C9B">
      <w:pPr>
        <w:pStyle w:val="98"/>
        <w:spacing w:before="288" w:beforeLines="120" w:after="288" w:afterLines="120" w:line="288" w:lineRule="auto"/>
        <w:ind w:left="0" w:firstLine="0"/>
        <w:contextualSpacing/>
        <w:rPr>
          <w:rFonts w:ascii="Times New Roman" w:hAnsi="Times New Roman" w:cs="Times New Roman"/>
          <w:sz w:val="24"/>
          <w:szCs w:val="24"/>
        </w:rPr>
      </w:pPr>
    </w:p>
    <w:p w14:paraId="17D8164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5.4 Iniciada a etapa competitiva, os licitantes deverão encaminhar lances exclusivamente por meio de sistema eletrônico, sendo imediatamente informados do seu recebimento e do valor consignado no registro. </w:t>
      </w:r>
    </w:p>
    <w:p w14:paraId="57DAEBC5">
      <w:pPr>
        <w:pStyle w:val="98"/>
        <w:spacing w:before="288" w:beforeLines="120" w:after="288" w:afterLines="120" w:line="288" w:lineRule="auto"/>
        <w:ind w:left="0" w:firstLine="0"/>
        <w:contextualSpacing/>
        <w:rPr>
          <w:rFonts w:ascii="Times New Roman" w:hAnsi="Times New Roman" w:cs="Times New Roman"/>
          <w:color w:val="FF0000"/>
          <w:sz w:val="24"/>
          <w:szCs w:val="24"/>
        </w:rPr>
      </w:pPr>
    </w:p>
    <w:p w14:paraId="0493BFD5">
      <w:pPr>
        <w:pStyle w:val="98"/>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5.5 O lance deverá ser ofertado pelo valor unitário do item.</w:t>
      </w:r>
    </w:p>
    <w:p w14:paraId="33330AFF">
      <w:pPr>
        <w:pStyle w:val="98"/>
        <w:spacing w:before="288" w:beforeLines="120" w:after="288" w:afterLines="120" w:line="288" w:lineRule="auto"/>
        <w:ind w:left="0" w:firstLine="0"/>
        <w:contextualSpacing/>
        <w:rPr>
          <w:rFonts w:ascii="Times New Roman" w:hAnsi="Times New Roman" w:cs="Times New Roman"/>
          <w:sz w:val="24"/>
          <w:szCs w:val="24"/>
        </w:rPr>
      </w:pPr>
    </w:p>
    <w:p w14:paraId="4839B07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5.6 Os licitantes poderão oferecer lances sucessivos, observando o horário fixado para abertura da sessão e as regras estabelecidas no Edital.</w:t>
      </w:r>
    </w:p>
    <w:p w14:paraId="6833277B">
      <w:pPr>
        <w:pStyle w:val="98"/>
        <w:spacing w:before="288" w:beforeLines="120" w:after="288" w:afterLines="120" w:line="288" w:lineRule="auto"/>
        <w:ind w:left="0" w:firstLine="0"/>
        <w:contextualSpacing/>
        <w:rPr>
          <w:rFonts w:ascii="Times New Roman" w:hAnsi="Times New Roman" w:cs="Times New Roman"/>
          <w:sz w:val="24"/>
          <w:szCs w:val="24"/>
        </w:rPr>
      </w:pPr>
    </w:p>
    <w:p w14:paraId="0D7E959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5.7 O licitante somente poderá oferecer lance </w:t>
      </w:r>
      <w:r>
        <w:rPr>
          <w:rFonts w:ascii="Times New Roman" w:hAnsi="Times New Roman" w:cs="Times New Roman"/>
          <w:iCs/>
          <w:color w:val="auto"/>
          <w:sz w:val="24"/>
          <w:szCs w:val="24"/>
        </w:rPr>
        <w:t>de valor inferior ou percentual de desconto superior</w:t>
      </w:r>
      <w:r>
        <w:rPr>
          <w:rFonts w:ascii="Times New Roman" w:hAnsi="Times New Roman" w:cs="Times New Roman"/>
          <w:color w:val="auto"/>
          <w:sz w:val="24"/>
          <w:szCs w:val="24"/>
        </w:rPr>
        <w:t xml:space="preserve"> </w:t>
      </w:r>
      <w:r>
        <w:rPr>
          <w:rFonts w:ascii="Times New Roman" w:hAnsi="Times New Roman" w:cs="Times New Roman"/>
          <w:sz w:val="24"/>
          <w:szCs w:val="24"/>
        </w:rPr>
        <w:t xml:space="preserve">ao último por ele ofertado e registrado pelo sistema. </w:t>
      </w:r>
    </w:p>
    <w:p w14:paraId="4C3E9282">
      <w:pPr>
        <w:pStyle w:val="98"/>
        <w:spacing w:before="288" w:beforeLines="120" w:after="288" w:afterLines="120" w:line="288" w:lineRule="auto"/>
        <w:ind w:left="0" w:firstLine="0"/>
        <w:contextualSpacing/>
        <w:rPr>
          <w:rFonts w:ascii="Times New Roman" w:hAnsi="Times New Roman" w:cs="Times New Roman"/>
          <w:sz w:val="24"/>
          <w:szCs w:val="24"/>
        </w:rPr>
      </w:pPr>
    </w:p>
    <w:p w14:paraId="1787635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5.8 O intervalo mínimo de diferença de valores ou percentuais entre os lances, que incidirá tanto em relação aos lances intermediários quanto em relação à proposta que cobrir a melhor oferta, deverá </w:t>
      </w:r>
      <w:r>
        <w:rPr>
          <w:rFonts w:ascii="Times New Roman" w:hAnsi="Times New Roman" w:cs="Times New Roman"/>
          <w:color w:val="auto"/>
          <w:sz w:val="24"/>
          <w:szCs w:val="24"/>
        </w:rPr>
        <w:t>ser de 0,01(um centavo)</w:t>
      </w:r>
      <w:r>
        <w:rPr>
          <w:rFonts w:ascii="Times New Roman" w:hAnsi="Times New Roman" w:cs="Times New Roman"/>
          <w:i/>
          <w:iCs/>
          <w:sz w:val="24"/>
          <w:szCs w:val="24"/>
        </w:rPr>
        <w:t>.</w:t>
      </w:r>
    </w:p>
    <w:p w14:paraId="3FFAB97A">
      <w:pPr>
        <w:pStyle w:val="98"/>
        <w:spacing w:before="288" w:beforeLines="120" w:after="288" w:afterLines="120" w:line="288" w:lineRule="auto"/>
        <w:ind w:left="0" w:firstLine="0"/>
        <w:contextualSpacing/>
        <w:rPr>
          <w:rFonts w:ascii="Times New Roman" w:hAnsi="Times New Roman" w:cs="Times New Roman"/>
          <w:color w:val="FF0000"/>
          <w:sz w:val="24"/>
          <w:szCs w:val="24"/>
        </w:rPr>
      </w:pPr>
    </w:p>
    <w:p w14:paraId="10AA51FE">
      <w:pPr>
        <w:pStyle w:val="98"/>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5.9</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71183A7D">
      <w:pPr>
        <w:pStyle w:val="98"/>
        <w:spacing w:before="288" w:beforeLines="120" w:after="288" w:afterLines="120" w:line="288" w:lineRule="auto"/>
        <w:ind w:left="0" w:firstLine="0"/>
        <w:contextualSpacing/>
        <w:rPr>
          <w:rFonts w:ascii="Times New Roman" w:hAnsi="Times New Roman" w:cs="Times New Roman"/>
          <w:color w:val="FF0000"/>
          <w:sz w:val="24"/>
          <w:szCs w:val="24"/>
        </w:rPr>
      </w:pPr>
    </w:p>
    <w:p w14:paraId="4988B69C">
      <w:pPr>
        <w:pStyle w:val="98"/>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5.9.1 O licitante poderá, uma única vez, excluir seu último lance ofertado, no intervalo de quinze segundos após o registro no sistema, na hipótese de lance inconsistente ou inexequível.</w:t>
      </w:r>
    </w:p>
    <w:p w14:paraId="1CD2596A">
      <w:pPr>
        <w:pStyle w:val="98"/>
        <w:spacing w:before="288" w:beforeLines="120" w:after="288" w:afterLines="120" w:line="288" w:lineRule="auto"/>
        <w:ind w:left="567" w:right="565" w:firstLine="0"/>
        <w:contextualSpacing/>
        <w:rPr>
          <w:rFonts w:ascii="Times New Roman" w:hAnsi="Times New Roman" w:cs="Times New Roman"/>
          <w:sz w:val="24"/>
          <w:szCs w:val="24"/>
        </w:rPr>
      </w:pPr>
    </w:p>
    <w:p w14:paraId="4CBCE9B6">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5.10 O procedimento seguirá de acordo com o modo de disputa adotado.</w:t>
      </w:r>
    </w:p>
    <w:p w14:paraId="065EB96C">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bookmarkStart w:id="24" w:name="_Hlk113631522"/>
      <w:r>
        <w:rPr>
          <w:rFonts w:ascii="Times New Roman" w:hAnsi="Times New Roman" w:cs="Times New Roman"/>
          <w:color w:val="000000" w:themeColor="text1"/>
          <w:sz w:val="24"/>
          <w:szCs w:val="24"/>
          <w14:textFill>
            <w14:solidFill>
              <w14:schemeClr w14:val="tx1"/>
            </w14:solidFill>
          </w14:textFill>
        </w:rPr>
        <w:t>5.11 O envio de lances no pregão eletrônico se dará pelo modo de disputa “aberto e fechado”, devendo os licitantes apresentar lances públicos e sucessivos, com lance final e fechado.</w:t>
      </w:r>
    </w:p>
    <w:p w14:paraId="7AFC1097">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33155F13">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5ED3D3C">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0952FEC4">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04621F">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53350C96">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5.11.3 No procedimento de que trata o subitem supra, o licitante poderá optar por manter o seu último lance da etapa aberta, ou por ofertar melhor lance.</w:t>
      </w:r>
    </w:p>
    <w:p w14:paraId="3530C1B7">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2A84608C">
      <w:pPr>
        <w:pStyle w:val="119"/>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378B73F">
      <w:pPr>
        <w:pStyle w:val="119"/>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391AC44E">
      <w:pPr>
        <w:pStyle w:val="119"/>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5.11.5 Após o término dos prazos estabelecidos nos itens anteriores, o sistema ordenará e divulgará os lances segundo a ordem crescente de valores.</w:t>
      </w:r>
    </w:p>
    <w:p w14:paraId="52E9A4B3">
      <w:pPr>
        <w:pStyle w:val="119"/>
        <w:spacing w:line="288" w:lineRule="auto"/>
        <w:ind w:left="567" w:right="565"/>
        <w:contextualSpacing/>
        <w:rPr>
          <w:rFonts w:ascii="Times New Roman" w:hAnsi="Times New Roman" w:cs="Times New Roman"/>
          <w:color w:val="FF0000"/>
          <w:sz w:val="24"/>
          <w:szCs w:val="24"/>
        </w:rPr>
      </w:pPr>
    </w:p>
    <w:bookmarkEnd w:id="24"/>
    <w:p w14:paraId="686041FD">
      <w:pPr>
        <w:pStyle w:val="119"/>
        <w:spacing w:line="288" w:lineRule="auto"/>
        <w:ind w:left="0"/>
        <w:contextualSpacing/>
        <w:rPr>
          <w:rFonts w:ascii="Times New Roman" w:hAnsi="Times New Roman" w:cs="Times New Roman"/>
          <w:i/>
          <w:sz w:val="24"/>
          <w:szCs w:val="24"/>
        </w:rPr>
      </w:pPr>
      <w:r>
        <w:rPr>
          <w:rFonts w:ascii="Times New Roman" w:hAnsi="Times New Roman" w:cs="Times New Roman"/>
          <w:sz w:val="24"/>
          <w:szCs w:val="24"/>
        </w:rPr>
        <w:t>5.12 Após o término dos prazos estabelecidos nos subitens anteriores, o sistema ordenará e divulgará os lances segundo a ordem crescente de valores</w:t>
      </w:r>
      <w:r>
        <w:rPr>
          <w:rFonts w:ascii="Times New Roman" w:hAnsi="Times New Roman" w:cs="Times New Roman"/>
          <w:i/>
          <w:iCs/>
          <w:sz w:val="24"/>
          <w:szCs w:val="24"/>
        </w:rPr>
        <w:t>.</w:t>
      </w:r>
    </w:p>
    <w:p w14:paraId="4FD07461">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5.13 Não serão aceitos dois ou mais lances de mesmo valor, prevalecendo aquele que for recebido e registrado em primeiro lugar. </w:t>
      </w:r>
    </w:p>
    <w:p w14:paraId="0B0D958B">
      <w:pPr>
        <w:pStyle w:val="98"/>
        <w:spacing w:before="288" w:beforeLines="120" w:after="288" w:afterLines="120" w:line="288" w:lineRule="auto"/>
        <w:ind w:left="0" w:firstLine="0"/>
        <w:contextualSpacing/>
        <w:rPr>
          <w:rFonts w:ascii="Times New Roman" w:hAnsi="Times New Roman" w:cs="Times New Roman"/>
          <w:sz w:val="24"/>
          <w:szCs w:val="24"/>
        </w:rPr>
      </w:pPr>
    </w:p>
    <w:p w14:paraId="232EA2FB">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5.14 Durante o transcurso da sessão pública, os licitantes serão informados, em tempo real, do valor do menor lance registrado, vedada a identificação do licitante. </w:t>
      </w:r>
    </w:p>
    <w:p w14:paraId="4F2F3479">
      <w:pPr>
        <w:pStyle w:val="98"/>
        <w:spacing w:before="288" w:beforeLines="120" w:after="288" w:afterLines="120" w:line="288" w:lineRule="auto"/>
        <w:ind w:left="0" w:firstLine="0"/>
        <w:contextualSpacing/>
        <w:rPr>
          <w:rFonts w:ascii="Times New Roman" w:hAnsi="Times New Roman" w:cs="Times New Roman"/>
          <w:sz w:val="24"/>
          <w:szCs w:val="24"/>
        </w:rPr>
      </w:pPr>
    </w:p>
    <w:p w14:paraId="60FCF61F">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5.15 No caso de desconexão com o Pregoeiro, no decorrer da etapa competitiva do Pregão, o sistema eletrônico poderá permanecer acessível aos licitantes para a recepção dos lances. </w:t>
      </w:r>
    </w:p>
    <w:p w14:paraId="637B003E">
      <w:pPr>
        <w:pStyle w:val="98"/>
        <w:spacing w:before="288" w:beforeLines="120" w:after="288" w:afterLines="120" w:line="288" w:lineRule="auto"/>
        <w:ind w:left="0" w:firstLine="0"/>
        <w:contextualSpacing/>
        <w:rPr>
          <w:rFonts w:ascii="Times New Roman" w:hAnsi="Times New Roman" w:cs="Times New Roman"/>
          <w:sz w:val="24"/>
          <w:szCs w:val="24"/>
        </w:rPr>
      </w:pPr>
    </w:p>
    <w:p w14:paraId="00C5237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25EE5703">
      <w:pPr>
        <w:pStyle w:val="98"/>
        <w:spacing w:before="288" w:beforeLines="120" w:after="288" w:afterLines="120" w:line="288" w:lineRule="auto"/>
        <w:ind w:left="0" w:firstLine="0"/>
        <w:contextualSpacing/>
        <w:rPr>
          <w:rFonts w:ascii="Times New Roman" w:hAnsi="Times New Roman" w:cs="Times New Roman"/>
          <w:sz w:val="24"/>
          <w:szCs w:val="24"/>
        </w:rPr>
      </w:pPr>
    </w:p>
    <w:p w14:paraId="438CCC3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5.17 Caso o licitante não apresente lances, concorrerá com o valor de sua proposta.</w:t>
      </w:r>
    </w:p>
    <w:p w14:paraId="0B82E27D">
      <w:pPr>
        <w:pStyle w:val="98"/>
        <w:spacing w:before="288" w:beforeLines="120" w:after="288" w:afterLines="120" w:line="288" w:lineRule="auto"/>
        <w:ind w:left="0" w:firstLine="0"/>
        <w:contextualSpacing/>
        <w:rPr>
          <w:rFonts w:ascii="Times New Roman" w:hAnsi="Times New Roman" w:cs="Times New Roman"/>
          <w:color w:val="FF0000"/>
          <w:sz w:val="24"/>
          <w:szCs w:val="24"/>
        </w:rPr>
      </w:pPr>
    </w:p>
    <w:p w14:paraId="37378D4F">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 Em relação a itens não exclusivos para participação de microempresas e empresas de pequeno porte, uma vez encerrada a etapa de lances</w:t>
      </w:r>
      <w:r>
        <w:rPr>
          <w:rFonts w:ascii="Times New Roman" w:hAnsi="Times New Roman" w:eastAsia="Zurich BT"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Style w:val="16"/>
          <w:rFonts w:ascii="Times New Roman" w:hAnsi="Times New Roman" w:eastAsia="Zurich BT" w:cs="Times New Roman"/>
          <w:color w:val="auto"/>
          <w:sz w:val="24"/>
          <w:szCs w:val="24"/>
        </w:rPr>
        <w:t>arts. 44 e 45 da Lei Complementar nº 123/2006</w:t>
      </w:r>
      <w:r>
        <w:rPr>
          <w:rStyle w:val="16"/>
          <w:rFonts w:ascii="Times New Roman" w:hAnsi="Times New Roman" w:eastAsia="Zurich BT" w:cs="Times New Roman"/>
          <w:color w:val="auto"/>
          <w:sz w:val="24"/>
          <w:szCs w:val="24"/>
        </w:rPr>
        <w:fldChar w:fldCharType="end"/>
      </w:r>
      <w:r>
        <w:rPr>
          <w:rFonts w:ascii="Times New Roman" w:hAnsi="Times New Roman" w:eastAsia="Zurich BT" w:cs="Times New Roman"/>
          <w:color w:val="auto"/>
          <w:sz w:val="24"/>
          <w:szCs w:val="24"/>
        </w:rPr>
        <w:t xml:space="preserve">, regulamentada pelo </w:t>
      </w:r>
      <w:r>
        <w:rPr>
          <w:rFonts w:ascii="Times New Roman" w:hAnsi="Times New Roman" w:cs="Times New Roman"/>
          <w:sz w:val="24"/>
          <w:szCs w:val="24"/>
        </w:rPr>
        <w:t>Lei Municipal nº 2367/2007.</w:t>
      </w:r>
    </w:p>
    <w:p w14:paraId="6934D681">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2B1605A8">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5.18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06E3BC00">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69B007CA">
      <w:pPr>
        <w:pStyle w:val="98"/>
        <w:spacing w:before="288" w:beforeLines="120" w:after="288" w:afterLines="120" w:line="288" w:lineRule="auto"/>
        <w:ind w:left="0" w:right="-2" w:firstLine="0"/>
        <w:contextualSpacing/>
        <w:rPr>
          <w:rFonts w:ascii="Times New Roman" w:hAnsi="Times New Roman" w:cs="Times New Roman"/>
          <w:sz w:val="24"/>
          <w:szCs w:val="24"/>
        </w:rPr>
      </w:pPr>
    </w:p>
    <w:p w14:paraId="2127CEA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5.18.1 Nessas condições, as propostas de </w:t>
      </w:r>
      <w:r>
        <w:rPr>
          <w:rFonts w:ascii="Times New Roman" w:hAnsi="Times New Roman" w:eastAsia="Zurich BT" w:cs="Times New Roman"/>
          <w:sz w:val="24"/>
          <w:szCs w:val="24"/>
        </w:rPr>
        <w:t xml:space="preserve">microempresas e empresas de pequeno porte </w:t>
      </w:r>
      <w:r>
        <w:rPr>
          <w:rFonts w:ascii="Times New Roman" w:hAnsi="Times New Roman" w:cs="Times New Roman"/>
          <w:sz w:val="24"/>
          <w:szCs w:val="24"/>
        </w:rPr>
        <w:t>que se encontrarem na faixa de até 5% (cinco por cento) acima da melhor proposta ou melhor lance serão consideradas empatadas com a primeira colocada.</w:t>
      </w:r>
    </w:p>
    <w:p w14:paraId="0F2F1F88">
      <w:pPr>
        <w:pStyle w:val="102"/>
        <w:spacing w:before="288" w:beforeLines="120" w:after="288" w:afterLines="120" w:line="288" w:lineRule="auto"/>
        <w:ind w:left="0" w:firstLine="0"/>
        <w:contextualSpacing/>
        <w:rPr>
          <w:rFonts w:ascii="Times New Roman" w:hAnsi="Times New Roman" w:cs="Times New Roman"/>
          <w:sz w:val="24"/>
          <w:szCs w:val="24"/>
        </w:rPr>
      </w:pPr>
    </w:p>
    <w:p w14:paraId="1DD94F7E">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CB5942">
      <w:pPr>
        <w:pStyle w:val="102"/>
        <w:spacing w:before="288" w:beforeLines="120" w:after="288" w:afterLines="120" w:line="288" w:lineRule="auto"/>
        <w:ind w:left="0" w:firstLine="0"/>
        <w:contextualSpacing/>
        <w:rPr>
          <w:rFonts w:ascii="Times New Roman" w:hAnsi="Times New Roman" w:cs="Times New Roman"/>
          <w:sz w:val="24"/>
          <w:szCs w:val="24"/>
        </w:rPr>
      </w:pPr>
    </w:p>
    <w:p w14:paraId="782C1390">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5.18.3 Caso a </w:t>
      </w:r>
      <w:r>
        <w:rPr>
          <w:rFonts w:ascii="Times New Roman" w:hAnsi="Times New Roman" w:eastAsia="Zurich BT" w:cs="Times New Roman"/>
          <w:sz w:val="24"/>
          <w:szCs w:val="24"/>
        </w:rPr>
        <w:t>microempresa ou a empresa de pequeno porte</w:t>
      </w:r>
      <w:r>
        <w:rPr>
          <w:rFonts w:ascii="Times New Roman" w:hAnsi="Times New Roman" w:cs="Times New Roman"/>
          <w:sz w:val="24"/>
          <w:szCs w:val="24"/>
        </w:rPr>
        <w:t xml:space="preserve"> melhor classificada desista ou não se manifeste no prazo estabelecido, serão convocadas as demais licitantes </w:t>
      </w:r>
      <w:r>
        <w:rPr>
          <w:rFonts w:ascii="Times New Roman" w:hAnsi="Times New Roman" w:eastAsia="Zurich BT" w:cs="Times New Roman"/>
          <w:sz w:val="24"/>
          <w:szCs w:val="24"/>
        </w:rPr>
        <w:t>microempresa e empresa de pequeno porte</w:t>
      </w:r>
      <w:r>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4DF76C4E">
      <w:pPr>
        <w:pStyle w:val="98"/>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02C2E1">
      <w:pPr>
        <w:pStyle w:val="98"/>
        <w:spacing w:before="288" w:beforeLines="120" w:after="288" w:afterLines="120" w:line="288" w:lineRule="auto"/>
        <w:ind w:left="0" w:firstLine="0"/>
        <w:contextualSpacing/>
        <w:rPr>
          <w:rFonts w:ascii="Times New Roman" w:hAnsi="Times New Roman" w:cs="Times New Roman"/>
          <w:sz w:val="24"/>
          <w:szCs w:val="24"/>
        </w:rPr>
      </w:pPr>
    </w:p>
    <w:p w14:paraId="0CFB03B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5.19 Só poderá haver empate entre propostas iguais (não seguidas de lances) ou entre lances finais da fase fechada do modo de disputa aberto e fechado. </w:t>
      </w:r>
    </w:p>
    <w:p w14:paraId="14CA2C05">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5.19.1 Havendo eventual empate entre propostas ou lances, o critério de desempate será o abaixo previsto, nesta ordem:</w:t>
      </w:r>
    </w:p>
    <w:p w14:paraId="2B07798F">
      <w:pPr>
        <w:pStyle w:val="102"/>
        <w:spacing w:before="288" w:beforeLines="120" w:after="288" w:afterLines="120" w:line="288" w:lineRule="auto"/>
        <w:ind w:left="0" w:firstLine="0"/>
        <w:contextualSpacing/>
        <w:jc w:val="left"/>
        <w:rPr>
          <w:rFonts w:ascii="Times New Roman" w:hAnsi="Times New Roman" w:cs="Times New Roman"/>
          <w:color w:val="auto"/>
          <w:sz w:val="24"/>
          <w:szCs w:val="24"/>
        </w:rPr>
      </w:pPr>
      <w:r>
        <w:rPr>
          <w:rFonts w:ascii="Times New Roman" w:hAnsi="Times New Roman" w:cs="Times New Roman"/>
          <w:color w:val="333333"/>
          <w:sz w:val="24"/>
          <w:szCs w:val="24"/>
        </w:rPr>
        <w:br w:type="textWrapping"/>
      </w:r>
      <w:r>
        <w:rPr>
          <w:rFonts w:ascii="Times New Roman" w:hAnsi="Times New Roman" w:cs="Times New Roman"/>
          <w:color w:val="auto"/>
          <w:sz w:val="24"/>
          <w:szCs w:val="24"/>
          <w:shd w:val="clear" w:color="auto" w:fill="F5F5F5"/>
        </w:rPr>
        <w:t>I - contratação de microempresas e empresas de pequeno porte, nos termos dos arts. 44 e 45 da Lei Complementar nº </w:t>
      </w:r>
      <w:r>
        <w:fldChar w:fldCharType="begin"/>
      </w:r>
      <w:r>
        <w:instrText xml:space="preserve"> HYPERLINK "http://www.planalto.gov.br/ccivil_03/leis/lcp/lcp123.htm" </w:instrText>
      </w:r>
      <w:r>
        <w:fldChar w:fldCharType="separate"/>
      </w:r>
      <w:r>
        <w:rPr>
          <w:rStyle w:val="16"/>
          <w:rFonts w:ascii="Times New Roman" w:hAnsi="Times New Roman" w:cs="Times New Roman" w:eastAsiaTheme="minorHAnsi"/>
          <w:color w:val="auto"/>
          <w:sz w:val="24"/>
          <w:szCs w:val="24"/>
          <w:shd w:val="clear" w:color="auto" w:fill="F5F5F5"/>
        </w:rPr>
        <w:t>123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14 de dezembro de 2006, observado o disposto no art. 4º da Lei nº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shd w:val="clear" w:color="auto" w:fill="F5F5F5"/>
        </w:rPr>
        <w:t>14.133</w:t>
      </w:r>
      <w:r>
        <w:rPr>
          <w:rStyle w:val="16"/>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2021;</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III - avaliação do desempenho contratual prévio dos licitantes;</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58CF3033">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5.19.1.1 contratação de microempresas e empresas de pequeno porte, nos termos dos arts. 44 e 45 da Lei Complementar nº 123/2006, observado o disposto no art. 4º da Lei nº 14.133/2021;</w:t>
      </w:r>
    </w:p>
    <w:p w14:paraId="1F78F8C9">
      <w:pPr>
        <w:pStyle w:val="119"/>
        <w:spacing w:before="288" w:beforeLines="120" w:after="288" w:afterLines="120" w:line="288" w:lineRule="auto"/>
        <w:ind w:left="0"/>
        <w:contextualSpacing/>
        <w:rPr>
          <w:rFonts w:ascii="Times New Roman" w:hAnsi="Times New Roman" w:cs="Times New Roman"/>
          <w:sz w:val="24"/>
          <w:szCs w:val="24"/>
        </w:rPr>
      </w:pPr>
    </w:p>
    <w:p w14:paraId="7EECEBD7">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5.19.1.2 disputa final, hipótese em que os licitantes empatados poderão apresentar nova proposta em ato contínuo à classificação;</w:t>
      </w:r>
    </w:p>
    <w:p w14:paraId="6220997B">
      <w:pPr>
        <w:pStyle w:val="119"/>
        <w:spacing w:before="288" w:beforeLines="120" w:after="288" w:afterLines="120" w:line="288" w:lineRule="auto"/>
        <w:ind w:left="0"/>
        <w:contextualSpacing/>
        <w:rPr>
          <w:rFonts w:ascii="Times New Roman" w:hAnsi="Times New Roman" w:cs="Times New Roman"/>
          <w:sz w:val="24"/>
          <w:szCs w:val="24"/>
        </w:rPr>
      </w:pPr>
    </w:p>
    <w:p w14:paraId="17ACDFA0">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5.19.1.3 avaliação do desempenho contratual prévio dos licitantes, para a qual deverão preferencialmente ser utilizados registros cadastrais para efeito de atesto de cumprimento de obrigações previstos na Lei;</w:t>
      </w:r>
    </w:p>
    <w:p w14:paraId="5E0BABBB">
      <w:pPr>
        <w:pStyle w:val="119"/>
        <w:spacing w:before="288" w:beforeLines="120" w:after="288" w:afterLines="120" w:line="288" w:lineRule="auto"/>
        <w:ind w:left="0"/>
        <w:contextualSpacing/>
        <w:rPr>
          <w:rFonts w:ascii="Times New Roman" w:hAnsi="Times New Roman" w:cs="Times New Roman"/>
          <w:sz w:val="24"/>
          <w:szCs w:val="24"/>
        </w:rPr>
      </w:pPr>
    </w:p>
    <w:p w14:paraId="00C7FE07">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5.19.1.4 desenvolvimento pelo licitante de ações de equidade entre homens e mulheres no ambiente de trabalho;</w:t>
      </w:r>
    </w:p>
    <w:p w14:paraId="136904E6">
      <w:pPr>
        <w:pStyle w:val="119"/>
        <w:spacing w:before="288" w:beforeLines="120" w:after="288" w:afterLines="120" w:line="288" w:lineRule="auto"/>
        <w:ind w:left="0"/>
        <w:contextualSpacing/>
        <w:rPr>
          <w:rFonts w:ascii="Times New Roman" w:hAnsi="Times New Roman" w:cs="Times New Roman"/>
          <w:sz w:val="24"/>
          <w:szCs w:val="24"/>
        </w:rPr>
      </w:pPr>
    </w:p>
    <w:p w14:paraId="3EEDA16E">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5.19.1.5 desenvolvimento pelo licitante de programa de integridade, conforme orientações dos órgãos de controle.</w:t>
      </w:r>
    </w:p>
    <w:p w14:paraId="3D56CEF1">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5.19.2 Persistindo o empate, será assegurada preferência, sucessivamente, aos bens e serviços produzidos ou prestados por:</w:t>
      </w:r>
    </w:p>
    <w:p w14:paraId="464DCAC4">
      <w:pPr>
        <w:pStyle w:val="119"/>
        <w:spacing w:before="288" w:beforeLines="120" w:after="288" w:afterLines="120" w:line="288" w:lineRule="auto"/>
        <w:ind w:left="0"/>
        <w:contextualSpacing/>
        <w:rPr>
          <w:rFonts w:ascii="Times New Roman" w:hAnsi="Times New Roman" w:cs="Times New Roman"/>
          <w:sz w:val="24"/>
          <w:szCs w:val="24"/>
        </w:rPr>
      </w:pPr>
      <w:bookmarkStart w:id="25" w:name="art60§1i"/>
      <w:bookmarkEnd w:id="25"/>
      <w:r>
        <w:rPr>
          <w:rFonts w:ascii="Times New Roman" w:hAnsi="Times New Roman" w:cs="Times New Roman"/>
          <w:sz w:val="24"/>
          <w:szCs w:val="24"/>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68AB87">
      <w:pPr>
        <w:pStyle w:val="119"/>
        <w:spacing w:before="288" w:beforeLines="120" w:after="288" w:afterLines="120" w:line="288" w:lineRule="auto"/>
        <w:ind w:left="0"/>
        <w:contextualSpacing/>
        <w:rPr>
          <w:rFonts w:ascii="Times New Roman" w:hAnsi="Times New Roman" w:cs="Times New Roman"/>
          <w:sz w:val="24"/>
          <w:szCs w:val="24"/>
        </w:rPr>
      </w:pPr>
      <w:bookmarkStart w:id="26" w:name="art60§1ii"/>
      <w:bookmarkEnd w:id="26"/>
    </w:p>
    <w:p w14:paraId="17892A38">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5.19.2.2 empresas brasileiras;</w:t>
      </w:r>
    </w:p>
    <w:p w14:paraId="04256776">
      <w:pPr>
        <w:pStyle w:val="119"/>
        <w:spacing w:before="288" w:beforeLines="120" w:after="288" w:afterLines="120" w:line="288" w:lineRule="auto"/>
        <w:ind w:left="0"/>
        <w:contextualSpacing/>
        <w:rPr>
          <w:rFonts w:ascii="Times New Roman" w:hAnsi="Times New Roman" w:cs="Times New Roman"/>
          <w:sz w:val="24"/>
          <w:szCs w:val="24"/>
        </w:rPr>
      </w:pPr>
      <w:bookmarkStart w:id="27" w:name="art60§1iii"/>
      <w:bookmarkEnd w:id="27"/>
    </w:p>
    <w:p w14:paraId="29FEC76D">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5.19.2.3 empresas que invistam em pesquisa e no desenvolvimento de tecnologia no País;</w:t>
      </w:r>
    </w:p>
    <w:p w14:paraId="2E3564DC">
      <w:pPr>
        <w:pStyle w:val="119"/>
        <w:spacing w:before="288" w:beforeLines="120" w:after="288" w:afterLines="120" w:line="288" w:lineRule="auto"/>
        <w:ind w:left="0"/>
        <w:contextualSpacing/>
        <w:rPr>
          <w:rFonts w:ascii="Times New Roman" w:hAnsi="Times New Roman" w:cs="Times New Roman"/>
          <w:sz w:val="24"/>
          <w:szCs w:val="24"/>
        </w:rPr>
      </w:pPr>
      <w:bookmarkStart w:id="28" w:name="art60§1iv"/>
      <w:bookmarkEnd w:id="28"/>
    </w:p>
    <w:p w14:paraId="516B119B">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6"/>
          <w:rFonts w:ascii="Times New Roman" w:hAnsi="Times New Roman" w:cs="Times New Roman"/>
          <w:sz w:val="24"/>
          <w:szCs w:val="24"/>
        </w:rPr>
        <w:t>Lei nº 12.187, de 29 de dezembro de 2009</w:t>
      </w:r>
      <w:r>
        <w:rPr>
          <w:rStyle w:val="16"/>
          <w:rFonts w:ascii="Times New Roman" w:hAnsi="Times New Roman" w:cs="Times New Roman"/>
          <w:sz w:val="24"/>
          <w:szCs w:val="24"/>
        </w:rPr>
        <w:fldChar w:fldCharType="end"/>
      </w:r>
      <w:r>
        <w:rPr>
          <w:rFonts w:ascii="Times New Roman" w:hAnsi="Times New Roman" w:cs="Times New Roman"/>
          <w:sz w:val="24"/>
          <w:szCs w:val="24"/>
        </w:rPr>
        <w:t>.</w:t>
      </w:r>
    </w:p>
    <w:p w14:paraId="138F3E4E">
      <w:pPr>
        <w:pStyle w:val="96"/>
        <w:spacing w:before="0" w:beforeAutospacing="0" w:after="0" w:afterAutospacing="0" w:line="288" w:lineRule="auto"/>
        <w:contextualSpacing/>
        <w:jc w:val="both"/>
        <w:rPr>
          <w:rFonts w:eastAsia="Calibri"/>
          <w:b/>
          <w:bCs/>
          <w:lang w:eastAsia="en-US"/>
        </w:rPr>
      </w:pPr>
      <w:r>
        <w:rPr>
          <w:rFonts w:eastAsia="Calibri"/>
          <w:b/>
          <w:bCs/>
          <w:lang w:eastAsia="en-US"/>
        </w:rPr>
        <w:t>6. DA FASE DE JULGAMENTO</w:t>
      </w:r>
    </w:p>
    <w:p w14:paraId="7955E563">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6F4E09DD">
      <w:pPr>
        <w:pStyle w:val="98"/>
        <w:spacing w:before="288" w:beforeLines="120" w:after="288" w:afterLines="120" w:line="288" w:lineRule="auto"/>
        <w:ind w:left="0" w:firstLine="0"/>
        <w:contextualSpacing/>
        <w:rPr>
          <w:rFonts w:ascii="Times New Roman" w:hAnsi="Times New Roman" w:cs="Times New Roman"/>
          <w:sz w:val="24"/>
          <w:szCs w:val="24"/>
        </w:rPr>
      </w:pPr>
    </w:p>
    <w:p w14:paraId="1FDD49B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0761B0A6">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6.1.2 A negociação será realizada por meio do sistema, podendo ser acompanhada pelos demais licitantes.</w:t>
      </w:r>
    </w:p>
    <w:p w14:paraId="49C28880">
      <w:pPr>
        <w:pStyle w:val="102"/>
        <w:spacing w:before="288" w:beforeLines="120" w:after="288" w:afterLines="120" w:line="288" w:lineRule="auto"/>
        <w:ind w:left="0" w:firstLine="0"/>
        <w:contextualSpacing/>
        <w:rPr>
          <w:rFonts w:ascii="Times New Roman" w:hAnsi="Times New Roman" w:cs="Times New Roman"/>
          <w:sz w:val="24"/>
          <w:szCs w:val="24"/>
        </w:rPr>
      </w:pPr>
    </w:p>
    <w:p w14:paraId="46FB792E">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6.1.3 O resultado da negociação será divulgado a todos os licitantes e anexado aos autos do processo licitatório.</w:t>
      </w:r>
    </w:p>
    <w:p w14:paraId="3864BC05">
      <w:pPr>
        <w:pStyle w:val="102"/>
        <w:spacing w:before="288" w:beforeLines="120" w:after="288" w:afterLines="120" w:line="288" w:lineRule="auto"/>
        <w:ind w:left="0" w:firstLine="0"/>
        <w:contextualSpacing/>
        <w:rPr>
          <w:rFonts w:ascii="Times New Roman" w:hAnsi="Times New Roman" w:cs="Times New Roman"/>
          <w:sz w:val="24"/>
          <w:szCs w:val="24"/>
        </w:rPr>
      </w:pPr>
    </w:p>
    <w:p w14:paraId="0B8DCB49">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6.1.4 O Pregoeiro solicitará ao licitante mais bem classificado que, no </w:t>
      </w:r>
      <w:bookmarkStart w:id="29" w:name="_Hlk178773510"/>
      <w:r>
        <w:rPr>
          <w:rFonts w:ascii="Times New Roman" w:hAnsi="Times New Roman" w:cs="Times New Roman"/>
          <w:color w:val="auto"/>
          <w:sz w:val="24"/>
          <w:szCs w:val="24"/>
        </w:rPr>
        <w:t xml:space="preserve">prazo mínimo </w:t>
      </w:r>
      <w:r>
        <w:rPr>
          <w:rFonts w:ascii="Times New Roman" w:hAnsi="Times New Roman" w:cs="Times New Roman"/>
          <w:color w:val="000000" w:themeColor="text1"/>
          <w:sz w:val="24"/>
          <w:szCs w:val="24"/>
          <w14:textFill>
            <w14:solidFill>
              <w14:schemeClr w14:val="tx1"/>
            </w14:solidFill>
          </w14:textFill>
        </w:rPr>
        <w:t>de 2 (duas) horas</w:t>
      </w:r>
      <w:bookmarkEnd w:id="29"/>
      <w:r>
        <w:rPr>
          <w:rFonts w:ascii="Times New Roman" w:hAnsi="Times New Roman" w:cs="Times New Roman"/>
          <w:color w:val="000000" w:themeColor="text1"/>
          <w:sz w:val="24"/>
          <w:szCs w:val="24"/>
          <w14:textFill>
            <w14:solidFill>
              <w14:schemeClr w14:val="tx1"/>
            </w14:solidFill>
          </w14:textFill>
        </w:rPr>
        <w:t xml:space="preserve">, envie </w:t>
      </w:r>
      <w:r>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59BC5D39">
      <w:pPr>
        <w:pStyle w:val="102"/>
        <w:spacing w:before="288" w:beforeLines="120" w:after="288" w:afterLines="120" w:line="288" w:lineRule="auto"/>
        <w:ind w:left="0" w:firstLine="0"/>
        <w:contextualSpacing/>
        <w:rPr>
          <w:rFonts w:ascii="Times New Roman" w:hAnsi="Times New Roman" w:cs="Times New Roman"/>
          <w:sz w:val="24"/>
          <w:szCs w:val="24"/>
        </w:rPr>
      </w:pPr>
    </w:p>
    <w:p w14:paraId="2A514C45">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6.1.5 É facultado ao Pregoeiro prorrogar o prazo estabelecido, por igual período, de ofício ou a partir de solicitação fundamentada feita no chat pelo licitante, antes de findo o prazo.</w:t>
      </w:r>
    </w:p>
    <w:p w14:paraId="0BE7B083">
      <w:pPr>
        <w:pStyle w:val="98"/>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6.2 Encerrada a negociação, o Pregoeiro examinará a proposta classificada em primeiro lugar quanto à adequação ao objeto e à compatibilidade do preço em relação ao máximo estipulado para contratação neste Edital e em seus anexos.</w:t>
      </w:r>
    </w:p>
    <w:p w14:paraId="526B42F7">
      <w:pPr>
        <w:pStyle w:val="98"/>
        <w:spacing w:before="288" w:beforeLines="120" w:after="288" w:afterLines="120" w:line="288" w:lineRule="auto"/>
        <w:ind w:left="0" w:firstLine="0"/>
        <w:contextualSpacing/>
        <w:rPr>
          <w:rFonts w:ascii="Times New Roman" w:hAnsi="Times New Roman" w:cs="Times New Roman"/>
          <w:sz w:val="24"/>
          <w:szCs w:val="24"/>
        </w:rPr>
      </w:pPr>
    </w:p>
    <w:p w14:paraId="77F4F277">
      <w:pPr>
        <w:pStyle w:val="98"/>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 xml:space="preserve">6.3 Será desclassificada a proposta vencedora que: </w:t>
      </w:r>
    </w:p>
    <w:p w14:paraId="0B06BF49">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6.3.1 contiver vícios insanáveis;</w:t>
      </w:r>
    </w:p>
    <w:p w14:paraId="1CE51755">
      <w:pPr>
        <w:pStyle w:val="102"/>
        <w:spacing w:before="288" w:beforeLines="120" w:after="288" w:afterLines="120" w:line="288" w:lineRule="auto"/>
        <w:ind w:left="0" w:firstLine="0"/>
        <w:contextualSpacing/>
        <w:rPr>
          <w:rFonts w:ascii="Times New Roman" w:hAnsi="Times New Roman" w:cs="Times New Roman"/>
          <w:sz w:val="24"/>
          <w:szCs w:val="24"/>
        </w:rPr>
      </w:pPr>
    </w:p>
    <w:p w14:paraId="1BBCDA1E">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6.3.2 não obedecer às especificações técnicas contidas no Termo de Referência;</w:t>
      </w:r>
    </w:p>
    <w:p w14:paraId="37087A41">
      <w:pPr>
        <w:pStyle w:val="102"/>
        <w:spacing w:before="288" w:beforeLines="120" w:after="288" w:afterLines="120" w:line="288" w:lineRule="auto"/>
        <w:ind w:left="0" w:firstLine="0"/>
        <w:contextualSpacing/>
        <w:rPr>
          <w:rFonts w:ascii="Times New Roman" w:hAnsi="Times New Roman" w:cs="Times New Roman"/>
          <w:sz w:val="24"/>
          <w:szCs w:val="24"/>
        </w:rPr>
      </w:pPr>
    </w:p>
    <w:p w14:paraId="5B46E2C8">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6.3.3 apresentar preços inexequíveis ou permanecerem acima do preço máximo definido para a contratação;</w:t>
      </w:r>
    </w:p>
    <w:p w14:paraId="49770452">
      <w:pPr>
        <w:pStyle w:val="102"/>
        <w:spacing w:before="288" w:beforeLines="120" w:after="288" w:afterLines="120" w:line="288" w:lineRule="auto"/>
        <w:ind w:left="0" w:firstLine="0"/>
        <w:contextualSpacing/>
        <w:rPr>
          <w:rFonts w:ascii="Times New Roman" w:hAnsi="Times New Roman" w:cs="Times New Roman"/>
          <w:sz w:val="24"/>
          <w:szCs w:val="24"/>
        </w:rPr>
      </w:pPr>
    </w:p>
    <w:p w14:paraId="75EDACAE">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6.3.4 não tiverem sua exequibilidade demonstrada, quando exigido pela Administração;</w:t>
      </w:r>
    </w:p>
    <w:p w14:paraId="3A0688D2">
      <w:pPr>
        <w:pStyle w:val="102"/>
        <w:spacing w:before="288" w:beforeLines="120" w:after="288" w:afterLines="120" w:line="288" w:lineRule="auto"/>
        <w:ind w:left="0" w:firstLine="0"/>
        <w:contextualSpacing/>
        <w:rPr>
          <w:rFonts w:ascii="Times New Roman" w:hAnsi="Times New Roman" w:cs="Times New Roman"/>
          <w:sz w:val="24"/>
          <w:szCs w:val="24"/>
        </w:rPr>
      </w:pPr>
    </w:p>
    <w:p w14:paraId="27BBB2A3">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6.3.5 apresentar desconformidade com quaisquer outras exigências deste Edital ou seus anexos, desde que insanável.</w:t>
      </w:r>
    </w:p>
    <w:p w14:paraId="66C0E297">
      <w:pPr>
        <w:pStyle w:val="98"/>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6.4 A desclassificação será sempre fundamentada e registrada no sistema, com acompanhamento por todos os participantes.</w:t>
      </w:r>
    </w:p>
    <w:p w14:paraId="10C1B0B9">
      <w:pPr>
        <w:pStyle w:val="98"/>
        <w:spacing w:before="288" w:beforeLines="120" w:after="288" w:afterLines="120" w:line="288" w:lineRule="auto"/>
        <w:ind w:left="0" w:firstLine="0"/>
        <w:contextualSpacing/>
        <w:rPr>
          <w:rFonts w:ascii="Times New Roman" w:hAnsi="Times New Roman" w:cs="Times New Roman"/>
          <w:sz w:val="24"/>
          <w:szCs w:val="24"/>
        </w:rPr>
      </w:pPr>
    </w:p>
    <w:p w14:paraId="71A551F7">
      <w:pPr>
        <w:pStyle w:val="98"/>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 xml:space="preserve">6.5 É indício de inexequibilidade das propostas valores inferiores a 50% (cinquenta por cento) do valor orçado pela Administração, conforme art. 59 da Lei 14.133/2021 e Instrução Normativa/ME 73/2022. </w:t>
      </w:r>
    </w:p>
    <w:p w14:paraId="6E4669BD">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6.5.1 A inexequibilidade, na hipótese de que trata o </w:t>
      </w:r>
      <w:r>
        <w:rPr>
          <w:rFonts w:ascii="Times New Roman" w:hAnsi="Times New Roman" w:cs="Times New Roman"/>
          <w:i/>
          <w:iCs/>
          <w:sz w:val="24"/>
          <w:szCs w:val="24"/>
        </w:rPr>
        <w:t>caput</w:t>
      </w:r>
      <w:r>
        <w:rPr>
          <w:rFonts w:ascii="Times New Roman" w:hAnsi="Times New Roman" w:cs="Times New Roman"/>
          <w:sz w:val="24"/>
          <w:szCs w:val="24"/>
        </w:rPr>
        <w:t>, só será considerada após diligência do Pregoeiro, que comprove:</w:t>
      </w:r>
    </w:p>
    <w:p w14:paraId="1E535EFD">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6.5.1.1 que o custo do licitante ultrapassa o valor da proposta; e</w:t>
      </w:r>
    </w:p>
    <w:p w14:paraId="7F6FD5F7">
      <w:pPr>
        <w:pStyle w:val="119"/>
        <w:spacing w:before="288" w:beforeLines="120" w:after="288" w:afterLines="120" w:line="288" w:lineRule="auto"/>
        <w:ind w:left="0"/>
        <w:contextualSpacing/>
        <w:rPr>
          <w:rFonts w:ascii="Times New Roman" w:hAnsi="Times New Roman" w:cs="Times New Roman"/>
          <w:sz w:val="24"/>
          <w:szCs w:val="24"/>
        </w:rPr>
      </w:pPr>
    </w:p>
    <w:p w14:paraId="00705E91">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6.5.1.2 inexistirem custos de oportunidade capazes de justificar o vulto da oferta.</w:t>
      </w:r>
    </w:p>
    <w:p w14:paraId="71E8A1A3">
      <w:pPr>
        <w:pStyle w:val="98"/>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6.6 Se houver indícios de inexequibilidade da proposta de preço, ou em caso da necessidade de esclarecimentos complementares, poderão ser efetuadas diligências, para que a empresa comprove a exequibilidade da proposta.</w:t>
      </w:r>
    </w:p>
    <w:p w14:paraId="048DD691">
      <w:pPr>
        <w:pStyle w:val="98"/>
        <w:spacing w:before="288" w:beforeLines="120" w:after="288" w:afterLines="120" w:line="288" w:lineRule="auto"/>
        <w:ind w:left="0" w:firstLine="0"/>
        <w:contextualSpacing/>
        <w:rPr>
          <w:rFonts w:ascii="Times New Roman" w:hAnsi="Times New Roman" w:cs="Times New Roman"/>
          <w:sz w:val="24"/>
          <w:szCs w:val="24"/>
        </w:rPr>
      </w:pPr>
    </w:p>
    <w:p w14:paraId="506D2A5A">
      <w:pPr>
        <w:pStyle w:val="98"/>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6FEA8F3">
      <w:pPr>
        <w:pStyle w:val="98"/>
        <w:spacing w:before="288" w:beforeLines="120" w:after="288" w:afterLines="120" w:line="288" w:lineRule="auto"/>
        <w:ind w:left="0" w:firstLine="0"/>
        <w:contextualSpacing/>
        <w:rPr>
          <w:rFonts w:ascii="Times New Roman" w:hAnsi="Times New Roman" w:cs="Times New Roman"/>
          <w:sz w:val="24"/>
          <w:szCs w:val="24"/>
        </w:rPr>
      </w:pPr>
    </w:p>
    <w:p w14:paraId="72A4151E">
      <w:pPr>
        <w:pStyle w:val="98"/>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BCB0B7F">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6.8.1 O ajuste de que trata este dispositivo se limita a sanar erros ou falhas que não alterem a substância das propostas.</w:t>
      </w:r>
    </w:p>
    <w:p w14:paraId="5784DAAE">
      <w:pPr>
        <w:pStyle w:val="102"/>
        <w:spacing w:before="288" w:beforeLines="120" w:after="288" w:afterLines="120" w:line="288" w:lineRule="auto"/>
        <w:ind w:left="0" w:firstLine="0"/>
        <w:contextualSpacing/>
        <w:rPr>
          <w:rFonts w:ascii="Times New Roman" w:hAnsi="Times New Roman" w:cs="Times New Roman"/>
          <w:sz w:val="24"/>
          <w:szCs w:val="24"/>
        </w:rPr>
      </w:pPr>
    </w:p>
    <w:p w14:paraId="1EC6335C">
      <w:pPr>
        <w:pStyle w:val="102"/>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6.8.2 Considera-se erro no preenchimento da planilha passível de correção a indicação de recolhimento de impostos e contribuições na forma do Simples Nacional, quando não cabível esse regime.</w:t>
      </w:r>
    </w:p>
    <w:p w14:paraId="34AD0459">
      <w:pPr>
        <w:pStyle w:val="98"/>
        <w:spacing w:before="288" w:beforeLines="120" w:after="288" w:afterLines="120" w:line="288" w:lineRule="auto"/>
        <w:ind w:left="0" w:firstLine="0"/>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6.9 Para fins de análise da proposta quanto ao cumprimento </w:t>
      </w:r>
      <w:r>
        <w:rPr>
          <w:rFonts w:ascii="Times New Roman" w:hAnsi="Times New Roman" w:cs="Times New Roman"/>
          <w:sz w:val="24"/>
          <w:szCs w:val="24"/>
        </w:rPr>
        <w:t>das</w:t>
      </w:r>
      <w:r>
        <w:rPr>
          <w:rFonts w:ascii="Times New Roman" w:hAnsi="Times New Roman" w:cs="Times New Roman"/>
          <w:sz w:val="24"/>
          <w:szCs w:val="24"/>
          <w:lang w:eastAsia="en-US"/>
        </w:rPr>
        <w:t xml:space="preserve"> especificações do objeto, poderá ser colhida a </w:t>
      </w:r>
      <w:r>
        <w:rPr>
          <w:rFonts w:ascii="Times New Roman" w:hAnsi="Times New Roman" w:cs="Times New Roman"/>
          <w:sz w:val="24"/>
          <w:szCs w:val="24"/>
        </w:rPr>
        <w:t>manifestação</w:t>
      </w:r>
      <w:r>
        <w:rPr>
          <w:rFonts w:ascii="Times New Roman" w:hAnsi="Times New Roman" w:cs="Times New Roman"/>
          <w:sz w:val="24"/>
          <w:szCs w:val="24"/>
          <w:lang w:eastAsia="en-US"/>
        </w:rPr>
        <w:t xml:space="preserve"> escrita do setor requisitante da área especializada no objeto.</w:t>
      </w:r>
    </w:p>
    <w:p w14:paraId="6C8C9F73">
      <w:pPr>
        <w:pStyle w:val="98"/>
        <w:spacing w:before="288" w:beforeLines="120" w:after="288" w:afterLines="120" w:line="288" w:lineRule="auto"/>
        <w:ind w:left="0" w:firstLine="0"/>
        <w:contextualSpacing/>
        <w:rPr>
          <w:rFonts w:ascii="Times New Roman" w:hAnsi="Times New Roman" w:cs="Times New Roman"/>
          <w:sz w:val="24"/>
          <w:szCs w:val="24"/>
        </w:rPr>
      </w:pPr>
    </w:p>
    <w:p w14:paraId="69CDE5CD">
      <w:pPr>
        <w:pStyle w:val="98"/>
        <w:spacing w:before="288" w:beforeLines="120" w:after="288" w:afterLines="120" w:line="288" w:lineRule="auto"/>
        <w:ind w:left="0" w:firstLine="0"/>
        <w:contextualSpacing/>
        <w:rPr>
          <w:rFonts w:ascii="Times New Roman" w:hAnsi="Times New Roman" w:cs="Times New Roman"/>
          <w:b/>
          <w:bCs/>
          <w:sz w:val="24"/>
          <w:szCs w:val="24"/>
          <w:lang w:eastAsia="ar-SA"/>
        </w:rPr>
      </w:pPr>
      <w:r>
        <w:rPr>
          <w:rFonts w:ascii="Times New Roman" w:hAnsi="Times New Roman" w:cs="Times New Roman"/>
          <w:sz w:val="24"/>
          <w:szCs w:val="24"/>
        </w:rPr>
        <w:t xml:space="preserve">6.10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6"/>
          <w:rFonts w:ascii="Times New Roman" w:hAnsi="Times New Roman" w:cs="Times New Roman" w:eastAsiaTheme="minorHAnsi"/>
          <w:color w:val="auto"/>
          <w:sz w:val="24"/>
          <w:szCs w:val="24"/>
        </w:rPr>
        <w:t>art. 14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legislação correlata e no item 3.9 do Edital, </w:t>
      </w:r>
      <w:r>
        <w:rPr>
          <w:rFonts w:ascii="Times New Roman" w:hAnsi="Times New Roman" w:cs="Times New Roman"/>
          <w:color w:val="auto"/>
          <w:sz w:val="24"/>
          <w:szCs w:val="24"/>
          <w:lang w:eastAsia="ar-SA"/>
        </w:rPr>
        <w:t>especialmente quanto à existência de sanção que impeça a participação no certame ou a futura contratação,</w:t>
      </w:r>
      <w:r>
        <w:rPr>
          <w:rFonts w:ascii="Times New Roman" w:hAnsi="Times New Roman" w:cs="Times New Roman"/>
          <w:sz w:val="24"/>
          <w:szCs w:val="24"/>
          <w:lang w:eastAsia="ar-SA"/>
        </w:rPr>
        <w:t xml:space="preserve"> mediante a consulta aos seguintes cadastros:</w:t>
      </w:r>
    </w:p>
    <w:p w14:paraId="1AF5E063">
      <w:pPr>
        <w:pStyle w:val="49"/>
        <w:spacing w:before="288" w:beforeLines="120" w:after="288" w:afterLines="120" w:line="288" w:lineRule="auto"/>
        <w:ind w:left="0"/>
        <w:jc w:val="both"/>
        <w:rPr>
          <w:sz w:val="24"/>
          <w:szCs w:val="24"/>
          <w:lang w:eastAsia="ar-SA"/>
        </w:rPr>
      </w:pPr>
      <w:r>
        <w:rPr>
          <w:sz w:val="24"/>
          <w:szCs w:val="24"/>
          <w:lang w:eastAsia="ar-SA"/>
        </w:rPr>
        <w:t xml:space="preserve">a) SICAF;  </w:t>
      </w:r>
    </w:p>
    <w:p w14:paraId="65ADF38E">
      <w:pPr>
        <w:pStyle w:val="49"/>
        <w:spacing w:before="288" w:beforeLines="120" w:after="288" w:afterLines="120" w:line="288" w:lineRule="auto"/>
        <w:ind w:left="0"/>
        <w:jc w:val="both"/>
        <w:rPr>
          <w:sz w:val="24"/>
          <w:szCs w:val="24"/>
          <w:lang w:eastAsia="ar-SA"/>
        </w:rPr>
      </w:pPr>
    </w:p>
    <w:p w14:paraId="5D657443">
      <w:pPr>
        <w:pStyle w:val="49"/>
        <w:spacing w:before="288" w:beforeLines="120" w:after="288" w:afterLines="120" w:line="288" w:lineRule="auto"/>
        <w:ind w:left="0"/>
        <w:jc w:val="both"/>
        <w:rPr>
          <w:sz w:val="24"/>
          <w:szCs w:val="24"/>
          <w:lang w:eastAsia="ar-SA"/>
        </w:rPr>
      </w:pPr>
      <w:r>
        <w:rPr>
          <w:sz w:val="24"/>
          <w:szCs w:val="24"/>
          <w:lang w:eastAsia="ar-SA"/>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rFonts w:eastAsiaTheme="minorHAnsi"/>
          <w:sz w:val="24"/>
          <w:szCs w:val="24"/>
          <w:lang w:eastAsia="ar-SA"/>
        </w:rPr>
        <w:t>https://www.portaltransparencia.gov.br/sancoes/ceis</w:t>
      </w:r>
      <w:r>
        <w:rPr>
          <w:rStyle w:val="16"/>
          <w:rFonts w:eastAsiaTheme="minorHAnsi"/>
          <w:sz w:val="24"/>
          <w:szCs w:val="24"/>
          <w:lang w:eastAsia="ar-SA"/>
        </w:rPr>
        <w:fldChar w:fldCharType="end"/>
      </w:r>
      <w:r>
        <w:rPr>
          <w:sz w:val="24"/>
          <w:szCs w:val="24"/>
          <w:lang w:eastAsia="ar-SA"/>
        </w:rPr>
        <w:t xml:space="preserve">); </w:t>
      </w:r>
    </w:p>
    <w:p w14:paraId="182A1AD7">
      <w:pPr>
        <w:pStyle w:val="49"/>
        <w:spacing w:before="288" w:beforeLines="120" w:after="288" w:afterLines="120" w:line="288" w:lineRule="auto"/>
        <w:ind w:left="0"/>
        <w:jc w:val="both"/>
        <w:rPr>
          <w:sz w:val="24"/>
          <w:szCs w:val="24"/>
          <w:lang w:eastAsia="ar-SA"/>
        </w:rPr>
      </w:pPr>
    </w:p>
    <w:p w14:paraId="22545E2F">
      <w:pPr>
        <w:pStyle w:val="49"/>
        <w:spacing w:before="288" w:beforeLines="120" w:after="288" w:afterLines="120" w:line="288" w:lineRule="auto"/>
        <w:ind w:left="0"/>
        <w:jc w:val="both"/>
        <w:rPr>
          <w:sz w:val="24"/>
          <w:szCs w:val="24"/>
          <w:lang w:eastAsia="ar-SA"/>
        </w:rPr>
      </w:pPr>
      <w:r>
        <w:rPr>
          <w:sz w:val="24"/>
          <w:szCs w:val="24"/>
          <w:lang w:eastAsia="ar-SA"/>
        </w:rPr>
        <w:t>c) Cadastro Nacional de Condenações Cíveis por Atos de Improbidade Administrativa, mantido pelo Conselho Nacional de Justiça (www.cnj.jus.br/improbidade_adm/consultar_requerido.php);</w:t>
      </w:r>
    </w:p>
    <w:p w14:paraId="19ADEDC5">
      <w:pPr>
        <w:pStyle w:val="49"/>
        <w:spacing w:before="288" w:beforeLines="120" w:after="288" w:afterLines="120" w:line="288" w:lineRule="auto"/>
        <w:ind w:left="0"/>
        <w:jc w:val="both"/>
        <w:rPr>
          <w:sz w:val="24"/>
          <w:szCs w:val="24"/>
          <w:lang w:eastAsia="ar-SA"/>
        </w:rPr>
      </w:pPr>
    </w:p>
    <w:p w14:paraId="408756FD">
      <w:pPr>
        <w:pStyle w:val="49"/>
        <w:spacing w:before="288" w:beforeLines="120" w:after="288" w:afterLines="120" w:line="288" w:lineRule="auto"/>
        <w:ind w:left="0"/>
        <w:jc w:val="both"/>
        <w:rPr>
          <w:sz w:val="24"/>
          <w:szCs w:val="24"/>
          <w:lang w:eastAsia="ar-SA"/>
        </w:rPr>
      </w:pPr>
      <w:r>
        <w:rPr>
          <w:sz w:val="24"/>
          <w:szCs w:val="24"/>
          <w:lang w:eastAsia="ar-SA"/>
        </w:rPr>
        <w:t>d)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rFonts w:eastAsiaTheme="minorHAnsi"/>
          <w:sz w:val="24"/>
          <w:szCs w:val="24"/>
          <w:lang w:eastAsia="ar-SA"/>
        </w:rPr>
        <w:t>https://www.portaltransparencia.gov.br/sancoes/cnep</w:t>
      </w:r>
      <w:r>
        <w:rPr>
          <w:rStyle w:val="16"/>
          <w:rFonts w:eastAsiaTheme="minorHAnsi"/>
          <w:sz w:val="24"/>
          <w:szCs w:val="24"/>
          <w:lang w:eastAsia="ar-SA"/>
        </w:rPr>
        <w:fldChar w:fldCharType="end"/>
      </w:r>
      <w:r>
        <w:rPr>
          <w:sz w:val="24"/>
          <w:szCs w:val="24"/>
          <w:lang w:eastAsia="ar-SA"/>
        </w:rPr>
        <w:t>);</w:t>
      </w:r>
    </w:p>
    <w:p w14:paraId="2320F922">
      <w:pPr>
        <w:pStyle w:val="49"/>
        <w:spacing w:before="288" w:beforeLines="120" w:after="288" w:afterLines="120" w:line="288" w:lineRule="auto"/>
        <w:ind w:left="0"/>
        <w:jc w:val="both"/>
        <w:rPr>
          <w:sz w:val="24"/>
          <w:szCs w:val="24"/>
          <w:lang w:eastAsia="ar-SA"/>
        </w:rPr>
      </w:pPr>
    </w:p>
    <w:p w14:paraId="4302634B">
      <w:pPr>
        <w:pStyle w:val="49"/>
        <w:spacing w:before="288" w:beforeLines="120" w:after="288" w:afterLines="120" w:line="288" w:lineRule="auto"/>
        <w:ind w:left="0"/>
        <w:jc w:val="both"/>
        <w:rPr>
          <w:sz w:val="24"/>
          <w:szCs w:val="24"/>
          <w:lang w:eastAsia="ar-SA"/>
        </w:rPr>
      </w:pPr>
      <w:r>
        <w:rPr>
          <w:sz w:val="24"/>
          <w:szCs w:val="24"/>
          <w:lang w:eastAsia="ar-SA"/>
        </w:rPr>
        <w:t>e) Lista de inidôneos mantida pelo Tribunal de Contas da União; e</w:t>
      </w:r>
    </w:p>
    <w:p w14:paraId="4DA81B32">
      <w:pPr>
        <w:pStyle w:val="49"/>
        <w:spacing w:before="288" w:beforeLines="120" w:after="288" w:afterLines="120" w:line="288" w:lineRule="auto"/>
        <w:ind w:left="0"/>
        <w:jc w:val="both"/>
        <w:rPr>
          <w:sz w:val="24"/>
          <w:szCs w:val="24"/>
          <w:lang w:eastAsia="ar-SA"/>
        </w:rPr>
      </w:pPr>
    </w:p>
    <w:p w14:paraId="45283D08">
      <w:pPr>
        <w:pStyle w:val="49"/>
        <w:spacing w:before="288" w:beforeLines="120" w:after="288" w:afterLines="120" w:line="288" w:lineRule="auto"/>
        <w:ind w:left="0"/>
        <w:jc w:val="both"/>
        <w:rPr>
          <w:sz w:val="24"/>
          <w:szCs w:val="24"/>
          <w:lang w:eastAsia="ar-SA"/>
        </w:rPr>
      </w:pPr>
      <w:r>
        <w:rPr>
          <w:sz w:val="24"/>
          <w:szCs w:val="24"/>
          <w:lang w:eastAsia="ar-SA"/>
        </w:rPr>
        <w:t>f) módulo Registro de Ocorrências do Comprasnet.</w:t>
      </w:r>
    </w:p>
    <w:p w14:paraId="33BA3D0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Caso o licitante provisoriamente classificado em primeiro lugar tenha se utilizado de algum tratamento favorecido às ME/EPPs, o Pregoeiro verificará se faz jus ao benefício, em conformidade com os itens 3.8 e 4.5 deste Edital.</w:t>
      </w:r>
    </w:p>
    <w:p w14:paraId="0AC38584">
      <w:pPr>
        <w:pStyle w:val="96"/>
        <w:spacing w:before="0" w:beforeAutospacing="0" w:after="0" w:afterAutospacing="0" w:line="288" w:lineRule="auto"/>
        <w:contextualSpacing/>
        <w:jc w:val="both"/>
        <w:rPr>
          <w:rFonts w:eastAsia="Calibri"/>
          <w:b/>
          <w:bCs/>
          <w:lang w:eastAsia="en-US"/>
        </w:rPr>
      </w:pPr>
      <w:r>
        <w:rPr>
          <w:rFonts w:eastAsia="Calibri"/>
          <w:b/>
          <w:bCs/>
          <w:lang w:eastAsia="en-US"/>
        </w:rPr>
        <w:t>7. DA FASE DE HABILITAÇÃO</w:t>
      </w:r>
    </w:p>
    <w:p w14:paraId="09E5E23D">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6"/>
          <w:rFonts w:ascii="Times New Roman" w:hAnsi="Times New Roman" w:cs="Times New Roman" w:eastAsiaTheme="minorHAnsi"/>
          <w:color w:val="auto"/>
          <w:sz w:val="24"/>
          <w:szCs w:val="24"/>
        </w:rPr>
        <w:t>art. 12 da Lei nº 8.429/1992</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5324E400">
      <w:pPr>
        <w:pStyle w:val="98"/>
        <w:spacing w:before="288" w:beforeLines="120" w:after="288" w:afterLines="120" w:line="288" w:lineRule="auto"/>
        <w:ind w:left="0" w:firstLine="0"/>
        <w:contextualSpacing/>
        <w:rPr>
          <w:rFonts w:ascii="Times New Roman" w:hAnsi="Times New Roman" w:cs="Times New Roman"/>
          <w:sz w:val="24"/>
          <w:szCs w:val="24"/>
        </w:rPr>
      </w:pPr>
    </w:p>
    <w:p w14:paraId="494BA36C">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7.2 Caso conste na Consulta de Situação do l</w:t>
      </w:r>
      <w:r>
        <w:rPr>
          <w:rFonts w:ascii="Times New Roman" w:hAnsi="Times New Roman" w:cs="Times New Roman"/>
          <w:color w:val="auto"/>
          <w:sz w:val="24"/>
          <w:szCs w:val="24"/>
        </w:rPr>
        <w:t xml:space="preserve">icitante </w:t>
      </w:r>
      <w:r>
        <w:rPr>
          <w:rFonts w:ascii="Times New Roman" w:hAnsi="Times New Roman" w:cs="Times New Roman"/>
          <w:sz w:val="24"/>
          <w:szCs w:val="24"/>
        </w:rPr>
        <w:t xml:space="preserve">a existência de Ocorrências Impeditivas Indiretas, o </w:t>
      </w:r>
      <w:r>
        <w:rPr>
          <w:rFonts w:ascii="Times New Roman" w:hAnsi="Times New Roman" w:cs="Times New Roman"/>
          <w:color w:val="auto"/>
          <w:sz w:val="24"/>
          <w:szCs w:val="24"/>
        </w:rPr>
        <w:t>Pregoeiro diligenciará para v</w:t>
      </w:r>
      <w:r>
        <w:rPr>
          <w:rFonts w:ascii="Times New Roman" w:hAnsi="Times New Roman" w:cs="Times New Roman"/>
          <w:sz w:val="24"/>
          <w:szCs w:val="24"/>
        </w:rPr>
        <w:t xml:space="preserve">erificar se houve fraude por parte das empresas apontadas no Relatório de Ocorrências Impeditivas Indiretas. </w:t>
      </w:r>
    </w:p>
    <w:p w14:paraId="75C954C0">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7.3.1 A tentativa de burla será verificada por meio dos vínculos societários, linhas de fornecimento similares, dentre outros. </w:t>
      </w:r>
    </w:p>
    <w:p w14:paraId="47C546E1">
      <w:pPr>
        <w:pStyle w:val="102"/>
        <w:spacing w:before="288" w:beforeLines="120" w:after="288" w:afterLines="120" w:line="288" w:lineRule="auto"/>
        <w:ind w:left="0" w:firstLine="0"/>
        <w:contextualSpacing/>
        <w:rPr>
          <w:rFonts w:ascii="Times New Roman" w:hAnsi="Times New Roman" w:cs="Times New Roman"/>
          <w:sz w:val="24"/>
          <w:szCs w:val="24"/>
        </w:rPr>
      </w:pPr>
    </w:p>
    <w:p w14:paraId="763D0CC3">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7.3.2 O licitante será convocado para manifestação previamente a uma eventual desclassificação. </w:t>
      </w:r>
    </w:p>
    <w:p w14:paraId="1F1F8BAE">
      <w:pPr>
        <w:pStyle w:val="102"/>
        <w:spacing w:before="288" w:beforeLines="120" w:after="288" w:afterLines="120" w:line="288" w:lineRule="auto"/>
        <w:ind w:left="0" w:firstLine="0"/>
        <w:contextualSpacing/>
        <w:rPr>
          <w:rFonts w:ascii="Times New Roman" w:hAnsi="Times New Roman" w:cs="Times New Roman"/>
          <w:sz w:val="24"/>
          <w:szCs w:val="24"/>
        </w:rPr>
      </w:pPr>
    </w:p>
    <w:p w14:paraId="183E48FC">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7.3.3 Constatada a existência de sanção, o licitante será reputado inabilitado, por falta de condição de participação.</w:t>
      </w:r>
    </w:p>
    <w:p w14:paraId="2882BCEC">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Será exigida a apresentação dos documentos de habilitação que trata o </w:t>
      </w:r>
      <w:r>
        <w:rPr>
          <w:rFonts w:ascii="Times New Roman" w:hAnsi="Times New Roman" w:cs="Times New Roman"/>
          <w:color w:val="auto"/>
          <w:sz w:val="24"/>
          <w:szCs w:val="24"/>
        </w:rPr>
        <w:t xml:space="preserve">Anexo referente aos requisitos de habilitação </w:t>
      </w:r>
      <w:r>
        <w:rPr>
          <w:rFonts w:ascii="Times New Roman" w:hAnsi="Times New Roman" w:cs="Times New Roman"/>
          <w:sz w:val="24"/>
          <w:szCs w:val="24"/>
        </w:rPr>
        <w:t>deste Edital apenas ao licitante vencedor.</w:t>
      </w:r>
    </w:p>
    <w:p w14:paraId="3A966740">
      <w:pPr>
        <w:pStyle w:val="98"/>
        <w:spacing w:before="57" w:beforeLines="24" w:after="57" w:afterLines="24" w:line="288" w:lineRule="auto"/>
        <w:ind w:left="0" w:right="-2" w:firstLine="0"/>
        <w:contextualSpacing/>
        <w:rPr>
          <w:rFonts w:ascii="Times New Roman" w:hAnsi="Times New Roman" w:cs="Times New Roman"/>
          <w:color w:val="auto"/>
          <w:sz w:val="24"/>
          <w:szCs w:val="24"/>
        </w:rPr>
      </w:pPr>
      <w:bookmarkStart w:id="30" w:name="_Hlk178688754"/>
    </w:p>
    <w:p w14:paraId="3703E0F6">
      <w:pPr>
        <w:pStyle w:val="98"/>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 Caso atendidas as condições de participação, a habilitação do licitante provisoriamente classificado em primeiro lugar será verificada pelo Pregoeiro por meio do registro cadastral no SICAF, quanto aos documentos por este abrangidos.</w:t>
      </w:r>
    </w:p>
    <w:p w14:paraId="2ADA079F">
      <w:pPr>
        <w:pStyle w:val="98"/>
        <w:spacing w:before="57" w:beforeLines="24" w:after="57" w:afterLines="24" w:line="288" w:lineRule="auto"/>
        <w:ind w:left="0" w:right="-2" w:firstLine="0"/>
        <w:contextualSpacing/>
        <w:rPr>
          <w:rFonts w:ascii="Times New Roman" w:hAnsi="Times New Roman" w:cs="Times New Roman"/>
          <w:color w:val="auto"/>
          <w:sz w:val="24"/>
          <w:szCs w:val="24"/>
        </w:rPr>
      </w:pPr>
    </w:p>
    <w:p w14:paraId="096338D4">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7.6.1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E87DD3B">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p>
    <w:p w14:paraId="7D3EED75">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7.6.2 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14:paraId="72289737">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p>
    <w:p w14:paraId="1A3E009C">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57AA1C3D">
      <w:pPr>
        <w:pStyle w:val="102"/>
        <w:spacing w:before="57" w:beforeLines="24" w:after="57" w:afterLines="24" w:line="288" w:lineRule="auto"/>
        <w:ind w:left="0" w:right="-2" w:firstLine="0"/>
        <w:contextualSpacing/>
        <w:rPr>
          <w:rFonts w:ascii="Times New Roman" w:hAnsi="Times New Roman" w:cs="Times New Roman"/>
          <w:color w:val="auto"/>
          <w:sz w:val="24"/>
          <w:szCs w:val="24"/>
        </w:rPr>
      </w:pPr>
    </w:p>
    <w:p w14:paraId="340A3983">
      <w:pPr>
        <w:pStyle w:val="102"/>
        <w:spacing w:before="57" w:beforeLines="24" w:after="57" w:afterLines="24"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7.6.4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074D18E8">
      <w:pPr>
        <w:pStyle w:val="98"/>
        <w:spacing w:before="57" w:beforeLines="24" w:after="57" w:afterLines="24" w:line="288" w:lineRule="auto"/>
        <w:ind w:left="0" w:firstLine="0"/>
        <w:contextualSpacing/>
        <w:rPr>
          <w:rFonts w:ascii="Times New Roman" w:hAnsi="Times New Roman" w:cs="Times New Roman"/>
          <w:sz w:val="24"/>
          <w:szCs w:val="24"/>
        </w:rPr>
      </w:pPr>
    </w:p>
    <w:p w14:paraId="33C1263E">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Após a apresentação dos documentos de habilitação, fica vedada a substituição ou a apresentação de novos documentos, salvo em sede de diligência, para:</w:t>
      </w:r>
    </w:p>
    <w:p w14:paraId="13E4E793">
      <w:pPr>
        <w:pStyle w:val="98"/>
        <w:spacing w:before="57" w:beforeLines="24" w:after="57" w:afterLines="24" w:line="288" w:lineRule="auto"/>
        <w:ind w:left="0" w:firstLine="0"/>
        <w:contextualSpacing/>
        <w:rPr>
          <w:rFonts w:ascii="Times New Roman" w:hAnsi="Times New Roman" w:cs="Times New Roman"/>
          <w:sz w:val="24"/>
          <w:szCs w:val="24"/>
        </w:rPr>
      </w:pPr>
    </w:p>
    <w:p w14:paraId="4F94BE14">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184CF0A4">
      <w:pPr>
        <w:pStyle w:val="98"/>
        <w:spacing w:before="57" w:beforeLines="24" w:after="57" w:afterLines="24" w:line="288" w:lineRule="auto"/>
        <w:ind w:left="0" w:firstLine="0"/>
        <w:contextualSpacing/>
        <w:rPr>
          <w:rFonts w:ascii="Times New Roman" w:hAnsi="Times New Roman" w:cs="Times New Roman"/>
          <w:sz w:val="24"/>
          <w:szCs w:val="24"/>
        </w:rPr>
      </w:pPr>
    </w:p>
    <w:p w14:paraId="5AB88238">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atualização de documentos cuja validade tenha expirado após a data de recebimento das propostas.</w:t>
      </w:r>
    </w:p>
    <w:p w14:paraId="7368727C">
      <w:pPr>
        <w:pStyle w:val="98"/>
        <w:spacing w:before="57" w:beforeLines="24" w:after="57" w:afterLines="24" w:line="288" w:lineRule="auto"/>
        <w:ind w:left="0" w:firstLine="0"/>
        <w:contextualSpacing/>
        <w:rPr>
          <w:rFonts w:ascii="Times New Roman" w:hAnsi="Times New Roman" w:cs="Times New Roman"/>
          <w:sz w:val="24"/>
          <w:szCs w:val="24"/>
        </w:rPr>
      </w:pPr>
    </w:p>
    <w:p w14:paraId="08FCFE94">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6CBF2D3C">
      <w:pPr>
        <w:pStyle w:val="98"/>
        <w:spacing w:before="57" w:beforeLines="24" w:after="57" w:afterLines="24" w:line="288" w:lineRule="auto"/>
        <w:ind w:left="0" w:firstLine="0"/>
        <w:contextualSpacing/>
        <w:rPr>
          <w:rFonts w:ascii="Times New Roman" w:hAnsi="Times New Roman" w:cs="Times New Roman"/>
          <w:sz w:val="24"/>
          <w:szCs w:val="24"/>
        </w:rPr>
      </w:pPr>
    </w:p>
    <w:p w14:paraId="7D373CD9">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4B2639F5">
      <w:pPr>
        <w:pStyle w:val="102"/>
        <w:spacing w:before="57" w:beforeLines="24" w:after="57" w:afterLines="24" w:line="288" w:lineRule="auto"/>
        <w:ind w:left="0" w:firstLine="0"/>
        <w:contextualSpacing/>
        <w:rPr>
          <w:rFonts w:ascii="Times New Roman" w:hAnsi="Times New Roman" w:cs="Times New Roman"/>
          <w:sz w:val="24"/>
          <w:szCs w:val="24"/>
        </w:rPr>
      </w:pPr>
    </w:p>
    <w:p w14:paraId="148A3FDA">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C04B7D">
      <w:pPr>
        <w:pStyle w:val="98"/>
        <w:spacing w:before="57" w:beforeLines="24" w:after="57" w:afterLines="24" w:line="288" w:lineRule="auto"/>
        <w:ind w:left="0" w:firstLine="0"/>
        <w:contextualSpacing/>
        <w:rPr>
          <w:rFonts w:ascii="Times New Roman" w:hAnsi="Times New Roman" w:cs="Times New Roman"/>
          <w:sz w:val="24"/>
          <w:szCs w:val="24"/>
        </w:rPr>
      </w:pPr>
    </w:p>
    <w:p w14:paraId="6A1CC436">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7.10 Constatado o atendimento às exigências de habilitação, o licitante será habilitado.</w:t>
      </w:r>
    </w:p>
    <w:p w14:paraId="6CA04898">
      <w:pPr>
        <w:pStyle w:val="98"/>
        <w:spacing w:before="57" w:beforeLines="24" w:after="57" w:afterLines="24" w:line="288" w:lineRule="auto"/>
        <w:ind w:left="0" w:firstLine="0"/>
        <w:contextualSpacing/>
        <w:rPr>
          <w:rFonts w:ascii="Times New Roman" w:hAnsi="Times New Roman" w:cs="Times New Roman"/>
          <w:sz w:val="24"/>
          <w:szCs w:val="24"/>
        </w:rPr>
      </w:pPr>
    </w:p>
    <w:p w14:paraId="5C0DEE85">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7.11 Somente serão disponibilizados para acesso público os documentos de habilitação do licitante cuja proposta atenda ao edital de licitação, após declarada sua habilitação. </w:t>
      </w:r>
    </w:p>
    <w:p w14:paraId="1D845589">
      <w:pPr>
        <w:pStyle w:val="98"/>
        <w:spacing w:before="57" w:beforeLines="24" w:after="57" w:afterLines="24" w:line="288" w:lineRule="auto"/>
        <w:ind w:left="0" w:firstLine="0"/>
        <w:contextualSpacing/>
        <w:rPr>
          <w:rFonts w:ascii="Times New Roman" w:hAnsi="Times New Roman" w:cs="Times New Roman"/>
          <w:sz w:val="24"/>
          <w:szCs w:val="24"/>
        </w:rPr>
      </w:pPr>
    </w:p>
    <w:p w14:paraId="78D22DDA">
      <w:pPr>
        <w:pStyle w:val="98"/>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 Não serão aceitos documentos de habilitação com indicação de CNPJ/CPF diferentes, salvo aqueles legalmente permitidos.</w:t>
      </w:r>
    </w:p>
    <w:p w14:paraId="3235F02B">
      <w:pPr>
        <w:pStyle w:val="98"/>
        <w:spacing w:before="57" w:beforeLines="24" w:after="57" w:afterLines="24" w:line="288" w:lineRule="auto"/>
        <w:ind w:left="0" w:firstLine="0"/>
        <w:contextualSpacing/>
        <w:rPr>
          <w:rFonts w:ascii="Times New Roman" w:hAnsi="Times New Roman" w:cs="Times New Roman"/>
          <w:color w:val="auto"/>
          <w:sz w:val="24"/>
          <w:szCs w:val="24"/>
        </w:rPr>
      </w:pPr>
    </w:p>
    <w:p w14:paraId="5A4B71B8">
      <w:pPr>
        <w:pStyle w:val="102"/>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B56805B">
      <w:pPr>
        <w:pStyle w:val="102"/>
        <w:spacing w:before="57" w:beforeLines="24" w:after="57" w:afterLines="24" w:line="288" w:lineRule="auto"/>
        <w:ind w:left="0" w:firstLine="0"/>
        <w:contextualSpacing/>
        <w:rPr>
          <w:rFonts w:ascii="Times New Roman" w:hAnsi="Times New Roman" w:cs="Times New Roman"/>
          <w:color w:val="auto"/>
          <w:sz w:val="24"/>
          <w:szCs w:val="24"/>
        </w:rPr>
      </w:pPr>
    </w:p>
    <w:p w14:paraId="6086D4BC">
      <w:pPr>
        <w:pStyle w:val="102"/>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7.12.2 Serão aceitos registros de CNPJ de licitante matriz e filial com diferenças de números de documentos pertinentes ao CND e ao CRF/FGTS, quando for comprovada a centralização do recolhimento dessas contribuições.</w:t>
      </w:r>
    </w:p>
    <w:p w14:paraId="2F9C1A8C">
      <w:pPr>
        <w:pStyle w:val="102"/>
        <w:spacing w:before="57" w:beforeLines="24" w:after="57" w:afterLines="24" w:line="288" w:lineRule="auto"/>
        <w:ind w:left="0" w:firstLine="0"/>
        <w:contextualSpacing/>
        <w:rPr>
          <w:rFonts w:ascii="Times New Roman" w:hAnsi="Times New Roman" w:cs="Times New Roman"/>
          <w:sz w:val="24"/>
          <w:szCs w:val="24"/>
        </w:rPr>
      </w:pPr>
    </w:p>
    <w:p w14:paraId="12B33611">
      <w:pPr>
        <w:pStyle w:val="98"/>
        <w:spacing w:before="288" w:beforeLines="120" w:after="288" w:afterLines="120" w:line="288" w:lineRule="auto"/>
        <w:ind w:left="0" w:firstLine="0"/>
        <w:contextualSpacing/>
        <w:rPr>
          <w:rFonts w:ascii="Times New Roman" w:hAnsi="Times New Roman" w:cs="Times New Roman"/>
          <w:color w:val="auto"/>
          <w:sz w:val="24"/>
          <w:szCs w:val="24"/>
        </w:rPr>
      </w:pPr>
      <w:bookmarkStart w:id="31" w:name="_Hlk154307107"/>
      <w:r>
        <w:rPr>
          <w:rFonts w:ascii="Times New Roman" w:hAnsi="Times New Roman" w:cs="Times New Roman"/>
          <w:sz w:val="24"/>
          <w:szCs w:val="24"/>
        </w:rPr>
        <w:t xml:space="preserve">7.13 A comprovação de regularidade fiscal e trabalhista das microempresas e das empresas de pequeno porte será exigida nos termos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002DEF6A">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7D4662B0">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1044E816">
      <w:pPr>
        <w:pStyle w:val="98"/>
        <w:spacing w:before="57" w:beforeLines="24" w:after="57" w:afterLines="24" w:line="288" w:lineRule="auto"/>
        <w:ind w:left="0" w:firstLine="0"/>
        <w:contextualSpacing/>
        <w:rPr>
          <w:rFonts w:ascii="Times New Roman" w:hAnsi="Times New Roman" w:cs="Times New Roman"/>
          <w:sz w:val="24"/>
          <w:szCs w:val="24"/>
        </w:rPr>
      </w:pPr>
    </w:p>
    <w:p w14:paraId="3E88564E">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0F63BEAA">
      <w:pPr>
        <w:pStyle w:val="98"/>
        <w:spacing w:before="57" w:beforeLines="24" w:after="57" w:afterLines="24" w:line="288" w:lineRule="auto"/>
        <w:ind w:left="0" w:firstLine="0"/>
        <w:contextualSpacing/>
        <w:rPr>
          <w:rFonts w:ascii="Times New Roman" w:hAnsi="Times New Roman" w:cs="Times New Roman"/>
          <w:sz w:val="24"/>
          <w:szCs w:val="24"/>
        </w:rPr>
      </w:pPr>
    </w:p>
    <w:p w14:paraId="00962873">
      <w:pPr>
        <w:pStyle w:val="98"/>
        <w:spacing w:before="57" w:beforeLines="24" w:after="57" w:afterLines="24"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b) das pessoas físicas, a comprovação da regularidade fiscal com a Fazenda </w:t>
      </w:r>
      <w:r>
        <w:rPr>
          <w:rFonts w:ascii="Times New Roman" w:hAnsi="Times New Roman" w:cs="Times New Roman"/>
          <w:color w:val="000000" w:themeColor="text1"/>
          <w:sz w:val="24"/>
          <w:szCs w:val="24"/>
          <w14:textFill>
            <w14:solidFill>
              <w14:schemeClr w14:val="tx1"/>
            </w14:solidFill>
          </w14:textFill>
        </w:rPr>
        <w:t>Estadual, c</w:t>
      </w:r>
      <w:r>
        <w:rPr>
          <w:rFonts w:ascii="Times New Roman" w:hAnsi="Times New Roman" w:cs="Times New Roman"/>
          <w:color w:val="000000" w:themeColor="text1"/>
          <w:sz w:val="24"/>
          <w:szCs w:val="24"/>
          <w:lang w:eastAsia="en-US"/>
          <w14:textFill>
            <w14:solidFill>
              <w14:schemeClr w14:val="tx1"/>
            </w14:solidFill>
          </w14:textFill>
        </w:rPr>
        <w:t>onforme art. 17, §2º, do Decreto nº 45/2025.</w:t>
      </w:r>
    </w:p>
    <w:p w14:paraId="1B9A6918">
      <w:pPr>
        <w:pStyle w:val="98"/>
        <w:spacing w:before="57" w:beforeLines="24" w:after="57" w:afterLines="24" w:line="288" w:lineRule="auto"/>
        <w:ind w:left="0" w:firstLine="0"/>
        <w:contextualSpacing/>
        <w:rPr>
          <w:rFonts w:ascii="Times New Roman" w:hAnsi="Times New Roman" w:cs="Times New Roman"/>
          <w:sz w:val="24"/>
          <w:szCs w:val="24"/>
        </w:rPr>
      </w:pPr>
    </w:p>
    <w:bookmarkEnd w:id="31"/>
    <w:p w14:paraId="0DBE82BB">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 Quando permitida a participação de empresas estrangeiras que não funcionem no País, as exigências de habilitação serão atendidas mediante documentos equivalentes, inicialmente apresentados em tradução livre.</w:t>
      </w:r>
    </w:p>
    <w:p w14:paraId="60AA0A13">
      <w:pPr>
        <w:pStyle w:val="98"/>
        <w:spacing w:before="57" w:beforeLines="24" w:after="57" w:afterLines="24" w:line="288" w:lineRule="auto"/>
        <w:ind w:left="0" w:firstLine="0"/>
        <w:contextualSpacing/>
        <w:rPr>
          <w:rFonts w:ascii="Times New Roman" w:hAnsi="Times New Roman" w:cs="Times New Roman"/>
          <w:sz w:val="24"/>
          <w:szCs w:val="24"/>
        </w:rPr>
      </w:pPr>
    </w:p>
    <w:p w14:paraId="76515DB1">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7.15.1 O licitante deverá ter procurador residente e domiciliado no Brasil, com poderes para receber citação, intimação e responder administrativa e judicialmente por seus atos, juntando o instrumento de mandato com os documentos de habilitação.</w:t>
      </w:r>
    </w:p>
    <w:p w14:paraId="2A844F48">
      <w:pPr>
        <w:pStyle w:val="102"/>
        <w:spacing w:before="57" w:beforeLines="24" w:after="57" w:afterLines="24" w:line="288" w:lineRule="auto"/>
        <w:ind w:left="0" w:firstLine="0"/>
        <w:contextualSpacing/>
        <w:rPr>
          <w:rFonts w:ascii="Times New Roman" w:hAnsi="Times New Roman" w:cs="Times New Roman"/>
          <w:sz w:val="24"/>
          <w:szCs w:val="24"/>
        </w:rPr>
      </w:pPr>
    </w:p>
    <w:p w14:paraId="30E239ED">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7.15.2 Na hipótese de o licitante vencedor ser empresa estrangeira que não funcione no País, para fins de assinatura do contrato ou da ata de registro de preços, os documentos exigidos para a habilitação serão traduzidos por tradutor juramentado no País e apostilados, ou consularizados pelos respectivos consulados ou embaixadas.</w:t>
      </w:r>
    </w:p>
    <w:p w14:paraId="71D4F87C">
      <w:pPr>
        <w:pStyle w:val="102"/>
        <w:spacing w:before="57" w:beforeLines="24" w:after="57" w:afterLines="24" w:line="288" w:lineRule="auto"/>
        <w:ind w:left="0" w:firstLine="0"/>
        <w:contextualSpacing/>
        <w:rPr>
          <w:rFonts w:ascii="Times New Roman" w:hAnsi="Times New Roman" w:cs="Times New Roman"/>
          <w:sz w:val="24"/>
          <w:szCs w:val="24"/>
        </w:rPr>
      </w:pPr>
    </w:p>
    <w:p w14:paraId="124DA084">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71397FB">
      <w:pPr>
        <w:pStyle w:val="98"/>
        <w:spacing w:before="57" w:beforeLines="24" w:after="57" w:afterLines="24" w:line="288" w:lineRule="auto"/>
        <w:ind w:left="0" w:firstLine="0"/>
        <w:contextualSpacing/>
        <w:rPr>
          <w:rFonts w:ascii="Times New Roman" w:hAnsi="Times New Roman" w:cs="Times New Roman"/>
          <w:sz w:val="24"/>
          <w:szCs w:val="24"/>
        </w:rPr>
      </w:pPr>
    </w:p>
    <w:p w14:paraId="55BA6295">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7.16.1 Se o consórcio não for formado integralmente por microempresas ou empresas de pequeno porte e forem exigidos neste Edital requisitos de habilitação econômico-financeira, haverá um acréscimo </w:t>
      </w:r>
      <w:r>
        <w:rPr>
          <w:rFonts w:ascii="Times New Roman" w:hAnsi="Times New Roman" w:cs="Times New Roman"/>
          <w:color w:val="000000" w:themeColor="text1"/>
          <w:sz w:val="24"/>
          <w:szCs w:val="24"/>
          <w14:textFill>
            <w14:solidFill>
              <w14:schemeClr w14:val="tx1"/>
            </w14:solidFill>
          </w14:textFill>
        </w:rPr>
        <w:t xml:space="preserve">de 10% A 30 % </w:t>
      </w:r>
      <w:r>
        <w:rPr>
          <w:rFonts w:ascii="Times New Roman" w:hAnsi="Times New Roman" w:cs="Times New Roman"/>
          <w:sz w:val="24"/>
          <w:szCs w:val="24"/>
        </w:rPr>
        <w:t>para o consórcio em relação ao valor exigido para os licitantes individuais.</w:t>
      </w:r>
    </w:p>
    <w:p w14:paraId="6A64C545">
      <w:pPr>
        <w:pStyle w:val="102"/>
        <w:spacing w:before="57" w:beforeLines="24" w:after="57" w:afterLines="24" w:line="288" w:lineRule="auto"/>
        <w:ind w:left="0" w:firstLine="0"/>
        <w:contextualSpacing/>
        <w:rPr>
          <w:rFonts w:ascii="Times New Roman" w:hAnsi="Times New Roman" w:cs="Times New Roman"/>
          <w:sz w:val="24"/>
          <w:szCs w:val="24"/>
        </w:rPr>
      </w:pPr>
    </w:p>
    <w:p w14:paraId="36F0CB6C">
      <w:pPr>
        <w:spacing w:line="288" w:lineRule="auto"/>
        <w:contextualSpacing/>
        <w:jc w:val="both"/>
        <w:rPr>
          <w:color w:val="000000"/>
          <w:sz w:val="24"/>
          <w:szCs w:val="24"/>
        </w:rPr>
      </w:pPr>
      <w:r>
        <w:rPr>
          <w:color w:val="000000"/>
          <w:sz w:val="24"/>
          <w:szCs w:val="24"/>
        </w:rPr>
        <w:t>7.17 As certidões valerão nos prazos que lhes são próprios. Inexistindo esse prazo, reputar-se-ão válidas por 90 (noventa) dias, contados de sua expedição.</w:t>
      </w:r>
    </w:p>
    <w:p w14:paraId="4EB8C287">
      <w:pPr>
        <w:spacing w:line="288" w:lineRule="auto"/>
        <w:contextualSpacing/>
        <w:jc w:val="both"/>
        <w:rPr>
          <w:color w:val="000000"/>
          <w:sz w:val="24"/>
          <w:szCs w:val="24"/>
        </w:rPr>
      </w:pPr>
    </w:p>
    <w:p w14:paraId="210B9C26">
      <w:pPr>
        <w:spacing w:line="288" w:lineRule="auto"/>
        <w:contextualSpacing/>
        <w:jc w:val="both"/>
        <w:rPr>
          <w:color w:val="000000"/>
          <w:sz w:val="24"/>
          <w:szCs w:val="24"/>
        </w:rPr>
      </w:pPr>
      <w:r>
        <w:rPr>
          <w:color w:val="000000"/>
          <w:sz w:val="24"/>
          <w:szCs w:val="24"/>
        </w:rPr>
        <w:t>7.17.1 Caso seja feita a opção pela opção da certidão referida no item 8.6.2, esta seguirá, como prazo de validade, a sistemática própria estabelecida em âmbito federal constante do SICAF.</w:t>
      </w:r>
    </w:p>
    <w:p w14:paraId="55720EE2">
      <w:pPr>
        <w:pStyle w:val="100"/>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 DA IMPUGNAÇÃO AO EDITAL, DO PEDIDO DE ESCLARECIMENTO E DOS RECURSOS</w:t>
      </w:r>
    </w:p>
    <w:p w14:paraId="13B1CCF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devendo protocolar o pedido até 3 (três) dias úteis antes da data da abertura do certame.</w:t>
      </w:r>
    </w:p>
    <w:p w14:paraId="271109E8">
      <w:pPr>
        <w:pStyle w:val="98"/>
        <w:spacing w:before="288" w:beforeLines="120" w:after="288" w:afterLines="120" w:line="288" w:lineRule="auto"/>
        <w:ind w:left="0" w:firstLine="0"/>
        <w:contextualSpacing/>
        <w:rPr>
          <w:rFonts w:ascii="Times New Roman" w:hAnsi="Times New Roman" w:cs="Times New Roman"/>
          <w:sz w:val="24"/>
          <w:szCs w:val="24"/>
        </w:rPr>
      </w:pPr>
    </w:p>
    <w:p w14:paraId="53B5CB8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 A impugnação e o pedido de esclarecimento poderão ser realizados por forma eletrônica, através do e-mail funcional </w:t>
      </w:r>
      <w:r>
        <w:rPr>
          <w:rFonts w:ascii="Times New Roman" w:hAnsi="Times New Roman" w:cs="Times New Roman"/>
          <w:b/>
          <w:bCs/>
          <w:i/>
          <w:iCs/>
          <w:sz w:val="24"/>
          <w:szCs w:val="24"/>
          <w:u w:val="single"/>
        </w:rPr>
        <w:t>licitacoespmvrj@gmail.com</w:t>
      </w:r>
      <w:r>
        <w:rPr>
          <w:rFonts w:ascii="Times New Roman" w:hAnsi="Times New Roman" w:cs="Times New Roman"/>
          <w:color w:val="auto"/>
          <w:sz w:val="24"/>
          <w:szCs w:val="24"/>
        </w:rPr>
        <w:t xml:space="preserve">, </w:t>
      </w:r>
      <w:r>
        <w:rPr>
          <w:rFonts w:ascii="Times New Roman" w:hAnsi="Times New Roman" w:cs="Times New Roman"/>
          <w:sz w:val="24"/>
          <w:szCs w:val="24"/>
        </w:rPr>
        <w:t>mediante confirmação de recebimento.</w:t>
      </w:r>
    </w:p>
    <w:p w14:paraId="004D76AD">
      <w:pPr>
        <w:pStyle w:val="98"/>
        <w:spacing w:before="288" w:beforeLines="120" w:after="288" w:afterLines="120" w:line="288" w:lineRule="auto"/>
        <w:ind w:left="0" w:firstLine="0"/>
        <w:contextualSpacing/>
        <w:rPr>
          <w:rFonts w:ascii="Times New Roman" w:hAnsi="Times New Roman" w:cs="Times New Roman"/>
          <w:sz w:val="24"/>
          <w:szCs w:val="24"/>
        </w:rPr>
      </w:pPr>
    </w:p>
    <w:p w14:paraId="36CE77A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8.1.2 A resposta à impugnação ou ao pedido de esclarecimento será divulgado em sítio eletrônico oficial no prazo de até 3 (três) dias úteis, limitado ao último dia útil anterior à data da abertura do certame.</w:t>
      </w:r>
    </w:p>
    <w:p w14:paraId="29D13356">
      <w:pPr>
        <w:pStyle w:val="98"/>
        <w:spacing w:before="288" w:beforeLines="120" w:after="288" w:afterLines="120" w:line="288" w:lineRule="auto"/>
        <w:ind w:left="0" w:firstLine="0"/>
        <w:contextualSpacing/>
        <w:rPr>
          <w:rFonts w:ascii="Times New Roman" w:hAnsi="Times New Roman" w:cs="Times New Roman"/>
          <w:sz w:val="24"/>
          <w:szCs w:val="24"/>
        </w:rPr>
      </w:pPr>
    </w:p>
    <w:p w14:paraId="59AB412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8.1.3 As impugnações e pedidos de esclarecimentos não suspendem os prazos previstos no certame.</w:t>
      </w:r>
    </w:p>
    <w:p w14:paraId="19EF9059">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8.1.4 A concessão de efeito suspensivo à impugnação é medida excepcional e deverá ser motivada pela autoridade competente, nos autos do processo de licitação.</w:t>
      </w:r>
    </w:p>
    <w:p w14:paraId="168160A1">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 Modificado substancialmente o edital como resultado da resposta à impugnação ou ao pedido de esclarecimento, será definida e publicada nova data para a realização do certame.</w:t>
      </w:r>
    </w:p>
    <w:p w14:paraId="7C64C019">
      <w:pPr>
        <w:pStyle w:val="98"/>
        <w:spacing w:before="57" w:beforeLines="24" w:after="57" w:afterLines="24" w:line="288" w:lineRule="auto"/>
        <w:ind w:left="0" w:firstLine="0"/>
        <w:contextualSpacing/>
        <w:rPr>
          <w:rFonts w:ascii="Times New Roman" w:hAnsi="Times New Roman" w:cs="Times New Roman"/>
          <w:sz w:val="24"/>
          <w:szCs w:val="24"/>
        </w:rPr>
      </w:pPr>
    </w:p>
    <w:p w14:paraId="402A8774">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3A9B3718">
      <w:pPr>
        <w:pStyle w:val="102"/>
        <w:spacing w:before="57" w:beforeLines="24" w:after="57" w:afterLines="24" w:line="288" w:lineRule="auto"/>
        <w:ind w:left="0" w:firstLine="0"/>
        <w:contextualSpacing/>
        <w:rPr>
          <w:rFonts w:ascii="Times New Roman" w:hAnsi="Times New Roman" w:cs="Times New Roman"/>
          <w:sz w:val="24"/>
          <w:szCs w:val="24"/>
        </w:rPr>
      </w:pPr>
    </w:p>
    <w:p w14:paraId="6F9D7845">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8.2.1 As razões do recurso deverão ser apresentadas em momento único, no prazo de três dias úteis, em campo próprio do sistema eletrônico de contratações ou, em sua indisponibilidade, para o e-mail funcional </w:t>
      </w:r>
      <w:r>
        <w:rPr>
          <w:rFonts w:ascii="Times New Roman" w:hAnsi="Times New Roman" w:cs="Times New Roman"/>
          <w:b/>
          <w:i/>
          <w:sz w:val="24"/>
          <w:szCs w:val="24"/>
          <w:u w:val="single"/>
        </w:rPr>
        <w:t>licitacoespmvrj@gmail.com</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sz w:val="24"/>
          <w:szCs w:val="24"/>
        </w:rPr>
        <w:t xml:space="preserve"> mediante confirmação de recebimento, contados:</w:t>
      </w:r>
    </w:p>
    <w:p w14:paraId="071BE622">
      <w:pPr>
        <w:pStyle w:val="102"/>
        <w:spacing w:before="57" w:beforeLines="24" w:after="57" w:afterLines="24" w:line="288" w:lineRule="auto"/>
        <w:ind w:left="0" w:firstLine="0"/>
        <w:contextualSpacing/>
        <w:rPr>
          <w:rFonts w:ascii="Times New Roman" w:hAnsi="Times New Roman" w:cs="Times New Roman"/>
          <w:sz w:val="24"/>
          <w:szCs w:val="24"/>
        </w:rPr>
      </w:pPr>
    </w:p>
    <w:p w14:paraId="54584B97">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a partir da data de intimação ou de lavratura da ata de habilitação ou inabilitação;</w:t>
      </w:r>
    </w:p>
    <w:p w14:paraId="5A58C442">
      <w:pPr>
        <w:pStyle w:val="102"/>
        <w:spacing w:before="57" w:beforeLines="24" w:after="57" w:afterLines="24" w:line="288" w:lineRule="auto"/>
        <w:ind w:left="0" w:firstLine="0"/>
        <w:contextualSpacing/>
        <w:rPr>
          <w:rFonts w:ascii="Times New Roman" w:hAnsi="Times New Roman" w:cs="Times New Roman"/>
          <w:sz w:val="24"/>
          <w:szCs w:val="24"/>
        </w:rPr>
      </w:pPr>
    </w:p>
    <w:p w14:paraId="1A6E011B">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ata de julgamento, nas licitações com inversão de fases.</w:t>
      </w:r>
    </w:p>
    <w:p w14:paraId="092D1638">
      <w:pPr>
        <w:pStyle w:val="102"/>
        <w:spacing w:before="57" w:beforeLines="24" w:after="57" w:afterLines="24" w:line="288" w:lineRule="auto"/>
        <w:ind w:left="0" w:firstLine="0"/>
        <w:contextualSpacing/>
        <w:rPr>
          <w:rFonts w:ascii="Times New Roman" w:hAnsi="Times New Roman" w:cs="Times New Roman"/>
          <w:sz w:val="24"/>
          <w:szCs w:val="24"/>
        </w:rPr>
      </w:pPr>
    </w:p>
    <w:p w14:paraId="21BA18AB">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8.2.2 Os demais licitantes ficarão intimados para, se desejarem, apresentar suas contrarrazões, no prazo de três dias úteis, contado da data de intimação pessoal ou de divulgação da interposição do recurso.</w:t>
      </w:r>
    </w:p>
    <w:p w14:paraId="7B51260B">
      <w:pPr>
        <w:pStyle w:val="102"/>
        <w:spacing w:before="57" w:beforeLines="24" w:after="57" w:afterLines="24" w:line="288" w:lineRule="auto"/>
        <w:ind w:left="0" w:firstLine="0"/>
        <w:contextualSpacing/>
        <w:rPr>
          <w:rFonts w:ascii="Times New Roman" w:hAnsi="Times New Roman" w:cs="Times New Roman"/>
          <w:sz w:val="24"/>
          <w:szCs w:val="24"/>
        </w:rPr>
      </w:pPr>
    </w:p>
    <w:p w14:paraId="732D7099">
      <w:pPr>
        <w:pStyle w:val="102"/>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8.2.3 Os recursos interpostos fora do prazo não serão conhecidos.</w:t>
      </w:r>
    </w:p>
    <w:p w14:paraId="3145A07C">
      <w:pPr>
        <w:pStyle w:val="102"/>
        <w:spacing w:before="57" w:beforeLines="24" w:after="57" w:afterLines="24" w:line="288" w:lineRule="auto"/>
        <w:ind w:left="0" w:firstLine="0"/>
        <w:contextualSpacing/>
        <w:rPr>
          <w:rFonts w:ascii="Times New Roman" w:hAnsi="Times New Roman" w:cs="Times New Roman"/>
          <w:sz w:val="24"/>
          <w:szCs w:val="24"/>
        </w:rPr>
      </w:pPr>
    </w:p>
    <w:p w14:paraId="572A751C">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12DB98A1">
      <w:pPr>
        <w:pStyle w:val="98"/>
        <w:spacing w:before="57" w:beforeLines="24" w:after="57" w:afterLines="24" w:line="288" w:lineRule="auto"/>
        <w:ind w:left="0" w:firstLine="0"/>
        <w:contextualSpacing/>
        <w:rPr>
          <w:rFonts w:ascii="Times New Roman" w:hAnsi="Times New Roman" w:cs="Times New Roman"/>
          <w:sz w:val="24"/>
          <w:szCs w:val="24"/>
        </w:rPr>
      </w:pPr>
    </w:p>
    <w:p w14:paraId="0D7B09B8">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8.2.5 Será assegurado ao licitante vista dos elementos indispensáveis à defesa de seus interesses.</w:t>
      </w:r>
    </w:p>
    <w:p w14:paraId="44309848">
      <w:pPr>
        <w:pStyle w:val="98"/>
        <w:spacing w:before="57" w:beforeLines="24" w:after="57" w:afterLines="24" w:line="288" w:lineRule="auto"/>
        <w:ind w:left="0" w:firstLine="0"/>
        <w:contextualSpacing/>
        <w:rPr>
          <w:rFonts w:ascii="Times New Roman" w:hAnsi="Times New Roman" w:cs="Times New Roman"/>
          <w:sz w:val="24"/>
          <w:szCs w:val="24"/>
        </w:rPr>
      </w:pPr>
    </w:p>
    <w:p w14:paraId="174EE417">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8.2.6 O recurso e o pedido de reconsideração terão efeito suspensivo do ato ou da decisão recorrida até que sobrevenha decisão final da autoridade competente.</w:t>
      </w:r>
    </w:p>
    <w:p w14:paraId="48910957">
      <w:pPr>
        <w:pStyle w:val="98"/>
        <w:spacing w:before="57" w:beforeLines="24" w:after="57" w:afterLines="24" w:line="288" w:lineRule="auto"/>
        <w:ind w:left="0" w:firstLine="0"/>
        <w:contextualSpacing/>
        <w:rPr>
          <w:rFonts w:ascii="Times New Roman" w:hAnsi="Times New Roman" w:cs="Times New Roman"/>
          <w:sz w:val="24"/>
          <w:szCs w:val="24"/>
        </w:rPr>
      </w:pPr>
    </w:p>
    <w:p w14:paraId="7F203747">
      <w:pPr>
        <w:pStyle w:val="98"/>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8.2.7 O acolhimento do recurso invalida tão somente os atos insuscetíveis de aproveitamento. </w:t>
      </w:r>
    </w:p>
    <w:p w14:paraId="11F5957C">
      <w:pPr>
        <w:pStyle w:val="96"/>
        <w:spacing w:before="0" w:beforeAutospacing="0" w:after="0" w:afterAutospacing="0" w:line="288" w:lineRule="auto"/>
        <w:contextualSpacing/>
        <w:jc w:val="both"/>
        <w:rPr>
          <w:rFonts w:eastAsia="Calibri"/>
          <w:b/>
          <w:bCs/>
          <w:lang w:eastAsia="en-US"/>
        </w:rPr>
      </w:pPr>
    </w:p>
    <w:p w14:paraId="15745EBC">
      <w:pPr>
        <w:spacing w:line="288" w:lineRule="auto"/>
        <w:contextualSpacing/>
        <w:jc w:val="both"/>
        <w:rPr>
          <w:b/>
          <w:bCs/>
          <w:sz w:val="24"/>
          <w:szCs w:val="24"/>
        </w:rPr>
      </w:pPr>
      <w:r>
        <w:rPr>
          <w:b/>
          <w:bCs/>
          <w:sz w:val="24"/>
          <w:szCs w:val="24"/>
        </w:rPr>
        <w:t>9. DO ENCERRAMENTO DA LICITAÇÃO</w:t>
      </w:r>
    </w:p>
    <w:p w14:paraId="2C631DFA">
      <w:pPr>
        <w:spacing w:line="288" w:lineRule="auto"/>
        <w:contextualSpacing/>
        <w:jc w:val="both"/>
        <w:rPr>
          <w:sz w:val="24"/>
          <w:szCs w:val="24"/>
        </w:rPr>
      </w:pPr>
    </w:p>
    <w:p w14:paraId="7181C4D4">
      <w:pPr>
        <w:spacing w:line="288" w:lineRule="auto"/>
        <w:contextualSpacing/>
        <w:jc w:val="both"/>
        <w:rPr>
          <w:sz w:val="24"/>
          <w:szCs w:val="24"/>
        </w:rPr>
      </w:pPr>
      <w:r>
        <w:rPr>
          <w:sz w:val="24"/>
          <w:szCs w:val="24"/>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1A68DE06">
      <w:pPr>
        <w:pStyle w:val="96"/>
        <w:spacing w:before="0" w:beforeAutospacing="0" w:after="0" w:afterAutospacing="0" w:line="288" w:lineRule="auto"/>
        <w:contextualSpacing/>
        <w:jc w:val="both"/>
        <w:rPr>
          <w:rFonts w:eastAsia="Calibri" w:asciiTheme="minorHAnsi" w:hAnsiTheme="minorHAnsi" w:cstheme="minorHAnsi"/>
          <w:b/>
          <w:bCs/>
          <w:lang w:eastAsia="en-US"/>
        </w:rPr>
      </w:pPr>
    </w:p>
    <w:p w14:paraId="441A39F6">
      <w:pPr>
        <w:pStyle w:val="96"/>
        <w:spacing w:before="0" w:beforeAutospacing="0" w:after="0" w:afterAutospacing="0" w:line="288" w:lineRule="auto"/>
        <w:contextualSpacing/>
        <w:jc w:val="both"/>
        <w:rPr>
          <w:rFonts w:eastAsia="Calibri"/>
          <w:b/>
          <w:bCs/>
          <w:lang w:eastAsia="en-US"/>
        </w:rPr>
      </w:pPr>
      <w:r>
        <w:rPr>
          <w:rFonts w:eastAsia="Calibri"/>
          <w:b/>
          <w:bCs/>
          <w:lang w:eastAsia="en-US"/>
        </w:rPr>
        <w:t xml:space="preserve">10. DA SUBCONTRATAÇÃO </w:t>
      </w:r>
    </w:p>
    <w:p w14:paraId="3D2E6B88">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10.1 Não será admitida a subcontratação do objeto contratual.</w:t>
      </w:r>
    </w:p>
    <w:p w14:paraId="38E02017">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093BEA7A">
      <w:pPr>
        <w:pStyle w:val="98"/>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b/>
          <w:bCs/>
          <w:sz w:val="24"/>
          <w:szCs w:val="24"/>
          <w:lang w:eastAsia="en-US"/>
        </w:rPr>
        <w:t>11. DA GARANTIA</w:t>
      </w:r>
    </w:p>
    <w:p w14:paraId="5A9EEECF">
      <w:pPr>
        <w:pStyle w:val="98"/>
        <w:spacing w:before="288" w:beforeLines="120" w:after="288" w:afterLines="120" w:line="288" w:lineRule="auto"/>
        <w:ind w:left="4537" w:right="565" w:firstLine="0"/>
        <w:contextualSpacing/>
        <w:rPr>
          <w:rFonts w:ascii="Times New Roman" w:hAnsi="Times New Roman" w:cs="Times New Roman"/>
          <w:sz w:val="24"/>
          <w:szCs w:val="24"/>
        </w:rPr>
      </w:pPr>
    </w:p>
    <w:p w14:paraId="1E3C66A6">
      <w:pPr>
        <w:pStyle w:val="98"/>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 Haverá exigência de garantia contratual da execução.</w:t>
      </w:r>
    </w:p>
    <w:p w14:paraId="0E3AB3EB">
      <w:pPr>
        <w:pStyle w:val="102"/>
        <w:spacing w:before="288" w:beforeLines="120" w:after="288" w:afterLines="120" w:line="288" w:lineRule="auto"/>
        <w:ind w:left="567" w:right="565" w:firstLine="0"/>
        <w:contextualSpacing/>
        <w:rPr>
          <w:rFonts w:ascii="Times New Roman" w:hAnsi="Times New Roman" w:cs="Times New Roman"/>
          <w:color w:val="auto"/>
          <w:sz w:val="24"/>
          <w:szCs w:val="24"/>
        </w:rPr>
      </w:pPr>
      <w:bookmarkStart w:id="32" w:name="_Hlk152767454"/>
      <w:r>
        <w:rPr>
          <w:rFonts w:ascii="Times New Roman" w:hAnsi="Times New Roman" w:cs="Times New Roman"/>
          <w:color w:val="auto"/>
          <w:sz w:val="24"/>
          <w:szCs w:val="24"/>
        </w:rPr>
        <w:t>11.1.1 Caso o prazo de vigência do contrato seja inferior a um ano</w:t>
      </w:r>
      <w:bookmarkEnd w:id="32"/>
      <w:r>
        <w:rPr>
          <w:rFonts w:ascii="Times New Roman" w:hAnsi="Times New Roman" w:cs="Times New Roman"/>
          <w:color w:val="auto"/>
          <w:sz w:val="24"/>
          <w:szCs w:val="24"/>
        </w:rPr>
        <w:t xml:space="preserve">, a garantia prevista no item 15.1 será calculada sobre o valor total do Contrato. </w:t>
      </w:r>
    </w:p>
    <w:p w14:paraId="7D14E807">
      <w:pPr>
        <w:pStyle w:val="102"/>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 Na forma do art. 101 da Lei nº 14.133/2021, nos casos de contratos que impliquem a entrega de bens pela Administração, dos quais o contratado ficará depositário, o valor desses bens deverá ser acrescido ao valor da garantia.</w:t>
      </w:r>
    </w:p>
    <w:p w14:paraId="26165473">
      <w:pPr>
        <w:pStyle w:val="102"/>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 O contratado poderá optar pelas seguintes modalidades de garantia:</w:t>
      </w:r>
    </w:p>
    <w:p w14:paraId="41B275A7">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11.2.1 caução em dinheiro ou em títulos da dívida pública;</w:t>
      </w:r>
    </w:p>
    <w:p w14:paraId="76585225">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11.2.2 seguro-garantia; </w:t>
      </w:r>
    </w:p>
    <w:p w14:paraId="35544469">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11.2.3 fiança bancária; e</w:t>
      </w:r>
    </w:p>
    <w:p w14:paraId="7CD14A6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11.2.4 título de capitalização custeado por pagamento único, com resgate pelo valor total.</w:t>
      </w:r>
    </w:p>
    <w:p w14:paraId="04215972">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 Qualquer que seja a modalidade escolhida pelo contratado, a garantia assegurará o pagamento de:</w:t>
      </w:r>
    </w:p>
    <w:p w14:paraId="0E712B15">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11.3.1 prejuízos advindos do não cumprimento do objeto do Contrato e do não adimplemento das demais obrigações neste previstas;</w:t>
      </w:r>
    </w:p>
    <w:p w14:paraId="268E6EB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11.3.2 multas moratórias, compensatórias e administrativas aplicadas pela Administração ao contratado; e</w:t>
      </w:r>
    </w:p>
    <w:p w14:paraId="413B25A5">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11.3.3 obrigações trabalhistas e previdenciárias de qualquer natureza, assim como as obrigações de regularidade perante o FGTS, não adimplidas pelo contratado, quando couber.</w:t>
      </w:r>
    </w:p>
    <w:p w14:paraId="152014B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11.4 A garantia, qualquer que seja a modalidade escolhida, terá validade durante a vigência do Contrato e por mais 90 (noventa) dias após o término deste prazo de vigência.  </w:t>
      </w:r>
    </w:p>
    <w:p w14:paraId="0AC882C9">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11.5 Na hipótese de suspensão do Contrato por ordem ou inadimplemento da Administração, o contratado ficará desobrigado de renovar a garantia ou de endossar a apólice de seguro até a ordem de reinício da execução ou o adimplemento pela Administração.</w:t>
      </w:r>
    </w:p>
    <w:p w14:paraId="494E109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12.2.</w:t>
      </w:r>
    </w:p>
    <w:p w14:paraId="52E04EB2">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 Caso oferecida a modalidade de seguro-garantia, sua apresentação deve ocorrer em 1 (um) mês, contado da data de homologação da licitação e anterior à assinatura do Contrato, e observar-se-ão as seguintes condições:</w:t>
      </w:r>
    </w:p>
    <w:p w14:paraId="0237DF94">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11.7.1 a apólice permanecerá em vigor mesmo que o contratado não pague o prêmio nas datas convencionadas;</w:t>
      </w:r>
    </w:p>
    <w:p w14:paraId="3488ED3C">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11.7.2 a apólice deverá acompanhar as modificações referentes à vigência do Contrato principal, mediante a emissão do respectivo endosso pela seguradora;</w:t>
      </w:r>
    </w:p>
    <w:p w14:paraId="0401E0AF">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11.7.3 será permitida a substituição da apólice na data de renovação ou de aniversário, desde que mantidas as condições e coberturas da apólice vigente e nenhum período fique descoberto, ressalvado o disposto no item 15.5 deste Edital; e</w:t>
      </w:r>
    </w:p>
    <w:p w14:paraId="5715416F">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11.7.4 a apólice somente será aceita se contemplar todos os eventos indicados no item 15.3, observada a legislação que rege a matéria.</w:t>
      </w:r>
    </w:p>
    <w:p w14:paraId="657C3170">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68818807">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4C4C556D">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27760B1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 </w:t>
      </w:r>
    </w:p>
    <w:p w14:paraId="7695538A">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 A inobservância do prazo fixado para apresentação, reposição, suplementação ou renovação da garantia acarretará a aplicação de multa e/ou outras penalidades, na forma disposta no Contrato.</w:t>
      </w:r>
    </w:p>
    <w:p w14:paraId="59B2C693">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11.12.1 O atraso superior a 25 (vinte e cinco) dias autoriza o contratante a promover a rescisão do contrato por descumprimento ou cumprimento irregular de suas cláusulas, com a aplicação das sanções cabíveis.</w:t>
      </w:r>
    </w:p>
    <w:p w14:paraId="3A78CF8B">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11.13 O contratante executará a garantia na forma prevista na legislação que rege a matéria.</w:t>
      </w:r>
    </w:p>
    <w:p w14:paraId="47BECEAE">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11.14 O emitente da garantia ofertada pelo contratado deverá ser notificado pelo contratante quanto ao início de processo administrativo para apuração de descumprimento de cláusulas contratuais.</w:t>
      </w:r>
    </w:p>
    <w:p w14:paraId="7E0BB21D">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11.14.1 O garantidor não é parte para figurar em processo administrativo instaurado pelo contratante com o objetivo de apurar prejuízos e/ou aplicar sanções ao contratado.</w:t>
      </w:r>
    </w:p>
    <w:p w14:paraId="21BCF8A0">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99ACFCA">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73226507">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11.16.1 A garantia somente será liberada ou restituída, após a fiel execução do Contrato ou pela sua extinção, por culpa exclusiva da Administração, ou quando assim convencionado, em se tratando de extinção consensual da contratação.</w:t>
      </w:r>
    </w:p>
    <w:p w14:paraId="098AA5EC">
      <w:pPr>
        <w:pStyle w:val="98"/>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11.17 O contratado autoriza o contratante a reter, a qualquer tempo, a garantia, na forma prevista no Edital e no Contrato. </w:t>
      </w:r>
    </w:p>
    <w:p w14:paraId="270C0343">
      <w:pPr>
        <w:pStyle w:val="96"/>
        <w:spacing w:before="0" w:beforeAutospacing="0" w:after="0" w:afterAutospacing="0" w:line="288" w:lineRule="auto"/>
        <w:contextualSpacing/>
        <w:jc w:val="both"/>
        <w:rPr>
          <w:rFonts w:eastAsia="Calibri" w:asciiTheme="minorHAnsi" w:hAnsiTheme="minorHAnsi" w:cstheme="minorHAnsi"/>
          <w:b/>
          <w:bCs/>
          <w:lang w:eastAsia="en-US"/>
        </w:rPr>
      </w:pPr>
    </w:p>
    <w:p w14:paraId="12E5E17B">
      <w:pPr>
        <w:pStyle w:val="96"/>
        <w:spacing w:before="0" w:beforeAutospacing="0" w:after="0" w:afterAutospacing="0" w:line="288" w:lineRule="auto"/>
        <w:contextualSpacing/>
        <w:jc w:val="both"/>
        <w:rPr>
          <w:rFonts w:eastAsia="Calibri"/>
          <w:b/>
          <w:bCs/>
          <w:lang w:eastAsia="en-US"/>
        </w:rPr>
      </w:pPr>
      <w:r>
        <w:rPr>
          <w:rFonts w:eastAsia="Calibri"/>
          <w:b/>
          <w:bCs/>
          <w:lang w:eastAsia="en-US"/>
        </w:rPr>
        <w:t>12. PAGAMENTO</w:t>
      </w:r>
    </w:p>
    <w:p w14:paraId="1807F1BF">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 O contratante deverá pagar o preço ao contratado em 01 (uma) parcelas</w:t>
      </w:r>
      <w:r>
        <w:rPr>
          <w:rFonts w:ascii="Times New Roman" w:hAnsi="Times New Roman" w:cs="Times New Roman"/>
          <w:color w:val="auto"/>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na conta corrente de titularidade do contratado a ser indicada. </w:t>
      </w:r>
    </w:p>
    <w:p w14:paraId="03D1D97F">
      <w:pPr>
        <w:pStyle w:val="98"/>
        <w:spacing w:before="288" w:beforeLines="120" w:after="288" w:afterLines="120" w:line="288" w:lineRule="auto"/>
        <w:ind w:left="0" w:firstLine="0"/>
        <w:contextualSpacing/>
        <w:rPr>
          <w:rFonts w:ascii="Times New Roman" w:hAnsi="Times New Roman" w:cs="Times New Roman"/>
          <w:sz w:val="24"/>
          <w:szCs w:val="24"/>
        </w:rPr>
      </w:pPr>
    </w:p>
    <w:p w14:paraId="24919DF4">
      <w:pPr>
        <w:pStyle w:val="98"/>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12.2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sz w:val="24"/>
          <w:szCs w:val="24"/>
        </w:rPr>
        <w:t>Banco Itaú S.A</w:t>
      </w:r>
      <w:r>
        <w:rPr>
          <w:rFonts w:ascii="Times New Roman" w:hAnsi="Times New Roman" w:cs="Times New Roman"/>
          <w:sz w:val="24"/>
          <w:szCs w:val="24"/>
        </w:rPr>
        <w:t>, cujo número e agência deverão ser informados pelo adjudicatário.</w:t>
      </w:r>
    </w:p>
    <w:p w14:paraId="016551B1">
      <w:pPr>
        <w:pStyle w:val="98"/>
        <w:spacing w:before="288" w:beforeLines="120" w:after="288" w:afterLines="120" w:line="288" w:lineRule="auto"/>
        <w:ind w:left="0" w:firstLine="0"/>
        <w:contextualSpacing/>
        <w:rPr>
          <w:rFonts w:ascii="Times New Roman" w:hAnsi="Times New Roman" w:cs="Times New Roman"/>
          <w:sz w:val="24"/>
          <w:szCs w:val="24"/>
        </w:rPr>
      </w:pPr>
    </w:p>
    <w:p w14:paraId="26FBA1AF">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40, de 25 de fevereiro de 2025.</w:t>
      </w:r>
    </w:p>
    <w:p w14:paraId="1E767AC3">
      <w:pPr>
        <w:pStyle w:val="100"/>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12.3.1 Quando houver glosa parcial do objeto, o contratante deverá comunicar ao contratado para que emita Nota Fiscal ou Fatura com o valor exato dimensionado.</w:t>
      </w:r>
    </w:p>
    <w:p w14:paraId="4250550E">
      <w:pPr>
        <w:pStyle w:val="98"/>
        <w:spacing w:before="288" w:beforeLines="120" w:after="288" w:afterLines="120" w:line="288" w:lineRule="auto"/>
        <w:ind w:left="0" w:firstLine="0"/>
        <w:contextualSpacing/>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pPr>
      <w:r>
        <w:rPr>
          <w:rFonts w:ascii="Times New Roman" w:hAnsi="Times New Roman" w:cs="Times New Roman"/>
          <w:sz w:val="24"/>
          <w:szCs w:val="24"/>
        </w:rPr>
        <w:t xml:space="preserve">12.4 O contratado deverá encaminhar a Nota Fiscal ou Fatura para pagamento à Prefeitura Municipal de Valença, Secretaria Municipal de Saúde, situada na Rua Dr. Figueiredo, nº 320 - Centro na cidade do Valença, no Estado do Rio de Janeiro, e-mail </w:t>
      </w:r>
      <w:r>
        <w:rPr>
          <w:rFonts w:ascii="Times New Roman" w:hAnsi="Times New Roman" w:cs="Times New Roman"/>
          <w:i/>
          <w:color w:val="558ED5" w:themeColor="text2" w:themeTint="99"/>
          <w:sz w:val="24"/>
          <w:szCs w:val="24"/>
          <w:u w:val="single"/>
          <w14:textFill>
            <w14:solidFill>
              <w14:schemeClr w14:val="tx2">
                <w14:lumMod w14:val="60000"/>
                <w14:lumOff w14:val="40000"/>
              </w14:schemeClr>
            </w14:solidFill>
          </w14:textFill>
        </w:rPr>
        <w:t>smscompras@yahoo.com.br</w:t>
      </w:r>
    </w:p>
    <w:p w14:paraId="1EDBE3D9">
      <w:pPr>
        <w:pStyle w:val="98"/>
        <w:spacing w:line="288" w:lineRule="auto"/>
        <w:ind w:left="0" w:firstLine="0"/>
        <w:contextualSpacing/>
        <w:rPr>
          <w:rFonts w:ascii="Times New Roman" w:hAnsi="Times New Roman" w:cs="Times New Roman"/>
          <w:sz w:val="24"/>
          <w:szCs w:val="24"/>
        </w:rPr>
      </w:pPr>
    </w:p>
    <w:p w14:paraId="74C0D13F">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12.5 </w:t>
      </w:r>
      <w:bookmarkStart w:id="33" w:name="_Hlk178774483"/>
      <w:r>
        <w:rPr>
          <w:rFonts w:ascii="Times New Roman" w:hAnsi="Times New Roman" w:cs="Times New Roman"/>
          <w:sz w:val="24"/>
          <w:szCs w:val="24"/>
        </w:rPr>
        <w:t xml:space="preserve">Uma vez recebidos os documentos mencionados no item 16.4, o órgão competente deverá verificar: </w:t>
      </w:r>
      <w:bookmarkEnd w:id="33"/>
    </w:p>
    <w:p w14:paraId="242860CA">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C15E572">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 a manutenção das condições de habilitação exigidas pelo instrumento convocatório; </w:t>
      </w:r>
    </w:p>
    <w:p w14:paraId="2F102BDE">
      <w:pPr>
        <w:pStyle w:val="98"/>
        <w:spacing w:line="288" w:lineRule="auto"/>
        <w:ind w:left="0" w:firstLine="0"/>
        <w:contextualSpacing/>
        <w:rPr>
          <w:rFonts w:ascii="Times New Roman" w:hAnsi="Times New Roman" w:cs="Times New Roman"/>
          <w:sz w:val="24"/>
          <w:szCs w:val="24"/>
        </w:rPr>
      </w:pPr>
    </w:p>
    <w:p w14:paraId="1A6FBB3E">
      <w:pPr>
        <w:pStyle w:val="98"/>
        <w:spacing w:line="288" w:lineRule="auto"/>
        <w:ind w:left="0" w:firstLine="0"/>
        <w:contextualSpacing/>
        <w:rPr>
          <w:rFonts w:ascii="Times New Roman" w:hAnsi="Times New Roman" w:cs="Times New Roman"/>
          <w:sz w:val="24"/>
          <w:szCs w:val="24"/>
        </w:rPr>
      </w:pPr>
      <w:bookmarkStart w:id="34" w:name="_Hlk178774506"/>
      <w:r>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4B6EF9F6">
      <w:pPr>
        <w:pStyle w:val="98"/>
        <w:spacing w:line="288" w:lineRule="auto"/>
        <w:ind w:left="0" w:firstLine="0"/>
        <w:contextualSpacing/>
        <w:rPr>
          <w:rFonts w:ascii="Times New Roman" w:hAnsi="Times New Roman" w:cs="Times New Roman"/>
          <w:sz w:val="24"/>
          <w:szCs w:val="24"/>
        </w:rPr>
      </w:pPr>
    </w:p>
    <w:p w14:paraId="7B78344C">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4"/>
    <w:p w14:paraId="4D7B30F5">
      <w:pPr>
        <w:pStyle w:val="98"/>
        <w:spacing w:line="288" w:lineRule="auto"/>
        <w:ind w:left="0" w:firstLine="0"/>
        <w:contextualSpacing/>
        <w:rPr>
          <w:rFonts w:ascii="Times New Roman" w:hAnsi="Times New Roman" w:cs="Times New Roman"/>
          <w:sz w:val="24"/>
          <w:szCs w:val="24"/>
        </w:rPr>
      </w:pPr>
    </w:p>
    <w:p w14:paraId="0A120FD5">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71F61646">
      <w:pPr>
        <w:pStyle w:val="98"/>
        <w:spacing w:line="288" w:lineRule="auto"/>
        <w:ind w:left="0" w:firstLine="0"/>
        <w:contextualSpacing/>
        <w:rPr>
          <w:rFonts w:ascii="Times New Roman" w:hAnsi="Times New Roman" w:cs="Times New Roman"/>
          <w:sz w:val="24"/>
          <w:szCs w:val="24"/>
        </w:rPr>
      </w:pPr>
    </w:p>
    <w:p w14:paraId="08C1689B">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ED6A872">
      <w:pPr>
        <w:pStyle w:val="98"/>
        <w:spacing w:line="288" w:lineRule="auto"/>
        <w:ind w:left="0" w:firstLine="0"/>
        <w:contextualSpacing/>
        <w:rPr>
          <w:rFonts w:ascii="Times New Roman" w:hAnsi="Times New Roman" w:cs="Times New Roman"/>
          <w:sz w:val="24"/>
          <w:szCs w:val="24"/>
        </w:rPr>
      </w:pPr>
    </w:p>
    <w:p w14:paraId="0C0908B7">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12.5.3 Persistindo a irregularidade, o contratante deverá adotar as medidas necessárias à rescisão do Contrato nos autos do processo administrativo correspondente, assegurada ao contratado a ampla defesa.</w:t>
      </w:r>
    </w:p>
    <w:p w14:paraId="51A00C27">
      <w:pPr>
        <w:pStyle w:val="98"/>
        <w:spacing w:line="288" w:lineRule="auto"/>
        <w:ind w:left="0" w:firstLine="0"/>
        <w:contextualSpacing/>
        <w:rPr>
          <w:rFonts w:ascii="Times New Roman" w:hAnsi="Times New Roman" w:cs="Times New Roman"/>
          <w:sz w:val="24"/>
          <w:szCs w:val="24"/>
        </w:rPr>
      </w:pPr>
    </w:p>
    <w:p w14:paraId="03FF0C70">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12.5.4 Havendo a efetiva execução do objeto, os pagamentos serão realizados normalmente, até que se decida pela rescisão do Contrato, caso o contratado não regularize sua situação.</w:t>
      </w:r>
    </w:p>
    <w:p w14:paraId="6A8CD71D">
      <w:pPr>
        <w:pStyle w:val="98"/>
        <w:spacing w:line="288" w:lineRule="auto"/>
        <w:ind w:left="0" w:firstLine="0"/>
        <w:contextualSpacing/>
        <w:rPr>
          <w:rFonts w:ascii="Times New Roman" w:hAnsi="Times New Roman" w:cs="Times New Roman"/>
          <w:sz w:val="24"/>
          <w:szCs w:val="24"/>
        </w:rPr>
      </w:pPr>
    </w:p>
    <w:p w14:paraId="382556BE">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O pagamento será efetuado no prazo máximo de até </w:t>
      </w:r>
      <w:r>
        <w:rPr>
          <w:rFonts w:ascii="Times New Roman" w:hAnsi="Times New Roman" w:cs="Times New Roman"/>
          <w:color w:val="000000" w:themeColor="text1"/>
          <w:sz w:val="24"/>
          <w:szCs w:val="24"/>
          <w14:textFill>
            <w14:solidFill>
              <w14:schemeClr w14:val="tx1"/>
            </w14:solidFill>
          </w14:textFill>
        </w:rPr>
        <w:t>30 (trinta) dias</w:t>
      </w:r>
      <w:r>
        <w:rPr>
          <w:rFonts w:ascii="Times New Roman" w:hAnsi="Times New Roman" w:cs="Times New Roman"/>
          <w:sz w:val="24"/>
          <w:szCs w:val="24"/>
        </w:rPr>
        <w:t xml:space="preserve">, contados do recebimento da Nota Fiscal ou Fatura. </w:t>
      </w:r>
    </w:p>
    <w:p w14:paraId="0B7D7D62">
      <w:pPr>
        <w:pStyle w:val="98"/>
        <w:spacing w:line="288" w:lineRule="auto"/>
        <w:ind w:left="0" w:firstLine="0"/>
        <w:contextualSpacing/>
        <w:rPr>
          <w:rFonts w:ascii="Times New Roman" w:hAnsi="Times New Roman" w:cs="Times New Roman"/>
          <w:sz w:val="24"/>
          <w:szCs w:val="24"/>
        </w:rPr>
      </w:pPr>
    </w:p>
    <w:p w14:paraId="683FE194">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5BDE7D1">
      <w:pPr>
        <w:pStyle w:val="98"/>
        <w:spacing w:line="288" w:lineRule="auto"/>
        <w:ind w:left="0" w:firstLine="0"/>
        <w:contextualSpacing/>
        <w:rPr>
          <w:rFonts w:ascii="Times New Roman" w:hAnsi="Times New Roman" w:cs="Times New Roman"/>
          <w:sz w:val="24"/>
          <w:szCs w:val="24"/>
        </w:rPr>
      </w:pPr>
    </w:p>
    <w:p w14:paraId="11734333">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 Quando do pagamento, será efetuada a retenção tributária prevista na legislação aplicável.</w:t>
      </w:r>
    </w:p>
    <w:p w14:paraId="0DE5C230">
      <w:pPr>
        <w:pStyle w:val="98"/>
        <w:spacing w:line="288" w:lineRule="auto"/>
        <w:ind w:left="0" w:firstLine="0"/>
        <w:contextualSpacing/>
        <w:rPr>
          <w:rFonts w:ascii="Times New Roman" w:hAnsi="Times New Roman" w:cs="Times New Roman"/>
          <w:sz w:val="24"/>
          <w:szCs w:val="24"/>
        </w:rPr>
      </w:pPr>
    </w:p>
    <w:p w14:paraId="425769EE">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12.7.1 Independentemente do percentual de tributo inserido na planilha, no pagamento serão retidos na fonte os percentuais estabelecidos na legislação vigente.</w:t>
      </w:r>
    </w:p>
    <w:p w14:paraId="2E8795AC">
      <w:pPr>
        <w:pStyle w:val="98"/>
        <w:spacing w:line="288" w:lineRule="auto"/>
        <w:ind w:left="0" w:firstLine="0"/>
        <w:contextualSpacing/>
        <w:rPr>
          <w:rFonts w:ascii="Times New Roman" w:hAnsi="Times New Roman" w:cs="Times New Roman"/>
          <w:sz w:val="24"/>
          <w:szCs w:val="24"/>
        </w:rPr>
      </w:pPr>
    </w:p>
    <w:p w14:paraId="2285A288">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7BB8F3F9">
      <w:pPr>
        <w:pStyle w:val="98"/>
        <w:spacing w:line="288" w:lineRule="auto"/>
        <w:ind w:left="0" w:firstLine="0"/>
        <w:contextualSpacing/>
        <w:rPr>
          <w:rFonts w:ascii="Times New Roman" w:hAnsi="Times New Roman" w:cs="Times New Roman"/>
          <w:sz w:val="24"/>
          <w:szCs w:val="24"/>
        </w:rPr>
      </w:pPr>
    </w:p>
    <w:p w14:paraId="01749CFC">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12.8 Os pagamentos eventualmente realizados com atraso, desde que não decorram de ato ou fato atribuível ao contratado, sofrerão a incidência de atualização monetária e juros de mora pelo </w:t>
      </w:r>
      <w:r>
        <w:rPr>
          <w:rFonts w:ascii="Times New Roman" w:hAnsi="Times New Roman" w:cs="Times New Roman"/>
          <w:bCs/>
          <w:color w:val="auto"/>
          <w:sz w:val="24"/>
          <w:szCs w:val="24"/>
        </w:rPr>
        <w:t>IPCA-E</w:t>
      </w:r>
      <w:r>
        <w:rPr>
          <w:rFonts w:ascii="Times New Roman" w:hAnsi="Times New Roman" w:cs="Times New Roman"/>
          <w:sz w:val="24"/>
          <w:szCs w:val="24"/>
        </w:rPr>
        <w:t xml:space="preserve">, calculado </w:t>
      </w:r>
      <w:r>
        <w:rPr>
          <w:rFonts w:ascii="Times New Roman" w:hAnsi="Times New Roman" w:cs="Times New Roman"/>
          <w:i/>
          <w:sz w:val="24"/>
          <w:szCs w:val="24"/>
        </w:rPr>
        <w:t>pro rata die</w:t>
      </w:r>
      <w:r>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Pr>
          <w:rFonts w:ascii="Times New Roman" w:hAnsi="Times New Roman" w:cs="Times New Roman"/>
          <w:i/>
          <w:sz w:val="24"/>
          <w:szCs w:val="24"/>
        </w:rPr>
        <w:t>pro rata die.</w:t>
      </w:r>
    </w:p>
    <w:p w14:paraId="71B71708">
      <w:pPr>
        <w:pStyle w:val="98"/>
        <w:spacing w:line="288" w:lineRule="auto"/>
        <w:ind w:left="0" w:firstLine="0"/>
        <w:contextualSpacing/>
        <w:rPr>
          <w:rFonts w:ascii="Times New Roman" w:hAnsi="Times New Roman" w:cs="Times New Roman"/>
          <w:sz w:val="24"/>
          <w:szCs w:val="24"/>
        </w:rPr>
      </w:pPr>
    </w:p>
    <w:p w14:paraId="17FB838C">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cs="Times New Roman"/>
          <w:i/>
          <w:sz w:val="24"/>
          <w:szCs w:val="24"/>
        </w:rPr>
        <w:t xml:space="preserve">a, b, c, d </w:t>
      </w:r>
      <w:r>
        <w:rPr>
          <w:rFonts w:ascii="Times New Roman" w:hAnsi="Times New Roman" w:cs="Times New Roman"/>
          <w:sz w:val="24"/>
          <w:szCs w:val="24"/>
        </w:rPr>
        <w:t xml:space="preserve">e </w:t>
      </w:r>
      <w:r>
        <w:rPr>
          <w:rFonts w:ascii="Times New Roman" w:hAnsi="Times New Roman" w:cs="Times New Roman"/>
          <w:i/>
          <w:sz w:val="24"/>
          <w:szCs w:val="24"/>
        </w:rPr>
        <w:t xml:space="preserve">e, </w:t>
      </w:r>
      <w:r>
        <w:rPr>
          <w:rFonts w:ascii="Times New Roman" w:hAnsi="Times New Roman" w:cs="Times New Roman"/>
          <w:sz w:val="24"/>
          <w:szCs w:val="24"/>
        </w:rPr>
        <w:t>do §1º, do art. 2º da Resolução SEFAZ nº 971/2016.</w:t>
      </w:r>
    </w:p>
    <w:p w14:paraId="26F2579F">
      <w:pPr>
        <w:pStyle w:val="98"/>
        <w:spacing w:line="288" w:lineRule="auto"/>
        <w:ind w:left="0" w:firstLine="0"/>
        <w:contextualSpacing/>
        <w:rPr>
          <w:rFonts w:ascii="Times New Roman" w:hAnsi="Times New Roman" w:cs="Times New Roman"/>
          <w:sz w:val="24"/>
          <w:szCs w:val="24"/>
        </w:rPr>
      </w:pPr>
    </w:p>
    <w:p w14:paraId="3A18265C">
      <w:pPr>
        <w:pStyle w:val="98"/>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12.10 Caso o Edital admita a subcontratação, os pagamentos aos subcontratados serão realizados diretamente pelo contratado, ficando vedada a emissão de empenho do contratante diretamente aos subcontratados.</w:t>
      </w:r>
    </w:p>
    <w:p w14:paraId="4B8468B8">
      <w:pPr>
        <w:pStyle w:val="98"/>
        <w:spacing w:line="288" w:lineRule="auto"/>
        <w:ind w:left="0" w:firstLine="0"/>
        <w:contextualSpacing/>
        <w:rPr>
          <w:rFonts w:ascii="Times New Roman" w:hAnsi="Times New Roman" w:cs="Times New Roman"/>
          <w:sz w:val="24"/>
          <w:szCs w:val="24"/>
        </w:rPr>
      </w:pPr>
    </w:p>
    <w:p w14:paraId="31B237C2">
      <w:pPr>
        <w:pStyle w:val="98"/>
        <w:spacing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12.10.1 A subcontratação porventura realizada será integralmente custeada pelo contratado.</w:t>
      </w:r>
    </w:p>
    <w:p w14:paraId="1D11C9F2">
      <w:pPr>
        <w:pStyle w:val="96"/>
        <w:spacing w:before="0" w:beforeAutospacing="0" w:after="0" w:afterAutospacing="0" w:line="288" w:lineRule="auto"/>
        <w:contextualSpacing/>
        <w:jc w:val="both"/>
        <w:rPr>
          <w:rFonts w:eastAsia="Calibri"/>
          <w:lang w:eastAsia="en-US"/>
        </w:rPr>
      </w:pPr>
    </w:p>
    <w:p w14:paraId="4E7D12CB">
      <w:pPr>
        <w:pStyle w:val="96"/>
        <w:spacing w:before="0" w:beforeAutospacing="0" w:after="0" w:afterAutospacing="0" w:line="288" w:lineRule="auto"/>
        <w:contextualSpacing/>
        <w:jc w:val="both"/>
        <w:rPr>
          <w:rFonts w:eastAsia="Calibri"/>
          <w:b/>
          <w:bCs/>
          <w:lang w:eastAsia="en-US"/>
        </w:rPr>
      </w:pPr>
      <w:r>
        <w:rPr>
          <w:rFonts w:eastAsia="Calibri"/>
          <w:b/>
          <w:bCs/>
          <w:lang w:eastAsia="en-US"/>
        </w:rPr>
        <w:t xml:space="preserve">13. PRAZO CONTRATUAL </w:t>
      </w:r>
    </w:p>
    <w:p w14:paraId="2F46D355">
      <w:pPr>
        <w:pStyle w:val="98"/>
        <w:spacing w:before="0" w:after="0" w:line="288" w:lineRule="auto"/>
        <w:ind w:left="0" w:firstLine="0"/>
        <w:contextualSpacing/>
        <w:rPr>
          <w:rFonts w:ascii="Times New Roman" w:hAnsi="Times New Roman" w:cs="Times New Roman"/>
          <w:sz w:val="24"/>
          <w:szCs w:val="24"/>
        </w:rPr>
      </w:pPr>
    </w:p>
    <w:p w14:paraId="4B2638B3">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13.1 O prazo de vigência do Contrato é de </w:t>
      </w:r>
      <w:r>
        <w:rPr>
          <w:rFonts w:ascii="Times New Roman" w:hAnsi="Times New Roman" w:cs="Times New Roman"/>
          <w:color w:val="000000" w:themeColor="text1"/>
          <w:sz w:val="24"/>
          <w:szCs w:val="24"/>
          <w14:textFill>
            <w14:solidFill>
              <w14:schemeClr w14:val="tx1"/>
            </w14:solidFill>
          </w14:textFill>
        </w:rPr>
        <w:t>12 meses</w:t>
      </w:r>
      <w:r>
        <w:rPr>
          <w:rFonts w:ascii="Times New Roman" w:hAnsi="Times New Roman" w:cs="Times New Roman"/>
          <w:sz w:val="24"/>
          <w:szCs w:val="24"/>
        </w:rPr>
        <w:t xml:space="preserve">, contado da data da </w:t>
      </w:r>
      <w:r>
        <w:rPr>
          <w:rFonts w:ascii="Times New Roman" w:hAnsi="Times New Roman" w:cs="Times New Roman"/>
          <w:iCs/>
          <w:sz w:val="24"/>
          <w:szCs w:val="24"/>
        </w:rPr>
        <w:t>divulgação no Portal Nacional de Contratações Públicas</w:t>
      </w:r>
      <w:r>
        <w:rPr>
          <w:rFonts w:ascii="Times New Roman" w:hAnsi="Times New Roman" w:cs="Times New Roman"/>
          <w:sz w:val="24"/>
          <w:szCs w:val="24"/>
        </w:rPr>
        <w:t>.</w:t>
      </w:r>
    </w:p>
    <w:p w14:paraId="1459F62F">
      <w:pPr>
        <w:pStyle w:val="98"/>
        <w:spacing w:after="0" w:line="288" w:lineRule="auto"/>
        <w:ind w:left="0" w:firstLine="0"/>
        <w:contextualSpacing/>
        <w:rPr>
          <w:rFonts w:ascii="Times New Roman" w:hAnsi="Times New Roman" w:cs="Times New Roman"/>
          <w:color w:val="auto"/>
          <w:sz w:val="24"/>
          <w:szCs w:val="24"/>
        </w:rPr>
      </w:pPr>
    </w:p>
    <w:p w14:paraId="5A4623AB">
      <w:pPr>
        <w:pStyle w:val="98"/>
        <w:spacing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13.2 O prazo de vigência será automaticamente prorrogado,</w:t>
      </w:r>
      <w:r>
        <w:rPr>
          <w:rFonts w:ascii="Times New Roman" w:hAnsi="Times New Roman" w:cs="Times New Roman"/>
          <w:bCs/>
          <w:iCs/>
          <w:color w:val="auto"/>
          <w:sz w:val="24"/>
          <w:szCs w:val="24"/>
        </w:rPr>
        <w:t xml:space="preserve"> sem prejuízo da formalização adequada,</w:t>
      </w:r>
      <w:r>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Pr>
          <w:rFonts w:ascii="Times New Roman" w:hAnsi="Times New Roman" w:cs="Times New Roman"/>
          <w:sz w:val="24"/>
          <w:szCs w:val="24"/>
        </w:rPr>
        <w:t> </w:t>
      </w:r>
    </w:p>
    <w:p w14:paraId="4FD3329C">
      <w:pPr>
        <w:pStyle w:val="98"/>
        <w:spacing w:after="0" w:line="288" w:lineRule="auto"/>
        <w:ind w:left="0" w:firstLine="0"/>
        <w:contextualSpacing/>
        <w:rPr>
          <w:rFonts w:ascii="Times New Roman" w:hAnsi="Times New Roman" w:cs="Times New Roman"/>
          <w:sz w:val="24"/>
          <w:szCs w:val="24"/>
        </w:rPr>
      </w:pPr>
    </w:p>
    <w:p w14:paraId="74495C31">
      <w:pPr>
        <w:pStyle w:val="96"/>
        <w:spacing w:before="0" w:beforeAutospacing="0" w:after="0" w:afterAutospacing="0" w:line="288" w:lineRule="auto"/>
        <w:contextualSpacing/>
        <w:jc w:val="both"/>
      </w:pPr>
      <w:r>
        <w:rPr>
          <w:rFonts w:eastAsia="Calibri"/>
          <w:b/>
          <w:bCs/>
          <w:lang w:eastAsia="en-US"/>
        </w:rPr>
        <w:t xml:space="preserve">14. REAJUSTE </w:t>
      </w:r>
    </w:p>
    <w:p w14:paraId="3D62B59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 Os preços contratados serão reajustados após o interregno de 1 (um) ano, mediante solicitação do contratado.</w:t>
      </w:r>
    </w:p>
    <w:p w14:paraId="0EDE44F2">
      <w:pPr>
        <w:pStyle w:val="98"/>
        <w:spacing w:before="288" w:beforeLines="120" w:after="288" w:afterLines="120" w:line="288" w:lineRule="auto"/>
        <w:ind w:left="0" w:firstLine="0"/>
        <w:contextualSpacing/>
        <w:rPr>
          <w:rFonts w:ascii="Times New Roman" w:hAnsi="Times New Roman" w:cs="Times New Roman"/>
          <w:sz w:val="24"/>
          <w:szCs w:val="24"/>
        </w:rPr>
      </w:pPr>
    </w:p>
    <w:p w14:paraId="0007A38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14.2 O interregno mínimo de 1 (um) ano para o primeiro reajuste será contado da data do orçamento estimado. </w:t>
      </w:r>
    </w:p>
    <w:p w14:paraId="40191A94">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1E1D83E0">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14.3 </w:t>
      </w:r>
      <w:r>
        <w:rPr>
          <w:rFonts w:ascii="Times New Roman" w:hAnsi="Times New Roman" w:cs="Times New Roman"/>
          <w:sz w:val="24"/>
          <w:szCs w:val="24"/>
        </w:rPr>
        <w:t>Nos reajustes subsequentes ao primeiro, o interregno mínimo de um ano será contado a partir do fato gerador que deu ensejo ao último reajuste.</w:t>
      </w:r>
    </w:p>
    <w:p w14:paraId="6D58DCE6">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051F4A0F">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14.4 </w:t>
      </w:r>
      <w:r>
        <w:rPr>
          <w:rFonts w:ascii="Times New Roman" w:hAnsi="Times New Roman" w:cs="Times New Roman"/>
          <w:sz w:val="24"/>
          <w:szCs w:val="24"/>
        </w:rPr>
        <w:t>Os preços iniciais serão reajustados, mediante a aplicação, pelo contratante, do índice IPCA, exclusivamente para as obrigações que se iniciem após a anualidade.</w:t>
      </w:r>
    </w:p>
    <w:p w14:paraId="1C68E782">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7F8639B1">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14.5 </w:t>
      </w:r>
      <w:r>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5B6048D7">
      <w:pPr>
        <w:pStyle w:val="98"/>
        <w:spacing w:before="288" w:beforeLines="120" w:after="288" w:afterLines="120" w:line="288" w:lineRule="auto"/>
        <w:ind w:left="0" w:firstLine="0"/>
        <w:contextualSpacing/>
        <w:rPr>
          <w:rFonts w:ascii="Times New Roman" w:hAnsi="Times New Roman" w:cs="Times New Roman"/>
          <w:sz w:val="24"/>
          <w:szCs w:val="24"/>
        </w:rPr>
      </w:pPr>
    </w:p>
    <w:p w14:paraId="17D73E98">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14.5.1 Fica o contratado obrigado a apresentar memória de cálculo referente ao reajustamento de preços do valor remanescente, sempre que este ocorrer, sendo adotado na aferição final o índice definitivo.</w:t>
      </w:r>
    </w:p>
    <w:p w14:paraId="37890292">
      <w:pPr>
        <w:pStyle w:val="98"/>
        <w:spacing w:before="288" w:beforeLines="120" w:after="288" w:afterLines="120" w:line="288" w:lineRule="auto"/>
        <w:ind w:left="0" w:firstLine="0"/>
        <w:contextualSpacing/>
        <w:rPr>
          <w:rFonts w:ascii="Times New Roman" w:hAnsi="Times New Roman" w:cs="Times New Roman"/>
          <w:sz w:val="24"/>
          <w:szCs w:val="24"/>
        </w:rPr>
      </w:pPr>
    </w:p>
    <w:p w14:paraId="1E345B1B">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14.6 Caso o(s) índice(s) estabelecido(s) para reajustamento venha(m) a ser extinto(s) ou de qualquer forma não possa(m) mais ser utilizado(s), será(ão) adotado(s), em substituição, o(s) que vier(em) a ser determinado(s) pela legislação então em vigor.</w:t>
      </w:r>
    </w:p>
    <w:p w14:paraId="5997D9E6">
      <w:pPr>
        <w:pStyle w:val="98"/>
        <w:spacing w:before="288" w:beforeLines="120" w:after="288" w:afterLines="120" w:line="288" w:lineRule="auto"/>
        <w:ind w:left="0" w:firstLine="0"/>
        <w:contextualSpacing/>
        <w:rPr>
          <w:rFonts w:ascii="Times New Roman" w:hAnsi="Times New Roman" w:cs="Times New Roman"/>
          <w:sz w:val="24"/>
          <w:szCs w:val="24"/>
        </w:rPr>
      </w:pPr>
    </w:p>
    <w:p w14:paraId="318F2426">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14.7 Na ausência de previsão legal quanto ao índice substituto, as partes elegerão novo índice oficial, para reajustamento do preço do valor remanescente, por meio de termo aditivo.</w:t>
      </w:r>
    </w:p>
    <w:p w14:paraId="5B6A863E">
      <w:pPr>
        <w:pStyle w:val="98"/>
        <w:spacing w:before="288" w:beforeLines="120" w:after="288" w:afterLines="120" w:line="288" w:lineRule="auto"/>
        <w:ind w:left="0" w:firstLine="0"/>
        <w:contextualSpacing/>
        <w:rPr>
          <w:rFonts w:ascii="Times New Roman" w:hAnsi="Times New Roman" w:cs="Times New Roman"/>
          <w:sz w:val="24"/>
          <w:szCs w:val="24"/>
        </w:rPr>
      </w:pPr>
    </w:p>
    <w:p w14:paraId="20ACDA7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14.8 O pedido de reajuste deverá ser formulado durante a vigência do contrato e antes de eventual prorrogação contratual, sob pena de preclusão.</w:t>
      </w:r>
    </w:p>
    <w:p w14:paraId="22457D7E">
      <w:pPr>
        <w:pStyle w:val="98"/>
        <w:spacing w:before="288" w:beforeLines="120" w:after="288" w:afterLines="120" w:line="288" w:lineRule="auto"/>
        <w:ind w:left="0" w:firstLine="0"/>
        <w:contextualSpacing/>
        <w:rPr>
          <w:rFonts w:ascii="Times New Roman" w:hAnsi="Times New Roman" w:cs="Times New Roman"/>
          <w:sz w:val="24"/>
          <w:szCs w:val="24"/>
        </w:rPr>
      </w:pPr>
    </w:p>
    <w:p w14:paraId="5EEC0D1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14.8.1 Os efeitos financeiros do pedido de reajuste serão contados:</w:t>
      </w:r>
    </w:p>
    <w:p w14:paraId="20BED551">
      <w:pPr>
        <w:pStyle w:val="98"/>
        <w:spacing w:before="288" w:beforeLines="120" w:after="288" w:afterLines="120" w:line="288" w:lineRule="auto"/>
        <w:ind w:left="0" w:firstLine="0"/>
        <w:contextualSpacing/>
        <w:rPr>
          <w:rFonts w:ascii="Times New Roman" w:hAnsi="Times New Roman" w:cs="Times New Roman"/>
          <w:sz w:val="24"/>
          <w:szCs w:val="24"/>
        </w:rPr>
      </w:pPr>
    </w:p>
    <w:p w14:paraId="540A5379">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2B313B00">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AB13403">
      <w:pPr>
        <w:pStyle w:val="98"/>
        <w:spacing w:before="288" w:beforeLines="120" w:after="288" w:afterLines="120" w:line="288" w:lineRule="auto"/>
        <w:ind w:left="0" w:firstLine="0"/>
        <w:contextualSpacing/>
        <w:rPr>
          <w:rFonts w:ascii="Times New Roman" w:hAnsi="Times New Roman" w:cs="Times New Roman"/>
          <w:color w:val="auto"/>
          <w:sz w:val="24"/>
          <w:szCs w:val="24"/>
        </w:rPr>
      </w:pPr>
    </w:p>
    <w:p w14:paraId="1B2515BC">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14.9 </w:t>
      </w:r>
      <w:r>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8BF7B13">
      <w:pPr>
        <w:pStyle w:val="98"/>
        <w:spacing w:before="288" w:beforeLines="120" w:after="288" w:afterLines="120" w:line="288" w:lineRule="auto"/>
        <w:ind w:left="0" w:firstLine="0"/>
        <w:contextualSpacing/>
        <w:rPr>
          <w:rFonts w:ascii="Times New Roman" w:hAnsi="Times New Roman" w:cs="Times New Roman"/>
          <w:sz w:val="24"/>
          <w:szCs w:val="24"/>
        </w:rPr>
      </w:pPr>
    </w:p>
    <w:p w14:paraId="64E1876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14.10 A extinção do contrato não configurará óbice para o deferimento do reajuste solicitado tempestivamente, hipótese em que será concedido por meio de termo indenizatório.</w:t>
      </w:r>
    </w:p>
    <w:p w14:paraId="3B1566CB">
      <w:pPr>
        <w:pStyle w:val="98"/>
        <w:spacing w:before="288" w:beforeLines="120" w:after="288" w:afterLines="120" w:line="288" w:lineRule="auto"/>
        <w:ind w:left="0" w:firstLine="0"/>
        <w:contextualSpacing/>
        <w:rPr>
          <w:rFonts w:ascii="Times New Roman" w:hAnsi="Times New Roman" w:cs="Times New Roman"/>
          <w:sz w:val="24"/>
          <w:szCs w:val="24"/>
        </w:rPr>
      </w:pPr>
    </w:p>
    <w:p w14:paraId="3F155FCC">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14.11 O reajuste será realizado por apostilamento, se esta for a única alteração contratual a ser realizada.</w:t>
      </w:r>
    </w:p>
    <w:p w14:paraId="3208FE16">
      <w:pPr>
        <w:pStyle w:val="98"/>
        <w:spacing w:before="288" w:beforeLines="120" w:after="288" w:afterLines="120" w:line="288" w:lineRule="auto"/>
        <w:ind w:left="0" w:firstLine="0"/>
        <w:contextualSpacing/>
        <w:rPr>
          <w:rFonts w:ascii="Times New Roman" w:hAnsi="Times New Roman" w:cs="Times New Roman"/>
          <w:sz w:val="24"/>
          <w:szCs w:val="24"/>
        </w:rPr>
      </w:pPr>
    </w:p>
    <w:p w14:paraId="1E0857D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14.12 O reajuste de preços não interfere no direito das partes de solicitar, a qualquer momento, a manutenção do equilíbrio econômico dos contratos com base no disposto no art. 124, inciso II, alínea “d”, da Lei n.º 14.133/2021.</w:t>
      </w:r>
    </w:p>
    <w:p w14:paraId="411E1E95">
      <w:pPr>
        <w:pStyle w:val="96"/>
        <w:spacing w:before="0" w:beforeAutospacing="0" w:after="0" w:afterAutospacing="0" w:line="288" w:lineRule="auto"/>
        <w:contextualSpacing/>
        <w:jc w:val="both"/>
        <w:rPr>
          <w:rFonts w:eastAsia="Calibri"/>
          <w:b/>
          <w:bCs/>
          <w:lang w:eastAsia="en-US"/>
        </w:rPr>
      </w:pPr>
      <w:r>
        <w:rPr>
          <w:rFonts w:eastAsia="Calibri"/>
          <w:b/>
          <w:bCs/>
          <w:lang w:eastAsia="en-US"/>
        </w:rPr>
        <w:t>15. EXECUÇÃO, GESTÃO E FISCALIZAÇÃO CONTRATUAIS</w:t>
      </w:r>
    </w:p>
    <w:p w14:paraId="3B88074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 O regime de execução contratual, o modelo de gestão e a fiscalização, assim como os prazos e condições de conclusão, entrega, observação e recebimento se submetem ao disposto no Termo de Referência anexo a este Edital, na forma do Decreto nº 40/2025.</w:t>
      </w:r>
    </w:p>
    <w:p w14:paraId="6C8D189F">
      <w:pPr>
        <w:spacing w:line="288" w:lineRule="auto"/>
        <w:contextualSpacing/>
        <w:jc w:val="both"/>
        <w:rPr>
          <w:b/>
          <w:bCs/>
          <w:sz w:val="24"/>
          <w:szCs w:val="24"/>
        </w:rPr>
      </w:pPr>
      <w:r>
        <w:rPr>
          <w:b/>
          <w:bCs/>
          <w:sz w:val="24"/>
          <w:szCs w:val="24"/>
        </w:rPr>
        <w:t>16. DAS INFRAÇÕES ADMINISTRATIVAS E SANÇÕES</w:t>
      </w:r>
    </w:p>
    <w:p w14:paraId="7BF66B11">
      <w:pPr>
        <w:spacing w:line="288" w:lineRule="auto"/>
        <w:contextualSpacing/>
        <w:jc w:val="both"/>
        <w:rPr>
          <w:sz w:val="24"/>
          <w:szCs w:val="24"/>
        </w:rPr>
      </w:pPr>
    </w:p>
    <w:p w14:paraId="37766D2D">
      <w:pPr>
        <w:spacing w:line="288" w:lineRule="auto"/>
        <w:contextualSpacing/>
        <w:jc w:val="both"/>
        <w:rPr>
          <w:color w:val="000000"/>
          <w:sz w:val="24"/>
          <w:szCs w:val="24"/>
        </w:rPr>
      </w:pPr>
      <w:r>
        <w:rPr>
          <w:color w:val="000000"/>
          <w:sz w:val="24"/>
          <w:szCs w:val="24"/>
        </w:rPr>
        <w:t>16.1 Constitui infração administrativa, a prática, pelo licitante ou contratado, das seguintes condutas previstas no art. 155 da Lei nº 14.133/2021:</w:t>
      </w:r>
    </w:p>
    <w:p w14:paraId="554736E1">
      <w:pPr>
        <w:spacing w:line="288" w:lineRule="auto"/>
        <w:contextualSpacing/>
        <w:jc w:val="both"/>
        <w:rPr>
          <w:color w:val="000000"/>
          <w:sz w:val="24"/>
          <w:szCs w:val="24"/>
        </w:rPr>
      </w:pPr>
    </w:p>
    <w:p w14:paraId="28114648">
      <w:pPr>
        <w:spacing w:line="288" w:lineRule="auto"/>
        <w:contextualSpacing/>
        <w:jc w:val="both"/>
        <w:rPr>
          <w:sz w:val="24"/>
          <w:szCs w:val="24"/>
        </w:rPr>
      </w:pPr>
      <w:r>
        <w:rPr>
          <w:color w:val="000000"/>
          <w:sz w:val="24"/>
          <w:szCs w:val="24"/>
        </w:rPr>
        <w:t>16.1.1 dar causa à inexecução parcial do contrato</w:t>
      </w:r>
      <w:r>
        <w:rPr>
          <w:sz w:val="24"/>
          <w:szCs w:val="24"/>
        </w:rPr>
        <w:t>;</w:t>
      </w:r>
    </w:p>
    <w:p w14:paraId="39C20B41">
      <w:pPr>
        <w:spacing w:line="288" w:lineRule="auto"/>
        <w:contextualSpacing/>
        <w:jc w:val="both"/>
        <w:rPr>
          <w:sz w:val="24"/>
          <w:szCs w:val="24"/>
        </w:rPr>
      </w:pPr>
    </w:p>
    <w:p w14:paraId="643680F2">
      <w:pPr>
        <w:spacing w:line="288" w:lineRule="auto"/>
        <w:contextualSpacing/>
        <w:jc w:val="both"/>
        <w:rPr>
          <w:sz w:val="24"/>
          <w:szCs w:val="24"/>
        </w:rPr>
      </w:pPr>
      <w:r>
        <w:rPr>
          <w:color w:val="000000"/>
          <w:sz w:val="24"/>
          <w:szCs w:val="24"/>
        </w:rPr>
        <w:t>16.1.2 dar causa à inexecução parcial do contrato que cause grave dano à Administração, ao funcionamento dos serviços públicos ou ao interesse coletivo;</w:t>
      </w:r>
    </w:p>
    <w:p w14:paraId="19FDB6EE">
      <w:pPr>
        <w:spacing w:line="288" w:lineRule="auto"/>
        <w:contextualSpacing/>
        <w:jc w:val="both"/>
        <w:rPr>
          <w:color w:val="000000"/>
          <w:sz w:val="24"/>
          <w:szCs w:val="24"/>
        </w:rPr>
      </w:pPr>
    </w:p>
    <w:p w14:paraId="355F9B55">
      <w:pPr>
        <w:spacing w:after="160" w:line="288" w:lineRule="auto"/>
        <w:contextualSpacing/>
        <w:jc w:val="both"/>
        <w:rPr>
          <w:sz w:val="24"/>
          <w:szCs w:val="24"/>
        </w:rPr>
      </w:pPr>
      <w:r>
        <w:rPr>
          <w:color w:val="000000"/>
          <w:sz w:val="24"/>
          <w:szCs w:val="24"/>
        </w:rPr>
        <w:t>16.1.3 dar causa à inexecução total do contrato;</w:t>
      </w:r>
    </w:p>
    <w:p w14:paraId="2FD6E1AC">
      <w:pPr>
        <w:spacing w:line="288" w:lineRule="auto"/>
        <w:contextualSpacing/>
        <w:jc w:val="both"/>
        <w:rPr>
          <w:color w:val="000000"/>
          <w:sz w:val="24"/>
          <w:szCs w:val="24"/>
        </w:rPr>
      </w:pPr>
    </w:p>
    <w:p w14:paraId="619C5C7F">
      <w:pPr>
        <w:spacing w:line="288" w:lineRule="auto"/>
        <w:contextualSpacing/>
        <w:jc w:val="both"/>
        <w:rPr>
          <w:sz w:val="24"/>
          <w:szCs w:val="24"/>
        </w:rPr>
      </w:pPr>
      <w:r>
        <w:rPr>
          <w:color w:val="000000"/>
          <w:sz w:val="24"/>
          <w:szCs w:val="24"/>
        </w:rPr>
        <w:t xml:space="preserve">16.1.4 deixar de entregar a documentação exigida para o certame ou não entregar qualquer documento que tenha sido solicitado pelo Pregoeiro durante o certame; </w:t>
      </w:r>
    </w:p>
    <w:p w14:paraId="46956C3F">
      <w:pPr>
        <w:spacing w:line="288" w:lineRule="auto"/>
        <w:contextualSpacing/>
        <w:jc w:val="both"/>
        <w:rPr>
          <w:color w:val="000000"/>
          <w:sz w:val="24"/>
          <w:szCs w:val="24"/>
        </w:rPr>
      </w:pPr>
    </w:p>
    <w:p w14:paraId="6D668D3E">
      <w:pPr>
        <w:spacing w:line="288" w:lineRule="auto"/>
        <w:contextualSpacing/>
        <w:jc w:val="both"/>
        <w:rPr>
          <w:color w:val="000000"/>
          <w:sz w:val="24"/>
          <w:szCs w:val="24"/>
        </w:rPr>
      </w:pPr>
      <w:r>
        <w:rPr>
          <w:color w:val="000000"/>
          <w:sz w:val="24"/>
          <w:szCs w:val="24"/>
        </w:rPr>
        <w:t>16.1.5 não manter a proposta, salvo em decorrência de fato superveniente devidamente justificado, em especial quando:</w:t>
      </w:r>
    </w:p>
    <w:p w14:paraId="124573FE">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16</w:t>
      </w:r>
      <w:r>
        <w:rPr>
          <w:rFonts w:ascii="Times New Roman" w:hAnsi="Times New Roman" w:cs="Times New Roman"/>
          <w:sz w:val="24"/>
          <w:szCs w:val="24"/>
        </w:rPr>
        <w:t xml:space="preserve">.1.5.1 não enviar a proposta adequada ao último lance ofertado ou após a negociação; </w:t>
      </w:r>
    </w:p>
    <w:p w14:paraId="0D7FA37B">
      <w:pPr>
        <w:pStyle w:val="119"/>
        <w:spacing w:before="288" w:beforeLines="120" w:after="288" w:afterLines="120" w:line="288" w:lineRule="auto"/>
        <w:ind w:left="0"/>
        <w:contextualSpacing/>
        <w:rPr>
          <w:rFonts w:ascii="Times New Roman" w:hAnsi="Times New Roman" w:cs="Times New Roman"/>
          <w:sz w:val="24"/>
          <w:szCs w:val="24"/>
        </w:rPr>
      </w:pPr>
    </w:p>
    <w:p w14:paraId="74AF4EBE">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16</w:t>
      </w:r>
      <w:r>
        <w:rPr>
          <w:rFonts w:ascii="Times New Roman" w:hAnsi="Times New Roman" w:cs="Times New Roman"/>
          <w:sz w:val="24"/>
          <w:szCs w:val="24"/>
        </w:rPr>
        <w:t xml:space="preserve">.1.5.2 recusar-se a enviar o detalhamento da proposta quando exigível; </w:t>
      </w:r>
    </w:p>
    <w:p w14:paraId="046CBD8C">
      <w:pPr>
        <w:pStyle w:val="119"/>
        <w:spacing w:before="288" w:beforeLines="120" w:after="288" w:afterLines="120" w:line="288" w:lineRule="auto"/>
        <w:ind w:left="0"/>
        <w:contextualSpacing/>
        <w:rPr>
          <w:rFonts w:ascii="Times New Roman" w:hAnsi="Times New Roman" w:cs="Times New Roman"/>
          <w:sz w:val="24"/>
          <w:szCs w:val="24"/>
        </w:rPr>
      </w:pPr>
    </w:p>
    <w:p w14:paraId="5AB05456">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16.1.5.3 pedir para ser desclassificado quando encerrada a etapa competitiva; </w:t>
      </w:r>
    </w:p>
    <w:p w14:paraId="39A05516">
      <w:pPr>
        <w:pStyle w:val="119"/>
        <w:spacing w:before="288" w:beforeLines="120" w:after="288" w:afterLines="120" w:line="288" w:lineRule="auto"/>
        <w:ind w:left="0"/>
        <w:contextualSpacing/>
        <w:rPr>
          <w:rFonts w:ascii="Times New Roman" w:hAnsi="Times New Roman" w:cs="Times New Roman"/>
          <w:sz w:val="24"/>
          <w:szCs w:val="24"/>
        </w:rPr>
      </w:pPr>
    </w:p>
    <w:p w14:paraId="56ED11C5">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16.1.5.4 deixar de apresentar amostra; ou</w:t>
      </w:r>
    </w:p>
    <w:p w14:paraId="5FCF982B">
      <w:pPr>
        <w:pStyle w:val="119"/>
        <w:spacing w:before="288" w:beforeLines="120" w:after="288" w:afterLines="120" w:line="288" w:lineRule="auto"/>
        <w:ind w:left="0"/>
        <w:contextualSpacing/>
        <w:rPr>
          <w:rFonts w:ascii="Times New Roman" w:hAnsi="Times New Roman" w:cs="Times New Roman"/>
          <w:sz w:val="24"/>
          <w:szCs w:val="24"/>
        </w:rPr>
      </w:pPr>
    </w:p>
    <w:p w14:paraId="3A0D8F26">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16.1.5.5 apresentar proposta ou amostra em desacordo com as especificações do instrumento convocatório; </w:t>
      </w:r>
    </w:p>
    <w:p w14:paraId="3539835D">
      <w:pPr>
        <w:spacing w:line="288" w:lineRule="auto"/>
        <w:contextualSpacing/>
        <w:jc w:val="both"/>
        <w:rPr>
          <w:color w:val="000000"/>
          <w:sz w:val="24"/>
          <w:szCs w:val="24"/>
        </w:rPr>
      </w:pPr>
      <w:r>
        <w:rPr>
          <w:color w:val="000000"/>
          <w:sz w:val="24"/>
          <w:szCs w:val="24"/>
        </w:rPr>
        <w:t>16.1.6 não celebrar o contrato ou não entregar a documentação exigida para a contratação, quando convocado dentro do prazo de validade de sua proposta;</w:t>
      </w:r>
    </w:p>
    <w:p w14:paraId="7A716976">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16.1.6.1 recusar-se, sem justificativa, a assinar o contrato ou a ata de registro de preço, ou a aceitar ou retirar o instrumento equivalente no prazo estabelecido pela Administração;</w:t>
      </w:r>
    </w:p>
    <w:p w14:paraId="6BE7DC89">
      <w:pPr>
        <w:spacing w:line="288" w:lineRule="auto"/>
        <w:contextualSpacing/>
        <w:jc w:val="both"/>
        <w:rPr>
          <w:color w:val="000000"/>
          <w:sz w:val="24"/>
          <w:szCs w:val="24"/>
        </w:rPr>
      </w:pPr>
      <w:r>
        <w:rPr>
          <w:color w:val="000000"/>
          <w:sz w:val="24"/>
          <w:szCs w:val="24"/>
        </w:rPr>
        <w:t>16.1.7 ensejar o retardamento da execução ou da entrega do objeto da contratação sem motivo justificado;</w:t>
      </w:r>
    </w:p>
    <w:p w14:paraId="39045999">
      <w:pPr>
        <w:spacing w:line="288" w:lineRule="auto"/>
        <w:contextualSpacing/>
        <w:jc w:val="both"/>
        <w:rPr>
          <w:color w:val="000000"/>
          <w:sz w:val="24"/>
          <w:szCs w:val="24"/>
        </w:rPr>
      </w:pPr>
    </w:p>
    <w:p w14:paraId="76EE16B9">
      <w:pPr>
        <w:spacing w:line="288" w:lineRule="auto"/>
        <w:contextualSpacing/>
        <w:jc w:val="both"/>
        <w:rPr>
          <w:color w:val="000000"/>
          <w:sz w:val="24"/>
          <w:szCs w:val="24"/>
        </w:rPr>
      </w:pPr>
      <w:r>
        <w:rPr>
          <w:color w:val="000000"/>
          <w:sz w:val="24"/>
          <w:szCs w:val="24"/>
        </w:rPr>
        <w:t>16.1.8 apresentar declaração ou documentação falsa exigida para o certame ou prestar declaração falsa durante o certame ou a execução do contrato;</w:t>
      </w:r>
    </w:p>
    <w:p w14:paraId="26EAB6BD">
      <w:pPr>
        <w:spacing w:line="288" w:lineRule="auto"/>
        <w:contextualSpacing/>
        <w:jc w:val="both"/>
        <w:rPr>
          <w:rFonts w:eastAsia="Arial"/>
          <w:color w:val="000000"/>
          <w:sz w:val="24"/>
          <w:szCs w:val="24"/>
        </w:rPr>
      </w:pPr>
    </w:p>
    <w:p w14:paraId="15712A22">
      <w:pPr>
        <w:spacing w:line="288" w:lineRule="auto"/>
        <w:contextualSpacing/>
        <w:jc w:val="both"/>
        <w:rPr>
          <w:color w:val="000000"/>
          <w:sz w:val="24"/>
          <w:szCs w:val="24"/>
        </w:rPr>
      </w:pPr>
      <w:r>
        <w:rPr>
          <w:color w:val="000000"/>
          <w:sz w:val="24"/>
          <w:szCs w:val="24"/>
        </w:rPr>
        <w:t>16.1.9 fraudar o certame ou praticar ato fraudulento na execução do contrato;</w:t>
      </w:r>
    </w:p>
    <w:p w14:paraId="316A1A0B">
      <w:pPr>
        <w:spacing w:line="288" w:lineRule="auto"/>
        <w:contextualSpacing/>
        <w:jc w:val="both"/>
        <w:rPr>
          <w:color w:val="000000"/>
          <w:sz w:val="24"/>
          <w:szCs w:val="24"/>
        </w:rPr>
      </w:pPr>
      <w:r>
        <w:rPr>
          <w:color w:val="000000"/>
          <w:sz w:val="24"/>
          <w:szCs w:val="24"/>
        </w:rPr>
        <w:t> </w:t>
      </w:r>
    </w:p>
    <w:p w14:paraId="4E75DA9B">
      <w:pPr>
        <w:spacing w:line="288" w:lineRule="auto"/>
        <w:contextualSpacing/>
        <w:jc w:val="both"/>
        <w:rPr>
          <w:color w:val="000000"/>
          <w:sz w:val="24"/>
          <w:szCs w:val="24"/>
        </w:rPr>
      </w:pPr>
      <w:r>
        <w:rPr>
          <w:color w:val="000000"/>
          <w:sz w:val="24"/>
          <w:szCs w:val="24"/>
        </w:rPr>
        <w:t>16.1.10 comportar-se de modo inidôneo ou cometer fraude de qualquer natureza, em especial quando:</w:t>
      </w:r>
    </w:p>
    <w:p w14:paraId="1A505882">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16.1.10.1 agir em conluio ou em desconformidade com a lei; </w:t>
      </w:r>
    </w:p>
    <w:p w14:paraId="176031CB">
      <w:pPr>
        <w:pStyle w:val="119"/>
        <w:spacing w:before="288" w:beforeLines="120" w:after="288" w:afterLines="120" w:line="288" w:lineRule="auto"/>
        <w:ind w:left="0"/>
        <w:contextualSpacing/>
        <w:rPr>
          <w:rFonts w:ascii="Times New Roman" w:hAnsi="Times New Roman" w:cs="Times New Roman"/>
          <w:sz w:val="24"/>
          <w:szCs w:val="24"/>
        </w:rPr>
      </w:pPr>
    </w:p>
    <w:p w14:paraId="606305EC">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16.1.10.2 induzir deliberadamente a erro no julgamento; </w:t>
      </w:r>
    </w:p>
    <w:p w14:paraId="51E70C05">
      <w:pPr>
        <w:pStyle w:val="119"/>
        <w:spacing w:before="288" w:beforeLines="120" w:after="288" w:afterLines="120" w:line="288" w:lineRule="auto"/>
        <w:ind w:left="0"/>
        <w:contextualSpacing/>
        <w:rPr>
          <w:rFonts w:ascii="Times New Roman" w:hAnsi="Times New Roman" w:cs="Times New Roman"/>
          <w:sz w:val="24"/>
          <w:szCs w:val="24"/>
        </w:rPr>
      </w:pPr>
    </w:p>
    <w:p w14:paraId="27C4FB21">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16.1.10.3 apresentar amostra falsificada ou deteriorada; </w:t>
      </w:r>
    </w:p>
    <w:p w14:paraId="4AE2D643">
      <w:pPr>
        <w:pStyle w:val="119"/>
        <w:spacing w:before="288" w:beforeLines="120" w:after="288" w:afterLines="120" w:line="288" w:lineRule="auto"/>
        <w:ind w:left="0"/>
        <w:contextualSpacing/>
        <w:rPr>
          <w:rFonts w:ascii="Times New Roman" w:hAnsi="Times New Roman" w:cs="Times New Roman"/>
          <w:sz w:val="24"/>
          <w:szCs w:val="24"/>
        </w:rPr>
      </w:pPr>
    </w:p>
    <w:p w14:paraId="7B42A7CC">
      <w:pPr>
        <w:pStyle w:val="119"/>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16.1.10.4 apresentar declaração falsa quanto às condições de participação ou quanto ao enquadramento como ME/EPP; </w:t>
      </w:r>
    </w:p>
    <w:p w14:paraId="472C26AF">
      <w:pPr>
        <w:spacing w:line="288" w:lineRule="auto"/>
        <w:contextualSpacing/>
        <w:jc w:val="both"/>
        <w:rPr>
          <w:color w:val="000000"/>
          <w:sz w:val="24"/>
          <w:szCs w:val="24"/>
        </w:rPr>
      </w:pPr>
      <w:r>
        <w:rPr>
          <w:sz w:val="24"/>
          <w:szCs w:val="24"/>
        </w:rPr>
        <w:t>16</w:t>
      </w:r>
      <w:r>
        <w:rPr>
          <w:color w:val="000000"/>
          <w:sz w:val="24"/>
          <w:szCs w:val="24"/>
        </w:rPr>
        <w:t>.1.11 praticar atos ilícitos com vistas a frustrar os objetivos do certame;</w:t>
      </w:r>
    </w:p>
    <w:p w14:paraId="03D4DEDF">
      <w:pPr>
        <w:spacing w:line="288" w:lineRule="auto"/>
        <w:contextualSpacing/>
        <w:jc w:val="both"/>
        <w:rPr>
          <w:color w:val="000000"/>
          <w:sz w:val="24"/>
          <w:szCs w:val="24"/>
        </w:rPr>
      </w:pPr>
    </w:p>
    <w:p w14:paraId="1876B594">
      <w:pPr>
        <w:spacing w:line="288" w:lineRule="auto"/>
        <w:contextualSpacing/>
        <w:jc w:val="both"/>
        <w:rPr>
          <w:rStyle w:val="16"/>
          <w:rFonts w:eastAsiaTheme="minorHAnsi"/>
          <w:color w:val="000000"/>
          <w:sz w:val="24"/>
          <w:szCs w:val="24"/>
        </w:rPr>
      </w:pPr>
      <w:r>
        <w:rPr>
          <w:sz w:val="24"/>
          <w:szCs w:val="24"/>
        </w:rPr>
        <w:t>16</w:t>
      </w:r>
      <w:r>
        <w:rPr>
          <w:color w:val="000000"/>
          <w:sz w:val="24"/>
          <w:szCs w:val="24"/>
        </w:rPr>
        <w:t>.1.12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1D20BAD2">
      <w:pPr>
        <w:spacing w:line="288" w:lineRule="auto"/>
        <w:contextualSpacing/>
        <w:jc w:val="both"/>
        <w:rPr>
          <w:sz w:val="24"/>
          <w:szCs w:val="24"/>
        </w:rPr>
      </w:pPr>
    </w:p>
    <w:p w14:paraId="0BABCBC8">
      <w:pPr>
        <w:spacing w:line="288" w:lineRule="auto"/>
        <w:contextualSpacing/>
        <w:jc w:val="both"/>
        <w:rPr>
          <w:sz w:val="24"/>
          <w:szCs w:val="24"/>
        </w:rPr>
      </w:pPr>
      <w:r>
        <w:rPr>
          <w:sz w:val="24"/>
          <w:szCs w:val="24"/>
        </w:rPr>
        <w:t xml:space="preserve">16.2 O licitante ou </w:t>
      </w:r>
      <w:r>
        <w:rPr>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58B561B1">
      <w:pPr>
        <w:spacing w:line="288" w:lineRule="auto"/>
        <w:contextualSpacing/>
        <w:jc w:val="both"/>
        <w:rPr>
          <w:sz w:val="24"/>
          <w:szCs w:val="24"/>
        </w:rPr>
      </w:pPr>
    </w:p>
    <w:p w14:paraId="41719952">
      <w:pPr>
        <w:spacing w:line="288" w:lineRule="auto"/>
        <w:contextualSpacing/>
        <w:jc w:val="both"/>
        <w:rPr>
          <w:sz w:val="24"/>
          <w:szCs w:val="24"/>
        </w:rPr>
      </w:pPr>
      <w:r>
        <w:rPr>
          <w:sz w:val="24"/>
          <w:szCs w:val="24"/>
        </w:rPr>
        <w:t>16.2.1 Advertência, prevista no art. 156, I, § 2º, da Lei nº 14.133/2021, pela infração descrita no item 20.1.1, de menor potencial ofensivo, quando não se justificar a imposição de penalidade mais grave.</w:t>
      </w:r>
    </w:p>
    <w:p w14:paraId="3E13A659">
      <w:pPr>
        <w:spacing w:line="288" w:lineRule="auto"/>
        <w:contextualSpacing/>
        <w:jc w:val="both"/>
        <w:rPr>
          <w:sz w:val="24"/>
          <w:szCs w:val="24"/>
        </w:rPr>
      </w:pPr>
    </w:p>
    <w:p w14:paraId="12E169B8">
      <w:pPr>
        <w:spacing w:line="288" w:lineRule="auto"/>
        <w:contextualSpacing/>
        <w:jc w:val="both"/>
        <w:rPr>
          <w:sz w:val="24"/>
          <w:szCs w:val="24"/>
        </w:rPr>
      </w:pPr>
      <w:r>
        <w:rPr>
          <w:sz w:val="24"/>
          <w:szCs w:val="24"/>
        </w:rPr>
        <w:t xml:space="preserve">16.2.2 Multa administrativa, prevista no art. 156, II, § 3º, da Lei nº 14.133/2021, pela infração dos subitens 20.1.1 a 20.1.12,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6CA172F6">
      <w:pPr>
        <w:spacing w:line="288" w:lineRule="auto"/>
        <w:contextualSpacing/>
        <w:jc w:val="both"/>
        <w:rPr>
          <w:sz w:val="24"/>
          <w:szCs w:val="24"/>
        </w:rPr>
      </w:pPr>
      <w:r>
        <w:rPr>
          <w:sz w:val="24"/>
          <w:szCs w:val="24"/>
        </w:rPr>
        <w:t xml:space="preserve">a) multa de 0,5% a 1,5%, nos casos da infração prevista no subitem </w:t>
      </w:r>
      <w:r>
        <w:rPr>
          <w:color w:val="000000"/>
          <w:sz w:val="24"/>
          <w:szCs w:val="24"/>
        </w:rPr>
        <w:t>16</w:t>
      </w:r>
      <w:r>
        <w:rPr>
          <w:sz w:val="24"/>
          <w:szCs w:val="24"/>
        </w:rPr>
        <w:t xml:space="preserve">.1.1, incidente sobre o valor anual do Contrato; </w:t>
      </w:r>
    </w:p>
    <w:p w14:paraId="08C42D46">
      <w:pPr>
        <w:spacing w:line="288" w:lineRule="auto"/>
        <w:contextualSpacing/>
        <w:jc w:val="both"/>
        <w:rPr>
          <w:sz w:val="24"/>
          <w:szCs w:val="24"/>
        </w:rPr>
      </w:pPr>
      <w:r>
        <w:rPr>
          <w:sz w:val="24"/>
          <w:szCs w:val="24"/>
        </w:rPr>
        <w:t>b) multa de 0,5% a 15%, nos casos das infrações previstas nos subitens 16.1.2 a 16.1.7, incidente sobre o valor anual do Contrato;</w:t>
      </w:r>
    </w:p>
    <w:p w14:paraId="69098B1A">
      <w:pPr>
        <w:spacing w:line="288" w:lineRule="auto"/>
        <w:contextualSpacing/>
        <w:jc w:val="both"/>
        <w:rPr>
          <w:sz w:val="24"/>
          <w:szCs w:val="24"/>
        </w:rPr>
      </w:pPr>
      <w:r>
        <w:rPr>
          <w:sz w:val="24"/>
          <w:szCs w:val="24"/>
        </w:rPr>
        <w:t>c) multa de 5% a 30%, nos casos das infrações previstas nos subitens 16.1.8 a 16.1.12, incidente sobre o valor anual do Contrato;</w:t>
      </w:r>
    </w:p>
    <w:p w14:paraId="2E2A58E3">
      <w:pPr>
        <w:pStyle w:val="24"/>
        <w:spacing w:before="225" w:line="288" w:lineRule="auto"/>
        <w:contextualSpacing/>
        <w:jc w:val="both"/>
        <w:rPr>
          <w:color w:val="000000"/>
        </w:rPr>
      </w:pPr>
      <w:r>
        <w:t>16.2.2.1 Na hipótese de a infração ser cometida antes da celebração do Contrato, a base de cálculo da multa do item 16.2.2 será o valor anual estimado da contratação.</w:t>
      </w:r>
    </w:p>
    <w:p w14:paraId="29A0BA48">
      <w:pPr>
        <w:spacing w:line="288" w:lineRule="auto"/>
        <w:contextualSpacing/>
        <w:jc w:val="both"/>
        <w:rPr>
          <w:sz w:val="24"/>
          <w:szCs w:val="24"/>
        </w:rPr>
      </w:pPr>
      <w:r>
        <w:rPr>
          <w:sz w:val="24"/>
          <w:szCs w:val="24"/>
        </w:rPr>
        <w:t>16.2.2.2 Em caso de reincidência, o valor total das multas administrativas aplicadas não poderá exceder o limite de 30% (trinta por cento) sobre o valor total do Contrato.</w:t>
      </w:r>
    </w:p>
    <w:p w14:paraId="16173061">
      <w:pPr>
        <w:spacing w:line="288" w:lineRule="auto"/>
        <w:contextualSpacing/>
        <w:jc w:val="both"/>
        <w:rPr>
          <w:sz w:val="24"/>
          <w:szCs w:val="24"/>
        </w:rPr>
      </w:pPr>
    </w:p>
    <w:p w14:paraId="12A7B303">
      <w:pPr>
        <w:spacing w:line="288" w:lineRule="auto"/>
        <w:contextualSpacing/>
        <w:jc w:val="both"/>
        <w:rPr>
          <w:sz w:val="24"/>
          <w:szCs w:val="24"/>
        </w:rPr>
      </w:pPr>
      <w:r>
        <w:rPr>
          <w:sz w:val="24"/>
          <w:szCs w:val="24"/>
        </w:rPr>
        <w:t xml:space="preserve">16.2.2.3 Se a multa aplicada e as indenizações cabíveis forem superiores ao valor de pagamento eventualmente devido pela Administração ao </w:t>
      </w:r>
      <w:r>
        <w:rPr>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16.13.</w:t>
      </w:r>
    </w:p>
    <w:p w14:paraId="468B2F4A">
      <w:pPr>
        <w:spacing w:line="288" w:lineRule="auto"/>
        <w:contextualSpacing/>
        <w:jc w:val="both"/>
        <w:rPr>
          <w:sz w:val="24"/>
          <w:szCs w:val="24"/>
        </w:rPr>
      </w:pPr>
    </w:p>
    <w:p w14:paraId="64A2025F">
      <w:pPr>
        <w:spacing w:line="288" w:lineRule="auto"/>
        <w:contextualSpacing/>
        <w:jc w:val="both"/>
        <w:rPr>
          <w:sz w:val="24"/>
          <w:szCs w:val="24"/>
        </w:rPr>
      </w:pPr>
      <w:r>
        <w:rPr>
          <w:sz w:val="24"/>
          <w:szCs w:val="24"/>
        </w:rPr>
        <w:t>16.2.2.4 A penalidade de multa pode ser aplicada cumulativamente com as demais sanções, na forma do art. 156, § 7º, da Lei nº 14.133/2021.</w:t>
      </w:r>
    </w:p>
    <w:p w14:paraId="3641E435">
      <w:pPr>
        <w:spacing w:line="288" w:lineRule="auto"/>
        <w:contextualSpacing/>
        <w:jc w:val="both"/>
        <w:rPr>
          <w:sz w:val="24"/>
          <w:szCs w:val="24"/>
        </w:rPr>
      </w:pPr>
    </w:p>
    <w:p w14:paraId="18DC9C19">
      <w:pPr>
        <w:spacing w:line="288" w:lineRule="auto"/>
        <w:contextualSpacing/>
        <w:jc w:val="both"/>
        <w:rPr>
          <w:color w:val="000000"/>
          <w:sz w:val="24"/>
          <w:szCs w:val="24"/>
        </w:rPr>
      </w:pPr>
      <w:r>
        <w:rPr>
          <w:sz w:val="24"/>
          <w:szCs w:val="24"/>
        </w:rPr>
        <w:t>16</w:t>
      </w:r>
      <w:r>
        <w:rPr>
          <w:color w:val="000000"/>
          <w:sz w:val="24"/>
          <w:szCs w:val="24"/>
        </w:rPr>
        <w:t xml:space="preserve">.2.3 Impedimento de licitar e contratar, prevista no </w:t>
      </w:r>
      <w:r>
        <w:rPr>
          <w:sz w:val="24"/>
          <w:szCs w:val="24"/>
        </w:rPr>
        <w:t xml:space="preserve">art. 156, III, § 4º, da Lei nº 14.133/2021, </w:t>
      </w:r>
      <w:r>
        <w:rPr>
          <w:color w:val="000000"/>
          <w:sz w:val="24"/>
          <w:szCs w:val="24"/>
        </w:rPr>
        <w:t xml:space="preserve">nos casos relacionados nos subitens </w:t>
      </w:r>
      <w:r>
        <w:rPr>
          <w:sz w:val="24"/>
          <w:szCs w:val="24"/>
        </w:rPr>
        <w:t>16</w:t>
      </w:r>
      <w:r>
        <w:rPr>
          <w:color w:val="000000"/>
          <w:sz w:val="24"/>
          <w:szCs w:val="24"/>
        </w:rPr>
        <w:t>.1.2 a 16.1.7, quando não se justificar a imposição de penalidade mais grave, e impedirá o responsável de licitar ou contratar no âmbito da Administração Pública direta e indireta do Estado, pelo prazo máximo de 3 (três) anos;</w:t>
      </w:r>
    </w:p>
    <w:p w14:paraId="625D3290">
      <w:pPr>
        <w:spacing w:line="288" w:lineRule="auto"/>
        <w:contextualSpacing/>
        <w:jc w:val="both"/>
        <w:rPr>
          <w:rFonts w:eastAsia="Arial"/>
          <w:color w:val="000000"/>
          <w:sz w:val="24"/>
          <w:szCs w:val="24"/>
        </w:rPr>
      </w:pPr>
    </w:p>
    <w:p w14:paraId="2C69A318">
      <w:pPr>
        <w:spacing w:line="288" w:lineRule="auto"/>
        <w:contextualSpacing/>
        <w:jc w:val="both"/>
        <w:rPr>
          <w:sz w:val="24"/>
          <w:szCs w:val="24"/>
        </w:rPr>
      </w:pPr>
      <w:r>
        <w:rPr>
          <w:sz w:val="24"/>
          <w:szCs w:val="24"/>
        </w:rPr>
        <w:t>16</w:t>
      </w:r>
      <w:r>
        <w:rPr>
          <w:color w:val="000000"/>
          <w:sz w:val="24"/>
          <w:szCs w:val="24"/>
        </w:rPr>
        <w:t>.2.4 Declaração de inidoneidade para licitar ou contratar, prevista no a</w:t>
      </w:r>
      <w:r>
        <w:rPr>
          <w:rStyle w:val="117"/>
          <w:sz w:val="24"/>
          <w:szCs w:val="24"/>
        </w:rPr>
        <w:t xml:space="preserve">rt. 156, IV, § 5º, da Lei nº 14.133/2021, </w:t>
      </w:r>
      <w:r>
        <w:rPr>
          <w:color w:val="000000"/>
          <w:sz w:val="24"/>
          <w:szCs w:val="24"/>
        </w:rPr>
        <w:t>nos casos relacionados nos subitens 16.1.8 a 16.1.12,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6BA28EF5">
      <w:pPr>
        <w:spacing w:line="288" w:lineRule="auto"/>
        <w:contextualSpacing/>
        <w:jc w:val="both"/>
        <w:rPr>
          <w:sz w:val="24"/>
          <w:szCs w:val="24"/>
        </w:rPr>
      </w:pPr>
    </w:p>
    <w:p w14:paraId="56533288">
      <w:pPr>
        <w:spacing w:line="288" w:lineRule="auto"/>
        <w:contextualSpacing/>
        <w:jc w:val="both"/>
        <w:rPr>
          <w:sz w:val="24"/>
          <w:szCs w:val="24"/>
        </w:rPr>
      </w:pPr>
      <w:r>
        <w:rPr>
          <w:sz w:val="24"/>
          <w:szCs w:val="24"/>
        </w:rPr>
        <w:t>16.3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0C66A0A">
      <w:pPr>
        <w:spacing w:line="288" w:lineRule="auto"/>
        <w:contextualSpacing/>
        <w:jc w:val="both"/>
        <w:rPr>
          <w:sz w:val="24"/>
          <w:szCs w:val="24"/>
        </w:rPr>
      </w:pPr>
    </w:p>
    <w:p w14:paraId="66DEEB48">
      <w:pPr>
        <w:spacing w:line="288" w:lineRule="auto"/>
        <w:contextualSpacing/>
        <w:jc w:val="both"/>
        <w:rPr>
          <w:sz w:val="24"/>
          <w:szCs w:val="24"/>
        </w:rPr>
      </w:pPr>
      <w:r>
        <w:rPr>
          <w:sz w:val="24"/>
          <w:szCs w:val="24"/>
        </w:rPr>
        <w:t>16.3.1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10F50758">
      <w:pPr>
        <w:spacing w:line="288" w:lineRule="auto"/>
        <w:contextualSpacing/>
        <w:jc w:val="both"/>
        <w:rPr>
          <w:sz w:val="24"/>
          <w:szCs w:val="24"/>
        </w:rPr>
      </w:pPr>
    </w:p>
    <w:p w14:paraId="23277ACF">
      <w:pPr>
        <w:spacing w:line="288" w:lineRule="auto"/>
        <w:contextualSpacing/>
        <w:jc w:val="both"/>
        <w:rPr>
          <w:sz w:val="24"/>
          <w:szCs w:val="24"/>
        </w:rPr>
      </w:pPr>
      <w:r>
        <w:rPr>
          <w:sz w:val="24"/>
          <w:szCs w:val="24"/>
        </w:rPr>
        <w:t>16.3.2 O atraso superior a 25 (vinte e cinco) dias no cumprimento da obrigação prevista no item 16.3.1 autoriza a Administração a promover a rescisão contratual por descumprimento ou cumprimento irregular de suas cláusulas.</w:t>
      </w:r>
    </w:p>
    <w:p w14:paraId="3C9F27BF">
      <w:pPr>
        <w:spacing w:line="288" w:lineRule="auto"/>
        <w:contextualSpacing/>
        <w:jc w:val="both"/>
        <w:rPr>
          <w:sz w:val="24"/>
          <w:szCs w:val="24"/>
        </w:rPr>
      </w:pPr>
    </w:p>
    <w:p w14:paraId="40C4AE57">
      <w:pPr>
        <w:spacing w:line="288" w:lineRule="auto"/>
        <w:contextualSpacing/>
        <w:jc w:val="both"/>
        <w:rPr>
          <w:sz w:val="24"/>
          <w:szCs w:val="24"/>
        </w:rPr>
      </w:pPr>
      <w:r>
        <w:rPr>
          <w:sz w:val="24"/>
          <w:szCs w:val="24"/>
        </w:rPr>
        <w:t>16.3.3 A aplicação de multa de mora não impedirá que a Administração a converta em compensatória e promova a extinção unilateral do Contrato com a aplicação cumulada de outras sanções previstas no Contrato.</w:t>
      </w:r>
    </w:p>
    <w:p w14:paraId="54612548">
      <w:pPr>
        <w:spacing w:line="288" w:lineRule="auto"/>
        <w:contextualSpacing/>
        <w:jc w:val="both"/>
        <w:rPr>
          <w:sz w:val="24"/>
          <w:szCs w:val="24"/>
        </w:rPr>
      </w:pPr>
    </w:p>
    <w:p w14:paraId="2DE027A7">
      <w:pPr>
        <w:spacing w:line="288" w:lineRule="auto"/>
        <w:contextualSpacing/>
        <w:jc w:val="both"/>
        <w:rPr>
          <w:sz w:val="24"/>
          <w:szCs w:val="24"/>
        </w:rPr>
      </w:pPr>
      <w:r>
        <w:rPr>
          <w:sz w:val="24"/>
          <w:szCs w:val="24"/>
        </w:rPr>
        <w:t>16.4 No caso de inexecução total ou parcial do objeto, que acarrete a rescisão do Contrato, será automaticamente devida multa compensatória no valor de 5(cinco)</w:t>
      </w:r>
      <w:r>
        <w:rPr>
          <w:color w:val="FF0000"/>
          <w:sz w:val="24"/>
          <w:szCs w:val="24"/>
        </w:rPr>
        <w:t xml:space="preserve"> </w:t>
      </w:r>
      <w:r>
        <w:rPr>
          <w:sz w:val="24"/>
          <w:szCs w:val="24"/>
        </w:rPr>
        <w:t>% do valor do Contrato.</w:t>
      </w:r>
    </w:p>
    <w:p w14:paraId="0B5E0C1C">
      <w:pPr>
        <w:spacing w:line="288" w:lineRule="auto"/>
        <w:contextualSpacing/>
        <w:jc w:val="both"/>
        <w:rPr>
          <w:b/>
          <w:bCs/>
          <w:color w:val="FF0000"/>
          <w:sz w:val="24"/>
          <w:szCs w:val="24"/>
        </w:rPr>
      </w:pPr>
    </w:p>
    <w:p w14:paraId="32034ADD">
      <w:pPr>
        <w:spacing w:line="288" w:lineRule="auto"/>
        <w:contextualSpacing/>
        <w:jc w:val="both"/>
        <w:rPr>
          <w:sz w:val="24"/>
          <w:szCs w:val="24"/>
        </w:rPr>
      </w:pPr>
      <w:r>
        <w:rPr>
          <w:sz w:val="24"/>
          <w:szCs w:val="24"/>
        </w:rPr>
        <w:t>16.4.1 A multa compensatória, isoladamente aplicada ou quando somada ao valor da multa moratória convertida, não poderá exceder o limite previsto no art. 412 do Código Civil, ou seja, o valor da obrigação principal.</w:t>
      </w:r>
    </w:p>
    <w:p w14:paraId="435BDF12">
      <w:pPr>
        <w:spacing w:line="288" w:lineRule="auto"/>
        <w:contextualSpacing/>
        <w:jc w:val="both"/>
        <w:rPr>
          <w:sz w:val="24"/>
          <w:szCs w:val="24"/>
        </w:rPr>
      </w:pPr>
    </w:p>
    <w:p w14:paraId="368986C3">
      <w:pPr>
        <w:spacing w:line="288" w:lineRule="auto"/>
        <w:contextualSpacing/>
        <w:jc w:val="both"/>
        <w:rPr>
          <w:sz w:val="24"/>
          <w:szCs w:val="24"/>
        </w:rPr>
      </w:pPr>
      <w:r>
        <w:rPr>
          <w:sz w:val="24"/>
          <w:szCs w:val="24"/>
        </w:rPr>
        <w:t xml:space="preserve">16.5 Na aplicação das sanções serão considerados os seguintes requisitos, previstos no art. </w:t>
      </w:r>
      <w:r>
        <w:rPr>
          <w:rStyle w:val="117"/>
          <w:sz w:val="24"/>
          <w:szCs w:val="24"/>
        </w:rPr>
        <w:t>156, § 1º, incisos I a V, da Lei nº 14.133/2021</w:t>
      </w:r>
      <w:r>
        <w:rPr>
          <w:sz w:val="24"/>
          <w:szCs w:val="24"/>
        </w:rPr>
        <w:t>:</w:t>
      </w:r>
    </w:p>
    <w:p w14:paraId="5503BCC8">
      <w:pPr>
        <w:spacing w:line="288" w:lineRule="auto"/>
        <w:contextualSpacing/>
        <w:jc w:val="both"/>
        <w:rPr>
          <w:sz w:val="24"/>
          <w:szCs w:val="24"/>
        </w:rPr>
      </w:pPr>
      <w:r>
        <w:rPr>
          <w:sz w:val="24"/>
          <w:szCs w:val="24"/>
        </w:rPr>
        <w:t>16.5.1 a natureza e a gravidade da infração cometida;</w:t>
      </w:r>
    </w:p>
    <w:p w14:paraId="0B6E2B9C">
      <w:pPr>
        <w:spacing w:line="288" w:lineRule="auto"/>
        <w:contextualSpacing/>
        <w:jc w:val="both"/>
        <w:rPr>
          <w:sz w:val="24"/>
          <w:szCs w:val="24"/>
        </w:rPr>
      </w:pPr>
      <w:r>
        <w:rPr>
          <w:sz w:val="24"/>
          <w:szCs w:val="24"/>
        </w:rPr>
        <w:t>16.5.2 as peculiaridades do caso concreto;</w:t>
      </w:r>
    </w:p>
    <w:p w14:paraId="1C8BC92E">
      <w:pPr>
        <w:spacing w:line="288" w:lineRule="auto"/>
        <w:contextualSpacing/>
        <w:jc w:val="both"/>
        <w:rPr>
          <w:sz w:val="24"/>
          <w:szCs w:val="24"/>
        </w:rPr>
      </w:pPr>
      <w:r>
        <w:rPr>
          <w:sz w:val="24"/>
          <w:szCs w:val="24"/>
        </w:rPr>
        <w:t>16.5.3 as circunstâncias agravantes ou atenuantes;</w:t>
      </w:r>
    </w:p>
    <w:p w14:paraId="39B1A475">
      <w:pPr>
        <w:spacing w:line="288" w:lineRule="auto"/>
        <w:contextualSpacing/>
        <w:jc w:val="both"/>
        <w:rPr>
          <w:sz w:val="24"/>
          <w:szCs w:val="24"/>
        </w:rPr>
      </w:pPr>
      <w:r>
        <w:rPr>
          <w:sz w:val="24"/>
          <w:szCs w:val="24"/>
        </w:rPr>
        <w:t>16.5.4 os danos que dela provierem para a Administração Pública;</w:t>
      </w:r>
    </w:p>
    <w:p w14:paraId="6EFEDF90">
      <w:pPr>
        <w:spacing w:line="288" w:lineRule="auto"/>
        <w:contextualSpacing/>
        <w:jc w:val="both"/>
        <w:rPr>
          <w:sz w:val="24"/>
          <w:szCs w:val="24"/>
        </w:rPr>
      </w:pPr>
      <w:r>
        <w:rPr>
          <w:sz w:val="24"/>
          <w:szCs w:val="24"/>
        </w:rPr>
        <w:t>16.5.5 a implantação ou o aperfeiçoamento de programa de integridade, conforme normas e orientações dos órgãos de controle.</w:t>
      </w:r>
    </w:p>
    <w:p w14:paraId="42D386F5">
      <w:pPr>
        <w:spacing w:line="288" w:lineRule="auto"/>
        <w:contextualSpacing/>
        <w:jc w:val="both"/>
        <w:rPr>
          <w:sz w:val="24"/>
          <w:szCs w:val="24"/>
        </w:rPr>
      </w:pPr>
    </w:p>
    <w:p w14:paraId="47ED315B">
      <w:pPr>
        <w:spacing w:line="288" w:lineRule="auto"/>
        <w:contextualSpacing/>
        <w:jc w:val="both"/>
        <w:rPr>
          <w:sz w:val="24"/>
          <w:szCs w:val="24"/>
        </w:rPr>
      </w:pPr>
      <w:r>
        <w:rPr>
          <w:sz w:val="24"/>
          <w:szCs w:val="24"/>
        </w:rPr>
        <w:t xml:space="preserve">16.6 A imposição das penalidades é de competência exclusiva do órgão ou entidade contratante, sendo competentes para sua aplicação: </w:t>
      </w:r>
    </w:p>
    <w:p w14:paraId="718B4D6B">
      <w:pPr>
        <w:spacing w:line="288" w:lineRule="auto"/>
        <w:contextualSpacing/>
        <w:jc w:val="both"/>
        <w:rPr>
          <w:sz w:val="24"/>
          <w:szCs w:val="24"/>
        </w:rPr>
      </w:pPr>
      <w:r>
        <w:rPr>
          <w:sz w:val="24"/>
          <w:szCs w:val="24"/>
        </w:rPr>
        <w:t>a) as sanções previstas nos itens 16.2.1, 16.2.2 e 16.2.3 serão impostas pelo Ordenador de Despesa;</w:t>
      </w:r>
    </w:p>
    <w:p w14:paraId="0825E827">
      <w:pPr>
        <w:spacing w:line="288" w:lineRule="auto"/>
        <w:contextualSpacing/>
        <w:jc w:val="both"/>
        <w:rPr>
          <w:sz w:val="24"/>
          <w:szCs w:val="24"/>
        </w:rPr>
      </w:pPr>
      <w:r>
        <w:rPr>
          <w:sz w:val="24"/>
          <w:szCs w:val="24"/>
        </w:rPr>
        <w:t xml:space="preserve">b) a aplicação da sanção prevista no item 16.2.4, na forma do art. </w:t>
      </w:r>
      <w:r>
        <w:rPr>
          <w:rStyle w:val="117"/>
          <w:sz w:val="24"/>
          <w:szCs w:val="24"/>
        </w:rPr>
        <w:t>156, § 6º, I, da Lei nº 14.133/2021,</w:t>
      </w:r>
      <w:r>
        <w:rPr>
          <w:sz w:val="24"/>
          <w:szCs w:val="24"/>
        </w:rPr>
        <w:t xml:space="preserve"> é de competência exclusiva:</w:t>
      </w:r>
    </w:p>
    <w:p w14:paraId="3147D166">
      <w:pPr>
        <w:spacing w:line="288" w:lineRule="auto"/>
        <w:contextualSpacing/>
        <w:jc w:val="both"/>
        <w:rPr>
          <w:sz w:val="24"/>
          <w:szCs w:val="24"/>
        </w:rPr>
      </w:pPr>
      <w:r>
        <w:rPr>
          <w:sz w:val="24"/>
          <w:szCs w:val="24"/>
        </w:rPr>
        <w:t>b.1) em se tratando de contratação realizada pela Administração Pública direta, do Secretário de Município; ou</w:t>
      </w:r>
    </w:p>
    <w:p w14:paraId="2B38F67F">
      <w:pPr>
        <w:spacing w:line="288" w:lineRule="auto"/>
        <w:contextualSpacing/>
        <w:jc w:val="both"/>
        <w:rPr>
          <w:sz w:val="24"/>
          <w:szCs w:val="24"/>
        </w:rPr>
      </w:pPr>
      <w:r>
        <w:rPr>
          <w:sz w:val="24"/>
          <w:szCs w:val="24"/>
        </w:rPr>
        <w:t>b.2) em se tratando de contratação realizada pela Administração Pública Indireta (fundação e autarquia), da autoridade máxima da entidade.</w:t>
      </w:r>
    </w:p>
    <w:p w14:paraId="435521B4">
      <w:pPr>
        <w:spacing w:line="288" w:lineRule="auto"/>
        <w:contextualSpacing/>
        <w:jc w:val="both"/>
        <w:rPr>
          <w:sz w:val="24"/>
          <w:szCs w:val="24"/>
        </w:rPr>
      </w:pPr>
    </w:p>
    <w:p w14:paraId="33FADFBE">
      <w:pPr>
        <w:spacing w:line="288" w:lineRule="auto"/>
        <w:contextualSpacing/>
        <w:jc w:val="both"/>
        <w:rPr>
          <w:sz w:val="24"/>
          <w:szCs w:val="24"/>
        </w:rPr>
      </w:pPr>
      <w:r>
        <w:rPr>
          <w:sz w:val="24"/>
          <w:szCs w:val="24"/>
        </w:rPr>
        <w:t>16.7 A aplicação de quaisquer das penalidades administrativas realizar-se-á em processo administrativo que assegurará o contraditório e a ampla defesa ao licitante ou contratado, devendo ser observado o procedimento previsto na Lei nº 14.133/2021.</w:t>
      </w:r>
    </w:p>
    <w:p w14:paraId="3A663E56">
      <w:pPr>
        <w:spacing w:line="288" w:lineRule="auto"/>
        <w:contextualSpacing/>
        <w:jc w:val="both"/>
        <w:rPr>
          <w:sz w:val="24"/>
          <w:szCs w:val="24"/>
        </w:rPr>
      </w:pPr>
    </w:p>
    <w:p w14:paraId="7F723990">
      <w:pPr>
        <w:spacing w:line="288" w:lineRule="auto"/>
        <w:contextualSpacing/>
        <w:jc w:val="both"/>
        <w:rPr>
          <w:sz w:val="24"/>
          <w:szCs w:val="24"/>
        </w:rPr>
      </w:pPr>
      <w:r>
        <w:rPr>
          <w:sz w:val="24"/>
          <w:szCs w:val="24"/>
        </w:rPr>
        <w:t>16.7.1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5C173EB9">
      <w:pPr>
        <w:spacing w:line="288" w:lineRule="auto"/>
        <w:contextualSpacing/>
        <w:jc w:val="both"/>
        <w:rPr>
          <w:sz w:val="24"/>
          <w:szCs w:val="24"/>
        </w:rPr>
      </w:pPr>
    </w:p>
    <w:p w14:paraId="02CE3154">
      <w:pPr>
        <w:spacing w:line="288" w:lineRule="auto"/>
        <w:contextualSpacing/>
        <w:jc w:val="both"/>
        <w:rPr>
          <w:sz w:val="24"/>
          <w:szCs w:val="24"/>
        </w:rPr>
      </w:pPr>
      <w:r>
        <w:rPr>
          <w:sz w:val="24"/>
          <w:szCs w:val="24"/>
        </w:rPr>
        <w:t>16.7.2 A defesa prévia do licitante ou contratado será exercida no prazo de:</w:t>
      </w:r>
    </w:p>
    <w:p w14:paraId="3B470921">
      <w:pPr>
        <w:spacing w:line="288" w:lineRule="auto"/>
        <w:contextualSpacing/>
        <w:jc w:val="both"/>
        <w:rPr>
          <w:sz w:val="24"/>
          <w:szCs w:val="24"/>
        </w:rPr>
      </w:pPr>
      <w:r>
        <w:rPr>
          <w:sz w:val="24"/>
          <w:szCs w:val="24"/>
        </w:rPr>
        <w:t>a) 15 (quinze) dias úteis, no caso da aplicação das sanções previstas nos itens 16.2.1 e 16.2.2, contado da data da intimação;</w:t>
      </w:r>
    </w:p>
    <w:p w14:paraId="2F3617E0">
      <w:pPr>
        <w:spacing w:line="288" w:lineRule="auto"/>
        <w:contextualSpacing/>
        <w:jc w:val="both"/>
        <w:rPr>
          <w:color w:val="000000"/>
          <w:sz w:val="24"/>
          <w:szCs w:val="24"/>
        </w:rPr>
      </w:pPr>
      <w:r>
        <w:rPr>
          <w:sz w:val="24"/>
          <w:szCs w:val="24"/>
        </w:rPr>
        <w:t xml:space="preserve">b) 15 (quinze) dias úteis, no caso de aplicação das sanções previstas nos itens 16.2.3 e 16.2.4, </w:t>
      </w:r>
      <w:r>
        <w:rPr>
          <w:color w:val="000000"/>
          <w:sz w:val="24"/>
          <w:szCs w:val="24"/>
        </w:rPr>
        <w:t>contado da data da intimação, observado o procedimento estabelecido no art. 158 da Lei nº 14.133/2021.</w:t>
      </w:r>
    </w:p>
    <w:p w14:paraId="493EB189">
      <w:pPr>
        <w:pStyle w:val="24"/>
        <w:spacing w:line="288" w:lineRule="auto"/>
        <w:contextualSpacing/>
        <w:jc w:val="both"/>
      </w:pPr>
      <w:r>
        <w:t>16.7.3 Será emitida decisão conclusiva sobre a aplicação ou não da sanção, pela autoridade competente, devendo ser apresentada a devida motivação, com a demonstração dos fatos e dos respectivos fundamentos jurídicos.</w:t>
      </w:r>
    </w:p>
    <w:p w14:paraId="052DA15A">
      <w:pPr>
        <w:spacing w:line="288" w:lineRule="auto"/>
        <w:contextualSpacing/>
        <w:jc w:val="both"/>
        <w:rPr>
          <w:sz w:val="24"/>
          <w:szCs w:val="24"/>
        </w:rPr>
      </w:pPr>
      <w:r>
        <w:rPr>
          <w:sz w:val="24"/>
          <w:szCs w:val="24"/>
        </w:rPr>
        <w:t>16.8 A aplicação das sanções previstas no Edital e no Contrato não exclui, em hipótese alguma:</w:t>
      </w:r>
    </w:p>
    <w:p w14:paraId="42939F3C">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34509AB6">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134C10C3">
      <w:pPr>
        <w:spacing w:line="288" w:lineRule="auto"/>
        <w:contextualSpacing/>
        <w:jc w:val="both"/>
        <w:rPr>
          <w:rFonts w:eastAsia="Arial"/>
          <w:color w:val="000000"/>
          <w:sz w:val="24"/>
          <w:szCs w:val="24"/>
        </w:rPr>
      </w:pPr>
    </w:p>
    <w:p w14:paraId="682BB7BE">
      <w:pPr>
        <w:spacing w:line="288" w:lineRule="auto"/>
        <w:contextualSpacing/>
        <w:jc w:val="both"/>
        <w:rPr>
          <w:rFonts w:eastAsia="Arial"/>
          <w:color w:val="000000"/>
          <w:sz w:val="24"/>
          <w:szCs w:val="24"/>
        </w:rPr>
      </w:pPr>
      <w:r>
        <w:rPr>
          <w:rFonts w:eastAsia="Arial"/>
          <w:color w:val="000000"/>
          <w:sz w:val="24"/>
          <w:szCs w:val="24"/>
        </w:rPr>
        <w:t xml:space="preserve">16.8.1 Aplica-se o disposto na alínea a do item </w:t>
      </w:r>
      <w:r>
        <w:rPr>
          <w:sz w:val="24"/>
          <w:szCs w:val="24"/>
        </w:rPr>
        <w:t>20</w:t>
      </w:r>
      <w:r>
        <w:rPr>
          <w:rFonts w:eastAsia="Arial"/>
          <w:color w:val="000000"/>
          <w:sz w:val="24"/>
          <w:szCs w:val="24"/>
        </w:rPr>
        <w:t xml:space="preserve">.8 à multa compensatória, nos termos do parágrafo único do art. 416 do Código Civil. </w:t>
      </w:r>
    </w:p>
    <w:p w14:paraId="7034E8FC">
      <w:pPr>
        <w:spacing w:line="288" w:lineRule="auto"/>
        <w:contextualSpacing/>
        <w:jc w:val="both"/>
        <w:rPr>
          <w:rFonts w:eastAsia="Arial"/>
          <w:color w:val="000000"/>
          <w:sz w:val="24"/>
          <w:szCs w:val="24"/>
        </w:rPr>
      </w:pPr>
    </w:p>
    <w:p w14:paraId="38DAFA24">
      <w:pPr>
        <w:spacing w:line="288" w:lineRule="auto"/>
        <w:contextualSpacing/>
        <w:jc w:val="both"/>
        <w:rPr>
          <w:rFonts w:eastAsia="Arial"/>
          <w:color w:val="000000"/>
          <w:sz w:val="24"/>
          <w:szCs w:val="24"/>
        </w:rPr>
      </w:pPr>
      <w:r>
        <w:rPr>
          <w:sz w:val="24"/>
          <w:szCs w:val="24"/>
        </w:rPr>
        <w:t>16</w:t>
      </w:r>
      <w:r>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43BB14D0">
      <w:pPr>
        <w:spacing w:line="288" w:lineRule="auto"/>
        <w:contextualSpacing/>
        <w:jc w:val="both"/>
        <w:rPr>
          <w:rFonts w:eastAsia="Arial"/>
          <w:color w:val="000000"/>
          <w:sz w:val="24"/>
          <w:szCs w:val="24"/>
        </w:rPr>
      </w:pPr>
    </w:p>
    <w:p w14:paraId="7B1A5251">
      <w:pPr>
        <w:spacing w:line="288" w:lineRule="auto"/>
        <w:contextualSpacing/>
        <w:jc w:val="both"/>
        <w:rPr>
          <w:sz w:val="24"/>
          <w:szCs w:val="24"/>
        </w:rPr>
      </w:pPr>
      <w:r>
        <w:rPr>
          <w:sz w:val="24"/>
          <w:szCs w:val="24"/>
        </w:rPr>
        <w:t xml:space="preserve">16.10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BD4D6B3">
      <w:pPr>
        <w:spacing w:line="288" w:lineRule="auto"/>
        <w:contextualSpacing/>
        <w:jc w:val="both"/>
        <w:rPr>
          <w:sz w:val="24"/>
          <w:szCs w:val="24"/>
        </w:rPr>
      </w:pPr>
    </w:p>
    <w:p w14:paraId="6F3D72CE">
      <w:pPr>
        <w:spacing w:line="288" w:lineRule="auto"/>
        <w:contextualSpacing/>
        <w:jc w:val="both"/>
        <w:rPr>
          <w:sz w:val="24"/>
          <w:szCs w:val="24"/>
        </w:rPr>
      </w:pPr>
      <w:r>
        <w:rPr>
          <w:sz w:val="24"/>
          <w:szCs w:val="24"/>
        </w:rPr>
        <w:t>16.10.1 A apuração e o julgamento das demais infrações administrativas não consideradas como ato lesivo à Administração Pública nacional, nos termos da Lei nº 12.846/2013, seguirão seu rito normal na unidade administrativa.</w:t>
      </w:r>
    </w:p>
    <w:p w14:paraId="236A4A9D">
      <w:pPr>
        <w:spacing w:line="288" w:lineRule="auto"/>
        <w:contextualSpacing/>
        <w:jc w:val="both"/>
        <w:rPr>
          <w:sz w:val="24"/>
          <w:szCs w:val="24"/>
        </w:rPr>
      </w:pPr>
    </w:p>
    <w:p w14:paraId="3FBD3397">
      <w:pPr>
        <w:spacing w:line="288" w:lineRule="auto"/>
        <w:contextualSpacing/>
        <w:jc w:val="both"/>
        <w:rPr>
          <w:sz w:val="24"/>
          <w:szCs w:val="24"/>
        </w:rPr>
      </w:pPr>
      <w:r>
        <w:rPr>
          <w:sz w:val="24"/>
          <w:szCs w:val="24"/>
        </w:rPr>
        <w:t xml:space="preserve">16.10.2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5870F76E">
      <w:pPr>
        <w:spacing w:line="288" w:lineRule="auto"/>
        <w:contextualSpacing/>
        <w:jc w:val="both"/>
        <w:rPr>
          <w:sz w:val="24"/>
          <w:szCs w:val="24"/>
        </w:rPr>
      </w:pPr>
    </w:p>
    <w:p w14:paraId="00D10D0F">
      <w:pPr>
        <w:spacing w:line="288" w:lineRule="auto"/>
        <w:contextualSpacing/>
        <w:jc w:val="both"/>
        <w:rPr>
          <w:sz w:val="24"/>
          <w:szCs w:val="24"/>
        </w:rPr>
      </w:pPr>
      <w:r>
        <w:rPr>
          <w:sz w:val="24"/>
          <w:szCs w:val="24"/>
        </w:rPr>
        <w:t>16.10.2.1 Caso seja possível, a apuração deverá ser promovida em conjunto no PAR.</w:t>
      </w:r>
    </w:p>
    <w:p w14:paraId="6EEEA09C">
      <w:pPr>
        <w:spacing w:line="288" w:lineRule="auto"/>
        <w:contextualSpacing/>
        <w:jc w:val="both"/>
        <w:rPr>
          <w:sz w:val="24"/>
          <w:szCs w:val="24"/>
        </w:rPr>
      </w:pPr>
    </w:p>
    <w:p w14:paraId="5394684C">
      <w:pPr>
        <w:spacing w:line="288" w:lineRule="auto"/>
        <w:contextualSpacing/>
        <w:jc w:val="both"/>
        <w:rPr>
          <w:sz w:val="24"/>
          <w:szCs w:val="24"/>
        </w:rPr>
      </w:pPr>
      <w:r>
        <w:rPr>
          <w:sz w:val="24"/>
          <w:szCs w:val="24"/>
        </w:rPr>
        <w:t>16.11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Comprasnet.</w:t>
      </w:r>
    </w:p>
    <w:p w14:paraId="7F721913">
      <w:pPr>
        <w:spacing w:line="288" w:lineRule="auto"/>
        <w:contextualSpacing/>
        <w:jc w:val="both"/>
        <w:rPr>
          <w:sz w:val="24"/>
          <w:szCs w:val="24"/>
        </w:rPr>
      </w:pPr>
    </w:p>
    <w:p w14:paraId="5738FC91">
      <w:pPr>
        <w:autoSpaceDE w:val="0"/>
        <w:autoSpaceDN w:val="0"/>
        <w:adjustRightInd w:val="0"/>
        <w:spacing w:line="288" w:lineRule="auto"/>
        <w:contextualSpacing/>
        <w:jc w:val="both"/>
        <w:rPr>
          <w:sz w:val="24"/>
          <w:szCs w:val="24"/>
        </w:rPr>
      </w:pPr>
      <w:r>
        <w:rPr>
          <w:sz w:val="24"/>
          <w:szCs w:val="24"/>
        </w:rPr>
        <w:t>16.11.1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403E1A85">
      <w:pPr>
        <w:autoSpaceDE w:val="0"/>
        <w:autoSpaceDN w:val="0"/>
        <w:adjustRightInd w:val="0"/>
        <w:spacing w:line="288" w:lineRule="auto"/>
        <w:contextualSpacing/>
        <w:jc w:val="both"/>
        <w:rPr>
          <w:sz w:val="24"/>
          <w:szCs w:val="24"/>
        </w:rPr>
      </w:pPr>
    </w:p>
    <w:p w14:paraId="298C43F9">
      <w:pPr>
        <w:pStyle w:val="69"/>
        <w:spacing w:line="288" w:lineRule="auto"/>
        <w:contextualSpacing/>
        <w:jc w:val="both"/>
        <w:rPr>
          <w:rFonts w:ascii="Times New Roman" w:hAnsi="Times New Roman" w:cs="Times New Roman"/>
        </w:rPr>
      </w:pPr>
      <w:r>
        <w:rPr>
          <w:rFonts w:ascii="Times New Roman" w:hAnsi="Times New Roman" w:cs="Times New Roman"/>
        </w:rPr>
        <w:t>16.12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05187144">
      <w:pPr>
        <w:pStyle w:val="69"/>
        <w:spacing w:line="288" w:lineRule="auto"/>
        <w:contextualSpacing/>
        <w:jc w:val="both"/>
        <w:rPr>
          <w:rFonts w:ascii="Times New Roman" w:hAnsi="Times New Roman" w:cs="Times New Roman"/>
        </w:rPr>
      </w:pPr>
    </w:p>
    <w:p w14:paraId="15BDEDF6">
      <w:pPr>
        <w:pStyle w:val="69"/>
        <w:spacing w:line="288" w:lineRule="auto"/>
        <w:contextualSpacing/>
        <w:jc w:val="both"/>
        <w:rPr>
          <w:rFonts w:ascii="Times New Roman" w:hAnsi="Times New Roman" w:cs="Times New Roman"/>
        </w:rPr>
      </w:pPr>
      <w:r>
        <w:rPr>
          <w:rFonts w:ascii="Times New Roman" w:hAnsi="Times New Roman" w:cs="Times New Roman"/>
        </w:rPr>
        <w:t>16.12.1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325EA8F2">
      <w:pPr>
        <w:pStyle w:val="69"/>
        <w:spacing w:line="288" w:lineRule="auto"/>
        <w:contextualSpacing/>
        <w:jc w:val="both"/>
        <w:rPr>
          <w:rFonts w:ascii="Times New Roman" w:hAnsi="Times New Roman" w:cs="Times New Roman"/>
        </w:rPr>
      </w:pPr>
    </w:p>
    <w:p w14:paraId="748416B1">
      <w:pPr>
        <w:spacing w:line="288" w:lineRule="auto"/>
        <w:contextualSpacing/>
        <w:jc w:val="both"/>
        <w:rPr>
          <w:sz w:val="24"/>
          <w:szCs w:val="24"/>
        </w:rPr>
      </w:pPr>
      <w:r>
        <w:rPr>
          <w:sz w:val="24"/>
          <w:szCs w:val="24"/>
        </w:rPr>
        <w:t xml:space="preserve">16.13 Caso não seja efetuado o pagamento da multa aplicada ou o valor seja superior ao </w:t>
      </w:r>
      <w:r>
        <w:rPr>
          <w:color w:val="000000"/>
          <w:sz w:val="24"/>
          <w:szCs w:val="24"/>
        </w:rPr>
        <w:t>do pagamento eventualmente devido pela Administração ao contratado e da garantia prestada</w:t>
      </w:r>
      <w:r>
        <w:rPr>
          <w:sz w:val="24"/>
          <w:szCs w:val="24"/>
        </w:rPr>
        <w:t>, deverá ser emitida nota de débito no valor total ou do saldo, no prazo de 30 (trinta) dias após a decisão final quanto à penalidade.</w:t>
      </w:r>
    </w:p>
    <w:p w14:paraId="0A6768C9">
      <w:pPr>
        <w:spacing w:line="288" w:lineRule="auto"/>
        <w:contextualSpacing/>
        <w:jc w:val="both"/>
        <w:rPr>
          <w:sz w:val="24"/>
          <w:szCs w:val="24"/>
        </w:rPr>
      </w:pPr>
    </w:p>
    <w:p w14:paraId="3C2B8A76">
      <w:pPr>
        <w:spacing w:line="288" w:lineRule="auto"/>
        <w:contextualSpacing/>
        <w:jc w:val="both"/>
        <w:rPr>
          <w:sz w:val="24"/>
          <w:szCs w:val="24"/>
        </w:rPr>
      </w:pPr>
      <w:r>
        <w:rPr>
          <w:sz w:val="24"/>
          <w:szCs w:val="24"/>
        </w:rPr>
        <w:t>16.13.1 A nota de débito deverá ser encaminhada à Departamento de Cadastro Controle e Arrecadação para inscrição do débito em dívida ativa e propositura de execução fiscal, na forma do art. 39 da Lei nº 4.320, de 17 de março de 1964.</w:t>
      </w:r>
    </w:p>
    <w:p w14:paraId="6D6BA77B">
      <w:pPr>
        <w:spacing w:line="288" w:lineRule="auto"/>
        <w:contextualSpacing/>
        <w:jc w:val="both"/>
        <w:rPr>
          <w:sz w:val="24"/>
          <w:szCs w:val="24"/>
        </w:rPr>
      </w:pPr>
    </w:p>
    <w:p w14:paraId="560518FC">
      <w:pPr>
        <w:spacing w:line="288" w:lineRule="auto"/>
        <w:contextualSpacing/>
        <w:jc w:val="both"/>
        <w:rPr>
          <w:sz w:val="24"/>
          <w:szCs w:val="24"/>
        </w:rPr>
      </w:pPr>
      <w:r>
        <w:rPr>
          <w:sz w:val="24"/>
          <w:szCs w:val="24"/>
        </w:rPr>
        <w:t xml:space="preserve">16.13.2 O procedimento para inscrição do débito em dívida ativa deverá observar o que dispõe a Lei Complementar nº: 279/2024. </w:t>
      </w:r>
    </w:p>
    <w:p w14:paraId="31117568">
      <w:pPr>
        <w:pStyle w:val="69"/>
        <w:spacing w:line="360" w:lineRule="auto"/>
        <w:jc w:val="both"/>
        <w:rPr>
          <w:rFonts w:ascii="Times New Roman" w:hAnsi="Times New Roman" w:cs="Times New Roman"/>
          <w:color w:val="auto"/>
        </w:rPr>
      </w:pPr>
    </w:p>
    <w:p w14:paraId="05D1EC21">
      <w:pPr>
        <w:pStyle w:val="96"/>
        <w:spacing w:before="0" w:beforeAutospacing="0" w:after="0" w:afterAutospacing="0" w:line="288" w:lineRule="auto"/>
        <w:contextualSpacing/>
        <w:jc w:val="both"/>
        <w:rPr>
          <w:rFonts w:eastAsia="Calibri"/>
          <w:b/>
          <w:bCs/>
          <w:lang w:eastAsia="en-US"/>
        </w:rPr>
      </w:pPr>
      <w:r>
        <w:rPr>
          <w:rFonts w:eastAsia="Calibri"/>
          <w:b/>
          <w:bCs/>
          <w:lang w:eastAsia="en-US"/>
        </w:rPr>
        <w:t>17. DAS DISPOSIÇÕES GERAIS</w:t>
      </w:r>
    </w:p>
    <w:p w14:paraId="615C5D31">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17.1 Será divulgada ata da sessão pública no sistema eletrônico.</w:t>
      </w:r>
    </w:p>
    <w:p w14:paraId="2F700B46">
      <w:pPr>
        <w:pStyle w:val="98"/>
        <w:spacing w:before="288" w:beforeLines="120" w:after="288" w:afterLines="120" w:line="288" w:lineRule="auto"/>
        <w:ind w:left="0" w:firstLine="0"/>
        <w:contextualSpacing/>
        <w:rPr>
          <w:rFonts w:ascii="Times New Roman" w:hAnsi="Times New Roman" w:cs="Times New Roman"/>
          <w:sz w:val="24"/>
          <w:szCs w:val="24"/>
        </w:rPr>
      </w:pPr>
    </w:p>
    <w:p w14:paraId="786D5A89">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6373F5F">
      <w:pPr>
        <w:pStyle w:val="98"/>
        <w:spacing w:before="288" w:beforeLines="120" w:after="288" w:afterLines="120" w:line="288" w:lineRule="auto"/>
        <w:ind w:left="0" w:firstLine="0"/>
        <w:contextualSpacing/>
        <w:rPr>
          <w:rFonts w:ascii="Times New Roman" w:hAnsi="Times New Roman" w:cs="Times New Roman"/>
          <w:sz w:val="24"/>
          <w:szCs w:val="24"/>
        </w:rPr>
      </w:pPr>
    </w:p>
    <w:p w14:paraId="6086CDE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17.3 Todas as referências de tempo no Edital, no aviso e durante a sessão pública observarão o horário de Brasília - DF.</w:t>
      </w:r>
    </w:p>
    <w:p w14:paraId="2E958E61">
      <w:pPr>
        <w:pStyle w:val="98"/>
        <w:spacing w:before="288" w:beforeLines="120" w:after="288" w:afterLines="120" w:line="288" w:lineRule="auto"/>
        <w:ind w:left="0" w:firstLine="0"/>
        <w:contextualSpacing/>
        <w:rPr>
          <w:rFonts w:ascii="Times New Roman" w:hAnsi="Times New Roman" w:cs="Times New Roman"/>
          <w:sz w:val="24"/>
          <w:szCs w:val="24"/>
        </w:rPr>
      </w:pPr>
    </w:p>
    <w:p w14:paraId="3A83DDF4">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17.4 A homologação do resultado desta licitação não implicará direito à contratação.</w:t>
      </w:r>
    </w:p>
    <w:p w14:paraId="6FE6B4C0">
      <w:pPr>
        <w:pStyle w:val="98"/>
        <w:spacing w:before="288" w:beforeLines="120" w:after="288" w:afterLines="120" w:line="288" w:lineRule="auto"/>
        <w:ind w:left="0" w:firstLine="0"/>
        <w:contextualSpacing/>
        <w:rPr>
          <w:rFonts w:ascii="Times New Roman" w:hAnsi="Times New Roman" w:cs="Times New Roman"/>
          <w:sz w:val="24"/>
          <w:szCs w:val="24"/>
        </w:rPr>
      </w:pPr>
    </w:p>
    <w:p w14:paraId="00B12529">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17.5 As normas disciplinadoras da licitação serão sempre interpretadas em favor da ampliação da disputa entre os interessados, desde que não comprometam o interesse da Administração, o princípio da isonomia, a finalidade e a segurança da contratação. </w:t>
      </w:r>
    </w:p>
    <w:p w14:paraId="26EB4FAB">
      <w:pPr>
        <w:pStyle w:val="98"/>
        <w:spacing w:before="288" w:beforeLines="120" w:after="288" w:afterLines="120" w:line="288" w:lineRule="auto"/>
        <w:ind w:left="0" w:firstLine="0"/>
        <w:contextualSpacing/>
        <w:rPr>
          <w:rFonts w:ascii="Times New Roman" w:hAnsi="Times New Roman" w:cs="Times New Roman"/>
          <w:sz w:val="24"/>
          <w:szCs w:val="24"/>
        </w:rPr>
      </w:pPr>
    </w:p>
    <w:p w14:paraId="2C5C0853">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17.6 Os licitantes assumem todos os custos de preparação e apresentação de suas propostas e a Administração não será, em nenhum caso, responsável por esses custos, independentemente da condução ou do resultado do processo licitatório.</w:t>
      </w:r>
    </w:p>
    <w:p w14:paraId="61B815C7">
      <w:pPr>
        <w:pStyle w:val="98"/>
        <w:spacing w:before="288" w:beforeLines="120" w:after="288" w:afterLines="120" w:line="288" w:lineRule="auto"/>
        <w:ind w:left="0" w:firstLine="0"/>
        <w:contextualSpacing/>
        <w:rPr>
          <w:rFonts w:ascii="Times New Roman" w:hAnsi="Times New Roman" w:cs="Times New Roman"/>
          <w:sz w:val="24"/>
          <w:szCs w:val="24"/>
        </w:rPr>
      </w:pPr>
    </w:p>
    <w:p w14:paraId="6E286FA2">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17.7 Na contagem dos prazos estabelecidos neste Edital e seus Anexos, excluir-se-á o dia do início e incluir-se-á o do vencimento. Só se iniciam e vencem os prazos em dias de expediente na Administração.</w:t>
      </w:r>
    </w:p>
    <w:p w14:paraId="204F976F">
      <w:pPr>
        <w:pStyle w:val="98"/>
        <w:spacing w:before="288" w:beforeLines="120" w:after="288" w:afterLines="120" w:line="288" w:lineRule="auto"/>
        <w:ind w:left="0" w:firstLine="0"/>
        <w:contextualSpacing/>
        <w:rPr>
          <w:rFonts w:ascii="Times New Roman" w:hAnsi="Times New Roman" w:cs="Times New Roman"/>
          <w:sz w:val="24"/>
          <w:szCs w:val="24"/>
        </w:rPr>
      </w:pPr>
    </w:p>
    <w:p w14:paraId="28714149">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17.8 O desatendimento de exigências formais não essenciais não importará o afastamento do licitante, desde que seja possível o aproveitamento do ato, observados os princípios da isonomia e do interesse público.</w:t>
      </w:r>
    </w:p>
    <w:p w14:paraId="1BE25DB2">
      <w:pPr>
        <w:pStyle w:val="98"/>
        <w:spacing w:before="288" w:beforeLines="120" w:after="288" w:afterLines="120" w:line="288" w:lineRule="auto"/>
        <w:ind w:left="0" w:firstLine="0"/>
        <w:contextualSpacing/>
        <w:rPr>
          <w:rFonts w:ascii="Times New Roman" w:hAnsi="Times New Roman" w:cs="Times New Roman"/>
          <w:sz w:val="24"/>
          <w:szCs w:val="24"/>
        </w:rPr>
      </w:pPr>
    </w:p>
    <w:p w14:paraId="563136C7">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17.9 Em caso de divergência entre disposições deste Edital e de seus anexos ou demais peças que compõem o processo, prevalecerão as deste Edital.</w:t>
      </w:r>
    </w:p>
    <w:p w14:paraId="390F4437">
      <w:pPr>
        <w:pStyle w:val="98"/>
        <w:spacing w:before="288" w:beforeLines="120" w:after="288" w:afterLines="120" w:line="288" w:lineRule="auto"/>
        <w:ind w:left="0" w:firstLine="0"/>
        <w:contextualSpacing/>
        <w:rPr>
          <w:rFonts w:ascii="Times New Roman" w:hAnsi="Times New Roman" w:cs="Times New Roman"/>
          <w:sz w:val="24"/>
          <w:szCs w:val="24"/>
        </w:rPr>
      </w:pPr>
    </w:p>
    <w:p w14:paraId="19B8B63E">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17.10 O Edital e seus anexos </w:t>
      </w:r>
      <w:r>
        <w:rPr>
          <w:rFonts w:ascii="Times New Roman" w:hAnsi="Times New Roman" w:cs="Times New Roman"/>
          <w:color w:val="auto"/>
          <w:sz w:val="24"/>
          <w:szCs w:val="24"/>
        </w:rPr>
        <w:t>estão disponíveis, na íntegra, no Portal Nacional de Contratações Públicas (PNCP) e endereço eletrô</w:t>
      </w:r>
      <w:r>
        <w:rPr>
          <w:rFonts w:ascii="Times New Roman" w:hAnsi="Times New Roman" w:cs="Times New Roman"/>
          <w:sz w:val="24"/>
          <w:szCs w:val="24"/>
        </w:rPr>
        <w:t xml:space="preserve">nico </w:t>
      </w:r>
      <w:r>
        <w:rPr>
          <w:rFonts w:ascii="Times New Roman" w:hAnsi="Times New Roman" w:cs="Times New Roman"/>
          <w:color w:val="auto"/>
          <w:sz w:val="24"/>
          <w:szCs w:val="24"/>
        </w:rPr>
        <w:t>www.valenca.rj.gov.br</w:t>
      </w:r>
      <w:r>
        <w:rPr>
          <w:rFonts w:ascii="Times New Roman" w:hAnsi="Times New Roman" w:cs="Times New Roman"/>
          <w:sz w:val="24"/>
          <w:szCs w:val="24"/>
        </w:rPr>
        <w:t>.</w:t>
      </w:r>
    </w:p>
    <w:p w14:paraId="5E342E35">
      <w:pPr>
        <w:pStyle w:val="98"/>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12DD7E40">
      <w:pPr>
        <w:pStyle w:val="102"/>
        <w:spacing w:before="288" w:beforeLines="120" w:after="288" w:afterLines="120" w:line="288" w:lineRule="auto"/>
        <w:ind w:left="0" w:firstLine="0"/>
        <w:contextualSpacing/>
        <w:rPr>
          <w:rFonts w:ascii="Times New Roman" w:hAnsi="Times New Roman" w:cs="Times New Roman"/>
          <w:sz w:val="24"/>
          <w:szCs w:val="24"/>
        </w:rPr>
      </w:pPr>
      <w:bookmarkStart w:id="35" w:name="_Hlk154231260"/>
      <w:r>
        <w:rPr>
          <w:rFonts w:ascii="Times New Roman" w:hAnsi="Times New Roman" w:cs="Times New Roman"/>
          <w:sz w:val="24"/>
          <w:szCs w:val="24"/>
        </w:rPr>
        <w:t>Anexo I - Termo de Referência</w:t>
      </w:r>
    </w:p>
    <w:p w14:paraId="56410C4E">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II - </w:t>
      </w:r>
      <w:r>
        <w:rPr>
          <w:rFonts w:ascii="Times New Roman" w:hAnsi="Times New Roman" w:cs="Times New Roman"/>
          <w:sz w:val="24"/>
          <w:szCs w:val="24"/>
        </w:rPr>
        <w:t>Estudo Técnico Preliminar</w:t>
      </w:r>
    </w:p>
    <w:p w14:paraId="1881E8E0">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Anexo III - Modelo de apresentação da proposta</w:t>
      </w:r>
    </w:p>
    <w:p w14:paraId="4ACF995D">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IV - Documentação exigida para Habilitação</w:t>
      </w:r>
    </w:p>
    <w:p w14:paraId="193B6346">
      <w:pPr>
        <w:pStyle w:val="102"/>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V - Orçamento estimado/ Planilha de Custos</w:t>
      </w:r>
    </w:p>
    <w:p w14:paraId="165C29C8">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 - Minuta de Termo de Contrato</w:t>
      </w:r>
    </w:p>
    <w:p w14:paraId="68BB9DB8">
      <w:pPr>
        <w:pStyle w:val="102"/>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Anexo VII - </w:t>
      </w:r>
      <w:r>
        <w:rPr>
          <w:rFonts w:ascii="Times New Roman" w:hAnsi="Times New Roman" w:cs="Times New Roman"/>
          <w:color w:val="000000" w:themeColor="text1"/>
          <w:sz w:val="24"/>
          <w:szCs w:val="24"/>
          <w14:textFill>
            <w14:solidFill>
              <w14:schemeClr w14:val="tx1"/>
            </w14:solidFill>
          </w14:textFill>
        </w:rPr>
        <w:t>Declarações</w:t>
      </w:r>
    </w:p>
    <w:bookmarkEnd w:id="35"/>
    <w:p w14:paraId="009E814D">
      <w:pPr>
        <w:pStyle w:val="102"/>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5BD31833">
      <w:pPr>
        <w:pStyle w:val="102"/>
        <w:spacing w:before="288" w:beforeLines="120" w:after="288" w:afterLines="120" w:line="288" w:lineRule="auto"/>
        <w:ind w:left="0" w:firstLine="0"/>
        <w:contextualSpacing/>
        <w:rPr>
          <w:rFonts w:hint="default" w:ascii="Times New Roman" w:hAnsi="Times New Roman" w:eastAsia="MS Mincho" w:cs="Times New Roman"/>
          <w:color w:val="000000" w:themeColor="text1"/>
          <w:sz w:val="24"/>
          <w:szCs w:val="24"/>
          <w:lang w:val="pt-BR"/>
          <w14:textFill>
            <w14:solidFill>
              <w14:schemeClr w14:val="tx1"/>
            </w14:solidFill>
          </w14:textFill>
        </w:rPr>
      </w:pPr>
      <w:r>
        <w:rPr>
          <w:rFonts w:ascii="Times New Roman" w:hAnsi="Times New Roman" w:eastAsia="MS Mincho" w:cs="Times New Roman"/>
          <w:color w:val="000000" w:themeColor="text1"/>
          <w:sz w:val="24"/>
          <w:szCs w:val="24"/>
          <w14:textFill>
            <w14:solidFill>
              <w14:schemeClr w14:val="tx1"/>
            </w14:solidFill>
          </w14:textFill>
        </w:rPr>
        <w:t xml:space="preserve">                                              Valença , </w:t>
      </w:r>
      <w:r>
        <w:rPr>
          <w:rFonts w:hint="default" w:ascii="Times New Roman" w:hAnsi="Times New Roman" w:eastAsia="MS Mincho" w:cs="Times New Roman"/>
          <w:color w:val="000000" w:themeColor="text1"/>
          <w:sz w:val="24"/>
          <w:szCs w:val="24"/>
          <w:lang w:val="pt-BR"/>
          <w14:textFill>
            <w14:solidFill>
              <w14:schemeClr w14:val="tx1"/>
            </w14:solidFill>
          </w14:textFill>
        </w:rPr>
        <w:t>05</w:t>
      </w:r>
      <w:r>
        <w:rPr>
          <w:rFonts w:ascii="Times New Roman" w:hAnsi="Times New Roman" w:eastAsia="MS Mincho" w:cs="Times New Roman"/>
          <w:sz w:val="24"/>
          <w:szCs w:val="24"/>
        </w:rPr>
        <w:t xml:space="preserve"> de</w:t>
      </w:r>
      <w:r>
        <w:rPr>
          <w:rFonts w:hint="default" w:ascii="Times New Roman" w:hAnsi="Times New Roman" w:eastAsia="MS Mincho" w:cs="Times New Roman"/>
          <w:sz w:val="24"/>
          <w:szCs w:val="24"/>
          <w:lang w:val="pt-BR"/>
        </w:rPr>
        <w:t xml:space="preserve"> agosto</w:t>
      </w:r>
      <w:r>
        <w:rPr>
          <w:rFonts w:ascii="Times New Roman" w:hAnsi="Times New Roman" w:eastAsia="MS Mincho" w:cs="Times New Roman"/>
          <w:sz w:val="24"/>
          <w:szCs w:val="24"/>
        </w:rPr>
        <w:t xml:space="preserve"> </w:t>
      </w:r>
      <w:r>
        <w:rPr>
          <w:rFonts w:ascii="Times New Roman" w:hAnsi="Times New Roman" w:eastAsia="MS Mincho" w:cs="Times New Roman"/>
          <w:color w:val="000000" w:themeColor="text1"/>
          <w:sz w:val="24"/>
          <w:szCs w:val="24"/>
          <w14:textFill>
            <w14:solidFill>
              <w14:schemeClr w14:val="tx1"/>
            </w14:solidFill>
          </w14:textFill>
        </w:rPr>
        <w:t>de 202</w:t>
      </w:r>
      <w:r>
        <w:rPr>
          <w:rFonts w:hint="default" w:ascii="Times New Roman" w:hAnsi="Times New Roman" w:eastAsia="MS Mincho" w:cs="Times New Roman"/>
          <w:color w:val="000000" w:themeColor="text1"/>
          <w:sz w:val="24"/>
          <w:szCs w:val="24"/>
          <w:lang w:val="pt-BR"/>
          <w14:textFill>
            <w14:solidFill>
              <w14:schemeClr w14:val="tx1"/>
            </w14:solidFill>
          </w14:textFill>
        </w:rPr>
        <w:t>6</w:t>
      </w:r>
    </w:p>
    <w:p w14:paraId="4C544354">
      <w:pPr>
        <w:spacing w:before="288" w:beforeLines="120" w:after="288" w:afterLines="120" w:line="288" w:lineRule="auto"/>
        <w:contextualSpacing/>
        <w:jc w:val="center"/>
        <w:rPr>
          <w:rFonts w:eastAsia="MS Mincho"/>
          <w:b/>
          <w:color w:val="FF0000"/>
          <w:sz w:val="24"/>
          <w:szCs w:val="24"/>
        </w:rPr>
      </w:pPr>
    </w:p>
    <w:p w14:paraId="57A7DAE9">
      <w:pPr>
        <w:spacing w:before="288" w:beforeLines="120" w:after="288" w:afterLines="120" w:line="288" w:lineRule="auto"/>
        <w:contextualSpacing/>
        <w:jc w:val="center"/>
        <w:rPr>
          <w:rFonts w:eastAsia="MS Mincho"/>
          <w:b/>
          <w:color w:val="000000" w:themeColor="text1"/>
          <w:sz w:val="24"/>
          <w:szCs w:val="24"/>
          <w14:textFill>
            <w14:solidFill>
              <w14:schemeClr w14:val="tx1"/>
            </w14:solidFill>
          </w14:textFill>
        </w:rPr>
      </w:pPr>
      <w:r>
        <w:rPr>
          <w:rFonts w:eastAsia="MS Mincho"/>
          <w:b/>
          <w:color w:val="000000" w:themeColor="text1"/>
          <w:sz w:val="24"/>
          <w:szCs w:val="24"/>
          <w14:textFill>
            <w14:solidFill>
              <w14:schemeClr w14:val="tx1"/>
            </w14:solidFill>
          </w14:textFill>
        </w:rPr>
        <w:t>Secretaria Municipal de Saúde</w:t>
      </w:r>
    </w:p>
    <w:p w14:paraId="79C28D65">
      <w:pPr>
        <w:spacing w:before="288" w:beforeLines="120" w:after="288" w:afterLines="120" w:line="288" w:lineRule="auto"/>
        <w:contextualSpacing/>
        <w:jc w:val="center"/>
        <w:rPr>
          <w:rFonts w:eastAsia="MS Mincho" w:asciiTheme="minorHAnsi" w:hAnsiTheme="minorHAnsi" w:cstheme="minorHAnsi"/>
          <w:b/>
          <w:color w:val="FF0000"/>
          <w:sz w:val="24"/>
          <w:szCs w:val="24"/>
        </w:rPr>
      </w:pPr>
    </w:p>
    <w:p w14:paraId="0769AA5D">
      <w:pPr>
        <w:spacing w:before="288" w:beforeLines="120" w:after="288" w:afterLines="120" w:line="288" w:lineRule="auto"/>
        <w:contextualSpacing/>
        <w:jc w:val="center"/>
        <w:rPr>
          <w:rFonts w:eastAsia="MS Mincho"/>
          <w:b/>
          <w:color w:val="000000" w:themeColor="text1"/>
          <w:sz w:val="24"/>
          <w:szCs w:val="24"/>
          <w14:textFill>
            <w14:solidFill>
              <w14:schemeClr w14:val="tx1"/>
            </w14:solidFill>
          </w14:textFill>
        </w:rPr>
      </w:pPr>
    </w:p>
    <w:p w14:paraId="30D3A422">
      <w:pPr>
        <w:spacing w:before="288" w:beforeLines="120" w:after="288" w:afterLines="120" w:line="288" w:lineRule="auto"/>
        <w:contextualSpacing/>
        <w:rPr>
          <w:rFonts w:eastAsia="MS Mincho" w:asciiTheme="minorHAnsi" w:hAnsiTheme="minorHAnsi" w:cstheme="minorHAnsi"/>
          <w:b/>
          <w:color w:val="000000" w:themeColor="text1"/>
          <w:sz w:val="24"/>
          <w:szCs w:val="24"/>
          <w14:textFill>
            <w14:solidFill>
              <w14:schemeClr w14:val="tx1"/>
            </w14:solidFill>
          </w14:textFill>
        </w:rPr>
      </w:pPr>
    </w:p>
    <w:p w14:paraId="2290D074">
      <w:pPr>
        <w:spacing w:before="288" w:beforeLines="120" w:after="288" w:afterLines="120" w:line="288" w:lineRule="auto"/>
        <w:contextualSpacing/>
        <w:rPr>
          <w:rFonts w:eastAsia="MS Mincho" w:asciiTheme="minorHAnsi" w:hAnsiTheme="minorHAnsi" w:cstheme="minorHAnsi"/>
          <w:b/>
          <w:color w:val="000000" w:themeColor="text1"/>
          <w:sz w:val="24"/>
          <w:szCs w:val="24"/>
          <w14:textFill>
            <w14:solidFill>
              <w14:schemeClr w14:val="tx1"/>
            </w14:solidFill>
          </w14:textFill>
        </w:rPr>
      </w:pPr>
    </w:p>
    <w:p w14:paraId="0E365248">
      <w:pPr>
        <w:spacing w:before="288" w:beforeLines="120" w:after="288" w:afterLines="120" w:line="288" w:lineRule="auto"/>
        <w:contextualSpacing/>
        <w:jc w:val="center"/>
        <w:rPr>
          <w:rFonts w:eastAsia="MS Mincho"/>
          <w:b/>
          <w:sz w:val="24"/>
          <w:szCs w:val="24"/>
        </w:rPr>
      </w:pPr>
      <w:r>
        <w:rPr>
          <w:rFonts w:eastAsia="MS Mincho"/>
          <w:b/>
          <w:sz w:val="24"/>
          <w:szCs w:val="24"/>
        </w:rPr>
        <w:t>ANEXO I</w:t>
      </w:r>
    </w:p>
    <w:p w14:paraId="0022B4A2">
      <w:pPr>
        <w:spacing w:before="288" w:beforeLines="120" w:after="288" w:afterLines="120" w:line="288" w:lineRule="auto"/>
        <w:contextualSpacing/>
        <w:jc w:val="center"/>
        <w:rPr>
          <w:rFonts w:eastAsia="MS Mincho"/>
          <w:b/>
          <w:sz w:val="24"/>
          <w:szCs w:val="24"/>
        </w:rPr>
      </w:pPr>
    </w:p>
    <w:p w14:paraId="1780A58D">
      <w:pPr>
        <w:spacing w:line="368" w:lineRule="auto"/>
        <w:ind w:left="720" w:right="16"/>
        <w:rPr>
          <w:b/>
          <w:sz w:val="24"/>
          <w:szCs w:val="24"/>
          <w:u w:val="single"/>
        </w:rPr>
      </w:pPr>
      <w:r>
        <w:rPr>
          <w:b/>
          <w:sz w:val="24"/>
          <w:szCs w:val="24"/>
        </w:rPr>
        <w:t xml:space="preserve">                                          </w:t>
      </w:r>
      <w:r>
        <w:rPr>
          <w:b/>
          <w:sz w:val="24"/>
          <w:szCs w:val="24"/>
          <w:highlight w:val="yellow"/>
          <w:u w:val="single"/>
        </w:rPr>
        <w:t>TERMO DE REFERÊNCIA</w:t>
      </w:r>
    </w:p>
    <w:p w14:paraId="1D50E166">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b/>
          <w:bCs/>
          <w:color w:val="auto"/>
          <w:szCs w:val="24"/>
        </w:rPr>
      </w:pPr>
    </w:p>
    <w:p w14:paraId="0D5F1D46">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szCs w:val="24"/>
        </w:rPr>
      </w:pPr>
      <w:r>
        <w:rPr>
          <w:rFonts w:ascii="Times New Roman" w:hAnsi="Times New Roman" w:eastAsia="Times New Roman" w:cs="Times New Roman"/>
          <w:b/>
          <w:bCs/>
          <w:color w:val="auto"/>
          <w:szCs w:val="24"/>
        </w:rPr>
        <w:t xml:space="preserve">ÓRGÃO: </w:t>
      </w:r>
      <w:r>
        <w:rPr>
          <w:rFonts w:ascii="Times New Roman" w:hAnsi="Times New Roman" w:eastAsia="Times New Roman" w:cs="Times New Roman"/>
          <w:color w:val="auto"/>
          <w:szCs w:val="24"/>
        </w:rPr>
        <w:t>Secretaria Municipal de Saúde</w:t>
      </w:r>
    </w:p>
    <w:p w14:paraId="14F2C85F">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szCs w:val="24"/>
        </w:rPr>
      </w:pPr>
      <w:r>
        <w:rPr>
          <w:rFonts w:ascii="Times New Roman" w:hAnsi="Times New Roman" w:eastAsia="Times New Roman" w:cs="Times New Roman"/>
          <w:b/>
          <w:bCs/>
          <w:color w:val="auto"/>
          <w:szCs w:val="24"/>
        </w:rPr>
        <w:t xml:space="preserve">SETOR REQUISITANTE: </w:t>
      </w:r>
      <w:r>
        <w:rPr>
          <w:rFonts w:ascii="Times New Roman" w:hAnsi="Times New Roman" w:cs="Times New Roman"/>
          <w:color w:val="auto"/>
          <w:szCs w:val="24"/>
        </w:rPr>
        <w:t>Central de Imunização</w:t>
      </w:r>
    </w:p>
    <w:p w14:paraId="40FD91FE">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eastAsia="Times New Roman" w:cs="Times New Roman"/>
          <w:szCs w:val="24"/>
        </w:rPr>
      </w:pPr>
      <w:r>
        <w:rPr>
          <w:rFonts w:ascii="Times New Roman" w:hAnsi="Times New Roman" w:eastAsia="Times New Roman" w:cs="Times New Roman"/>
          <w:b/>
          <w:bCs/>
          <w:color w:val="auto"/>
          <w:szCs w:val="24"/>
        </w:rPr>
        <w:t>RESPONSÁVEL PELA DEMANDA: Vithória Lopes de Carvalho Veloso</w:t>
      </w:r>
    </w:p>
    <w:p w14:paraId="5AD6A0ED">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szCs w:val="24"/>
        </w:rPr>
      </w:pPr>
      <w:r>
        <w:rPr>
          <w:rFonts w:ascii="Times New Roman" w:hAnsi="Times New Roman" w:cs="Times New Roman"/>
          <w:b/>
          <w:bCs/>
          <w:color w:val="auto"/>
          <w:szCs w:val="24"/>
        </w:rPr>
        <w:t>Matricula</w:t>
      </w:r>
      <w:r>
        <w:rPr>
          <w:rFonts w:ascii="Times New Roman" w:hAnsi="Times New Roman" w:cs="Times New Roman"/>
          <w:color w:val="auto"/>
          <w:szCs w:val="24"/>
        </w:rPr>
        <w:t>: COREN/RJ 827053</w:t>
      </w:r>
    </w:p>
    <w:p w14:paraId="76E89443">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szCs w:val="24"/>
        </w:rPr>
      </w:pPr>
      <w:r>
        <w:rPr>
          <w:rFonts w:ascii="Times New Roman" w:hAnsi="Times New Roman" w:cs="Times New Roman"/>
          <w:b/>
          <w:bCs/>
          <w:color w:val="auto"/>
          <w:szCs w:val="24"/>
        </w:rPr>
        <w:t>PROCESSO ADMINISTRATIVO</w:t>
      </w:r>
      <w:r>
        <w:rPr>
          <w:rFonts w:ascii="Times New Roman" w:hAnsi="Times New Roman" w:cs="Times New Roman"/>
          <w:color w:val="auto"/>
          <w:szCs w:val="24"/>
        </w:rPr>
        <w:t>: VLC-020508/001387/2026</w:t>
      </w:r>
    </w:p>
    <w:p w14:paraId="538CCB52">
      <w:pPr>
        <w:pStyle w:val="19"/>
        <w:tabs>
          <w:tab w:val="left" w:pos="555"/>
          <w:tab w:val="left" w:pos="840"/>
          <w:tab w:val="left" w:pos="1140"/>
          <w:tab w:val="left" w:pos="1395"/>
          <w:tab w:val="left" w:pos="1650"/>
          <w:tab w:val="left" w:pos="1965"/>
          <w:tab w:val="left" w:pos="2220"/>
          <w:tab w:val="left" w:leader="underscore" w:pos="7336"/>
        </w:tabs>
        <w:spacing w:line="360" w:lineRule="auto"/>
        <w:rPr>
          <w:rFonts w:ascii="Times New Roman" w:hAnsi="Times New Roman" w:cs="Times New Roman"/>
          <w:szCs w:val="24"/>
        </w:rPr>
      </w:pPr>
    </w:p>
    <w:p w14:paraId="5B60E1BA">
      <w:pPr>
        <w:spacing w:line="360" w:lineRule="auto"/>
        <w:jc w:val="both"/>
        <w:rPr>
          <w:rFonts w:eastAsia="Cambria Math"/>
          <w:b/>
          <w:sz w:val="24"/>
          <w:szCs w:val="24"/>
        </w:rPr>
      </w:pPr>
      <w:r>
        <w:rPr>
          <w:rFonts w:eastAsia="Cambria Math"/>
          <w:b/>
          <w:sz w:val="24"/>
          <w:szCs w:val="24"/>
        </w:rPr>
        <w:t>1 – OBJETO</w:t>
      </w:r>
    </w:p>
    <w:p w14:paraId="2EC08DB7">
      <w:pPr>
        <w:spacing w:line="360" w:lineRule="auto"/>
        <w:jc w:val="both"/>
        <w:rPr>
          <w:rFonts w:eastAsia="Cambria Math"/>
          <w:b/>
          <w:sz w:val="24"/>
          <w:szCs w:val="24"/>
        </w:rPr>
      </w:pPr>
    </w:p>
    <w:p w14:paraId="7A7FB96A">
      <w:pPr>
        <w:spacing w:line="360" w:lineRule="auto"/>
        <w:jc w:val="both"/>
        <w:rPr>
          <w:rFonts w:eastAsia="SimSun"/>
          <w:sz w:val="24"/>
          <w:szCs w:val="24"/>
        </w:rPr>
      </w:pPr>
      <w:r>
        <w:rPr>
          <w:rStyle w:val="11"/>
          <w:rFonts w:eastAsia="SimSun"/>
          <w:b w:val="0"/>
          <w:sz w:val="24"/>
          <w:szCs w:val="24"/>
        </w:rPr>
        <w:t>Aquisição de câmaras frias para conservação de imunobiológicos</w:t>
      </w:r>
      <w:r>
        <w:rPr>
          <w:rFonts w:eastAsia="SimSun"/>
          <w:sz w:val="24"/>
          <w:szCs w:val="24"/>
        </w:rPr>
        <w:t>, destinada à Central de Imunização, garantindo a adequada manutenção da Rede de frio.</w:t>
      </w:r>
    </w:p>
    <w:p w14:paraId="3741C131">
      <w:pPr>
        <w:spacing w:before="288" w:beforeLines="120" w:after="288" w:afterLines="120" w:line="288" w:lineRule="auto"/>
        <w:rPr>
          <w:sz w:val="24"/>
          <w:szCs w:val="24"/>
        </w:rPr>
      </w:pPr>
      <w:r>
        <w:rPr>
          <w:sz w:val="24"/>
          <w:szCs w:val="24"/>
          <w:highlight w:val="yellow"/>
        </w:rPr>
        <w:t>Havendo qualquer discordância entre a descrição e a unidade de medida do CATMAT e a do Edital, prevalecerá à descrição e a unidade de medida constante no Edital.</w:t>
      </w:r>
    </w:p>
    <w:p w14:paraId="278D7B05">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rPr>
          <w:b/>
          <w:color w:val="000000"/>
          <w:sz w:val="24"/>
          <w:szCs w:val="24"/>
        </w:rPr>
        <w:t>2 - NECESSIDADE DA AQUISIÇÃO</w:t>
      </w:r>
    </w:p>
    <w:p w14:paraId="79B52536">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A aquisição de câmara fria para conservação de imunobiológicos destinados à Central de Imunização, tem o objetivo de assegurar o armazenamento adequado e seguro das vacinas e demais imunobiológicos. Esses insumos exigem controle rigoroso de temperatura, conforme normas sanitárias vigentes. A ausência de equipamento apropriado compromete a qualidade dos produtos, podendo gerar perdas, desperdícios e riscos à saúde da população. A implantação da câmara fria contribuirá para o fortalecimento da rede de frio, melhoria da gestão dos imunobiológicos e garantia da continuidade e qualidade das ações de imunização.</w:t>
      </w:r>
    </w:p>
    <w:p w14:paraId="356183E0">
      <w:pPr>
        <w:pBdr>
          <w:top w:val="none" w:color="auto" w:sz="0" w:space="0"/>
          <w:left w:val="none" w:color="auto" w:sz="0" w:space="0"/>
          <w:bottom w:val="none" w:color="auto" w:sz="0" w:space="0"/>
          <w:right w:val="none" w:color="auto" w:sz="0" w:space="0"/>
          <w:between w:val="none" w:color="auto" w:sz="0" w:space="0"/>
        </w:pBdr>
        <w:rPr>
          <w:color w:val="000000"/>
          <w:sz w:val="24"/>
          <w:szCs w:val="24"/>
        </w:rPr>
      </w:pPr>
      <w:r>
        <w:rPr>
          <w:b/>
          <w:color w:val="000000"/>
          <w:sz w:val="24"/>
          <w:szCs w:val="24"/>
        </w:rPr>
        <w:t xml:space="preserve">3 - ESPECIFICAÇÕES E QUANTIDADE </w:t>
      </w:r>
    </w:p>
    <w:p w14:paraId="790CFA91">
      <w:pPr>
        <w:rPr>
          <w:color w:val="000000"/>
          <w:sz w:val="24"/>
          <w:szCs w:val="24"/>
        </w:rPr>
      </w:pPr>
    </w:p>
    <w:p w14:paraId="01F596D9">
      <w:pPr>
        <w:spacing w:line="360" w:lineRule="auto"/>
        <w:jc w:val="both"/>
        <w:rPr>
          <w:color w:val="000000"/>
          <w:sz w:val="24"/>
          <w:szCs w:val="24"/>
        </w:rPr>
      </w:pPr>
      <w:r>
        <w:rPr>
          <w:color w:val="000000"/>
          <w:sz w:val="24"/>
          <w:szCs w:val="24"/>
        </w:rPr>
        <w:t>Considerando que os padrões de desempenho e qualidade dos itens objeto deste Termo de Referência pode ser objetivamente definidos pelo edital, por meio de especificações usuais de mercado, classificamos os referidos itens como ‘bens comuns’</w:t>
      </w:r>
    </w:p>
    <w:tbl>
      <w:tblPr>
        <w:tblStyle w:val="10"/>
        <w:tblpPr w:leftFromText="180" w:rightFromText="180" w:vertAnchor="text" w:horzAnchor="margin" w:tblpX="-1139" w:tblpY="-9"/>
        <w:tblW w:w="110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992"/>
        <w:gridCol w:w="4536"/>
        <w:gridCol w:w="1559"/>
        <w:gridCol w:w="1559"/>
        <w:gridCol w:w="1418"/>
      </w:tblGrid>
      <w:tr w14:paraId="0C74D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A8B436">
            <w:pPr>
              <w:jc w:val="center"/>
              <w:rPr>
                <w:b/>
                <w:sz w:val="24"/>
                <w:szCs w:val="24"/>
              </w:rPr>
            </w:pPr>
            <w:r>
              <w:rPr>
                <w:b/>
                <w:sz w:val="24"/>
                <w:szCs w:val="24"/>
              </w:rPr>
              <w:t>QTD</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1649FE">
            <w:pPr>
              <w:jc w:val="center"/>
              <w:rPr>
                <w:b/>
                <w:sz w:val="24"/>
                <w:szCs w:val="24"/>
              </w:rPr>
            </w:pPr>
            <w:r>
              <w:rPr>
                <w:b/>
                <w:sz w:val="24"/>
                <w:szCs w:val="24"/>
              </w:rPr>
              <w:t>UNID</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2185F8">
            <w:pPr>
              <w:jc w:val="center"/>
              <w:rPr>
                <w:b/>
                <w:sz w:val="24"/>
                <w:szCs w:val="24"/>
              </w:rPr>
            </w:pPr>
            <w:r>
              <w:rPr>
                <w:b/>
                <w:sz w:val="24"/>
                <w:szCs w:val="24"/>
              </w:rPr>
              <w:t>ESPECIFICAÇÃO</w:t>
            </w:r>
          </w:p>
        </w:tc>
        <w:tc>
          <w:tcPr>
            <w:tcW w:w="1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1D35C4">
            <w:pPr>
              <w:jc w:val="center"/>
              <w:rPr>
                <w:b/>
                <w:sz w:val="24"/>
                <w:szCs w:val="24"/>
              </w:rPr>
            </w:pPr>
            <w:r>
              <w:rPr>
                <w:b/>
                <w:sz w:val="24"/>
                <w:szCs w:val="24"/>
              </w:rPr>
              <w:t>CATMAT</w:t>
            </w:r>
          </w:p>
        </w:tc>
        <w:tc>
          <w:tcPr>
            <w:tcW w:w="1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A45C4C">
            <w:pPr>
              <w:jc w:val="center"/>
              <w:rPr>
                <w:b/>
                <w:sz w:val="24"/>
                <w:szCs w:val="24"/>
              </w:rPr>
            </w:pPr>
            <w:r>
              <w:rPr>
                <w:b/>
                <w:sz w:val="24"/>
                <w:szCs w:val="24"/>
              </w:rPr>
              <w:t>VALOR UNITARIO</w:t>
            </w:r>
          </w:p>
        </w:tc>
        <w:tc>
          <w:tcPr>
            <w:tcW w:w="14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759D03">
            <w:pPr>
              <w:jc w:val="center"/>
              <w:rPr>
                <w:b/>
                <w:sz w:val="24"/>
                <w:szCs w:val="24"/>
              </w:rPr>
            </w:pPr>
            <w:r>
              <w:rPr>
                <w:b/>
                <w:sz w:val="24"/>
                <w:szCs w:val="24"/>
              </w:rPr>
              <w:t>VALOR TOTAL</w:t>
            </w:r>
          </w:p>
          <w:p w14:paraId="351547EB">
            <w:pPr>
              <w:jc w:val="center"/>
              <w:rPr>
                <w:b/>
                <w:sz w:val="24"/>
                <w:szCs w:val="24"/>
              </w:rPr>
            </w:pPr>
          </w:p>
        </w:tc>
      </w:tr>
      <w:tr w14:paraId="053ED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28612F">
            <w:pPr>
              <w:jc w:val="center"/>
              <w:rPr>
                <w:sz w:val="24"/>
                <w:szCs w:val="24"/>
              </w:rPr>
            </w:pPr>
            <w:r>
              <w:rPr>
                <w:sz w:val="24"/>
                <w:szCs w:val="24"/>
              </w:rPr>
              <w:t>02</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254355">
            <w:pPr>
              <w:spacing w:before="57" w:after="57"/>
              <w:ind w:left="10" w:right="16" w:hanging="10"/>
              <w:jc w:val="center"/>
              <w:rPr>
                <w:sz w:val="24"/>
                <w:szCs w:val="24"/>
              </w:rPr>
            </w:pPr>
            <w:r>
              <w:rPr>
                <w:sz w:val="24"/>
                <w:szCs w:val="24"/>
              </w:rPr>
              <w:t>Unid</w:t>
            </w:r>
          </w:p>
        </w:tc>
        <w:tc>
          <w:tcPr>
            <w:tcW w:w="45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94E613">
            <w:pPr>
              <w:spacing w:line="360" w:lineRule="auto"/>
              <w:jc w:val="both"/>
              <w:rPr>
                <w:b/>
                <w:sz w:val="24"/>
                <w:szCs w:val="24"/>
              </w:rPr>
            </w:pPr>
            <w:r>
              <w:rPr>
                <w:b/>
                <w:sz w:val="24"/>
                <w:szCs w:val="24"/>
              </w:rPr>
              <w:t>CÂMARA FRIA PARA CONSERVAÇÃO DE IMUNOBIOLÓGICOS, CAPACIDADE E QUANTIDADE DE GAVETAS ATÉ 300 OU 30I A 500 LITROS, 2 A 5 GAVETAS, SISTEMA DE EMERGÊNCIA, REGISTRO DE DADOS, TEMEPERATURA ENTRE +2° C E + 8° C, CIRCULAÇÃO DE AR FORÇADO, SENSORES INTERNOS, DISCADOR DE EMERGÊNCIA</w:t>
            </w:r>
          </w:p>
        </w:tc>
        <w:tc>
          <w:tcPr>
            <w:tcW w:w="1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bottom"/>
          </w:tcPr>
          <w:p w14:paraId="204B4AB6">
            <w:pPr>
              <w:jc w:val="center"/>
              <w:rPr>
                <w:b/>
                <w:color w:val="000000"/>
                <w:sz w:val="24"/>
                <w:szCs w:val="24"/>
              </w:rPr>
            </w:pPr>
            <w:r>
              <w:rPr>
                <w:b/>
                <w:color w:val="000000"/>
                <w:sz w:val="24"/>
                <w:szCs w:val="24"/>
              </w:rPr>
              <w:t>621692</w:t>
            </w:r>
          </w:p>
        </w:tc>
        <w:tc>
          <w:tcPr>
            <w:tcW w:w="1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bottom"/>
          </w:tcPr>
          <w:p w14:paraId="037DD980">
            <w:pPr>
              <w:jc w:val="center"/>
              <w:rPr>
                <w:color w:val="000000"/>
                <w:sz w:val="24"/>
                <w:szCs w:val="24"/>
              </w:rPr>
            </w:pPr>
            <w:r>
              <w:rPr>
                <w:color w:val="000000"/>
                <w:sz w:val="24"/>
                <w:szCs w:val="24"/>
              </w:rPr>
              <w:t>17.033,35</w:t>
            </w:r>
          </w:p>
        </w:tc>
        <w:tc>
          <w:tcPr>
            <w:tcW w:w="14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0DAB84">
            <w:pPr>
              <w:jc w:val="center"/>
              <w:rPr>
                <w:sz w:val="24"/>
                <w:szCs w:val="24"/>
              </w:rPr>
            </w:pPr>
          </w:p>
          <w:p w14:paraId="3D799A48">
            <w:pPr>
              <w:jc w:val="center"/>
              <w:rPr>
                <w:sz w:val="24"/>
                <w:szCs w:val="24"/>
              </w:rPr>
            </w:pPr>
          </w:p>
          <w:p w14:paraId="7D207FE3">
            <w:pPr>
              <w:jc w:val="center"/>
              <w:rPr>
                <w:sz w:val="24"/>
                <w:szCs w:val="24"/>
              </w:rPr>
            </w:pPr>
          </w:p>
          <w:p w14:paraId="62D72F75">
            <w:pPr>
              <w:jc w:val="center"/>
              <w:rPr>
                <w:sz w:val="24"/>
                <w:szCs w:val="24"/>
              </w:rPr>
            </w:pPr>
          </w:p>
          <w:p w14:paraId="74448F6A">
            <w:pPr>
              <w:jc w:val="center"/>
              <w:rPr>
                <w:sz w:val="24"/>
                <w:szCs w:val="24"/>
              </w:rPr>
            </w:pPr>
            <w:r>
              <w:rPr>
                <w:sz w:val="24"/>
                <w:szCs w:val="24"/>
              </w:rPr>
              <w:t>34.066,70</w:t>
            </w:r>
          </w:p>
        </w:tc>
      </w:tr>
    </w:tbl>
    <w:p w14:paraId="56969911">
      <w:pPr>
        <w:rPr>
          <w:color w:val="0000FF"/>
          <w:sz w:val="24"/>
          <w:szCs w:val="24"/>
        </w:rPr>
      </w:pPr>
    </w:p>
    <w:p w14:paraId="6A7B0C9F">
      <w:pPr>
        <w:rPr>
          <w:color w:val="0000FF"/>
          <w:sz w:val="24"/>
          <w:szCs w:val="24"/>
        </w:rPr>
      </w:pPr>
    </w:p>
    <w:p w14:paraId="0DA01BBD">
      <w:pPr>
        <w:shd w:val="clear" w:color="auto" w:fill="FFFFFF"/>
        <w:spacing w:line="360" w:lineRule="auto"/>
        <w:jc w:val="both"/>
        <w:rPr>
          <w:b/>
          <w:sz w:val="24"/>
          <w:szCs w:val="24"/>
        </w:rPr>
      </w:pPr>
    </w:p>
    <w:p w14:paraId="5254CB52">
      <w:pPr>
        <w:shd w:val="clear" w:color="auto" w:fill="FFFFFF"/>
        <w:spacing w:line="360" w:lineRule="auto"/>
        <w:jc w:val="both"/>
        <w:rPr>
          <w:b/>
          <w:sz w:val="24"/>
          <w:szCs w:val="24"/>
        </w:rPr>
      </w:pPr>
      <w:r>
        <w:rPr>
          <w:b/>
          <w:sz w:val="24"/>
          <w:szCs w:val="24"/>
        </w:rPr>
        <w:t>4- PREVISÃO NO PLANO DE CONTRATAÇÕES ANUAL</w:t>
      </w:r>
    </w:p>
    <w:p w14:paraId="1A08E255">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before="57" w:after="57"/>
        <w:rPr>
          <w:color w:val="000000"/>
          <w:sz w:val="24"/>
          <w:szCs w:val="24"/>
        </w:rPr>
      </w:pPr>
      <w:r>
        <w:rPr>
          <w:color w:val="000000"/>
          <w:sz w:val="24"/>
          <w:szCs w:val="24"/>
        </w:rPr>
        <w:t>Previsto no Plano de Contratação Anual 2026 – item 10</w:t>
      </w:r>
    </w:p>
    <w:p w14:paraId="61DF8CAD">
      <w:pPr>
        <w:jc w:val="both"/>
        <w:rPr>
          <w:b/>
          <w:color w:val="0000FF"/>
          <w:sz w:val="24"/>
          <w:szCs w:val="24"/>
        </w:rPr>
      </w:pPr>
    </w:p>
    <w:p w14:paraId="5824B2B8">
      <w:pPr>
        <w:jc w:val="both"/>
        <w:rPr>
          <w:b/>
          <w:color w:val="000000"/>
          <w:sz w:val="24"/>
          <w:szCs w:val="24"/>
        </w:rPr>
      </w:pPr>
    </w:p>
    <w:p w14:paraId="12E92FF0">
      <w:pPr>
        <w:jc w:val="both"/>
        <w:rPr>
          <w:b/>
          <w:color w:val="000000"/>
          <w:sz w:val="24"/>
          <w:szCs w:val="24"/>
        </w:rPr>
      </w:pPr>
      <w:r>
        <w:rPr>
          <w:b/>
          <w:color w:val="000000"/>
          <w:sz w:val="24"/>
          <w:szCs w:val="24"/>
        </w:rPr>
        <w:t>5- JUSTIFICATIVA</w:t>
      </w:r>
    </w:p>
    <w:p w14:paraId="16E0BDAB">
      <w:pPr>
        <w:rPr>
          <w:color w:val="0000FF"/>
          <w:sz w:val="24"/>
          <w:szCs w:val="24"/>
        </w:rPr>
      </w:pPr>
    </w:p>
    <w:p w14:paraId="46D8F46E">
      <w:pPr>
        <w:spacing w:line="360" w:lineRule="auto"/>
        <w:jc w:val="both"/>
        <w:rPr>
          <w:sz w:val="24"/>
          <w:szCs w:val="24"/>
        </w:rPr>
      </w:pPr>
      <w:r>
        <w:rPr>
          <w:sz w:val="24"/>
          <w:szCs w:val="24"/>
        </w:rPr>
        <w:t>Aquisição de câmaras frias para conservação de imunobiológicos, destinada à Central de Imunização, garantindo a adequada manutenção da Rede de frio é necessária para garantir o armazenamento adequado e a conservação segura dos imunobiológicos, mantendo as condições de temperatura exigidas para a preservação de sua qualidade e eficácia.</w:t>
      </w:r>
    </w:p>
    <w:p w14:paraId="0C25F95B">
      <w:pPr>
        <w:spacing w:line="360" w:lineRule="auto"/>
        <w:jc w:val="both"/>
        <w:rPr>
          <w:sz w:val="24"/>
          <w:szCs w:val="24"/>
        </w:rPr>
      </w:pPr>
      <w:r>
        <w:rPr>
          <w:sz w:val="24"/>
          <w:szCs w:val="24"/>
        </w:rPr>
        <w:t xml:space="preserve"> A contratação visa fortalecer a Rede de Frio, reduzir riscos de perdas por variações térmicas e assegurar a continuidade das ações de imunização em benefício da saúde pública.</w:t>
      </w:r>
    </w:p>
    <w:p w14:paraId="27DBBFEC">
      <w:pPr>
        <w:spacing w:line="360" w:lineRule="auto"/>
        <w:jc w:val="both"/>
        <w:rPr>
          <w:sz w:val="24"/>
          <w:szCs w:val="24"/>
        </w:rPr>
      </w:pPr>
      <w:r>
        <w:rPr>
          <w:sz w:val="24"/>
          <w:szCs w:val="24"/>
        </w:rPr>
        <w:t xml:space="preserve">A solução especificada e que se pretende adquirir, refere-se à contratação, na modalidade Licitação. </w:t>
      </w:r>
    </w:p>
    <w:p w14:paraId="345E8C7D">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color w:val="0000FF"/>
          <w:sz w:val="24"/>
          <w:szCs w:val="24"/>
        </w:rPr>
      </w:pPr>
    </w:p>
    <w:p w14:paraId="2A406364">
      <w:pPr>
        <w:widowControl w:val="0"/>
        <w:numPr>
          <w:ilvl w:val="0"/>
          <w:numId w:val="6"/>
        </w:numPr>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rPr>
          <w:b/>
          <w:color w:val="000000"/>
          <w:sz w:val="24"/>
          <w:szCs w:val="24"/>
        </w:rPr>
        <w:t>DESCRIÇÃO DA NECESSIDADE COMO UM TODO</w:t>
      </w:r>
    </w:p>
    <w:p w14:paraId="0331ADDA">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Garantir a manutenção da cadeia de frio entre +2°C e +8°C.</w:t>
      </w:r>
    </w:p>
    <w:p w14:paraId="23E7325A">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O equipamento permitirá a conservação adequada de vacinas e imunobiológicos, evitando perdas, riscos à saúde da população e desperdício de recursos públicos, em conformidade com as normas do Programa Nacional de Imunizações e da ANVISA.</w:t>
      </w:r>
    </w:p>
    <w:p w14:paraId="77837C56">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A medida assegura que todas as unidades da ESF disponham de condições seguras para armazenamento de imunobiológicos, fortalecendo a imunização na Atenção Primária à Saúde.</w:t>
      </w:r>
    </w:p>
    <w:p w14:paraId="0A45F7B1">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rPr>
          <w:b/>
          <w:color w:val="000000"/>
          <w:sz w:val="24"/>
          <w:szCs w:val="24"/>
        </w:rPr>
        <w:t xml:space="preserve">7 - REQUISITOS DA CONTRATAÇÃO  </w:t>
      </w:r>
    </w:p>
    <w:p w14:paraId="393BEBF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p>
    <w:p w14:paraId="4AD7173A">
      <w:pPr>
        <w:spacing w:line="360" w:lineRule="auto"/>
        <w:jc w:val="both"/>
        <w:rPr>
          <w:color w:val="000000"/>
          <w:sz w:val="24"/>
          <w:szCs w:val="24"/>
        </w:rPr>
      </w:pPr>
      <w:r>
        <w:rPr>
          <w:color w:val="000000"/>
          <w:sz w:val="24"/>
          <w:szCs w:val="24"/>
        </w:rPr>
        <w:t>A aquisição se dará por meio de Licitação, em conformidade com a lei n.º 14.133/2021. Dessa forma, após o levantamento das possíveis soluções existentes no mercado, esta equipe optou pelo prosseguimento da aquisição. A empresa vencedora deverá entregar o objeto pretendido de acordo com os prazos e condições estabelecidas em edital.</w:t>
      </w:r>
    </w:p>
    <w:p w14:paraId="38A2D906">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 atender as necessidades da Secretaria Municipal de Saúde, conforme condições, quantidades, exigências e estimativas a serem estabelecidas neste instrumento e também estabelecidas no Estudo Técnico Preliminar. </w:t>
      </w:r>
    </w:p>
    <w:p w14:paraId="5A6C838F">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O contratado deverá assumir a responsabilidade por todas as providências e obrigações estabelecidas na legislação específica sobre a qualidade e especificação dos itens entregues.</w:t>
      </w:r>
    </w:p>
    <w:p w14:paraId="0FFFF0A0">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O contratado deverá prestar todos os esclarecimentos técnicos que lhe forem solicitados pelo Setor Demandante.</w:t>
      </w:r>
    </w:p>
    <w:p w14:paraId="68BEDE46">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arcar com todas as despesas, diretas ou indiretas, sem qualquer ônus para a municipalidade. </w:t>
      </w:r>
    </w:p>
    <w:p w14:paraId="7D620D73">
      <w:pPr>
        <w:spacing w:line="360" w:lineRule="auto"/>
        <w:jc w:val="both"/>
        <w:rPr>
          <w:color w:val="000000"/>
          <w:sz w:val="24"/>
          <w:szCs w:val="24"/>
        </w:rPr>
      </w:pPr>
      <w:r>
        <w:rPr>
          <w:color w:val="000000"/>
          <w:sz w:val="24"/>
          <w:szCs w:val="24"/>
        </w:rPr>
        <w:t xml:space="preserve"> Prazo de garantia contratual dos bens, complementar à garantia legal, é de, no mínimo, 12 (doze) meses; </w:t>
      </w:r>
    </w:p>
    <w:p w14:paraId="35AAF5CE">
      <w:pPr>
        <w:spacing w:line="360" w:lineRule="auto"/>
        <w:jc w:val="both"/>
        <w:rPr>
          <w:color w:val="000000"/>
          <w:sz w:val="24"/>
          <w:szCs w:val="24"/>
        </w:rPr>
      </w:pPr>
      <w:r>
        <w:rPr>
          <w:color w:val="000000"/>
          <w:sz w:val="24"/>
          <w:szCs w:val="24"/>
        </w:rPr>
        <w:t xml:space="preserve"> A garantia será prestada com vistas a manter os equipamentos fornecidos em perfeitas condições de uso, sem qualquer ônus ou custo adicional para o Contratante; A garantia abrange a realização da manutenção corretiva dos bens pelo próprio Contratado; </w:t>
      </w:r>
    </w:p>
    <w:p w14:paraId="7AA4B194">
      <w:pPr>
        <w:spacing w:line="360" w:lineRule="auto"/>
        <w:jc w:val="both"/>
        <w:rPr>
          <w:color w:val="000000"/>
          <w:sz w:val="24"/>
          <w:szCs w:val="24"/>
        </w:rPr>
      </w:pPr>
      <w:r>
        <w:rPr>
          <w:color w:val="000000"/>
          <w:sz w:val="24"/>
          <w:szCs w:val="24"/>
        </w:rPr>
        <w:t>Entende-se por manutenção corretiva aquela destinada a corrigir os defeitos apresentados pelos bens, compreendendo a substituição de peças, a realização de ajustes, reparos e correções necessárias;</w:t>
      </w:r>
    </w:p>
    <w:p w14:paraId="1B3D817D">
      <w:pPr>
        <w:spacing w:line="360" w:lineRule="auto"/>
        <w:jc w:val="both"/>
        <w:rPr>
          <w:color w:val="000000"/>
          <w:sz w:val="24"/>
          <w:szCs w:val="24"/>
        </w:rPr>
      </w:pPr>
      <w:r>
        <w:rPr>
          <w:color w:val="000000"/>
          <w:sz w:val="24"/>
          <w:szCs w:val="24"/>
        </w:rPr>
        <w:t>As peças que apresentarem vício ou defeito no período de vigência da garantia deverão ser substituídas por outras novas, de primeiro uso, e originais, que apresentem padrões de qualidade e desempenho iguais ou superiores aos das peças utilizadas na fabricação do móvel;</w:t>
      </w:r>
    </w:p>
    <w:p w14:paraId="219D62AB">
      <w:pPr>
        <w:spacing w:line="360" w:lineRule="auto"/>
        <w:jc w:val="both"/>
        <w:rPr>
          <w:color w:val="000000"/>
          <w:sz w:val="24"/>
          <w:szCs w:val="24"/>
        </w:rPr>
      </w:pPr>
      <w:r>
        <w:rPr>
          <w:color w:val="000000"/>
          <w:sz w:val="24"/>
          <w:szCs w:val="24"/>
        </w:rPr>
        <w:t>Uma vez notificado, o Contratado realizará a reparação ou substituição dos bens que apresentarem vício ou defeito no prazo de até 2 (dias) dias úteis, contados a partir da data de retirada do equipamento das dependências da Administração pelo Contratado; O prazo indicado no subitem anterior, durante seu transcurso, poderá ser prorrogado uma única vez, por igual período, mediante solicitação escrita e justificada do Contratado, aceita pelo Contratante;</w:t>
      </w:r>
    </w:p>
    <w:p w14:paraId="2DDEEDD3">
      <w:pPr>
        <w:spacing w:line="360" w:lineRule="auto"/>
        <w:jc w:val="both"/>
        <w:rPr>
          <w:color w:val="000000"/>
          <w:sz w:val="24"/>
          <w:szCs w:val="24"/>
        </w:rPr>
      </w:pPr>
      <w:r>
        <w:rPr>
          <w:color w:val="000000"/>
          <w:sz w:val="24"/>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5C5677DD">
      <w:pPr>
        <w:spacing w:line="360" w:lineRule="auto"/>
        <w:jc w:val="both"/>
        <w:rPr>
          <w:color w:val="000000"/>
          <w:sz w:val="24"/>
          <w:szCs w:val="24"/>
        </w:rPr>
      </w:pPr>
      <w:r>
        <w:rPr>
          <w:color w:val="000000"/>
          <w:sz w:val="24"/>
          <w:szCs w:val="24"/>
        </w:rPr>
        <w:t>O custo referente ao transporte dos equipamentos cobertos pela garantia será de responsabilidade do Contratado;</w:t>
      </w:r>
    </w:p>
    <w:p w14:paraId="7C414CAC">
      <w:pPr>
        <w:jc w:val="both"/>
        <w:rPr>
          <w:color w:val="000000"/>
          <w:sz w:val="24"/>
          <w:szCs w:val="24"/>
        </w:rPr>
      </w:pPr>
      <w:r>
        <w:rPr>
          <w:color w:val="000000"/>
          <w:sz w:val="24"/>
          <w:szCs w:val="24"/>
        </w:rPr>
        <w:t>Em tempo, cumpre informar que devido a urgência da referida aquisição, já devidamente fundamentada, a entrega deve ser imediata, sendo realizada em até 30 dias de acordo com o art 6°, X da lei 14.133.</w:t>
      </w:r>
    </w:p>
    <w:p w14:paraId="70275832">
      <w:pPr>
        <w:jc w:val="both"/>
        <w:rPr>
          <w:color w:val="000000"/>
          <w:sz w:val="24"/>
          <w:szCs w:val="24"/>
        </w:rPr>
      </w:pPr>
    </w:p>
    <w:p w14:paraId="306F5DCB">
      <w:pPr>
        <w:spacing w:line="360" w:lineRule="auto"/>
        <w:jc w:val="both"/>
        <w:rPr>
          <w:b/>
          <w:color w:val="000000"/>
          <w:sz w:val="24"/>
          <w:szCs w:val="24"/>
        </w:rPr>
      </w:pPr>
      <w:r>
        <w:rPr>
          <w:b/>
          <w:color w:val="000000"/>
          <w:sz w:val="24"/>
          <w:szCs w:val="24"/>
        </w:rPr>
        <w:t>8 - DA SUBCONTRATAÇÃO</w:t>
      </w:r>
    </w:p>
    <w:p w14:paraId="3B6DF051">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Não será permitida a subcontratação total ou parcial do objeto contratado, não sendo possível à contratada transferir a terceiros qualquer parcela das obrigações assumidas.</w:t>
      </w:r>
    </w:p>
    <w:p w14:paraId="03A9166A">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O descumprimento desta cláusula acarretará sanções previstas na legislação aplicável e poderá ensejar rescisão contratual imediata, sem prejuízo das demais penalidades cabíveis e da responsabilidade por perdas e danos.</w:t>
      </w:r>
    </w:p>
    <w:p w14:paraId="08CDA2D3">
      <w:pPr>
        <w:jc w:val="both"/>
        <w:rPr>
          <w:b/>
          <w:color w:val="000000"/>
          <w:sz w:val="24"/>
          <w:szCs w:val="24"/>
        </w:rPr>
      </w:pPr>
      <w:r>
        <w:rPr>
          <w:b/>
          <w:color w:val="0000FF"/>
          <w:sz w:val="24"/>
          <w:szCs w:val="24"/>
        </w:rPr>
        <w:t xml:space="preserve"> </w:t>
      </w:r>
      <w:r>
        <w:rPr>
          <w:b/>
          <w:color w:val="000000"/>
          <w:sz w:val="24"/>
          <w:szCs w:val="24"/>
        </w:rPr>
        <w:t>9 - RECEBIMENTO E CRITÉRIO DE ACEITAÇÃO</w:t>
      </w:r>
    </w:p>
    <w:p w14:paraId="53EC229C">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licitante deve proporcionar entrega das câmaras, para atender as necessidades da Secretaria Municipal de Saúde, conforme condições, quantidades, exigências e estimativas a serem estabelecidas neste instrumento e também estabelecidas no Termo de Referência. </w:t>
      </w:r>
    </w:p>
    <w:p w14:paraId="24F8B016">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assumir a responsabilidade por todas as providências e obrigações estabelecidas na legislação específica sobre a qualidade e especificação das câmaras que serão entregues. </w:t>
      </w:r>
    </w:p>
    <w:p w14:paraId="738807AB">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fornecer diretamente o objeto, não podendo transferir a responsabilidade pelo objeto demandado para nenhuma outra empresa ou instituição de qualquer natureza. </w:t>
      </w:r>
    </w:p>
    <w:p w14:paraId="449B167E">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fornecer das câmaras de acordo com as normas vigentes, de boa qualidade e de excelente aceitação no mercado. As câmaras deverão possuir garantia contra não conformidades de fabricação, a contar do recebimento definitivo dos mesmos, sendo esta garantia de sua total responsabilidade, inclusive os custos no que tange o transporte da CONTRATANTE à CONTRATADA e seu devido retorno a CONTRATANTE. </w:t>
      </w:r>
    </w:p>
    <w:p w14:paraId="0CBAC4DB">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prestar todos os esclarecimentos técnicos que lhe forem solicitados, relacionados com as características das câmaras fornecidas. </w:t>
      </w:r>
    </w:p>
    <w:p w14:paraId="741EBA4E">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arcar com todas as despesas, diretas ou indiretas, decorrentes do fornecimento das câmaras, sem qualquer ônus para a municipalidade. </w:t>
      </w:r>
    </w:p>
    <w:p w14:paraId="59DE3DBE">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contratado deverá repetir procedimentos às suas próprias custas para correção de falhas verificadas, principalmente na hipótese de aquisição do objeto em desacordo com as condições pactuadas. </w:t>
      </w:r>
    </w:p>
    <w:p w14:paraId="3DF38228">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Os riscos de impactos ocasionados devido a produção nas indústrias, as empresas deverão atentar para as práticas de mitigação dos impactos na produção, em como as lei e Resoluções que orientam a produção sustentável dessas atividades. </w:t>
      </w:r>
    </w:p>
    <w:p w14:paraId="41D51418">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A aquisição deve considerar as consequências ambientais, sociais e econômicos de: projeto; uso de materiais não renováveis; fabricação e métodos de produção, logística; uso, operação, manutenção, reutilização; opções de reciclagem; disposição, e as capacidades dos fornecedores para resolver essas consequências em toda a cadeia de abastecimento. </w:t>
      </w:r>
    </w:p>
    <w:p w14:paraId="2670B536">
      <w:pPr>
        <w:spacing w:line="360" w:lineRule="auto"/>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As câmaras frias deverão ser entregues na Central de Imunização, localizada na Rua Coronel Leite Pinto, nº 105, Centro, na antiga Santa Casa, nesta cidade.</w:t>
      </w:r>
    </w:p>
    <w:p w14:paraId="4CE49FF3">
      <w:pPr>
        <w:spacing w:line="360" w:lineRule="auto"/>
        <w:jc w:val="both"/>
        <w:rPr>
          <w:color w:val="C00000"/>
          <w:sz w:val="24"/>
          <w:szCs w:val="24"/>
        </w:rPr>
      </w:pPr>
    </w:p>
    <w:p w14:paraId="3783BFED">
      <w:pPr>
        <w:jc w:val="both"/>
        <w:rPr>
          <w:b/>
          <w:color w:val="000000"/>
          <w:sz w:val="24"/>
          <w:szCs w:val="24"/>
        </w:rPr>
      </w:pPr>
      <w:r>
        <w:rPr>
          <w:b/>
          <w:color w:val="000000"/>
          <w:sz w:val="24"/>
          <w:szCs w:val="24"/>
        </w:rPr>
        <w:t>10 - OBRIGAÇÕES DA CONTRATADA</w:t>
      </w:r>
    </w:p>
    <w:p w14:paraId="5466C2BD">
      <w:pPr>
        <w:rPr>
          <w:color w:val="000000"/>
          <w:sz w:val="24"/>
          <w:szCs w:val="24"/>
        </w:rPr>
      </w:pPr>
    </w:p>
    <w:p w14:paraId="05499CC3">
      <w:pPr>
        <w:pBdr>
          <w:top w:val="none" w:color="auto" w:sz="0" w:space="0"/>
          <w:left w:val="none" w:color="auto" w:sz="0" w:space="0"/>
          <w:bottom w:val="none" w:color="auto" w:sz="0" w:space="0"/>
          <w:right w:val="none" w:color="auto" w:sz="0" w:space="0"/>
          <w:between w:val="none" w:color="auto" w:sz="0" w:space="0"/>
        </w:pBdr>
        <w:spacing w:after="160" w:line="360" w:lineRule="auto"/>
        <w:jc w:val="both"/>
        <w:rPr>
          <w:color w:val="000000"/>
          <w:sz w:val="24"/>
          <w:szCs w:val="24"/>
        </w:rPr>
      </w:pPr>
      <w:r>
        <w:rPr>
          <w:color w:val="000000"/>
          <w:sz w:val="24"/>
          <w:szCs w:val="24"/>
        </w:rPr>
        <w:t xml:space="preserve">A Contratada deve cumprir todas as obrigações e executar objeto nas condições previstas, seus anexos e sua proposta, assumindo como exclusivamente seus riscos e as despesas decorrentes da boa e perfeita execução do objeto e, ainda: </w:t>
      </w:r>
    </w:p>
    <w:p w14:paraId="740F9EFB">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Executar a entrega do objetivo pretendido, conforme especificações, prazo e local constantes no Termo de Referência, acompanhado da respectiva nota fiscal;</w:t>
      </w:r>
    </w:p>
    <w:p w14:paraId="16530197">
      <w:pPr>
        <w:pBdr>
          <w:top w:val="none" w:color="auto" w:sz="0" w:space="0"/>
          <w:left w:val="none" w:color="auto" w:sz="0" w:space="0"/>
          <w:bottom w:val="none" w:color="auto" w:sz="0" w:space="0"/>
          <w:right w:val="none" w:color="auto" w:sz="0" w:space="0"/>
          <w:between w:val="none" w:color="auto" w:sz="0" w:space="0"/>
        </w:pBdr>
        <w:spacing w:after="157" w:line="360" w:lineRule="auto"/>
        <w:jc w:val="both"/>
        <w:rPr>
          <w:color w:val="000000"/>
          <w:sz w:val="24"/>
          <w:szCs w:val="24"/>
        </w:rPr>
      </w:pPr>
      <w:r>
        <w:rPr>
          <w:color w:val="000000"/>
          <w:sz w:val="24"/>
          <w:szCs w:val="24"/>
        </w:rPr>
        <w:t xml:space="preserve">Responsabilizar-se pelos vícios e danos decorrentes do objeto, de acordo com os artigos 12, 13 e 17 a 27, do Código de Defesa do Consumidor (Lei nº 8.078, de 1990); </w:t>
      </w:r>
    </w:p>
    <w:p w14:paraId="0970C1D2">
      <w:pPr>
        <w:pBdr>
          <w:top w:val="none" w:color="auto" w:sz="0" w:space="0"/>
          <w:left w:val="none" w:color="auto" w:sz="0" w:space="0"/>
          <w:bottom w:val="none" w:color="auto" w:sz="0" w:space="0"/>
          <w:right w:val="none" w:color="auto" w:sz="0" w:space="0"/>
          <w:between w:val="none" w:color="auto" w:sz="0" w:space="0"/>
        </w:pBdr>
        <w:spacing w:after="157" w:line="360" w:lineRule="auto"/>
        <w:jc w:val="both"/>
        <w:rPr>
          <w:color w:val="000000"/>
          <w:sz w:val="24"/>
          <w:szCs w:val="24"/>
        </w:rPr>
      </w:pPr>
      <w:r>
        <w:rPr>
          <w:color w:val="000000"/>
          <w:sz w:val="24"/>
          <w:szCs w:val="24"/>
        </w:rPr>
        <w:t xml:space="preserve">Responsabilizar-se pelos danos causados diretamente à Administração ou a terceiros, decorrentes de sua culpa ou dolo na execução do contrato, não excluindo ou reduzindo essa responsabilidade à fiscalização ou o acompanhamento; </w:t>
      </w:r>
    </w:p>
    <w:p w14:paraId="45C83F19">
      <w:pPr>
        <w:pBdr>
          <w:top w:val="none" w:color="auto" w:sz="0" w:space="0"/>
          <w:left w:val="none" w:color="auto" w:sz="0" w:space="0"/>
          <w:bottom w:val="none" w:color="auto" w:sz="0" w:space="0"/>
          <w:right w:val="none" w:color="auto" w:sz="0" w:space="0"/>
          <w:between w:val="none" w:color="auto" w:sz="0" w:space="0"/>
        </w:pBdr>
        <w:spacing w:after="157" w:line="360" w:lineRule="auto"/>
        <w:jc w:val="both"/>
        <w:rPr>
          <w:color w:val="000000"/>
          <w:sz w:val="24"/>
          <w:szCs w:val="24"/>
        </w:rPr>
      </w:pPr>
      <w:r>
        <w:rPr>
          <w:color w:val="000000"/>
          <w:sz w:val="24"/>
          <w:szCs w:val="24"/>
        </w:rPr>
        <w:t xml:space="preserve">Manter durante toda a execução do contrato, todas as condições de habilitação e qualificação exigidas para a licitação; </w:t>
      </w:r>
    </w:p>
    <w:p w14:paraId="2E29898F">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Responder pelos encargos trabalhistas, previdenciários, fiscais e comerciais resultantes da aquisição dos bens.</w:t>
      </w:r>
    </w:p>
    <w:p w14:paraId="0A8F06DF">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FF"/>
          <w:sz w:val="24"/>
          <w:szCs w:val="24"/>
        </w:rPr>
      </w:pPr>
    </w:p>
    <w:p w14:paraId="2C075D46">
      <w:pPr>
        <w:jc w:val="both"/>
        <w:rPr>
          <w:b/>
          <w:color w:val="000000"/>
          <w:sz w:val="24"/>
          <w:szCs w:val="24"/>
        </w:rPr>
      </w:pPr>
      <w:r>
        <w:rPr>
          <w:b/>
          <w:color w:val="000000"/>
          <w:sz w:val="24"/>
          <w:szCs w:val="24"/>
        </w:rPr>
        <w:t>11 - OBRIGAÇÕES DA CONTRATANTE</w:t>
      </w:r>
    </w:p>
    <w:p w14:paraId="31920C1D">
      <w:pPr>
        <w:jc w:val="both"/>
        <w:rPr>
          <w:color w:val="000000"/>
          <w:sz w:val="24"/>
          <w:szCs w:val="24"/>
        </w:rPr>
      </w:pPr>
    </w:p>
    <w:p w14:paraId="4AE78B87">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Disponibilizar profissional específico, para acompanhar a execução do objeto licitado; </w:t>
      </w:r>
    </w:p>
    <w:p w14:paraId="2FE08F76">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Encaminhar formalmente a demanda, de acordo com os critérios estabelecidos no Termo de Referência; </w:t>
      </w:r>
    </w:p>
    <w:p w14:paraId="54EC7E67">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Verificar se o objeto contratado se encontra em conformidade com a proposta, conforme inspeções realizadas no prazo e condições estabelecidas no Edital e seus anexos; </w:t>
      </w:r>
    </w:p>
    <w:p w14:paraId="0FBA1BC6">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Comunicar à contratada, por escrito, sobre imperfeições, falhas ou irregularidades verificadas; </w:t>
      </w:r>
    </w:p>
    <w:p w14:paraId="71C8330C">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Acompanhar e fiscalizar o cumprimento das obrigações servidor especialmente designado; </w:t>
      </w:r>
    </w:p>
    <w:p w14:paraId="285B5570">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Aplicar as sanções administrativas regulamentares e contratuais cabíveis; </w:t>
      </w:r>
    </w:p>
    <w:p w14:paraId="52E969C0">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Efetuar o pagamento do objeto, no prazo e forma estabelecidos no Edital e seus anexos; </w:t>
      </w:r>
    </w:p>
    <w:p w14:paraId="5F8AD034">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A Administração não responderá por quaisquer compromissos assumidos pela com terceiros, ainda que vinculados à execução do presente Termo de Contrato, bem como por qualquer dano causado a terceiros em decorrência de ato da Contratada, de seus empregados, prepostos ou subordinados; </w:t>
      </w:r>
    </w:p>
    <w:p w14:paraId="6B62327B">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14:paraId="31377F7D">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92299FB">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FF"/>
          <w:sz w:val="24"/>
          <w:szCs w:val="24"/>
        </w:rPr>
      </w:pPr>
    </w:p>
    <w:p w14:paraId="7F79F52A">
      <w:pPr>
        <w:pBdr>
          <w:top w:val="none" w:color="auto" w:sz="0" w:space="0"/>
          <w:left w:val="none" w:color="auto" w:sz="0" w:space="0"/>
          <w:bottom w:val="none" w:color="auto" w:sz="0" w:space="0"/>
          <w:right w:val="none" w:color="auto" w:sz="0" w:space="0"/>
          <w:between w:val="none" w:color="auto" w:sz="0" w:space="0"/>
        </w:pBdr>
        <w:rPr>
          <w:color w:val="000000"/>
          <w:sz w:val="24"/>
          <w:szCs w:val="24"/>
        </w:rPr>
      </w:pPr>
      <w:r>
        <w:rPr>
          <w:b/>
          <w:color w:val="000000"/>
          <w:sz w:val="24"/>
          <w:szCs w:val="24"/>
        </w:rPr>
        <w:t xml:space="preserve">12 - FORMA E CRITÉRIO DE SELEÇÃO DO FORNECEDOR </w:t>
      </w:r>
    </w:p>
    <w:p w14:paraId="04BF5B4D">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3C1E4302">
      <w:pPr>
        <w:spacing w:line="360" w:lineRule="auto"/>
        <w:jc w:val="both"/>
        <w:rPr>
          <w:color w:val="000000"/>
          <w:sz w:val="24"/>
          <w:szCs w:val="24"/>
        </w:rPr>
      </w:pPr>
      <w:r>
        <w:rPr>
          <w:color w:val="000000"/>
          <w:sz w:val="24"/>
          <w:szCs w:val="24"/>
        </w:rPr>
        <w:t>Forma de seleção e critério de julgamento da proposta</w:t>
      </w:r>
    </w:p>
    <w:p w14:paraId="6FFD79BE">
      <w:pPr>
        <w:spacing w:line="360" w:lineRule="auto"/>
        <w:jc w:val="both"/>
        <w:rPr>
          <w:color w:val="000000"/>
          <w:sz w:val="24"/>
          <w:szCs w:val="24"/>
        </w:rPr>
      </w:pPr>
      <w:r>
        <w:rPr>
          <w:color w:val="000000"/>
          <w:sz w:val="24"/>
          <w:szCs w:val="24"/>
        </w:rPr>
        <w:t>O fornecedor será selecionado por meio de Pregão Eletrônico.</w:t>
      </w:r>
    </w:p>
    <w:p w14:paraId="6A345BF1">
      <w:pPr>
        <w:spacing w:line="360" w:lineRule="auto"/>
        <w:jc w:val="both"/>
        <w:rPr>
          <w:color w:val="000000"/>
          <w:sz w:val="24"/>
          <w:szCs w:val="24"/>
        </w:rPr>
      </w:pPr>
      <w:r>
        <w:rPr>
          <w:color w:val="000000"/>
          <w:sz w:val="24"/>
          <w:szCs w:val="24"/>
        </w:rPr>
        <w:t>Exigências de habilitação</w:t>
      </w:r>
    </w:p>
    <w:p w14:paraId="75B8185F">
      <w:pPr>
        <w:spacing w:line="360" w:lineRule="auto"/>
        <w:jc w:val="both"/>
        <w:rPr>
          <w:color w:val="000000"/>
          <w:sz w:val="24"/>
          <w:szCs w:val="24"/>
        </w:rPr>
      </w:pPr>
      <w:r>
        <w:rPr>
          <w:color w:val="000000"/>
          <w:sz w:val="24"/>
          <w:szCs w:val="24"/>
        </w:rPr>
        <w:t>Para fins de habilitação, deverá o licitante comprovar os seguintes requisitos:</w:t>
      </w:r>
    </w:p>
    <w:p w14:paraId="328BDCF7">
      <w:pPr>
        <w:spacing w:line="360" w:lineRule="auto"/>
        <w:jc w:val="both"/>
        <w:rPr>
          <w:color w:val="000000"/>
          <w:sz w:val="24"/>
          <w:szCs w:val="24"/>
        </w:rPr>
      </w:pPr>
      <w:r>
        <w:rPr>
          <w:color w:val="000000"/>
          <w:sz w:val="24"/>
          <w:szCs w:val="24"/>
        </w:rPr>
        <w:t>Habilitação jurídica</w:t>
      </w:r>
    </w:p>
    <w:p w14:paraId="3AA8AB4D">
      <w:pPr>
        <w:spacing w:line="360" w:lineRule="auto"/>
        <w:jc w:val="both"/>
        <w:rPr>
          <w:color w:val="000000"/>
          <w:sz w:val="24"/>
          <w:szCs w:val="24"/>
        </w:rPr>
      </w:pPr>
      <w:r>
        <w:rPr>
          <w:b/>
          <w:color w:val="000000"/>
          <w:sz w:val="24"/>
          <w:szCs w:val="24"/>
        </w:rPr>
        <w:t xml:space="preserve">Microempreendedor Individual - MEI: </w:t>
      </w:r>
      <w:r>
        <w:rPr>
          <w:color w:val="000000"/>
          <w:sz w:val="24"/>
          <w:szCs w:val="24"/>
        </w:rPr>
        <w:t xml:space="preserve">Certificado da Condição de Microempreendedor Individual - CCMEI, cuja aceitação ficará condicionada à verificação da autenticidade no sítio </w:t>
      </w:r>
      <w:r>
        <w:fldChar w:fldCharType="begin"/>
      </w:r>
      <w:r>
        <w:instrText xml:space="preserve"> HYPERLINK "http://www.gov.br/empresas-e-negocios/pt-br/empreendedor%3B" \h </w:instrText>
      </w:r>
      <w:r>
        <w:fldChar w:fldCharType="separate"/>
      </w:r>
      <w:r>
        <w:rPr>
          <w:color w:val="000000"/>
          <w:sz w:val="24"/>
          <w:szCs w:val="24"/>
        </w:rPr>
        <w:t>https://www.gov.br/empresas-e-negocios/pt-br/empreendedor;</w:t>
      </w:r>
      <w:r>
        <w:rPr>
          <w:color w:val="000000"/>
          <w:sz w:val="24"/>
          <w:szCs w:val="24"/>
        </w:rPr>
        <w:fldChar w:fldCharType="end"/>
      </w:r>
    </w:p>
    <w:p w14:paraId="73C06BF5">
      <w:pPr>
        <w:spacing w:line="360" w:lineRule="auto"/>
        <w:jc w:val="both"/>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7FA7EAE">
      <w:pPr>
        <w:spacing w:line="360" w:lineRule="auto"/>
        <w:jc w:val="both"/>
        <w:rPr>
          <w:color w:val="000000"/>
          <w:sz w:val="24"/>
          <w:szCs w:val="24"/>
        </w:rPr>
      </w:pPr>
      <w:r>
        <w:rPr>
          <w:b/>
          <w:color w:val="000000"/>
          <w:sz w:val="24"/>
          <w:szCs w:val="24"/>
        </w:rPr>
        <w:t xml:space="preserve">Sociedade empresária estrangeira: </w:t>
      </w:r>
      <w:r>
        <w:rPr>
          <w:color w:val="000000"/>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FDAA99C">
      <w:pPr>
        <w:spacing w:line="360" w:lineRule="auto"/>
        <w:jc w:val="both"/>
        <w:rPr>
          <w:color w:val="000000"/>
          <w:sz w:val="24"/>
          <w:szCs w:val="24"/>
        </w:rPr>
      </w:pPr>
      <w:r>
        <w:rPr>
          <w:b/>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14:paraId="22A99BB1">
      <w:pPr>
        <w:spacing w:line="360" w:lineRule="auto"/>
        <w:jc w:val="both"/>
        <w:rPr>
          <w:color w:val="000000"/>
          <w:sz w:val="24"/>
          <w:szCs w:val="24"/>
        </w:rPr>
      </w:pPr>
      <w:r>
        <w:rPr>
          <w:b/>
          <w:color w:val="000000"/>
          <w:sz w:val="24"/>
          <w:szCs w:val="24"/>
        </w:rPr>
        <w:t xml:space="preserve">Filial, sucursal ou agência de sociedade simples ou empresária: </w:t>
      </w:r>
      <w:r>
        <w:rPr>
          <w:color w:val="000000"/>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C69CDB">
      <w:pPr>
        <w:spacing w:line="360" w:lineRule="auto"/>
        <w:jc w:val="both"/>
        <w:rPr>
          <w:color w:val="000000"/>
          <w:sz w:val="24"/>
          <w:szCs w:val="24"/>
        </w:rPr>
      </w:pPr>
      <w:r>
        <w:rPr>
          <w:b/>
          <w:color w:val="000000"/>
          <w:sz w:val="24"/>
          <w:szCs w:val="24"/>
        </w:rPr>
        <w:t xml:space="preserve">Sociedade cooperativa: </w:t>
      </w:r>
      <w:r>
        <w:rPr>
          <w:color w:val="000000"/>
          <w:sz w:val="24"/>
          <w:szCs w:val="24"/>
        </w:rPr>
        <w:t>ata de fundação e estatuto social, com a ata da assembleia que o aprovou, devidamente arquivado na Junta Comercial ou inscrito no Registro Civil das Pessoas Jurídicas da respectiva sede além doregistrodequetrataoart.107daLeinº5.764, de 16 de dezembro 1971.</w:t>
      </w:r>
    </w:p>
    <w:p w14:paraId="617C694E">
      <w:pPr>
        <w:spacing w:line="360" w:lineRule="auto"/>
        <w:jc w:val="both"/>
        <w:rPr>
          <w:b/>
          <w:color w:val="000000"/>
          <w:sz w:val="24"/>
          <w:szCs w:val="24"/>
        </w:rPr>
      </w:pPr>
      <w:r>
        <w:rPr>
          <w:b/>
          <w:color w:val="000000"/>
          <w:sz w:val="24"/>
          <w:szCs w:val="24"/>
        </w:rPr>
        <w:t xml:space="preserve">Habilitação fiscal, social e trabalhista   </w:t>
      </w:r>
    </w:p>
    <w:p w14:paraId="7CE0B6D0">
      <w:pPr>
        <w:spacing w:line="360" w:lineRule="auto"/>
        <w:jc w:val="both"/>
        <w:rPr>
          <w:color w:val="000000"/>
          <w:sz w:val="24"/>
          <w:szCs w:val="24"/>
        </w:rPr>
      </w:pPr>
      <w:r>
        <w:rPr>
          <w:color w:val="000000"/>
          <w:sz w:val="24"/>
          <w:szCs w:val="24"/>
        </w:rPr>
        <w:t>Prova de inscrição no Cadastro Nacional de Pessoas Jurídicas;</w:t>
      </w:r>
    </w:p>
    <w:p w14:paraId="53D255D4">
      <w:pPr>
        <w:spacing w:line="360" w:lineRule="auto"/>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nº1.751, de 02 de outubro de 2014, do Secretário da Receita Federal do Brasil e da Procuradora-Geral da Fazenda Nacional.</w:t>
      </w:r>
    </w:p>
    <w:p w14:paraId="4733810E">
      <w:pPr>
        <w:spacing w:line="360" w:lineRule="auto"/>
        <w:jc w:val="both"/>
        <w:rPr>
          <w:color w:val="000000"/>
          <w:sz w:val="24"/>
          <w:szCs w:val="24"/>
        </w:rPr>
      </w:pPr>
      <w:r>
        <w:rPr>
          <w:color w:val="000000"/>
          <w:sz w:val="24"/>
          <w:szCs w:val="24"/>
        </w:rPr>
        <w:t>Prova de regularidade com o Fundo de Garantia do Tempo de Serviço (FGTS);</w:t>
      </w:r>
    </w:p>
    <w:p w14:paraId="1DEAC42A">
      <w:pPr>
        <w:spacing w:line="360" w:lineRule="auto"/>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de1ºde maio de 1943;</w:t>
      </w:r>
    </w:p>
    <w:p w14:paraId="52743D13">
      <w:pPr>
        <w:spacing w:line="360" w:lineRule="auto"/>
        <w:jc w:val="both"/>
        <w:rPr>
          <w:color w:val="000000"/>
          <w:sz w:val="24"/>
          <w:szCs w:val="24"/>
        </w:rPr>
      </w:pPr>
      <w:r>
        <w:rPr>
          <w:color w:val="000000"/>
          <w:sz w:val="24"/>
          <w:szCs w:val="24"/>
        </w:rPr>
        <w:t xml:space="preserve">Prova de inscrição no cadastro de contribuintes </w:t>
      </w:r>
      <w:r>
        <w:rPr>
          <w:i/>
          <w:color w:val="000000"/>
          <w:sz w:val="24"/>
          <w:szCs w:val="24"/>
        </w:rPr>
        <w:t xml:space="preserve">[Estadual/Distrital] </w:t>
      </w:r>
      <w:r>
        <w:rPr>
          <w:color w:val="000000"/>
          <w:sz w:val="24"/>
          <w:szCs w:val="24"/>
        </w:rPr>
        <w:t xml:space="preserve">e </w:t>
      </w:r>
      <w:r>
        <w:rPr>
          <w:i/>
          <w:color w:val="000000"/>
          <w:sz w:val="24"/>
          <w:szCs w:val="24"/>
        </w:rPr>
        <w:t>[Municipal/Distrital]</w:t>
      </w:r>
    </w:p>
    <w:p w14:paraId="5057D61F">
      <w:pPr>
        <w:spacing w:line="360" w:lineRule="auto"/>
        <w:jc w:val="both"/>
        <w:rPr>
          <w:color w:val="000000"/>
          <w:sz w:val="24"/>
          <w:szCs w:val="24"/>
        </w:rPr>
      </w:pPr>
      <w:r>
        <w:rPr>
          <w:color w:val="000000"/>
          <w:sz w:val="24"/>
          <w:szCs w:val="24"/>
        </w:rPr>
        <w:t>Relativo ao domicílio ou sede do fornecedor, pertinente ao seu ramo de atividade e compatível com o objeto contratual;</w:t>
      </w:r>
    </w:p>
    <w:p w14:paraId="54BE4365">
      <w:pPr>
        <w:spacing w:line="360" w:lineRule="auto"/>
        <w:jc w:val="both"/>
        <w:rPr>
          <w:color w:val="000000"/>
          <w:sz w:val="24"/>
          <w:szCs w:val="24"/>
        </w:rPr>
      </w:pPr>
      <w:r>
        <w:rPr>
          <w:color w:val="000000"/>
          <w:sz w:val="24"/>
          <w:szCs w:val="24"/>
        </w:rPr>
        <w:t xml:space="preserve">Prova de regularidade com a Fazenda </w:t>
      </w:r>
      <w:r>
        <w:rPr>
          <w:i/>
          <w:color w:val="000000"/>
          <w:sz w:val="24"/>
          <w:szCs w:val="24"/>
        </w:rPr>
        <w:t xml:space="preserve">Estadual/Distrital e Municipal/Distrital </w:t>
      </w:r>
      <w:r>
        <w:rPr>
          <w:color w:val="000000"/>
          <w:sz w:val="24"/>
          <w:szCs w:val="24"/>
        </w:rPr>
        <w:t>do domicílio ou sede do fornecedor, relativa à atividade em cujo exercício contrata ou concorre;</w:t>
      </w:r>
    </w:p>
    <w:p w14:paraId="222C5542">
      <w:pPr>
        <w:spacing w:line="360" w:lineRule="auto"/>
        <w:jc w:val="both"/>
        <w:rPr>
          <w:color w:val="000000"/>
          <w:sz w:val="24"/>
          <w:szCs w:val="24"/>
        </w:rPr>
      </w:pPr>
      <w:r>
        <w:rPr>
          <w:color w:val="000000"/>
          <w:sz w:val="24"/>
          <w:szCs w:val="24"/>
        </w:rPr>
        <w:t xml:space="preserve">Caso o fornecedor seja considerado isento dos tributos </w:t>
      </w:r>
      <w:r>
        <w:rPr>
          <w:i/>
          <w:color w:val="000000"/>
          <w:sz w:val="24"/>
          <w:szCs w:val="24"/>
        </w:rPr>
        <w:t xml:space="preserve">[Estadual/Distrital] e [Municipal/Distrital] </w:t>
      </w:r>
      <w:r>
        <w:rPr>
          <w:color w:val="000000"/>
          <w:sz w:val="24"/>
          <w:szCs w:val="24"/>
        </w:rPr>
        <w:t>relacionados ao objeto contratual, deverá comprovar tal condição mediante a apresentação de declaração da Fazenda respectiva do seu domicílio ou sede, ou outra equivalente, na forma da lei.</w:t>
      </w:r>
    </w:p>
    <w:p w14:paraId="19CF771B">
      <w:pPr>
        <w:spacing w:line="360" w:lineRule="auto"/>
        <w:jc w:val="both"/>
        <w:rPr>
          <w:color w:val="000000"/>
          <w:sz w:val="24"/>
          <w:szCs w:val="24"/>
        </w:rPr>
      </w:pPr>
      <w:r>
        <w:rPr>
          <w:color w:val="000000"/>
          <w:sz w:val="24"/>
          <w:szCs w:val="24"/>
        </w:rPr>
        <w:t>O fornecedor enquadrado como microempreendedor individual que pretenda auferir os benefícios do tratamento diferenciado previstos na Lei Complementar n.123, de 2006, estará dispensado da prova de inscrição nos cadastros de contribuintes estadual e municipal.</w:t>
      </w:r>
    </w:p>
    <w:p w14:paraId="47190E24">
      <w:pPr>
        <w:spacing w:line="360" w:lineRule="auto"/>
        <w:jc w:val="both"/>
        <w:rPr>
          <w:b/>
          <w:color w:val="000000"/>
          <w:sz w:val="24"/>
          <w:szCs w:val="24"/>
        </w:rPr>
      </w:pPr>
    </w:p>
    <w:p w14:paraId="5D5D2CC2">
      <w:pPr>
        <w:spacing w:line="360" w:lineRule="auto"/>
        <w:jc w:val="both"/>
        <w:rPr>
          <w:b/>
          <w:color w:val="000000"/>
          <w:sz w:val="24"/>
          <w:szCs w:val="24"/>
        </w:rPr>
      </w:pPr>
      <w:r>
        <w:rPr>
          <w:b/>
          <w:color w:val="000000"/>
          <w:sz w:val="24"/>
          <w:szCs w:val="24"/>
        </w:rPr>
        <w:t>Qualificação Técnica</w:t>
      </w:r>
    </w:p>
    <w:p w14:paraId="5A8AF414">
      <w:pPr>
        <w:pBdr>
          <w:top w:val="none" w:color="auto" w:sz="0" w:space="0"/>
          <w:left w:val="none" w:color="auto" w:sz="0" w:space="0"/>
          <w:bottom w:val="none" w:color="auto" w:sz="0" w:space="0"/>
          <w:right w:val="none" w:color="auto" w:sz="0" w:space="0"/>
          <w:between w:val="none" w:color="auto" w:sz="0" w:space="0"/>
        </w:pBdr>
        <w:spacing w:line="360" w:lineRule="auto"/>
        <w:jc w:val="both"/>
        <w:rPr>
          <w:color w:val="000000"/>
          <w:sz w:val="24"/>
          <w:szCs w:val="24"/>
        </w:rPr>
      </w:pPr>
      <w:r>
        <w:rPr>
          <w:color w:val="000000"/>
          <w:sz w:val="24"/>
          <w:szCs w:val="24"/>
        </w:rPr>
        <w:t xml:space="preserve">Comprovação através da apresentação de atestado(s) fornecido(s) por pessoa jurídica de direito público ou privado de que atua no ramo de atividade do fornecimento do objeto desta licitação e de que cumpriu, ou vem cumprindo, integralmente e de modo satisfatório Contrato anteriormente mantido com o emitente do atestado; </w:t>
      </w:r>
    </w:p>
    <w:p w14:paraId="1FC288CC">
      <w:pPr>
        <w:pBdr>
          <w:top w:val="none" w:color="auto" w:sz="0" w:space="0"/>
          <w:left w:val="none" w:color="auto" w:sz="0" w:space="0"/>
          <w:bottom w:val="none" w:color="auto" w:sz="0" w:space="0"/>
          <w:right w:val="none" w:color="auto" w:sz="0" w:space="0"/>
          <w:between w:val="none" w:color="auto" w:sz="0" w:space="0"/>
        </w:pBdr>
        <w:spacing w:before="280" w:after="280" w:line="360" w:lineRule="auto"/>
        <w:jc w:val="both"/>
        <w:rPr>
          <w:color w:val="000000"/>
          <w:sz w:val="24"/>
          <w:szCs w:val="24"/>
        </w:rPr>
      </w:pPr>
      <w:r>
        <w:rPr>
          <w:color w:val="000000"/>
          <w:sz w:val="24"/>
          <w:szCs w:val="24"/>
        </w:rPr>
        <w:t>Declaração do fabricante ou fornecedor de que o equipamento atende às normas da ANVISA para armazenamento de vacinas e imunobiológicos;</w:t>
      </w:r>
    </w:p>
    <w:p w14:paraId="0506B24F">
      <w:pPr>
        <w:pBdr>
          <w:top w:val="none" w:color="auto" w:sz="0" w:space="0"/>
          <w:left w:val="none" w:color="auto" w:sz="0" w:space="0"/>
          <w:bottom w:val="none" w:color="auto" w:sz="0" w:space="0"/>
          <w:right w:val="none" w:color="auto" w:sz="0" w:space="0"/>
          <w:between w:val="none" w:color="auto" w:sz="0" w:space="0"/>
        </w:pBdr>
        <w:rPr>
          <w:b/>
          <w:color w:val="000000"/>
          <w:sz w:val="24"/>
          <w:szCs w:val="24"/>
        </w:rPr>
      </w:pPr>
      <w:r>
        <w:rPr>
          <w:b/>
          <w:color w:val="000000"/>
          <w:sz w:val="24"/>
          <w:szCs w:val="24"/>
        </w:rPr>
        <w:t xml:space="preserve">13 - DOTAÇÃO ORÇAMENTÁRIA </w:t>
      </w:r>
    </w:p>
    <w:p w14:paraId="6CF33D04">
      <w:pPr>
        <w:pBdr>
          <w:top w:val="none" w:color="auto" w:sz="0" w:space="0"/>
          <w:left w:val="none" w:color="auto" w:sz="0" w:space="0"/>
          <w:bottom w:val="none" w:color="auto" w:sz="0" w:space="0"/>
          <w:right w:val="none" w:color="auto" w:sz="0" w:space="0"/>
          <w:between w:val="none" w:color="auto" w:sz="0" w:space="0"/>
        </w:pBdr>
        <w:rPr>
          <w:color w:val="000000"/>
          <w:sz w:val="24"/>
          <w:szCs w:val="24"/>
        </w:rPr>
      </w:pPr>
    </w:p>
    <w:p w14:paraId="4A78A4C2">
      <w:pPr>
        <w:spacing w:line="360" w:lineRule="auto"/>
        <w:jc w:val="both"/>
        <w:rPr>
          <w:color w:val="000000"/>
          <w:sz w:val="24"/>
          <w:szCs w:val="24"/>
        </w:rPr>
      </w:pPr>
      <w:r>
        <w:rPr>
          <w:color w:val="000000"/>
          <w:sz w:val="24"/>
          <w:szCs w:val="24"/>
        </w:rPr>
        <w:t>03.01.10.305.0028.2112.44.90.52.00.00.00.1601</w:t>
      </w:r>
    </w:p>
    <w:p w14:paraId="11558C4F">
      <w:pPr>
        <w:spacing w:line="360" w:lineRule="auto"/>
        <w:jc w:val="both"/>
        <w:rPr>
          <w:b/>
          <w:color w:val="000000"/>
          <w:sz w:val="24"/>
          <w:szCs w:val="24"/>
          <w:u w:val="single"/>
        </w:rPr>
      </w:pPr>
      <w:r>
        <w:rPr>
          <w:b/>
          <w:color w:val="000000"/>
          <w:sz w:val="24"/>
          <w:szCs w:val="24"/>
        </w:rPr>
        <w:t>14 - DO PAGAMENTO</w:t>
      </w:r>
    </w:p>
    <w:p w14:paraId="19F46068">
      <w:pPr>
        <w:spacing w:line="360" w:lineRule="auto"/>
        <w:rPr>
          <w:color w:val="000000"/>
          <w:sz w:val="24"/>
          <w:szCs w:val="24"/>
        </w:rPr>
      </w:pPr>
    </w:p>
    <w:p w14:paraId="4F2347FA">
      <w:pPr>
        <w:spacing w:line="360" w:lineRule="auto"/>
        <w:jc w:val="both"/>
        <w:rPr>
          <w:color w:val="000000"/>
          <w:sz w:val="24"/>
          <w:szCs w:val="24"/>
        </w:rPr>
      </w:pPr>
      <w:r>
        <w:rPr>
          <w:color w:val="000000"/>
          <w:sz w:val="24"/>
          <w:szCs w:val="24"/>
        </w:rPr>
        <w:t xml:space="preserve">O pagamento será efetuado até o 30º (trigésimo) dia do mês subsequente ao do recebimento definitivo dos equipamentos, mediante crédito em conta corrente, após a apresentação da respectiva Nota Fiscal/Fatura, devidamente atestada pelo fiscal do contrato ou servidor responsável pelo recebimento, acompanhada do comprovante de entrega dos equipamentos, em conformidade com as especificações constantes neste Termo de Referência. </w:t>
      </w:r>
    </w:p>
    <w:p w14:paraId="178D25A1">
      <w:pPr>
        <w:jc w:val="both"/>
        <w:rPr>
          <w:color w:val="0000FF"/>
          <w:sz w:val="24"/>
          <w:szCs w:val="24"/>
        </w:rPr>
      </w:pPr>
    </w:p>
    <w:p w14:paraId="1CE942DE">
      <w:pPr>
        <w:jc w:val="both"/>
        <w:rPr>
          <w:b/>
          <w:color w:val="000000"/>
          <w:sz w:val="24"/>
          <w:szCs w:val="24"/>
        </w:rPr>
      </w:pPr>
      <w:r>
        <w:rPr>
          <w:b/>
          <w:color w:val="000000"/>
          <w:sz w:val="24"/>
          <w:szCs w:val="24"/>
        </w:rPr>
        <w:t>15 - VIGÊNCIA</w:t>
      </w:r>
    </w:p>
    <w:p w14:paraId="3BB70D06">
      <w:pPr>
        <w:jc w:val="both"/>
        <w:rPr>
          <w:color w:val="000000"/>
          <w:sz w:val="24"/>
          <w:szCs w:val="24"/>
        </w:rPr>
      </w:pPr>
    </w:p>
    <w:p w14:paraId="787B78DE">
      <w:pPr>
        <w:jc w:val="both"/>
        <w:rPr>
          <w:color w:val="000000"/>
          <w:sz w:val="24"/>
          <w:szCs w:val="24"/>
        </w:rPr>
      </w:pPr>
      <w:r>
        <w:rPr>
          <w:color w:val="000000"/>
          <w:sz w:val="24"/>
          <w:szCs w:val="24"/>
        </w:rPr>
        <w:t>A vigência contratual não se confunde com o prazo de entrega do objeto, que deverá observar as condições e os prazos estabelecidos neste Termo de Referência.</w:t>
      </w:r>
    </w:p>
    <w:p w14:paraId="33D8C6BF">
      <w:pPr>
        <w:jc w:val="both"/>
        <w:rPr>
          <w:color w:val="000000"/>
          <w:sz w:val="24"/>
          <w:szCs w:val="24"/>
        </w:rPr>
      </w:pPr>
    </w:p>
    <w:p w14:paraId="1E4D6F05">
      <w:pPr>
        <w:jc w:val="both"/>
        <w:rPr>
          <w:color w:val="000000"/>
          <w:sz w:val="24"/>
          <w:szCs w:val="24"/>
        </w:rPr>
      </w:pPr>
      <w:r>
        <w:rPr>
          <w:color w:val="000000"/>
          <w:sz w:val="24"/>
          <w:szCs w:val="24"/>
        </w:rPr>
        <w:t>O contrato vigorará a partir de sua assinatura e permanecerá vigente até o cumprimento integral das obrigações dele decorrentes, compreendendo a entrega do objeto, o pagamento e as obrigações relativas à garantia contratual previstas neste Termo de Referência, extinguindo-se com o adimplemento integral das obrigações assumidas pelas partes.</w:t>
      </w:r>
    </w:p>
    <w:p w14:paraId="1BA8E04B">
      <w:pPr>
        <w:jc w:val="both"/>
        <w:rPr>
          <w:color w:val="0000FF"/>
          <w:sz w:val="24"/>
          <w:szCs w:val="24"/>
        </w:rPr>
      </w:pPr>
    </w:p>
    <w:p w14:paraId="38B1700B">
      <w:pPr>
        <w:jc w:val="both"/>
        <w:rPr>
          <w:b/>
          <w:color w:val="000000"/>
          <w:sz w:val="24"/>
          <w:szCs w:val="24"/>
        </w:rPr>
      </w:pPr>
      <w:r>
        <w:rPr>
          <w:b/>
          <w:color w:val="000000"/>
          <w:sz w:val="24"/>
          <w:szCs w:val="24"/>
        </w:rPr>
        <w:t>16 - VALOR ESTIMADO DA CONTRATAÇÃO</w:t>
      </w:r>
    </w:p>
    <w:p w14:paraId="0A2424D3">
      <w:pPr>
        <w:jc w:val="both"/>
        <w:rPr>
          <w:b/>
          <w:color w:val="000000"/>
          <w:sz w:val="24"/>
          <w:szCs w:val="24"/>
        </w:rPr>
      </w:pPr>
    </w:p>
    <w:p w14:paraId="27A5696D">
      <w:pPr>
        <w:jc w:val="both"/>
        <w:rPr>
          <w:color w:val="000000"/>
          <w:sz w:val="24"/>
          <w:szCs w:val="24"/>
        </w:rPr>
      </w:pPr>
      <w:r>
        <w:rPr>
          <w:color w:val="000000"/>
          <w:sz w:val="24"/>
          <w:szCs w:val="24"/>
        </w:rPr>
        <w:t>O custo estimado total da contratação pelo menor preço é de R$ 34.066,70 (trinta e quatro mil sessenta e seis reais e setenta centavos), conforme custos avaliados através de pesquisa de preço realizada.</w:t>
      </w:r>
    </w:p>
    <w:p w14:paraId="0FCA4BF9">
      <w:pPr>
        <w:jc w:val="both"/>
        <w:rPr>
          <w:b/>
          <w:color w:val="000000"/>
          <w:sz w:val="24"/>
          <w:szCs w:val="24"/>
        </w:rPr>
      </w:pPr>
    </w:p>
    <w:p w14:paraId="5ED14CF9">
      <w:pPr>
        <w:jc w:val="both"/>
        <w:rPr>
          <w:b/>
          <w:color w:val="000000"/>
          <w:sz w:val="24"/>
          <w:szCs w:val="24"/>
        </w:rPr>
      </w:pPr>
    </w:p>
    <w:p w14:paraId="16D6CDA5">
      <w:pPr>
        <w:jc w:val="both"/>
        <w:rPr>
          <w:b/>
          <w:color w:val="000000"/>
          <w:sz w:val="24"/>
          <w:szCs w:val="24"/>
        </w:rPr>
      </w:pPr>
      <w:r>
        <w:rPr>
          <w:b/>
          <w:color w:val="000000"/>
          <w:sz w:val="24"/>
          <w:szCs w:val="24"/>
        </w:rPr>
        <w:t>17 - RESPONSÁVEL:</w:t>
      </w:r>
    </w:p>
    <w:p w14:paraId="499BF314">
      <w:pPr>
        <w:jc w:val="both"/>
        <w:rPr>
          <w:b/>
          <w:color w:val="000000"/>
          <w:sz w:val="24"/>
          <w:szCs w:val="24"/>
        </w:rPr>
      </w:pPr>
    </w:p>
    <w:p w14:paraId="7EC932AF">
      <w:pPr>
        <w:jc w:val="both"/>
        <w:rPr>
          <w:b/>
          <w:color w:val="000000"/>
          <w:sz w:val="24"/>
          <w:szCs w:val="24"/>
        </w:rPr>
      </w:pPr>
    </w:p>
    <w:p w14:paraId="07AA5D69">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00"/>
          <w:sz w:val="24"/>
          <w:szCs w:val="24"/>
        </w:rPr>
      </w:pPr>
      <w:r>
        <w:rPr>
          <w:color w:val="000000"/>
          <w:sz w:val="24"/>
          <w:szCs w:val="24"/>
        </w:rPr>
        <w:t>_________________________________________</w:t>
      </w:r>
    </w:p>
    <w:p w14:paraId="2DCE461C">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00"/>
          <w:sz w:val="24"/>
          <w:szCs w:val="24"/>
        </w:rPr>
      </w:pPr>
      <w:r>
        <w:rPr>
          <w:color w:val="000000"/>
          <w:sz w:val="24"/>
          <w:szCs w:val="24"/>
        </w:rPr>
        <w:t>Vithória Lopes de Carvalho Veloso</w:t>
      </w:r>
    </w:p>
    <w:p w14:paraId="5D646627">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00"/>
          <w:sz w:val="24"/>
          <w:szCs w:val="24"/>
        </w:rPr>
      </w:pPr>
      <w:r>
        <w:rPr>
          <w:color w:val="000000"/>
          <w:sz w:val="24"/>
          <w:szCs w:val="24"/>
        </w:rPr>
        <w:t xml:space="preserve"> Coordenadora do Programa de Imunização.</w:t>
      </w:r>
    </w:p>
    <w:p w14:paraId="6FAFD908">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00"/>
          <w:sz w:val="24"/>
          <w:szCs w:val="24"/>
        </w:rPr>
      </w:pPr>
      <w:bookmarkStart w:id="36" w:name="_1llwbjykwbcn" w:colFirst="0" w:colLast="0"/>
      <w:bookmarkEnd w:id="36"/>
      <w:r>
        <w:rPr>
          <w:color w:val="000000"/>
          <w:sz w:val="24"/>
          <w:szCs w:val="24"/>
        </w:rPr>
        <w:t>COREN /RJ 827053</w:t>
      </w:r>
    </w:p>
    <w:p w14:paraId="4825F334">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00"/>
          <w:sz w:val="24"/>
          <w:szCs w:val="24"/>
        </w:rPr>
      </w:pPr>
    </w:p>
    <w:p w14:paraId="72EFEFEC">
      <w:pPr>
        <w:widowControl w:val="0"/>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line="360" w:lineRule="auto"/>
        <w:jc w:val="center"/>
        <w:rPr>
          <w:color w:val="0000FF"/>
          <w:sz w:val="24"/>
          <w:szCs w:val="24"/>
        </w:rPr>
      </w:pPr>
      <w:r>
        <w:rPr>
          <w:color w:val="000000"/>
          <w:sz w:val="24"/>
          <w:szCs w:val="24"/>
        </w:rPr>
        <w:t>Valença, 12 de julho 2026</w:t>
      </w:r>
    </w:p>
    <w:p w14:paraId="220368A7">
      <w:pPr>
        <w:spacing w:before="288" w:beforeLines="120" w:after="288" w:afterLines="120" w:line="288" w:lineRule="auto"/>
        <w:contextualSpacing/>
        <w:jc w:val="center"/>
        <w:rPr>
          <w:rFonts w:eastAsia="MS Mincho" w:asciiTheme="minorHAnsi" w:hAnsiTheme="minorHAnsi" w:cstheme="minorHAnsi"/>
          <w:b/>
          <w:sz w:val="24"/>
          <w:szCs w:val="24"/>
        </w:rPr>
      </w:pPr>
    </w:p>
    <w:p w14:paraId="62D48BBB">
      <w:pPr>
        <w:spacing w:before="288" w:beforeLines="120" w:after="288" w:afterLines="120" w:line="288" w:lineRule="auto"/>
        <w:contextualSpacing/>
        <w:jc w:val="center"/>
        <w:rPr>
          <w:rFonts w:eastAsia="MS Mincho" w:asciiTheme="minorHAnsi" w:hAnsiTheme="minorHAnsi" w:cstheme="minorHAnsi"/>
          <w:b/>
          <w:sz w:val="24"/>
          <w:szCs w:val="24"/>
        </w:rPr>
      </w:pPr>
    </w:p>
    <w:p w14:paraId="3B7EF6BD">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II </w:t>
      </w:r>
    </w:p>
    <w:p w14:paraId="4EC17A57">
      <w:pPr>
        <w:spacing w:before="288" w:beforeLines="120" w:after="288" w:afterLines="120" w:line="288" w:lineRule="auto"/>
        <w:contextualSpacing/>
        <w:jc w:val="center"/>
        <w:rPr>
          <w:rFonts w:eastAsia="MS Mincho" w:asciiTheme="minorHAnsi" w:hAnsiTheme="minorHAnsi" w:cstheme="minorHAnsi"/>
          <w:b/>
          <w:sz w:val="24"/>
          <w:szCs w:val="24"/>
        </w:rPr>
      </w:pPr>
    </w:p>
    <w:p w14:paraId="153D4113">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ESTUDO TÉCNICO PRELIMINAR</w:t>
      </w:r>
    </w:p>
    <w:p w14:paraId="74B07972">
      <w:pPr>
        <w:spacing w:before="288" w:beforeLines="120" w:after="288" w:afterLines="120" w:line="288" w:lineRule="auto"/>
        <w:contextualSpacing/>
        <w:rPr>
          <w:rFonts w:eastAsia="MS Mincho"/>
          <w:b/>
          <w:sz w:val="24"/>
          <w:szCs w:val="24"/>
        </w:rPr>
      </w:pPr>
    </w:p>
    <w:p w14:paraId="6AF11745">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both"/>
        <w:rPr>
          <w:color w:val="000000"/>
          <w:sz w:val="24"/>
          <w:szCs w:val="24"/>
        </w:rPr>
      </w:pPr>
      <w:r>
        <w:rPr>
          <w:b/>
          <w:color w:val="000000"/>
          <w:sz w:val="24"/>
          <w:szCs w:val="24"/>
        </w:rPr>
        <w:t xml:space="preserve">ÓRGÃO: </w:t>
      </w:r>
      <w:r>
        <w:rPr>
          <w:color w:val="000000"/>
          <w:sz w:val="24"/>
          <w:szCs w:val="24"/>
        </w:rPr>
        <w:t>Secretaria Municipal de Saúde</w:t>
      </w:r>
    </w:p>
    <w:p w14:paraId="3E16A9E1">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both"/>
        <w:rPr>
          <w:color w:val="000000"/>
          <w:sz w:val="24"/>
          <w:szCs w:val="24"/>
        </w:rPr>
      </w:pPr>
      <w:r>
        <w:rPr>
          <w:b/>
          <w:color w:val="000000"/>
          <w:sz w:val="24"/>
          <w:szCs w:val="24"/>
        </w:rPr>
        <w:t xml:space="preserve">SETOR REQUISITANTE: </w:t>
      </w:r>
      <w:r>
        <w:rPr>
          <w:color w:val="000000"/>
          <w:sz w:val="24"/>
          <w:szCs w:val="24"/>
        </w:rPr>
        <w:t>Central de Imunização</w:t>
      </w:r>
    </w:p>
    <w:p w14:paraId="067FE14D">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both"/>
        <w:rPr>
          <w:color w:val="000000"/>
          <w:sz w:val="24"/>
          <w:szCs w:val="24"/>
        </w:rPr>
      </w:pPr>
      <w:r>
        <w:rPr>
          <w:b/>
          <w:color w:val="000000"/>
          <w:sz w:val="24"/>
          <w:szCs w:val="24"/>
        </w:rPr>
        <w:t>RESPONSÁVEL PELA DEMANDA: Vithória Lopes de Carvalho Veloso</w:t>
      </w:r>
    </w:p>
    <w:p w14:paraId="72F3022A">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both"/>
        <w:rPr>
          <w:color w:val="000000"/>
          <w:sz w:val="24"/>
          <w:szCs w:val="24"/>
        </w:rPr>
      </w:pPr>
      <w:r>
        <w:rPr>
          <w:b/>
          <w:color w:val="000000"/>
          <w:sz w:val="24"/>
          <w:szCs w:val="24"/>
        </w:rPr>
        <w:t>Matricula</w:t>
      </w:r>
      <w:r>
        <w:rPr>
          <w:color w:val="000000"/>
          <w:sz w:val="24"/>
          <w:szCs w:val="24"/>
        </w:rPr>
        <w:t>: COREN/RJ 827053</w:t>
      </w:r>
    </w:p>
    <w:p w14:paraId="6FA6F220">
      <w:pPr>
        <w:spacing w:line="360" w:lineRule="auto"/>
        <w:jc w:val="both"/>
        <w:rPr>
          <w:color w:val="C00000"/>
          <w:sz w:val="24"/>
          <w:szCs w:val="24"/>
        </w:rPr>
      </w:pPr>
    </w:p>
    <w:p w14:paraId="72A3B2FA">
      <w:pPr>
        <w:spacing w:line="360" w:lineRule="auto"/>
        <w:jc w:val="both"/>
        <w:rPr>
          <w:b/>
          <w:sz w:val="24"/>
          <w:szCs w:val="24"/>
        </w:rPr>
      </w:pPr>
      <w:r>
        <w:rPr>
          <w:b/>
          <w:sz w:val="24"/>
          <w:szCs w:val="24"/>
        </w:rPr>
        <w:t>INTRODUÇÃO</w:t>
      </w:r>
    </w:p>
    <w:p w14:paraId="0D161CAE">
      <w:pPr>
        <w:spacing w:line="360" w:lineRule="auto"/>
        <w:jc w:val="both"/>
        <w:rPr>
          <w:sz w:val="24"/>
          <w:szCs w:val="24"/>
        </w:rPr>
      </w:pPr>
      <w:r>
        <w:rPr>
          <w:sz w:val="24"/>
          <w:szCs w:val="24"/>
        </w:rPr>
        <w:t>O presente documento caracteriza a primeira etapa da fase de planejamento e apresenta os devidos estudos para a contratação de solução que atenderá à necessidade abaixo especificada.</w:t>
      </w:r>
    </w:p>
    <w:p w14:paraId="2456FC6E">
      <w:pPr>
        <w:spacing w:line="360" w:lineRule="auto"/>
        <w:jc w:val="both"/>
        <w:rPr>
          <w:sz w:val="24"/>
          <w:szCs w:val="24"/>
        </w:rPr>
      </w:pPr>
      <w:r>
        <w:rPr>
          <w:sz w:val="24"/>
          <w:szCs w:val="24"/>
        </w:rPr>
        <w:t>O objetivo principal é estudar detalhadamente a necessidade de identificar no mercado a melhor solução para supri-la, em observância às normas vigentes e aos princípios que regem a Administração Pública.</w:t>
      </w:r>
    </w:p>
    <w:p w14:paraId="381ECACC">
      <w:pPr>
        <w:jc w:val="both"/>
        <w:rPr>
          <w:b/>
          <w:sz w:val="24"/>
          <w:szCs w:val="24"/>
        </w:rPr>
      </w:pPr>
    </w:p>
    <w:p w14:paraId="1056CEDA">
      <w:pPr>
        <w:widowControl w:val="0"/>
        <w:numPr>
          <w:ilvl w:val="0"/>
          <w:numId w:val="7"/>
        </w:numPr>
        <w:pBdr>
          <w:top w:val="none" w:color="auto" w:sz="0" w:space="0"/>
          <w:left w:val="none" w:color="auto" w:sz="0" w:space="0"/>
          <w:bottom w:val="none" w:color="auto" w:sz="0" w:space="0"/>
          <w:right w:val="none" w:color="auto" w:sz="0" w:space="0"/>
          <w:between w:val="none" w:color="auto" w:sz="0" w:space="0"/>
        </w:pBdr>
        <w:spacing w:line="360" w:lineRule="auto"/>
        <w:jc w:val="both"/>
        <w:rPr>
          <w:b/>
          <w:color w:val="000000"/>
          <w:sz w:val="24"/>
          <w:szCs w:val="24"/>
        </w:rPr>
      </w:pPr>
      <w:r>
        <w:rPr>
          <w:b/>
          <w:color w:val="000000"/>
          <w:sz w:val="24"/>
          <w:szCs w:val="24"/>
        </w:rPr>
        <w:t>OBJETO</w:t>
      </w:r>
    </w:p>
    <w:p w14:paraId="6D4A3365">
      <w:pPr>
        <w:spacing w:line="360" w:lineRule="auto"/>
        <w:jc w:val="both"/>
        <w:rPr>
          <w:sz w:val="24"/>
          <w:szCs w:val="24"/>
        </w:rPr>
      </w:pPr>
      <w:r>
        <w:rPr>
          <w:sz w:val="24"/>
          <w:szCs w:val="24"/>
        </w:rPr>
        <w:t>Aquisição de câmaras frias para conservação de imunobiológicos, destinada à Central de Imunização, garantindo a adequada manutenção da Rede de frio.</w:t>
      </w:r>
    </w:p>
    <w:p w14:paraId="52A29E5B">
      <w:pPr>
        <w:spacing w:line="360" w:lineRule="auto"/>
        <w:jc w:val="both"/>
        <w:rPr>
          <w:sz w:val="24"/>
          <w:szCs w:val="24"/>
        </w:rPr>
      </w:pPr>
    </w:p>
    <w:p w14:paraId="43A1DBDB">
      <w:pPr>
        <w:spacing w:line="360" w:lineRule="auto"/>
        <w:jc w:val="both"/>
        <w:rPr>
          <w:b/>
          <w:sz w:val="24"/>
          <w:szCs w:val="24"/>
        </w:rPr>
      </w:pPr>
      <w:r>
        <w:rPr>
          <w:b/>
          <w:sz w:val="24"/>
          <w:szCs w:val="24"/>
        </w:rPr>
        <w:t>2 - DESCRIÇÃO DA NECESSIDADE</w:t>
      </w:r>
    </w:p>
    <w:p w14:paraId="337C2F62">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A aquisição de câmara fria para conservação de imunobiológicos destinados à Central de Imunização, tem o objetivo de assegurar o armazenamento adequado e seguro das vacinas e demais imunobiológicos. Esses insumos exigem controle rigoroso de temperatura, conforme normas sanitárias vigentes. A ausência de equipamento apropriado compromete a qualidade dos produtos, podendo gerar perdas, desperdícios e riscos à saúde da população. A implantação da câmara fria contribuirá para o fortalecimento da rede de frio, melhoria da gestão dos imunobiológicos e garantia da continuidade e qualidade das ações de imunização.</w:t>
      </w:r>
    </w:p>
    <w:p w14:paraId="361FE9BA">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p>
    <w:p w14:paraId="3E329FBD">
      <w:pPr>
        <w:shd w:val="clear" w:color="auto" w:fill="FFFFFF"/>
        <w:spacing w:line="360" w:lineRule="auto"/>
        <w:jc w:val="both"/>
        <w:rPr>
          <w:b/>
          <w:sz w:val="24"/>
          <w:szCs w:val="24"/>
        </w:rPr>
      </w:pPr>
      <w:r>
        <w:rPr>
          <w:b/>
          <w:sz w:val="24"/>
          <w:szCs w:val="24"/>
        </w:rPr>
        <w:t>3 – PREVISÃO NO PLANO DE CONTRATAÇÕES ANUAL</w:t>
      </w:r>
    </w:p>
    <w:p w14:paraId="3726E708">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before="57" w:after="57" w:line="348" w:lineRule="auto"/>
        <w:ind w:left="10" w:right="16" w:hanging="10"/>
        <w:jc w:val="both"/>
        <w:rPr>
          <w:color w:val="000000"/>
          <w:sz w:val="24"/>
          <w:szCs w:val="24"/>
        </w:rPr>
      </w:pPr>
      <w:r>
        <w:rPr>
          <w:color w:val="000000"/>
          <w:sz w:val="24"/>
          <w:szCs w:val="24"/>
        </w:rPr>
        <w:t>Previsto no Plano de Contratação Anual 2026  – item 10</w:t>
      </w:r>
    </w:p>
    <w:p w14:paraId="6A7A01C9">
      <w:pPr>
        <w:pBdr>
          <w:top w:val="none" w:color="auto" w:sz="0" w:space="0"/>
          <w:left w:val="none" w:color="auto" w:sz="0" w:space="0"/>
          <w:bottom w:val="none" w:color="auto" w:sz="0" w:space="0"/>
          <w:right w:val="none" w:color="auto" w:sz="0" w:space="0"/>
          <w:between w:val="none" w:color="auto" w:sz="0" w:space="0"/>
        </w:pBdr>
        <w:rPr>
          <w:b/>
          <w:color w:val="C00000"/>
          <w:sz w:val="24"/>
          <w:szCs w:val="24"/>
        </w:rPr>
      </w:pPr>
    </w:p>
    <w:p w14:paraId="65A35ABA">
      <w:pPr>
        <w:pBdr>
          <w:top w:val="none" w:color="auto" w:sz="0" w:space="0"/>
          <w:left w:val="none" w:color="auto" w:sz="0" w:space="0"/>
          <w:bottom w:val="none" w:color="auto" w:sz="0" w:space="0"/>
          <w:right w:val="none" w:color="auto" w:sz="0" w:space="0"/>
          <w:between w:val="none" w:color="auto" w:sz="0" w:space="0"/>
        </w:pBdr>
        <w:rPr>
          <w:b/>
          <w:color w:val="000000"/>
          <w:sz w:val="24"/>
          <w:szCs w:val="24"/>
        </w:rPr>
      </w:pPr>
      <w:r>
        <w:rPr>
          <w:b/>
          <w:color w:val="000000"/>
          <w:sz w:val="24"/>
          <w:szCs w:val="24"/>
        </w:rPr>
        <w:t>4 – ALINHAMENTO ENTRE A AQUISIÇÃO E O PLANO DE ENTREGA</w:t>
      </w:r>
    </w:p>
    <w:p w14:paraId="46DC8230">
      <w:pPr>
        <w:pBdr>
          <w:top w:val="none" w:color="auto" w:sz="0" w:space="0"/>
          <w:left w:val="none" w:color="auto" w:sz="0" w:space="0"/>
          <w:bottom w:val="none" w:color="auto" w:sz="0" w:space="0"/>
          <w:right w:val="none" w:color="auto" w:sz="0" w:space="0"/>
          <w:between w:val="none" w:color="auto" w:sz="0" w:space="0"/>
        </w:pBdr>
        <w:rPr>
          <w:b/>
          <w:color w:val="000000"/>
          <w:sz w:val="24"/>
          <w:szCs w:val="24"/>
        </w:rPr>
      </w:pPr>
    </w:p>
    <w:p w14:paraId="147B4581">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A aquisição das câmaras frias para conservação de imunobiológicos está diretamente alinhada ao plano de entrega estabelecido neste Estudo Técnico Preliminar, considerando a necessidade de garantir a integridade, a qualidade e a segurança dos imunobiológicos armazenados, em conformidade com as normas sanitárias vigentes.</w:t>
      </w:r>
    </w:p>
    <w:p w14:paraId="58262613">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O planejamento da entrega contempla não apenas o fornecimento do equipamento, mas também sua instalação, testes de funcionamento, calibração e orientação técnica para operação, assegurando que a solução esteja plenamente funcional desde o início de sua utilização. Os prazos de entrega foram definidos de forma compatível com a urgência da demanda e com a capacidade de absorção da unidade requisitante, evitando riscos de descontinuidade no armazenamento adequado dos imunobiológicos.</w:t>
      </w:r>
    </w:p>
    <w:p w14:paraId="4A8F9A4B">
      <w:pPr>
        <w:spacing w:line="360" w:lineRule="auto"/>
        <w:jc w:val="both"/>
        <w:rPr>
          <w:b/>
          <w:sz w:val="24"/>
          <w:szCs w:val="24"/>
        </w:rPr>
      </w:pPr>
      <w:r>
        <w:rPr>
          <w:b/>
          <w:sz w:val="24"/>
          <w:szCs w:val="24"/>
        </w:rPr>
        <w:t>Garantia, manutenção e assistência técnica:</w:t>
      </w:r>
    </w:p>
    <w:p w14:paraId="021EFE99">
      <w:pPr>
        <w:spacing w:line="360" w:lineRule="auto"/>
        <w:jc w:val="both"/>
        <w:rPr>
          <w:sz w:val="24"/>
          <w:szCs w:val="24"/>
        </w:rPr>
      </w:pPr>
      <w:r>
        <w:rPr>
          <w:sz w:val="24"/>
          <w:szCs w:val="24"/>
        </w:rPr>
        <w:t xml:space="preserve"> Prazo de garantia contratual dos bens, complementar à garantia legal, é de, no mínimo, 12 (doze) meses; </w:t>
      </w:r>
    </w:p>
    <w:p w14:paraId="7A19F4C4">
      <w:pPr>
        <w:spacing w:line="360" w:lineRule="auto"/>
        <w:jc w:val="both"/>
        <w:rPr>
          <w:sz w:val="24"/>
          <w:szCs w:val="24"/>
        </w:rPr>
      </w:pPr>
      <w:r>
        <w:rPr>
          <w:sz w:val="24"/>
          <w:szCs w:val="24"/>
        </w:rPr>
        <w:t xml:space="preserve"> A garantia será prestada com vistas a manter os equipamentos fornecidos em perfeitas condições de uso, sem qualquer ônus ou custo adicional para o Contratante; A garantia abrange a realização da manutenção corretiva dos bens pelo próprio Contratado; </w:t>
      </w:r>
    </w:p>
    <w:p w14:paraId="50D00475">
      <w:pPr>
        <w:spacing w:line="360" w:lineRule="auto"/>
        <w:jc w:val="both"/>
        <w:rPr>
          <w:sz w:val="24"/>
          <w:szCs w:val="24"/>
        </w:rPr>
      </w:pPr>
      <w:r>
        <w:rPr>
          <w:sz w:val="24"/>
          <w:szCs w:val="24"/>
        </w:rPr>
        <w:t>Entende-se por manutenção corretiva aquela destinada a corrigir os defeitos apresentados pelos bens, compreendendo a substituição de peças, a realização de ajustes, reparos e correções necessárias;</w:t>
      </w:r>
    </w:p>
    <w:p w14:paraId="5747D3A5">
      <w:pPr>
        <w:spacing w:line="360" w:lineRule="auto"/>
        <w:jc w:val="both"/>
        <w:rPr>
          <w:sz w:val="24"/>
          <w:szCs w:val="24"/>
        </w:rPr>
      </w:pPr>
      <w:r>
        <w:rPr>
          <w:sz w:val="24"/>
          <w:szCs w:val="24"/>
        </w:rPr>
        <w:t>As peças que apresentarem vício ou defeito no período de vigência da garantia deverão ser substituídas por outras novas, de primeiro uso, e originais, que apresentem padrões de qualidade e desempenho iguais ou superiores aos das peças utilizadas na fabricação do móvel;</w:t>
      </w:r>
    </w:p>
    <w:p w14:paraId="798F444B">
      <w:pPr>
        <w:spacing w:line="360" w:lineRule="auto"/>
        <w:jc w:val="both"/>
        <w:rPr>
          <w:sz w:val="24"/>
          <w:szCs w:val="24"/>
        </w:rPr>
      </w:pPr>
      <w:r>
        <w:rPr>
          <w:sz w:val="24"/>
          <w:szCs w:val="24"/>
        </w:rPr>
        <w:t>Uma vez notificado, o Contratado realizará a reparação ou substituição dos bens que apresentarem vício ou defeito no prazo de até 2 (dias) dias úteis, contados a partir da data de retirada do equipamento das dependências da Administração pelo Contratado; O prazo indicado no subitem anterior, durante seu transcurso, poderá ser prorrogado uma única vez, por igual período, mediante solicitação escrita e justificada do Contratado, aceita pelo Contratante;</w:t>
      </w:r>
    </w:p>
    <w:p w14:paraId="083BEBE8">
      <w:pPr>
        <w:spacing w:line="360" w:lineRule="auto"/>
        <w:jc w:val="both"/>
        <w:rPr>
          <w:sz w:val="24"/>
          <w:szCs w:val="24"/>
        </w:rPr>
      </w:pPr>
      <w:r>
        <w:rPr>
          <w:sz w:val="24"/>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7DD5E417">
      <w:pPr>
        <w:spacing w:line="360" w:lineRule="auto"/>
        <w:jc w:val="both"/>
        <w:rPr>
          <w:sz w:val="24"/>
          <w:szCs w:val="24"/>
        </w:rPr>
      </w:pPr>
      <w:r>
        <w:rPr>
          <w:sz w:val="24"/>
          <w:szCs w:val="24"/>
        </w:rPr>
        <w:t>O custo referente ao transporte dos equipamentos cobertos pela garantia será de responsabilidade do Contratado;</w:t>
      </w:r>
    </w:p>
    <w:p w14:paraId="119C4B22">
      <w:pPr>
        <w:spacing w:line="360" w:lineRule="auto"/>
        <w:jc w:val="both"/>
        <w:rPr>
          <w:color w:val="C00000"/>
          <w:sz w:val="24"/>
          <w:szCs w:val="24"/>
        </w:rPr>
      </w:pPr>
    </w:p>
    <w:p w14:paraId="33FB05BC">
      <w:pPr>
        <w:jc w:val="both"/>
        <w:rPr>
          <w:b/>
          <w:sz w:val="24"/>
          <w:szCs w:val="24"/>
        </w:rPr>
      </w:pPr>
      <w:r>
        <w:rPr>
          <w:b/>
          <w:sz w:val="24"/>
          <w:szCs w:val="24"/>
        </w:rPr>
        <w:t>5 - JUSTIFICATIVA DA ESCOLHA DO TIPO DE SOLUÇÃO A CONTRATAÇÃO</w:t>
      </w:r>
    </w:p>
    <w:p w14:paraId="4017C17B">
      <w:pPr>
        <w:spacing w:line="360" w:lineRule="auto"/>
        <w:jc w:val="both"/>
        <w:rPr>
          <w:sz w:val="24"/>
          <w:szCs w:val="24"/>
        </w:rPr>
      </w:pPr>
    </w:p>
    <w:p w14:paraId="6A6670C2">
      <w:pPr>
        <w:spacing w:line="360" w:lineRule="auto"/>
        <w:jc w:val="both"/>
        <w:rPr>
          <w:sz w:val="24"/>
          <w:szCs w:val="24"/>
        </w:rPr>
      </w:pPr>
      <w:r>
        <w:rPr>
          <w:sz w:val="24"/>
          <w:szCs w:val="24"/>
        </w:rPr>
        <w:t>Consiste na aquisição das câmaras frias para conservação de imunobiológicos, através de Pregão Eletrônico.</w:t>
      </w:r>
    </w:p>
    <w:p w14:paraId="7700C3F3">
      <w:pPr>
        <w:spacing w:line="360" w:lineRule="auto"/>
        <w:jc w:val="both"/>
        <w:rPr>
          <w:sz w:val="24"/>
          <w:szCs w:val="24"/>
        </w:rPr>
      </w:pPr>
      <w:r>
        <w:rPr>
          <w:sz w:val="24"/>
          <w:szCs w:val="24"/>
        </w:rPr>
        <w:t xml:space="preserve">O fornecimento por grupo, permite maior flexibilidade na aquisição conforme a disponibilidade de mercado e as condições econômicas mais vantajosas para a Administração Pública. </w:t>
      </w:r>
    </w:p>
    <w:p w14:paraId="736A3CAE">
      <w:pPr>
        <w:spacing w:line="360" w:lineRule="auto"/>
        <w:jc w:val="both"/>
        <w:rPr>
          <w:sz w:val="24"/>
          <w:szCs w:val="24"/>
        </w:rPr>
      </w:pPr>
      <w:r>
        <w:rPr>
          <w:sz w:val="24"/>
          <w:szCs w:val="24"/>
        </w:rPr>
        <w:t>A solução proposta busca, além de atender à demanda, garantir a padronização da entrega, a economicidade e a previsibilidade logística.</w:t>
      </w:r>
    </w:p>
    <w:p w14:paraId="4DA6E5B5">
      <w:pPr>
        <w:spacing w:line="360" w:lineRule="auto"/>
        <w:jc w:val="both"/>
        <w:rPr>
          <w:sz w:val="24"/>
          <w:szCs w:val="24"/>
        </w:rPr>
      </w:pPr>
    </w:p>
    <w:p w14:paraId="16C72C65">
      <w:pPr>
        <w:spacing w:line="360" w:lineRule="auto"/>
        <w:jc w:val="both"/>
        <w:rPr>
          <w:b/>
          <w:sz w:val="24"/>
          <w:szCs w:val="24"/>
        </w:rPr>
      </w:pPr>
      <w:r>
        <w:rPr>
          <w:b/>
          <w:sz w:val="24"/>
          <w:szCs w:val="24"/>
        </w:rPr>
        <w:t>6 - ESTIMATIVA DAS QUANTIDADES</w:t>
      </w:r>
    </w:p>
    <w:p w14:paraId="71FED7C9">
      <w:pPr>
        <w:spacing w:line="360" w:lineRule="auto"/>
        <w:jc w:val="both"/>
        <w:rPr>
          <w:sz w:val="24"/>
          <w:szCs w:val="24"/>
        </w:rPr>
      </w:pPr>
      <w:r>
        <w:rPr>
          <w:sz w:val="24"/>
          <w:szCs w:val="24"/>
        </w:rPr>
        <w:t>Entendem-se necessária a contratação dos seguintes itens e quantitativos:</w:t>
      </w:r>
    </w:p>
    <w:tbl>
      <w:tblPr>
        <w:tblStyle w:val="10"/>
        <w:tblpPr w:leftFromText="180" w:rightFromText="180" w:vertAnchor="text" w:horzAnchor="margin" w:tblpXSpec="center" w:tblpY="638"/>
        <w:tblW w:w="10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9"/>
        <w:gridCol w:w="750"/>
        <w:gridCol w:w="5156"/>
        <w:gridCol w:w="1237"/>
        <w:gridCol w:w="1332"/>
        <w:gridCol w:w="1631"/>
      </w:tblGrid>
      <w:tr w14:paraId="616D2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A92398">
            <w:pPr>
              <w:jc w:val="center"/>
              <w:rPr>
                <w:b/>
                <w:sz w:val="24"/>
                <w:szCs w:val="24"/>
              </w:rPr>
            </w:pPr>
            <w:r>
              <w:rPr>
                <w:b/>
                <w:sz w:val="24"/>
                <w:szCs w:val="24"/>
              </w:rPr>
              <w:t>QTD</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C75582">
            <w:pPr>
              <w:jc w:val="center"/>
              <w:rPr>
                <w:b/>
                <w:sz w:val="24"/>
                <w:szCs w:val="24"/>
              </w:rPr>
            </w:pPr>
            <w:r>
              <w:rPr>
                <w:b/>
                <w:sz w:val="24"/>
                <w:szCs w:val="24"/>
              </w:rPr>
              <w:t>UNID</w:t>
            </w:r>
          </w:p>
        </w:tc>
        <w:tc>
          <w:tcPr>
            <w:tcW w:w="51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284D84">
            <w:pPr>
              <w:jc w:val="center"/>
              <w:rPr>
                <w:b/>
                <w:sz w:val="24"/>
                <w:szCs w:val="24"/>
              </w:rPr>
            </w:pPr>
            <w:r>
              <w:rPr>
                <w:b/>
                <w:sz w:val="24"/>
                <w:szCs w:val="24"/>
              </w:rPr>
              <w:t>ESPECIFICAÇÃO</w:t>
            </w:r>
          </w:p>
        </w:tc>
        <w:tc>
          <w:tcPr>
            <w:tcW w:w="12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32B35E">
            <w:pPr>
              <w:jc w:val="center"/>
              <w:rPr>
                <w:b/>
                <w:sz w:val="24"/>
                <w:szCs w:val="24"/>
              </w:rPr>
            </w:pPr>
            <w:r>
              <w:rPr>
                <w:b/>
                <w:sz w:val="24"/>
                <w:szCs w:val="24"/>
              </w:rPr>
              <w:t>CATMAT</w:t>
            </w:r>
          </w:p>
        </w:tc>
        <w:tc>
          <w:tcPr>
            <w:tcW w:w="1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180501">
            <w:pPr>
              <w:jc w:val="center"/>
              <w:rPr>
                <w:b/>
                <w:sz w:val="24"/>
                <w:szCs w:val="24"/>
              </w:rPr>
            </w:pPr>
            <w:r>
              <w:rPr>
                <w:b/>
                <w:sz w:val="24"/>
                <w:szCs w:val="24"/>
              </w:rPr>
              <w:t>VALOR UNITARIO</w:t>
            </w:r>
          </w:p>
        </w:tc>
        <w:tc>
          <w:tcPr>
            <w:tcW w:w="16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84A18C">
            <w:pPr>
              <w:jc w:val="center"/>
              <w:rPr>
                <w:b/>
                <w:sz w:val="24"/>
                <w:szCs w:val="24"/>
              </w:rPr>
            </w:pPr>
            <w:r>
              <w:rPr>
                <w:b/>
                <w:sz w:val="24"/>
                <w:szCs w:val="24"/>
              </w:rPr>
              <w:t>VALOR TOTAL</w:t>
            </w:r>
          </w:p>
          <w:p w14:paraId="15365BD1">
            <w:pPr>
              <w:jc w:val="center"/>
              <w:rPr>
                <w:b/>
                <w:sz w:val="24"/>
                <w:szCs w:val="24"/>
              </w:rPr>
            </w:pPr>
          </w:p>
        </w:tc>
      </w:tr>
      <w:tr w14:paraId="4048B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7AB0A8">
            <w:pPr>
              <w:jc w:val="center"/>
              <w:rPr>
                <w:sz w:val="24"/>
                <w:szCs w:val="24"/>
              </w:rPr>
            </w:pPr>
            <w:r>
              <w:rPr>
                <w:sz w:val="24"/>
                <w:szCs w:val="24"/>
              </w:rPr>
              <w:t>02</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D7F779">
            <w:pPr>
              <w:spacing w:before="57" w:after="57"/>
              <w:ind w:left="10" w:right="16" w:hanging="10"/>
              <w:jc w:val="center"/>
              <w:rPr>
                <w:sz w:val="24"/>
                <w:szCs w:val="24"/>
              </w:rPr>
            </w:pPr>
            <w:r>
              <w:rPr>
                <w:sz w:val="24"/>
                <w:szCs w:val="24"/>
              </w:rPr>
              <w:t>Unid</w:t>
            </w:r>
          </w:p>
        </w:tc>
        <w:tc>
          <w:tcPr>
            <w:tcW w:w="515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33D99A7">
            <w:pPr>
              <w:spacing w:line="360" w:lineRule="auto"/>
              <w:jc w:val="both"/>
              <w:rPr>
                <w:b/>
                <w:sz w:val="24"/>
                <w:szCs w:val="24"/>
              </w:rPr>
            </w:pPr>
          </w:p>
          <w:p w14:paraId="0D3C5418">
            <w:pPr>
              <w:spacing w:line="360" w:lineRule="auto"/>
              <w:jc w:val="both"/>
              <w:rPr>
                <w:b/>
                <w:sz w:val="24"/>
                <w:szCs w:val="24"/>
              </w:rPr>
            </w:pPr>
            <w:r>
              <w:rPr>
                <w:b/>
                <w:sz w:val="24"/>
                <w:szCs w:val="24"/>
              </w:rPr>
              <w:t>CÂMARA FRIA PARA CONSERVAÇÃO DE IMUNOBIOLÓGICOS, CAPACIDADE E QUANTIDADE DE GAVETAS ATÉ 300 OU 30I A 500 LITROS, 2 A 5 GAVETAS, SISTEMA DE EMERGÊNCIA, REGISTRO DE DADOS, TEMEPERATURA ENTRE +2° C E + 8° C, CIRCULAÇÃO DE AR FORÇADO, SENSORES INTERNOS, DISCADOR DE EMERGÊNCIA</w:t>
            </w:r>
          </w:p>
        </w:tc>
        <w:tc>
          <w:tcPr>
            <w:tcW w:w="123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bottom"/>
          </w:tcPr>
          <w:p w14:paraId="5E72C794">
            <w:pPr>
              <w:jc w:val="center"/>
              <w:rPr>
                <w:b/>
                <w:color w:val="000000"/>
                <w:sz w:val="24"/>
                <w:szCs w:val="24"/>
              </w:rPr>
            </w:pPr>
            <w:r>
              <w:rPr>
                <w:b/>
                <w:color w:val="000000"/>
                <w:sz w:val="24"/>
                <w:szCs w:val="24"/>
              </w:rPr>
              <w:t>621692</w:t>
            </w:r>
          </w:p>
        </w:tc>
        <w:tc>
          <w:tcPr>
            <w:tcW w:w="1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bottom"/>
          </w:tcPr>
          <w:p w14:paraId="745F4EB5">
            <w:pPr>
              <w:jc w:val="center"/>
              <w:rPr>
                <w:color w:val="000000"/>
                <w:sz w:val="24"/>
                <w:szCs w:val="24"/>
              </w:rPr>
            </w:pPr>
            <w:r>
              <w:rPr>
                <w:color w:val="000000"/>
                <w:sz w:val="24"/>
                <w:szCs w:val="24"/>
              </w:rPr>
              <w:t>18.631,00</w:t>
            </w:r>
          </w:p>
        </w:tc>
        <w:tc>
          <w:tcPr>
            <w:tcW w:w="16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5B5CB6">
            <w:pPr>
              <w:jc w:val="center"/>
              <w:rPr>
                <w:sz w:val="24"/>
                <w:szCs w:val="24"/>
              </w:rPr>
            </w:pPr>
          </w:p>
          <w:p w14:paraId="57005568">
            <w:pPr>
              <w:jc w:val="center"/>
              <w:rPr>
                <w:sz w:val="24"/>
                <w:szCs w:val="24"/>
              </w:rPr>
            </w:pPr>
          </w:p>
          <w:p w14:paraId="42D965D3">
            <w:pPr>
              <w:jc w:val="center"/>
              <w:rPr>
                <w:sz w:val="24"/>
                <w:szCs w:val="24"/>
              </w:rPr>
            </w:pPr>
          </w:p>
          <w:p w14:paraId="292430D6">
            <w:pPr>
              <w:jc w:val="center"/>
              <w:rPr>
                <w:sz w:val="24"/>
                <w:szCs w:val="24"/>
              </w:rPr>
            </w:pPr>
          </w:p>
          <w:p w14:paraId="6C724BC5">
            <w:pPr>
              <w:jc w:val="center"/>
              <w:rPr>
                <w:sz w:val="24"/>
                <w:szCs w:val="24"/>
              </w:rPr>
            </w:pPr>
          </w:p>
          <w:p w14:paraId="77D1B016">
            <w:pPr>
              <w:jc w:val="center"/>
              <w:rPr>
                <w:sz w:val="24"/>
                <w:szCs w:val="24"/>
              </w:rPr>
            </w:pPr>
          </w:p>
          <w:p w14:paraId="425D2F02">
            <w:pPr>
              <w:jc w:val="center"/>
              <w:rPr>
                <w:sz w:val="24"/>
                <w:szCs w:val="24"/>
              </w:rPr>
            </w:pPr>
          </w:p>
          <w:p w14:paraId="0BE132AD">
            <w:pPr>
              <w:jc w:val="center"/>
              <w:rPr>
                <w:sz w:val="24"/>
                <w:szCs w:val="24"/>
              </w:rPr>
            </w:pPr>
          </w:p>
          <w:p w14:paraId="5961CD3F">
            <w:pPr>
              <w:jc w:val="center"/>
              <w:rPr>
                <w:sz w:val="24"/>
                <w:szCs w:val="24"/>
              </w:rPr>
            </w:pPr>
          </w:p>
          <w:p w14:paraId="180BBEC9">
            <w:pPr>
              <w:jc w:val="center"/>
              <w:rPr>
                <w:sz w:val="24"/>
                <w:szCs w:val="24"/>
              </w:rPr>
            </w:pPr>
          </w:p>
          <w:p w14:paraId="15A2D0C8">
            <w:pPr>
              <w:jc w:val="center"/>
              <w:rPr>
                <w:sz w:val="24"/>
                <w:szCs w:val="24"/>
              </w:rPr>
            </w:pPr>
          </w:p>
          <w:p w14:paraId="22303F22">
            <w:pPr>
              <w:jc w:val="center"/>
              <w:rPr>
                <w:sz w:val="24"/>
                <w:szCs w:val="24"/>
              </w:rPr>
            </w:pPr>
          </w:p>
          <w:p w14:paraId="2FF2B0DA">
            <w:pPr>
              <w:jc w:val="center"/>
              <w:rPr>
                <w:sz w:val="24"/>
                <w:szCs w:val="24"/>
              </w:rPr>
            </w:pPr>
          </w:p>
          <w:p w14:paraId="0C776933">
            <w:pPr>
              <w:jc w:val="center"/>
              <w:rPr>
                <w:sz w:val="24"/>
                <w:szCs w:val="24"/>
              </w:rPr>
            </w:pPr>
          </w:p>
          <w:p w14:paraId="5C0B8060">
            <w:pPr>
              <w:jc w:val="center"/>
              <w:rPr>
                <w:sz w:val="24"/>
                <w:szCs w:val="24"/>
              </w:rPr>
            </w:pPr>
            <w:r>
              <w:rPr>
                <w:sz w:val="24"/>
                <w:szCs w:val="24"/>
              </w:rPr>
              <w:t>37.262,00</w:t>
            </w:r>
          </w:p>
        </w:tc>
      </w:tr>
    </w:tbl>
    <w:p w14:paraId="41430CBD">
      <w:pPr>
        <w:spacing w:line="360" w:lineRule="auto"/>
        <w:jc w:val="both"/>
        <w:rPr>
          <w:color w:val="C00000"/>
          <w:sz w:val="24"/>
          <w:szCs w:val="24"/>
        </w:rPr>
      </w:pPr>
    </w:p>
    <w:p w14:paraId="444C8DBF">
      <w:pPr>
        <w:jc w:val="both"/>
        <w:rPr>
          <w:b/>
          <w:color w:val="C00000"/>
          <w:sz w:val="24"/>
          <w:szCs w:val="24"/>
        </w:rPr>
      </w:pPr>
    </w:p>
    <w:p w14:paraId="47E69F1E">
      <w:pPr>
        <w:jc w:val="both"/>
        <w:rPr>
          <w:b/>
          <w:sz w:val="24"/>
          <w:szCs w:val="24"/>
        </w:rPr>
      </w:pPr>
    </w:p>
    <w:p w14:paraId="75732DB8">
      <w:pPr>
        <w:jc w:val="both"/>
        <w:rPr>
          <w:b/>
          <w:sz w:val="24"/>
          <w:szCs w:val="24"/>
        </w:rPr>
      </w:pPr>
    </w:p>
    <w:p w14:paraId="5EADD44B">
      <w:pPr>
        <w:jc w:val="both"/>
        <w:rPr>
          <w:b/>
          <w:sz w:val="24"/>
          <w:szCs w:val="24"/>
        </w:rPr>
      </w:pPr>
      <w:r>
        <w:rPr>
          <w:b/>
          <w:sz w:val="24"/>
          <w:szCs w:val="24"/>
        </w:rPr>
        <w:t>7-ESTIMATIVAS DE PREÇOS OU PREÇOS REFERENCIAIS</w:t>
      </w:r>
    </w:p>
    <w:p w14:paraId="4DB6232D">
      <w:pPr>
        <w:jc w:val="both"/>
        <w:rPr>
          <w:sz w:val="24"/>
          <w:szCs w:val="24"/>
        </w:rPr>
      </w:pPr>
    </w:p>
    <w:p w14:paraId="5F705EB2">
      <w:pPr>
        <w:spacing w:line="360" w:lineRule="auto"/>
        <w:jc w:val="both"/>
        <w:rPr>
          <w:sz w:val="24"/>
          <w:szCs w:val="24"/>
        </w:rPr>
      </w:pPr>
      <w:r>
        <w:rPr>
          <w:sz w:val="24"/>
          <w:szCs w:val="24"/>
        </w:rPr>
        <w:t>A estimativa de preços da contratação será compatível com valores praticados no mercado, considerados os preços constantes de bancos de dados públicos e as quantidades a serem contratadas, observada a potencial economia de escala e as peculiaridades do local de execução do objeto</w:t>
      </w:r>
    </w:p>
    <w:p w14:paraId="74EDBB56">
      <w:pPr>
        <w:spacing w:line="360" w:lineRule="auto"/>
        <w:jc w:val="both"/>
        <w:rPr>
          <w:sz w:val="24"/>
          <w:szCs w:val="24"/>
        </w:rPr>
      </w:pPr>
      <w:r>
        <w:rPr>
          <w:sz w:val="24"/>
          <w:szCs w:val="24"/>
        </w:rPr>
        <w:t>O custo estimado total da contratação pelo menor preço é de R$ 37.262,00 (trinta e sete mil duzentos e sessenta e dois reais), conforme custos avaliados através de pesquisa de preço realizada.</w:t>
      </w:r>
    </w:p>
    <w:p w14:paraId="5F38C8ED">
      <w:pPr>
        <w:spacing w:line="360" w:lineRule="auto"/>
        <w:ind w:firstLine="662"/>
        <w:jc w:val="both"/>
        <w:rPr>
          <w:sz w:val="24"/>
          <w:szCs w:val="24"/>
        </w:rPr>
      </w:pPr>
    </w:p>
    <w:p w14:paraId="20812183">
      <w:pPr>
        <w:jc w:val="both"/>
        <w:rPr>
          <w:b/>
          <w:sz w:val="24"/>
          <w:szCs w:val="24"/>
        </w:rPr>
      </w:pPr>
      <w:r>
        <w:rPr>
          <w:b/>
          <w:sz w:val="24"/>
          <w:szCs w:val="24"/>
        </w:rPr>
        <w:t>8 - DESCRIÇÃO DA NECESSIDADE COMO UM TODO</w:t>
      </w:r>
    </w:p>
    <w:p w14:paraId="14EF6A45">
      <w:pPr>
        <w:jc w:val="both"/>
        <w:rPr>
          <w:b/>
          <w:color w:val="C00000"/>
          <w:sz w:val="24"/>
          <w:szCs w:val="24"/>
        </w:rPr>
      </w:pPr>
    </w:p>
    <w:p w14:paraId="3FCC9E13">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A aquisição de câmaras frias para conservação de imunobiológicos, destinadas a atender às necessidades da Central de Imunização, visa garantir condições adequadas de armazenamento e manutenção da Rede de Frio dos imunobiológicos utilizados nas ações de saúde pública.</w:t>
      </w:r>
    </w:p>
    <w:p w14:paraId="27D923E8">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Os imunobiológicos são produtos que requerem controle rigoroso e permanente de temperatura, conforme normativas sanitárias vigentes, sendo imprescindível a utilização de equipamentos apropriados para assegurar sua estabilidade, eficácia e segurança. A inexistência ou insuficiência de câmaras frias adequadas pode ocasionar perdas de insumos, desperdício de recursos públicos e comprometimento das ações de imunização e vigilância em saúde.</w:t>
      </w:r>
    </w:p>
    <w:p w14:paraId="50434F6D">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A aquisição ampliar a capacidade de armazenamento, garantindo maior confiabilidade no controle térmico assegurando a continuidade e qualidade dos serviços prestados pela Central de Imunização.</w:t>
      </w:r>
    </w:p>
    <w:p w14:paraId="7D0F9759">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p>
    <w:p w14:paraId="414AE1C3">
      <w:pPr>
        <w:spacing w:line="360" w:lineRule="auto"/>
        <w:jc w:val="both"/>
        <w:rPr>
          <w:b/>
          <w:sz w:val="24"/>
          <w:szCs w:val="24"/>
        </w:rPr>
      </w:pPr>
      <w:r>
        <w:rPr>
          <w:b/>
          <w:sz w:val="24"/>
          <w:szCs w:val="24"/>
        </w:rPr>
        <w:t>9 - JUSTIFICATIVA PARA PARCELAMENTO</w:t>
      </w:r>
    </w:p>
    <w:p w14:paraId="70C3D585">
      <w:pPr>
        <w:spacing w:line="360" w:lineRule="auto"/>
        <w:jc w:val="both"/>
        <w:rPr>
          <w:sz w:val="24"/>
          <w:szCs w:val="24"/>
        </w:rPr>
      </w:pPr>
      <w:r>
        <w:rPr>
          <w:sz w:val="24"/>
          <w:szCs w:val="24"/>
        </w:rPr>
        <w:t>Não há parcelamento</w:t>
      </w:r>
    </w:p>
    <w:p w14:paraId="23E34DCC">
      <w:pPr>
        <w:spacing w:line="360" w:lineRule="auto"/>
        <w:jc w:val="both"/>
        <w:rPr>
          <w:sz w:val="24"/>
          <w:szCs w:val="24"/>
        </w:rPr>
      </w:pPr>
    </w:p>
    <w:p w14:paraId="622C55F6">
      <w:pPr>
        <w:shd w:val="clear" w:color="auto" w:fill="FFFFFF"/>
        <w:spacing w:line="360" w:lineRule="auto"/>
        <w:jc w:val="both"/>
        <w:rPr>
          <w:b/>
          <w:sz w:val="24"/>
          <w:szCs w:val="24"/>
        </w:rPr>
      </w:pPr>
      <w:r>
        <w:rPr>
          <w:b/>
          <w:sz w:val="24"/>
          <w:szCs w:val="24"/>
        </w:rPr>
        <w:t>10 - CONTRATAÇÕES CORRELATAS/INTERDEPENDENTES</w:t>
      </w:r>
    </w:p>
    <w:p w14:paraId="59EAA9D0">
      <w:pPr>
        <w:shd w:val="clear" w:color="auto" w:fill="FFFFFF"/>
        <w:spacing w:line="360" w:lineRule="auto"/>
        <w:jc w:val="both"/>
        <w:rPr>
          <w:sz w:val="24"/>
          <w:szCs w:val="24"/>
        </w:rPr>
      </w:pPr>
      <w:r>
        <w:rPr>
          <w:sz w:val="24"/>
          <w:szCs w:val="24"/>
        </w:rPr>
        <w:t>Não existe.</w:t>
      </w:r>
    </w:p>
    <w:p w14:paraId="1A817C89">
      <w:pPr>
        <w:shd w:val="clear" w:color="auto" w:fill="FFFFFF"/>
        <w:spacing w:line="360" w:lineRule="auto"/>
        <w:jc w:val="both"/>
        <w:rPr>
          <w:b/>
          <w:sz w:val="24"/>
          <w:szCs w:val="24"/>
        </w:rPr>
      </w:pPr>
    </w:p>
    <w:p w14:paraId="749363CA">
      <w:pPr>
        <w:shd w:val="clear" w:color="auto" w:fill="FFFFFF"/>
        <w:spacing w:line="360" w:lineRule="auto"/>
        <w:jc w:val="both"/>
        <w:rPr>
          <w:b/>
          <w:sz w:val="24"/>
          <w:szCs w:val="24"/>
        </w:rPr>
      </w:pPr>
      <w:r>
        <w:rPr>
          <w:b/>
          <w:sz w:val="24"/>
          <w:szCs w:val="24"/>
        </w:rPr>
        <w:t>11 – IMPACTOS AMBIENTAIS</w:t>
      </w:r>
    </w:p>
    <w:p w14:paraId="55683C49">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A aquisição de câmaras frias para conservação de imunobiológicos caracteriza-se como atividade de baixo impacto ambiental, contudo envolve aspectos que devem ser observados:</w:t>
      </w:r>
    </w:p>
    <w:p w14:paraId="1ADD98C2">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 xml:space="preserve"> </w:t>
      </w:r>
    </w:p>
    <w:p w14:paraId="423A14F5">
      <w:pPr>
        <w:pStyle w:val="4"/>
        <w:keepNext w:val="0"/>
        <w:keepLines w:val="0"/>
        <w:jc w:val="both"/>
        <w:rPr>
          <w:color w:val="000000"/>
          <w:sz w:val="24"/>
          <w:szCs w:val="24"/>
        </w:rPr>
      </w:pPr>
      <w:r>
        <w:rPr>
          <w:color w:val="000000"/>
          <w:sz w:val="24"/>
          <w:szCs w:val="24"/>
        </w:rPr>
        <w:t>Impactos Ambientais Positivos</w:t>
      </w:r>
    </w:p>
    <w:p w14:paraId="4942C39C">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Redução de perdas e descartes de imunobiológicos, minimizando a geração de resíduos biológicos;</w:t>
      </w:r>
    </w:p>
    <w:p w14:paraId="215711E3">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Melhoria da eficiência logística e do armazenamento, reduzindo desperdícios e consumo indireto de recursos;</w:t>
      </w:r>
    </w:p>
    <w:p w14:paraId="2455FF9E">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Contribuição para a segurança sanitária e ambiental.</w:t>
      </w:r>
    </w:p>
    <w:p w14:paraId="123C1530">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p>
    <w:p w14:paraId="26057C2D">
      <w:pPr>
        <w:pStyle w:val="4"/>
        <w:keepNext w:val="0"/>
        <w:keepLines w:val="0"/>
        <w:jc w:val="both"/>
        <w:rPr>
          <w:color w:val="000000"/>
          <w:sz w:val="24"/>
          <w:szCs w:val="24"/>
        </w:rPr>
      </w:pPr>
      <w:r>
        <w:rPr>
          <w:color w:val="000000"/>
          <w:sz w:val="24"/>
          <w:szCs w:val="24"/>
        </w:rPr>
        <w:t xml:space="preserve"> Impactos Ambientais Negativos Potenciais</w:t>
      </w:r>
    </w:p>
    <w:p w14:paraId="3B79847E">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Aumento do consumo de energia elétrica devido ao funcionamento contínuo dos equipamentos;</w:t>
      </w:r>
    </w:p>
    <w:p w14:paraId="3FDCADD1">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Possibilidade de emissão de gases refrigerantes em caso de vazamentos;</w:t>
      </w:r>
    </w:p>
    <w:p w14:paraId="1004EED0">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Geração de resíduos eletroeletrônicos ao final da vida útil dos equipamentos;</w:t>
      </w:r>
    </w:p>
    <w:p w14:paraId="284A6AC5">
      <w:pPr>
        <w:pBdr>
          <w:top w:val="none" w:color="auto" w:sz="0" w:space="0"/>
          <w:left w:val="none" w:color="auto" w:sz="0" w:space="0"/>
          <w:bottom w:val="none" w:color="auto" w:sz="0" w:space="0"/>
          <w:right w:val="none" w:color="auto" w:sz="0" w:space="0"/>
          <w:between w:val="none" w:color="auto" w:sz="0" w:space="0"/>
        </w:pBdr>
        <w:spacing w:before="100" w:after="100"/>
        <w:jc w:val="both"/>
        <w:rPr>
          <w:color w:val="000000"/>
          <w:sz w:val="24"/>
          <w:szCs w:val="24"/>
        </w:rPr>
      </w:pPr>
      <w:r>
        <w:rPr>
          <w:color w:val="000000"/>
          <w:sz w:val="24"/>
          <w:szCs w:val="24"/>
        </w:rPr>
        <w:t>Emissão de ruídos e calor residual durante a operação.</w:t>
      </w:r>
    </w:p>
    <w:p w14:paraId="49EECCCD">
      <w:pPr>
        <w:shd w:val="clear" w:color="auto" w:fill="FFFFFF"/>
        <w:spacing w:line="360" w:lineRule="auto"/>
        <w:rPr>
          <w:color w:val="C00000"/>
          <w:sz w:val="24"/>
          <w:szCs w:val="24"/>
        </w:rPr>
      </w:pPr>
    </w:p>
    <w:p w14:paraId="6933A804">
      <w:pPr>
        <w:widowControl w:val="0"/>
        <w:numPr>
          <w:ilvl w:val="0"/>
          <w:numId w:val="8"/>
        </w:numPr>
        <w:jc w:val="both"/>
        <w:rPr>
          <w:b/>
          <w:sz w:val="24"/>
          <w:szCs w:val="24"/>
        </w:rPr>
      </w:pPr>
      <w:r>
        <w:rPr>
          <w:b/>
          <w:sz w:val="24"/>
          <w:szCs w:val="24"/>
        </w:rPr>
        <w:t>RESULTADOS PRETENDIDOS</w:t>
      </w:r>
    </w:p>
    <w:p w14:paraId="7DC18F98">
      <w:pPr>
        <w:jc w:val="both"/>
        <w:rPr>
          <w:b/>
          <w:color w:val="C00000"/>
          <w:sz w:val="24"/>
          <w:szCs w:val="24"/>
        </w:rPr>
      </w:pPr>
    </w:p>
    <w:p w14:paraId="05AEBAE0">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r>
        <w:rPr>
          <w:color w:val="000000"/>
          <w:sz w:val="24"/>
          <w:szCs w:val="24"/>
        </w:rPr>
        <w:t>Com a aquisição de câmaras frias para conservação de imunobiológicos, pretende-se garantir condições adequadas de armazenamento, assegurando a manutenção da Rede de Frio conforme normas técnicas e sanitárias vigentes, especialmente aquelas estabelecidas pelo Ministério da Saúde e pela Anvisa.</w:t>
      </w:r>
    </w:p>
    <w:p w14:paraId="1B43D235">
      <w:pPr>
        <w:pBdr>
          <w:top w:val="none" w:color="auto" w:sz="0" w:space="0"/>
          <w:left w:val="none" w:color="auto" w:sz="0" w:space="0"/>
          <w:bottom w:val="none" w:color="auto" w:sz="0" w:space="0"/>
          <w:right w:val="none" w:color="auto" w:sz="0" w:space="0"/>
          <w:between w:val="none" w:color="auto" w:sz="0" w:space="0"/>
        </w:pBdr>
        <w:spacing w:before="100" w:after="100" w:line="360" w:lineRule="auto"/>
        <w:jc w:val="both"/>
        <w:rPr>
          <w:color w:val="000000"/>
          <w:sz w:val="24"/>
          <w:szCs w:val="24"/>
        </w:rPr>
      </w:pPr>
    </w:p>
    <w:p w14:paraId="13E402E3">
      <w:pPr>
        <w:shd w:val="clear" w:color="auto" w:fill="FFFFFF"/>
        <w:spacing w:line="360" w:lineRule="auto"/>
        <w:jc w:val="both"/>
        <w:rPr>
          <w:b/>
          <w:sz w:val="24"/>
          <w:szCs w:val="24"/>
        </w:rPr>
      </w:pPr>
      <w:r>
        <w:rPr>
          <w:b/>
          <w:sz w:val="24"/>
          <w:szCs w:val="24"/>
        </w:rPr>
        <w:t>13 – VIABILIDADE DA CONTRATAÇÃO</w:t>
      </w:r>
    </w:p>
    <w:p w14:paraId="2D4F8AD1">
      <w:pPr>
        <w:shd w:val="clear" w:color="auto" w:fill="FFFFFF"/>
        <w:spacing w:line="360" w:lineRule="auto"/>
        <w:jc w:val="both"/>
        <w:rPr>
          <w:b/>
          <w:sz w:val="24"/>
          <w:szCs w:val="24"/>
        </w:rPr>
      </w:pPr>
    </w:p>
    <w:p w14:paraId="5F8D5149">
      <w:pPr>
        <w:spacing w:line="360" w:lineRule="auto"/>
        <w:jc w:val="both"/>
        <w:rPr>
          <w:sz w:val="24"/>
          <w:szCs w:val="24"/>
        </w:rPr>
      </w:pPr>
      <w:r>
        <w:rPr>
          <w:sz w:val="24"/>
          <w:szCs w:val="24"/>
        </w:rPr>
        <w:t>A aquisição mostra-se viável em termos de disponibilidade de mercado, conforme a legislação em vigor.  As razões que motivaram a escolha das alternativas, considerando as informações apuradas nas análises econômica, baseiam-se nas opções levantadas e disponíveis no mercado atualmente. A solução escolhida proporcionará benefícios, em termos de eficácia, eficiência, efetividade e economicidade, alinhada aos instrumentos estratégicos institucionais e governamentais.</w:t>
      </w:r>
    </w:p>
    <w:p w14:paraId="4B7443CC">
      <w:pPr>
        <w:spacing w:line="360" w:lineRule="auto"/>
        <w:jc w:val="both"/>
        <w:rPr>
          <w:color w:val="C00000"/>
          <w:sz w:val="24"/>
          <w:szCs w:val="24"/>
        </w:rPr>
      </w:pPr>
    </w:p>
    <w:p w14:paraId="4659C0A0">
      <w:pPr>
        <w:widowControl w:val="0"/>
        <w:numPr>
          <w:ilvl w:val="0"/>
          <w:numId w:val="9"/>
        </w:numPr>
        <w:shd w:val="clear" w:color="auto" w:fill="FFFFFF"/>
        <w:spacing w:line="360" w:lineRule="auto"/>
        <w:jc w:val="both"/>
        <w:rPr>
          <w:b/>
          <w:sz w:val="24"/>
          <w:szCs w:val="24"/>
        </w:rPr>
      </w:pPr>
      <w:r>
        <w:rPr>
          <w:b/>
          <w:sz w:val="24"/>
          <w:szCs w:val="24"/>
        </w:rPr>
        <w:t>RESPONSÁVEL</w:t>
      </w:r>
    </w:p>
    <w:p w14:paraId="7C3F99F4">
      <w:pPr>
        <w:shd w:val="clear" w:color="auto" w:fill="FFFFFF"/>
        <w:spacing w:line="360" w:lineRule="auto"/>
        <w:jc w:val="both"/>
        <w:rPr>
          <w:b/>
          <w:color w:val="C00000"/>
          <w:sz w:val="24"/>
          <w:szCs w:val="24"/>
        </w:rPr>
      </w:pPr>
    </w:p>
    <w:p w14:paraId="2200BB41">
      <w:pPr>
        <w:shd w:val="clear" w:color="auto" w:fill="FFFFFF"/>
        <w:spacing w:line="360" w:lineRule="auto"/>
        <w:jc w:val="both"/>
        <w:rPr>
          <w:b/>
          <w:color w:val="C00000"/>
          <w:sz w:val="24"/>
          <w:szCs w:val="24"/>
        </w:rPr>
      </w:pPr>
    </w:p>
    <w:p w14:paraId="4A3EA5D5">
      <w:pPr>
        <w:shd w:val="clear" w:color="auto" w:fill="FFFFFF"/>
        <w:spacing w:line="360" w:lineRule="auto"/>
        <w:jc w:val="both"/>
        <w:rPr>
          <w:b/>
          <w:color w:val="C00000"/>
          <w:sz w:val="24"/>
          <w:szCs w:val="24"/>
        </w:rPr>
      </w:pPr>
    </w:p>
    <w:p w14:paraId="2F02320F">
      <w:pPr>
        <w:shd w:val="clear" w:color="auto" w:fill="FFFFFF"/>
        <w:spacing w:line="360" w:lineRule="auto"/>
        <w:jc w:val="center"/>
        <w:rPr>
          <w:sz w:val="24"/>
          <w:szCs w:val="24"/>
        </w:rPr>
      </w:pPr>
      <w:bookmarkStart w:id="37" w:name="_jiqv2lbl0b9i" w:colFirst="0" w:colLast="0"/>
      <w:bookmarkEnd w:id="37"/>
      <w:r>
        <w:rPr>
          <w:sz w:val="24"/>
          <w:szCs w:val="24"/>
        </w:rPr>
        <w:t>Valença, 24 de julho de 2026.</w:t>
      </w:r>
    </w:p>
    <w:p w14:paraId="02472C37">
      <w:pPr>
        <w:shd w:val="clear" w:color="auto" w:fill="FFFFFF"/>
        <w:spacing w:line="360" w:lineRule="auto"/>
        <w:jc w:val="both"/>
        <w:rPr>
          <w:b/>
          <w:color w:val="C00000"/>
          <w:sz w:val="24"/>
          <w:szCs w:val="24"/>
        </w:rPr>
      </w:pPr>
    </w:p>
    <w:p w14:paraId="7F77E762">
      <w:pPr>
        <w:shd w:val="clear" w:color="auto" w:fill="FFFFFF"/>
        <w:spacing w:line="360" w:lineRule="auto"/>
        <w:jc w:val="center"/>
        <w:rPr>
          <w:color w:val="C00000"/>
          <w:sz w:val="24"/>
          <w:szCs w:val="24"/>
        </w:rPr>
      </w:pPr>
    </w:p>
    <w:p w14:paraId="35F49DA8">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center"/>
        <w:rPr>
          <w:color w:val="000000"/>
          <w:sz w:val="24"/>
          <w:szCs w:val="24"/>
        </w:rPr>
      </w:pPr>
      <w:r>
        <w:rPr>
          <w:color w:val="000000"/>
          <w:sz w:val="24"/>
          <w:szCs w:val="24"/>
        </w:rPr>
        <w:t>_________________________________________</w:t>
      </w:r>
    </w:p>
    <w:p w14:paraId="0450F49A">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center"/>
        <w:rPr>
          <w:color w:val="000000"/>
          <w:sz w:val="24"/>
          <w:szCs w:val="24"/>
        </w:rPr>
      </w:pPr>
      <w:r>
        <w:rPr>
          <w:color w:val="000000"/>
          <w:sz w:val="24"/>
          <w:szCs w:val="24"/>
        </w:rPr>
        <w:t>Vithória Lopes de Carvalho Veloso</w:t>
      </w:r>
    </w:p>
    <w:p w14:paraId="30C45EC2">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center"/>
        <w:rPr>
          <w:color w:val="000000"/>
          <w:sz w:val="24"/>
          <w:szCs w:val="24"/>
        </w:rPr>
      </w:pPr>
      <w:r>
        <w:rPr>
          <w:color w:val="000000"/>
          <w:sz w:val="24"/>
          <w:szCs w:val="24"/>
        </w:rPr>
        <w:t xml:space="preserve"> Coordenadora do Programa de Imunização.</w:t>
      </w:r>
    </w:p>
    <w:p w14:paraId="787415C2">
      <w:pPr>
        <w:pBdr>
          <w:top w:val="none" w:color="auto" w:sz="0" w:space="0"/>
          <w:left w:val="none" w:color="auto" w:sz="0" w:space="0"/>
          <w:bottom w:val="none" w:color="auto" w:sz="0" w:space="0"/>
          <w:right w:val="none" w:color="auto" w:sz="0" w:space="0"/>
          <w:between w:val="none" w:color="auto" w:sz="0" w:space="0"/>
        </w:pBdr>
        <w:tabs>
          <w:tab w:val="left" w:pos="555"/>
          <w:tab w:val="left" w:pos="840"/>
          <w:tab w:val="left" w:pos="1140"/>
          <w:tab w:val="left" w:pos="1395"/>
          <w:tab w:val="left" w:pos="1650"/>
          <w:tab w:val="left" w:pos="1965"/>
          <w:tab w:val="left" w:pos="2220"/>
          <w:tab w:val="left" w:pos="7336"/>
        </w:tabs>
        <w:spacing w:after="62" w:line="360" w:lineRule="auto"/>
        <w:ind w:left="10" w:right="16" w:hanging="10"/>
        <w:jc w:val="center"/>
        <w:rPr>
          <w:color w:val="000000"/>
          <w:sz w:val="24"/>
          <w:szCs w:val="24"/>
        </w:rPr>
      </w:pPr>
      <w:r>
        <w:rPr>
          <w:color w:val="000000"/>
          <w:sz w:val="24"/>
          <w:szCs w:val="24"/>
        </w:rPr>
        <w:t>COREN /RJ 827053</w:t>
      </w:r>
    </w:p>
    <w:p w14:paraId="097F8168">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6C533397">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6F8832F6">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77B1A4A4">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3C4BBA2A">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71221A40">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609E4847">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2C68B3E4">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3FDBB590">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0464ECF7">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239D9DA7">
      <w:pPr>
        <w:pStyle w:val="19"/>
        <w:tabs>
          <w:tab w:val="left" w:pos="555"/>
          <w:tab w:val="left" w:pos="840"/>
          <w:tab w:val="left" w:pos="1140"/>
          <w:tab w:val="left" w:pos="1395"/>
          <w:tab w:val="left" w:pos="1650"/>
          <w:tab w:val="left" w:pos="1965"/>
          <w:tab w:val="left" w:pos="2220"/>
          <w:tab w:val="left" w:leader="underscore" w:pos="7336"/>
        </w:tabs>
        <w:spacing w:line="360" w:lineRule="auto"/>
        <w:jc w:val="center"/>
        <w:rPr>
          <w:rFonts w:ascii="Times New Roman" w:hAnsi="Times New Roman" w:eastAsia="Times New Roman" w:cs="Times New Roman"/>
          <w:color w:val="auto"/>
          <w:szCs w:val="24"/>
        </w:rPr>
      </w:pPr>
    </w:p>
    <w:p w14:paraId="5D2DED60">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III </w:t>
      </w:r>
    </w:p>
    <w:p w14:paraId="672AD52C">
      <w:pPr>
        <w:spacing w:before="288" w:beforeLines="120" w:after="288" w:afterLines="120" w:line="288" w:lineRule="auto"/>
        <w:contextualSpacing/>
        <w:jc w:val="center"/>
        <w:rPr>
          <w:rFonts w:eastAsia="MS Mincho"/>
          <w:b/>
          <w:sz w:val="24"/>
          <w:szCs w:val="24"/>
        </w:rPr>
      </w:pPr>
    </w:p>
    <w:p w14:paraId="672C69B7">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MODELO DE PROPOSTA</w:t>
      </w:r>
    </w:p>
    <w:tbl>
      <w:tblPr>
        <w:tblStyle w:val="10"/>
        <w:tblW w:w="889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10"/>
        <w:gridCol w:w="1605"/>
        <w:gridCol w:w="1950"/>
        <w:gridCol w:w="585"/>
        <w:gridCol w:w="825"/>
        <w:gridCol w:w="615"/>
        <w:gridCol w:w="1245"/>
        <w:gridCol w:w="1260"/>
      </w:tblGrid>
      <w:tr w14:paraId="251E49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CCCCCC"/>
            <w:tcMar>
              <w:top w:w="100" w:type="dxa"/>
              <w:left w:w="100" w:type="dxa"/>
              <w:bottom w:w="100" w:type="dxa"/>
              <w:right w:w="100" w:type="dxa"/>
            </w:tcMar>
          </w:tcPr>
          <w:p w14:paraId="6B1AD0EC">
            <w:pPr>
              <w:pStyle w:val="72"/>
              <w:widowControl w:val="0"/>
              <w:rPr>
                <w:b/>
                <w:i/>
                <w:iCs/>
                <w:sz w:val="20"/>
                <w:szCs w:val="20"/>
              </w:rPr>
            </w:pPr>
          </w:p>
          <w:p w14:paraId="7ECDD7FB">
            <w:pPr>
              <w:pStyle w:val="72"/>
              <w:widowControl w:val="0"/>
              <w:rPr>
                <w:b/>
                <w:i/>
                <w:iCs/>
                <w:sz w:val="20"/>
                <w:szCs w:val="20"/>
              </w:rPr>
            </w:pPr>
            <w:r>
              <w:rPr>
                <w:b/>
                <w:i/>
                <w:iCs/>
                <w:sz w:val="20"/>
                <w:szCs w:val="20"/>
              </w:rPr>
              <w:t>PREFEITURA MUNICIPAL DE VALENÇA</w:t>
            </w:r>
          </w:p>
        </w:tc>
        <w:tc>
          <w:tcPr>
            <w:tcW w:w="2025" w:type="dxa"/>
            <w:gridSpan w:val="3"/>
            <w:shd w:val="clear" w:color="auto" w:fill="CCCCCC"/>
            <w:tcMar>
              <w:top w:w="100" w:type="dxa"/>
              <w:left w:w="100" w:type="dxa"/>
              <w:bottom w:w="100" w:type="dxa"/>
              <w:right w:w="100" w:type="dxa"/>
            </w:tcMar>
          </w:tcPr>
          <w:p w14:paraId="39E3A7E7">
            <w:pPr>
              <w:pStyle w:val="72"/>
              <w:widowControl w:val="0"/>
              <w:rPr>
                <w:b/>
                <w:sz w:val="20"/>
                <w:szCs w:val="20"/>
              </w:rPr>
            </w:pPr>
            <w:r>
              <w:rPr>
                <w:b/>
                <w:sz w:val="20"/>
                <w:szCs w:val="20"/>
              </w:rPr>
              <w:t>Pregão Eletrônico  N° _____/____</w:t>
            </w:r>
          </w:p>
        </w:tc>
        <w:tc>
          <w:tcPr>
            <w:tcW w:w="2505" w:type="dxa"/>
            <w:gridSpan w:val="2"/>
            <w:shd w:val="clear" w:color="auto" w:fill="auto"/>
            <w:tcMar>
              <w:top w:w="100" w:type="dxa"/>
              <w:left w:w="100" w:type="dxa"/>
              <w:bottom w:w="100" w:type="dxa"/>
              <w:right w:w="100" w:type="dxa"/>
            </w:tcMar>
          </w:tcPr>
          <w:p w14:paraId="6DAD1C29">
            <w:pPr>
              <w:pStyle w:val="72"/>
              <w:widowControl w:val="0"/>
              <w:rPr>
                <w:b/>
                <w:sz w:val="20"/>
                <w:szCs w:val="20"/>
              </w:rPr>
            </w:pPr>
            <w:r>
              <w:rPr>
                <w:b/>
                <w:sz w:val="20"/>
                <w:szCs w:val="20"/>
              </w:rPr>
              <w:t>CNPJ:</w:t>
            </w:r>
          </w:p>
        </w:tc>
      </w:tr>
      <w:tr w14:paraId="522C8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950" w:type="dxa"/>
            <w:gridSpan w:val="4"/>
            <w:shd w:val="clear" w:color="auto" w:fill="auto"/>
            <w:tcMar>
              <w:top w:w="100" w:type="dxa"/>
              <w:left w:w="100" w:type="dxa"/>
              <w:bottom w:w="100" w:type="dxa"/>
              <w:right w:w="100" w:type="dxa"/>
            </w:tcMar>
          </w:tcPr>
          <w:p w14:paraId="15F7AAF8">
            <w:pPr>
              <w:pStyle w:val="72"/>
              <w:widowControl w:val="0"/>
              <w:rPr>
                <w:b/>
                <w:i/>
                <w:iCs/>
                <w:sz w:val="20"/>
                <w:szCs w:val="20"/>
              </w:rPr>
            </w:pPr>
            <w:r>
              <w:rPr>
                <w:b/>
                <w:i/>
                <w:iCs/>
                <w:sz w:val="20"/>
                <w:szCs w:val="20"/>
              </w:rPr>
              <w:t>Razão Social:</w:t>
            </w:r>
          </w:p>
        </w:tc>
        <w:tc>
          <w:tcPr>
            <w:tcW w:w="3945" w:type="dxa"/>
            <w:gridSpan w:val="4"/>
            <w:shd w:val="clear" w:color="auto" w:fill="auto"/>
            <w:tcMar>
              <w:top w:w="100" w:type="dxa"/>
              <w:left w:w="100" w:type="dxa"/>
              <w:bottom w:w="100" w:type="dxa"/>
              <w:right w:w="100" w:type="dxa"/>
            </w:tcMar>
          </w:tcPr>
          <w:p w14:paraId="5966A749">
            <w:pPr>
              <w:pStyle w:val="72"/>
              <w:widowControl w:val="0"/>
              <w:rPr>
                <w:b/>
                <w:sz w:val="20"/>
                <w:szCs w:val="20"/>
              </w:rPr>
            </w:pPr>
            <w:r>
              <w:rPr>
                <w:b/>
                <w:sz w:val="20"/>
                <w:szCs w:val="20"/>
              </w:rPr>
              <w:t>E-mail:</w:t>
            </w:r>
          </w:p>
        </w:tc>
      </w:tr>
      <w:tr w14:paraId="7D46F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5775" w:type="dxa"/>
            <w:gridSpan w:val="5"/>
            <w:shd w:val="clear" w:color="auto" w:fill="auto"/>
            <w:tcMar>
              <w:top w:w="100" w:type="dxa"/>
              <w:left w:w="100" w:type="dxa"/>
              <w:bottom w:w="100" w:type="dxa"/>
              <w:right w:w="100" w:type="dxa"/>
            </w:tcMar>
          </w:tcPr>
          <w:p w14:paraId="11793B40">
            <w:pPr>
              <w:pStyle w:val="72"/>
              <w:widowControl w:val="0"/>
              <w:rPr>
                <w:b/>
                <w:i/>
                <w:iCs/>
                <w:sz w:val="20"/>
                <w:szCs w:val="20"/>
              </w:rPr>
            </w:pPr>
            <w:r>
              <w:rPr>
                <w:b/>
                <w:i/>
                <w:iCs/>
                <w:sz w:val="20"/>
                <w:szCs w:val="20"/>
              </w:rPr>
              <w:t>Endereço:</w:t>
            </w:r>
          </w:p>
        </w:tc>
        <w:tc>
          <w:tcPr>
            <w:tcW w:w="3120" w:type="dxa"/>
            <w:gridSpan w:val="3"/>
            <w:shd w:val="clear" w:color="auto" w:fill="auto"/>
            <w:tcMar>
              <w:top w:w="100" w:type="dxa"/>
              <w:left w:w="100" w:type="dxa"/>
              <w:bottom w:w="100" w:type="dxa"/>
              <w:right w:w="100" w:type="dxa"/>
            </w:tcMar>
          </w:tcPr>
          <w:p w14:paraId="72E2AE55">
            <w:pPr>
              <w:pStyle w:val="72"/>
              <w:widowControl w:val="0"/>
              <w:rPr>
                <w:b/>
                <w:sz w:val="20"/>
                <w:szCs w:val="20"/>
              </w:rPr>
            </w:pPr>
            <w:r>
              <w:rPr>
                <w:b/>
                <w:sz w:val="20"/>
                <w:szCs w:val="20"/>
              </w:rPr>
              <w:t>Tel.:</w:t>
            </w:r>
          </w:p>
        </w:tc>
      </w:tr>
      <w:tr w14:paraId="2839C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auto"/>
            <w:tcMar>
              <w:top w:w="100" w:type="dxa"/>
              <w:left w:w="100" w:type="dxa"/>
              <w:bottom w:w="100" w:type="dxa"/>
              <w:right w:w="100" w:type="dxa"/>
            </w:tcMar>
          </w:tcPr>
          <w:p w14:paraId="26EDD2AF">
            <w:pPr>
              <w:pStyle w:val="72"/>
              <w:widowControl w:val="0"/>
              <w:rPr>
                <w:b/>
                <w:i/>
                <w:iCs/>
                <w:sz w:val="20"/>
                <w:szCs w:val="20"/>
              </w:rPr>
            </w:pPr>
            <w:r>
              <w:rPr>
                <w:b/>
                <w:i/>
                <w:iCs/>
                <w:sz w:val="20"/>
                <w:szCs w:val="20"/>
              </w:rPr>
              <w:t>Banco:</w:t>
            </w:r>
          </w:p>
        </w:tc>
        <w:tc>
          <w:tcPr>
            <w:tcW w:w="1410" w:type="dxa"/>
            <w:gridSpan w:val="2"/>
            <w:shd w:val="clear" w:color="auto" w:fill="auto"/>
            <w:tcMar>
              <w:top w:w="100" w:type="dxa"/>
              <w:left w:w="100" w:type="dxa"/>
              <w:bottom w:w="100" w:type="dxa"/>
              <w:right w:w="100" w:type="dxa"/>
            </w:tcMar>
          </w:tcPr>
          <w:p w14:paraId="0CB84D3B">
            <w:pPr>
              <w:pStyle w:val="72"/>
              <w:widowControl w:val="0"/>
              <w:rPr>
                <w:b/>
                <w:sz w:val="20"/>
                <w:szCs w:val="20"/>
              </w:rPr>
            </w:pPr>
            <w:r>
              <w:rPr>
                <w:b/>
                <w:sz w:val="20"/>
                <w:szCs w:val="20"/>
              </w:rPr>
              <w:t>Agência:</w:t>
            </w:r>
          </w:p>
        </w:tc>
        <w:tc>
          <w:tcPr>
            <w:tcW w:w="3120" w:type="dxa"/>
            <w:gridSpan w:val="3"/>
            <w:shd w:val="clear" w:color="auto" w:fill="auto"/>
            <w:tcMar>
              <w:top w:w="100" w:type="dxa"/>
              <w:left w:w="100" w:type="dxa"/>
              <w:bottom w:w="100" w:type="dxa"/>
              <w:right w:w="100" w:type="dxa"/>
            </w:tcMar>
          </w:tcPr>
          <w:p w14:paraId="1577991E">
            <w:pPr>
              <w:pStyle w:val="72"/>
              <w:widowControl w:val="0"/>
              <w:rPr>
                <w:b/>
                <w:sz w:val="20"/>
                <w:szCs w:val="20"/>
              </w:rPr>
            </w:pPr>
            <w:r>
              <w:rPr>
                <w:b/>
                <w:sz w:val="20"/>
                <w:szCs w:val="20"/>
              </w:rPr>
              <w:t>Conta Corrente:</w:t>
            </w:r>
          </w:p>
        </w:tc>
      </w:tr>
      <w:tr w14:paraId="2D67C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CCCCCC"/>
            <w:tcMar>
              <w:top w:w="100" w:type="dxa"/>
              <w:left w:w="100" w:type="dxa"/>
              <w:bottom w:w="100" w:type="dxa"/>
              <w:right w:w="100" w:type="dxa"/>
            </w:tcMar>
          </w:tcPr>
          <w:p w14:paraId="4CBC32DF">
            <w:pPr>
              <w:pStyle w:val="72"/>
              <w:widowControl w:val="0"/>
              <w:jc w:val="center"/>
              <w:rPr>
                <w:b/>
                <w:i/>
                <w:iCs/>
                <w:sz w:val="20"/>
                <w:szCs w:val="20"/>
              </w:rPr>
            </w:pPr>
            <w:r>
              <w:rPr>
                <w:b/>
                <w:i/>
                <w:iCs/>
                <w:sz w:val="20"/>
                <w:szCs w:val="20"/>
              </w:rPr>
              <w:t>LOTE/</w:t>
            </w:r>
          </w:p>
          <w:p w14:paraId="6AF88088">
            <w:pPr>
              <w:pStyle w:val="72"/>
              <w:widowControl w:val="0"/>
              <w:jc w:val="center"/>
              <w:rPr>
                <w:b/>
                <w:i/>
                <w:iCs/>
                <w:sz w:val="20"/>
                <w:szCs w:val="20"/>
              </w:rPr>
            </w:pPr>
            <w:r>
              <w:rPr>
                <w:b/>
                <w:i/>
                <w:iCs/>
                <w:sz w:val="20"/>
                <w:szCs w:val="20"/>
              </w:rPr>
              <w:t>ITEM</w:t>
            </w:r>
          </w:p>
        </w:tc>
        <w:tc>
          <w:tcPr>
            <w:tcW w:w="1605" w:type="dxa"/>
            <w:shd w:val="clear" w:color="auto" w:fill="CCCCCC"/>
            <w:tcMar>
              <w:top w:w="100" w:type="dxa"/>
              <w:left w:w="100" w:type="dxa"/>
              <w:bottom w:w="100" w:type="dxa"/>
              <w:right w:w="100" w:type="dxa"/>
            </w:tcMar>
          </w:tcPr>
          <w:p w14:paraId="5A67D458">
            <w:pPr>
              <w:pStyle w:val="72"/>
              <w:widowControl w:val="0"/>
              <w:jc w:val="center"/>
              <w:rPr>
                <w:b/>
                <w:i/>
                <w:iCs/>
                <w:sz w:val="20"/>
                <w:szCs w:val="20"/>
              </w:rPr>
            </w:pPr>
            <w:r>
              <w:rPr>
                <w:b/>
                <w:i/>
                <w:iCs/>
                <w:sz w:val="20"/>
                <w:szCs w:val="20"/>
              </w:rPr>
              <w:t>Código de Material / Código BR</w:t>
            </w:r>
          </w:p>
        </w:tc>
        <w:tc>
          <w:tcPr>
            <w:tcW w:w="1950" w:type="dxa"/>
            <w:shd w:val="clear" w:color="auto" w:fill="CCCCCC"/>
            <w:tcMar>
              <w:top w:w="100" w:type="dxa"/>
              <w:left w:w="100" w:type="dxa"/>
              <w:bottom w:w="100" w:type="dxa"/>
              <w:right w:w="100" w:type="dxa"/>
            </w:tcMar>
          </w:tcPr>
          <w:p w14:paraId="5C4A2662">
            <w:pPr>
              <w:pStyle w:val="72"/>
              <w:widowControl w:val="0"/>
              <w:jc w:val="center"/>
              <w:rPr>
                <w:b/>
                <w:i/>
                <w:iCs/>
                <w:sz w:val="20"/>
                <w:szCs w:val="20"/>
              </w:rPr>
            </w:pPr>
            <w:r>
              <w:rPr>
                <w:b/>
                <w:i/>
                <w:iCs/>
                <w:sz w:val="20"/>
                <w:szCs w:val="20"/>
              </w:rPr>
              <w:t>Nome Padronizado</w:t>
            </w:r>
          </w:p>
        </w:tc>
        <w:tc>
          <w:tcPr>
            <w:tcW w:w="585" w:type="dxa"/>
            <w:shd w:val="clear" w:color="auto" w:fill="CCCCCC"/>
            <w:tcMar>
              <w:top w:w="100" w:type="dxa"/>
              <w:left w:w="100" w:type="dxa"/>
              <w:bottom w:w="100" w:type="dxa"/>
              <w:right w:w="100" w:type="dxa"/>
            </w:tcMar>
          </w:tcPr>
          <w:p w14:paraId="23AF6574">
            <w:pPr>
              <w:pStyle w:val="72"/>
              <w:widowControl w:val="0"/>
              <w:jc w:val="center"/>
              <w:rPr>
                <w:b/>
                <w:sz w:val="20"/>
                <w:szCs w:val="20"/>
              </w:rPr>
            </w:pPr>
            <w:r>
              <w:rPr>
                <w:b/>
                <w:sz w:val="20"/>
                <w:szCs w:val="20"/>
              </w:rPr>
              <w:t>U/C</w:t>
            </w:r>
          </w:p>
        </w:tc>
        <w:tc>
          <w:tcPr>
            <w:tcW w:w="825" w:type="dxa"/>
            <w:shd w:val="clear" w:color="auto" w:fill="CCCCCC"/>
            <w:tcMar>
              <w:top w:w="100" w:type="dxa"/>
              <w:left w:w="100" w:type="dxa"/>
              <w:bottom w:w="100" w:type="dxa"/>
              <w:right w:w="100" w:type="dxa"/>
            </w:tcMar>
          </w:tcPr>
          <w:p w14:paraId="1AD3E38B">
            <w:pPr>
              <w:pStyle w:val="72"/>
              <w:widowControl w:val="0"/>
              <w:jc w:val="center"/>
              <w:rPr>
                <w:b/>
                <w:sz w:val="20"/>
                <w:szCs w:val="20"/>
              </w:rPr>
            </w:pPr>
            <w:r>
              <w:rPr>
                <w:b/>
                <w:sz w:val="20"/>
                <w:szCs w:val="20"/>
              </w:rPr>
              <w:t>Marca</w:t>
            </w:r>
          </w:p>
        </w:tc>
        <w:tc>
          <w:tcPr>
            <w:tcW w:w="615" w:type="dxa"/>
            <w:shd w:val="clear" w:color="auto" w:fill="CCCCCC"/>
            <w:tcMar>
              <w:top w:w="100" w:type="dxa"/>
              <w:left w:w="100" w:type="dxa"/>
              <w:bottom w:w="100" w:type="dxa"/>
              <w:right w:w="100" w:type="dxa"/>
            </w:tcMar>
          </w:tcPr>
          <w:p w14:paraId="4DCCFB26">
            <w:pPr>
              <w:pStyle w:val="72"/>
              <w:widowControl w:val="0"/>
              <w:jc w:val="center"/>
              <w:rPr>
                <w:b/>
                <w:sz w:val="20"/>
                <w:szCs w:val="20"/>
              </w:rPr>
            </w:pPr>
            <w:r>
              <w:rPr>
                <w:b/>
                <w:sz w:val="20"/>
                <w:szCs w:val="20"/>
              </w:rPr>
              <w:t>Qtd</w:t>
            </w:r>
          </w:p>
        </w:tc>
        <w:tc>
          <w:tcPr>
            <w:tcW w:w="1245" w:type="dxa"/>
            <w:shd w:val="clear" w:color="auto" w:fill="CCCCCC"/>
            <w:tcMar>
              <w:top w:w="100" w:type="dxa"/>
              <w:left w:w="100" w:type="dxa"/>
              <w:bottom w:w="100" w:type="dxa"/>
              <w:right w:w="100" w:type="dxa"/>
            </w:tcMar>
          </w:tcPr>
          <w:p w14:paraId="4BCBCEB9">
            <w:pPr>
              <w:pStyle w:val="72"/>
              <w:widowControl w:val="0"/>
              <w:jc w:val="center"/>
              <w:rPr>
                <w:b/>
                <w:sz w:val="20"/>
                <w:szCs w:val="20"/>
              </w:rPr>
            </w:pPr>
            <w:r>
              <w:rPr>
                <w:b/>
                <w:sz w:val="20"/>
                <w:szCs w:val="20"/>
              </w:rPr>
              <w:t>Preço Unitário</w:t>
            </w:r>
          </w:p>
        </w:tc>
        <w:tc>
          <w:tcPr>
            <w:tcW w:w="1260" w:type="dxa"/>
            <w:shd w:val="clear" w:color="auto" w:fill="CCCCCC"/>
            <w:tcMar>
              <w:top w:w="100" w:type="dxa"/>
              <w:left w:w="100" w:type="dxa"/>
              <w:bottom w:w="100" w:type="dxa"/>
              <w:right w:w="100" w:type="dxa"/>
            </w:tcMar>
          </w:tcPr>
          <w:p w14:paraId="64C67AF4">
            <w:pPr>
              <w:pStyle w:val="72"/>
              <w:widowControl w:val="0"/>
              <w:jc w:val="center"/>
              <w:rPr>
                <w:b/>
                <w:sz w:val="20"/>
                <w:szCs w:val="20"/>
              </w:rPr>
            </w:pPr>
            <w:r>
              <w:rPr>
                <w:b/>
                <w:sz w:val="20"/>
                <w:szCs w:val="20"/>
              </w:rPr>
              <w:t>Preço Total</w:t>
            </w:r>
          </w:p>
        </w:tc>
      </w:tr>
      <w:tr w14:paraId="3B78B3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00DBBF2B">
            <w:pPr>
              <w:pStyle w:val="72"/>
              <w:widowControl w:val="0"/>
              <w:rPr>
                <w:b/>
                <w:i/>
                <w:iCs/>
                <w:sz w:val="20"/>
                <w:szCs w:val="20"/>
              </w:rPr>
            </w:pPr>
          </w:p>
        </w:tc>
        <w:tc>
          <w:tcPr>
            <w:tcW w:w="1605" w:type="dxa"/>
            <w:shd w:val="clear" w:color="auto" w:fill="auto"/>
            <w:tcMar>
              <w:top w:w="100" w:type="dxa"/>
              <w:left w:w="100" w:type="dxa"/>
              <w:bottom w:w="100" w:type="dxa"/>
              <w:right w:w="100" w:type="dxa"/>
            </w:tcMar>
          </w:tcPr>
          <w:p w14:paraId="0941894D">
            <w:pPr>
              <w:pStyle w:val="72"/>
              <w:widowControl w:val="0"/>
              <w:rPr>
                <w:b/>
                <w:i/>
                <w:iCs/>
                <w:sz w:val="20"/>
                <w:szCs w:val="20"/>
              </w:rPr>
            </w:pPr>
          </w:p>
        </w:tc>
        <w:tc>
          <w:tcPr>
            <w:tcW w:w="1950" w:type="dxa"/>
            <w:shd w:val="clear" w:color="auto" w:fill="auto"/>
            <w:tcMar>
              <w:top w:w="100" w:type="dxa"/>
              <w:left w:w="100" w:type="dxa"/>
              <w:bottom w:w="100" w:type="dxa"/>
              <w:right w:w="100" w:type="dxa"/>
            </w:tcMar>
          </w:tcPr>
          <w:p w14:paraId="323CF6B0">
            <w:pPr>
              <w:pStyle w:val="72"/>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67D08741">
            <w:pPr>
              <w:pStyle w:val="72"/>
              <w:widowControl w:val="0"/>
              <w:rPr>
                <w:b/>
                <w:sz w:val="20"/>
                <w:szCs w:val="20"/>
              </w:rPr>
            </w:pPr>
          </w:p>
        </w:tc>
        <w:tc>
          <w:tcPr>
            <w:tcW w:w="825" w:type="dxa"/>
            <w:shd w:val="clear" w:color="auto" w:fill="auto"/>
            <w:tcMar>
              <w:top w:w="100" w:type="dxa"/>
              <w:left w:w="100" w:type="dxa"/>
              <w:bottom w:w="100" w:type="dxa"/>
              <w:right w:w="100" w:type="dxa"/>
            </w:tcMar>
          </w:tcPr>
          <w:p w14:paraId="45E1AB7B">
            <w:pPr>
              <w:pStyle w:val="72"/>
              <w:widowControl w:val="0"/>
              <w:rPr>
                <w:b/>
                <w:sz w:val="20"/>
                <w:szCs w:val="20"/>
              </w:rPr>
            </w:pPr>
          </w:p>
        </w:tc>
        <w:tc>
          <w:tcPr>
            <w:tcW w:w="615" w:type="dxa"/>
            <w:shd w:val="clear" w:color="auto" w:fill="auto"/>
            <w:tcMar>
              <w:top w:w="100" w:type="dxa"/>
              <w:left w:w="100" w:type="dxa"/>
              <w:bottom w:w="100" w:type="dxa"/>
              <w:right w:w="100" w:type="dxa"/>
            </w:tcMar>
          </w:tcPr>
          <w:p w14:paraId="7D7C6E30">
            <w:pPr>
              <w:pStyle w:val="72"/>
              <w:widowControl w:val="0"/>
              <w:rPr>
                <w:b/>
                <w:sz w:val="20"/>
                <w:szCs w:val="20"/>
              </w:rPr>
            </w:pPr>
          </w:p>
        </w:tc>
        <w:tc>
          <w:tcPr>
            <w:tcW w:w="1245" w:type="dxa"/>
            <w:shd w:val="clear" w:color="auto" w:fill="auto"/>
            <w:tcMar>
              <w:top w:w="100" w:type="dxa"/>
              <w:left w:w="100" w:type="dxa"/>
              <w:bottom w:w="100" w:type="dxa"/>
              <w:right w:w="100" w:type="dxa"/>
            </w:tcMar>
          </w:tcPr>
          <w:p w14:paraId="299C25D8">
            <w:pPr>
              <w:pStyle w:val="72"/>
              <w:widowControl w:val="0"/>
              <w:rPr>
                <w:b/>
                <w:sz w:val="20"/>
                <w:szCs w:val="20"/>
              </w:rPr>
            </w:pPr>
          </w:p>
        </w:tc>
        <w:tc>
          <w:tcPr>
            <w:tcW w:w="1260" w:type="dxa"/>
            <w:shd w:val="clear" w:color="auto" w:fill="auto"/>
            <w:tcMar>
              <w:top w:w="100" w:type="dxa"/>
              <w:left w:w="100" w:type="dxa"/>
              <w:bottom w:w="100" w:type="dxa"/>
              <w:right w:w="100" w:type="dxa"/>
            </w:tcMar>
          </w:tcPr>
          <w:p w14:paraId="6664936D">
            <w:pPr>
              <w:pStyle w:val="72"/>
              <w:widowControl w:val="0"/>
              <w:rPr>
                <w:b/>
                <w:sz w:val="20"/>
                <w:szCs w:val="20"/>
              </w:rPr>
            </w:pPr>
          </w:p>
        </w:tc>
      </w:tr>
      <w:tr w14:paraId="68A8C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207D06D4">
            <w:pPr>
              <w:pStyle w:val="72"/>
              <w:widowControl w:val="0"/>
              <w:rPr>
                <w:b/>
                <w:i/>
                <w:iCs/>
                <w:sz w:val="20"/>
                <w:szCs w:val="20"/>
              </w:rPr>
            </w:pPr>
          </w:p>
        </w:tc>
        <w:tc>
          <w:tcPr>
            <w:tcW w:w="1605" w:type="dxa"/>
            <w:shd w:val="clear" w:color="auto" w:fill="auto"/>
            <w:tcMar>
              <w:top w:w="100" w:type="dxa"/>
              <w:left w:w="100" w:type="dxa"/>
              <w:bottom w:w="100" w:type="dxa"/>
              <w:right w:w="100" w:type="dxa"/>
            </w:tcMar>
          </w:tcPr>
          <w:p w14:paraId="777BC6EF">
            <w:pPr>
              <w:pStyle w:val="72"/>
              <w:widowControl w:val="0"/>
              <w:rPr>
                <w:b/>
                <w:i/>
                <w:iCs/>
                <w:sz w:val="20"/>
                <w:szCs w:val="20"/>
              </w:rPr>
            </w:pPr>
          </w:p>
        </w:tc>
        <w:tc>
          <w:tcPr>
            <w:tcW w:w="1950" w:type="dxa"/>
            <w:shd w:val="clear" w:color="auto" w:fill="auto"/>
            <w:tcMar>
              <w:top w:w="100" w:type="dxa"/>
              <w:left w:w="100" w:type="dxa"/>
              <w:bottom w:w="100" w:type="dxa"/>
              <w:right w:w="100" w:type="dxa"/>
            </w:tcMar>
          </w:tcPr>
          <w:p w14:paraId="628BA972">
            <w:pPr>
              <w:pStyle w:val="72"/>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22F0668A">
            <w:pPr>
              <w:pStyle w:val="72"/>
              <w:widowControl w:val="0"/>
              <w:rPr>
                <w:b/>
                <w:sz w:val="20"/>
                <w:szCs w:val="20"/>
              </w:rPr>
            </w:pPr>
          </w:p>
        </w:tc>
        <w:tc>
          <w:tcPr>
            <w:tcW w:w="825" w:type="dxa"/>
            <w:shd w:val="clear" w:color="auto" w:fill="auto"/>
            <w:tcMar>
              <w:top w:w="100" w:type="dxa"/>
              <w:left w:w="100" w:type="dxa"/>
              <w:bottom w:w="100" w:type="dxa"/>
              <w:right w:w="100" w:type="dxa"/>
            </w:tcMar>
          </w:tcPr>
          <w:p w14:paraId="7B9A73BA">
            <w:pPr>
              <w:pStyle w:val="72"/>
              <w:widowControl w:val="0"/>
              <w:rPr>
                <w:b/>
                <w:sz w:val="20"/>
                <w:szCs w:val="20"/>
              </w:rPr>
            </w:pPr>
          </w:p>
        </w:tc>
        <w:tc>
          <w:tcPr>
            <w:tcW w:w="615" w:type="dxa"/>
            <w:shd w:val="clear" w:color="auto" w:fill="auto"/>
            <w:tcMar>
              <w:top w:w="100" w:type="dxa"/>
              <w:left w:w="100" w:type="dxa"/>
              <w:bottom w:w="100" w:type="dxa"/>
              <w:right w:w="100" w:type="dxa"/>
            </w:tcMar>
          </w:tcPr>
          <w:p w14:paraId="6F569E3A">
            <w:pPr>
              <w:pStyle w:val="72"/>
              <w:widowControl w:val="0"/>
              <w:rPr>
                <w:b/>
                <w:sz w:val="20"/>
                <w:szCs w:val="20"/>
              </w:rPr>
            </w:pPr>
          </w:p>
        </w:tc>
        <w:tc>
          <w:tcPr>
            <w:tcW w:w="1245" w:type="dxa"/>
            <w:shd w:val="clear" w:color="auto" w:fill="auto"/>
            <w:tcMar>
              <w:top w:w="100" w:type="dxa"/>
              <w:left w:w="100" w:type="dxa"/>
              <w:bottom w:w="100" w:type="dxa"/>
              <w:right w:w="100" w:type="dxa"/>
            </w:tcMar>
          </w:tcPr>
          <w:p w14:paraId="69011A6B">
            <w:pPr>
              <w:pStyle w:val="72"/>
              <w:widowControl w:val="0"/>
              <w:rPr>
                <w:b/>
                <w:sz w:val="20"/>
                <w:szCs w:val="20"/>
              </w:rPr>
            </w:pPr>
          </w:p>
        </w:tc>
        <w:tc>
          <w:tcPr>
            <w:tcW w:w="1260" w:type="dxa"/>
            <w:shd w:val="clear" w:color="auto" w:fill="auto"/>
            <w:tcMar>
              <w:top w:w="100" w:type="dxa"/>
              <w:left w:w="100" w:type="dxa"/>
              <w:bottom w:w="100" w:type="dxa"/>
              <w:right w:w="100" w:type="dxa"/>
            </w:tcMar>
          </w:tcPr>
          <w:p w14:paraId="6A5F64BE">
            <w:pPr>
              <w:pStyle w:val="72"/>
              <w:widowControl w:val="0"/>
              <w:rPr>
                <w:b/>
                <w:sz w:val="20"/>
                <w:szCs w:val="20"/>
              </w:rPr>
            </w:pPr>
          </w:p>
        </w:tc>
      </w:tr>
      <w:tr w14:paraId="00051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2CDEF260">
            <w:pPr>
              <w:pStyle w:val="72"/>
              <w:widowControl w:val="0"/>
              <w:rPr>
                <w:b/>
                <w:i/>
                <w:iCs/>
                <w:sz w:val="20"/>
                <w:szCs w:val="20"/>
              </w:rPr>
            </w:pPr>
            <w:r>
              <w:rPr>
                <w:b/>
                <w:i/>
                <w:iCs/>
                <w:sz w:val="20"/>
                <w:szCs w:val="20"/>
              </w:rPr>
              <w:t>Preço total lote/item: Por extenso</w:t>
            </w:r>
          </w:p>
        </w:tc>
      </w:tr>
      <w:tr w14:paraId="2902F7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5F71BA3F">
            <w:pPr>
              <w:pStyle w:val="72"/>
              <w:widowControl w:val="0"/>
              <w:rPr>
                <w:b/>
                <w:i/>
                <w:iCs/>
                <w:sz w:val="20"/>
                <w:szCs w:val="20"/>
              </w:rPr>
            </w:pPr>
            <w:r>
              <w:rPr>
                <w:b/>
                <w:i/>
                <w:iCs/>
                <w:sz w:val="20"/>
                <w:szCs w:val="20"/>
              </w:rPr>
              <w:t>Preço total: Por extenso</w:t>
            </w:r>
          </w:p>
        </w:tc>
      </w:tr>
      <w:tr w14:paraId="65C588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71DCDCEF">
            <w:pPr>
              <w:pStyle w:val="72"/>
              <w:widowControl w:val="0"/>
              <w:rPr>
                <w:b/>
                <w:i/>
                <w:iCs/>
                <w:sz w:val="20"/>
                <w:szCs w:val="20"/>
              </w:rPr>
            </w:pPr>
            <w:r>
              <w:rPr>
                <w:b/>
                <w:i/>
                <w:iCs/>
                <w:sz w:val="20"/>
                <w:szCs w:val="20"/>
              </w:rPr>
              <w:t>Declaramos inteira submissão aos termos desta proposta, do Edital e à Legislação em vigor.</w:t>
            </w:r>
          </w:p>
          <w:p w14:paraId="41149FF4">
            <w:pPr>
              <w:pStyle w:val="72"/>
              <w:widowControl w:val="0"/>
              <w:rPr>
                <w:b/>
                <w:i/>
                <w:iCs/>
                <w:sz w:val="20"/>
                <w:szCs w:val="20"/>
              </w:rPr>
            </w:pPr>
            <w:r>
              <w:rPr>
                <w:b/>
                <w:i/>
                <w:iCs/>
                <w:sz w:val="20"/>
                <w:szCs w:val="20"/>
              </w:rPr>
              <w:t>Valença, _______ de __________________ de ________.</w:t>
            </w:r>
          </w:p>
          <w:p w14:paraId="4F493978">
            <w:pPr>
              <w:pStyle w:val="72"/>
              <w:widowControl w:val="0"/>
              <w:rPr>
                <w:b/>
                <w:i/>
                <w:iCs/>
                <w:sz w:val="20"/>
                <w:szCs w:val="20"/>
              </w:rPr>
            </w:pPr>
            <w:r>
              <w:rPr>
                <w:b/>
                <w:i/>
                <w:iCs/>
                <w:sz w:val="20"/>
                <w:szCs w:val="20"/>
              </w:rPr>
              <w:t>_____________________________________</w:t>
            </w:r>
          </w:p>
          <w:p w14:paraId="472E84AA">
            <w:pPr>
              <w:pStyle w:val="72"/>
              <w:widowControl w:val="0"/>
              <w:rPr>
                <w:b/>
                <w:i/>
                <w:iCs/>
                <w:sz w:val="20"/>
                <w:szCs w:val="20"/>
              </w:rPr>
            </w:pPr>
            <w:r>
              <w:rPr>
                <w:b/>
                <w:i/>
                <w:iCs/>
                <w:sz w:val="20"/>
                <w:szCs w:val="20"/>
              </w:rPr>
              <w:t>Representante legal (nome por extenso)</w:t>
            </w:r>
          </w:p>
          <w:p w14:paraId="5EA43FF4">
            <w:pPr>
              <w:pStyle w:val="72"/>
              <w:widowControl w:val="0"/>
              <w:rPr>
                <w:b/>
                <w:i/>
                <w:iCs/>
                <w:sz w:val="20"/>
                <w:szCs w:val="20"/>
              </w:rPr>
            </w:pPr>
            <w:r>
              <w:rPr>
                <w:b/>
                <w:i/>
                <w:iCs/>
                <w:sz w:val="20"/>
                <w:szCs w:val="20"/>
              </w:rPr>
              <w:t>Cargo:</w:t>
            </w:r>
          </w:p>
          <w:p w14:paraId="5E365772">
            <w:pPr>
              <w:pStyle w:val="72"/>
              <w:widowControl w:val="0"/>
              <w:rPr>
                <w:b/>
                <w:i/>
                <w:iCs/>
                <w:sz w:val="20"/>
                <w:szCs w:val="20"/>
              </w:rPr>
            </w:pPr>
            <w:r>
              <w:rPr>
                <w:b/>
                <w:i/>
                <w:iCs/>
                <w:sz w:val="20"/>
                <w:szCs w:val="20"/>
              </w:rPr>
              <w:t>CPF:</w:t>
            </w:r>
          </w:p>
        </w:tc>
      </w:tr>
    </w:tbl>
    <w:p w14:paraId="660534E7">
      <w:pPr>
        <w:pStyle w:val="72"/>
        <w:jc w:val="both"/>
        <w:rPr>
          <w:rFonts w:ascii="Times New Roman" w:hAnsi="Times New Roman" w:cs="Times New Roman"/>
          <w:b/>
          <w:highlight w:val="yellow"/>
        </w:rPr>
      </w:pPr>
      <w:r>
        <w:rPr>
          <w:rFonts w:ascii="Times New Roman" w:hAnsi="Times New Roman" w:cs="Times New Roman"/>
          <w:b/>
          <w:highlight w:val="yellow"/>
        </w:rPr>
        <w:t>Deverão ser atendidas as especificações constantes no Termo de Referência.</w:t>
      </w:r>
    </w:p>
    <w:p w14:paraId="70CB81F8">
      <w:pPr>
        <w:pStyle w:val="72"/>
        <w:jc w:val="both"/>
        <w:rPr>
          <w:rFonts w:ascii="Times New Roman" w:hAnsi="Times New Roman" w:cs="Times New Roman"/>
          <w:b/>
          <w:highlight w:val="yellow"/>
        </w:rPr>
      </w:pPr>
      <w:r>
        <w:rPr>
          <w:rFonts w:ascii="Times New Roman" w:hAnsi="Times New Roman" w:cs="Times New Roman"/>
          <w:b/>
          <w:highlight w:val="yellow"/>
        </w:rPr>
        <w:t>Validade da proposta: 60 (sessenta) dias.</w:t>
      </w:r>
    </w:p>
    <w:p w14:paraId="4A45F131">
      <w:pPr>
        <w:pStyle w:val="72"/>
        <w:jc w:val="both"/>
        <w:rPr>
          <w:rFonts w:ascii="Times New Roman" w:hAnsi="Times New Roman" w:cs="Times New Roman"/>
          <w:b/>
          <w:highlight w:val="yellow"/>
        </w:rPr>
      </w:pPr>
      <w:r>
        <w:rPr>
          <w:rFonts w:ascii="Times New Roman" w:hAnsi="Times New Roman" w:cs="Times New Roman"/>
          <w:b/>
          <w:highlight w:val="yellow"/>
        </w:rPr>
        <w:t>Local de Entrega dos materiais: Conforme Termo de Referência.</w:t>
      </w:r>
    </w:p>
    <w:p w14:paraId="7842C66E">
      <w:pPr>
        <w:pStyle w:val="72"/>
        <w:jc w:val="both"/>
        <w:rPr>
          <w:rFonts w:ascii="Times New Roman" w:hAnsi="Times New Roman" w:cs="Times New Roman"/>
          <w:b/>
          <w:highlight w:val="yellow"/>
        </w:rPr>
      </w:pPr>
      <w:r>
        <w:rPr>
          <w:rFonts w:ascii="Times New Roman" w:hAnsi="Times New Roman" w:cs="Times New Roman"/>
          <w:b/>
          <w:highlight w:val="yellow"/>
        </w:rPr>
        <w:t>Obs.1: A empresa adjudicatária deverá fornecer os materiais de acordo com estabelecido na Legislação específica vigente e no Código de Defesa do Consumidor.</w:t>
      </w:r>
    </w:p>
    <w:p w14:paraId="34C35DCD">
      <w:pPr>
        <w:pStyle w:val="72"/>
        <w:jc w:val="both"/>
        <w:rPr>
          <w:rFonts w:ascii="Times New Roman" w:hAnsi="Times New Roman" w:cs="Times New Roman"/>
          <w:b/>
          <w:highlight w:val="yellow"/>
        </w:rPr>
      </w:pPr>
      <w:r>
        <w:rPr>
          <w:rFonts w:ascii="Times New Roman" w:hAnsi="Times New Roman" w:cs="Times New Roman"/>
          <w:b/>
          <w:highlight w:val="yellow"/>
        </w:rPr>
        <w:t>Obs. 2: A entrega dos materiais será aceita provisoriamente no local de entrega e após conferência de sua conformidade será o mesmo aceito definitivamente.</w:t>
      </w:r>
    </w:p>
    <w:p w14:paraId="45F2546B">
      <w:pPr>
        <w:pStyle w:val="72"/>
        <w:jc w:val="both"/>
        <w:rPr>
          <w:rFonts w:ascii="Times New Roman" w:hAnsi="Times New Roman" w:cs="Times New Roman"/>
          <w:b/>
        </w:rPr>
      </w:pPr>
      <w:r>
        <w:rPr>
          <w:rFonts w:ascii="Times New Roman" w:hAnsi="Times New Roman" w:cs="Times New Roman"/>
          <w:b/>
          <w:highlight w:val="yellow"/>
        </w:rPr>
        <w:t>Obs. 3: A proposta deverá ser elaborada em papel timbrado da empresa, com todos os dados da mesma.</w:t>
      </w:r>
    </w:p>
    <w:p w14:paraId="0BBC0050">
      <w:pPr>
        <w:pStyle w:val="72"/>
        <w:jc w:val="both"/>
        <w:rPr>
          <w:b/>
          <w:sz w:val="20"/>
          <w:szCs w:val="20"/>
        </w:rPr>
      </w:pPr>
    </w:p>
    <w:p w14:paraId="1596DBA4">
      <w:pPr>
        <w:spacing w:before="288" w:beforeLines="120" w:after="288" w:afterLines="120" w:line="288" w:lineRule="auto"/>
        <w:contextualSpacing/>
        <w:jc w:val="center"/>
        <w:rPr>
          <w:rFonts w:eastAsia="MS Mincho"/>
          <w:b/>
          <w:sz w:val="24"/>
          <w:szCs w:val="24"/>
        </w:rPr>
      </w:pPr>
      <w:r>
        <w:rPr>
          <w:rFonts w:eastAsia="MS Mincho"/>
          <w:b/>
          <w:sz w:val="24"/>
          <w:szCs w:val="24"/>
        </w:rPr>
        <w:t>ANEXO</w:t>
      </w:r>
      <w:r>
        <w:rPr>
          <w:rFonts w:eastAsia="MS Mincho"/>
          <w:b/>
          <w:color w:val="000000" w:themeColor="text1"/>
          <w:sz w:val="24"/>
          <w:szCs w:val="24"/>
          <w14:textFill>
            <w14:solidFill>
              <w14:schemeClr w14:val="tx1"/>
            </w14:solidFill>
          </w14:textFill>
        </w:rPr>
        <w:t xml:space="preserve"> IV </w:t>
      </w:r>
    </w:p>
    <w:p w14:paraId="1E156216">
      <w:pPr>
        <w:spacing w:before="288" w:beforeLines="120" w:after="288" w:afterLines="120" w:line="288" w:lineRule="auto"/>
        <w:contextualSpacing/>
        <w:rPr>
          <w:rFonts w:eastAsia="MS Mincho"/>
          <w:b/>
          <w:sz w:val="24"/>
          <w:szCs w:val="24"/>
        </w:rPr>
      </w:pPr>
    </w:p>
    <w:p w14:paraId="0003E409">
      <w:pPr>
        <w:spacing w:before="288" w:beforeLines="120" w:after="288" w:afterLines="120" w:line="288" w:lineRule="auto"/>
        <w:contextualSpacing/>
        <w:jc w:val="center"/>
        <w:rPr>
          <w:rFonts w:eastAsia="MS Mincho"/>
          <w:b/>
          <w:color w:val="FF0000"/>
          <w:sz w:val="24"/>
          <w:szCs w:val="24"/>
          <w:u w:val="single"/>
        </w:rPr>
      </w:pPr>
      <w:r>
        <w:rPr>
          <w:rFonts w:eastAsia="MS Mincho"/>
          <w:b/>
          <w:sz w:val="24"/>
          <w:szCs w:val="24"/>
          <w:highlight w:val="yellow"/>
          <w:u w:val="single"/>
        </w:rPr>
        <w:t>DOCUMENTAÇÃO EXIGIDA PARA HABILITAÇÃO</w:t>
      </w:r>
    </w:p>
    <w:p w14:paraId="77EF0B47">
      <w:pPr>
        <w:pStyle w:val="72"/>
        <w:jc w:val="both"/>
        <w:rPr>
          <w:rFonts w:ascii="Times New Roman" w:hAnsi="Times New Roman" w:cs="Times New Roman"/>
          <w:b/>
          <w:sz w:val="24"/>
          <w:szCs w:val="24"/>
        </w:rPr>
      </w:pPr>
    </w:p>
    <w:p w14:paraId="578E27C8">
      <w:pPr>
        <w:pStyle w:val="72"/>
        <w:jc w:val="both"/>
        <w:rPr>
          <w:rFonts w:ascii="Times New Roman" w:hAnsi="Times New Roman" w:cs="Times New Roman"/>
          <w:b/>
          <w:sz w:val="24"/>
          <w:szCs w:val="24"/>
        </w:rPr>
      </w:pPr>
    </w:p>
    <w:p w14:paraId="2F1A898A">
      <w:pPr>
        <w:spacing w:line="288" w:lineRule="auto"/>
        <w:contextualSpacing/>
        <w:rPr>
          <w:b/>
          <w:bCs/>
          <w:sz w:val="24"/>
          <w:szCs w:val="24"/>
        </w:rPr>
      </w:pPr>
      <w:r>
        <w:rPr>
          <w:b/>
          <w:bCs/>
          <w:sz w:val="24"/>
          <w:szCs w:val="24"/>
        </w:rPr>
        <w:t>1. HABILITAÇÃO JURÍDICA</w:t>
      </w:r>
    </w:p>
    <w:p w14:paraId="281B379E">
      <w:pPr>
        <w:spacing w:line="288" w:lineRule="auto"/>
        <w:contextualSpacing/>
        <w:rPr>
          <w:sz w:val="24"/>
          <w:szCs w:val="24"/>
        </w:rPr>
      </w:pPr>
    </w:p>
    <w:p w14:paraId="373182FD">
      <w:pPr>
        <w:spacing w:before="240" w:after="240" w:line="288" w:lineRule="auto"/>
        <w:contextualSpacing/>
        <w:jc w:val="both"/>
        <w:rPr>
          <w:sz w:val="24"/>
          <w:szCs w:val="24"/>
        </w:rPr>
      </w:pPr>
      <w:r>
        <w:rPr>
          <w:bCs/>
          <w:sz w:val="24"/>
          <w:szCs w:val="24"/>
        </w:rPr>
        <w:t xml:space="preserve">1.1 </w:t>
      </w:r>
      <w:r>
        <w:rPr>
          <w:sz w:val="24"/>
          <w:szCs w:val="24"/>
        </w:rPr>
        <w:t>Pessoa física: cédula de identidade (RG) ou documento equivalente que, por força de lei, tenha validade para fins de identificação em todo o território nacional.</w:t>
      </w:r>
    </w:p>
    <w:p w14:paraId="017AEE8B">
      <w:pPr>
        <w:tabs>
          <w:tab w:val="left" w:pos="1440"/>
        </w:tabs>
        <w:autoSpaceDE w:val="0"/>
        <w:snapToGrid w:val="0"/>
        <w:spacing w:line="288" w:lineRule="auto"/>
        <w:contextualSpacing/>
        <w:jc w:val="both"/>
        <w:rPr>
          <w:sz w:val="24"/>
          <w:szCs w:val="24"/>
        </w:rPr>
      </w:pPr>
    </w:p>
    <w:p w14:paraId="641DFAAC">
      <w:pPr>
        <w:tabs>
          <w:tab w:val="left" w:pos="1440"/>
        </w:tabs>
        <w:autoSpaceDE w:val="0"/>
        <w:snapToGrid w:val="0"/>
        <w:spacing w:line="288" w:lineRule="auto"/>
        <w:contextualSpacing/>
        <w:jc w:val="both"/>
        <w:rPr>
          <w:sz w:val="24"/>
          <w:szCs w:val="24"/>
        </w:rPr>
      </w:pPr>
      <w:r>
        <w:rPr>
          <w:sz w:val="24"/>
          <w:szCs w:val="24"/>
        </w:rPr>
        <w:t>1.2 Empresário individual: inscrição no Registro Público de Empresas Mercantis, a cargo da Junta Comercial da respectiva sede.</w:t>
      </w:r>
    </w:p>
    <w:p w14:paraId="6D2690D1">
      <w:pPr>
        <w:tabs>
          <w:tab w:val="left" w:pos="1440"/>
        </w:tabs>
        <w:autoSpaceDE w:val="0"/>
        <w:snapToGrid w:val="0"/>
        <w:spacing w:line="288" w:lineRule="auto"/>
        <w:contextualSpacing/>
        <w:jc w:val="both"/>
        <w:rPr>
          <w:sz w:val="24"/>
          <w:szCs w:val="24"/>
        </w:rPr>
      </w:pPr>
    </w:p>
    <w:p w14:paraId="7B8EA2A6">
      <w:pPr>
        <w:tabs>
          <w:tab w:val="left" w:pos="1440"/>
        </w:tabs>
        <w:autoSpaceDE w:val="0"/>
        <w:snapToGrid w:val="0"/>
        <w:spacing w:line="288" w:lineRule="auto"/>
        <w:contextualSpacing/>
        <w:jc w:val="both"/>
        <w:rPr>
          <w:color w:val="000000"/>
          <w:sz w:val="24"/>
          <w:szCs w:val="24"/>
        </w:rPr>
      </w:pPr>
      <w:r>
        <w:rPr>
          <w:color w:val="000000"/>
          <w:sz w:val="24"/>
          <w:szCs w:val="24"/>
        </w:rPr>
        <w:t xml:space="preserve">1.3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6"/>
          <w:rFonts w:eastAsiaTheme="minorHAnsi"/>
          <w:sz w:val="24"/>
          <w:szCs w:val="24"/>
        </w:rPr>
        <w:t>www.portaldoempreendedor.gov.br</w:t>
      </w:r>
      <w:r>
        <w:rPr>
          <w:rStyle w:val="16"/>
          <w:rFonts w:eastAsiaTheme="minorHAnsi"/>
          <w:sz w:val="24"/>
          <w:szCs w:val="24"/>
        </w:rPr>
        <w:fldChar w:fldCharType="end"/>
      </w:r>
      <w:r>
        <w:rPr>
          <w:color w:val="000000"/>
          <w:sz w:val="24"/>
          <w:szCs w:val="24"/>
        </w:rPr>
        <w:t>.</w:t>
      </w:r>
    </w:p>
    <w:p w14:paraId="2A02BCE8">
      <w:pPr>
        <w:tabs>
          <w:tab w:val="left" w:pos="1440"/>
        </w:tabs>
        <w:autoSpaceDE w:val="0"/>
        <w:snapToGrid w:val="0"/>
        <w:spacing w:line="288" w:lineRule="auto"/>
        <w:contextualSpacing/>
        <w:rPr>
          <w:color w:val="000000"/>
          <w:sz w:val="24"/>
          <w:szCs w:val="24"/>
        </w:rPr>
      </w:pPr>
    </w:p>
    <w:p w14:paraId="4615DAD6">
      <w:pPr>
        <w:tabs>
          <w:tab w:val="left" w:pos="1440"/>
        </w:tabs>
        <w:autoSpaceDE w:val="0"/>
        <w:snapToGrid w:val="0"/>
        <w:spacing w:line="288" w:lineRule="auto"/>
        <w:contextualSpacing/>
        <w:jc w:val="both"/>
        <w:rPr>
          <w:color w:val="000000"/>
          <w:sz w:val="24"/>
          <w:szCs w:val="24"/>
        </w:rPr>
      </w:pPr>
      <w:r>
        <w:rPr>
          <w:color w:val="000000"/>
          <w:sz w:val="24"/>
          <w:szCs w:val="24"/>
        </w:rPr>
        <w:t xml:space="preserve">1.4 Sociedade Limitada Unipessoal - SLU: ato constitutivo, estatuto ou contrato social em vigor inscrito </w:t>
      </w:r>
      <w:r>
        <w:rPr>
          <w:sz w:val="24"/>
          <w:szCs w:val="24"/>
        </w:rPr>
        <w:t>no Registro Público de Empresas Mercantis, a cargo</w:t>
      </w:r>
      <w:r>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F791351">
      <w:pPr>
        <w:tabs>
          <w:tab w:val="left" w:pos="1440"/>
        </w:tabs>
        <w:autoSpaceDE w:val="0"/>
        <w:snapToGrid w:val="0"/>
        <w:spacing w:line="288" w:lineRule="auto"/>
        <w:contextualSpacing/>
        <w:rPr>
          <w:sz w:val="24"/>
          <w:szCs w:val="24"/>
        </w:rPr>
      </w:pPr>
    </w:p>
    <w:p w14:paraId="72E6E084">
      <w:pPr>
        <w:spacing w:line="288" w:lineRule="auto"/>
        <w:contextualSpacing/>
        <w:jc w:val="both"/>
        <w:rPr>
          <w:color w:val="000000"/>
          <w:sz w:val="24"/>
          <w:szCs w:val="24"/>
        </w:rPr>
      </w:pPr>
      <w:r>
        <w:rPr>
          <w:color w:val="000000"/>
          <w:sz w:val="24"/>
          <w:szCs w:val="24"/>
        </w:rPr>
        <w:t xml:space="preserve">1.5 Sociedade Empresária Estrangeira em funcionamento no País: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E401CD8">
      <w:pPr>
        <w:tabs>
          <w:tab w:val="left" w:pos="1440"/>
        </w:tabs>
        <w:autoSpaceDE w:val="0"/>
        <w:snapToGrid w:val="0"/>
        <w:spacing w:line="288" w:lineRule="auto"/>
        <w:contextualSpacing/>
        <w:jc w:val="both"/>
        <w:rPr>
          <w:color w:val="000000"/>
          <w:sz w:val="24"/>
          <w:szCs w:val="24"/>
        </w:rPr>
      </w:pPr>
    </w:p>
    <w:p w14:paraId="1C9F4BBC">
      <w:pPr>
        <w:tabs>
          <w:tab w:val="left" w:pos="1440"/>
        </w:tabs>
        <w:autoSpaceDE w:val="0"/>
        <w:snapToGrid w:val="0"/>
        <w:spacing w:line="288" w:lineRule="auto"/>
        <w:contextualSpacing/>
        <w:jc w:val="both"/>
        <w:rPr>
          <w:color w:val="000000"/>
          <w:sz w:val="24"/>
          <w:szCs w:val="24"/>
        </w:rPr>
      </w:pPr>
      <w:r>
        <w:rPr>
          <w:color w:val="000000"/>
          <w:sz w:val="24"/>
          <w:szCs w:val="24"/>
        </w:rPr>
        <w:t>1.6 Sociedade Simples: inscrição do ato constitutivo no Registro Civil das Pessoas Jurídicas do local de sua sede, acompanhada de prova da indicação dos seus administradores.</w:t>
      </w:r>
    </w:p>
    <w:p w14:paraId="262926CB">
      <w:pPr>
        <w:tabs>
          <w:tab w:val="left" w:pos="1440"/>
        </w:tabs>
        <w:autoSpaceDE w:val="0"/>
        <w:snapToGrid w:val="0"/>
        <w:spacing w:line="288" w:lineRule="auto"/>
        <w:contextualSpacing/>
        <w:jc w:val="both"/>
        <w:rPr>
          <w:color w:val="000000"/>
          <w:sz w:val="24"/>
          <w:szCs w:val="24"/>
        </w:rPr>
      </w:pPr>
    </w:p>
    <w:p w14:paraId="13C1F5C4">
      <w:pPr>
        <w:tabs>
          <w:tab w:val="left" w:pos="1440"/>
        </w:tabs>
        <w:autoSpaceDE w:val="0"/>
        <w:snapToGrid w:val="0"/>
        <w:spacing w:line="288" w:lineRule="auto"/>
        <w:contextualSpacing/>
        <w:jc w:val="both"/>
        <w:rPr>
          <w:color w:val="000000"/>
          <w:sz w:val="24"/>
          <w:szCs w:val="24"/>
        </w:rPr>
      </w:pPr>
      <w:r>
        <w:rPr>
          <w:color w:val="000000"/>
          <w:sz w:val="24"/>
          <w:szCs w:val="24"/>
        </w:rPr>
        <w:t xml:space="preserve">1.7 </w:t>
      </w:r>
      <w:r>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FE26A4">
      <w:pPr>
        <w:tabs>
          <w:tab w:val="left" w:pos="1440"/>
        </w:tabs>
        <w:autoSpaceDE w:val="0"/>
        <w:snapToGrid w:val="0"/>
        <w:spacing w:line="288" w:lineRule="auto"/>
        <w:contextualSpacing/>
        <w:jc w:val="both"/>
        <w:rPr>
          <w:color w:val="000000"/>
          <w:sz w:val="24"/>
          <w:szCs w:val="24"/>
        </w:rPr>
      </w:pPr>
    </w:p>
    <w:p w14:paraId="3B1D0B2A">
      <w:pPr>
        <w:tabs>
          <w:tab w:val="left" w:pos="1440"/>
        </w:tabs>
        <w:autoSpaceDE w:val="0"/>
        <w:snapToGrid w:val="0"/>
        <w:spacing w:line="288" w:lineRule="auto"/>
        <w:contextualSpacing/>
        <w:jc w:val="both"/>
        <w:rPr>
          <w:sz w:val="24"/>
          <w:szCs w:val="24"/>
        </w:rPr>
      </w:pPr>
      <w:r>
        <w:rPr>
          <w:sz w:val="24"/>
          <w:szCs w:val="24"/>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64421CD4">
      <w:pPr>
        <w:tabs>
          <w:tab w:val="left" w:pos="1440"/>
        </w:tabs>
        <w:autoSpaceDE w:val="0"/>
        <w:snapToGrid w:val="0"/>
        <w:spacing w:line="288" w:lineRule="auto"/>
        <w:contextualSpacing/>
        <w:jc w:val="both"/>
        <w:rPr>
          <w:sz w:val="24"/>
          <w:szCs w:val="24"/>
        </w:rPr>
      </w:pPr>
    </w:p>
    <w:p w14:paraId="5758D14C">
      <w:pPr>
        <w:spacing w:line="288" w:lineRule="auto"/>
        <w:contextualSpacing/>
        <w:rPr>
          <w:sz w:val="24"/>
          <w:szCs w:val="24"/>
        </w:rPr>
      </w:pPr>
      <w:r>
        <w:rPr>
          <w:bCs/>
          <w:sz w:val="24"/>
          <w:szCs w:val="24"/>
        </w:rPr>
        <w:t xml:space="preserve">1.9 </w:t>
      </w:r>
      <w:r>
        <w:rPr>
          <w:bCs/>
          <w:color w:val="000000"/>
          <w:sz w:val="24"/>
          <w:szCs w:val="24"/>
        </w:rPr>
        <w:t>Quando cabível, os documentos apresentados devem estar acompanhados de todas as alterações ou da consolidação respectiva.</w:t>
      </w:r>
    </w:p>
    <w:p w14:paraId="05623A1D">
      <w:pPr>
        <w:spacing w:line="288" w:lineRule="auto"/>
        <w:contextualSpacing/>
        <w:rPr>
          <w:sz w:val="24"/>
          <w:szCs w:val="24"/>
        </w:rPr>
      </w:pPr>
    </w:p>
    <w:p w14:paraId="245C146C">
      <w:pPr>
        <w:spacing w:line="288" w:lineRule="auto"/>
        <w:contextualSpacing/>
        <w:rPr>
          <w:b/>
          <w:bCs/>
          <w:color w:val="000000"/>
          <w:sz w:val="24"/>
          <w:szCs w:val="24"/>
        </w:rPr>
      </w:pPr>
      <w:r>
        <w:rPr>
          <w:b/>
          <w:bCs/>
          <w:sz w:val="24"/>
          <w:szCs w:val="24"/>
        </w:rPr>
        <w:t xml:space="preserve">2. HABILITAÇÃO </w:t>
      </w:r>
      <w:r>
        <w:rPr>
          <w:b/>
          <w:bCs/>
          <w:color w:val="000000"/>
          <w:sz w:val="24"/>
          <w:szCs w:val="24"/>
        </w:rPr>
        <w:t>FISCAL, SOCIAL E TRABALHISTA:</w:t>
      </w:r>
    </w:p>
    <w:p w14:paraId="7B883B50">
      <w:pPr>
        <w:spacing w:line="288" w:lineRule="auto"/>
        <w:contextualSpacing/>
        <w:rPr>
          <w:b/>
          <w:bCs/>
          <w:color w:val="000000"/>
          <w:sz w:val="24"/>
          <w:szCs w:val="24"/>
        </w:rPr>
      </w:pPr>
    </w:p>
    <w:p w14:paraId="3458623A">
      <w:pPr>
        <w:tabs>
          <w:tab w:val="left" w:pos="1440"/>
        </w:tabs>
        <w:autoSpaceDE w:val="0"/>
        <w:snapToGrid w:val="0"/>
        <w:spacing w:line="288" w:lineRule="auto"/>
        <w:contextualSpacing/>
        <w:jc w:val="both"/>
        <w:rPr>
          <w:sz w:val="24"/>
          <w:szCs w:val="24"/>
          <w:lang w:eastAsia="en-US"/>
        </w:rPr>
      </w:pPr>
      <w:r>
        <w:rPr>
          <w:sz w:val="24"/>
          <w:szCs w:val="24"/>
          <w:lang w:eastAsia="en-US"/>
        </w:rPr>
        <w:t>2.1 Inscrição no Cadastro Nacional de Pessoas Jurídicas ou no Cadastro de Pessoas Físicas, conforme o caso.</w:t>
      </w:r>
    </w:p>
    <w:p w14:paraId="3DBD0FC8">
      <w:pPr>
        <w:tabs>
          <w:tab w:val="left" w:pos="1440"/>
        </w:tabs>
        <w:autoSpaceDE w:val="0"/>
        <w:snapToGrid w:val="0"/>
        <w:spacing w:line="288" w:lineRule="auto"/>
        <w:contextualSpacing/>
        <w:jc w:val="both"/>
        <w:rPr>
          <w:sz w:val="24"/>
          <w:szCs w:val="24"/>
          <w:lang w:eastAsia="en-US"/>
        </w:rPr>
      </w:pPr>
    </w:p>
    <w:p w14:paraId="191334CA">
      <w:pPr>
        <w:tabs>
          <w:tab w:val="left" w:pos="1440"/>
        </w:tabs>
        <w:autoSpaceDE w:val="0"/>
        <w:snapToGrid w:val="0"/>
        <w:spacing w:line="288" w:lineRule="auto"/>
        <w:contextualSpacing/>
        <w:jc w:val="both"/>
        <w:rPr>
          <w:sz w:val="24"/>
          <w:szCs w:val="24"/>
        </w:rPr>
      </w:pPr>
      <w:r>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0DCE7A7">
      <w:pPr>
        <w:tabs>
          <w:tab w:val="left" w:pos="1440"/>
        </w:tabs>
        <w:autoSpaceDE w:val="0"/>
        <w:snapToGrid w:val="0"/>
        <w:spacing w:line="288" w:lineRule="auto"/>
        <w:contextualSpacing/>
        <w:jc w:val="both"/>
        <w:rPr>
          <w:sz w:val="24"/>
          <w:szCs w:val="24"/>
        </w:rPr>
      </w:pPr>
    </w:p>
    <w:p w14:paraId="05AFA2FA">
      <w:pPr>
        <w:tabs>
          <w:tab w:val="left" w:pos="1440"/>
        </w:tabs>
        <w:autoSpaceDE w:val="0"/>
        <w:snapToGrid w:val="0"/>
        <w:spacing w:line="288" w:lineRule="auto"/>
        <w:contextualSpacing/>
        <w:jc w:val="both"/>
        <w:rPr>
          <w:sz w:val="24"/>
          <w:szCs w:val="24"/>
        </w:rPr>
      </w:pPr>
      <w:r>
        <w:rPr>
          <w:color w:val="000000"/>
          <w:sz w:val="24"/>
          <w:szCs w:val="24"/>
          <w:lang w:eastAsia="en-US"/>
        </w:rPr>
        <w:t>2.3 Regularidade com o Fundo de Garantia do Tempo de Serviço (FGTS).</w:t>
      </w:r>
    </w:p>
    <w:p w14:paraId="3E0BF1DD">
      <w:pPr>
        <w:tabs>
          <w:tab w:val="left" w:pos="1440"/>
        </w:tabs>
        <w:autoSpaceDE w:val="0"/>
        <w:snapToGrid w:val="0"/>
        <w:spacing w:line="288" w:lineRule="auto"/>
        <w:contextualSpacing/>
        <w:jc w:val="both"/>
        <w:rPr>
          <w:sz w:val="24"/>
          <w:szCs w:val="24"/>
        </w:rPr>
      </w:pPr>
    </w:p>
    <w:p w14:paraId="6B4A8918">
      <w:pPr>
        <w:tabs>
          <w:tab w:val="left" w:pos="1440"/>
        </w:tabs>
        <w:autoSpaceDE w:val="0"/>
        <w:snapToGrid w:val="0"/>
        <w:spacing w:line="288" w:lineRule="auto"/>
        <w:contextualSpacing/>
        <w:jc w:val="both"/>
        <w:rPr>
          <w:sz w:val="24"/>
          <w:szCs w:val="24"/>
        </w:rPr>
      </w:pPr>
      <w:r>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257A4772">
      <w:pPr>
        <w:tabs>
          <w:tab w:val="left" w:pos="1440"/>
        </w:tabs>
        <w:autoSpaceDE w:val="0"/>
        <w:snapToGrid w:val="0"/>
        <w:spacing w:line="288" w:lineRule="auto"/>
        <w:contextualSpacing/>
        <w:jc w:val="both"/>
        <w:rPr>
          <w:color w:val="000000"/>
          <w:sz w:val="24"/>
          <w:szCs w:val="24"/>
        </w:rPr>
      </w:pPr>
    </w:p>
    <w:p w14:paraId="5F139F47">
      <w:pPr>
        <w:tabs>
          <w:tab w:val="left" w:pos="1440"/>
        </w:tabs>
        <w:autoSpaceDE w:val="0"/>
        <w:snapToGrid w:val="0"/>
        <w:spacing w:line="288" w:lineRule="auto"/>
        <w:contextualSpacing/>
        <w:jc w:val="both"/>
        <w:rPr>
          <w:sz w:val="24"/>
          <w:szCs w:val="24"/>
          <w:lang w:eastAsia="en-US"/>
        </w:rPr>
      </w:pPr>
      <w:r>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0ED24FD9">
      <w:pPr>
        <w:tabs>
          <w:tab w:val="left" w:pos="1440"/>
        </w:tabs>
        <w:autoSpaceDE w:val="0"/>
        <w:snapToGrid w:val="0"/>
        <w:spacing w:line="288" w:lineRule="auto"/>
        <w:contextualSpacing/>
        <w:jc w:val="both"/>
        <w:rPr>
          <w:sz w:val="24"/>
          <w:szCs w:val="24"/>
          <w:lang w:eastAsia="en-US"/>
        </w:rPr>
      </w:pPr>
    </w:p>
    <w:p w14:paraId="354DDE45">
      <w:pPr>
        <w:tabs>
          <w:tab w:val="left" w:pos="1440"/>
        </w:tabs>
        <w:autoSpaceDE w:val="0"/>
        <w:snapToGrid w:val="0"/>
        <w:spacing w:line="288" w:lineRule="auto"/>
        <w:contextualSpacing/>
        <w:jc w:val="both"/>
        <w:rPr>
          <w:bCs/>
          <w:sz w:val="24"/>
          <w:szCs w:val="24"/>
        </w:rPr>
      </w:pPr>
      <w:r>
        <w:rPr>
          <w:bCs/>
          <w:sz w:val="24"/>
          <w:szCs w:val="24"/>
        </w:rPr>
        <w:t xml:space="preserve">2.6 Prova de </w:t>
      </w:r>
      <w:r>
        <w:rPr>
          <w:color w:val="000000"/>
          <w:sz w:val="24"/>
          <w:szCs w:val="24"/>
        </w:rPr>
        <w:t xml:space="preserve">inscrição no cadastro de contribuintes </w:t>
      </w:r>
      <w:r>
        <w:rPr>
          <w:sz w:val="24"/>
          <w:szCs w:val="24"/>
        </w:rPr>
        <w:t>estadual/distrital</w:t>
      </w:r>
      <w:r>
        <w:rPr>
          <w:color w:val="000000"/>
          <w:sz w:val="24"/>
          <w:szCs w:val="24"/>
        </w:rPr>
        <w:t>, relativo ao domicílio ou sede do fornecedor, pertinente ao seu ramo de atividade e compatível com o objeto contratual</w:t>
      </w:r>
      <w:r>
        <w:rPr>
          <w:bCs/>
          <w:sz w:val="24"/>
          <w:szCs w:val="24"/>
        </w:rPr>
        <w:t>.</w:t>
      </w:r>
    </w:p>
    <w:p w14:paraId="0754DDE1">
      <w:pPr>
        <w:tabs>
          <w:tab w:val="left" w:pos="1440"/>
        </w:tabs>
        <w:autoSpaceDE w:val="0"/>
        <w:snapToGrid w:val="0"/>
        <w:spacing w:line="288" w:lineRule="auto"/>
        <w:contextualSpacing/>
        <w:jc w:val="both"/>
        <w:rPr>
          <w:bCs/>
          <w:sz w:val="24"/>
          <w:szCs w:val="24"/>
        </w:rPr>
      </w:pPr>
    </w:p>
    <w:p w14:paraId="5DD0A7ED">
      <w:pPr>
        <w:tabs>
          <w:tab w:val="left" w:pos="1440"/>
        </w:tabs>
        <w:autoSpaceDE w:val="0"/>
        <w:snapToGrid w:val="0"/>
        <w:spacing w:line="288" w:lineRule="auto"/>
        <w:contextualSpacing/>
        <w:jc w:val="both"/>
        <w:rPr>
          <w:sz w:val="24"/>
          <w:szCs w:val="24"/>
          <w:lang w:eastAsia="en-US"/>
        </w:rPr>
      </w:pPr>
      <w:r>
        <w:rPr>
          <w:bCs/>
          <w:sz w:val="24"/>
          <w:szCs w:val="24"/>
        </w:rPr>
        <w:t xml:space="preserve">2.6.1 O fornecedor enquadrado como microempreendedor individual que pretenda auferir os benefícios do tratamento diferenciado previstos na </w:t>
      </w:r>
      <w:r>
        <w:fldChar w:fldCharType="begin"/>
      </w:r>
      <w:r>
        <w:instrText xml:space="preserve"> HYPERLINK "https://www.planalto.gov.br/ccivil_03/leis/lcp/lcp123.htm" </w:instrText>
      </w:r>
      <w:r>
        <w:fldChar w:fldCharType="separate"/>
      </w:r>
      <w:r>
        <w:rPr>
          <w:rStyle w:val="16"/>
          <w:rFonts w:eastAsiaTheme="minorHAnsi"/>
          <w:bCs/>
          <w:sz w:val="24"/>
          <w:szCs w:val="24"/>
        </w:rPr>
        <w:t>Lei Complementar nº 123/2006</w:t>
      </w:r>
      <w:r>
        <w:rPr>
          <w:rStyle w:val="16"/>
          <w:rFonts w:eastAsiaTheme="minorHAnsi"/>
          <w:bCs/>
          <w:sz w:val="24"/>
          <w:szCs w:val="24"/>
        </w:rPr>
        <w:fldChar w:fldCharType="end"/>
      </w:r>
      <w:r>
        <w:rPr>
          <w:bCs/>
          <w:sz w:val="24"/>
          <w:szCs w:val="24"/>
        </w:rPr>
        <w:t xml:space="preserve">, estará dispensado da prova de inscrição nos cadastros de contribuintes estadual e municipal, eis que a </w:t>
      </w:r>
      <w:r>
        <w:rPr>
          <w:sz w:val="24"/>
          <w:szCs w:val="24"/>
        </w:rPr>
        <w:t>apresentação do Certificado de Condição de Microempreendedor Individual – CCMEI supre tais requisitos.</w:t>
      </w:r>
    </w:p>
    <w:p w14:paraId="28C708DD">
      <w:pPr>
        <w:tabs>
          <w:tab w:val="left" w:pos="1440"/>
        </w:tabs>
        <w:autoSpaceDE w:val="0"/>
        <w:snapToGrid w:val="0"/>
        <w:spacing w:line="288" w:lineRule="auto"/>
        <w:contextualSpacing/>
        <w:jc w:val="both"/>
        <w:rPr>
          <w:sz w:val="24"/>
          <w:szCs w:val="24"/>
          <w:lang w:eastAsia="en-US"/>
        </w:rPr>
      </w:pPr>
    </w:p>
    <w:p w14:paraId="76ABD0FC">
      <w:pPr>
        <w:tabs>
          <w:tab w:val="left" w:pos="1440"/>
        </w:tabs>
        <w:autoSpaceDE w:val="0"/>
        <w:snapToGrid w:val="0"/>
        <w:spacing w:line="288" w:lineRule="auto"/>
        <w:contextualSpacing/>
        <w:jc w:val="both"/>
        <w:rPr>
          <w:sz w:val="24"/>
          <w:szCs w:val="24"/>
        </w:rPr>
      </w:pPr>
      <w:r>
        <w:rPr>
          <w:sz w:val="24"/>
          <w:szCs w:val="24"/>
        </w:rPr>
        <w:t>2.7 Prova de regularidade com a Fazenda do Estado do Rio de Janeiro, mediante a apresentação de:</w:t>
      </w:r>
    </w:p>
    <w:p w14:paraId="387D576C">
      <w:pPr>
        <w:tabs>
          <w:tab w:val="left" w:pos="1440"/>
        </w:tabs>
        <w:autoSpaceDE w:val="0"/>
        <w:snapToGrid w:val="0"/>
        <w:spacing w:line="288" w:lineRule="auto"/>
        <w:contextualSpacing/>
        <w:jc w:val="both"/>
        <w:rPr>
          <w:sz w:val="24"/>
          <w:szCs w:val="24"/>
        </w:rPr>
      </w:pPr>
    </w:p>
    <w:p w14:paraId="3B8F9816">
      <w:pPr>
        <w:tabs>
          <w:tab w:val="left" w:pos="1440"/>
        </w:tabs>
        <w:autoSpaceDE w:val="0"/>
        <w:snapToGrid w:val="0"/>
        <w:spacing w:line="288" w:lineRule="auto"/>
        <w:contextualSpacing/>
        <w:jc w:val="both"/>
        <w:rPr>
          <w:sz w:val="24"/>
          <w:szCs w:val="24"/>
          <w:lang w:eastAsia="en-US"/>
        </w:rPr>
      </w:pPr>
      <w:r>
        <w:rPr>
          <w:sz w:val="24"/>
          <w:szCs w:val="24"/>
        </w:rPr>
        <w:t xml:space="preserve">2.7.1 Certidão Negativa de Débitos, ou Certidão Positiva com efeito de Negativa, expedida pela Secretaria de Estado de Fazenda; e </w:t>
      </w:r>
    </w:p>
    <w:p w14:paraId="0ECA5345">
      <w:pPr>
        <w:pStyle w:val="31"/>
        <w:spacing w:line="288" w:lineRule="auto"/>
        <w:ind w:firstLine="0"/>
        <w:contextualSpacing/>
        <w:rPr>
          <w:rFonts w:ascii="Times New Roman" w:hAnsi="Times New Roman"/>
          <w:szCs w:val="24"/>
        </w:rPr>
      </w:pPr>
    </w:p>
    <w:p w14:paraId="02E9384A">
      <w:pPr>
        <w:pStyle w:val="31"/>
        <w:spacing w:line="288" w:lineRule="auto"/>
        <w:ind w:firstLine="0"/>
        <w:contextualSpacing/>
        <w:rPr>
          <w:rFonts w:ascii="Times New Roman" w:hAnsi="Times New Roman"/>
          <w:szCs w:val="24"/>
        </w:rPr>
      </w:pPr>
      <w:r>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48212787">
      <w:pPr>
        <w:tabs>
          <w:tab w:val="left" w:pos="1440"/>
        </w:tabs>
        <w:autoSpaceDE w:val="0"/>
        <w:snapToGrid w:val="0"/>
        <w:spacing w:line="288" w:lineRule="auto"/>
        <w:contextualSpacing/>
        <w:jc w:val="both"/>
        <w:rPr>
          <w:sz w:val="24"/>
          <w:szCs w:val="24"/>
        </w:rPr>
      </w:pPr>
    </w:p>
    <w:p w14:paraId="3AF64C2C">
      <w:pPr>
        <w:tabs>
          <w:tab w:val="left" w:pos="1440"/>
        </w:tabs>
        <w:autoSpaceDE w:val="0"/>
        <w:snapToGrid w:val="0"/>
        <w:spacing w:line="288" w:lineRule="auto"/>
        <w:contextualSpacing/>
        <w:jc w:val="both"/>
        <w:rPr>
          <w:sz w:val="24"/>
          <w:szCs w:val="24"/>
        </w:rPr>
      </w:pPr>
      <w:r>
        <w:rPr>
          <w:sz w:val="24"/>
          <w:szCs w:val="24"/>
        </w:rPr>
        <w:t>2.8 Regularidade com a Fazenda Estadual</w:t>
      </w:r>
      <w:r>
        <w:rPr>
          <w:color w:val="FF0000"/>
          <w:sz w:val="24"/>
          <w:szCs w:val="24"/>
        </w:rPr>
        <w:t xml:space="preserve"> </w:t>
      </w:r>
      <w:r>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5D51492">
      <w:pPr>
        <w:tabs>
          <w:tab w:val="left" w:pos="1440"/>
        </w:tabs>
        <w:autoSpaceDE w:val="0"/>
        <w:snapToGrid w:val="0"/>
        <w:spacing w:line="288" w:lineRule="auto"/>
        <w:contextualSpacing/>
        <w:jc w:val="both"/>
        <w:rPr>
          <w:sz w:val="24"/>
          <w:szCs w:val="24"/>
        </w:rPr>
      </w:pPr>
    </w:p>
    <w:p w14:paraId="2A82DDB0">
      <w:pPr>
        <w:spacing w:line="288" w:lineRule="auto"/>
        <w:contextualSpacing/>
        <w:jc w:val="both"/>
        <w:rPr>
          <w:sz w:val="24"/>
          <w:szCs w:val="24"/>
        </w:rPr>
      </w:pPr>
      <w:r>
        <w:rPr>
          <w:sz w:val="24"/>
          <w:szCs w:val="24"/>
        </w:rPr>
        <w:t xml:space="preserve">2.9 Caso o fornecedor seja considerado isento dos tributos </w:t>
      </w:r>
      <w:r>
        <w:rPr>
          <w:iCs/>
          <w:sz w:val="24"/>
          <w:szCs w:val="24"/>
        </w:rPr>
        <w:t>estaduais</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14:paraId="797F68B3">
      <w:pPr>
        <w:spacing w:line="288" w:lineRule="auto"/>
        <w:contextualSpacing/>
        <w:rPr>
          <w:sz w:val="24"/>
          <w:szCs w:val="24"/>
        </w:rPr>
      </w:pPr>
    </w:p>
    <w:p w14:paraId="27E08AF9">
      <w:pPr>
        <w:pStyle w:val="36"/>
        <w:spacing w:after="0" w:line="288" w:lineRule="auto"/>
        <w:ind w:left="0"/>
        <w:contextualSpacing/>
        <w:jc w:val="both"/>
        <w:rPr>
          <w:rFonts w:ascii="Times New Roman" w:hAnsi="Times New Roman" w:cs="Times New Roman"/>
          <w:sz w:val="24"/>
          <w:szCs w:val="24"/>
        </w:rPr>
      </w:pPr>
      <w:bookmarkStart w:id="38" w:name="_Hlk178775808"/>
      <w:r>
        <w:rPr>
          <w:rFonts w:ascii="Times New Roman" w:hAnsi="Times New Roman" w:cs="Times New Roman"/>
          <w:bCs/>
          <w:sz w:val="24"/>
          <w:szCs w:val="24"/>
        </w:rPr>
        <w:t>2.10</w:t>
      </w:r>
      <w:r>
        <w:rPr>
          <w:rFonts w:ascii="Times New Roman" w:hAnsi="Times New Roman" w:cs="Times New Roman"/>
          <w:b/>
          <w:sz w:val="24"/>
          <w:szCs w:val="24"/>
        </w:rPr>
        <w:t xml:space="preserve"> </w:t>
      </w:r>
      <w:r>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6C403451">
      <w:pPr>
        <w:spacing w:line="288" w:lineRule="auto"/>
        <w:contextualSpacing/>
        <w:jc w:val="both"/>
        <w:rPr>
          <w:sz w:val="24"/>
          <w:szCs w:val="24"/>
        </w:rPr>
      </w:pPr>
    </w:p>
    <w:p w14:paraId="7623FAAA">
      <w:pPr>
        <w:spacing w:line="288" w:lineRule="auto"/>
        <w:contextualSpacing/>
        <w:jc w:val="both"/>
        <w:rPr>
          <w:sz w:val="24"/>
          <w:szCs w:val="24"/>
        </w:rPr>
      </w:pPr>
      <w:r>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8"/>
    <w:p w14:paraId="5D5433AF">
      <w:pPr>
        <w:spacing w:line="288" w:lineRule="auto"/>
        <w:contextualSpacing/>
        <w:jc w:val="both"/>
        <w:rPr>
          <w:sz w:val="24"/>
          <w:szCs w:val="24"/>
        </w:rPr>
      </w:pPr>
    </w:p>
    <w:p w14:paraId="024F9805">
      <w:pPr>
        <w:spacing w:line="288" w:lineRule="auto"/>
        <w:contextualSpacing/>
        <w:jc w:val="both"/>
        <w:rPr>
          <w:sz w:val="24"/>
          <w:szCs w:val="24"/>
        </w:rPr>
      </w:pPr>
      <w:r>
        <w:rPr>
          <w:sz w:val="24"/>
          <w:szCs w:val="24"/>
        </w:rPr>
        <w:t>2.10.2 O prazo acima poderá ser prorrogado por igual período, a critério exclusivo da Administração Pública.</w:t>
      </w:r>
    </w:p>
    <w:p w14:paraId="4287AA51">
      <w:pPr>
        <w:spacing w:line="288" w:lineRule="auto"/>
        <w:contextualSpacing/>
        <w:jc w:val="both"/>
        <w:rPr>
          <w:bCs/>
          <w:sz w:val="24"/>
          <w:szCs w:val="24"/>
        </w:rPr>
      </w:pPr>
    </w:p>
    <w:p w14:paraId="699DCF99">
      <w:pPr>
        <w:spacing w:line="288" w:lineRule="auto"/>
        <w:contextualSpacing/>
        <w:jc w:val="both"/>
        <w:rPr>
          <w:sz w:val="24"/>
          <w:szCs w:val="24"/>
        </w:rPr>
      </w:pPr>
      <w:bookmarkStart w:id="39" w:name="_Hlk178775828"/>
      <w:r>
        <w:rPr>
          <w:bCs/>
          <w:sz w:val="24"/>
          <w:szCs w:val="24"/>
        </w:rPr>
        <w:t xml:space="preserve">2.10.3 </w:t>
      </w:r>
      <w:r>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39"/>
    <w:p w14:paraId="6632202F">
      <w:pPr>
        <w:spacing w:before="288" w:beforeLines="120" w:after="288" w:afterLines="120" w:line="288" w:lineRule="auto"/>
        <w:contextualSpacing/>
        <w:jc w:val="center"/>
        <w:rPr>
          <w:rFonts w:eastAsia="MS Mincho"/>
          <w:b/>
          <w:color w:val="FF0000"/>
          <w:sz w:val="24"/>
          <w:szCs w:val="24"/>
        </w:rPr>
      </w:pPr>
    </w:p>
    <w:p w14:paraId="2C0991BA">
      <w:pPr>
        <w:spacing w:line="288" w:lineRule="auto"/>
        <w:jc w:val="both"/>
        <w:rPr>
          <w:sz w:val="24"/>
          <w:szCs w:val="24"/>
        </w:rPr>
      </w:pPr>
      <w:r>
        <w:rPr>
          <w:b/>
          <w:bCs/>
          <w:sz w:val="24"/>
          <w:szCs w:val="24"/>
        </w:rPr>
        <w:t xml:space="preserve">3. HABILITAÇÃO </w:t>
      </w:r>
      <w:r>
        <w:rPr>
          <w:b/>
          <w:bCs/>
          <w:color w:val="000000"/>
          <w:sz w:val="24"/>
          <w:szCs w:val="24"/>
        </w:rPr>
        <w:t xml:space="preserve">ECONÔMICO-FINANCEIRA: </w:t>
      </w:r>
    </w:p>
    <w:p w14:paraId="06286092">
      <w:pPr>
        <w:spacing w:line="288" w:lineRule="auto"/>
        <w:jc w:val="both"/>
        <w:rPr>
          <w:sz w:val="24"/>
          <w:szCs w:val="24"/>
        </w:rPr>
      </w:pPr>
    </w:p>
    <w:p w14:paraId="560D65E7">
      <w:pPr>
        <w:spacing w:line="288" w:lineRule="auto"/>
        <w:jc w:val="both"/>
        <w:rPr>
          <w:sz w:val="24"/>
          <w:szCs w:val="24"/>
        </w:rPr>
      </w:pPr>
      <w:r>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instrText xml:space="preserve"> HYPERLINK "https://in.gov.br/en/web/dou/-/instrucao-normativa-seges/me-n-116-de-21-de-dezembro-de-2021-370926958" \l "art5" \h </w:instrText>
      </w:r>
      <w:r>
        <w:fldChar w:fldCharType="separate"/>
      </w:r>
      <w:r>
        <w:rPr>
          <w:sz w:val="24"/>
          <w:szCs w:val="24"/>
        </w:rPr>
        <w:t xml:space="preserve"> </w:t>
      </w:r>
      <w:r>
        <w:rPr>
          <w:sz w:val="24"/>
          <w:szCs w:val="24"/>
        </w:rPr>
        <w:fldChar w:fldCharType="end"/>
      </w:r>
      <w:r>
        <w:rPr>
          <w:sz w:val="24"/>
          <w:szCs w:val="24"/>
        </w:rPr>
        <w:t xml:space="preserve"> ou de sociedade simples.</w:t>
      </w:r>
    </w:p>
    <w:p w14:paraId="5B0B36D8">
      <w:pPr>
        <w:spacing w:line="288" w:lineRule="auto"/>
        <w:jc w:val="both"/>
        <w:rPr>
          <w:sz w:val="24"/>
          <w:szCs w:val="24"/>
        </w:rPr>
      </w:pPr>
    </w:p>
    <w:p w14:paraId="5843D3D5">
      <w:pPr>
        <w:spacing w:line="288" w:lineRule="auto"/>
        <w:jc w:val="both"/>
        <w:rPr>
          <w:sz w:val="24"/>
          <w:szCs w:val="24"/>
        </w:rPr>
      </w:pPr>
      <w:bookmarkStart w:id="40" w:name="_Hlk154232471"/>
      <w:r>
        <w:rPr>
          <w:sz w:val="24"/>
          <w:szCs w:val="24"/>
        </w:rPr>
        <w:t>3.1.1 Não será causa de inabilitação do licitante a anotação de distribuição de processo de recuperação judicial ou de pedido de homologação de recuperação extrajudicial.</w:t>
      </w:r>
    </w:p>
    <w:p w14:paraId="3D228AA4">
      <w:pPr>
        <w:spacing w:line="288" w:lineRule="auto"/>
        <w:jc w:val="both"/>
        <w:rPr>
          <w:sz w:val="24"/>
          <w:szCs w:val="24"/>
        </w:rPr>
      </w:pPr>
    </w:p>
    <w:bookmarkEnd w:id="40"/>
    <w:p w14:paraId="712D7D82">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7934CC7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 Balanço patrimonial, demonstração de resultado de exercício e demais demonstrações contábeis dos 2 (dois) últimos exercícios sociais, vedada a sua substituição por balancetes ou balanços provisórios.</w:t>
      </w:r>
    </w:p>
    <w:p w14:paraId="79944B17">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4911A02D">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3.2.1 Os documentos referidos acima limitar-se-ão ao último exercício social no caso de a pessoa jurídica ter sido constituída há menos de 2 (dois) anos.</w:t>
      </w:r>
    </w:p>
    <w:p w14:paraId="443AAAB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9B37264">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 Os fornecedores criados no exercício financeiro da contratação deverão atender a todas as exigências da habilitação e ficam autorizados a substituir os demonstrativos contábeis pelo balanço de abertura;</w:t>
      </w:r>
    </w:p>
    <w:p w14:paraId="1438263F">
      <w:pPr>
        <w:spacing w:line="288" w:lineRule="auto"/>
        <w:ind w:right="565"/>
        <w:jc w:val="both"/>
        <w:rPr>
          <w:color w:val="000000" w:themeColor="text1"/>
          <w:sz w:val="24"/>
          <w:szCs w:val="24"/>
          <w14:textFill>
            <w14:solidFill>
              <w14:schemeClr w14:val="tx1"/>
            </w14:solidFill>
          </w14:textFill>
        </w:rPr>
      </w:pPr>
    </w:p>
    <w:p w14:paraId="491FF00A">
      <w:pPr>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3.2.2.1</w:t>
      </w:r>
      <w:r>
        <w:rPr>
          <w:rFonts w:eastAsia="Arial"/>
          <w:color w:val="000000" w:themeColor="text1"/>
          <w:sz w:val="24"/>
          <w:szCs w:val="24"/>
          <w14:textFill>
            <w14:solidFill>
              <w14:schemeClr w14:val="tx1"/>
            </w14:solidFill>
          </w14:textFill>
        </w:rPr>
        <w:t xml:space="preserve"> Poderá ser apresentado o balanço intermediário, caso autorizado por lei ou pelo contrato/estatuto social.</w:t>
      </w:r>
    </w:p>
    <w:p w14:paraId="69488F77">
      <w:pPr>
        <w:spacing w:line="288" w:lineRule="auto"/>
        <w:ind w:right="565"/>
        <w:jc w:val="both"/>
        <w:rPr>
          <w:color w:val="000000" w:themeColor="text1"/>
          <w:sz w:val="24"/>
          <w:szCs w:val="24"/>
          <w14:textFill>
            <w14:solidFill>
              <w14:schemeClr w14:val="tx1"/>
            </w14:solidFill>
          </w14:textFill>
        </w:rPr>
      </w:pPr>
    </w:p>
    <w:p w14:paraId="1FB4AE49">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718EE92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2928330">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3.3 Comprovação da boa situação financeira da empresa mediante obtenção de índices de Liquidez Geral (LG), Solvência Geral (SG) e Liquidez Corrente (LC), iguais ou superiores a 1 (um), obtidos pela aplicação das seguintes fórmulas: </w:t>
      </w:r>
    </w:p>
    <w:p w14:paraId="19BF870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252"/>
      </w:tblGrid>
      <w:tr w14:paraId="71B5D52D">
        <w:tblPrEx>
          <w:tblCellMar>
            <w:top w:w="0" w:type="dxa"/>
            <w:left w:w="108" w:type="dxa"/>
            <w:bottom w:w="0" w:type="dxa"/>
            <w:right w:w="108" w:type="dxa"/>
          </w:tblCellMar>
        </w:tblPrEx>
        <w:tc>
          <w:tcPr>
            <w:tcW w:w="2235" w:type="dxa"/>
            <w:vMerge w:val="restart"/>
            <w:shd w:val="clear" w:color="auto" w:fill="auto"/>
            <w:vAlign w:val="center"/>
          </w:tcPr>
          <w:p w14:paraId="63AAFE8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LG =</w:t>
            </w:r>
          </w:p>
        </w:tc>
        <w:tc>
          <w:tcPr>
            <w:tcW w:w="4252" w:type="dxa"/>
            <w:tcBorders>
              <w:bottom w:val="single" w:color="auto" w:sz="4" w:space="0"/>
            </w:tcBorders>
            <w:shd w:val="clear" w:color="auto" w:fill="auto"/>
            <w:vAlign w:val="bottom"/>
          </w:tcPr>
          <w:p w14:paraId="31F3D16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 + Realizável a Longo Prazo</w:t>
            </w:r>
          </w:p>
        </w:tc>
      </w:tr>
      <w:tr w14:paraId="44C838D4">
        <w:tblPrEx>
          <w:tblCellMar>
            <w:top w:w="0" w:type="dxa"/>
            <w:left w:w="108" w:type="dxa"/>
            <w:bottom w:w="0" w:type="dxa"/>
            <w:right w:w="108" w:type="dxa"/>
          </w:tblCellMar>
        </w:tblPrEx>
        <w:tc>
          <w:tcPr>
            <w:tcW w:w="2235" w:type="dxa"/>
            <w:vMerge w:val="continue"/>
            <w:shd w:val="clear" w:color="auto" w:fill="auto"/>
          </w:tcPr>
          <w:p w14:paraId="67C0215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252" w:type="dxa"/>
            <w:tcBorders>
              <w:top w:val="single" w:color="auto" w:sz="4" w:space="0"/>
            </w:tcBorders>
            <w:shd w:val="clear" w:color="auto" w:fill="auto"/>
          </w:tcPr>
          <w:p w14:paraId="50CC32DD">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5038F01C">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4394"/>
      </w:tblGrid>
      <w:tr w14:paraId="79D1F3A0">
        <w:tblPrEx>
          <w:tblCellMar>
            <w:top w:w="0" w:type="dxa"/>
            <w:left w:w="108" w:type="dxa"/>
            <w:bottom w:w="0" w:type="dxa"/>
            <w:right w:w="108" w:type="dxa"/>
          </w:tblCellMar>
        </w:tblPrEx>
        <w:trPr>
          <w:cantSplit/>
        </w:trPr>
        <w:tc>
          <w:tcPr>
            <w:tcW w:w="2235" w:type="dxa"/>
            <w:vMerge w:val="restart"/>
            <w:shd w:val="clear" w:color="auto" w:fill="auto"/>
            <w:vAlign w:val="center"/>
          </w:tcPr>
          <w:p w14:paraId="33604CDF">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SG =</w:t>
            </w:r>
          </w:p>
        </w:tc>
        <w:tc>
          <w:tcPr>
            <w:tcW w:w="4394" w:type="dxa"/>
            <w:tcBorders>
              <w:bottom w:val="single" w:color="auto" w:sz="4" w:space="0"/>
            </w:tcBorders>
            <w:shd w:val="clear" w:color="auto" w:fill="auto"/>
            <w:vAlign w:val="bottom"/>
          </w:tcPr>
          <w:p w14:paraId="1071D3A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Total</w:t>
            </w:r>
          </w:p>
        </w:tc>
      </w:tr>
      <w:tr w14:paraId="4873659A">
        <w:tblPrEx>
          <w:tblCellMar>
            <w:top w:w="0" w:type="dxa"/>
            <w:left w:w="108" w:type="dxa"/>
            <w:bottom w:w="0" w:type="dxa"/>
            <w:right w:w="108" w:type="dxa"/>
          </w:tblCellMar>
        </w:tblPrEx>
        <w:trPr>
          <w:cantSplit/>
        </w:trPr>
        <w:tc>
          <w:tcPr>
            <w:tcW w:w="2235" w:type="dxa"/>
            <w:vMerge w:val="continue"/>
            <w:shd w:val="clear" w:color="auto" w:fill="auto"/>
          </w:tcPr>
          <w:p w14:paraId="067C3D4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394" w:type="dxa"/>
            <w:tcBorders>
              <w:top w:val="single" w:color="auto" w:sz="4" w:space="0"/>
            </w:tcBorders>
            <w:shd w:val="clear" w:color="auto" w:fill="auto"/>
          </w:tcPr>
          <w:p w14:paraId="6747CC3E">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0E0DA12F">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10"/>
        <w:tblW w:w="0" w:type="auto"/>
        <w:tblInd w:w="1134" w:type="dxa"/>
        <w:tblLayout w:type="autofit"/>
        <w:tblCellMar>
          <w:top w:w="0" w:type="dxa"/>
          <w:left w:w="108" w:type="dxa"/>
          <w:bottom w:w="0" w:type="dxa"/>
          <w:right w:w="108" w:type="dxa"/>
        </w:tblCellMar>
      </w:tblPr>
      <w:tblGrid>
        <w:gridCol w:w="2235"/>
        <w:gridCol w:w="2551"/>
      </w:tblGrid>
      <w:tr w14:paraId="75B36403">
        <w:tblPrEx>
          <w:tblCellMar>
            <w:top w:w="0" w:type="dxa"/>
            <w:left w:w="108" w:type="dxa"/>
            <w:bottom w:w="0" w:type="dxa"/>
            <w:right w:w="108" w:type="dxa"/>
          </w:tblCellMar>
        </w:tblPrEx>
        <w:tc>
          <w:tcPr>
            <w:tcW w:w="2235" w:type="dxa"/>
            <w:vMerge w:val="restart"/>
            <w:shd w:val="clear" w:color="auto" w:fill="auto"/>
            <w:vAlign w:val="center"/>
          </w:tcPr>
          <w:p w14:paraId="3BED528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LC =</w:t>
            </w:r>
          </w:p>
        </w:tc>
        <w:tc>
          <w:tcPr>
            <w:tcW w:w="2551" w:type="dxa"/>
            <w:tcBorders>
              <w:bottom w:val="single" w:color="auto" w:sz="4" w:space="0"/>
            </w:tcBorders>
            <w:shd w:val="clear" w:color="auto" w:fill="auto"/>
            <w:vAlign w:val="bottom"/>
          </w:tcPr>
          <w:p w14:paraId="1A84DA32">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w:t>
            </w:r>
          </w:p>
        </w:tc>
      </w:tr>
      <w:tr w14:paraId="2932BEC4">
        <w:tblPrEx>
          <w:tblCellMar>
            <w:top w:w="0" w:type="dxa"/>
            <w:left w:w="108" w:type="dxa"/>
            <w:bottom w:w="0" w:type="dxa"/>
            <w:right w:w="108" w:type="dxa"/>
          </w:tblCellMar>
        </w:tblPrEx>
        <w:tc>
          <w:tcPr>
            <w:tcW w:w="2235" w:type="dxa"/>
            <w:vMerge w:val="continue"/>
            <w:shd w:val="clear" w:color="auto" w:fill="auto"/>
          </w:tcPr>
          <w:p w14:paraId="7E10BB9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2551" w:type="dxa"/>
            <w:tcBorders>
              <w:top w:val="single" w:color="auto" w:sz="4" w:space="0"/>
            </w:tcBorders>
            <w:shd w:val="clear" w:color="auto" w:fill="auto"/>
          </w:tcPr>
          <w:p w14:paraId="62F9EE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w:t>
            </w:r>
          </w:p>
        </w:tc>
      </w:tr>
    </w:tbl>
    <w:p w14:paraId="1ACD2233">
      <w:pPr>
        <w:pStyle w:val="118"/>
        <w:spacing w:before="0" w:beforeAutospacing="0" w:after="0" w:afterAutospacing="0" w:line="288" w:lineRule="auto"/>
        <w:ind w:right="565"/>
        <w:jc w:val="both"/>
        <w:rPr>
          <w:color w:val="000000" w:themeColor="text1"/>
          <w14:textFill>
            <w14:solidFill>
              <w14:schemeClr w14:val="tx1"/>
            </w14:solidFill>
          </w14:textFill>
        </w:rPr>
      </w:pPr>
    </w:p>
    <w:p w14:paraId="4AA5AC75">
      <w:pPr>
        <w:pStyle w:val="118"/>
        <w:spacing w:before="0" w:beforeAutospacing="0" w:after="0" w:afterAutospacing="0" w:line="288" w:lineRule="auto"/>
        <w:ind w:right="565"/>
        <w:jc w:val="both"/>
        <w:rPr>
          <w:color w:val="000000" w:themeColor="text1"/>
          <w14:textFill>
            <w14:solidFill>
              <w14:schemeClr w14:val="tx1"/>
            </w14:solidFill>
          </w14:textFill>
        </w:rPr>
      </w:pPr>
      <w:r>
        <w:rPr>
          <w:color w:val="000000" w:themeColor="text1"/>
          <w14:textFill>
            <w14:solidFill>
              <w14:schemeClr w14:val="tx1"/>
            </w14:solidFill>
          </w14:textFill>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50D5EB9B">
      <w:pPr>
        <w:pStyle w:val="118"/>
        <w:spacing w:before="0" w:beforeAutospacing="0" w:after="0" w:afterAutospacing="0" w:line="288" w:lineRule="auto"/>
        <w:ind w:right="565"/>
        <w:jc w:val="both"/>
        <w:rPr>
          <w:color w:val="000000" w:themeColor="text1"/>
          <w14:textFill>
            <w14:solidFill>
              <w14:schemeClr w14:val="tx1"/>
            </w14:solidFill>
          </w14:textFill>
        </w:rPr>
      </w:pPr>
    </w:p>
    <w:p w14:paraId="39BC70C0">
      <w:pPr>
        <w:pStyle w:val="118"/>
        <w:spacing w:before="0" w:beforeAutospacing="0" w:after="0" w:afterAutospacing="0" w:line="288" w:lineRule="auto"/>
        <w:ind w:right="565"/>
        <w:jc w:val="both"/>
        <w:rPr>
          <w:rStyle w:val="123"/>
          <w:rFonts w:ascii="Times New Roman" w:hAnsi="Times New Roman" w:cs="Times New Roman"/>
          <w:b/>
          <w:bCs/>
          <w:i w:val="0"/>
          <w:iCs w:val="0"/>
          <w:color w:val="000000" w:themeColor="text1"/>
          <w:sz w:val="24"/>
          <w:szCs w:val="24"/>
          <w14:textFill>
            <w14:solidFill>
              <w14:schemeClr w14:val="tx1"/>
            </w14:solidFill>
          </w14:textFill>
        </w:rPr>
      </w:pPr>
      <w:r>
        <w:rPr>
          <w:rStyle w:val="117"/>
          <w:rFonts w:ascii="Times New Roman" w:hAnsi="Times New Roman" w:cs="Times New Roman"/>
          <w:b/>
          <w:bCs/>
          <w:color w:val="000000" w:themeColor="text1"/>
          <w:sz w:val="24"/>
          <w:szCs w:val="24"/>
          <w14:textFill>
            <w14:solidFill>
              <w14:schemeClr w14:val="tx1"/>
            </w14:solidFill>
          </w14:textFill>
        </w:rPr>
        <w:t>NOTA EXPLICATIVA:</w:t>
      </w:r>
      <w:r>
        <w:rPr>
          <w:rStyle w:val="123"/>
          <w:rFonts w:ascii="Times New Roman" w:hAnsi="Times New Roman" w:cs="Times New Roman"/>
          <w:b/>
          <w:bCs/>
          <w:i w:val="0"/>
          <w:iCs w:val="0"/>
          <w:color w:val="000000" w:themeColor="text1"/>
          <w:sz w:val="24"/>
          <w:szCs w:val="24"/>
          <w14:textFill>
            <w14:solidFill>
              <w14:schemeClr w14:val="tx1"/>
            </w14:solidFill>
          </w14:textFill>
        </w:rPr>
        <w:t xml:space="preserve"> </w:t>
      </w:r>
    </w:p>
    <w:p w14:paraId="0D3E4E9E">
      <w:pPr>
        <w:pStyle w:val="118"/>
        <w:spacing w:before="0" w:beforeAutospacing="0" w:after="0" w:afterAutospacing="0" w:line="288" w:lineRule="auto"/>
        <w:ind w:right="565"/>
        <w:jc w:val="both"/>
        <w:rPr>
          <w:rStyle w:val="123"/>
          <w:rFonts w:ascii="Times New Roman" w:hAnsi="Times New Roman" w:cs="Times New Roman"/>
          <w:i w:val="0"/>
          <w:iCs w:val="0"/>
          <w:color w:val="000000" w:themeColor="text1"/>
          <w:sz w:val="24"/>
          <w:szCs w:val="24"/>
          <w14:textFill>
            <w14:solidFill>
              <w14:schemeClr w14:val="tx1"/>
            </w14:solidFill>
          </w14:textFill>
        </w:rPr>
      </w:pPr>
      <w:r>
        <w:rPr>
          <w:rStyle w:val="123"/>
          <w:rFonts w:ascii="Times New Roman" w:hAnsi="Times New Roman" w:cs="Times New Roman"/>
          <w:i w:val="0"/>
          <w:iCs w:val="0"/>
          <w:color w:val="000000" w:themeColor="text1"/>
          <w:sz w:val="24"/>
          <w:szCs w:val="24"/>
          <w14:textFill>
            <w14:solidFill>
              <w14:schemeClr w14:val="tx1"/>
            </w14:solidFill>
          </w14:textFill>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A5AC736">
      <w:pPr>
        <w:pStyle w:val="118"/>
        <w:spacing w:before="0" w:beforeAutospacing="0" w:after="0" w:afterAutospacing="0" w:line="288" w:lineRule="auto"/>
        <w:ind w:right="565"/>
        <w:jc w:val="both"/>
        <w:rPr>
          <w:rStyle w:val="123"/>
          <w:rFonts w:ascii="Times New Roman" w:hAnsi="Times New Roman" w:cs="Times New Roman"/>
          <w:i w:val="0"/>
          <w:iCs w:val="0"/>
          <w:color w:val="000000" w:themeColor="text1"/>
          <w:sz w:val="24"/>
          <w:szCs w:val="24"/>
          <w14:textFill>
            <w14:solidFill>
              <w14:schemeClr w14:val="tx1"/>
            </w14:solidFill>
          </w14:textFill>
        </w:rPr>
      </w:pPr>
    </w:p>
    <w:p w14:paraId="779924DA">
      <w:pPr>
        <w:pStyle w:val="118"/>
        <w:spacing w:before="0" w:beforeAutospacing="0" w:after="0" w:afterAutospacing="0" w:line="288" w:lineRule="auto"/>
        <w:ind w:right="565"/>
        <w:contextualSpacing/>
        <w:jc w:val="both"/>
        <w:rPr>
          <w:color w:val="000000" w:themeColor="text1"/>
          <w:lang w:eastAsia="en-US"/>
          <w14:textFill>
            <w14:solidFill>
              <w14:schemeClr w14:val="tx1"/>
            </w14:solidFill>
          </w14:textFill>
        </w:rPr>
      </w:pPr>
      <w:r>
        <w:rPr>
          <w:color w:val="000000" w:themeColor="text1"/>
          <w:lang w:eastAsia="en-US"/>
          <w14:textFill>
            <w14:solidFill>
              <w14:schemeClr w14:val="tx1"/>
            </w14:solidFill>
          </w14:textFill>
        </w:rPr>
        <w:t>3.3.2 O atendimento dos índices econômicos previstos neste item deverá ser atestado mediante declaração assinada por profissional habilitado da área contábil, apresentada pelo fornecedor.</w:t>
      </w:r>
    </w:p>
    <w:p w14:paraId="4927AEEA">
      <w:pPr>
        <w:pStyle w:val="118"/>
        <w:spacing w:before="0" w:beforeAutospacing="0" w:after="0" w:afterAutospacing="0" w:line="288" w:lineRule="auto"/>
        <w:ind w:left="567" w:right="565"/>
        <w:jc w:val="both"/>
        <w:rPr>
          <w:lang w:eastAsia="en-US"/>
        </w:rPr>
      </w:pPr>
    </w:p>
    <w:p w14:paraId="126E1A42">
      <w:pPr>
        <w:pStyle w:val="118"/>
        <w:spacing w:before="0" w:beforeAutospacing="0" w:after="0" w:afterAutospacing="0" w:line="288" w:lineRule="auto"/>
        <w:contextualSpacing/>
        <w:jc w:val="both"/>
        <w:rPr>
          <w:iCs/>
          <w:color w:val="FF0000"/>
        </w:rPr>
      </w:pPr>
    </w:p>
    <w:p w14:paraId="24F201E3">
      <w:pPr>
        <w:pStyle w:val="118"/>
        <w:spacing w:before="0" w:beforeAutospacing="0" w:after="0" w:afterAutospacing="0" w:line="288" w:lineRule="auto"/>
        <w:contextualSpacing/>
        <w:jc w:val="both"/>
        <w:rPr>
          <w:b/>
          <w:bCs/>
        </w:rPr>
      </w:pPr>
      <w:r>
        <w:rPr>
          <w:b/>
          <w:bCs/>
        </w:rPr>
        <w:t>4. HABILITAÇÃO TÉCNICA</w:t>
      </w:r>
    </w:p>
    <w:p w14:paraId="733F25DF">
      <w:pPr>
        <w:pStyle w:val="118"/>
        <w:spacing w:before="0" w:beforeAutospacing="0" w:after="0" w:afterAutospacing="0" w:line="288" w:lineRule="auto"/>
        <w:contextualSpacing/>
        <w:jc w:val="both"/>
        <w:rPr>
          <w:b/>
          <w:bCs/>
        </w:rPr>
      </w:pPr>
    </w:p>
    <w:p w14:paraId="589CD5FE">
      <w:pPr>
        <w:pStyle w:val="124"/>
        <w:keepNext w:val="0"/>
        <w:widowControl/>
        <w:spacing w:before="0" w:after="0" w:line="288" w:lineRule="auto"/>
        <w:ind w:firstLine="0"/>
        <w:contextualSpacing/>
        <w:rPr>
          <w:rFonts w:ascii="Times New Roman" w:hAnsi="Times New Roman" w:cs="Times New Roman"/>
          <w:color w:val="000000" w:themeColor="text1"/>
          <w:sz w:val="24"/>
          <w14:textFill>
            <w14:solidFill>
              <w14:schemeClr w14:val="tx1"/>
            </w14:solidFill>
          </w14:textFill>
        </w:rPr>
      </w:pPr>
      <w:bookmarkStart w:id="41" w:name="_Hlk154233180"/>
      <w:r>
        <w:rPr>
          <w:rFonts w:ascii="Times New Roman" w:hAnsi="Times New Roman" w:cs="Times New Roman"/>
          <w:color w:val="000000" w:themeColor="text1"/>
          <w:sz w:val="24"/>
          <w14:textFill>
            <w14:solidFill>
              <w14:schemeClr w14:val="tx1"/>
            </w14:solidFill>
          </w14:textFill>
        </w:rPr>
        <w:t xml:space="preserve">4.1 </w:t>
      </w:r>
      <w:bookmarkEnd w:id="41"/>
      <w:r>
        <w:rPr>
          <w:rFonts w:ascii="Times New Roman" w:hAnsi="Times New Roman" w:cs="Times New Roman"/>
          <w:color w:val="000000" w:themeColor="text1"/>
          <w:sz w:val="24"/>
          <w14:textFill>
            <w14:solidFill>
              <w14:schemeClr w14:val="tx1"/>
            </w14:solidFill>
          </w14:textFill>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13CA6664">
      <w:pPr>
        <w:spacing w:line="288" w:lineRule="auto"/>
        <w:ind w:right="565"/>
        <w:contextualSpacing/>
        <w:jc w:val="both"/>
        <w:rPr>
          <w:color w:val="000000" w:themeColor="text1"/>
          <w:sz w:val="24"/>
          <w:szCs w:val="24"/>
          <w14:textFill>
            <w14:solidFill>
              <w14:schemeClr w14:val="tx1"/>
            </w14:solidFill>
          </w14:textFill>
        </w:rPr>
      </w:pPr>
    </w:p>
    <w:p w14:paraId="56C6BA22">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4.2._ Os atestados deverão referir-se a fornecimento no âmbito de sua atividade econômica principal ou secundária especificadas no contrato social vigente.</w:t>
      </w:r>
    </w:p>
    <w:p w14:paraId="20DF7FD9">
      <w:pPr>
        <w:spacing w:line="288" w:lineRule="auto"/>
        <w:ind w:right="565"/>
        <w:contextualSpacing/>
        <w:jc w:val="both"/>
        <w:rPr>
          <w:color w:val="000000" w:themeColor="text1"/>
          <w:sz w:val="24"/>
          <w:szCs w:val="24"/>
          <w14:textFill>
            <w14:solidFill>
              <w14:schemeClr w14:val="tx1"/>
            </w14:solidFill>
          </w14:textFill>
        </w:rPr>
      </w:pPr>
    </w:p>
    <w:p w14:paraId="393864F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4.3._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438686B0">
      <w:pPr>
        <w:spacing w:line="288" w:lineRule="auto"/>
        <w:ind w:right="565"/>
        <w:contextualSpacing/>
        <w:jc w:val="both"/>
        <w:rPr>
          <w:color w:val="000000" w:themeColor="text1"/>
          <w:sz w:val="24"/>
          <w:szCs w:val="24"/>
          <w14:textFill>
            <w14:solidFill>
              <w14:schemeClr w14:val="tx1"/>
            </w14:solidFill>
          </w14:textFill>
        </w:rPr>
      </w:pPr>
    </w:p>
    <w:p w14:paraId="1AE9ECCD">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4.4._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7F5C912A">
      <w:pPr>
        <w:rPr>
          <w:b/>
          <w:color w:val="000000"/>
          <w:sz w:val="24"/>
          <w:szCs w:val="24"/>
        </w:rPr>
      </w:pPr>
    </w:p>
    <w:p w14:paraId="384488B1">
      <w:pPr>
        <w:spacing w:before="288" w:beforeLines="120" w:after="288" w:afterLines="120" w:line="288" w:lineRule="auto"/>
        <w:contextualSpacing/>
        <w:rPr>
          <w:rFonts w:eastAsia="MS Mincho"/>
          <w:b/>
          <w:sz w:val="24"/>
          <w:szCs w:val="24"/>
        </w:rPr>
      </w:pPr>
    </w:p>
    <w:p w14:paraId="4F74552A">
      <w:pPr>
        <w:spacing w:line="288" w:lineRule="auto"/>
        <w:contextualSpacing/>
        <w:jc w:val="center"/>
        <w:rPr>
          <w:b/>
          <w:bCs/>
          <w:sz w:val="24"/>
          <w:szCs w:val="24"/>
        </w:rPr>
      </w:pPr>
      <w:r>
        <w:rPr>
          <w:b/>
          <w:bCs/>
          <w:sz w:val="24"/>
          <w:szCs w:val="24"/>
        </w:rPr>
        <w:t>ANEXO V</w:t>
      </w:r>
    </w:p>
    <w:p w14:paraId="197BC096">
      <w:pPr>
        <w:spacing w:line="288" w:lineRule="auto"/>
        <w:contextualSpacing/>
        <w:jc w:val="center"/>
        <w:rPr>
          <w:b/>
          <w:bCs/>
          <w:sz w:val="24"/>
          <w:szCs w:val="24"/>
        </w:rPr>
      </w:pPr>
    </w:p>
    <w:p w14:paraId="5B123708">
      <w:pPr>
        <w:spacing w:line="368" w:lineRule="auto"/>
        <w:ind w:right="-446" w:hanging="284"/>
        <w:rPr>
          <w:b/>
          <w:sz w:val="24"/>
          <w:szCs w:val="24"/>
          <w:u w:val="single"/>
        </w:rPr>
      </w:pPr>
      <w:r>
        <w:rPr>
          <w:b/>
          <w:sz w:val="24"/>
          <w:szCs w:val="24"/>
        </w:rPr>
        <w:t xml:space="preserve">                                                          </w:t>
      </w:r>
      <w:r>
        <w:rPr>
          <w:b/>
          <w:sz w:val="24"/>
          <w:szCs w:val="24"/>
          <w:highlight w:val="yellow"/>
          <w:u w:val="single"/>
        </w:rPr>
        <w:t>PLANILHA DE CUSTO</w:t>
      </w:r>
    </w:p>
    <w:p w14:paraId="2CFD2C66">
      <w:pPr>
        <w:spacing w:line="368" w:lineRule="auto"/>
        <w:ind w:right="-446" w:hanging="284"/>
        <w:rPr>
          <w:b/>
          <w:sz w:val="24"/>
          <w:szCs w:val="24"/>
          <w:u w:val="single"/>
        </w:rPr>
      </w:pPr>
    </w:p>
    <w:p w14:paraId="54CFECD6">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O presente relatório é resultado da pesquisa de preços a seguir discriminada, em cumprimento ao determinado na Lei n ̊ 14.133/2021</w:t>
      </w:r>
    </w:p>
    <w:p w14:paraId="47BDA1E3">
      <w:pPr>
        <w:pStyle w:val="72"/>
        <w:jc w:val="center"/>
        <w:rPr>
          <w:rFonts w:ascii="Times New Roman" w:hAnsi="Times New Roman" w:eastAsia="SimSun" w:cs="Times New Roman"/>
          <w:sz w:val="24"/>
          <w:szCs w:val="24"/>
        </w:rPr>
      </w:pPr>
    </w:p>
    <w:p w14:paraId="50F85AA1">
      <w:pPr>
        <w:pStyle w:val="72"/>
        <w:spacing w:line="36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 OBJETO: </w:t>
      </w:r>
      <w:r>
        <w:rPr>
          <w:rFonts w:ascii="Times New Roman" w:hAnsi="Times New Roman" w:eastAsia="Cambria Math" w:cs="Times New Roman"/>
          <w:sz w:val="24"/>
          <w:szCs w:val="24"/>
        </w:rPr>
        <w:t>Câmaras frias para imunobiológicos para atender a Central de Imunização.</w:t>
      </w:r>
    </w:p>
    <w:p w14:paraId="62B9B22B">
      <w:pPr>
        <w:shd w:val="clear" w:color="auto" w:fill="FFFFFF"/>
        <w:spacing w:line="15" w:lineRule="atLeast"/>
        <w:rPr>
          <w:rFonts w:eastAsia="SimSun"/>
          <w:sz w:val="24"/>
          <w:szCs w:val="24"/>
        </w:rPr>
      </w:pPr>
      <w:r>
        <w:rPr>
          <w:rFonts w:eastAsia="SimSun"/>
          <w:sz w:val="24"/>
          <w:szCs w:val="24"/>
        </w:rPr>
        <w:t>PERÍODO DE REALIZAÇÃO DA PESQUISA: 12/02/2026A 26/05/2026</w:t>
      </w:r>
    </w:p>
    <w:p w14:paraId="136C0925">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METODOLOGIA APLICADA: o valor de referência foi aferido por meio de:</w:t>
      </w:r>
    </w:p>
    <w:p w14:paraId="08F51A1B">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 (  ) Média ( X  ) Mediana (  ) Menor Preço </w:t>
      </w:r>
    </w:p>
    <w:p w14:paraId="3DF7224D">
      <w:pPr>
        <w:pStyle w:val="72"/>
        <w:jc w:val="both"/>
        <w:rPr>
          <w:rFonts w:ascii="Times New Roman" w:hAnsi="Times New Roman" w:eastAsia="SimSun" w:cs="Times New Roman"/>
          <w:sz w:val="24"/>
          <w:szCs w:val="24"/>
        </w:rPr>
      </w:pPr>
    </w:p>
    <w:p w14:paraId="4CEBA90E">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FONTES DE PESQUISA DE PREÇOS:</w:t>
      </w:r>
    </w:p>
    <w:p w14:paraId="07C16A10">
      <w:pPr>
        <w:pStyle w:val="72"/>
        <w:jc w:val="both"/>
        <w:rPr>
          <w:rFonts w:ascii="Times New Roman" w:hAnsi="Times New Roman" w:eastAsia="SimSun" w:cs="Times New Roman"/>
          <w:sz w:val="24"/>
          <w:szCs w:val="24"/>
        </w:rPr>
      </w:pPr>
    </w:p>
    <w:p w14:paraId="220E917A">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 COMPRAS.GOV;</w:t>
      </w:r>
    </w:p>
    <w:p w14:paraId="23EFA880">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 PNCP</w:t>
      </w:r>
    </w:p>
    <w:p w14:paraId="077BC67D">
      <w:pPr>
        <w:pStyle w:val="72"/>
        <w:jc w:val="both"/>
        <w:rPr>
          <w:rFonts w:ascii="Times New Roman" w:hAnsi="Times New Roman" w:eastAsia="SimSun" w:cs="Times New Roman"/>
          <w:sz w:val="24"/>
          <w:szCs w:val="24"/>
        </w:rPr>
      </w:pPr>
      <w:r>
        <w:rPr>
          <w:rFonts w:ascii="Times New Roman" w:hAnsi="Times New Roman" w:eastAsia="SimSun" w:cs="Times New Roman"/>
          <w:sz w:val="24"/>
          <w:szCs w:val="24"/>
        </w:rPr>
        <w:t>- FONECEDORES</w:t>
      </w:r>
    </w:p>
    <w:p w14:paraId="327A5791">
      <w:pPr>
        <w:pStyle w:val="72"/>
        <w:jc w:val="both"/>
        <w:rPr>
          <w:rFonts w:eastAsia="SimSun"/>
          <w:color w:val="C00000"/>
          <w:sz w:val="24"/>
          <w:szCs w:val="24"/>
        </w:rPr>
      </w:pPr>
    </w:p>
    <w:p w14:paraId="1A7E2B52">
      <w:pPr>
        <w:pStyle w:val="72"/>
        <w:jc w:val="both"/>
        <w:rPr>
          <w:rFonts w:eastAsia="SimSun"/>
          <w:color w:val="C00000"/>
          <w:sz w:val="24"/>
          <w:szCs w:val="24"/>
        </w:rPr>
      </w:pPr>
    </w:p>
    <w:tbl>
      <w:tblPr>
        <w:tblStyle w:val="10"/>
        <w:tblW w:w="11169" w:type="dxa"/>
        <w:tblInd w:w="-1107" w:type="dxa"/>
        <w:tblLayout w:type="fixed"/>
        <w:tblCellMar>
          <w:top w:w="0" w:type="dxa"/>
          <w:left w:w="108" w:type="dxa"/>
          <w:bottom w:w="0" w:type="dxa"/>
          <w:right w:w="108" w:type="dxa"/>
        </w:tblCellMar>
      </w:tblPr>
      <w:tblGrid>
        <w:gridCol w:w="900"/>
        <w:gridCol w:w="862"/>
        <w:gridCol w:w="3453"/>
        <w:gridCol w:w="992"/>
        <w:gridCol w:w="1134"/>
        <w:gridCol w:w="1134"/>
        <w:gridCol w:w="851"/>
        <w:gridCol w:w="1134"/>
        <w:gridCol w:w="709"/>
      </w:tblGrid>
      <w:tr w14:paraId="2520F6D0">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550B3DD">
            <w:pPr>
              <w:jc w:val="center"/>
              <w:textAlignment w:val="bottom"/>
              <w:rPr>
                <w:rFonts w:eastAsia="SimSun"/>
                <w:color w:val="000000"/>
                <w:lang w:eastAsia="zh-CN" w:bidi="ar"/>
              </w:rPr>
            </w:pPr>
            <w:r>
              <w:rPr>
                <w:rFonts w:eastAsia="SimSun"/>
                <w:color w:val="000000"/>
                <w:lang w:eastAsia="zh-CN" w:bidi="ar"/>
              </w:rPr>
              <w:t>Item</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41125A3">
            <w:pPr>
              <w:jc w:val="center"/>
              <w:textAlignment w:val="bottom"/>
              <w:rPr>
                <w:rFonts w:eastAsia="SimSun"/>
                <w:color w:val="000000"/>
                <w:lang w:eastAsia="zh-CN" w:bidi="ar"/>
              </w:rPr>
            </w:pPr>
            <w:r>
              <w:rPr>
                <w:rFonts w:eastAsia="SimSun"/>
                <w:color w:val="000000"/>
                <w:lang w:eastAsia="zh-CN" w:bidi="ar"/>
              </w:rPr>
              <w:t>Quant</w:t>
            </w:r>
          </w:p>
        </w:tc>
        <w:tc>
          <w:tcPr>
            <w:tcW w:w="3453"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0DDBDE7">
            <w:pPr>
              <w:jc w:val="center"/>
              <w:textAlignment w:val="bottom"/>
              <w:rPr>
                <w:rFonts w:eastAsia="SimSun"/>
                <w:color w:val="000000"/>
                <w:lang w:eastAsia="zh-CN" w:bidi="ar"/>
              </w:rPr>
            </w:pPr>
            <w:r>
              <w:rPr>
                <w:rFonts w:eastAsia="SimSun"/>
                <w:color w:val="000000"/>
                <w:lang w:eastAsia="zh-CN" w:bidi="ar"/>
              </w:rPr>
              <w:t>Especificação</w:t>
            </w: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5CAF8AC">
            <w:pPr>
              <w:jc w:val="center"/>
              <w:textAlignment w:val="bottom"/>
              <w:rPr>
                <w:rFonts w:eastAsia="SimSun"/>
                <w:b/>
                <w:bCs/>
                <w:color w:val="000000"/>
                <w:lang w:eastAsia="zh-CN" w:bidi="ar"/>
              </w:rPr>
            </w:pPr>
            <w:r>
              <w:rPr>
                <w:rFonts w:eastAsia="SimSun"/>
                <w:b/>
                <w:bCs/>
                <w:color w:val="000000"/>
                <w:lang w:eastAsia="zh-CN" w:bidi="ar"/>
              </w:rPr>
              <w:t>Catmat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6B2A956">
            <w:pPr>
              <w:jc w:val="center"/>
              <w:textAlignment w:val="bottom"/>
              <w:rPr>
                <w:rFonts w:eastAsia="SimSun"/>
                <w:b/>
                <w:bCs/>
                <w:color w:val="000000"/>
                <w:lang w:eastAsia="zh-CN" w:bidi="ar"/>
              </w:rPr>
            </w:pPr>
            <w:r>
              <w:rPr>
                <w:rFonts w:eastAsia="SimSun"/>
                <w:b/>
                <w:bCs/>
                <w:color w:val="000000"/>
                <w:lang w:eastAsia="zh-CN" w:bidi="ar"/>
              </w:rPr>
              <w:t>Fornecedores</w:t>
            </w:r>
          </w:p>
          <w:p w14:paraId="3F1733B1">
            <w:pPr>
              <w:jc w:val="center"/>
              <w:textAlignment w:val="bottom"/>
              <w:rPr>
                <w:rFonts w:eastAsia="SimSun"/>
                <w:b/>
                <w:bCs/>
                <w:color w:val="000000"/>
                <w:lang w:eastAsia="zh-CN" w:bidi="ar"/>
              </w:rPr>
            </w:pPr>
            <w:r>
              <w:rPr>
                <w:rFonts w:eastAsia="SimSun"/>
                <w:b/>
                <w:bCs/>
                <w:color w:val="000000"/>
                <w:lang w:eastAsia="zh-CN" w:bidi="ar"/>
              </w:rPr>
              <w:t>Media</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826D30E">
            <w:pPr>
              <w:jc w:val="center"/>
              <w:textAlignment w:val="bottom"/>
              <w:rPr>
                <w:rFonts w:eastAsia="SimSun"/>
                <w:b/>
                <w:bCs/>
                <w:color w:val="000000"/>
                <w:lang w:eastAsia="zh-CN" w:bidi="ar"/>
              </w:rPr>
            </w:pPr>
            <w:r>
              <w:rPr>
                <w:rFonts w:eastAsia="SimSun"/>
                <w:b/>
                <w:bCs/>
                <w:color w:val="000000"/>
                <w:lang w:eastAsia="zh-CN" w:bidi="ar"/>
              </w:rPr>
              <w:t>Compras</w:t>
            </w:r>
          </w:p>
          <w:p w14:paraId="047BC46A">
            <w:pPr>
              <w:jc w:val="center"/>
              <w:textAlignment w:val="bottom"/>
              <w:rPr>
                <w:rFonts w:eastAsia="SimSun"/>
                <w:b/>
                <w:bCs/>
                <w:color w:val="000000"/>
                <w:lang w:eastAsia="zh-CN" w:bidi="ar"/>
              </w:rPr>
            </w:pPr>
            <w:r>
              <w:rPr>
                <w:rFonts w:eastAsia="SimSun"/>
                <w:b/>
                <w:bCs/>
                <w:color w:val="000000"/>
                <w:lang w:eastAsia="zh-CN" w:bidi="ar"/>
              </w:rPr>
              <w:t>Gov</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2AC198">
            <w:pPr>
              <w:jc w:val="center"/>
              <w:textAlignment w:val="bottom"/>
              <w:rPr>
                <w:rFonts w:eastAsia="SimSun"/>
                <w:b/>
                <w:bCs/>
                <w:color w:val="000000"/>
                <w:lang w:eastAsia="zh-CN" w:bidi="ar"/>
              </w:rPr>
            </w:pPr>
            <w:r>
              <w:rPr>
                <w:rFonts w:eastAsia="SimSun"/>
                <w:b/>
                <w:bCs/>
                <w:color w:val="000000"/>
                <w:lang w:eastAsia="zh-CN" w:bidi="ar"/>
              </w:rPr>
              <w:t>Banco de Preços</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5251A8B4">
            <w:pPr>
              <w:jc w:val="center"/>
              <w:textAlignment w:val="bottom"/>
              <w:rPr>
                <w:rFonts w:eastAsia="SimSun"/>
                <w:b/>
                <w:bCs/>
                <w:color w:val="000000"/>
                <w:lang w:eastAsia="zh-CN" w:bidi="ar"/>
              </w:rPr>
            </w:pPr>
            <w:r>
              <w:rPr>
                <w:rFonts w:eastAsia="SimSun"/>
                <w:b/>
                <w:bCs/>
                <w:color w:val="000000"/>
                <w:lang w:eastAsia="zh-CN" w:bidi="ar"/>
              </w:rPr>
              <w:t>Mediana</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1C1DBFB">
            <w:pPr>
              <w:jc w:val="center"/>
              <w:textAlignment w:val="bottom"/>
              <w:rPr>
                <w:rFonts w:eastAsia="SimSun"/>
                <w:b/>
                <w:bCs/>
                <w:color w:val="000000"/>
                <w:lang w:eastAsia="zh-CN" w:bidi="ar"/>
              </w:rPr>
            </w:pPr>
            <w:r>
              <w:rPr>
                <w:rFonts w:eastAsia="SimSun"/>
                <w:b/>
                <w:bCs/>
                <w:color w:val="000000"/>
                <w:lang w:eastAsia="zh-CN" w:bidi="ar"/>
              </w:rPr>
              <w:t>Total</w:t>
            </w:r>
          </w:p>
        </w:tc>
      </w:tr>
      <w:tr w14:paraId="49428ECF">
        <w:tblPrEx>
          <w:tblCellMar>
            <w:top w:w="0" w:type="dxa"/>
            <w:left w:w="108" w:type="dxa"/>
            <w:bottom w:w="0" w:type="dxa"/>
            <w:right w:w="108" w:type="dxa"/>
          </w:tblCellMar>
        </w:tblPrEx>
        <w:trPr>
          <w:trHeight w:val="30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CA9601A">
            <w:pPr>
              <w:jc w:val="center"/>
              <w:textAlignment w:val="bottom"/>
              <w:rPr>
                <w:rFonts w:eastAsia="SimSun"/>
                <w:b/>
                <w:bCs/>
                <w:color w:val="000000"/>
                <w:lang w:eastAsia="zh-CN" w:bidi="ar"/>
              </w:rPr>
            </w:pPr>
            <w:r>
              <w:rPr>
                <w:rFonts w:eastAsia="SimSun"/>
                <w:b/>
                <w:bCs/>
                <w:color w:val="000000"/>
                <w:lang w:eastAsia="zh-CN" w:bidi="ar"/>
              </w:rPr>
              <w:t>01</w:t>
            </w:r>
          </w:p>
        </w:tc>
        <w:tc>
          <w:tcPr>
            <w:tcW w:w="86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8D8BDC9">
            <w:pPr>
              <w:jc w:val="center"/>
              <w:textAlignment w:val="bottom"/>
              <w:rPr>
                <w:b/>
                <w:bCs/>
                <w:color w:val="000000"/>
              </w:rPr>
            </w:pPr>
            <w:r>
              <w:rPr>
                <w:b/>
                <w:bCs/>
                <w:color w:val="000000"/>
              </w:rPr>
              <w:t>2</w:t>
            </w:r>
          </w:p>
        </w:tc>
        <w:tc>
          <w:tcPr>
            <w:tcW w:w="3453" w:type="dxa"/>
            <w:tcBorders>
              <w:top w:val="single" w:color="000000" w:sz="2" w:space="0"/>
              <w:left w:val="single" w:color="000000" w:sz="2" w:space="0"/>
              <w:bottom w:val="single" w:color="000000" w:sz="2" w:space="0"/>
              <w:right w:val="single" w:color="000000" w:sz="2" w:space="0"/>
            </w:tcBorders>
            <w:shd w:val="clear" w:color="auto" w:fill="auto"/>
            <w:noWrap/>
          </w:tcPr>
          <w:p w14:paraId="7DF570B4">
            <w:pPr>
              <w:pStyle w:val="19"/>
              <w:tabs>
                <w:tab w:val="left" w:pos="555"/>
                <w:tab w:val="left" w:pos="840"/>
                <w:tab w:val="left" w:pos="1140"/>
                <w:tab w:val="left" w:pos="1395"/>
                <w:tab w:val="left" w:pos="1650"/>
                <w:tab w:val="left" w:pos="1965"/>
                <w:tab w:val="left" w:pos="2220"/>
                <w:tab w:val="left" w:leader="underscore" w:pos="7336"/>
              </w:tabs>
              <w:spacing w:before="57" w:after="57"/>
              <w:rPr>
                <w:sz w:val="22"/>
              </w:rPr>
            </w:pPr>
            <w:r>
              <w:rPr>
                <w:sz w:val="22"/>
              </w:rPr>
              <w:t>CÂMARA FRIA PARA CONSERVAÇÃO DE IMUNOBIOLÓGICOS CAPACIDADE E QUANTIDADE DE GAVETAS ATÉ 300 OU 301 A 500 LITROS E 2 A 5 GAVETAS SISTEMA DE EMERGÊNCIA – POSSUI REGISTRO DE DADOS - POSSUI TEMPERATURA - ENTRE +2°C E +8°C. CIRCULAÇÃO DE AR FORÇADО POSSUI SENSORES INTERNOS - POSSUI, DISCADOR DE EMERGÊNCIA -POSSUI</w:t>
            </w:r>
            <w:r>
              <w:rPr>
                <w:sz w:val="22"/>
              </w:rPr>
              <w:cr/>
            </w:r>
          </w:p>
          <w:p w14:paraId="4BF19B6E">
            <w:pPr>
              <w:jc w:val="both"/>
              <w:rPr>
                <w:b/>
                <w:bCs/>
                <w:color w:val="000000"/>
                <w:sz w:val="16"/>
                <w:szCs w:val="16"/>
              </w:rPr>
            </w:pPr>
          </w:p>
        </w:tc>
        <w:tc>
          <w:tcPr>
            <w:tcW w:w="992"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EE4B67D">
            <w:pPr>
              <w:jc w:val="center"/>
              <w:textAlignment w:val="bottom"/>
              <w:rPr>
                <w:rFonts w:eastAsia="SimSun"/>
                <w:b/>
                <w:bCs/>
                <w:color w:val="000000"/>
                <w:lang w:eastAsia="zh-CN" w:bidi="ar"/>
              </w:rPr>
            </w:pPr>
            <w:r>
              <w:rPr>
                <w:rFonts w:eastAsia="SimSun"/>
                <w:b/>
                <w:bCs/>
                <w:color w:val="000000"/>
                <w:lang w:eastAsia="zh-CN" w:bidi="ar"/>
              </w:rPr>
              <w:t>621692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7397F9F">
            <w:pPr>
              <w:jc w:val="center"/>
              <w:textAlignment w:val="bottom"/>
              <w:rPr>
                <w:rFonts w:eastAsia="SimSun"/>
                <w:color w:val="000000"/>
                <w:lang w:eastAsia="zh-CN" w:bidi="ar"/>
              </w:rPr>
            </w:pPr>
            <w:r>
              <w:rPr>
                <w:rFonts w:eastAsia="SimSun"/>
                <w:color w:val="000000"/>
                <w:lang w:eastAsia="zh-CN" w:bidi="ar"/>
              </w:rPr>
              <w:t>18.631,00</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3E1E906">
            <w:pPr>
              <w:jc w:val="center"/>
              <w:textAlignment w:val="bottom"/>
              <w:rPr>
                <w:rFonts w:eastAsia="SimSun"/>
                <w:color w:val="000000"/>
                <w:lang w:eastAsia="zh-CN" w:bidi="ar"/>
              </w:rPr>
            </w:pPr>
            <w:r>
              <w:rPr>
                <w:rFonts w:eastAsia="SimSun"/>
                <w:color w:val="000000"/>
                <w:lang w:eastAsia="zh-CN" w:bidi="ar"/>
              </w:rPr>
              <w:t>17.033,35</w:t>
            </w:r>
          </w:p>
        </w:tc>
        <w:tc>
          <w:tcPr>
            <w:tcW w:w="851"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CB58B88">
            <w:pPr>
              <w:jc w:val="center"/>
              <w:textAlignment w:val="bottom"/>
              <w:rPr>
                <w:rFonts w:eastAsia="SimSun"/>
                <w:color w:val="000000"/>
                <w:lang w:eastAsia="zh-CN" w:bidi="ar"/>
              </w:rPr>
            </w:pPr>
            <w:r>
              <w:rPr>
                <w:rFonts w:eastAsia="SimSun"/>
                <w:color w:val="000000"/>
                <w:lang w:eastAsia="zh-CN" w:bidi="ar"/>
              </w:rPr>
              <w:t>16.797,25</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BB6C018">
            <w:pPr>
              <w:jc w:val="center"/>
              <w:textAlignment w:val="bottom"/>
              <w:rPr>
                <w:rFonts w:eastAsia="SimSun"/>
                <w:color w:val="000000"/>
                <w:lang w:eastAsia="zh-CN" w:bidi="ar"/>
              </w:rPr>
            </w:pPr>
            <w:r>
              <w:rPr>
                <w:rFonts w:eastAsia="SimSun"/>
                <w:color w:val="000000"/>
                <w:lang w:eastAsia="zh-CN" w:bidi="ar"/>
              </w:rPr>
              <w:t>17.033,35</w:t>
            </w:r>
          </w:p>
        </w:tc>
        <w:tc>
          <w:tcPr>
            <w:tcW w:w="709"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4CF40A78">
            <w:pPr>
              <w:jc w:val="center"/>
              <w:textAlignment w:val="bottom"/>
              <w:rPr>
                <w:rFonts w:eastAsia="SimSun"/>
                <w:color w:val="000000"/>
                <w:lang w:eastAsia="zh-CN" w:bidi="ar"/>
              </w:rPr>
            </w:pPr>
            <w:r>
              <w:rPr>
                <w:rFonts w:eastAsia="SimSun"/>
                <w:color w:val="000000"/>
                <w:lang w:eastAsia="zh-CN" w:bidi="ar"/>
              </w:rPr>
              <w:t>34.066,70</w:t>
            </w:r>
          </w:p>
        </w:tc>
      </w:tr>
    </w:tbl>
    <w:p w14:paraId="330F5726">
      <w:pPr>
        <w:spacing w:line="288" w:lineRule="auto"/>
        <w:contextualSpacing/>
        <w:jc w:val="both"/>
        <w:rPr>
          <w:color w:val="000000"/>
          <w:sz w:val="24"/>
          <w:szCs w:val="24"/>
        </w:rPr>
      </w:pPr>
      <w:r>
        <w:rPr>
          <w:rFonts w:eastAsia="Calibri"/>
          <w:b/>
          <w:bCs/>
          <w:lang w:eastAsia="en-US"/>
        </w:rPr>
        <w:t xml:space="preserve">                                           </w:t>
      </w:r>
    </w:p>
    <w:p w14:paraId="6C4FC310">
      <w:pPr>
        <w:pStyle w:val="96"/>
        <w:spacing w:before="0" w:beforeAutospacing="0" w:after="0" w:afterAutospacing="0" w:line="360" w:lineRule="auto"/>
        <w:ind w:right="-1" w:firstLine="993"/>
        <w:rPr>
          <w:rFonts w:eastAsia="Calibri"/>
          <w:b/>
          <w:bCs/>
          <w:lang w:eastAsia="en-US"/>
        </w:rPr>
      </w:pPr>
      <w:r>
        <w:rPr>
          <w:rFonts w:eastAsia="Calibri"/>
          <w:b/>
          <w:bCs/>
          <w:lang w:eastAsia="en-US"/>
        </w:rPr>
        <w:t xml:space="preserve">                                      </w:t>
      </w:r>
    </w:p>
    <w:p w14:paraId="1145FD0A">
      <w:pPr>
        <w:spacing w:line="288" w:lineRule="auto"/>
        <w:contextualSpacing/>
        <w:jc w:val="center"/>
        <w:rPr>
          <w:b/>
          <w:bCs/>
          <w:color w:val="000000" w:themeColor="text1"/>
          <w:sz w:val="24"/>
          <w:szCs w:val="24"/>
          <w:u w:val="single"/>
          <w14:textFill>
            <w14:solidFill>
              <w14:schemeClr w14:val="tx1"/>
            </w14:solidFill>
          </w14:textFill>
        </w:rPr>
      </w:pPr>
      <w:r>
        <w:rPr>
          <w:b/>
          <w:bCs/>
          <w:color w:val="000000" w:themeColor="text1"/>
          <w:sz w:val="24"/>
          <w:szCs w:val="24"/>
          <w:u w:val="single"/>
          <w14:textFill>
            <w14:solidFill>
              <w14:schemeClr w14:val="tx1"/>
            </w14:solidFill>
          </w14:textFill>
        </w:rPr>
        <w:t>ANEXO VI</w:t>
      </w:r>
    </w:p>
    <w:p w14:paraId="01386BA0">
      <w:pPr>
        <w:spacing w:line="288" w:lineRule="auto"/>
        <w:contextualSpacing/>
        <w:jc w:val="center"/>
        <w:rPr>
          <w:b/>
          <w:bCs/>
          <w:color w:val="000000" w:themeColor="text1"/>
          <w:sz w:val="24"/>
          <w:szCs w:val="24"/>
          <w14:textFill>
            <w14:solidFill>
              <w14:schemeClr w14:val="tx1"/>
            </w14:solidFill>
          </w14:textFill>
        </w:rPr>
      </w:pPr>
    </w:p>
    <w:p w14:paraId="2FEF5E39">
      <w:pPr>
        <w:pStyle w:val="96"/>
        <w:spacing w:before="0" w:beforeAutospacing="0" w:after="0" w:afterAutospacing="0" w:line="360" w:lineRule="auto"/>
        <w:ind w:right="-1"/>
        <w:rPr>
          <w:rFonts w:eastAsia="Calibri"/>
          <w:b/>
          <w:bCs/>
          <w:u w:val="single"/>
          <w:lang w:eastAsia="en-US"/>
        </w:rPr>
      </w:pPr>
    </w:p>
    <w:p w14:paraId="4AFB24E3">
      <w:pPr>
        <w:spacing w:line="288" w:lineRule="auto"/>
        <w:contextualSpacing/>
        <w:jc w:val="center"/>
        <w:rPr>
          <w:b/>
          <w:bCs/>
          <w:sz w:val="24"/>
          <w:szCs w:val="24"/>
        </w:rPr>
      </w:pPr>
      <w:r>
        <w:rPr>
          <w:b/>
          <w:bCs/>
          <w:sz w:val="24"/>
          <w:szCs w:val="24"/>
          <w:highlight w:val="yellow"/>
        </w:rPr>
        <w:t>MINUTA - CONTRATO</w:t>
      </w:r>
    </w:p>
    <w:p w14:paraId="143557EB">
      <w:pPr>
        <w:spacing w:line="288" w:lineRule="auto"/>
        <w:contextualSpacing/>
        <w:jc w:val="center"/>
        <w:rPr>
          <w:b/>
          <w:bCs/>
          <w:sz w:val="24"/>
          <w:szCs w:val="24"/>
        </w:rPr>
      </w:pPr>
    </w:p>
    <w:p w14:paraId="1FC2FDD8">
      <w:pPr>
        <w:spacing w:line="288" w:lineRule="auto"/>
        <w:contextualSpacing/>
        <w:jc w:val="center"/>
        <w:rPr>
          <w:b/>
          <w:bCs/>
          <w:sz w:val="24"/>
          <w:szCs w:val="24"/>
        </w:rPr>
      </w:pPr>
    </w:p>
    <w:p w14:paraId="4F9E2C94">
      <w:pPr>
        <w:spacing w:line="288" w:lineRule="auto"/>
        <w:contextualSpacing/>
        <w:jc w:val="both"/>
        <w:rPr>
          <w:sz w:val="24"/>
          <w:szCs w:val="24"/>
        </w:rPr>
      </w:pPr>
    </w:p>
    <w:p w14:paraId="3A0F6923">
      <w:pPr>
        <w:spacing w:line="288" w:lineRule="auto"/>
        <w:ind w:left="3544"/>
        <w:contextualSpacing/>
        <w:jc w:val="both"/>
        <w:rPr>
          <w:b/>
          <w:sz w:val="24"/>
          <w:szCs w:val="24"/>
        </w:rPr>
      </w:pPr>
      <w:r>
        <w:rPr>
          <w:b/>
          <w:sz w:val="24"/>
          <w:szCs w:val="24"/>
        </w:rPr>
        <w:t>CONTRATO Nº xxx/xxxx, DE</w:t>
      </w:r>
      <w:r>
        <w:rPr>
          <w:rFonts w:eastAsia="Cambria"/>
          <w:sz w:val="24"/>
          <w:szCs w:val="24"/>
        </w:rPr>
        <w:t xml:space="preserve"> </w:t>
      </w:r>
      <w:r>
        <w:rPr>
          <w:rFonts w:eastAsia="Cambria"/>
          <w:b/>
          <w:sz w:val="24"/>
          <w:szCs w:val="24"/>
        </w:rPr>
        <w:t>AQUISIÇÃO DE CÂMARA FRIA</w:t>
      </w:r>
      <w:r>
        <w:rPr>
          <w:b/>
          <w:sz w:val="24"/>
          <w:szCs w:val="24"/>
        </w:rPr>
        <w:t xml:space="preserve">, QUE FAZEM ENTRE SI O </w:t>
      </w:r>
      <w:r>
        <w:rPr>
          <w:b/>
          <w:bCs/>
          <w:sz w:val="24"/>
          <w:szCs w:val="24"/>
        </w:rPr>
        <w:t>MUNICÍPIO DE VALENÇA, PELA SECRETARIA DE SAÚDE.</w:t>
      </w:r>
    </w:p>
    <w:p w14:paraId="7C414844">
      <w:pPr>
        <w:spacing w:line="288" w:lineRule="auto"/>
        <w:contextualSpacing/>
        <w:jc w:val="both"/>
        <w:rPr>
          <w:rFonts w:eastAsia="Arial"/>
          <w:b/>
          <w:bCs/>
          <w:color w:val="FF0000"/>
          <w:sz w:val="24"/>
          <w:szCs w:val="24"/>
        </w:rPr>
      </w:pPr>
    </w:p>
    <w:p w14:paraId="6F7E4FC3">
      <w:pPr>
        <w:spacing w:line="288" w:lineRule="auto"/>
        <w:contextualSpacing/>
        <w:jc w:val="both"/>
        <w:rPr>
          <w:sz w:val="24"/>
          <w:szCs w:val="24"/>
        </w:rPr>
      </w:pPr>
      <w:r>
        <w:rPr>
          <w:rFonts w:eastAsia="Arial"/>
          <w:b/>
          <w:bCs/>
          <w:sz w:val="24"/>
          <w:szCs w:val="24"/>
        </w:rPr>
        <w:t xml:space="preserve">O MUNICÍPIO DE VALENÇA, </w:t>
      </w:r>
      <w:r>
        <w:rPr>
          <w:b/>
          <w:bCs/>
          <w:sz w:val="24"/>
          <w:szCs w:val="24"/>
        </w:rPr>
        <w:t>pela SECRETARIA DE SAÚDE</w:t>
      </w:r>
      <w:r>
        <w:rPr>
          <w:sz w:val="24"/>
          <w:szCs w:val="24"/>
        </w:rPr>
        <w:t xml:space="preserve"> com sede na</w:t>
      </w:r>
      <w:r>
        <w:rPr>
          <w:iCs/>
          <w:color w:val="000000"/>
          <w:sz w:val="24"/>
          <w:szCs w:val="24"/>
        </w:rPr>
        <w:t xml:space="preserve"> Rua Dr. Figueiredo, n° 320</w:t>
      </w:r>
      <w:r>
        <w:rPr>
          <w:rFonts w:eastAsia="Calibri"/>
          <w:sz w:val="24"/>
          <w:szCs w:val="24"/>
          <w:lang w:eastAsia="en-US"/>
        </w:rPr>
        <w:t xml:space="preserve">, Centro, </w:t>
      </w:r>
      <w:r>
        <w:rPr>
          <w:sz w:val="24"/>
          <w:szCs w:val="24"/>
        </w:rPr>
        <w:t xml:space="preserve">na cidade de Valença, no Estado do Rio de Janeiro, inscrita no CNPJ sob o nº </w:t>
      </w:r>
      <w:r>
        <w:rPr>
          <w:rFonts w:eastAsia="Calibri"/>
          <w:sz w:val="24"/>
          <w:szCs w:val="24"/>
          <w:lang w:eastAsia="en-US"/>
        </w:rPr>
        <w:t>29.076.130/0001-90</w:t>
      </w:r>
      <w:r>
        <w:rPr>
          <w:sz w:val="24"/>
          <w:szCs w:val="24"/>
        </w:rPr>
        <w:t xml:space="preserve">, neste ato representada </w:t>
      </w:r>
      <w:r>
        <w:rPr>
          <w:rFonts w:eastAsia="Calibri"/>
          <w:sz w:val="24"/>
          <w:szCs w:val="24"/>
          <w:lang w:eastAsia="en-US"/>
        </w:rPr>
        <w:t xml:space="preserve">por seu Secretário Municipal, </w:t>
      </w:r>
      <w:r>
        <w:rPr>
          <w:sz w:val="24"/>
          <w:szCs w:val="24"/>
        </w:rPr>
        <w:t xml:space="preserve">Rafael de Oliveira Tavares, portador do  CPF nº ............... doravante denominado </w:t>
      </w:r>
      <w:r>
        <w:rPr>
          <w:b/>
          <w:bCs/>
          <w:sz w:val="24"/>
          <w:szCs w:val="24"/>
        </w:rPr>
        <w:t>CONTRATANTE</w:t>
      </w:r>
      <w:r>
        <w:rPr>
          <w:sz w:val="24"/>
          <w:szCs w:val="24"/>
        </w:rPr>
        <w:t>, e .............................., com sede na ............, inscrita no CNPJ/MF sob o nº ............................, neste ato representada por .................................. (nome e função), conforme atos constitutivos da empresa &lt;</w:t>
      </w:r>
      <w:r>
        <w:rPr>
          <w:bCs/>
          <w:sz w:val="24"/>
          <w:szCs w:val="24"/>
        </w:rPr>
        <w:t>OU&gt;</w:t>
      </w:r>
      <w:r>
        <w:rPr>
          <w:sz w:val="24"/>
          <w:szCs w:val="24"/>
        </w:rPr>
        <w:t xml:space="preserve"> procuração apresentada nos autos, doravante denominado </w:t>
      </w:r>
      <w:r>
        <w:rPr>
          <w:b/>
          <w:bCs/>
          <w:sz w:val="24"/>
          <w:szCs w:val="24"/>
        </w:rPr>
        <w:t>CONTRATADO</w:t>
      </w:r>
      <w:r>
        <w:rPr>
          <w:sz w:val="24"/>
          <w:szCs w:val="24"/>
        </w:rPr>
        <w:t xml:space="preserve">, com fundamento no Processo SEI nº .............................., que se regerá pelas disposições da Lei nº 14.133, de 1º de abril de 2021, </w:t>
      </w:r>
      <w:r>
        <w:rPr>
          <w:rFonts w:eastAsia="Arial"/>
          <w:sz w:val="24"/>
          <w:szCs w:val="24"/>
        </w:rPr>
        <w:t xml:space="preserve">e pelos normativos municipais aplicáveis, todos disponíveis </w:t>
      </w:r>
      <w:r>
        <w:rPr>
          <w:sz w:val="24"/>
          <w:szCs w:val="24"/>
        </w:rPr>
        <w:t>no endereço eletrônico ........, resolvem celebrar o presente instrumento de Contrato, decorrente do instrumento convocatório nº ..., mediante as cláusulas e condições a seguir enunciadas.</w:t>
      </w:r>
    </w:p>
    <w:p w14:paraId="00383093">
      <w:pPr>
        <w:spacing w:line="288" w:lineRule="auto"/>
        <w:contextualSpacing/>
        <w:jc w:val="both"/>
        <w:rPr>
          <w:sz w:val="24"/>
          <w:szCs w:val="24"/>
        </w:rPr>
      </w:pPr>
    </w:p>
    <w:p w14:paraId="06AC30BA">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PRIMEIRA – OBJETO</w:t>
      </w:r>
    </w:p>
    <w:p w14:paraId="16D60154">
      <w:pPr>
        <w:spacing w:line="288" w:lineRule="auto"/>
        <w:contextualSpacing/>
        <w:rPr>
          <w:sz w:val="24"/>
          <w:szCs w:val="24"/>
        </w:rPr>
      </w:pPr>
    </w:p>
    <w:p w14:paraId="531C7CEA">
      <w:pPr>
        <w:spacing w:line="360" w:lineRule="auto"/>
        <w:jc w:val="both"/>
        <w:rPr>
          <w:rFonts w:eastAsia="SimSun"/>
          <w:sz w:val="24"/>
          <w:szCs w:val="24"/>
        </w:rPr>
      </w:pPr>
      <w:r>
        <w:rPr>
          <w:rFonts w:eastAsia="Cambria"/>
          <w:sz w:val="24"/>
          <w:szCs w:val="24"/>
        </w:rPr>
        <w:t xml:space="preserve">1.1 </w:t>
      </w:r>
      <w:r>
        <w:rPr>
          <w:rStyle w:val="11"/>
          <w:rFonts w:eastAsia="SimSun"/>
          <w:b w:val="0"/>
          <w:sz w:val="24"/>
          <w:szCs w:val="24"/>
        </w:rPr>
        <w:t>Aquisição de câmaras frias para conservação de imunobiológicos</w:t>
      </w:r>
      <w:r>
        <w:rPr>
          <w:rFonts w:eastAsia="SimSun"/>
          <w:sz w:val="24"/>
          <w:szCs w:val="24"/>
        </w:rPr>
        <w:t>, destinada à Central de Imunização, garantindo a adequada manutenção da Rede de frio.</w:t>
      </w:r>
    </w:p>
    <w:p w14:paraId="5FE4D501">
      <w:pPr>
        <w:pStyle w:val="98"/>
        <w:spacing w:before="0" w:after="0" w:line="288" w:lineRule="auto"/>
        <w:ind w:left="0" w:firstLine="0"/>
        <w:contextualSpacing/>
        <w:rPr>
          <w:rFonts w:ascii="Times New Roman" w:hAnsi="Times New Roman" w:cs="Times New Roman"/>
          <w:sz w:val="24"/>
          <w:szCs w:val="24"/>
        </w:rPr>
      </w:pPr>
    </w:p>
    <w:p w14:paraId="68CC6FEC">
      <w:pPr>
        <w:pStyle w:val="98"/>
        <w:numPr>
          <w:ilvl w:val="1"/>
          <w:numId w:val="10"/>
        </w:numPr>
        <w:spacing w:before="0" w:after="0" w:line="288" w:lineRule="auto"/>
        <w:contextualSpacing/>
        <w:rPr>
          <w:rFonts w:ascii="Times New Roman" w:hAnsi="Times New Roman" w:cs="Times New Roman"/>
          <w:sz w:val="24"/>
          <w:szCs w:val="24"/>
        </w:rPr>
      </w:pPr>
      <w:r>
        <w:rPr>
          <w:rFonts w:ascii="Times New Roman" w:hAnsi="Times New Roman" w:cs="Times New Roman"/>
          <w:sz w:val="24"/>
          <w:szCs w:val="24"/>
        </w:rPr>
        <w:t xml:space="preserve">Objeto da contratação: </w:t>
      </w:r>
    </w:p>
    <w:p w14:paraId="05EEB01E">
      <w:pPr>
        <w:pStyle w:val="98"/>
        <w:spacing w:before="0" w:after="0" w:line="288" w:lineRule="auto"/>
        <w:ind w:left="0" w:firstLine="0"/>
        <w:contextualSpacing/>
        <w:rPr>
          <w:rFonts w:ascii="Times New Roman" w:hAnsi="Times New Roman" w:cs="Times New Roman"/>
          <w:sz w:val="24"/>
          <w:szCs w:val="24"/>
        </w:rPr>
      </w:pPr>
    </w:p>
    <w:tbl>
      <w:tblPr>
        <w:tblStyle w:val="10"/>
        <w:tblW w:w="9649" w:type="dxa"/>
        <w:tblInd w:w="0" w:type="dxa"/>
        <w:tblLayout w:type="fixed"/>
        <w:tblCellMar>
          <w:top w:w="0" w:type="dxa"/>
          <w:left w:w="108" w:type="dxa"/>
          <w:bottom w:w="0" w:type="dxa"/>
          <w:right w:w="108" w:type="dxa"/>
        </w:tblCellMar>
      </w:tblPr>
      <w:tblGrid>
        <w:gridCol w:w="1021"/>
        <w:gridCol w:w="2240"/>
        <w:gridCol w:w="1277"/>
        <w:gridCol w:w="1134"/>
        <w:gridCol w:w="1709"/>
        <w:gridCol w:w="1279"/>
        <w:gridCol w:w="989"/>
      </w:tblGrid>
      <w:tr w14:paraId="009770A3">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30E71A48">
            <w:pPr>
              <w:widowControl w:val="0"/>
              <w:spacing w:line="288" w:lineRule="auto"/>
              <w:contextualSpacing/>
              <w:jc w:val="both"/>
              <w:rPr>
                <w:rFonts w:eastAsia="Arial"/>
                <w:b/>
                <w:bCs/>
                <w:color w:val="000000"/>
                <w:sz w:val="24"/>
                <w:szCs w:val="24"/>
              </w:rPr>
            </w:pPr>
            <w:r>
              <w:rPr>
                <w:rFonts w:eastAsia="Arial"/>
                <w:b/>
                <w:bCs/>
                <w:color w:val="000000"/>
                <w:sz w:val="24"/>
                <w:szCs w:val="24"/>
              </w:rPr>
              <w:t>ITEM</w:t>
            </w:r>
          </w:p>
          <w:p w14:paraId="2CE81C84">
            <w:pPr>
              <w:widowControl w:val="0"/>
              <w:spacing w:line="288" w:lineRule="auto"/>
              <w:contextualSpacing/>
              <w:jc w:val="both"/>
              <w:rPr>
                <w:rFonts w:eastAsia="Arial"/>
                <w:b/>
                <w:bCs/>
                <w:color w:val="000000"/>
                <w:sz w:val="24"/>
                <w:szCs w:val="24"/>
              </w:rPr>
            </w:pPr>
          </w:p>
        </w:tc>
        <w:tc>
          <w:tcPr>
            <w:tcW w:w="2240" w:type="dxa"/>
            <w:tcBorders>
              <w:top w:val="single" w:color="000000" w:sz="4" w:space="0"/>
              <w:left w:val="single" w:color="000000" w:sz="4" w:space="0"/>
              <w:bottom w:val="single" w:color="000000" w:sz="4" w:space="0"/>
              <w:right w:val="single" w:color="000000" w:sz="4" w:space="0"/>
            </w:tcBorders>
          </w:tcPr>
          <w:p w14:paraId="5F9ABE0E">
            <w:pPr>
              <w:widowControl w:val="0"/>
              <w:spacing w:line="288" w:lineRule="auto"/>
              <w:contextualSpacing/>
              <w:jc w:val="both"/>
              <w:rPr>
                <w:rFonts w:eastAsia="Arial"/>
                <w:color w:val="000000"/>
                <w:sz w:val="24"/>
                <w:szCs w:val="24"/>
              </w:rPr>
            </w:pPr>
            <w:r>
              <w:rPr>
                <w:rFonts w:eastAsia="Arial"/>
                <w:b/>
                <w:bCs/>
                <w:color w:val="000000"/>
                <w:sz w:val="24"/>
                <w:szCs w:val="24"/>
              </w:rPr>
              <w:t>ESPECIFICAÇÃO</w:t>
            </w:r>
          </w:p>
        </w:tc>
        <w:tc>
          <w:tcPr>
            <w:tcW w:w="1277" w:type="dxa"/>
            <w:tcBorders>
              <w:top w:val="single" w:color="000000" w:sz="4" w:space="0"/>
              <w:left w:val="single" w:color="000000" w:sz="4" w:space="0"/>
              <w:bottom w:val="single" w:color="000000" w:sz="4" w:space="0"/>
              <w:right w:val="single" w:color="000000" w:sz="4" w:space="0"/>
            </w:tcBorders>
          </w:tcPr>
          <w:p w14:paraId="4E7A1193">
            <w:pPr>
              <w:widowControl w:val="0"/>
              <w:spacing w:line="288" w:lineRule="auto"/>
              <w:contextualSpacing/>
              <w:jc w:val="both"/>
              <w:rPr>
                <w:rFonts w:eastAsia="Arial"/>
                <w:color w:val="000000"/>
                <w:sz w:val="24"/>
                <w:szCs w:val="24"/>
              </w:rPr>
            </w:pPr>
            <w:r>
              <w:rPr>
                <w:rFonts w:eastAsia="Arial"/>
                <w:b/>
                <w:bCs/>
                <w:color w:val="000000"/>
                <w:sz w:val="24"/>
                <w:szCs w:val="24"/>
              </w:rPr>
              <w:t>CATMAT</w:t>
            </w:r>
          </w:p>
        </w:tc>
        <w:tc>
          <w:tcPr>
            <w:tcW w:w="1134" w:type="dxa"/>
            <w:tcBorders>
              <w:top w:val="single" w:color="000000" w:sz="4" w:space="0"/>
              <w:left w:val="single" w:color="000000" w:sz="4" w:space="0"/>
              <w:bottom w:val="single" w:color="000000" w:sz="4" w:space="0"/>
              <w:right w:val="single" w:color="000000" w:sz="4" w:space="0"/>
            </w:tcBorders>
          </w:tcPr>
          <w:p w14:paraId="3C012339">
            <w:pPr>
              <w:widowControl w:val="0"/>
              <w:spacing w:line="288" w:lineRule="auto"/>
              <w:contextualSpacing/>
              <w:jc w:val="both"/>
              <w:rPr>
                <w:rFonts w:eastAsia="Arial"/>
                <w:color w:val="000000"/>
                <w:sz w:val="24"/>
                <w:szCs w:val="24"/>
              </w:rPr>
            </w:pPr>
            <w:r>
              <w:rPr>
                <w:rFonts w:eastAsia="Arial"/>
                <w:b/>
                <w:bCs/>
                <w:color w:val="000000"/>
                <w:sz w:val="24"/>
                <w:szCs w:val="24"/>
              </w:rPr>
              <w:t>UNIDADE DE MEDIDA</w:t>
            </w:r>
          </w:p>
        </w:tc>
        <w:tc>
          <w:tcPr>
            <w:tcW w:w="1709" w:type="dxa"/>
            <w:tcBorders>
              <w:top w:val="single" w:color="000000" w:sz="4" w:space="0"/>
              <w:left w:val="single" w:color="000000" w:sz="4" w:space="0"/>
              <w:bottom w:val="single" w:color="000000" w:sz="4" w:space="0"/>
              <w:right w:val="single" w:color="000000" w:sz="4" w:space="0"/>
            </w:tcBorders>
          </w:tcPr>
          <w:p w14:paraId="12B10DFD">
            <w:pPr>
              <w:widowControl w:val="0"/>
              <w:spacing w:line="288" w:lineRule="auto"/>
              <w:contextualSpacing/>
              <w:jc w:val="both"/>
              <w:rPr>
                <w:rFonts w:eastAsia="Arial"/>
                <w:b/>
                <w:bCs/>
                <w:sz w:val="24"/>
                <w:szCs w:val="24"/>
              </w:rPr>
            </w:pPr>
            <w:r>
              <w:rPr>
                <w:rFonts w:eastAsia="Arial"/>
                <w:b/>
                <w:bCs/>
                <w:sz w:val="24"/>
                <w:szCs w:val="24"/>
              </w:rPr>
              <w:t>QUANTIDADE</w:t>
            </w:r>
          </w:p>
        </w:tc>
        <w:tc>
          <w:tcPr>
            <w:tcW w:w="1279" w:type="dxa"/>
            <w:tcBorders>
              <w:top w:val="single" w:color="000000" w:sz="4" w:space="0"/>
              <w:left w:val="single" w:color="000000" w:sz="4" w:space="0"/>
              <w:bottom w:val="single" w:color="000000" w:sz="4" w:space="0"/>
              <w:right w:val="single" w:color="000000" w:sz="4" w:space="0"/>
            </w:tcBorders>
          </w:tcPr>
          <w:p w14:paraId="2D7252F1">
            <w:pPr>
              <w:widowControl w:val="0"/>
              <w:spacing w:line="288" w:lineRule="auto"/>
              <w:contextualSpacing/>
              <w:jc w:val="both"/>
              <w:rPr>
                <w:rFonts w:eastAsia="Arial"/>
                <w:b/>
                <w:bCs/>
                <w:sz w:val="24"/>
                <w:szCs w:val="24"/>
              </w:rPr>
            </w:pPr>
            <w:r>
              <w:rPr>
                <w:rFonts w:eastAsia="Arial"/>
                <w:b/>
                <w:bCs/>
                <w:sz w:val="24"/>
                <w:szCs w:val="24"/>
              </w:rPr>
              <w:t>VALOR UNITÁRIO</w:t>
            </w:r>
          </w:p>
        </w:tc>
        <w:tc>
          <w:tcPr>
            <w:tcW w:w="989" w:type="dxa"/>
            <w:tcBorders>
              <w:top w:val="single" w:color="000000" w:sz="4" w:space="0"/>
              <w:left w:val="single" w:color="000000" w:sz="4" w:space="0"/>
              <w:bottom w:val="single" w:color="000000" w:sz="4" w:space="0"/>
              <w:right w:val="single" w:color="000000" w:sz="4" w:space="0"/>
            </w:tcBorders>
          </w:tcPr>
          <w:p w14:paraId="15E4AB97">
            <w:pPr>
              <w:widowControl w:val="0"/>
              <w:spacing w:line="288" w:lineRule="auto"/>
              <w:contextualSpacing/>
              <w:jc w:val="both"/>
              <w:rPr>
                <w:rFonts w:eastAsia="Arial"/>
                <w:b/>
                <w:bCs/>
                <w:sz w:val="24"/>
                <w:szCs w:val="24"/>
              </w:rPr>
            </w:pPr>
            <w:r>
              <w:rPr>
                <w:rFonts w:eastAsia="Arial"/>
                <w:b/>
                <w:bCs/>
                <w:sz w:val="24"/>
                <w:szCs w:val="24"/>
              </w:rPr>
              <w:t>VALOR TOTAL</w:t>
            </w:r>
          </w:p>
        </w:tc>
      </w:tr>
      <w:tr w14:paraId="5234B0D8">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CC8DA35">
            <w:pPr>
              <w:widowControl w:val="0"/>
              <w:spacing w:line="288" w:lineRule="auto"/>
              <w:contextualSpacing/>
              <w:jc w:val="both"/>
              <w:rPr>
                <w:rFonts w:eastAsia="Arial"/>
                <w:b/>
                <w:bCs/>
                <w:color w:val="000000"/>
                <w:sz w:val="24"/>
                <w:szCs w:val="24"/>
              </w:rPr>
            </w:pPr>
            <w:r>
              <w:rPr>
                <w:rFonts w:eastAsia="Arial"/>
                <w:b/>
                <w:bCs/>
                <w:color w:val="000000"/>
                <w:sz w:val="24"/>
                <w:szCs w:val="24"/>
              </w:rPr>
              <w:t>1</w:t>
            </w:r>
          </w:p>
        </w:tc>
        <w:tc>
          <w:tcPr>
            <w:tcW w:w="2240" w:type="dxa"/>
            <w:tcBorders>
              <w:top w:val="single" w:color="000000" w:sz="4" w:space="0"/>
              <w:left w:val="single" w:color="000000" w:sz="4" w:space="0"/>
              <w:bottom w:val="single" w:color="000000" w:sz="4" w:space="0"/>
              <w:right w:val="single" w:color="000000" w:sz="4" w:space="0"/>
            </w:tcBorders>
          </w:tcPr>
          <w:p w14:paraId="5067F78C">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3F90A86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2B9A2D06">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4BE0756">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2C4503">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260449A">
            <w:pPr>
              <w:widowControl w:val="0"/>
              <w:spacing w:line="288" w:lineRule="auto"/>
              <w:contextualSpacing/>
              <w:jc w:val="both"/>
              <w:rPr>
                <w:rFonts w:eastAsia="Arial"/>
                <w:color w:val="000000"/>
                <w:sz w:val="24"/>
                <w:szCs w:val="24"/>
              </w:rPr>
            </w:pPr>
          </w:p>
        </w:tc>
      </w:tr>
      <w:tr w14:paraId="4A64B0C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A7133B2">
            <w:pPr>
              <w:widowControl w:val="0"/>
              <w:spacing w:line="288" w:lineRule="auto"/>
              <w:contextualSpacing/>
              <w:jc w:val="both"/>
              <w:rPr>
                <w:rFonts w:eastAsia="Arial"/>
                <w:b/>
                <w:bCs/>
                <w:color w:val="000000"/>
                <w:sz w:val="24"/>
                <w:szCs w:val="24"/>
              </w:rPr>
            </w:pPr>
            <w:r>
              <w:rPr>
                <w:rFonts w:eastAsia="Arial"/>
                <w:b/>
                <w:bCs/>
                <w:color w:val="000000"/>
                <w:sz w:val="24"/>
                <w:szCs w:val="24"/>
              </w:rPr>
              <w:t>2</w:t>
            </w:r>
          </w:p>
        </w:tc>
        <w:tc>
          <w:tcPr>
            <w:tcW w:w="2240" w:type="dxa"/>
            <w:tcBorders>
              <w:top w:val="single" w:color="000000" w:sz="4" w:space="0"/>
              <w:left w:val="single" w:color="000000" w:sz="4" w:space="0"/>
              <w:bottom w:val="single" w:color="000000" w:sz="4" w:space="0"/>
              <w:right w:val="single" w:color="000000" w:sz="4" w:space="0"/>
            </w:tcBorders>
          </w:tcPr>
          <w:p w14:paraId="73D91CB6">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B2F6548">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44D5C0B">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6D0C03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16B4DA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C8FF988">
            <w:pPr>
              <w:widowControl w:val="0"/>
              <w:spacing w:line="288" w:lineRule="auto"/>
              <w:contextualSpacing/>
              <w:jc w:val="both"/>
              <w:rPr>
                <w:rFonts w:eastAsia="Arial"/>
                <w:color w:val="000000"/>
                <w:sz w:val="24"/>
                <w:szCs w:val="24"/>
              </w:rPr>
            </w:pPr>
          </w:p>
        </w:tc>
      </w:tr>
      <w:tr w14:paraId="3D840CA1">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13DE51A8">
            <w:pPr>
              <w:widowControl w:val="0"/>
              <w:spacing w:line="288" w:lineRule="auto"/>
              <w:contextualSpacing/>
              <w:jc w:val="both"/>
              <w:rPr>
                <w:rFonts w:eastAsia="Arial"/>
                <w:b/>
                <w:bCs/>
                <w:color w:val="000000"/>
                <w:sz w:val="24"/>
                <w:szCs w:val="24"/>
              </w:rPr>
            </w:pPr>
            <w:r>
              <w:rPr>
                <w:rFonts w:eastAsia="Arial"/>
                <w:b/>
                <w:bCs/>
                <w:color w:val="000000"/>
                <w:sz w:val="24"/>
                <w:szCs w:val="24"/>
              </w:rPr>
              <w:t>3</w:t>
            </w:r>
          </w:p>
        </w:tc>
        <w:tc>
          <w:tcPr>
            <w:tcW w:w="2240" w:type="dxa"/>
            <w:tcBorders>
              <w:top w:val="single" w:color="000000" w:sz="4" w:space="0"/>
              <w:left w:val="single" w:color="000000" w:sz="4" w:space="0"/>
              <w:bottom w:val="single" w:color="000000" w:sz="4" w:space="0"/>
              <w:right w:val="single" w:color="000000" w:sz="4" w:space="0"/>
            </w:tcBorders>
          </w:tcPr>
          <w:p w14:paraId="52EF5693">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42D91640">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D376EB8">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29F37AC">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6127AF7A">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A83CE09">
            <w:pPr>
              <w:widowControl w:val="0"/>
              <w:spacing w:line="288" w:lineRule="auto"/>
              <w:contextualSpacing/>
              <w:jc w:val="both"/>
              <w:rPr>
                <w:rFonts w:eastAsia="Arial"/>
                <w:color w:val="000000"/>
                <w:sz w:val="24"/>
                <w:szCs w:val="24"/>
              </w:rPr>
            </w:pPr>
          </w:p>
        </w:tc>
      </w:tr>
      <w:tr w14:paraId="1100C7D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DE562C5">
            <w:pPr>
              <w:widowControl w:val="0"/>
              <w:spacing w:line="288" w:lineRule="auto"/>
              <w:contextualSpacing/>
              <w:jc w:val="both"/>
              <w:rPr>
                <w:rFonts w:eastAsia="Arial"/>
                <w:b/>
                <w:bCs/>
                <w:color w:val="000000"/>
                <w:sz w:val="24"/>
                <w:szCs w:val="24"/>
              </w:rPr>
            </w:pPr>
            <w:r>
              <w:rPr>
                <w:rFonts w:eastAsia="Arial"/>
                <w:b/>
                <w:bCs/>
                <w:color w:val="000000"/>
                <w:sz w:val="24"/>
                <w:szCs w:val="24"/>
              </w:rPr>
              <w:t>...</w:t>
            </w:r>
          </w:p>
        </w:tc>
        <w:tc>
          <w:tcPr>
            <w:tcW w:w="2240" w:type="dxa"/>
            <w:tcBorders>
              <w:top w:val="single" w:color="000000" w:sz="4" w:space="0"/>
              <w:left w:val="single" w:color="000000" w:sz="4" w:space="0"/>
              <w:bottom w:val="single" w:color="000000" w:sz="4" w:space="0"/>
              <w:right w:val="single" w:color="000000" w:sz="4" w:space="0"/>
            </w:tcBorders>
          </w:tcPr>
          <w:p w14:paraId="340AD0B8">
            <w:pPr>
              <w:widowControl w:val="0"/>
              <w:spacing w:line="288" w:lineRule="auto"/>
              <w:contextualSpacing/>
              <w:jc w:val="both"/>
              <w:rPr>
                <w:rFonts w:eastAsia="Arial"/>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1DF602AE">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01D18CE7">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F173C87">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79F33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76756717">
            <w:pPr>
              <w:widowControl w:val="0"/>
              <w:spacing w:line="288" w:lineRule="auto"/>
              <w:contextualSpacing/>
              <w:jc w:val="both"/>
              <w:rPr>
                <w:rFonts w:eastAsia="Arial"/>
                <w:color w:val="000000"/>
                <w:sz w:val="24"/>
                <w:szCs w:val="24"/>
              </w:rPr>
            </w:pPr>
          </w:p>
        </w:tc>
      </w:tr>
    </w:tbl>
    <w:p w14:paraId="65FEEE33">
      <w:pPr>
        <w:autoSpaceDE w:val="0"/>
        <w:spacing w:line="288" w:lineRule="auto"/>
        <w:contextualSpacing/>
        <w:jc w:val="both"/>
        <w:rPr>
          <w:sz w:val="24"/>
          <w:szCs w:val="24"/>
          <w:lang w:val="zh-CN"/>
        </w:rPr>
      </w:pPr>
      <w:r>
        <w:rPr>
          <w:sz w:val="24"/>
          <w:szCs w:val="24"/>
          <w:lang w:val="zh-CN"/>
        </w:rPr>
        <w:tab/>
      </w:r>
    </w:p>
    <w:p w14:paraId="26D930C2">
      <w:pPr>
        <w:pStyle w:val="98"/>
        <w:tabs>
          <w:tab w:val="left" w:pos="1620"/>
        </w:tabs>
        <w:spacing w:before="0" w:after="0" w:line="288" w:lineRule="auto"/>
        <w:ind w:left="0" w:firstLine="0"/>
        <w:contextualSpacing/>
        <w:rPr>
          <w:rFonts w:ascii="Times New Roman" w:hAnsi="Times New Roman" w:cs="Times New Roman"/>
          <w:sz w:val="24"/>
          <w:szCs w:val="24"/>
          <w:lang w:val="zh-CN"/>
        </w:rPr>
      </w:pPr>
      <w:r>
        <w:rPr>
          <w:rFonts w:ascii="Times New Roman" w:hAnsi="Times New Roman" w:cs="Times New Roman"/>
          <w:sz w:val="24"/>
          <w:szCs w:val="24"/>
        </w:rPr>
        <w:t xml:space="preserve"> 1.3    São anexos a este instrumento e vinculam esta contratação, independentemente de transcrição:</w:t>
      </w:r>
    </w:p>
    <w:p w14:paraId="75303965">
      <w:pPr>
        <w:pStyle w:val="98"/>
        <w:spacing w:before="0" w:after="0" w:line="288" w:lineRule="auto"/>
        <w:ind w:left="0" w:firstLine="0"/>
        <w:contextualSpacing/>
        <w:rPr>
          <w:rFonts w:ascii="Times New Roman" w:hAnsi="Times New Roman" w:cs="Times New Roman"/>
          <w:sz w:val="24"/>
          <w:szCs w:val="24"/>
          <w:lang w:val="zh-CN"/>
        </w:rPr>
      </w:pPr>
    </w:p>
    <w:p w14:paraId="5616DD5D">
      <w:pPr>
        <w:pStyle w:val="102"/>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1.3.1 O Termo de Referência que embasou a contratação;</w:t>
      </w:r>
    </w:p>
    <w:p w14:paraId="4637146C">
      <w:pPr>
        <w:pStyle w:val="102"/>
        <w:spacing w:before="0" w:after="0" w:line="288" w:lineRule="auto"/>
        <w:ind w:left="0" w:firstLine="0"/>
        <w:contextualSpacing/>
        <w:rPr>
          <w:rFonts w:ascii="Times New Roman" w:hAnsi="Times New Roman" w:cs="Times New Roman"/>
          <w:color w:val="auto"/>
          <w:sz w:val="24"/>
          <w:szCs w:val="24"/>
          <w:lang w:val="zh-CN"/>
        </w:rPr>
      </w:pPr>
    </w:p>
    <w:p w14:paraId="4A1752B1">
      <w:pPr>
        <w:pStyle w:val="102"/>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sz w:val="24"/>
          <w:szCs w:val="24"/>
        </w:rPr>
        <w:t>1.3.2 O instrumento convocatório, assim considerado o Edital de Licitação ou o Aviso de Contratação Direta, conforme o caso</w:t>
      </w:r>
      <w:r>
        <w:rPr>
          <w:rFonts w:ascii="Times New Roman" w:hAnsi="Times New Roman" w:cs="Times New Roman"/>
          <w:color w:val="auto"/>
          <w:sz w:val="24"/>
          <w:szCs w:val="24"/>
        </w:rPr>
        <w:t>;</w:t>
      </w:r>
    </w:p>
    <w:p w14:paraId="7BCC39DF">
      <w:pPr>
        <w:pStyle w:val="102"/>
        <w:spacing w:before="0" w:after="0" w:line="288" w:lineRule="auto"/>
        <w:ind w:left="0" w:firstLine="0"/>
        <w:contextualSpacing/>
        <w:rPr>
          <w:rFonts w:ascii="Times New Roman" w:hAnsi="Times New Roman" w:cs="Times New Roman"/>
          <w:color w:val="auto"/>
          <w:sz w:val="24"/>
          <w:szCs w:val="24"/>
          <w:lang w:val="zh-CN"/>
        </w:rPr>
      </w:pPr>
    </w:p>
    <w:p w14:paraId="64D51D97">
      <w:pPr>
        <w:pStyle w:val="102"/>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 xml:space="preserve">1.3.3 A Proposta do </w:t>
      </w:r>
      <w:r>
        <w:rPr>
          <w:rFonts w:ascii="Times New Roman" w:hAnsi="Times New Roman" w:eastAsia="Arial" w:cs="Times New Roman"/>
          <w:b/>
          <w:bCs/>
          <w:sz w:val="24"/>
          <w:szCs w:val="24"/>
        </w:rPr>
        <w:t>CONTRATADO</w:t>
      </w:r>
      <w:r>
        <w:rPr>
          <w:rFonts w:ascii="Times New Roman" w:hAnsi="Times New Roman" w:cs="Times New Roman"/>
          <w:color w:val="auto"/>
          <w:sz w:val="24"/>
          <w:szCs w:val="24"/>
        </w:rPr>
        <w:t xml:space="preserve">, </w:t>
      </w:r>
      <w:r>
        <w:rPr>
          <w:rFonts w:ascii="Times New Roman" w:hAnsi="Times New Roman" w:cs="Times New Roman"/>
          <w:sz w:val="24"/>
          <w:szCs w:val="24"/>
        </w:rPr>
        <w:t>que, em caso de divergência com as condições estabelecidas neste Contrato e nos demais instrumentos anexos, cederá àquelas</w:t>
      </w:r>
      <w:r>
        <w:rPr>
          <w:rFonts w:ascii="Times New Roman" w:hAnsi="Times New Roman" w:cs="Times New Roman"/>
          <w:color w:val="auto"/>
          <w:sz w:val="24"/>
          <w:szCs w:val="24"/>
        </w:rPr>
        <w:t>;</w:t>
      </w:r>
    </w:p>
    <w:p w14:paraId="5EDD142D">
      <w:pPr>
        <w:pStyle w:val="102"/>
        <w:spacing w:before="0" w:after="0" w:line="288" w:lineRule="auto"/>
        <w:ind w:left="0" w:firstLine="0"/>
        <w:contextualSpacing/>
        <w:rPr>
          <w:rFonts w:ascii="Times New Roman" w:hAnsi="Times New Roman" w:cs="Times New Roman"/>
          <w:color w:val="auto"/>
          <w:sz w:val="24"/>
          <w:szCs w:val="24"/>
          <w:lang w:val="zh-CN"/>
        </w:rPr>
      </w:pPr>
    </w:p>
    <w:p w14:paraId="625BF8E2">
      <w:pPr>
        <w:pStyle w:val="102"/>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1.3.4 Eventuais </w:t>
      </w:r>
      <w:r>
        <w:rPr>
          <w:rFonts w:ascii="Times New Roman" w:hAnsi="Times New Roman" w:cs="Times New Roman"/>
          <w:sz w:val="24"/>
          <w:szCs w:val="24"/>
        </w:rPr>
        <w:t>anexos dos documentos supracitados.</w:t>
      </w:r>
    </w:p>
    <w:p w14:paraId="7D67DD93">
      <w:pPr>
        <w:pStyle w:val="102"/>
        <w:spacing w:before="0" w:after="0" w:line="288" w:lineRule="auto"/>
        <w:ind w:left="0" w:firstLine="0"/>
        <w:contextualSpacing/>
        <w:rPr>
          <w:rFonts w:ascii="Times New Roman" w:hAnsi="Times New Roman" w:cs="Times New Roman"/>
          <w:sz w:val="24"/>
          <w:szCs w:val="24"/>
          <w:lang w:val="zh-CN"/>
        </w:rPr>
      </w:pPr>
    </w:p>
    <w:p w14:paraId="14AC4AB0">
      <w:pPr>
        <w:spacing w:line="288" w:lineRule="auto"/>
        <w:contextualSpacing/>
        <w:jc w:val="both"/>
        <w:rPr>
          <w:sz w:val="24"/>
          <w:szCs w:val="24"/>
        </w:rPr>
      </w:pPr>
      <w:r>
        <w:rPr>
          <w:sz w:val="24"/>
          <w:szCs w:val="24"/>
        </w:rPr>
        <w:t>1.4 Havendo qualquer divergência entre as disposições deste instrumento e dos seus Anexos, como o Termo de Referência, prevalecerá o disposto no presente Contrato.</w:t>
      </w:r>
    </w:p>
    <w:p w14:paraId="30BA0633">
      <w:pPr>
        <w:spacing w:line="288" w:lineRule="auto"/>
        <w:contextualSpacing/>
        <w:jc w:val="both"/>
        <w:rPr>
          <w:sz w:val="24"/>
          <w:szCs w:val="24"/>
        </w:rPr>
      </w:pPr>
    </w:p>
    <w:p w14:paraId="2F5C5730">
      <w:pPr>
        <w:pStyle w:val="106"/>
        <w:numPr>
          <w:ilvl w:val="0"/>
          <w:numId w:val="0"/>
        </w:numPr>
        <w:spacing w:before="0" w:after="0" w:line="288"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04898D41">
      <w:pPr>
        <w:spacing w:line="288" w:lineRule="auto"/>
        <w:contextualSpacing/>
        <w:jc w:val="both"/>
        <w:rPr>
          <w:sz w:val="24"/>
          <w:szCs w:val="24"/>
        </w:rPr>
      </w:pPr>
    </w:p>
    <w:p w14:paraId="2BFCAEA9">
      <w:pPr>
        <w:tabs>
          <w:tab w:val="left" w:pos="7938"/>
        </w:tabs>
        <w:spacing w:line="288" w:lineRule="auto"/>
        <w:ind w:right="849"/>
        <w:contextualSpacing/>
        <w:jc w:val="both"/>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 O prazo de vigência do Contrato é de ..........</w:t>
      </w:r>
      <w:r>
        <w:rPr>
          <w:rFonts w:eastAsia="Arial"/>
          <w:color w:val="000000" w:themeColor="text1"/>
          <w:sz w:val="24"/>
          <w:szCs w:val="24"/>
          <w14:textFill>
            <w14:solidFill>
              <w14:schemeClr w14:val="tx1"/>
            </w14:solidFill>
          </w14:textFill>
        </w:rPr>
        <w:t xml:space="preserve"> (dias/meses/anos), contado da expedição da </w:t>
      </w:r>
      <w:r>
        <w:rPr>
          <w:color w:val="000000" w:themeColor="text1"/>
          <w:sz w:val="24"/>
          <w:szCs w:val="24"/>
          <w14:textFill>
            <w14:solidFill>
              <w14:schemeClr w14:val="tx1"/>
            </w14:solidFill>
          </w14:textFill>
        </w:rPr>
        <w:t>Autorização de Fornecimento</w:t>
      </w:r>
      <w:r>
        <w:rPr>
          <w:rFonts w:eastAsia="Arial"/>
          <w:color w:val="000000" w:themeColor="text1"/>
          <w:sz w:val="24"/>
          <w:szCs w:val="24"/>
          <w14:textFill>
            <w14:solidFill>
              <w14:schemeClr w14:val="tx1"/>
            </w14:solidFill>
          </w14:textFill>
        </w:rPr>
        <w:t>, desde que previamente divulgado no Portal Nacional de Contratações Públicas.</w:t>
      </w:r>
      <w:r>
        <w:rPr>
          <w:bCs/>
          <w:color w:val="000000" w:themeColor="text1"/>
          <w:sz w:val="24"/>
          <w:szCs w:val="24"/>
          <w14:textFill>
            <w14:solidFill>
              <w14:schemeClr w14:val="tx1"/>
            </w14:solidFill>
          </w14:textFill>
        </w:rPr>
        <w:t xml:space="preserve"> </w:t>
      </w:r>
    </w:p>
    <w:p w14:paraId="17C55E24">
      <w:pPr>
        <w:spacing w:line="288" w:lineRule="auto"/>
        <w:ind w:left="567" w:right="565"/>
        <w:contextualSpacing/>
        <w:jc w:val="both"/>
        <w:rPr>
          <w:color w:val="000000" w:themeColor="text1"/>
          <w:sz w:val="24"/>
          <w:szCs w:val="24"/>
          <w14:textFill>
            <w14:solidFill>
              <w14:schemeClr w14:val="tx1"/>
            </w14:solidFill>
          </w14:textFill>
        </w:rPr>
      </w:pPr>
    </w:p>
    <w:p w14:paraId="09B94F44">
      <w:pPr>
        <w:spacing w:line="288" w:lineRule="auto"/>
        <w:ind w:right="565"/>
        <w:contextualSpacing/>
        <w:jc w:val="both"/>
        <w:rPr>
          <w:rFonts w:eastAsia="Arial"/>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O prazo de vigência do Contrato poderá</w:t>
      </w:r>
      <w:r>
        <w:rPr>
          <w:rFonts w:eastAsia="Arial"/>
          <w:color w:val="000000" w:themeColor="text1"/>
          <w:sz w:val="24"/>
          <w:szCs w:val="24"/>
          <w14:textFill>
            <w14:solidFill>
              <w14:schemeClr w14:val="tx1"/>
            </w14:solidFill>
          </w14:textFill>
        </w:rPr>
        <w:t xml:space="preserve"> ser prorrogado, sucessivamente, até o máximo de 10 (dez) anos, na forma dos artigos 106 e 107 da </w:t>
      </w:r>
      <w:r>
        <w:fldChar w:fldCharType="begin"/>
      </w:r>
      <w:r>
        <w:instrText xml:space="preserve"> HYPERLINK "http://www.planalto.gov.br/ccivil_03/_ato2019-2022/2021/lei/L14133.htm" </w:instrText>
      </w:r>
      <w:r>
        <w:fldChar w:fldCharType="separate"/>
      </w:r>
      <w:r>
        <w:rPr>
          <w:rStyle w:val="16"/>
          <w:rFonts w:eastAsia="Arial"/>
          <w:color w:val="000000" w:themeColor="text1"/>
          <w:sz w:val="24"/>
          <w:szCs w:val="24"/>
          <w14:textFill>
            <w14:solidFill>
              <w14:schemeClr w14:val="tx1"/>
            </w14:solidFill>
          </w14:textFill>
        </w:rPr>
        <w:t>Lei nº 14.133/2021</w:t>
      </w:r>
      <w:r>
        <w:rPr>
          <w:rStyle w:val="16"/>
          <w:rFonts w:eastAsia="Arial"/>
          <w:color w:val="000000" w:themeColor="text1"/>
          <w:sz w:val="24"/>
          <w:szCs w:val="24"/>
          <w14:textFill>
            <w14:solidFill>
              <w14:schemeClr w14:val="tx1"/>
            </w14:solidFill>
          </w14:textFill>
        </w:rPr>
        <w:fldChar w:fldCharType="end"/>
      </w:r>
      <w:r>
        <w:rPr>
          <w:rFonts w:eastAsia="Arial"/>
          <w:color w:val="000000" w:themeColor="text1"/>
          <w:sz w:val="24"/>
          <w:szCs w:val="24"/>
          <w14:textFill>
            <w14:solidFill>
              <w14:schemeClr w14:val="tx1"/>
            </w14:solidFill>
          </w14:textFill>
        </w:rPr>
        <w:t>.</w:t>
      </w:r>
    </w:p>
    <w:p w14:paraId="2522A26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2.2.1 A prorrogação de que trata este item é condicionada ao ateste, pela autoridade competente, de que as condições e os preços permanecem vantajosos para a Administração, permitida a negociação com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desde que observados, ainda, os seguintes requisitos:</w:t>
      </w:r>
    </w:p>
    <w:p w14:paraId="3CBDBDF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demonstração formal, no processo, de que a forma do fornecimento tem natureza continuada;</w:t>
      </w:r>
    </w:p>
    <w:p w14:paraId="562E419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b) juntada de relatório sobre a execução do Contrato, com informações de que o fornecimento tenha sido realizado regularmente;  </w:t>
      </w:r>
    </w:p>
    <w:p w14:paraId="47971DEA">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c) juntada de justificativa de que a Administração mantém interesse na continuidade do fornecimento;  </w:t>
      </w:r>
    </w:p>
    <w:p w14:paraId="0B636E9B">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 manifestação expressa 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informando o interesse na prorrogação; </w:t>
      </w:r>
    </w:p>
    <w:p w14:paraId="0096E690">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e) comprovação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mantém as condições de habilitação; e</w:t>
      </w:r>
    </w:p>
    <w:p w14:paraId="3817C2E8">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f) informação quanto à existência de disponibilidade orçamentário-financeira para as despesas vindouras.</w:t>
      </w:r>
    </w:p>
    <w:p w14:paraId="029D18A6">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2.3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tem direito subjetivo à prorrogação do prazo de vigência contratual.</w:t>
      </w:r>
    </w:p>
    <w:p w14:paraId="5FC7597E">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A prorrogação do Contrato deverá ser promovida mediante a celebração de termo aditivo.</w:t>
      </w:r>
    </w:p>
    <w:p w14:paraId="7DC111A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2.5 O Contrato não poderá ser prorrogado quando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tiver sido penalizado com as sanções de declaração de inidoneidade ou impedimento de licitar e contratar com o Poder Público, observadas as abrangências de aplicação.</w:t>
      </w:r>
    </w:p>
    <w:p w14:paraId="72CF7DE6">
      <w:pPr>
        <w:pStyle w:val="109"/>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D1DC3FD">
      <w:pPr>
        <w:pStyle w:val="109"/>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9F475E3">
      <w:pPr>
        <w:pStyle w:val="100"/>
        <w:tabs>
          <w:tab w:val="left" w:pos="32"/>
          <w:tab w:val="clear" w:pos="567"/>
        </w:tabs>
        <w:spacing w:before="288" w:beforeLines="120" w:after="288" w:afterLines="120" w:line="288" w:lineRule="auto"/>
        <w:ind w:left="34" w:firstLine="0"/>
        <w:contextualSpacing/>
        <w:rPr>
          <w:rFonts w:ascii="Times New Roman" w:hAnsi="Times New Roman" w:cs="Times New Roman"/>
          <w:sz w:val="24"/>
          <w:szCs w:val="24"/>
        </w:rPr>
      </w:pPr>
      <w:r>
        <w:rPr>
          <w:rFonts w:ascii="Times New Roman" w:hAnsi="Times New Roman" w:cs="Times New Roman"/>
          <w:sz w:val="24"/>
          <w:szCs w:val="24"/>
        </w:rPr>
        <w:t>CLÁUSULA TERCEIRA – EXECUÇÃO, GESTÃO E FISCALIZAÇÃO CONTRATUAIS</w:t>
      </w:r>
    </w:p>
    <w:p w14:paraId="525B490D">
      <w:pPr>
        <w:pStyle w:val="100"/>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p>
    <w:p w14:paraId="130E4B6C">
      <w:pPr>
        <w:pStyle w:val="100"/>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26701D97">
      <w:pPr>
        <w:pStyle w:val="100"/>
        <w:spacing w:before="0" w:line="288" w:lineRule="auto"/>
        <w:ind w:left="0" w:firstLine="0"/>
        <w:contextualSpacing/>
        <w:rPr>
          <w:rFonts w:ascii="Times New Roman" w:hAnsi="Times New Roman" w:cs="Times New Roman"/>
          <w:sz w:val="24"/>
          <w:szCs w:val="24"/>
        </w:rPr>
      </w:pPr>
    </w:p>
    <w:p w14:paraId="362BFBE7">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QUARTA – SUBCONTRATAÇÃO</w:t>
      </w:r>
    </w:p>
    <w:p w14:paraId="506BA2C9">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4C50D901">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Não será admitida a subcontratação do objeto contratual.</w:t>
      </w:r>
    </w:p>
    <w:p w14:paraId="54A1C8FD">
      <w:pPr>
        <w:pStyle w:val="112"/>
        <w:spacing w:before="0" w:after="0" w:line="288" w:lineRule="auto"/>
        <w:contextualSpacing/>
        <w:jc w:val="both"/>
        <w:rPr>
          <w:rFonts w:ascii="Times New Roman" w:hAnsi="Times New Roman" w:cs="Times New Roman"/>
          <w:lang w:eastAsia="zh-CN" w:bidi="hi-IN"/>
        </w:rPr>
      </w:pPr>
    </w:p>
    <w:p w14:paraId="5DA872A4">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QUINTA – PREÇO</w:t>
      </w:r>
    </w:p>
    <w:p w14:paraId="2242EA87">
      <w:pPr>
        <w:pStyle w:val="112"/>
        <w:spacing w:before="0" w:after="0" w:line="288" w:lineRule="auto"/>
        <w:contextualSpacing/>
        <w:jc w:val="both"/>
        <w:rPr>
          <w:rFonts w:ascii="Times New Roman" w:hAnsi="Times New Roman" w:cs="Times New Roman"/>
          <w:b w:val="0"/>
          <w:bCs w:val="0"/>
          <w:i w:val="0"/>
          <w:iCs w:val="0"/>
          <w:u w:val="none"/>
        </w:rPr>
      </w:pPr>
    </w:p>
    <w:p w14:paraId="7C2BF490">
      <w:pPr>
        <w:pStyle w:val="107"/>
        <w:numPr>
          <w:ilvl w:val="0"/>
          <w:numId w:val="0"/>
        </w:numPr>
        <w:spacing w:before="0" w:after="0" w:line="288" w:lineRule="auto"/>
        <w:contextualSpacing/>
        <w:rPr>
          <w:rFonts w:ascii="Times New Roman" w:hAnsi="Times New Roman" w:cs="Times New Roman"/>
          <w:i w:val="0"/>
          <w:iCs w:val="0"/>
          <w:color w:val="auto"/>
          <w:sz w:val="24"/>
          <w:szCs w:val="24"/>
          <w:lang w:eastAsia="en-US"/>
        </w:rPr>
      </w:pPr>
      <w:r>
        <w:rPr>
          <w:rFonts w:ascii="Times New Roman" w:hAnsi="Times New Roman" w:cs="Times New Roman"/>
          <w:i w:val="0"/>
          <w:iCs w:val="0"/>
          <w:color w:val="auto"/>
          <w:sz w:val="24"/>
          <w:szCs w:val="24"/>
        </w:rPr>
        <w:t xml:space="preserve">5.1 O valor total máximo do Contrato é de R$ </w:t>
      </w:r>
      <w:r>
        <w:rPr>
          <w:rFonts w:ascii="Times New Roman" w:hAnsi="Times New Roman" w:cs="Times New Roman"/>
          <w:i w:val="0"/>
          <w:iCs w:val="0"/>
          <w:sz w:val="24"/>
          <w:szCs w:val="24"/>
          <w:lang w:eastAsia="en-US"/>
        </w:rPr>
        <w:t xml:space="preserve">......... </w:t>
      </w:r>
      <w:r>
        <w:rPr>
          <w:rFonts w:ascii="Times New Roman" w:hAnsi="Times New Roman" w:cs="Times New Roman"/>
          <w:i w:val="0"/>
          <w:iCs w:val="0"/>
          <w:color w:val="auto"/>
          <w:sz w:val="24"/>
          <w:szCs w:val="24"/>
          <w:lang w:eastAsia="en-US"/>
        </w:rPr>
        <w:t>(</w:t>
      </w:r>
      <w:r>
        <w:rPr>
          <w:rFonts w:ascii="Times New Roman" w:hAnsi="Times New Roman" w:cs="Times New Roman"/>
          <w:iCs w:val="0"/>
          <w:sz w:val="24"/>
          <w:szCs w:val="24"/>
        </w:rPr>
        <w:t>.....</w:t>
      </w:r>
      <w:r>
        <w:rPr>
          <w:rFonts w:ascii="Times New Roman" w:hAnsi="Times New Roman" w:cs="Times New Roman"/>
          <w:i w:val="0"/>
          <w:iCs w:val="0"/>
          <w:color w:val="auto"/>
          <w:sz w:val="24"/>
          <w:szCs w:val="24"/>
          <w:lang w:eastAsia="en-US"/>
        </w:rPr>
        <w:t>).</w:t>
      </w:r>
    </w:p>
    <w:p w14:paraId="3D522901">
      <w:pPr>
        <w:pStyle w:val="107"/>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13FBEC66">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42A8C126">
      <w:pPr>
        <w:pStyle w:val="107"/>
        <w:numPr>
          <w:ilvl w:val="0"/>
          <w:numId w:val="0"/>
        </w:numPr>
        <w:spacing w:before="0" w:after="0" w:line="288" w:lineRule="auto"/>
        <w:contextualSpacing/>
        <w:rPr>
          <w:rFonts w:ascii="Times New Roman" w:hAnsi="Times New Roman" w:cs="Times New Roman"/>
          <w:i w:val="0"/>
          <w:iCs w:val="0"/>
          <w:sz w:val="24"/>
          <w:szCs w:val="24"/>
        </w:rPr>
      </w:pPr>
    </w:p>
    <w:p w14:paraId="5F069C34">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5.3 Os pagamentos devidos ao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xml:space="preserve"> dependerão dos quantitativos efetivamente fornecidos.</w:t>
      </w:r>
    </w:p>
    <w:p w14:paraId="1BA36915">
      <w:pPr>
        <w:pStyle w:val="107"/>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7031D93">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SEXTA – PAGAMENTO</w:t>
      </w:r>
    </w:p>
    <w:p w14:paraId="7D926D29">
      <w:pPr>
        <w:spacing w:line="288" w:lineRule="auto"/>
        <w:contextualSpacing/>
        <w:jc w:val="both"/>
        <w:rPr>
          <w:sz w:val="24"/>
          <w:szCs w:val="24"/>
        </w:rPr>
      </w:pPr>
    </w:p>
    <w:p w14:paraId="39729295">
      <w:pPr>
        <w:pStyle w:val="20"/>
        <w:spacing w:line="288" w:lineRule="auto"/>
        <w:contextualSpacing/>
        <w:jc w:val="both"/>
        <w:rPr>
          <w:rFonts w:ascii="Times New Roman" w:hAnsi="Times New Roman" w:cs="Times New Roman"/>
        </w:rPr>
      </w:pPr>
      <w:r>
        <w:rPr>
          <w:rFonts w:ascii="Times New Roman" w:hAnsi="Times New Roman" w:cs="Times New Roman"/>
        </w:rPr>
        <w:t xml:space="preserve">6.1 O </w:t>
      </w:r>
      <w:r>
        <w:rPr>
          <w:rFonts w:ascii="Times New Roman" w:hAnsi="Times New Roman" w:cs="Times New Roman"/>
          <w:b/>
        </w:rPr>
        <w:t>CONTRATANTE</w:t>
      </w:r>
      <w:r>
        <w:rPr>
          <w:rFonts w:ascii="Times New Roman" w:hAnsi="Times New Roman" w:cs="Times New Roman"/>
          <w:bCs/>
        </w:rPr>
        <w:t xml:space="preserve"> deverá pagar ao </w:t>
      </w:r>
      <w:r>
        <w:rPr>
          <w:rFonts w:ascii="Times New Roman" w:hAnsi="Times New Roman" w:cs="Times New Roman"/>
          <w:b/>
        </w:rPr>
        <w:t>CONTRATADO</w:t>
      </w:r>
      <w:r>
        <w:rPr>
          <w:rFonts w:ascii="Times New Roman" w:hAnsi="Times New Roman" w:cs="Times New Roman"/>
        </w:rPr>
        <w:t xml:space="preserve"> o valor total de R$ </w:t>
      </w:r>
      <w:r>
        <w:rPr>
          <w:rFonts w:ascii="Times New Roman" w:hAnsi="Times New Roman" w:cs="Times New Roman"/>
          <w:color w:val="FF0000"/>
        </w:rPr>
        <w:t xml:space="preserve">xxx </w:t>
      </w:r>
      <w:r>
        <w:rPr>
          <w:rFonts w:ascii="Times New Roman" w:hAnsi="Times New Roman" w:cs="Times New Roman"/>
        </w:rPr>
        <w:t>(</w:t>
      </w:r>
      <w:r>
        <w:rPr>
          <w:rFonts w:ascii="Times New Roman" w:hAnsi="Times New Roman" w:cs="Times New Roman"/>
          <w:iCs/>
          <w:color w:val="FF0000"/>
        </w:rPr>
        <w:t>xx</w:t>
      </w:r>
      <w:r>
        <w:rPr>
          <w:rFonts w:ascii="Times New Roman" w:hAnsi="Times New Roman" w:cs="Times New Roman"/>
        </w:rPr>
        <w:t xml:space="preserve">), em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w:t>
      </w:r>
      <w:r>
        <w:rPr>
          <w:rFonts w:ascii="Times New Roman" w:hAnsi="Times New Roman" w:cs="Times New Roman"/>
          <w:color w:val="FF0000"/>
        </w:rPr>
        <w:t xml:space="preserve"> </w:t>
      </w:r>
      <w:r>
        <w:rPr>
          <w:rFonts w:ascii="Times New Roman" w:hAnsi="Times New Roman" w:cs="Times New Roman"/>
        </w:rPr>
        <w:t xml:space="preserve">parcelas, no valor de R$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 xml:space="preserve">), cada uma delas, conforme cronograma de pagamento em anexo, diretamente na conta corrente nº </w:t>
      </w:r>
      <w:r>
        <w:rPr>
          <w:rFonts w:ascii="Times New Roman" w:hAnsi="Times New Roman" w:cs="Times New Roman"/>
          <w:color w:val="FF0000"/>
        </w:rPr>
        <w:t>......</w:t>
      </w:r>
      <w:r>
        <w:rPr>
          <w:rFonts w:ascii="Times New Roman" w:hAnsi="Times New Roman" w:cs="Times New Roman"/>
        </w:rPr>
        <w:t xml:space="preserve"> da agência </w:t>
      </w:r>
      <w:r>
        <w:rPr>
          <w:rFonts w:ascii="Times New Roman" w:hAnsi="Times New Roman" w:cs="Times New Roman"/>
          <w:color w:val="FF0000"/>
        </w:rPr>
        <w:t>......</w:t>
      </w:r>
      <w:r>
        <w:rPr>
          <w:rFonts w:ascii="Times New Roman" w:hAnsi="Times New Roman" w:cs="Times New Roman"/>
        </w:rPr>
        <w:t>, de titularidade d</w:t>
      </w:r>
      <w:r>
        <w:rPr>
          <w:rFonts w:ascii="Times New Roman" w:hAnsi="Times New Roman" w:cs="Times New Roman"/>
          <w:bCs/>
        </w:rPr>
        <w:t xml:space="preserve">o </w:t>
      </w:r>
      <w:r>
        <w:rPr>
          <w:rFonts w:ascii="Times New Roman" w:hAnsi="Times New Roman" w:cs="Times New Roman"/>
          <w:b/>
        </w:rPr>
        <w:t>CONTRATADO</w:t>
      </w:r>
      <w:r>
        <w:rPr>
          <w:rFonts w:ascii="Times New Roman" w:hAnsi="Times New Roman" w:cs="Times New Roman"/>
        </w:rPr>
        <w:t>, junto à instituição indicada pelo mesmo, observando-se o disposto no item 5.3. deste Contrato.</w:t>
      </w:r>
    </w:p>
    <w:p w14:paraId="1EF4737E">
      <w:pPr>
        <w:pStyle w:val="20"/>
        <w:spacing w:line="288" w:lineRule="auto"/>
        <w:contextualSpacing/>
        <w:jc w:val="both"/>
        <w:rPr>
          <w:rFonts w:ascii="Times New Roman" w:hAnsi="Times New Roman" w:cs="Times New Roman"/>
        </w:rPr>
      </w:pPr>
    </w:p>
    <w:p w14:paraId="7572B926">
      <w:pPr>
        <w:pStyle w:val="20"/>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rPr>
        <w:t>Banco Itaú S.A</w:t>
      </w:r>
      <w:r>
        <w:rPr>
          <w:rFonts w:ascii="Times New Roman" w:hAnsi="Times New Roman" w:cs="Times New Roman"/>
        </w:rPr>
        <w:t xml:space="preserve">, cujo número e agência deverão ser informados pelo adjudicatário. </w:t>
      </w:r>
    </w:p>
    <w:p w14:paraId="4D35DF5D">
      <w:pPr>
        <w:spacing w:line="288" w:lineRule="auto"/>
        <w:contextualSpacing/>
        <w:jc w:val="both"/>
        <w:rPr>
          <w:sz w:val="24"/>
          <w:szCs w:val="24"/>
        </w:rPr>
      </w:pPr>
    </w:p>
    <w:p w14:paraId="26C6D6AB">
      <w:pPr>
        <w:spacing w:line="288" w:lineRule="auto"/>
        <w:contextualSpacing/>
        <w:jc w:val="both"/>
        <w:rPr>
          <w:rFonts w:eastAsia="Arial"/>
          <w:sz w:val="24"/>
          <w:szCs w:val="24"/>
        </w:rPr>
      </w:pPr>
      <w:r>
        <w:rPr>
          <w:sz w:val="24"/>
          <w:szCs w:val="24"/>
        </w:rPr>
        <w:t xml:space="preserve">6.3 </w:t>
      </w:r>
      <w:r>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40/2025.</w:t>
      </w:r>
    </w:p>
    <w:p w14:paraId="6AC5EDAC">
      <w:pPr>
        <w:spacing w:line="288" w:lineRule="auto"/>
        <w:contextualSpacing/>
        <w:jc w:val="both"/>
        <w:rPr>
          <w:rFonts w:eastAsia="Arial"/>
          <w:sz w:val="24"/>
          <w:szCs w:val="24"/>
        </w:rPr>
      </w:pPr>
    </w:p>
    <w:p w14:paraId="2DDC5826">
      <w:pPr>
        <w:spacing w:line="288" w:lineRule="auto"/>
        <w:contextualSpacing/>
        <w:jc w:val="both"/>
        <w:rPr>
          <w:sz w:val="24"/>
          <w:szCs w:val="24"/>
        </w:rPr>
      </w:pPr>
      <w:r>
        <w:rPr>
          <w:rFonts w:eastAsia="Arial"/>
          <w:sz w:val="24"/>
          <w:szCs w:val="24"/>
        </w:rPr>
        <w:t xml:space="preserve">6.4 </w:t>
      </w:r>
      <w:r>
        <w:rPr>
          <w:sz w:val="24"/>
          <w:szCs w:val="24"/>
        </w:rPr>
        <w:t xml:space="preserve">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b/>
          <w:sz w:val="24"/>
          <w:szCs w:val="24"/>
        </w:rPr>
        <w:t>Banco Itaú S.A</w:t>
      </w:r>
      <w:r>
        <w:rPr>
          <w:sz w:val="24"/>
          <w:szCs w:val="24"/>
        </w:rPr>
        <w:t>, cujo número e agência deverão ser informados pelo adjudicatário.</w:t>
      </w:r>
    </w:p>
    <w:p w14:paraId="35261678">
      <w:pPr>
        <w:spacing w:line="288" w:lineRule="auto"/>
        <w:contextualSpacing/>
        <w:jc w:val="both"/>
        <w:rPr>
          <w:sz w:val="24"/>
          <w:szCs w:val="24"/>
        </w:rPr>
      </w:pPr>
    </w:p>
    <w:p w14:paraId="1138C3DA">
      <w:pPr>
        <w:spacing w:line="288" w:lineRule="auto"/>
        <w:contextualSpacing/>
        <w:jc w:val="both"/>
        <w:rPr>
          <w:rFonts w:eastAsia="Arial"/>
          <w:sz w:val="24"/>
          <w:szCs w:val="24"/>
        </w:rPr>
      </w:pPr>
      <w:r>
        <w:rPr>
          <w:rFonts w:eastAsia="Arial"/>
          <w:sz w:val="24"/>
          <w:szCs w:val="24"/>
        </w:rPr>
        <w:t xml:space="preserve">6.5 Quando houver glosa parcial do objeto, o </w:t>
      </w:r>
      <w:r>
        <w:rPr>
          <w:rFonts w:eastAsia="Arial"/>
          <w:b/>
          <w:bCs/>
          <w:sz w:val="24"/>
          <w:szCs w:val="24"/>
        </w:rPr>
        <w:t>CONTRATANTE</w:t>
      </w:r>
      <w:r>
        <w:rPr>
          <w:rFonts w:eastAsia="Arial"/>
          <w:sz w:val="24"/>
          <w:szCs w:val="24"/>
        </w:rPr>
        <w:t xml:space="preserve"> deverá comunicar ao </w:t>
      </w:r>
      <w:r>
        <w:rPr>
          <w:rFonts w:eastAsia="Arial"/>
          <w:b/>
          <w:bCs/>
          <w:sz w:val="24"/>
          <w:szCs w:val="24"/>
        </w:rPr>
        <w:t>CONTRATADO</w:t>
      </w:r>
      <w:r>
        <w:rPr>
          <w:rFonts w:eastAsia="Arial"/>
          <w:sz w:val="24"/>
          <w:szCs w:val="24"/>
        </w:rPr>
        <w:t xml:space="preserve"> para que emita Nota Fiscal ou Fatura com o valor exato dimensionado.</w:t>
      </w:r>
    </w:p>
    <w:p w14:paraId="49BE35E5">
      <w:pPr>
        <w:spacing w:line="288" w:lineRule="auto"/>
        <w:contextualSpacing/>
        <w:jc w:val="both"/>
        <w:rPr>
          <w:sz w:val="24"/>
          <w:szCs w:val="24"/>
        </w:rPr>
      </w:pPr>
    </w:p>
    <w:p w14:paraId="212678C5">
      <w:pPr>
        <w:spacing w:line="288" w:lineRule="auto"/>
        <w:contextualSpacing/>
        <w:jc w:val="both"/>
        <w:rPr>
          <w:rFonts w:eastAsia="Arial"/>
          <w:sz w:val="24"/>
          <w:szCs w:val="24"/>
        </w:rPr>
      </w:pPr>
      <w:r>
        <w:rPr>
          <w:sz w:val="24"/>
          <w:szCs w:val="24"/>
        </w:rPr>
        <w:t xml:space="preserve">6.6 O </w:t>
      </w:r>
      <w:r>
        <w:rPr>
          <w:b/>
          <w:bCs/>
          <w:sz w:val="24"/>
          <w:szCs w:val="24"/>
        </w:rPr>
        <w:t>CONTRATADO</w:t>
      </w:r>
      <w:r>
        <w:rPr>
          <w:sz w:val="24"/>
          <w:szCs w:val="24"/>
        </w:rPr>
        <w:t xml:space="preserve"> deverá encaminhar a Nota Fiscal ou Fatura para pagamento à </w:t>
      </w:r>
      <w:r>
        <w:rPr>
          <w:color w:val="FF0000"/>
          <w:sz w:val="24"/>
          <w:szCs w:val="24"/>
        </w:rPr>
        <w:t>......</w:t>
      </w:r>
      <w:r>
        <w:rPr>
          <w:rFonts w:eastAsia="Arial"/>
          <w:sz w:val="24"/>
          <w:szCs w:val="24"/>
        </w:rPr>
        <w:t xml:space="preserve">, situada </w:t>
      </w:r>
      <w:r>
        <w:rPr>
          <w:rFonts w:eastAsia="Arial"/>
          <w:color w:val="FF0000"/>
          <w:sz w:val="24"/>
          <w:szCs w:val="24"/>
        </w:rPr>
        <w:t xml:space="preserve">na </w:t>
      </w:r>
      <w:r>
        <w:rPr>
          <w:color w:val="FF0000"/>
          <w:sz w:val="24"/>
          <w:szCs w:val="24"/>
        </w:rPr>
        <w:t>......</w:t>
      </w:r>
      <w:r>
        <w:rPr>
          <w:rFonts w:eastAsia="Arial"/>
          <w:sz w:val="24"/>
          <w:szCs w:val="24"/>
        </w:rPr>
        <w:t xml:space="preserve">, na cidade </w:t>
      </w:r>
      <w:r>
        <w:rPr>
          <w:rFonts w:eastAsia="Arial"/>
          <w:color w:val="FF0000"/>
          <w:sz w:val="24"/>
          <w:szCs w:val="24"/>
        </w:rPr>
        <w:t xml:space="preserve">do </w:t>
      </w:r>
      <w:r>
        <w:rPr>
          <w:color w:val="FF0000"/>
          <w:sz w:val="24"/>
          <w:szCs w:val="24"/>
        </w:rPr>
        <w:t>......</w:t>
      </w:r>
      <w:r>
        <w:rPr>
          <w:rFonts w:eastAsia="Arial"/>
          <w:sz w:val="24"/>
          <w:szCs w:val="24"/>
        </w:rPr>
        <w:t xml:space="preserve">, no Estado do Rio de Janeiro ou para o endereço eletrônico </w:t>
      </w:r>
      <w:r>
        <w:rPr>
          <w:color w:val="FF0000"/>
          <w:sz w:val="24"/>
          <w:szCs w:val="24"/>
        </w:rPr>
        <w:t>......</w:t>
      </w:r>
      <w:r>
        <w:rPr>
          <w:rFonts w:eastAsia="Arial"/>
          <w:sz w:val="24"/>
          <w:szCs w:val="24"/>
        </w:rPr>
        <w:t>.</w:t>
      </w:r>
    </w:p>
    <w:p w14:paraId="5BF3EA97">
      <w:pPr>
        <w:spacing w:line="288" w:lineRule="auto"/>
        <w:contextualSpacing/>
        <w:jc w:val="both"/>
        <w:rPr>
          <w:rFonts w:eastAsia="Arial"/>
          <w:sz w:val="24"/>
          <w:szCs w:val="24"/>
        </w:rPr>
      </w:pPr>
    </w:p>
    <w:p w14:paraId="377B9892">
      <w:pPr>
        <w:spacing w:line="288" w:lineRule="auto"/>
        <w:contextualSpacing/>
        <w:jc w:val="both"/>
        <w:rPr>
          <w:rFonts w:eastAsia="Arial"/>
          <w:sz w:val="24"/>
          <w:szCs w:val="24"/>
        </w:rPr>
      </w:pPr>
      <w:r>
        <w:rPr>
          <w:rFonts w:eastAsia="Arial"/>
          <w:sz w:val="24"/>
          <w:szCs w:val="24"/>
        </w:rPr>
        <w:t>6.7  Recebida a Nota Fiscal ou Fatura, o órgão competente deverá realizar consulta ao SICAF para verificar:</w:t>
      </w:r>
    </w:p>
    <w:p w14:paraId="1B98DA3B">
      <w:pPr>
        <w:spacing w:line="288" w:lineRule="auto"/>
        <w:contextualSpacing/>
        <w:jc w:val="both"/>
        <w:rPr>
          <w:sz w:val="24"/>
          <w:szCs w:val="24"/>
        </w:rPr>
      </w:pPr>
      <w:r>
        <w:rPr>
          <w:sz w:val="24"/>
          <w:szCs w:val="24"/>
        </w:rPr>
        <w:t xml:space="preserve">a) a manutenção das condições de habilitação exigidas pelo instrumento convocatório; </w:t>
      </w:r>
    </w:p>
    <w:p w14:paraId="51F8BDF5">
      <w:pPr>
        <w:spacing w:line="288" w:lineRule="auto"/>
        <w:contextualSpacing/>
        <w:jc w:val="both"/>
        <w:rPr>
          <w:sz w:val="24"/>
          <w:szCs w:val="24"/>
        </w:rPr>
      </w:pPr>
      <w:r>
        <w:rPr>
          <w:sz w:val="24"/>
          <w:szCs w:val="24"/>
        </w:rPr>
        <w:t xml:space="preserve">b) se o </w:t>
      </w:r>
      <w:r>
        <w:rPr>
          <w:b/>
          <w:bCs/>
          <w:sz w:val="24"/>
          <w:szCs w:val="24"/>
        </w:rPr>
        <w:t>CONTRATADO</w:t>
      </w:r>
      <w:r>
        <w:rPr>
          <w:sz w:val="24"/>
          <w:szCs w:val="24"/>
        </w:rPr>
        <w:t xml:space="preserve"> foi penalizado com as sanções de declaração de inidoneidade ou impedimento de licitar e contratar com o Poder Público, observadas as abrangências de aplicação; e</w:t>
      </w:r>
    </w:p>
    <w:p w14:paraId="4E9C4681">
      <w:pPr>
        <w:spacing w:line="288" w:lineRule="auto"/>
        <w:contextualSpacing/>
        <w:jc w:val="both"/>
        <w:rPr>
          <w:sz w:val="24"/>
          <w:szCs w:val="24"/>
        </w:rPr>
      </w:pPr>
      <w:r>
        <w:rPr>
          <w:sz w:val="24"/>
          <w:szCs w:val="24"/>
        </w:rPr>
        <w:t>c) eventuais ocorrências impeditivas indiretas, hipótese na qual o gestor deverá verificar se houve fraude por parte das empresas apontadas no Relatório de Ocorrências Impeditivas Indiretas;</w:t>
      </w:r>
    </w:p>
    <w:p w14:paraId="5C49AF48">
      <w:pPr>
        <w:spacing w:line="288" w:lineRule="auto"/>
        <w:contextualSpacing/>
        <w:jc w:val="both"/>
        <w:rPr>
          <w:sz w:val="24"/>
          <w:szCs w:val="24"/>
        </w:rPr>
      </w:pPr>
    </w:p>
    <w:p w14:paraId="11D656FE">
      <w:pPr>
        <w:spacing w:line="288" w:lineRule="auto"/>
        <w:contextualSpacing/>
        <w:jc w:val="both"/>
        <w:rPr>
          <w:sz w:val="24"/>
          <w:szCs w:val="24"/>
        </w:rPr>
      </w:pPr>
      <w:r>
        <w:rPr>
          <w:sz w:val="24"/>
          <w:szCs w:val="24"/>
        </w:rPr>
        <w:t xml:space="preserve">6.7.1 Constatando-se a situação de irregularidade do </w:t>
      </w:r>
      <w:r>
        <w:rPr>
          <w:b/>
          <w:bCs/>
          <w:sz w:val="24"/>
          <w:szCs w:val="24"/>
        </w:rPr>
        <w:t>CONTRATADO</w:t>
      </w:r>
      <w:r>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sz w:val="24"/>
          <w:szCs w:val="24"/>
        </w:rPr>
        <w:t>CONTRATANTE</w:t>
      </w:r>
      <w:r>
        <w:rPr>
          <w:sz w:val="24"/>
          <w:szCs w:val="24"/>
        </w:rPr>
        <w:t>.</w:t>
      </w:r>
    </w:p>
    <w:p w14:paraId="66D40F16">
      <w:pPr>
        <w:spacing w:line="288" w:lineRule="auto"/>
        <w:contextualSpacing/>
        <w:jc w:val="both"/>
        <w:rPr>
          <w:sz w:val="24"/>
          <w:szCs w:val="24"/>
        </w:rPr>
      </w:pPr>
    </w:p>
    <w:p w14:paraId="70539D66">
      <w:pPr>
        <w:spacing w:line="288" w:lineRule="auto"/>
        <w:contextualSpacing/>
        <w:jc w:val="both"/>
        <w:rPr>
          <w:sz w:val="24"/>
          <w:szCs w:val="24"/>
        </w:rPr>
      </w:pPr>
      <w:r>
        <w:rPr>
          <w:sz w:val="24"/>
          <w:szCs w:val="24"/>
        </w:rPr>
        <w:t xml:space="preserve">6.7.2 Não havendo regularização ou sendo a defesa considerada improcedente, o </w:t>
      </w:r>
      <w:r>
        <w:rPr>
          <w:b/>
          <w:bCs/>
          <w:sz w:val="24"/>
          <w:szCs w:val="24"/>
        </w:rPr>
        <w:t>CONTRATANTE</w:t>
      </w:r>
      <w:r>
        <w:rPr>
          <w:sz w:val="24"/>
          <w:szCs w:val="24"/>
        </w:rPr>
        <w:t xml:space="preserve"> deverá comunicar aos órgãos responsáveis pela fiscalização da regularidade fiscal quanto à inadimplência do </w:t>
      </w:r>
      <w:r>
        <w:rPr>
          <w:b/>
          <w:bCs/>
          <w:sz w:val="24"/>
          <w:szCs w:val="24"/>
        </w:rPr>
        <w:t>CONTRATADO</w:t>
      </w:r>
      <w:r>
        <w:rPr>
          <w:sz w:val="24"/>
          <w:szCs w:val="24"/>
        </w:rPr>
        <w:t xml:space="preserve">, bem como quanto à existência de pagamento a ser efetuado, para que sejam acionados os meios pertinentes e necessários para garantir o recebimento de seus créditos.  </w:t>
      </w:r>
    </w:p>
    <w:p w14:paraId="52CA4D29">
      <w:pPr>
        <w:spacing w:line="288" w:lineRule="auto"/>
        <w:contextualSpacing/>
        <w:jc w:val="both"/>
        <w:rPr>
          <w:sz w:val="24"/>
          <w:szCs w:val="24"/>
        </w:rPr>
      </w:pPr>
    </w:p>
    <w:p w14:paraId="35FF0885">
      <w:pPr>
        <w:spacing w:line="288" w:lineRule="auto"/>
        <w:contextualSpacing/>
        <w:jc w:val="both"/>
        <w:rPr>
          <w:sz w:val="24"/>
          <w:szCs w:val="24"/>
        </w:rPr>
      </w:pPr>
      <w:r>
        <w:rPr>
          <w:sz w:val="24"/>
          <w:szCs w:val="24"/>
        </w:rPr>
        <w:t xml:space="preserve">6.7.3 Persistindo a irregularidade, o </w:t>
      </w:r>
      <w:r>
        <w:rPr>
          <w:b/>
          <w:bCs/>
          <w:sz w:val="24"/>
          <w:szCs w:val="24"/>
        </w:rPr>
        <w:t>CONTRATANTE</w:t>
      </w:r>
      <w:r>
        <w:rPr>
          <w:sz w:val="24"/>
          <w:szCs w:val="24"/>
        </w:rPr>
        <w:t xml:space="preserve"> deverá adotar as medidas necessárias à rescisão do Contrato nos autos do processo administrativo correspondente, assegurada ao </w:t>
      </w:r>
      <w:r>
        <w:rPr>
          <w:b/>
          <w:bCs/>
          <w:sz w:val="24"/>
          <w:szCs w:val="24"/>
        </w:rPr>
        <w:t>CONTRATADO</w:t>
      </w:r>
      <w:r>
        <w:rPr>
          <w:sz w:val="24"/>
          <w:szCs w:val="24"/>
        </w:rPr>
        <w:t xml:space="preserve"> a ampla defesa.</w:t>
      </w:r>
    </w:p>
    <w:p w14:paraId="13F69C01">
      <w:pPr>
        <w:spacing w:line="288" w:lineRule="auto"/>
        <w:contextualSpacing/>
        <w:jc w:val="both"/>
        <w:rPr>
          <w:sz w:val="24"/>
          <w:szCs w:val="24"/>
        </w:rPr>
      </w:pPr>
    </w:p>
    <w:p w14:paraId="76CB82FD">
      <w:pPr>
        <w:spacing w:line="288" w:lineRule="auto"/>
        <w:contextualSpacing/>
        <w:jc w:val="both"/>
        <w:rPr>
          <w:sz w:val="24"/>
          <w:szCs w:val="24"/>
        </w:rPr>
      </w:pPr>
      <w:r>
        <w:rPr>
          <w:sz w:val="24"/>
          <w:szCs w:val="24"/>
        </w:rPr>
        <w:t xml:space="preserve">6.7.4 Havendo a efetiva execução do objeto, os pagamentos serão realizados normalmente, até que se decida pela rescisão do Contrato, caso o </w:t>
      </w:r>
      <w:r>
        <w:rPr>
          <w:b/>
          <w:bCs/>
          <w:sz w:val="24"/>
          <w:szCs w:val="24"/>
        </w:rPr>
        <w:t>CONTRATADO</w:t>
      </w:r>
      <w:r>
        <w:rPr>
          <w:sz w:val="24"/>
          <w:szCs w:val="24"/>
        </w:rPr>
        <w:t xml:space="preserve"> não regularize sua situação. </w:t>
      </w:r>
    </w:p>
    <w:p w14:paraId="786D1FB0">
      <w:pPr>
        <w:spacing w:line="288" w:lineRule="auto"/>
        <w:contextualSpacing/>
        <w:jc w:val="both"/>
        <w:rPr>
          <w:sz w:val="24"/>
          <w:szCs w:val="24"/>
        </w:rPr>
      </w:pPr>
    </w:p>
    <w:p w14:paraId="0D65A5D7">
      <w:pPr>
        <w:spacing w:line="288" w:lineRule="auto"/>
        <w:contextualSpacing/>
        <w:jc w:val="both"/>
        <w:rPr>
          <w:sz w:val="24"/>
          <w:szCs w:val="24"/>
        </w:rPr>
      </w:pPr>
      <w:r>
        <w:rPr>
          <w:sz w:val="24"/>
          <w:szCs w:val="24"/>
        </w:rPr>
        <w:t>6.8 O pagamento será efetuado no prazo máximo de até 30</w:t>
      </w:r>
      <w:r>
        <w:rPr>
          <w:color w:val="FF0000"/>
          <w:sz w:val="24"/>
          <w:szCs w:val="24"/>
        </w:rPr>
        <w:t xml:space="preserve"> </w:t>
      </w:r>
      <w:r>
        <w:rPr>
          <w:sz w:val="24"/>
          <w:szCs w:val="24"/>
        </w:rPr>
        <w:t>(trinta)</w:t>
      </w:r>
      <w:r>
        <w:rPr>
          <w:color w:val="FF0000"/>
          <w:sz w:val="24"/>
          <w:szCs w:val="24"/>
        </w:rPr>
        <w:t xml:space="preserve"> </w:t>
      </w:r>
      <w:r>
        <w:rPr>
          <w:sz w:val="24"/>
          <w:szCs w:val="24"/>
        </w:rPr>
        <w:t>dias, contado do recebimento da Nota Fiscal ou Fatura.</w:t>
      </w:r>
    </w:p>
    <w:p w14:paraId="0F97E92C">
      <w:pPr>
        <w:spacing w:line="288" w:lineRule="auto"/>
        <w:contextualSpacing/>
        <w:jc w:val="both"/>
        <w:rPr>
          <w:color w:val="FF0000"/>
          <w:sz w:val="24"/>
          <w:szCs w:val="24"/>
        </w:rPr>
      </w:pPr>
    </w:p>
    <w:p w14:paraId="51D8FC13">
      <w:pPr>
        <w:spacing w:line="288" w:lineRule="auto"/>
        <w:contextualSpacing/>
        <w:jc w:val="both"/>
        <w:rPr>
          <w:sz w:val="24"/>
          <w:szCs w:val="24"/>
        </w:rPr>
      </w:pPr>
      <w:r>
        <w:rPr>
          <w:sz w:val="24"/>
          <w:szCs w:val="24"/>
        </w:rPr>
        <w:t xml:space="preserve">6.8.1 Havendo erro na apresentação da Nota Fiscal ou Fatura, ou circunstância que impeça a liquidação da despesa, o pagamento ficará sobrestado até que o </w:t>
      </w:r>
      <w:r>
        <w:rPr>
          <w:b/>
          <w:bCs/>
          <w:sz w:val="24"/>
          <w:szCs w:val="24"/>
        </w:rPr>
        <w:t>CONTRATADO</w:t>
      </w:r>
      <w:r>
        <w:rPr>
          <w:sz w:val="24"/>
          <w:szCs w:val="24"/>
        </w:rPr>
        <w:t xml:space="preserve"> providencie as medidas saneadoras. Nessa hipótese, o prazo para pagamento iniciar-se-á após a comprovação da regularização da situação, não acarretando qualquer ônus para o </w:t>
      </w:r>
      <w:r>
        <w:rPr>
          <w:b/>
          <w:bCs/>
          <w:sz w:val="24"/>
          <w:szCs w:val="24"/>
        </w:rPr>
        <w:t>CONTRATANTE</w:t>
      </w:r>
      <w:r>
        <w:rPr>
          <w:sz w:val="24"/>
          <w:szCs w:val="24"/>
        </w:rPr>
        <w:t>.</w:t>
      </w:r>
    </w:p>
    <w:p w14:paraId="0C4B3C7F">
      <w:pPr>
        <w:spacing w:line="288" w:lineRule="auto"/>
        <w:contextualSpacing/>
        <w:jc w:val="both"/>
        <w:rPr>
          <w:sz w:val="24"/>
          <w:szCs w:val="24"/>
        </w:rPr>
      </w:pPr>
    </w:p>
    <w:p w14:paraId="3D5C9493">
      <w:pPr>
        <w:spacing w:line="288" w:lineRule="auto"/>
        <w:contextualSpacing/>
        <w:jc w:val="both"/>
        <w:rPr>
          <w:sz w:val="24"/>
          <w:szCs w:val="24"/>
        </w:rPr>
      </w:pPr>
      <w:r>
        <w:rPr>
          <w:sz w:val="24"/>
          <w:szCs w:val="24"/>
        </w:rPr>
        <w:t>6.9 Quando do pagamento, será efetuada a retenção tributária prevista na legislação aplicável.</w:t>
      </w:r>
    </w:p>
    <w:p w14:paraId="23BCAD56">
      <w:pPr>
        <w:spacing w:line="288" w:lineRule="auto"/>
        <w:contextualSpacing/>
        <w:jc w:val="both"/>
        <w:rPr>
          <w:sz w:val="24"/>
          <w:szCs w:val="24"/>
        </w:rPr>
      </w:pPr>
    </w:p>
    <w:p w14:paraId="18527F3B">
      <w:pPr>
        <w:spacing w:line="288" w:lineRule="auto"/>
        <w:contextualSpacing/>
        <w:jc w:val="both"/>
        <w:rPr>
          <w:sz w:val="24"/>
          <w:szCs w:val="24"/>
        </w:rPr>
      </w:pPr>
      <w:r>
        <w:rPr>
          <w:sz w:val="24"/>
          <w:szCs w:val="24"/>
        </w:rPr>
        <w:t>6.9.1 Independentemente do percentual de tributo inserido na planilha, no pagamento serão retidos na fonte os percentuais estabelecidos na legislação vigente.</w:t>
      </w:r>
    </w:p>
    <w:p w14:paraId="2FE7BCBF">
      <w:pPr>
        <w:spacing w:line="288" w:lineRule="auto"/>
        <w:contextualSpacing/>
        <w:jc w:val="both"/>
        <w:rPr>
          <w:sz w:val="24"/>
          <w:szCs w:val="24"/>
        </w:rPr>
      </w:pPr>
    </w:p>
    <w:p w14:paraId="6840BBB5">
      <w:pPr>
        <w:spacing w:line="288" w:lineRule="auto"/>
        <w:contextualSpacing/>
        <w:jc w:val="both"/>
        <w:rPr>
          <w:sz w:val="24"/>
          <w:szCs w:val="24"/>
        </w:rPr>
      </w:pPr>
      <w:r>
        <w:rPr>
          <w:sz w:val="24"/>
          <w:szCs w:val="24"/>
        </w:rPr>
        <w:t xml:space="preserve">6.9.2 O </w:t>
      </w:r>
      <w:r>
        <w:rPr>
          <w:b/>
          <w:bCs/>
          <w:sz w:val="24"/>
          <w:szCs w:val="24"/>
        </w:rPr>
        <w:t>CONTRATADO</w:t>
      </w:r>
      <w:r>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166E042B">
      <w:pPr>
        <w:spacing w:line="288" w:lineRule="auto"/>
        <w:contextualSpacing/>
        <w:jc w:val="both"/>
        <w:rPr>
          <w:sz w:val="24"/>
          <w:szCs w:val="24"/>
        </w:rPr>
      </w:pPr>
    </w:p>
    <w:p w14:paraId="15A2B14D">
      <w:pPr>
        <w:spacing w:line="288" w:lineRule="auto"/>
        <w:contextualSpacing/>
        <w:jc w:val="both"/>
        <w:rPr>
          <w:iCs/>
          <w:sz w:val="24"/>
          <w:szCs w:val="24"/>
        </w:rPr>
      </w:pPr>
      <w:r>
        <w:rPr>
          <w:color w:val="000000"/>
          <w:sz w:val="24"/>
          <w:szCs w:val="24"/>
        </w:rPr>
        <w:t>6.10 Os pagamentos eventualmente realizados com atraso, desde</w:t>
      </w:r>
      <w:r>
        <w:rPr>
          <w:sz w:val="24"/>
          <w:szCs w:val="24"/>
        </w:rPr>
        <w:t xml:space="preserve"> que não decorram de ato ou fato atribuível ao </w:t>
      </w:r>
      <w:r>
        <w:rPr>
          <w:b/>
          <w:bCs/>
          <w:sz w:val="24"/>
          <w:szCs w:val="24"/>
        </w:rPr>
        <w:t>CONTRATADO</w:t>
      </w:r>
      <w:r>
        <w:rPr>
          <w:sz w:val="24"/>
          <w:szCs w:val="24"/>
        </w:rPr>
        <w:t xml:space="preserve">, sofrerão a incidência de atualização monetária e juros de mora pelo IPCA-E, calculado </w:t>
      </w:r>
      <w:r>
        <w:rPr>
          <w:i/>
          <w:sz w:val="24"/>
          <w:szCs w:val="24"/>
        </w:rPr>
        <w:t>pro rata die</w:t>
      </w:r>
      <w:r>
        <w:rPr>
          <w:sz w:val="24"/>
          <w:szCs w:val="24"/>
        </w:rPr>
        <w:t xml:space="preserve">, e aqueles pagos em prazo inferior ao estabelecido no instrumento convocatório serão feitos mediante desconto de 0,5% (um meio por cento) ao mês, calculado </w:t>
      </w:r>
      <w:r>
        <w:rPr>
          <w:i/>
          <w:sz w:val="24"/>
          <w:szCs w:val="24"/>
        </w:rPr>
        <w:t>pro rata die</w:t>
      </w:r>
      <w:r>
        <w:rPr>
          <w:iCs/>
          <w:sz w:val="24"/>
          <w:szCs w:val="24"/>
        </w:rPr>
        <w:t>.</w:t>
      </w:r>
    </w:p>
    <w:p w14:paraId="1D789BFC">
      <w:pPr>
        <w:spacing w:line="288" w:lineRule="auto"/>
        <w:contextualSpacing/>
        <w:jc w:val="both"/>
        <w:rPr>
          <w:color w:val="000000"/>
          <w:sz w:val="24"/>
          <w:szCs w:val="24"/>
        </w:rPr>
      </w:pPr>
    </w:p>
    <w:p w14:paraId="3704D130">
      <w:pPr>
        <w:spacing w:line="288" w:lineRule="auto"/>
        <w:contextualSpacing/>
        <w:jc w:val="both"/>
        <w:rPr>
          <w:sz w:val="24"/>
          <w:szCs w:val="24"/>
        </w:rPr>
      </w:pPr>
      <w:r>
        <w:rPr>
          <w:color w:val="000000"/>
          <w:sz w:val="24"/>
          <w:szCs w:val="24"/>
        </w:rPr>
        <w:t xml:space="preserve">6.11 </w:t>
      </w:r>
      <w:r>
        <w:rPr>
          <w:sz w:val="24"/>
          <w:szCs w:val="24"/>
        </w:rPr>
        <w:t xml:space="preserve">O </w:t>
      </w:r>
      <w:r>
        <w:rPr>
          <w:b/>
          <w:bCs/>
          <w:sz w:val="24"/>
          <w:szCs w:val="24"/>
        </w:rPr>
        <w:t>CONTRATADO</w:t>
      </w:r>
      <w:r>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sz w:val="24"/>
          <w:szCs w:val="24"/>
        </w:rPr>
        <w:t>a, b, c, d e e</w:t>
      </w:r>
      <w:r>
        <w:rPr>
          <w:i/>
          <w:sz w:val="24"/>
          <w:szCs w:val="24"/>
        </w:rPr>
        <w:t xml:space="preserve"> </w:t>
      </w:r>
      <w:r>
        <w:rPr>
          <w:sz w:val="24"/>
          <w:szCs w:val="24"/>
        </w:rPr>
        <w:t>do parágrafo 1º do artigo 2º da Resolução SEFAZ nº 971/2016.</w:t>
      </w:r>
    </w:p>
    <w:p w14:paraId="4ED9F295">
      <w:pPr>
        <w:spacing w:line="288" w:lineRule="auto"/>
        <w:contextualSpacing/>
        <w:jc w:val="both"/>
        <w:rPr>
          <w:sz w:val="24"/>
          <w:szCs w:val="24"/>
        </w:rPr>
      </w:pPr>
    </w:p>
    <w:p w14:paraId="1A3C174C">
      <w:pPr>
        <w:spacing w:line="288" w:lineRule="auto"/>
        <w:contextualSpacing/>
        <w:jc w:val="both"/>
        <w:rPr>
          <w:sz w:val="24"/>
          <w:szCs w:val="24"/>
        </w:rPr>
      </w:pPr>
      <w:r>
        <w:rPr>
          <w:sz w:val="24"/>
          <w:szCs w:val="24"/>
        </w:rPr>
        <w:t xml:space="preserve">6.12 Caso o Edital admita a subcontratação, os pagamentos aos subcontratados serão realizados diretamente pelo </w:t>
      </w:r>
      <w:r>
        <w:rPr>
          <w:b/>
          <w:bCs/>
          <w:sz w:val="24"/>
          <w:szCs w:val="24"/>
        </w:rPr>
        <w:t>CONTRATADO</w:t>
      </w:r>
      <w:r>
        <w:rPr>
          <w:sz w:val="24"/>
          <w:szCs w:val="24"/>
        </w:rPr>
        <w:t xml:space="preserve">, ficando vedada a emissão de nota de empenho do </w:t>
      </w:r>
      <w:r>
        <w:rPr>
          <w:b/>
          <w:bCs/>
          <w:sz w:val="24"/>
          <w:szCs w:val="24"/>
        </w:rPr>
        <w:t>CONTRATANTE</w:t>
      </w:r>
      <w:r>
        <w:rPr>
          <w:sz w:val="24"/>
          <w:szCs w:val="24"/>
        </w:rPr>
        <w:t xml:space="preserve"> diretamente aos subcontratados. </w:t>
      </w:r>
    </w:p>
    <w:p w14:paraId="0E5677EF">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2643BD94">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6.12.1 A subcontratação porventura realizada será integralmente custeada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0FCCA19F">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386115D9">
      <w:pPr>
        <w:pStyle w:val="100"/>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SÉTIMA - REAJUSTE </w:t>
      </w:r>
    </w:p>
    <w:p w14:paraId="7F8FEB70">
      <w:pPr>
        <w:spacing w:line="288" w:lineRule="auto"/>
        <w:contextualSpacing/>
        <w:jc w:val="both"/>
        <w:rPr>
          <w:sz w:val="24"/>
          <w:szCs w:val="24"/>
        </w:rPr>
      </w:pPr>
    </w:p>
    <w:p w14:paraId="4F481E13">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Os preços contratados serão reajustados após o interregno de 1 (um) ano, mediante solicitação do </w:t>
      </w:r>
      <w:r>
        <w:rPr>
          <w:rFonts w:ascii="Times New Roman" w:hAnsi="Times New Roman" w:cs="Times New Roman"/>
          <w:b/>
          <w:bCs/>
          <w:sz w:val="24"/>
          <w:szCs w:val="24"/>
        </w:rPr>
        <w:t>CONTRATADO</w:t>
      </w:r>
      <w:r>
        <w:rPr>
          <w:rFonts w:ascii="Times New Roman" w:hAnsi="Times New Roman" w:cs="Times New Roman"/>
          <w:sz w:val="24"/>
          <w:szCs w:val="24"/>
        </w:rPr>
        <w:t>.</w:t>
      </w:r>
    </w:p>
    <w:p w14:paraId="1CB69872">
      <w:pPr>
        <w:pStyle w:val="98"/>
        <w:spacing w:before="0" w:after="0" w:line="288" w:lineRule="auto"/>
        <w:ind w:left="0" w:firstLine="0"/>
        <w:contextualSpacing/>
        <w:rPr>
          <w:rFonts w:ascii="Times New Roman" w:hAnsi="Times New Roman" w:cs="Times New Roman"/>
          <w:sz w:val="24"/>
          <w:szCs w:val="24"/>
        </w:rPr>
      </w:pPr>
    </w:p>
    <w:p w14:paraId="24030337">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7.2 O interregno mínimo de 1 (um) ano para o primeiro reajuste será contado da data do orçamento estimado. </w:t>
      </w:r>
    </w:p>
    <w:p w14:paraId="229F187E">
      <w:pPr>
        <w:pStyle w:val="98"/>
        <w:spacing w:before="0" w:after="0" w:line="288" w:lineRule="auto"/>
        <w:ind w:left="0" w:firstLine="0"/>
        <w:contextualSpacing/>
        <w:rPr>
          <w:rFonts w:ascii="Times New Roman" w:hAnsi="Times New Roman" w:cs="Times New Roman"/>
          <w:sz w:val="24"/>
          <w:szCs w:val="24"/>
        </w:rPr>
      </w:pPr>
    </w:p>
    <w:p w14:paraId="4C7B668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 Nos reajustes subsequentes ao primeiro, o interregno mínimo de 1 (um) ano será contado a partir do fato gerador que deu ensejo ao último reajuste.</w:t>
      </w:r>
    </w:p>
    <w:p w14:paraId="35181657">
      <w:pPr>
        <w:pStyle w:val="98"/>
        <w:spacing w:before="0" w:after="0" w:line="288" w:lineRule="auto"/>
        <w:ind w:left="0" w:firstLine="0"/>
        <w:contextualSpacing/>
        <w:rPr>
          <w:rFonts w:ascii="Times New Roman" w:hAnsi="Times New Roman" w:cs="Times New Roman"/>
          <w:sz w:val="24"/>
          <w:szCs w:val="24"/>
        </w:rPr>
      </w:pPr>
    </w:p>
    <w:p w14:paraId="781DD946">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7.4 Os preços iniciais serão reajustados, mediante a aplicação, pelo </w:t>
      </w:r>
      <w:r>
        <w:rPr>
          <w:rFonts w:ascii="Times New Roman" w:hAnsi="Times New Roman" w:cs="Times New Roman"/>
          <w:b/>
          <w:bCs/>
          <w:sz w:val="24"/>
          <w:szCs w:val="24"/>
        </w:rPr>
        <w:t>CONTRATANTE</w:t>
      </w:r>
      <w:r>
        <w:rPr>
          <w:rFonts w:ascii="Times New Roman" w:hAnsi="Times New Roman" w:cs="Times New Roman"/>
          <w:sz w:val="24"/>
          <w:szCs w:val="24"/>
        </w:rPr>
        <w:t>, do índice IPCA-E</w:t>
      </w:r>
      <w:r>
        <w:rPr>
          <w:rFonts w:ascii="Times New Roman" w:hAnsi="Times New Roman" w:cs="Times New Roman"/>
          <w:i/>
          <w:iCs/>
          <w:sz w:val="24"/>
          <w:szCs w:val="24"/>
        </w:rPr>
        <w:t>,</w:t>
      </w:r>
      <w:r>
        <w:rPr>
          <w:rFonts w:ascii="Times New Roman" w:hAnsi="Times New Roman" w:cs="Times New Roman"/>
          <w:sz w:val="24"/>
          <w:szCs w:val="24"/>
        </w:rPr>
        <w:t xml:space="preserve"> exclusivamente para as obrigações </w:t>
      </w:r>
      <w:r>
        <w:rPr>
          <w:rFonts w:ascii="Times New Roman" w:hAnsi="Times New Roman" w:cs="Times New Roman"/>
          <w:color w:val="auto"/>
          <w:sz w:val="24"/>
          <w:szCs w:val="24"/>
        </w:rPr>
        <w:t>que se iniciem após a anualidade</w:t>
      </w:r>
      <w:r>
        <w:rPr>
          <w:rFonts w:ascii="Times New Roman" w:hAnsi="Times New Roman" w:cs="Times New Roman"/>
          <w:sz w:val="24"/>
          <w:szCs w:val="24"/>
        </w:rPr>
        <w:t>.</w:t>
      </w:r>
    </w:p>
    <w:p w14:paraId="2C25522F">
      <w:pPr>
        <w:pStyle w:val="98"/>
        <w:spacing w:before="0" w:after="0" w:line="288" w:lineRule="auto"/>
        <w:ind w:left="0" w:firstLine="0"/>
        <w:contextualSpacing/>
        <w:rPr>
          <w:rFonts w:ascii="Times New Roman" w:hAnsi="Times New Roman" w:cs="Times New Roman"/>
          <w:sz w:val="24"/>
          <w:szCs w:val="24"/>
        </w:rPr>
      </w:pPr>
    </w:p>
    <w:p w14:paraId="2ECEA36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No caso de atraso ou não divulgação do(s) índice(s) de reajustamento, o </w:t>
      </w:r>
      <w:r>
        <w:rPr>
          <w:rFonts w:ascii="Times New Roman" w:hAnsi="Times New Roman" w:cs="Times New Roman"/>
          <w:b/>
          <w:bCs/>
          <w:sz w:val="24"/>
          <w:szCs w:val="24"/>
        </w:rPr>
        <w:t>CONTRATANTE</w:t>
      </w:r>
      <w:r>
        <w:rPr>
          <w:rFonts w:ascii="Times New Roman" w:hAnsi="Times New Roman" w:cs="Times New Roman"/>
          <w:sz w:val="24"/>
          <w:szCs w:val="24"/>
        </w:rPr>
        <w:t xml:space="preserve"> pagará ao </w:t>
      </w:r>
      <w:r>
        <w:rPr>
          <w:rFonts w:ascii="Times New Roman" w:hAnsi="Times New Roman" w:cs="Times New Roman"/>
          <w:b/>
          <w:bCs/>
          <w:sz w:val="24"/>
          <w:szCs w:val="24"/>
        </w:rPr>
        <w:t>CONTRATADO</w:t>
      </w:r>
      <w:r>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485E6C98">
      <w:pPr>
        <w:pStyle w:val="98"/>
        <w:spacing w:before="0" w:after="0" w:line="288" w:lineRule="auto"/>
        <w:ind w:left="0" w:firstLine="0"/>
        <w:contextualSpacing/>
        <w:rPr>
          <w:rFonts w:ascii="Times New Roman" w:hAnsi="Times New Roman" w:cs="Times New Roman"/>
          <w:sz w:val="24"/>
          <w:szCs w:val="24"/>
        </w:rPr>
      </w:pPr>
    </w:p>
    <w:p w14:paraId="6978F17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Fica o </w:t>
      </w:r>
      <w:r>
        <w:rPr>
          <w:rFonts w:ascii="Times New Roman" w:hAnsi="Times New Roman" w:cs="Times New Roman"/>
          <w:b/>
          <w:bCs/>
          <w:sz w:val="24"/>
          <w:szCs w:val="24"/>
        </w:rPr>
        <w:t>CONTRATADO</w:t>
      </w:r>
      <w:r>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5FD336F1">
      <w:pPr>
        <w:pStyle w:val="98"/>
        <w:spacing w:before="0" w:after="0" w:line="288" w:lineRule="auto"/>
        <w:ind w:left="0" w:firstLine="0"/>
        <w:contextualSpacing/>
        <w:rPr>
          <w:rFonts w:ascii="Times New Roman" w:hAnsi="Times New Roman" w:cs="Times New Roman"/>
          <w:sz w:val="24"/>
          <w:szCs w:val="24"/>
        </w:rPr>
      </w:pPr>
    </w:p>
    <w:p w14:paraId="44EFB2E9">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3AAF7C0C">
      <w:pPr>
        <w:pStyle w:val="98"/>
        <w:spacing w:before="0" w:after="0" w:line="288" w:lineRule="auto"/>
        <w:ind w:left="0" w:firstLine="0"/>
        <w:contextualSpacing/>
        <w:rPr>
          <w:rFonts w:ascii="Times New Roman" w:hAnsi="Times New Roman" w:cs="Times New Roman"/>
          <w:sz w:val="24"/>
          <w:szCs w:val="24"/>
        </w:rPr>
      </w:pPr>
    </w:p>
    <w:p w14:paraId="7936A54F">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4070B672">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F13F8DF">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pedido de reajuste deverá ser formulado durante a vigência do Contrato e antes de eventual prorrogação contratual, sob pena de preclusão.</w:t>
      </w:r>
    </w:p>
    <w:p w14:paraId="7C3F6B75">
      <w:pPr>
        <w:spacing w:after="160" w:line="288" w:lineRule="auto"/>
        <w:contextualSpacing/>
        <w:jc w:val="both"/>
        <w:rPr>
          <w:sz w:val="24"/>
          <w:szCs w:val="24"/>
        </w:rPr>
      </w:pPr>
    </w:p>
    <w:p w14:paraId="280A6FA7">
      <w:pPr>
        <w:spacing w:after="160" w:line="288" w:lineRule="auto"/>
        <w:contextualSpacing/>
        <w:jc w:val="both"/>
        <w:rPr>
          <w:sz w:val="24"/>
          <w:szCs w:val="24"/>
        </w:rPr>
      </w:pPr>
      <w:r>
        <w:rPr>
          <w:sz w:val="24"/>
          <w:szCs w:val="24"/>
        </w:rPr>
        <w:t>7.8.1 Os efeitos financeiros do pedido de reajuste serão contados:</w:t>
      </w:r>
    </w:p>
    <w:p w14:paraId="336A0ECB">
      <w:pPr>
        <w:spacing w:line="288" w:lineRule="auto"/>
        <w:contextualSpacing/>
        <w:jc w:val="both"/>
        <w:rPr>
          <w:sz w:val="24"/>
          <w:szCs w:val="24"/>
        </w:rPr>
      </w:pPr>
      <w:r>
        <w:rPr>
          <w:sz w:val="24"/>
          <w:szCs w:val="24"/>
        </w:rPr>
        <w:t>a) da data-base prevista no Contrato, desde que requerido o reajuste no prazo de 60 (sessenta) dias da data de publicação do índice ajustado contratualmente;</w:t>
      </w:r>
    </w:p>
    <w:p w14:paraId="06C65346">
      <w:pPr>
        <w:spacing w:line="288" w:lineRule="auto"/>
        <w:ind w:left="40"/>
        <w:contextualSpacing/>
        <w:jc w:val="both"/>
        <w:rPr>
          <w:sz w:val="24"/>
          <w:szCs w:val="24"/>
        </w:rPr>
      </w:pPr>
      <w:r>
        <w:rPr>
          <w:sz w:val="24"/>
          <w:szCs w:val="24"/>
        </w:rPr>
        <w:t xml:space="preserve">b) a partir da data do requerimento do </w:t>
      </w:r>
      <w:r>
        <w:rPr>
          <w:b/>
          <w:bCs/>
          <w:sz w:val="24"/>
          <w:szCs w:val="24"/>
        </w:rPr>
        <w:t>CONTRATADO</w:t>
      </w:r>
      <w:r>
        <w:rPr>
          <w:sz w:val="24"/>
          <w:szCs w:val="24"/>
        </w:rPr>
        <w:t xml:space="preserve">, caso o pedido seja formulado após o prazo fixado na alínea </w:t>
      </w:r>
      <w:r>
        <w:rPr>
          <w:sz w:val="24"/>
          <w:szCs w:val="24"/>
          <w:u w:val="single"/>
        </w:rPr>
        <w:t>a</w:t>
      </w:r>
      <w:r>
        <w:rPr>
          <w:sz w:val="24"/>
          <w:szCs w:val="24"/>
        </w:rPr>
        <w:t>, acima, o que não acarretará a alteração do marco para cômputo da anualidade do reajustamento, já adotado no Edital e no Contrato.</w:t>
      </w:r>
    </w:p>
    <w:p w14:paraId="01754986">
      <w:pPr>
        <w:spacing w:line="288" w:lineRule="auto"/>
        <w:ind w:left="40"/>
        <w:contextualSpacing/>
        <w:jc w:val="both"/>
        <w:rPr>
          <w:sz w:val="24"/>
          <w:szCs w:val="24"/>
        </w:rPr>
      </w:pPr>
    </w:p>
    <w:p w14:paraId="0B9249CA">
      <w:pPr>
        <w:spacing w:line="288" w:lineRule="auto"/>
        <w:ind w:left="40"/>
        <w:contextualSpacing/>
        <w:jc w:val="both"/>
        <w:rPr>
          <w:sz w:val="24"/>
          <w:szCs w:val="24"/>
        </w:rPr>
      </w:pPr>
      <w:r>
        <w:rPr>
          <w:sz w:val="24"/>
          <w:szCs w:val="24"/>
        </w:rPr>
        <w:t xml:space="preserve">7.9 Caso, na data de eventual prorrogação contratual, ainda não tenha sido divulgado o índice de reajuste, deverá, a requerimento do </w:t>
      </w:r>
      <w:r>
        <w:rPr>
          <w:b/>
          <w:bCs/>
          <w:sz w:val="24"/>
          <w:szCs w:val="24"/>
        </w:rPr>
        <w:t>CONTRATADO</w:t>
      </w:r>
      <w:r>
        <w:rPr>
          <w:sz w:val="24"/>
          <w:szCs w:val="24"/>
        </w:rPr>
        <w:t xml:space="preserve">, ser inserida cláusula no termo aditivo de prorrogação para resguardar o direito futuro do </w:t>
      </w:r>
      <w:r>
        <w:rPr>
          <w:b/>
          <w:bCs/>
          <w:sz w:val="24"/>
          <w:szCs w:val="24"/>
        </w:rPr>
        <w:t>CONTRATADO</w:t>
      </w:r>
      <w:r>
        <w:rPr>
          <w:sz w:val="24"/>
          <w:szCs w:val="24"/>
        </w:rPr>
        <w:t>, a ser exercido tão logo se disponha dos valores reajustados, sob pena de preclusão.</w:t>
      </w:r>
    </w:p>
    <w:p w14:paraId="06256F07">
      <w:pPr>
        <w:spacing w:line="288" w:lineRule="auto"/>
        <w:ind w:left="40"/>
        <w:contextualSpacing/>
        <w:jc w:val="both"/>
        <w:rPr>
          <w:sz w:val="24"/>
          <w:szCs w:val="24"/>
        </w:rPr>
      </w:pPr>
    </w:p>
    <w:p w14:paraId="652117B3">
      <w:pPr>
        <w:spacing w:line="288" w:lineRule="auto"/>
        <w:ind w:left="40"/>
        <w:contextualSpacing/>
        <w:jc w:val="both"/>
        <w:rPr>
          <w:sz w:val="24"/>
          <w:szCs w:val="24"/>
        </w:rPr>
      </w:pPr>
      <w:r>
        <w:rPr>
          <w:sz w:val="24"/>
          <w:szCs w:val="24"/>
        </w:rPr>
        <w:t>7.10 A extinção do Contrato não configurará óbice para o deferimento do reajuste solicitado tempestivamente, hipótese em que será concedido por meio de termo indenizatório.</w:t>
      </w:r>
    </w:p>
    <w:p w14:paraId="41972068">
      <w:pPr>
        <w:pStyle w:val="98"/>
        <w:spacing w:before="0" w:after="0" w:line="288" w:lineRule="auto"/>
        <w:ind w:left="0" w:firstLine="0"/>
        <w:contextualSpacing/>
        <w:rPr>
          <w:rFonts w:ascii="Times New Roman" w:hAnsi="Times New Roman" w:cs="Times New Roman"/>
          <w:sz w:val="24"/>
          <w:szCs w:val="24"/>
        </w:rPr>
      </w:pPr>
    </w:p>
    <w:p w14:paraId="5DC30701">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O reajuste será realizado por apostilamento, se esta for a única alteração contratual a ser realizada.</w:t>
      </w:r>
    </w:p>
    <w:p w14:paraId="1DF0874F">
      <w:pPr>
        <w:pStyle w:val="98"/>
        <w:spacing w:before="0" w:after="0" w:line="288" w:lineRule="auto"/>
        <w:ind w:left="0" w:firstLine="0"/>
        <w:contextualSpacing/>
        <w:rPr>
          <w:rFonts w:ascii="Times New Roman" w:hAnsi="Times New Roman" w:cs="Times New Roman"/>
          <w:color w:val="auto"/>
          <w:sz w:val="24"/>
          <w:szCs w:val="24"/>
        </w:rPr>
      </w:pPr>
    </w:p>
    <w:p w14:paraId="2F83A24A">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67F5BA63">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58FC4912">
      <w:pPr>
        <w:pStyle w:val="107"/>
        <w:numPr>
          <w:ilvl w:val="0"/>
          <w:numId w:val="0"/>
        </w:numPr>
        <w:spacing w:before="0" w:after="0" w:line="288" w:lineRule="auto"/>
        <w:contextualSpacing/>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CLÁUSULA OITAVA – OBRIGAÇÕES DO CONTRATANTE</w:t>
      </w:r>
    </w:p>
    <w:p w14:paraId="618C20F6">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57D96D02">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 São obrigações do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w:t>
      </w:r>
    </w:p>
    <w:p w14:paraId="4B37D84B">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387184AC">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8.1.1 Exigir o cumprimento de todas as obrigações assumidas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de acordo com o Contrato e seus Anexos.</w:t>
      </w:r>
    </w:p>
    <w:p w14:paraId="75FB82A3">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4CCFA458">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8.1.2 Receber o objeto no prazo e condições estabelecidas no Termo de Referência.</w:t>
      </w:r>
    </w:p>
    <w:p w14:paraId="54E0AAFF">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4A0CC91C">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8.1.3 Notificar 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678C1428">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03EE2C56">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8.1.4 Acompanhar e fiscalizar a execução do Contrato e o cumprimento das obrigações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63277EA3">
      <w:pPr>
        <w:pStyle w:val="100"/>
        <w:spacing w:before="0" w:line="288" w:lineRule="auto"/>
        <w:ind w:left="0" w:firstLine="0"/>
        <w:contextualSpacing/>
        <w:rPr>
          <w:rFonts w:ascii="Times New Roman" w:hAnsi="Times New Roman" w:cs="Times New Roman"/>
          <w:b w:val="0"/>
          <w:bCs w:val="0"/>
          <w:sz w:val="24"/>
          <w:szCs w:val="24"/>
        </w:rPr>
      </w:pPr>
    </w:p>
    <w:p w14:paraId="7D32112C">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8.1.5 Comunicar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r>
        <w:fldChar w:fldCharType="begin"/>
      </w:r>
      <w:r>
        <w:instrText xml:space="preserve"> HYPERLINK "http://www.planalto.gov.br/ccivil_03/_ato2019-2022/2021/lei/L14133.htm" \l "art143" </w:instrText>
      </w:r>
      <w:r>
        <w:fldChar w:fldCharType="separate"/>
      </w:r>
      <w:r>
        <w:rPr>
          <w:rStyle w:val="16"/>
          <w:rFonts w:ascii="Times New Roman" w:hAnsi="Times New Roman" w:cs="Times New Roman" w:eastAsiaTheme="minorHAnsi"/>
          <w:b w:val="0"/>
          <w:bCs w:val="0"/>
          <w:sz w:val="24"/>
          <w:szCs w:val="24"/>
        </w:rPr>
        <w:t>art. 143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04C9BCA6">
      <w:pPr>
        <w:pStyle w:val="100"/>
        <w:spacing w:before="0" w:line="288" w:lineRule="auto"/>
        <w:ind w:left="0" w:firstLine="0"/>
        <w:contextualSpacing/>
        <w:rPr>
          <w:rFonts w:ascii="Times New Roman" w:hAnsi="Times New Roman" w:cs="Times New Roman"/>
          <w:b w:val="0"/>
          <w:bCs w:val="0"/>
          <w:sz w:val="24"/>
          <w:szCs w:val="24"/>
        </w:rPr>
      </w:pPr>
    </w:p>
    <w:p w14:paraId="4A56E2ED">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8.1.6 Efetuar o pagamento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024C87E7">
      <w:pPr>
        <w:pStyle w:val="100"/>
        <w:spacing w:before="0" w:line="288" w:lineRule="auto"/>
        <w:ind w:left="0" w:firstLine="0"/>
        <w:contextualSpacing/>
        <w:rPr>
          <w:rFonts w:ascii="Times New Roman" w:hAnsi="Times New Roman" w:cs="Times New Roman"/>
          <w:b w:val="0"/>
          <w:bCs w:val="0"/>
          <w:sz w:val="24"/>
          <w:szCs w:val="24"/>
        </w:rPr>
      </w:pPr>
    </w:p>
    <w:p w14:paraId="4D064850">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8.1.7 Aplicar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05110307">
      <w:pPr>
        <w:pStyle w:val="98"/>
        <w:spacing w:before="0" w:after="0" w:line="288" w:lineRule="auto"/>
        <w:ind w:left="0" w:firstLine="0"/>
        <w:contextualSpacing/>
        <w:rPr>
          <w:rFonts w:ascii="Times New Roman" w:hAnsi="Times New Roman" w:cs="Times New Roman"/>
          <w:sz w:val="24"/>
          <w:szCs w:val="24"/>
        </w:rPr>
      </w:pPr>
    </w:p>
    <w:p w14:paraId="78ADE57A">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Pr>
          <w:rFonts w:ascii="Times New Roman" w:hAnsi="Times New Roman" w:cs="Times New Roman"/>
          <w:b/>
          <w:bCs/>
          <w:sz w:val="24"/>
          <w:szCs w:val="24"/>
        </w:rPr>
        <w:t>CONTRATADO</w:t>
      </w:r>
      <w:r>
        <w:rPr>
          <w:rFonts w:ascii="Times New Roman" w:hAnsi="Times New Roman" w:cs="Times New Roman"/>
          <w:sz w:val="24"/>
          <w:szCs w:val="24"/>
        </w:rPr>
        <w:t>.</w:t>
      </w:r>
    </w:p>
    <w:p w14:paraId="42497387">
      <w:pPr>
        <w:pStyle w:val="98"/>
        <w:spacing w:before="0" w:after="0" w:line="288" w:lineRule="auto"/>
        <w:ind w:left="0" w:firstLine="0"/>
        <w:contextualSpacing/>
        <w:rPr>
          <w:rFonts w:ascii="Times New Roman" w:hAnsi="Times New Roman" w:cs="Times New Roman"/>
          <w:sz w:val="24"/>
          <w:szCs w:val="24"/>
        </w:rPr>
      </w:pPr>
    </w:p>
    <w:p w14:paraId="16E1E5C6">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7338ADB3">
      <w:pPr>
        <w:pStyle w:val="98"/>
        <w:spacing w:before="0" w:after="0" w:line="288" w:lineRule="auto"/>
        <w:ind w:left="0" w:firstLine="0"/>
        <w:contextualSpacing/>
        <w:rPr>
          <w:rFonts w:ascii="Times New Roman" w:hAnsi="Times New Roman" w:cs="Times New Roman"/>
          <w:sz w:val="24"/>
          <w:szCs w:val="24"/>
        </w:rPr>
      </w:pPr>
    </w:p>
    <w:p w14:paraId="606CA4E3">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8.1.9.1 O </w:t>
      </w:r>
      <w:r>
        <w:rPr>
          <w:rFonts w:ascii="Times New Roman" w:hAnsi="Times New Roman" w:cs="Times New Roman"/>
          <w:b/>
          <w:bCs/>
          <w:sz w:val="24"/>
          <w:szCs w:val="24"/>
        </w:rPr>
        <w:t>CONTRATANTE</w:t>
      </w:r>
      <w:r>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2FE71DB">
      <w:pPr>
        <w:pStyle w:val="98"/>
        <w:spacing w:before="0" w:after="0" w:line="288" w:lineRule="auto"/>
        <w:ind w:left="0" w:firstLine="0"/>
        <w:contextualSpacing/>
        <w:rPr>
          <w:rFonts w:ascii="Times New Roman" w:hAnsi="Times New Roman" w:cs="Times New Roman"/>
          <w:sz w:val="24"/>
          <w:szCs w:val="24"/>
        </w:rPr>
      </w:pPr>
    </w:p>
    <w:p w14:paraId="3662ACC9">
      <w:pPr>
        <w:pStyle w:val="98"/>
        <w:spacing w:before="0" w:after="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8.1.10 Responder aos eventuais pedidos de reestabelecimento do equilíbrio econômico-financeiro feitos pelo </w:t>
      </w:r>
      <w:r>
        <w:rPr>
          <w:rFonts w:ascii="Times New Roman" w:hAnsi="Times New Roman" w:cs="Times New Roman"/>
          <w:b/>
          <w:bCs/>
          <w:sz w:val="24"/>
          <w:szCs w:val="24"/>
        </w:rPr>
        <w:t>CONTRATADO</w:t>
      </w:r>
      <w:r>
        <w:rPr>
          <w:rFonts w:ascii="Times New Roman" w:hAnsi="Times New Roman" w:cs="Times New Roman"/>
          <w:sz w:val="24"/>
          <w:szCs w:val="24"/>
        </w:rPr>
        <w:t xml:space="preserve"> no prazo máximo de </w:t>
      </w:r>
      <w:r>
        <w:rPr>
          <w:rFonts w:ascii="Times New Roman" w:hAnsi="Times New Roman" w:cs="Times New Roman"/>
          <w:color w:val="000000" w:themeColor="text1"/>
          <w:sz w:val="24"/>
          <w:szCs w:val="24"/>
          <w14:textFill>
            <w14:solidFill>
              <w14:schemeClr w14:val="tx1"/>
            </w14:solidFill>
          </w14:textFill>
        </w:rPr>
        <w:t>45 (quarenta e cinco) dias, admitida a prorrogação motivada, por uma única vez, por igual período.</w:t>
      </w:r>
    </w:p>
    <w:p w14:paraId="028B66C7">
      <w:pPr>
        <w:pStyle w:val="98"/>
        <w:spacing w:before="0" w:after="0" w:line="288" w:lineRule="auto"/>
        <w:ind w:left="0" w:firstLine="0"/>
        <w:contextualSpacing/>
        <w:rPr>
          <w:rFonts w:ascii="Times New Roman" w:hAnsi="Times New Roman" w:cs="Times New Roman"/>
          <w:color w:val="FF0000"/>
          <w:sz w:val="24"/>
          <w:szCs w:val="24"/>
        </w:rPr>
      </w:pPr>
    </w:p>
    <w:p w14:paraId="38F285E8">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4B07F62A">
      <w:pPr>
        <w:pStyle w:val="98"/>
        <w:spacing w:before="0" w:after="0" w:line="288" w:lineRule="auto"/>
        <w:ind w:left="0" w:firstLine="0"/>
        <w:contextualSpacing/>
        <w:rPr>
          <w:rFonts w:ascii="Times New Roman" w:hAnsi="Times New Roman" w:cs="Times New Roman"/>
          <w:sz w:val="24"/>
          <w:szCs w:val="24"/>
        </w:rPr>
      </w:pPr>
    </w:p>
    <w:p w14:paraId="0B7B94C9">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8.1.12 A Administração não responderá por quaisquer compromissos assumidos pelo </w:t>
      </w:r>
      <w:r>
        <w:rPr>
          <w:rFonts w:ascii="Times New Roman" w:hAnsi="Times New Roman" w:cs="Times New Roman"/>
          <w:b/>
          <w:bCs/>
          <w:sz w:val="24"/>
          <w:szCs w:val="24"/>
        </w:rPr>
        <w:t>CONTRATADO</w:t>
      </w:r>
      <w:r>
        <w:rPr>
          <w:rFonts w:ascii="Times New Roman" w:hAnsi="Times New Roman" w:cs="Times New Roman"/>
          <w:sz w:val="24"/>
          <w:szCs w:val="24"/>
        </w:rPr>
        <w:t xml:space="preserve"> perante terceiros, ainda que vinculados à execução do Contrato, bem como por qualquer dano causado a terceiros em decorrência de ato do </w:t>
      </w:r>
      <w:r>
        <w:rPr>
          <w:rFonts w:ascii="Times New Roman" w:hAnsi="Times New Roman" w:cs="Times New Roman"/>
          <w:b/>
          <w:bCs/>
          <w:sz w:val="24"/>
          <w:szCs w:val="24"/>
        </w:rPr>
        <w:t>CONTRATADO</w:t>
      </w:r>
      <w:r>
        <w:rPr>
          <w:rFonts w:ascii="Times New Roman" w:hAnsi="Times New Roman" w:cs="Times New Roman"/>
          <w:sz w:val="24"/>
          <w:szCs w:val="24"/>
        </w:rPr>
        <w:t>, de seus empregados, prepostos ou subordinados.</w:t>
      </w:r>
    </w:p>
    <w:p w14:paraId="1F07893C">
      <w:pPr>
        <w:spacing w:line="288" w:lineRule="auto"/>
        <w:contextualSpacing/>
        <w:jc w:val="both"/>
        <w:rPr>
          <w:sz w:val="24"/>
          <w:szCs w:val="24"/>
        </w:rPr>
      </w:pPr>
    </w:p>
    <w:p w14:paraId="7F288EB2">
      <w:pPr>
        <w:spacing w:line="288" w:lineRule="auto"/>
        <w:contextualSpacing/>
        <w:jc w:val="both"/>
        <w:rPr>
          <w:sz w:val="24"/>
          <w:szCs w:val="24"/>
        </w:rPr>
      </w:pPr>
      <w:r>
        <w:rPr>
          <w:sz w:val="24"/>
          <w:szCs w:val="24"/>
        </w:rPr>
        <w:t xml:space="preserve">8.1.13 O presente Contrato não configura vínculo empregatício entre os trabalhadores ou sócios do </w:t>
      </w:r>
      <w:r>
        <w:rPr>
          <w:b/>
          <w:bCs/>
          <w:sz w:val="24"/>
          <w:szCs w:val="24"/>
        </w:rPr>
        <w:t>CONTRATADO</w:t>
      </w:r>
      <w:r>
        <w:rPr>
          <w:sz w:val="24"/>
          <w:szCs w:val="24"/>
        </w:rPr>
        <w:t xml:space="preserve"> e o </w:t>
      </w:r>
      <w:r>
        <w:rPr>
          <w:b/>
          <w:bCs/>
          <w:sz w:val="24"/>
          <w:szCs w:val="24"/>
        </w:rPr>
        <w:t>CONTRATANTE</w:t>
      </w:r>
      <w:r>
        <w:rPr>
          <w:sz w:val="24"/>
          <w:szCs w:val="24"/>
        </w:rPr>
        <w:t>.</w:t>
      </w:r>
    </w:p>
    <w:p w14:paraId="51F742F1">
      <w:pPr>
        <w:spacing w:line="288" w:lineRule="auto"/>
        <w:contextualSpacing/>
        <w:jc w:val="both"/>
        <w:rPr>
          <w:sz w:val="24"/>
          <w:szCs w:val="24"/>
        </w:rPr>
      </w:pPr>
    </w:p>
    <w:p w14:paraId="15CFF032">
      <w:pPr>
        <w:pStyle w:val="100"/>
        <w:spacing w:before="0" w:line="288" w:lineRule="auto"/>
        <w:ind w:left="0" w:firstLine="0"/>
        <w:contextualSpacing/>
        <w:rPr>
          <w:rStyle w:val="16"/>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NONA – OBRIGAÇÕES DO CONTRATADO </w:t>
      </w:r>
    </w:p>
    <w:p w14:paraId="653E5D11">
      <w:pPr>
        <w:spacing w:line="288" w:lineRule="auto"/>
        <w:contextualSpacing/>
        <w:rPr>
          <w:sz w:val="24"/>
          <w:szCs w:val="24"/>
        </w:rPr>
      </w:pPr>
    </w:p>
    <w:p w14:paraId="24854A24">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9.1 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87A0F50">
      <w:pPr>
        <w:pStyle w:val="100"/>
        <w:spacing w:before="0" w:line="288" w:lineRule="auto"/>
        <w:ind w:left="0" w:firstLine="0"/>
        <w:contextualSpacing/>
        <w:rPr>
          <w:rFonts w:ascii="Times New Roman" w:hAnsi="Times New Roman" w:cs="Times New Roman"/>
          <w:b w:val="0"/>
          <w:bCs w:val="0"/>
          <w:sz w:val="24"/>
          <w:szCs w:val="24"/>
        </w:rPr>
      </w:pPr>
    </w:p>
    <w:p w14:paraId="6DAA276F">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3B7B015">
      <w:pPr>
        <w:pStyle w:val="98"/>
        <w:spacing w:before="0" w:after="0" w:line="288" w:lineRule="auto"/>
        <w:ind w:left="0" w:firstLine="0"/>
        <w:contextualSpacing/>
        <w:rPr>
          <w:rFonts w:ascii="Times New Roman" w:hAnsi="Times New Roman" w:cs="Times New Roman"/>
          <w:sz w:val="24"/>
          <w:szCs w:val="24"/>
        </w:rPr>
      </w:pPr>
    </w:p>
    <w:p w14:paraId="28EAD8B1">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 Comunicar ao </w:t>
      </w:r>
      <w:r>
        <w:rPr>
          <w:rFonts w:ascii="Times New Roman" w:hAnsi="Times New Roman" w:cs="Times New Roman"/>
          <w:b/>
          <w:bCs/>
          <w:sz w:val="24"/>
          <w:szCs w:val="24"/>
        </w:rPr>
        <w:t>CONTRATANTE</w:t>
      </w:r>
      <w:r>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5487C794">
      <w:pPr>
        <w:pStyle w:val="98"/>
        <w:spacing w:before="0" w:after="0" w:line="288" w:lineRule="auto"/>
        <w:ind w:left="0" w:firstLine="0"/>
        <w:contextualSpacing/>
        <w:rPr>
          <w:rFonts w:ascii="Times New Roman" w:hAnsi="Times New Roman" w:cs="Times New Roman"/>
          <w:sz w:val="24"/>
          <w:szCs w:val="24"/>
        </w:rPr>
      </w:pPr>
    </w:p>
    <w:p w14:paraId="78006B54">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9.1.3 Atender às determinações regulares emitidas pelo fiscal ou gestor do Contrato ou autoridade superior </w:t>
      </w:r>
      <w:r>
        <w:rPr>
          <w:rFonts w:ascii="Times New Roman" w:hAnsi="Times New Roman" w:cs="Times New Roman"/>
          <w:color w:val="auto"/>
          <w:sz w:val="24"/>
          <w:szCs w:val="24"/>
        </w:rPr>
        <w:t>(</w:t>
      </w:r>
      <w:r>
        <w:fldChar w:fldCharType="begin"/>
      </w:r>
      <w:r>
        <w:instrText xml:space="preserve"> HYPERLINK "http://www.planalto.gov.br/ccivil_03/_ato2019-2022/2021/lei/L14133.htm" \l "art137" </w:instrText>
      </w:r>
      <w:r>
        <w:fldChar w:fldCharType="separate"/>
      </w:r>
      <w:r>
        <w:rPr>
          <w:rStyle w:val="16"/>
          <w:rFonts w:ascii="Times New Roman" w:hAnsi="Times New Roman" w:cs="Times New Roman" w:eastAsiaTheme="minorHAnsi"/>
          <w:color w:val="auto"/>
          <w:sz w:val="24"/>
          <w:szCs w:val="24"/>
        </w:rPr>
        <w:t>art. 137, II,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e prestar todo esclarecimento ou informação por eles solicitados.</w:t>
      </w:r>
    </w:p>
    <w:p w14:paraId="43226B4E">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1A7B577F">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D8538B">
      <w:pPr>
        <w:pStyle w:val="98"/>
        <w:spacing w:before="0" w:after="0" w:line="288" w:lineRule="auto"/>
        <w:ind w:left="0" w:firstLine="0"/>
        <w:contextualSpacing/>
        <w:rPr>
          <w:rFonts w:ascii="Times New Roman" w:hAnsi="Times New Roman" w:cs="Times New Roman"/>
          <w:sz w:val="24"/>
          <w:szCs w:val="24"/>
        </w:rPr>
      </w:pPr>
    </w:p>
    <w:p w14:paraId="6E09BC02">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67E81A1">
      <w:pPr>
        <w:pStyle w:val="98"/>
        <w:spacing w:before="0" w:after="0" w:line="288" w:lineRule="auto"/>
        <w:ind w:left="0" w:firstLine="0"/>
        <w:contextualSpacing/>
        <w:rPr>
          <w:rFonts w:ascii="Times New Roman" w:hAnsi="Times New Roman" w:cs="Times New Roman"/>
          <w:sz w:val="24"/>
          <w:szCs w:val="24"/>
        </w:rPr>
      </w:pPr>
    </w:p>
    <w:p w14:paraId="3E3FBC5B">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9.1.6 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Pr>
          <w:rFonts w:ascii="Times New Roman" w:hAnsi="Times New Roman" w:cs="Times New Roman"/>
          <w:b/>
          <w:bCs/>
          <w:sz w:val="24"/>
          <w:szCs w:val="24"/>
        </w:rPr>
        <w:t>CONTRATANTE</w:t>
      </w:r>
      <w:r>
        <w:rPr>
          <w:rFonts w:ascii="Times New Roman" w:hAnsi="Times New Roman" w:cs="Times New Roman"/>
          <w:sz w:val="24"/>
          <w:szCs w:val="24"/>
        </w:rPr>
        <w:t>, que ficará autorizado a descontar dos pagamentos devidos ou da garantia o valor correspondente aos danos sofridos.</w:t>
      </w:r>
    </w:p>
    <w:p w14:paraId="2E29B1BF">
      <w:pPr>
        <w:pStyle w:val="98"/>
        <w:spacing w:before="0" w:after="0" w:line="288" w:lineRule="auto"/>
        <w:ind w:left="0" w:firstLine="0"/>
        <w:contextualSpacing/>
        <w:rPr>
          <w:rFonts w:ascii="Times New Roman" w:hAnsi="Times New Roman" w:cs="Times New Roman"/>
          <w:sz w:val="24"/>
          <w:szCs w:val="24"/>
        </w:rPr>
      </w:pPr>
    </w:p>
    <w:p w14:paraId="1094B931">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Pr>
          <w:rFonts w:ascii="Times New Roman" w:hAnsi="Times New Roman" w:cs="Times New Roman"/>
          <w:b/>
          <w:bCs/>
          <w:sz w:val="24"/>
          <w:szCs w:val="24"/>
        </w:rPr>
        <w:t>CONTRATANTE</w:t>
      </w:r>
      <w:r>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3491473F">
      <w:pPr>
        <w:pStyle w:val="98"/>
        <w:spacing w:before="0" w:after="0" w:line="288" w:lineRule="auto"/>
        <w:ind w:left="0" w:firstLine="0"/>
        <w:contextualSpacing/>
        <w:rPr>
          <w:rFonts w:ascii="Times New Roman" w:hAnsi="Times New Roman" w:cs="Times New Roman"/>
          <w:sz w:val="24"/>
          <w:szCs w:val="24"/>
        </w:rPr>
      </w:pPr>
    </w:p>
    <w:p w14:paraId="4467097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9.1.8 Manter a regularidade junto ao SICAF.</w:t>
      </w:r>
    </w:p>
    <w:p w14:paraId="3FE1E774">
      <w:pPr>
        <w:pStyle w:val="98"/>
        <w:spacing w:before="0" w:after="0" w:line="288" w:lineRule="auto"/>
        <w:ind w:left="0" w:firstLine="0"/>
        <w:contextualSpacing/>
        <w:rPr>
          <w:rFonts w:ascii="Times New Roman" w:hAnsi="Times New Roman" w:cs="Times New Roman"/>
          <w:sz w:val="24"/>
          <w:szCs w:val="24"/>
        </w:rPr>
      </w:pPr>
    </w:p>
    <w:p w14:paraId="587917D8">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9.1.8.1 Quando não for possível a verificação da regularidade no Sistema de Cadastro de Fornecedores – SICAF, o </w:t>
      </w:r>
      <w:r>
        <w:rPr>
          <w:rFonts w:ascii="Times New Roman" w:hAnsi="Times New Roman" w:cs="Times New Roman"/>
          <w:b/>
          <w:bCs/>
          <w:sz w:val="24"/>
          <w:szCs w:val="24"/>
        </w:rPr>
        <w:t>CONTRATADO</w:t>
      </w:r>
      <w:r>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389496FB">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prova de regularidade relativa à Seguridade Social;</w:t>
      </w:r>
    </w:p>
    <w:p w14:paraId="3770E909">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certidão conjunta relativa aos tributos federais e à Dívida Ativa da União;</w:t>
      </w:r>
    </w:p>
    <w:p w14:paraId="01A8CD8C">
      <w:pPr>
        <w:pStyle w:val="98"/>
        <w:spacing w:before="0" w:after="0" w:line="288" w:lineRule="auto"/>
        <w:ind w:left="0" w:firstLine="0"/>
        <w:contextualSpacing/>
        <w:rPr>
          <w:rFonts w:ascii="Times New Roman" w:hAnsi="Times New Roman" w:cs="Times New Roman"/>
          <w:iCs/>
          <w:sz w:val="24"/>
          <w:szCs w:val="24"/>
        </w:rPr>
      </w:pPr>
      <w:r>
        <w:rPr>
          <w:rFonts w:ascii="Times New Roman" w:hAnsi="Times New Roman" w:cs="Times New Roman"/>
          <w:iCs/>
          <w:sz w:val="24"/>
          <w:szCs w:val="24"/>
        </w:rPr>
        <w:t xml:space="preserve">c) certidões que comprovem a regularidade perante as Fazendas do domicílio ou sede do </w:t>
      </w:r>
      <w:r>
        <w:rPr>
          <w:rFonts w:ascii="Times New Roman" w:hAnsi="Times New Roman" w:cs="Times New Roman"/>
          <w:b/>
          <w:bCs/>
          <w:sz w:val="24"/>
          <w:szCs w:val="24"/>
        </w:rPr>
        <w:t>CONTRATADO</w:t>
      </w:r>
      <w:r>
        <w:rPr>
          <w:rFonts w:ascii="Times New Roman" w:hAnsi="Times New Roman" w:cs="Times New Roman"/>
          <w:iCs/>
          <w:sz w:val="24"/>
          <w:szCs w:val="24"/>
        </w:rPr>
        <w:t xml:space="preserve">, na mesma forma exigida no Edital ou Aviso de Contratação Direta; </w:t>
      </w:r>
    </w:p>
    <w:p w14:paraId="43E22E14">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d) Certificado de Regularidade do FGTS; e</w:t>
      </w:r>
    </w:p>
    <w:p w14:paraId="570E9446">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e) Certidão Negativa de Débitos Trabalhistas – CNDT. </w:t>
      </w:r>
    </w:p>
    <w:p w14:paraId="655B3305">
      <w:pPr>
        <w:pStyle w:val="98"/>
        <w:spacing w:before="0" w:after="0" w:line="288" w:lineRule="auto"/>
        <w:ind w:left="0" w:firstLine="0"/>
        <w:contextualSpacing/>
        <w:rPr>
          <w:rFonts w:ascii="Times New Roman" w:hAnsi="Times New Roman" w:cs="Times New Roman"/>
          <w:sz w:val="24"/>
          <w:szCs w:val="24"/>
        </w:rPr>
      </w:pPr>
    </w:p>
    <w:p w14:paraId="76C12EBD">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Pr>
          <w:rFonts w:ascii="Times New Roman" w:hAnsi="Times New Roman" w:cs="Times New Roman"/>
          <w:b/>
          <w:bCs/>
          <w:sz w:val="24"/>
          <w:szCs w:val="24"/>
        </w:rPr>
        <w:t>CONTRATANTE</w:t>
      </w:r>
      <w:r>
        <w:rPr>
          <w:rFonts w:ascii="Times New Roman" w:hAnsi="Times New Roman" w:cs="Times New Roman"/>
          <w:sz w:val="24"/>
          <w:szCs w:val="24"/>
        </w:rPr>
        <w:t xml:space="preserve"> e não poderá onerar o objeto do Contrato.</w:t>
      </w:r>
    </w:p>
    <w:p w14:paraId="6C2B0663">
      <w:pPr>
        <w:pStyle w:val="98"/>
        <w:spacing w:before="0" w:after="0" w:line="288" w:lineRule="auto"/>
        <w:ind w:left="0" w:firstLine="0"/>
        <w:contextualSpacing/>
        <w:rPr>
          <w:rFonts w:ascii="Times New Roman" w:hAnsi="Times New Roman" w:cs="Times New Roman"/>
          <w:sz w:val="24"/>
          <w:szCs w:val="24"/>
        </w:rPr>
      </w:pPr>
    </w:p>
    <w:p w14:paraId="49A0FC6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3FFEC4D1">
      <w:pPr>
        <w:pStyle w:val="98"/>
        <w:spacing w:before="0" w:after="0" w:line="288" w:lineRule="auto"/>
        <w:ind w:left="0" w:firstLine="0"/>
        <w:contextualSpacing/>
        <w:rPr>
          <w:rFonts w:ascii="Times New Roman" w:hAnsi="Times New Roman" w:cs="Times New Roman"/>
          <w:sz w:val="24"/>
          <w:szCs w:val="24"/>
        </w:rPr>
      </w:pPr>
    </w:p>
    <w:p w14:paraId="2BD16CE1">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9.1.11 Paralisar, por determinação do </w:t>
      </w:r>
      <w:r>
        <w:rPr>
          <w:rFonts w:ascii="Times New Roman" w:hAnsi="Times New Roman" w:cs="Times New Roman"/>
          <w:b/>
          <w:bCs/>
          <w:sz w:val="24"/>
          <w:szCs w:val="24"/>
        </w:rPr>
        <w:t>CONTRATANTE</w:t>
      </w:r>
      <w:r>
        <w:rPr>
          <w:rFonts w:ascii="Times New Roman" w:hAnsi="Times New Roman" w:cs="Times New Roman"/>
          <w:sz w:val="24"/>
          <w:szCs w:val="24"/>
        </w:rPr>
        <w:t>, qualquer atividade que não esteja sendo executada de acordo com a boa técnica ou que ponha em risco a segurança de pessoas ou bens de terceiros.</w:t>
      </w:r>
    </w:p>
    <w:p w14:paraId="1C4ABD3F">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7A4AD4A1">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sz w:val="24"/>
          <w:szCs w:val="24"/>
          <w:lang w:eastAsia="en-US"/>
        </w:rPr>
        <w:t>e execução do objeto</w:t>
      </w:r>
      <w:r>
        <w:rPr>
          <w:rFonts w:ascii="Times New Roman" w:hAnsi="Times New Roman" w:cs="Times New Roman"/>
          <w:i w:val="0"/>
          <w:iCs w:val="0"/>
          <w:color w:val="auto"/>
          <w:sz w:val="24"/>
          <w:szCs w:val="24"/>
        </w:rPr>
        <w:t xml:space="preserve"> e nas melhores condições de segurança, higiene e disciplina.</w:t>
      </w:r>
    </w:p>
    <w:p w14:paraId="23CC0DEA">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663E935C">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9.1.13 Submeter previamente, por escrito, ao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9A829F6">
      <w:pPr>
        <w:pStyle w:val="107"/>
        <w:numPr>
          <w:ilvl w:val="0"/>
          <w:numId w:val="0"/>
        </w:numPr>
        <w:spacing w:before="0" w:after="0" w:line="288" w:lineRule="auto"/>
        <w:contextualSpacing/>
        <w:rPr>
          <w:rFonts w:ascii="Times New Roman" w:hAnsi="Times New Roman" w:cs="Times New Roman"/>
          <w:i w:val="0"/>
          <w:iCs w:val="0"/>
          <w:color w:val="auto"/>
          <w:sz w:val="24"/>
          <w:szCs w:val="24"/>
        </w:rPr>
      </w:pPr>
    </w:p>
    <w:p w14:paraId="135E674F">
      <w:pPr>
        <w:pStyle w:val="107"/>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27AE0A3B">
      <w:pPr>
        <w:pStyle w:val="98"/>
        <w:spacing w:before="0" w:after="0" w:line="288" w:lineRule="auto"/>
        <w:ind w:left="0" w:firstLine="0"/>
        <w:contextualSpacing/>
        <w:rPr>
          <w:rFonts w:ascii="Times New Roman" w:hAnsi="Times New Roman" w:cs="Times New Roman"/>
          <w:sz w:val="24"/>
          <w:szCs w:val="24"/>
        </w:rPr>
      </w:pPr>
    </w:p>
    <w:p w14:paraId="5ACB4CAD">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4449817B">
      <w:pPr>
        <w:pStyle w:val="98"/>
        <w:spacing w:before="0" w:after="0" w:line="288" w:lineRule="auto"/>
        <w:ind w:left="0" w:firstLine="0"/>
        <w:contextualSpacing/>
        <w:rPr>
          <w:rFonts w:ascii="Times New Roman" w:hAnsi="Times New Roman" w:cs="Times New Roman"/>
          <w:sz w:val="24"/>
          <w:szCs w:val="24"/>
        </w:rPr>
      </w:pPr>
    </w:p>
    <w:p w14:paraId="52F93675">
      <w:pPr>
        <w:pStyle w:val="98"/>
        <w:spacing w:before="0" w:after="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DAAFA20">
      <w:pPr>
        <w:pStyle w:val="98"/>
        <w:spacing w:before="0" w:after="0" w:line="288" w:lineRule="auto"/>
        <w:ind w:left="0" w:firstLine="0"/>
        <w:contextualSpacing/>
        <w:rPr>
          <w:rFonts w:ascii="Times New Roman" w:hAnsi="Times New Roman" w:cs="Times New Roman"/>
          <w:sz w:val="24"/>
          <w:szCs w:val="24"/>
        </w:rPr>
      </w:pPr>
    </w:p>
    <w:p w14:paraId="634A6C5F">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sz w:val="24"/>
          <w:szCs w:val="24"/>
        </w:rPr>
        <w:t>9</w:t>
      </w:r>
      <w:r>
        <w:rPr>
          <w:rFonts w:ascii="Times New Roman" w:hAnsi="Times New Roman" w:cs="Times New Roman"/>
          <w:b/>
          <w:bCs/>
          <w:sz w:val="24"/>
          <w:szCs w:val="24"/>
        </w:rPr>
        <w:t>.</w:t>
      </w:r>
      <w:r>
        <w:rPr>
          <w:rFonts w:ascii="Times New Roman" w:hAnsi="Times New Roman" w:cs="Times New Roman"/>
          <w:sz w:val="24"/>
          <w:szCs w:val="24"/>
        </w:rPr>
        <w:t>1.16.1</w:t>
      </w:r>
      <w:r>
        <w:rPr>
          <w:rFonts w:ascii="Times New Roman" w:hAnsi="Times New Roman" w:cs="Times New Roman"/>
          <w:b/>
          <w:bCs/>
          <w:sz w:val="24"/>
          <w:szCs w:val="24"/>
        </w:rPr>
        <w:t xml:space="preserve"> </w:t>
      </w:r>
      <w:r>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6"/>
          <w:rFonts w:ascii="Times New Roman" w:hAnsi="Times New Roman" w:cs="Times New Roman" w:eastAsiaTheme="minorHAnsi"/>
          <w:color w:val="auto"/>
          <w:sz w:val="24"/>
          <w:szCs w:val="24"/>
        </w:rPr>
        <w:t>art. 116, parágrafo único,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92C750B">
      <w:pPr>
        <w:pStyle w:val="98"/>
        <w:spacing w:before="0" w:after="0" w:line="288" w:lineRule="auto"/>
        <w:ind w:left="0" w:firstLine="0"/>
        <w:contextualSpacing/>
        <w:rPr>
          <w:rFonts w:ascii="Times New Roman" w:hAnsi="Times New Roman" w:cs="Times New Roman"/>
          <w:color w:val="auto"/>
          <w:sz w:val="24"/>
          <w:szCs w:val="24"/>
        </w:rPr>
      </w:pPr>
    </w:p>
    <w:p w14:paraId="7992FC7C">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16ED2AEB">
      <w:pPr>
        <w:pStyle w:val="98"/>
        <w:spacing w:before="0" w:after="0" w:line="288" w:lineRule="auto"/>
        <w:ind w:left="0" w:firstLine="0"/>
        <w:contextualSpacing/>
        <w:rPr>
          <w:rFonts w:ascii="Times New Roman" w:hAnsi="Times New Roman" w:cs="Times New Roman"/>
          <w:color w:val="auto"/>
          <w:sz w:val="24"/>
          <w:szCs w:val="24"/>
        </w:rPr>
      </w:pPr>
    </w:p>
    <w:p w14:paraId="2394353E">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9.1.17 </w:t>
      </w:r>
      <w:r>
        <w:rPr>
          <w:rFonts w:ascii="Times New Roman" w:hAnsi="Times New Roman" w:cs="Times New Roman"/>
          <w:sz w:val="24"/>
          <w:szCs w:val="24"/>
        </w:rPr>
        <w:t>Guardar sigilo sobre todas as informações obtidas em decorrência do cumprimento do Contrato.</w:t>
      </w:r>
    </w:p>
    <w:p w14:paraId="07CB4406">
      <w:pPr>
        <w:pStyle w:val="98"/>
        <w:spacing w:before="0" w:after="0" w:line="288" w:lineRule="auto"/>
        <w:ind w:left="0" w:firstLine="0"/>
        <w:contextualSpacing/>
        <w:rPr>
          <w:rFonts w:ascii="Times New Roman" w:hAnsi="Times New Roman" w:cs="Times New Roman"/>
          <w:sz w:val="24"/>
          <w:szCs w:val="24"/>
        </w:rPr>
      </w:pPr>
    </w:p>
    <w:p w14:paraId="1BFD4C02">
      <w:pPr>
        <w:pStyle w:val="98"/>
        <w:spacing w:before="0" w:after="0" w:line="288" w:lineRule="auto"/>
        <w:ind w:left="0" w:firstLine="0"/>
        <w:contextualSpacing/>
        <w:rPr>
          <w:rStyle w:val="16"/>
          <w:rFonts w:ascii="Times New Roman" w:hAnsi="Times New Roman" w:cs="Times New Roman" w:eastAsiaTheme="minorHAnsi"/>
          <w:sz w:val="24"/>
          <w:szCs w:val="24"/>
        </w:rPr>
      </w:pPr>
      <w:r>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artigo 124, II, d, da Lei nº 14.133/2021.</w:t>
      </w:r>
      <w:r>
        <w:rPr>
          <w:rStyle w:val="16"/>
          <w:rFonts w:ascii="Times New Roman" w:hAnsi="Times New Roman" w:cs="Times New Roman" w:eastAsiaTheme="minorHAnsi"/>
          <w:color w:val="auto"/>
          <w:sz w:val="24"/>
          <w:szCs w:val="24"/>
        </w:rPr>
        <w:fldChar w:fldCharType="end"/>
      </w:r>
    </w:p>
    <w:p w14:paraId="5F59BA8C">
      <w:pPr>
        <w:pStyle w:val="98"/>
        <w:spacing w:before="0" w:after="0" w:line="288" w:lineRule="auto"/>
        <w:ind w:left="0" w:firstLine="0"/>
        <w:contextualSpacing/>
        <w:rPr>
          <w:rFonts w:ascii="Times New Roman" w:hAnsi="Times New Roman" w:cs="Times New Roman"/>
          <w:sz w:val="24"/>
          <w:szCs w:val="24"/>
        </w:rPr>
      </w:pPr>
    </w:p>
    <w:p w14:paraId="10567430">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9.1.19 Cumprir, além dos postulados legais vigentes de âmbito federal, estadual ou municipal, as normas de segurança do </w:t>
      </w:r>
      <w:r>
        <w:rPr>
          <w:rFonts w:ascii="Times New Roman" w:hAnsi="Times New Roman" w:cs="Times New Roman"/>
          <w:b/>
          <w:bCs/>
          <w:sz w:val="24"/>
          <w:szCs w:val="24"/>
        </w:rPr>
        <w:t>CONTRATANTE</w:t>
      </w:r>
      <w:r>
        <w:rPr>
          <w:rFonts w:ascii="Times New Roman" w:hAnsi="Times New Roman" w:cs="Times New Roman"/>
          <w:sz w:val="24"/>
          <w:szCs w:val="24"/>
        </w:rPr>
        <w:t>.</w:t>
      </w:r>
    </w:p>
    <w:p w14:paraId="5FB41B6B">
      <w:pPr>
        <w:pStyle w:val="98"/>
        <w:spacing w:before="0" w:after="0" w:line="288" w:lineRule="auto"/>
        <w:ind w:left="0" w:firstLine="0"/>
        <w:contextualSpacing/>
        <w:rPr>
          <w:rFonts w:ascii="Times New Roman" w:hAnsi="Times New Roman" w:cs="Times New Roman"/>
          <w:sz w:val="24"/>
          <w:szCs w:val="24"/>
        </w:rPr>
      </w:pPr>
    </w:p>
    <w:p w14:paraId="1B8CCABD">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9.1.20 Prestar esclarecimentos ou informações solicitadas pelo </w:t>
      </w:r>
      <w:r>
        <w:rPr>
          <w:rFonts w:ascii="Times New Roman" w:hAnsi="Times New Roman" w:cs="Times New Roman"/>
          <w:b/>
          <w:bCs/>
          <w:sz w:val="24"/>
          <w:szCs w:val="24"/>
        </w:rPr>
        <w:t>CONTRATANTE</w:t>
      </w:r>
      <w:r>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34A7999">
      <w:pPr>
        <w:pStyle w:val="98"/>
        <w:spacing w:before="0" w:after="0" w:line="288" w:lineRule="auto"/>
        <w:ind w:left="0" w:firstLine="0"/>
        <w:contextualSpacing/>
        <w:rPr>
          <w:rFonts w:ascii="Times New Roman" w:hAnsi="Times New Roman" w:cs="Times New Roman"/>
          <w:sz w:val="24"/>
          <w:szCs w:val="24"/>
        </w:rPr>
      </w:pPr>
    </w:p>
    <w:p w14:paraId="5B279A41">
      <w:pPr>
        <w:pStyle w:val="98"/>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9.1.21 </w:t>
      </w:r>
      <w:bookmarkStart w:id="42" w:name="_Hlk175228415"/>
      <w:r>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95587E2">
      <w:pPr>
        <w:pStyle w:val="98"/>
        <w:spacing w:before="0" w:after="0" w:line="288" w:lineRule="auto"/>
        <w:ind w:left="0" w:firstLine="0"/>
        <w:contextualSpacing/>
        <w:rPr>
          <w:rFonts w:ascii="Times New Roman" w:hAnsi="Times New Roman" w:eastAsia="Calibri" w:cs="Times New Roman"/>
          <w:color w:val="auto"/>
          <w:sz w:val="24"/>
          <w:szCs w:val="24"/>
          <w:lang w:eastAsia="en-US"/>
        </w:rPr>
      </w:pPr>
    </w:p>
    <w:p w14:paraId="014AB289">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color w:val="auto"/>
          <w:sz w:val="24"/>
          <w:szCs w:val="24"/>
          <w:lang w:eastAsia="en-US"/>
        </w:rPr>
        <w:t xml:space="preserve">9.1.21.1 Caso o </w:t>
      </w:r>
      <w:r>
        <w:rPr>
          <w:rFonts w:ascii="Times New Roman" w:hAnsi="Times New Roman" w:eastAsia="Calibri" w:cs="Times New Roman"/>
          <w:b/>
          <w:bCs/>
          <w:color w:val="auto"/>
          <w:sz w:val="24"/>
          <w:szCs w:val="24"/>
          <w:lang w:eastAsia="en-US"/>
        </w:rPr>
        <w:t>CONTRATADO</w:t>
      </w:r>
      <w:r>
        <w:rPr>
          <w:rFonts w:ascii="Times New Roman" w:hAnsi="Times New Roman" w:eastAsia="Calibri"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Pr>
          <w:rFonts w:ascii="Times New Roman" w:hAnsi="Times New Roman" w:cs="Times New Roman"/>
          <w:color w:val="auto"/>
          <w:sz w:val="24"/>
          <w:szCs w:val="24"/>
        </w:rPr>
        <w:t>na forma da legislação vigente.</w:t>
      </w:r>
    </w:p>
    <w:bookmarkEnd w:id="42"/>
    <w:p w14:paraId="29AFE58C">
      <w:pPr>
        <w:spacing w:line="288" w:lineRule="auto"/>
        <w:contextualSpacing/>
        <w:jc w:val="both"/>
        <w:rPr>
          <w:sz w:val="24"/>
          <w:szCs w:val="24"/>
        </w:rPr>
      </w:pPr>
    </w:p>
    <w:p w14:paraId="5C05F30B">
      <w:pPr>
        <w:spacing w:line="288" w:lineRule="auto"/>
        <w:contextualSpacing/>
        <w:jc w:val="both"/>
        <w:rPr>
          <w:sz w:val="24"/>
          <w:szCs w:val="24"/>
        </w:rPr>
      </w:pPr>
      <w:r>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6B49C167">
      <w:pPr>
        <w:spacing w:line="288" w:lineRule="auto"/>
        <w:contextualSpacing/>
        <w:jc w:val="both"/>
        <w:rPr>
          <w:sz w:val="24"/>
          <w:szCs w:val="24"/>
        </w:rPr>
      </w:pPr>
    </w:p>
    <w:p w14:paraId="078D6AD5">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DÉCIMA – GARANTIA DE EXECUÇÃO</w:t>
      </w:r>
    </w:p>
    <w:p w14:paraId="57481BC2">
      <w:pPr>
        <w:spacing w:line="288" w:lineRule="auto"/>
        <w:contextualSpacing/>
        <w:jc w:val="both"/>
        <w:rPr>
          <w:sz w:val="24"/>
          <w:szCs w:val="24"/>
        </w:rPr>
      </w:pPr>
    </w:p>
    <w:p w14:paraId="045DCC0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O Contrato conta com garantia de execução, nos moldes do </w:t>
      </w:r>
      <w:r>
        <w:fldChar w:fldCharType="begin"/>
      </w:r>
      <w:r>
        <w:instrText xml:space="preserve"> HYPERLINK "http://www.planalto.gov.br/ccivil_03/_ato2019-2022/2021/lei/L14133.htm" \l "art96" </w:instrText>
      </w:r>
      <w:r>
        <w:fldChar w:fldCharType="separate"/>
      </w:r>
      <w:r>
        <w:rPr>
          <w:rStyle w:val="16"/>
          <w:rFonts w:eastAsiaTheme="minorHAnsi"/>
          <w:color w:val="000000" w:themeColor="text1"/>
          <w:sz w:val="24"/>
          <w:szCs w:val="24"/>
          <w14:textFill>
            <w14:solidFill>
              <w14:schemeClr w14:val="tx1"/>
            </w14:solidFill>
          </w14:textFill>
        </w:rPr>
        <w:t>artigo 96 da Lei nº 14.133</w:t>
      </w:r>
      <w:r>
        <w:rPr>
          <w:rStyle w:val="16"/>
          <w:rFonts w:eastAsiaTheme="minorHAnsi"/>
          <w:color w:val="000000" w:themeColor="text1"/>
          <w:sz w:val="24"/>
          <w:szCs w:val="24"/>
          <w14:textFill>
            <w14:solidFill>
              <w14:schemeClr w14:val="tx1"/>
            </w14:solidFill>
          </w14:textFill>
        </w:rPr>
        <w:fldChar w:fldCharType="end"/>
      </w:r>
      <w:r>
        <w:rPr>
          <w:rStyle w:val="16"/>
          <w:rFonts w:eastAsiaTheme="minorHAnsi"/>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2021, correspondente a 5 % (cinco) de seu valor inicial/anual.</w:t>
      </w:r>
    </w:p>
    <w:p w14:paraId="1D68E743">
      <w:pPr>
        <w:pStyle w:val="102"/>
        <w:spacing w:before="288" w:beforeLines="120" w:after="288" w:afterLines="120" w:line="288" w:lineRule="auto"/>
        <w:ind w:left="0" w:right="849"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10.1.1 Na forma do art. 101 da Lei nº 14.133/2021, nos casos de contratos que impliquem a entrega de bens pela Administração, dos quais o </w:t>
      </w:r>
      <w:r>
        <w:rPr>
          <w:rFonts w:ascii="Times New Roman" w:hAnsi="Times New Roman" w:cs="Times New Roman"/>
          <w:b/>
          <w:bCs/>
          <w:color w:val="000000" w:themeColor="text1"/>
          <w:sz w:val="24"/>
          <w:szCs w:val="24"/>
          <w14:textFill>
            <w14:solidFill>
              <w14:schemeClr w14:val="tx1"/>
            </w14:solidFill>
          </w14:textFill>
        </w:rPr>
        <w:t>CONTRATADO</w:t>
      </w:r>
      <w:r>
        <w:rPr>
          <w:rFonts w:ascii="Times New Roman" w:hAnsi="Times New Roman" w:cs="Times New Roman"/>
          <w:color w:val="000000" w:themeColor="text1"/>
          <w:sz w:val="24"/>
          <w:szCs w:val="24"/>
          <w14:textFill>
            <w14:solidFill>
              <w14:schemeClr w14:val="tx1"/>
            </w14:solidFill>
          </w14:textFill>
        </w:rPr>
        <w:t xml:space="preserve"> ficará depositário, o valor desses bens deverá ser acrescido ao valor da garantia.</w:t>
      </w:r>
    </w:p>
    <w:p w14:paraId="5C7CAA17">
      <w:pPr>
        <w:pStyle w:val="107"/>
        <w:numPr>
          <w:ilvl w:val="0"/>
          <w:numId w:val="0"/>
        </w:numPr>
        <w:spacing w:after="288" w:afterLines="120" w:line="288" w:lineRule="auto"/>
        <w:ind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poderá optar pelas seguintes modalidades de garantia:</w:t>
      </w:r>
    </w:p>
    <w:p w14:paraId="35960966">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w:t>
      </w:r>
    </w:p>
    <w:p w14:paraId="57F36E1D">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seguro-garantia; </w:t>
      </w:r>
    </w:p>
    <w:p w14:paraId="30D42321">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w:t>
      </w:r>
    </w:p>
    <w:p w14:paraId="55548599">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w:t>
      </w:r>
    </w:p>
    <w:p w14:paraId="26962BE7">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A1F1747">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 Qualquer que seja a modalidade escolhida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 garantia assegurará o pagamento de: </w:t>
      </w:r>
    </w:p>
    <w:p w14:paraId="45CD013E">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4B58A6D">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10.3.1 prejuízos advindos do não cumprimento do objeto do Contrato e do não adimplemento das demais obrigações neste previstas;</w:t>
      </w:r>
    </w:p>
    <w:p w14:paraId="238C6ED0">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D83D4AA">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10.3.2 multas moratórias, compensatórias e administrativas aplicadas pela Administração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e</w:t>
      </w:r>
    </w:p>
    <w:p w14:paraId="258252F4">
      <w:pPr>
        <w:pStyle w:val="107"/>
        <w:numPr>
          <w:ilvl w:val="0"/>
          <w:numId w:val="0"/>
        </w:numPr>
        <w:spacing w:after="288" w:afterLines="120" w:line="288" w:lineRule="auto"/>
        <w:ind w:left="567" w:right="565"/>
        <w:contextualSpacing/>
        <w:rPr>
          <w:rFonts w:ascii="Times New Roman" w:hAnsi="Times New Roman" w:cs="Times New Roman"/>
          <w:bCs/>
          <w:i w:val="0"/>
          <w:iCs w:val="0"/>
          <w:color w:val="000000" w:themeColor="text1"/>
          <w:sz w:val="24"/>
          <w:szCs w:val="24"/>
          <w14:textFill>
            <w14:solidFill>
              <w14:schemeClr w14:val="tx1"/>
            </w14:solidFill>
          </w14:textFill>
        </w:rPr>
      </w:pPr>
    </w:p>
    <w:p w14:paraId="13B52246">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bCs/>
          <w:i w:val="0"/>
          <w:iCs w:val="0"/>
          <w:color w:val="000000" w:themeColor="text1"/>
          <w:sz w:val="24"/>
          <w:szCs w:val="24"/>
          <w14:textFill>
            <w14:solidFill>
              <w14:schemeClr w14:val="tx1"/>
            </w14:solidFill>
          </w14:textFill>
        </w:rPr>
        <w:t xml:space="preserve">10.3.3 obrigações trabalhistas e   previdenciárias de </w:t>
      </w:r>
      <w:r>
        <w:rPr>
          <w:rFonts w:ascii="Times New Roman" w:hAnsi="Times New Roman" w:cs="Times New Roman"/>
          <w:i w:val="0"/>
          <w:iCs w:val="0"/>
          <w:color w:val="000000" w:themeColor="text1"/>
          <w:sz w:val="24"/>
          <w:szCs w:val="24"/>
          <w14:textFill>
            <w14:solidFill>
              <w14:schemeClr w14:val="tx1"/>
            </w14:solidFill>
          </w14:textFill>
        </w:rPr>
        <w:t xml:space="preserve">qualquer natureza, assim como as obrigações de regularidade perante o FGTS, não adimplidas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quando couber.</w:t>
      </w:r>
    </w:p>
    <w:p w14:paraId="26F0A3C9">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8C80D04">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10.4</w:t>
      </w:r>
      <w:r>
        <w:rPr>
          <w:rStyle w:val="116"/>
          <w:rFonts w:ascii="Times New Roman" w:hAnsi="Times New Roman" w:cs="Times New Roman"/>
          <w:i w:val="0"/>
          <w:iCs w:val="0"/>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A garantia, qualquer que seja a modalidade escolhida, terá validade durante a vigência do Contrato e por mais 90 (noventa) dias após o término deste prazo de vigência.</w:t>
      </w:r>
    </w:p>
    <w:p w14:paraId="2DA838BB">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9953587">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Na hipótese de suspensão do Contrato por ordem ou inadimplemento da Administração,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ficará desobrigado de renovar a garantia ou de endossar a apólice de seguro até a ordem de reinício da execução ou o adimplemento pela Administração.</w:t>
      </w:r>
    </w:p>
    <w:p w14:paraId="5C333C7B">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34A41C9E">
      <w:pPr>
        <w:pStyle w:val="107"/>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Ressalvada a hipótese de seguro-garantia, cuja apresentação deve ser anterior à assinatura do Contrato,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apresentará, no prazo máximo de 10 (dez) dias úteis, prorrogáveis por igual período, a critério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contado da assinatura do Contrato, o comprovante de prestação de garantia, na forma do item 10.2.</w:t>
      </w:r>
    </w:p>
    <w:p w14:paraId="16EA9C6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 Caso oferecida a modalidade de seguro-garantia, observar-se-ão as seguintes condições:</w:t>
      </w:r>
    </w:p>
    <w:p w14:paraId="417E4447">
      <w:pPr>
        <w:spacing w:line="288" w:lineRule="auto"/>
        <w:ind w:left="567" w:right="565"/>
        <w:contextualSpacing/>
        <w:jc w:val="both"/>
        <w:rPr>
          <w:color w:val="000000" w:themeColor="text1"/>
          <w:sz w:val="24"/>
          <w:szCs w:val="24"/>
          <w14:textFill>
            <w14:solidFill>
              <w14:schemeClr w14:val="tx1"/>
            </w14:solidFill>
          </w14:textFill>
        </w:rPr>
      </w:pPr>
    </w:p>
    <w:p w14:paraId="240E281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10.7.1 a apólice permanecerá em vigor mesmo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pague o prêmio nas datas convencionadas;</w:t>
      </w:r>
    </w:p>
    <w:p w14:paraId="4E25D5F2">
      <w:pPr>
        <w:spacing w:line="288" w:lineRule="auto"/>
        <w:ind w:left="567" w:right="565"/>
        <w:contextualSpacing/>
        <w:jc w:val="both"/>
        <w:rPr>
          <w:color w:val="000000" w:themeColor="text1"/>
          <w:sz w:val="24"/>
          <w:szCs w:val="24"/>
          <w14:textFill>
            <w14:solidFill>
              <w14:schemeClr w14:val="tx1"/>
            </w14:solidFill>
          </w14:textFill>
        </w:rPr>
      </w:pPr>
    </w:p>
    <w:p w14:paraId="1C8D96F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10.7.2 a apólice deverá acompanhar as modificações referentes à vigência do Contrato principal, mediante a emissão do respectivo endosso pela seguradora;</w:t>
      </w:r>
    </w:p>
    <w:p w14:paraId="7EE4FA02">
      <w:pPr>
        <w:spacing w:line="288" w:lineRule="auto"/>
        <w:ind w:left="567" w:right="565"/>
        <w:contextualSpacing/>
        <w:jc w:val="both"/>
        <w:rPr>
          <w:color w:val="000000" w:themeColor="text1"/>
          <w:sz w:val="24"/>
          <w:szCs w:val="24"/>
          <w14:textFill>
            <w14:solidFill>
              <w14:schemeClr w14:val="tx1"/>
            </w14:solidFill>
          </w14:textFill>
        </w:rPr>
      </w:pPr>
    </w:p>
    <w:p w14:paraId="31582A1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10.7.3 será permitida a substituição da apólice na data de renovação ou de aniversário, desde que mantidas as condições e coberturas da apólice vigente e nenhum período fique descoberto, ressalvado o disposto no item 10.5 deste Contrato; e</w:t>
      </w:r>
    </w:p>
    <w:p w14:paraId="1E53AEDE">
      <w:pPr>
        <w:spacing w:line="288" w:lineRule="auto"/>
        <w:ind w:left="567" w:right="565"/>
        <w:contextualSpacing/>
        <w:jc w:val="both"/>
        <w:rPr>
          <w:color w:val="000000" w:themeColor="text1"/>
          <w:sz w:val="24"/>
          <w:szCs w:val="24"/>
          <w14:textFill>
            <w14:solidFill>
              <w14:schemeClr w14:val="tx1"/>
            </w14:solidFill>
          </w14:textFill>
        </w:rPr>
      </w:pPr>
    </w:p>
    <w:p w14:paraId="0B682D74">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10.7.4 a apólice somente será aceita se contemplar todos os eventos indicados no item 10.3, observada a legislação que rege a matéria.</w:t>
      </w:r>
    </w:p>
    <w:p w14:paraId="36A47476">
      <w:pPr>
        <w:spacing w:line="288" w:lineRule="auto"/>
        <w:ind w:left="567" w:right="565"/>
        <w:contextualSpacing/>
        <w:jc w:val="both"/>
        <w:rPr>
          <w:color w:val="000000" w:themeColor="text1"/>
          <w:sz w:val="24"/>
          <w:szCs w:val="24"/>
          <w14:textFill>
            <w14:solidFill>
              <w14:schemeClr w14:val="tx1"/>
            </w14:solidFill>
          </w14:textFill>
        </w:rPr>
      </w:pPr>
    </w:p>
    <w:p w14:paraId="5E14AAF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59F05066">
      <w:pPr>
        <w:pStyle w:val="107"/>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3494480">
      <w:pPr>
        <w:pStyle w:val="107"/>
        <w:numPr>
          <w:ilvl w:val="0"/>
          <w:numId w:val="0"/>
        </w:numPr>
        <w:spacing w:before="0" w:after="288" w:afterLines="120" w:line="288" w:lineRule="auto"/>
        <w:ind w:left="567" w:right="565"/>
        <w:contextualSpacing/>
        <w:rPr>
          <w:rStyle w:val="16"/>
          <w:rFonts w:ascii="Times New Roman" w:hAnsi="Times New Roman" w:cs="Times New Roman" w:eastAsiaTheme="minorHAnsi"/>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instrText xml:space="preserve"> HYPERLINK "https://www.planalto.gov.br/ccivil_03/leis/2002/l10406compilada.htm" \l "art827" </w:instrText>
      </w:r>
      <w:r>
        <w:fldChar w:fldCharType="separate"/>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t>artigo 827 do Código Civil.</w:t>
      </w:r>
      <w:r>
        <w:rPr>
          <w:rStyle w:val="16"/>
          <w:rFonts w:ascii="Times New Roman" w:hAnsi="Times New Roman" w:cs="Times New Roman" w:eastAsiaTheme="minorHAnsi"/>
          <w:i w:val="0"/>
          <w:iCs w:val="0"/>
          <w:color w:val="000000" w:themeColor="text1"/>
          <w:sz w:val="24"/>
          <w:szCs w:val="24"/>
          <w14:textFill>
            <w14:solidFill>
              <w14:schemeClr w14:val="tx1"/>
            </w14:solidFill>
          </w14:textFill>
        </w:rPr>
        <w:fldChar w:fldCharType="end"/>
      </w:r>
    </w:p>
    <w:p w14:paraId="5CD5CE78">
      <w:pPr>
        <w:pStyle w:val="107"/>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5EC80F">
      <w:pPr>
        <w:pStyle w:val="107"/>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10.10 Caso a opção seja por garantia em dinheiro, deverá ser efetuada em favor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na conta corrente e agência  da instituição financeira contratada pelo Município a ser informada, cujo valor será corrigido monetariamente e restituído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na forma do item 10.16 deste Contrato.</w:t>
      </w:r>
    </w:p>
    <w:p w14:paraId="7C2DA197">
      <w:pPr>
        <w:pStyle w:val="107"/>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D9D1C42">
      <w:pPr>
        <w:pStyle w:val="107"/>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10.11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0F51FA4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 A inobservância do prazo fixado para apresentação, reposição, suplementação ou renovação da garantia acarretará a aplicação de multa e/ou outras penalidades, na forma disposta na cláusula décima segunda. </w:t>
      </w:r>
    </w:p>
    <w:p w14:paraId="56FC2C38">
      <w:pPr>
        <w:spacing w:line="288" w:lineRule="auto"/>
        <w:ind w:left="567" w:right="565"/>
        <w:contextualSpacing/>
        <w:jc w:val="both"/>
        <w:rPr>
          <w:color w:val="000000" w:themeColor="text1"/>
          <w:sz w:val="24"/>
          <w:szCs w:val="24"/>
          <w14:textFill>
            <w14:solidFill>
              <w14:schemeClr w14:val="tx1"/>
            </w14:solidFill>
          </w14:textFill>
        </w:rPr>
      </w:pPr>
    </w:p>
    <w:p w14:paraId="23394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10.12.1 O atraso superior a 25 (vinte e cinco) dias autoriza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a promover a rescisão do Contrato por descumprimento ou cumprimento irregular de suas cláusulas, com a aplicação das sanções cabíveis.</w:t>
      </w:r>
    </w:p>
    <w:p w14:paraId="68906B2E">
      <w:pPr>
        <w:spacing w:line="288" w:lineRule="auto"/>
        <w:ind w:left="567" w:right="565"/>
        <w:contextualSpacing/>
        <w:jc w:val="both"/>
        <w:rPr>
          <w:color w:val="000000" w:themeColor="text1"/>
          <w:sz w:val="24"/>
          <w:szCs w:val="24"/>
          <w14:textFill>
            <w14:solidFill>
              <w14:schemeClr w14:val="tx1"/>
            </w14:solidFill>
          </w14:textFill>
        </w:rPr>
      </w:pPr>
    </w:p>
    <w:p w14:paraId="076CAEB6">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10.13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executará a garantia na forma prevista na legislação que rege a matéria.</w:t>
      </w:r>
    </w:p>
    <w:p w14:paraId="6F773E47">
      <w:pPr>
        <w:spacing w:line="288" w:lineRule="auto"/>
        <w:ind w:left="567" w:right="565"/>
        <w:contextualSpacing/>
        <w:jc w:val="both"/>
        <w:rPr>
          <w:color w:val="000000" w:themeColor="text1"/>
          <w:sz w:val="24"/>
          <w:szCs w:val="24"/>
          <w14:textFill>
            <w14:solidFill>
              <w14:schemeClr w14:val="tx1"/>
            </w14:solidFill>
          </w14:textFill>
        </w:rPr>
      </w:pPr>
    </w:p>
    <w:p w14:paraId="4C9D128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 O emitente da garantia ofertada pelo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deverá ser notificado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quanto ao início de processo administrativo para apuração de descumprimento de cláusulas contratuais.</w:t>
      </w:r>
    </w:p>
    <w:p w14:paraId="40DD35F0">
      <w:pPr>
        <w:spacing w:line="288" w:lineRule="auto"/>
        <w:ind w:left="567" w:right="565"/>
        <w:contextualSpacing/>
        <w:jc w:val="both"/>
        <w:rPr>
          <w:color w:val="000000" w:themeColor="text1"/>
          <w:sz w:val="24"/>
          <w:szCs w:val="24"/>
          <w14:textFill>
            <w14:solidFill>
              <w14:schemeClr w14:val="tx1"/>
            </w14:solidFill>
          </w14:textFill>
        </w:rPr>
      </w:pPr>
    </w:p>
    <w:p w14:paraId="016B110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10.14.1 O garantidor não é parte para figurar em processo administrativo instaurado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com o objetivo de apurar prejuízos e/ou aplicar sanções ao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w:t>
      </w:r>
    </w:p>
    <w:p w14:paraId="037A09E6">
      <w:pPr>
        <w:spacing w:line="288" w:lineRule="auto"/>
        <w:ind w:left="567" w:right="565"/>
        <w:contextualSpacing/>
        <w:jc w:val="both"/>
        <w:rPr>
          <w:color w:val="000000" w:themeColor="text1"/>
          <w:sz w:val="24"/>
          <w:szCs w:val="24"/>
          <w14:textFill>
            <w14:solidFill>
              <w14:schemeClr w14:val="tx1"/>
            </w14:solidFill>
          </w14:textFill>
        </w:rPr>
      </w:pPr>
    </w:p>
    <w:p w14:paraId="7BDA7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83F069A">
      <w:pPr>
        <w:spacing w:line="288" w:lineRule="auto"/>
        <w:ind w:left="567" w:right="565"/>
        <w:contextualSpacing/>
        <w:jc w:val="both"/>
        <w:rPr>
          <w:color w:val="000000" w:themeColor="text1"/>
          <w:sz w:val="24"/>
          <w:szCs w:val="24"/>
          <w14:textFill>
            <w14:solidFill>
              <w14:schemeClr w14:val="tx1"/>
            </w14:solidFill>
          </w14:textFill>
        </w:rPr>
      </w:pPr>
    </w:p>
    <w:p w14:paraId="74ECF5D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10.16 Extinguir-se-á a garantia com a restituição da apólice, carta fiança, título da dívida pública ou autorização para a liberação da caução em dinheiro, atualizada monetariamente, acompanhada de declaração 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mediante termo circunstanciado,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cumpriu todas as cláusulas do Contrato.</w:t>
      </w:r>
    </w:p>
    <w:p w14:paraId="41A14121">
      <w:pPr>
        <w:spacing w:line="288" w:lineRule="auto"/>
        <w:ind w:left="567" w:right="565"/>
        <w:contextualSpacing/>
        <w:jc w:val="both"/>
        <w:rPr>
          <w:color w:val="000000" w:themeColor="text1"/>
          <w:sz w:val="24"/>
          <w:szCs w:val="24"/>
          <w14:textFill>
            <w14:solidFill>
              <w14:schemeClr w14:val="tx1"/>
            </w14:solidFill>
          </w14:textFill>
        </w:rPr>
      </w:pPr>
    </w:p>
    <w:p w14:paraId="624C760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10.16.1 A garantia somente será liberada ou restituída, após a fiel execução do Contrato ou pela sua extinção, por culpa exclusiva da Administração, ou quando assim convencionado, em se tratando de extinção consensual da contratação.</w:t>
      </w:r>
    </w:p>
    <w:p w14:paraId="2A5847EE">
      <w:pPr>
        <w:pStyle w:val="107"/>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7CC2C16">
      <w:pPr>
        <w:pStyle w:val="107"/>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10.17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autoriza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a reter, a qualquer tempo, a garantia, na forma prevista no Edital e neste Contrato.</w:t>
      </w:r>
    </w:p>
    <w:p w14:paraId="0EC40B6E">
      <w:pPr>
        <w:pStyle w:val="107"/>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F740B9">
      <w:pPr>
        <w:pStyle w:val="104"/>
        <w:numPr>
          <w:ilvl w:val="0"/>
          <w:numId w:val="0"/>
        </w:numPr>
        <w:spacing w:before="0"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DAS INFRAÇÕES ADMINISTRATIVAS E SANÇÕES </w:t>
      </w:r>
    </w:p>
    <w:p w14:paraId="557AB0CE">
      <w:pPr>
        <w:spacing w:line="288" w:lineRule="auto"/>
        <w:contextualSpacing/>
        <w:jc w:val="both"/>
        <w:rPr>
          <w:sz w:val="24"/>
          <w:szCs w:val="24"/>
        </w:rPr>
      </w:pPr>
    </w:p>
    <w:p w14:paraId="5EDDA022">
      <w:pPr>
        <w:spacing w:line="288" w:lineRule="auto"/>
        <w:contextualSpacing/>
        <w:jc w:val="both"/>
        <w:rPr>
          <w:color w:val="000000"/>
          <w:sz w:val="24"/>
          <w:szCs w:val="24"/>
        </w:rPr>
      </w:pPr>
      <w:r>
        <w:rPr>
          <w:color w:val="000000"/>
          <w:sz w:val="24"/>
          <w:szCs w:val="24"/>
        </w:rPr>
        <w:t xml:space="preserve">11.1 Constitui infração administrativa, a prática, pelo </w:t>
      </w:r>
      <w:r>
        <w:rPr>
          <w:b/>
          <w:bCs/>
          <w:color w:val="000000"/>
          <w:sz w:val="24"/>
          <w:szCs w:val="24"/>
        </w:rPr>
        <w:t>CONTRATADO</w:t>
      </w:r>
      <w:r>
        <w:rPr>
          <w:color w:val="000000"/>
          <w:sz w:val="24"/>
          <w:szCs w:val="24"/>
        </w:rPr>
        <w:t>, das seguintes condutas previstas no art. 155 da Lei nº 14.133/2021:</w:t>
      </w:r>
    </w:p>
    <w:p w14:paraId="77551542">
      <w:pPr>
        <w:spacing w:line="288" w:lineRule="auto"/>
        <w:contextualSpacing/>
        <w:jc w:val="both"/>
        <w:rPr>
          <w:color w:val="000000"/>
          <w:sz w:val="24"/>
          <w:szCs w:val="24"/>
        </w:rPr>
      </w:pPr>
    </w:p>
    <w:p w14:paraId="161D8E2C">
      <w:pPr>
        <w:spacing w:line="288" w:lineRule="auto"/>
        <w:contextualSpacing/>
        <w:jc w:val="both"/>
        <w:rPr>
          <w:sz w:val="24"/>
          <w:szCs w:val="24"/>
        </w:rPr>
      </w:pPr>
      <w:r>
        <w:rPr>
          <w:color w:val="000000"/>
          <w:sz w:val="24"/>
          <w:szCs w:val="24"/>
        </w:rPr>
        <w:t>11.1.1 dar causa à inexecução parcial do contrato</w:t>
      </w:r>
      <w:r>
        <w:rPr>
          <w:sz w:val="24"/>
          <w:szCs w:val="24"/>
        </w:rPr>
        <w:t>;</w:t>
      </w:r>
    </w:p>
    <w:p w14:paraId="06E3F7F1">
      <w:pPr>
        <w:spacing w:line="288" w:lineRule="auto"/>
        <w:contextualSpacing/>
        <w:jc w:val="both"/>
        <w:rPr>
          <w:sz w:val="24"/>
          <w:szCs w:val="24"/>
        </w:rPr>
      </w:pPr>
    </w:p>
    <w:p w14:paraId="72AB96BD">
      <w:pPr>
        <w:spacing w:line="288" w:lineRule="auto"/>
        <w:contextualSpacing/>
        <w:jc w:val="both"/>
        <w:rPr>
          <w:sz w:val="24"/>
          <w:szCs w:val="24"/>
        </w:rPr>
      </w:pPr>
      <w:r>
        <w:rPr>
          <w:sz w:val="24"/>
          <w:szCs w:val="24"/>
        </w:rPr>
        <w:t xml:space="preserve">11.1.2 </w:t>
      </w:r>
      <w:r>
        <w:rPr>
          <w:color w:val="000000"/>
          <w:sz w:val="24"/>
          <w:szCs w:val="24"/>
        </w:rPr>
        <w:t>dar causa à inexecução parcial do contrato que cause grave dano à Administração, ao funcionamento dos serviços públicos ou ao interesse coletivo;</w:t>
      </w:r>
    </w:p>
    <w:p w14:paraId="3BC2C7B9">
      <w:pPr>
        <w:spacing w:line="288" w:lineRule="auto"/>
        <w:contextualSpacing/>
        <w:jc w:val="both"/>
        <w:rPr>
          <w:color w:val="000000"/>
          <w:sz w:val="24"/>
          <w:szCs w:val="24"/>
        </w:rPr>
      </w:pPr>
    </w:p>
    <w:p w14:paraId="3A74CFCF">
      <w:pPr>
        <w:spacing w:line="288" w:lineRule="auto"/>
        <w:contextualSpacing/>
        <w:jc w:val="both"/>
        <w:rPr>
          <w:sz w:val="24"/>
          <w:szCs w:val="24"/>
        </w:rPr>
      </w:pPr>
      <w:r>
        <w:rPr>
          <w:color w:val="000000"/>
          <w:sz w:val="24"/>
          <w:szCs w:val="24"/>
        </w:rPr>
        <w:t>11.1.3 dar causa à inexecução total do contrato;</w:t>
      </w:r>
    </w:p>
    <w:p w14:paraId="2E551C9B">
      <w:pPr>
        <w:spacing w:line="288" w:lineRule="auto"/>
        <w:contextualSpacing/>
        <w:jc w:val="both"/>
        <w:rPr>
          <w:color w:val="000000"/>
          <w:sz w:val="24"/>
          <w:szCs w:val="24"/>
        </w:rPr>
      </w:pPr>
    </w:p>
    <w:p w14:paraId="12372913">
      <w:pPr>
        <w:spacing w:line="288" w:lineRule="auto"/>
        <w:contextualSpacing/>
        <w:jc w:val="both"/>
        <w:rPr>
          <w:sz w:val="24"/>
          <w:szCs w:val="24"/>
        </w:rPr>
      </w:pPr>
      <w:r>
        <w:rPr>
          <w:color w:val="000000"/>
          <w:sz w:val="24"/>
          <w:szCs w:val="24"/>
        </w:rPr>
        <w:t xml:space="preserve">11.1.4 deixar de entregar a documentação exigida para o certame ou não entregar qualquer documento que tenha sido solicitado pelo pregoeiro durante o certame; </w:t>
      </w:r>
    </w:p>
    <w:p w14:paraId="692F6B4F">
      <w:pPr>
        <w:spacing w:line="288" w:lineRule="auto"/>
        <w:contextualSpacing/>
        <w:jc w:val="both"/>
        <w:rPr>
          <w:color w:val="000000"/>
          <w:sz w:val="24"/>
          <w:szCs w:val="24"/>
        </w:rPr>
      </w:pPr>
    </w:p>
    <w:p w14:paraId="5B349262">
      <w:pPr>
        <w:spacing w:line="288" w:lineRule="auto"/>
        <w:contextualSpacing/>
        <w:jc w:val="both"/>
        <w:rPr>
          <w:color w:val="000000"/>
          <w:sz w:val="24"/>
          <w:szCs w:val="24"/>
        </w:rPr>
      </w:pPr>
      <w:r>
        <w:rPr>
          <w:color w:val="000000"/>
          <w:sz w:val="24"/>
          <w:szCs w:val="24"/>
        </w:rPr>
        <w:t>11.1.5 não manter a proposta, salvo em decorrência de fato superveniente devidamente justificado, em especial quando:</w:t>
      </w:r>
    </w:p>
    <w:p w14:paraId="0AE0ADE5">
      <w:pPr>
        <w:spacing w:line="288" w:lineRule="auto"/>
        <w:contextualSpacing/>
        <w:jc w:val="both"/>
        <w:rPr>
          <w:sz w:val="24"/>
          <w:szCs w:val="24"/>
        </w:rPr>
      </w:pPr>
    </w:p>
    <w:p w14:paraId="687BDA12">
      <w:pPr>
        <w:spacing w:line="288" w:lineRule="auto"/>
        <w:contextualSpacing/>
        <w:jc w:val="both"/>
        <w:rPr>
          <w:sz w:val="24"/>
          <w:szCs w:val="24"/>
        </w:rPr>
      </w:pPr>
      <w:r>
        <w:rPr>
          <w:sz w:val="24"/>
          <w:szCs w:val="24"/>
        </w:rPr>
        <w:t xml:space="preserve">11.1.5.1 não enviar a proposta adequada ao último lance ofertado ou após a negociação; </w:t>
      </w:r>
    </w:p>
    <w:p w14:paraId="7269C0FF">
      <w:pPr>
        <w:spacing w:line="288" w:lineRule="auto"/>
        <w:contextualSpacing/>
        <w:jc w:val="both"/>
        <w:rPr>
          <w:sz w:val="24"/>
          <w:szCs w:val="24"/>
        </w:rPr>
      </w:pPr>
    </w:p>
    <w:p w14:paraId="5E1DFC62">
      <w:pPr>
        <w:spacing w:line="288" w:lineRule="auto"/>
        <w:contextualSpacing/>
        <w:jc w:val="both"/>
        <w:rPr>
          <w:sz w:val="24"/>
          <w:szCs w:val="24"/>
        </w:rPr>
      </w:pPr>
      <w:r>
        <w:rPr>
          <w:sz w:val="24"/>
          <w:szCs w:val="24"/>
        </w:rPr>
        <w:t xml:space="preserve">11.1.5.2 recusar-se a enviar o detalhamento da proposta quando exigível; </w:t>
      </w:r>
    </w:p>
    <w:p w14:paraId="3F681E48">
      <w:pPr>
        <w:spacing w:line="288" w:lineRule="auto"/>
        <w:contextualSpacing/>
        <w:jc w:val="both"/>
        <w:rPr>
          <w:sz w:val="24"/>
          <w:szCs w:val="24"/>
        </w:rPr>
      </w:pPr>
    </w:p>
    <w:p w14:paraId="185E9277">
      <w:pPr>
        <w:spacing w:line="288" w:lineRule="auto"/>
        <w:contextualSpacing/>
        <w:jc w:val="both"/>
        <w:rPr>
          <w:sz w:val="24"/>
          <w:szCs w:val="24"/>
        </w:rPr>
      </w:pPr>
      <w:r>
        <w:rPr>
          <w:sz w:val="24"/>
          <w:szCs w:val="24"/>
        </w:rPr>
        <w:t xml:space="preserve">11.1.5.3 pedir para ser desclassificado quando encerrada a etapa competitiva; ou </w:t>
      </w:r>
    </w:p>
    <w:p w14:paraId="7F259EB1">
      <w:pPr>
        <w:spacing w:line="288" w:lineRule="auto"/>
        <w:contextualSpacing/>
        <w:jc w:val="both"/>
        <w:rPr>
          <w:sz w:val="24"/>
          <w:szCs w:val="24"/>
        </w:rPr>
      </w:pPr>
    </w:p>
    <w:p w14:paraId="6145E6BB">
      <w:pPr>
        <w:spacing w:line="288" w:lineRule="auto"/>
        <w:contextualSpacing/>
        <w:jc w:val="both"/>
        <w:rPr>
          <w:sz w:val="24"/>
          <w:szCs w:val="24"/>
        </w:rPr>
      </w:pPr>
      <w:r>
        <w:rPr>
          <w:sz w:val="24"/>
          <w:szCs w:val="24"/>
        </w:rPr>
        <w:t>11.1.5.4 deixar de apresentar amostra;</w:t>
      </w:r>
    </w:p>
    <w:p w14:paraId="51B18CA4">
      <w:pPr>
        <w:spacing w:line="288" w:lineRule="auto"/>
        <w:contextualSpacing/>
        <w:jc w:val="both"/>
        <w:rPr>
          <w:sz w:val="24"/>
          <w:szCs w:val="24"/>
        </w:rPr>
      </w:pPr>
    </w:p>
    <w:p w14:paraId="236D6152">
      <w:pPr>
        <w:spacing w:line="288" w:lineRule="auto"/>
        <w:contextualSpacing/>
        <w:jc w:val="both"/>
        <w:rPr>
          <w:sz w:val="24"/>
          <w:szCs w:val="24"/>
        </w:rPr>
      </w:pPr>
      <w:r>
        <w:rPr>
          <w:sz w:val="24"/>
          <w:szCs w:val="24"/>
        </w:rPr>
        <w:t xml:space="preserve">11.1.5.5 apresentar proposta ou amostra em desacordo com as especificações do instrumento convocatório; </w:t>
      </w:r>
    </w:p>
    <w:p w14:paraId="363B564A">
      <w:pPr>
        <w:spacing w:line="288" w:lineRule="auto"/>
        <w:contextualSpacing/>
        <w:jc w:val="both"/>
        <w:rPr>
          <w:color w:val="000000"/>
          <w:sz w:val="24"/>
          <w:szCs w:val="24"/>
        </w:rPr>
      </w:pPr>
    </w:p>
    <w:p w14:paraId="1D6A2402">
      <w:pPr>
        <w:spacing w:line="288" w:lineRule="auto"/>
        <w:contextualSpacing/>
        <w:jc w:val="both"/>
        <w:rPr>
          <w:color w:val="000000"/>
          <w:sz w:val="24"/>
          <w:szCs w:val="24"/>
        </w:rPr>
      </w:pPr>
      <w:r>
        <w:rPr>
          <w:color w:val="000000"/>
          <w:sz w:val="24"/>
          <w:szCs w:val="24"/>
        </w:rPr>
        <w:t>11.1.6 não celebrar o contrato ou não entregar a documentação exigida para a contratação, quando convocado dentro do prazo de validade de sua proposta;</w:t>
      </w:r>
    </w:p>
    <w:p w14:paraId="0BF43360">
      <w:pPr>
        <w:spacing w:line="288" w:lineRule="auto"/>
        <w:contextualSpacing/>
        <w:jc w:val="both"/>
        <w:rPr>
          <w:sz w:val="24"/>
          <w:szCs w:val="24"/>
        </w:rPr>
      </w:pPr>
    </w:p>
    <w:p w14:paraId="3263AAC4">
      <w:pPr>
        <w:spacing w:line="288" w:lineRule="auto"/>
        <w:contextualSpacing/>
        <w:jc w:val="both"/>
        <w:rPr>
          <w:sz w:val="24"/>
          <w:szCs w:val="24"/>
        </w:rPr>
      </w:pPr>
      <w:r>
        <w:rPr>
          <w:sz w:val="24"/>
          <w:szCs w:val="24"/>
        </w:rPr>
        <w:t>11.1.6.1 recusar-se, sem justificativa, a assinar o contrato ou a ata de registro de preço, ou a aceitar ou retirar o instrumento equivalente no prazo estabelecido pela Administração;</w:t>
      </w:r>
    </w:p>
    <w:p w14:paraId="349AE038">
      <w:pPr>
        <w:spacing w:line="288" w:lineRule="auto"/>
        <w:contextualSpacing/>
        <w:jc w:val="both"/>
        <w:rPr>
          <w:color w:val="000000"/>
          <w:sz w:val="24"/>
          <w:szCs w:val="24"/>
        </w:rPr>
      </w:pPr>
    </w:p>
    <w:p w14:paraId="349894F8">
      <w:pPr>
        <w:spacing w:line="288" w:lineRule="auto"/>
        <w:contextualSpacing/>
        <w:jc w:val="both"/>
        <w:rPr>
          <w:color w:val="000000"/>
          <w:sz w:val="24"/>
          <w:szCs w:val="24"/>
        </w:rPr>
      </w:pPr>
      <w:r>
        <w:rPr>
          <w:color w:val="000000"/>
          <w:sz w:val="24"/>
          <w:szCs w:val="24"/>
        </w:rPr>
        <w:t>11.1.7 ensejar o retardamento da execução ou da entrega do objeto da contratação sem motivo justificado;</w:t>
      </w:r>
    </w:p>
    <w:p w14:paraId="5C97B2A7">
      <w:pPr>
        <w:spacing w:line="288" w:lineRule="auto"/>
        <w:contextualSpacing/>
        <w:jc w:val="both"/>
        <w:rPr>
          <w:color w:val="000000"/>
          <w:sz w:val="24"/>
          <w:szCs w:val="24"/>
        </w:rPr>
      </w:pPr>
    </w:p>
    <w:p w14:paraId="42AD923A">
      <w:pPr>
        <w:spacing w:line="288" w:lineRule="auto"/>
        <w:contextualSpacing/>
        <w:jc w:val="both"/>
        <w:rPr>
          <w:color w:val="000000"/>
          <w:sz w:val="24"/>
          <w:szCs w:val="24"/>
        </w:rPr>
      </w:pPr>
      <w:r>
        <w:rPr>
          <w:color w:val="000000"/>
          <w:sz w:val="24"/>
          <w:szCs w:val="24"/>
        </w:rPr>
        <w:t>11.1.8 apresentar declaração ou documentação falsa exigida para o certame ou prestar declaração falsa durante o certame ou a execução do contrato;</w:t>
      </w:r>
    </w:p>
    <w:p w14:paraId="17CF8195">
      <w:pPr>
        <w:spacing w:line="288" w:lineRule="auto"/>
        <w:contextualSpacing/>
        <w:jc w:val="both"/>
        <w:rPr>
          <w:color w:val="000000"/>
          <w:sz w:val="24"/>
          <w:szCs w:val="24"/>
        </w:rPr>
      </w:pPr>
    </w:p>
    <w:p w14:paraId="0EAAE1B0">
      <w:pPr>
        <w:spacing w:line="288" w:lineRule="auto"/>
        <w:contextualSpacing/>
        <w:jc w:val="both"/>
        <w:rPr>
          <w:color w:val="000000"/>
          <w:sz w:val="24"/>
          <w:szCs w:val="24"/>
        </w:rPr>
      </w:pPr>
      <w:r>
        <w:rPr>
          <w:color w:val="000000"/>
          <w:sz w:val="24"/>
          <w:szCs w:val="24"/>
        </w:rPr>
        <w:t>11.1.9 fraudar o certame ou praticar ato fraudulento na execução do contrato;</w:t>
      </w:r>
    </w:p>
    <w:p w14:paraId="4CA0C506">
      <w:pPr>
        <w:spacing w:line="288" w:lineRule="auto"/>
        <w:contextualSpacing/>
        <w:jc w:val="both"/>
        <w:rPr>
          <w:color w:val="000000"/>
          <w:sz w:val="24"/>
          <w:szCs w:val="24"/>
        </w:rPr>
      </w:pPr>
    </w:p>
    <w:p w14:paraId="4EB357D6">
      <w:pPr>
        <w:spacing w:line="288" w:lineRule="auto"/>
        <w:contextualSpacing/>
        <w:jc w:val="both"/>
        <w:rPr>
          <w:color w:val="000000"/>
          <w:sz w:val="24"/>
          <w:szCs w:val="24"/>
        </w:rPr>
      </w:pPr>
      <w:r>
        <w:rPr>
          <w:color w:val="000000"/>
          <w:sz w:val="24"/>
          <w:szCs w:val="24"/>
        </w:rPr>
        <w:t>11.1.10 comportar-se de modo inidôneo ou cometer fraude de qualquer natureza, em especial quando:</w:t>
      </w:r>
    </w:p>
    <w:p w14:paraId="513D92B8">
      <w:pPr>
        <w:spacing w:line="288" w:lineRule="auto"/>
        <w:contextualSpacing/>
        <w:jc w:val="both"/>
        <w:rPr>
          <w:sz w:val="24"/>
          <w:szCs w:val="24"/>
        </w:rPr>
      </w:pPr>
    </w:p>
    <w:p w14:paraId="42327EDA">
      <w:pPr>
        <w:spacing w:line="288" w:lineRule="auto"/>
        <w:contextualSpacing/>
        <w:jc w:val="both"/>
        <w:rPr>
          <w:sz w:val="24"/>
          <w:szCs w:val="24"/>
        </w:rPr>
      </w:pPr>
      <w:r>
        <w:rPr>
          <w:sz w:val="24"/>
          <w:szCs w:val="24"/>
        </w:rPr>
        <w:t xml:space="preserve">11.1.10.1 agir em conluio ou em desconformidade com a lei; </w:t>
      </w:r>
    </w:p>
    <w:p w14:paraId="26393B27">
      <w:pPr>
        <w:spacing w:line="288" w:lineRule="auto"/>
        <w:contextualSpacing/>
        <w:jc w:val="both"/>
        <w:rPr>
          <w:sz w:val="24"/>
          <w:szCs w:val="24"/>
        </w:rPr>
      </w:pPr>
    </w:p>
    <w:p w14:paraId="7C9F055B">
      <w:pPr>
        <w:spacing w:line="288" w:lineRule="auto"/>
        <w:contextualSpacing/>
        <w:jc w:val="both"/>
        <w:rPr>
          <w:sz w:val="24"/>
          <w:szCs w:val="24"/>
        </w:rPr>
      </w:pPr>
      <w:r>
        <w:rPr>
          <w:sz w:val="24"/>
          <w:szCs w:val="24"/>
        </w:rPr>
        <w:t xml:space="preserve">11.1.10.2 induzir deliberadamente a erro no julgamento; </w:t>
      </w:r>
    </w:p>
    <w:p w14:paraId="7B9D6B1E">
      <w:pPr>
        <w:spacing w:line="288" w:lineRule="auto"/>
        <w:contextualSpacing/>
        <w:jc w:val="both"/>
        <w:rPr>
          <w:sz w:val="24"/>
          <w:szCs w:val="24"/>
        </w:rPr>
      </w:pPr>
    </w:p>
    <w:p w14:paraId="61234FDD">
      <w:pPr>
        <w:spacing w:line="288" w:lineRule="auto"/>
        <w:contextualSpacing/>
        <w:jc w:val="both"/>
        <w:rPr>
          <w:sz w:val="24"/>
          <w:szCs w:val="24"/>
        </w:rPr>
      </w:pPr>
      <w:r>
        <w:rPr>
          <w:sz w:val="24"/>
          <w:szCs w:val="24"/>
        </w:rPr>
        <w:t xml:space="preserve">11.1.10.3 apresentar amostra falsificada ou deteriorada; </w:t>
      </w:r>
    </w:p>
    <w:p w14:paraId="22BBB5C4">
      <w:pPr>
        <w:spacing w:line="288" w:lineRule="auto"/>
        <w:contextualSpacing/>
        <w:jc w:val="both"/>
        <w:rPr>
          <w:sz w:val="24"/>
          <w:szCs w:val="24"/>
        </w:rPr>
      </w:pPr>
    </w:p>
    <w:p w14:paraId="1638E9EF">
      <w:pPr>
        <w:spacing w:line="288" w:lineRule="auto"/>
        <w:contextualSpacing/>
        <w:jc w:val="both"/>
        <w:rPr>
          <w:sz w:val="24"/>
          <w:szCs w:val="24"/>
        </w:rPr>
      </w:pPr>
      <w:r>
        <w:rPr>
          <w:sz w:val="24"/>
          <w:szCs w:val="24"/>
        </w:rPr>
        <w:t xml:space="preserve">11.1.10.4 apresentar declaração falsa quanto às condições de participação ou quanto ao enquadramento como ME/EPP; </w:t>
      </w:r>
    </w:p>
    <w:p w14:paraId="2073457A">
      <w:pPr>
        <w:spacing w:line="288" w:lineRule="auto"/>
        <w:contextualSpacing/>
        <w:jc w:val="both"/>
        <w:rPr>
          <w:color w:val="000000"/>
          <w:sz w:val="24"/>
          <w:szCs w:val="24"/>
        </w:rPr>
      </w:pPr>
    </w:p>
    <w:p w14:paraId="013D1006">
      <w:pPr>
        <w:spacing w:line="288" w:lineRule="auto"/>
        <w:contextualSpacing/>
        <w:jc w:val="both"/>
        <w:rPr>
          <w:color w:val="000000"/>
          <w:sz w:val="24"/>
          <w:szCs w:val="24"/>
        </w:rPr>
      </w:pPr>
      <w:r>
        <w:rPr>
          <w:color w:val="000000"/>
          <w:sz w:val="24"/>
          <w:szCs w:val="24"/>
        </w:rPr>
        <w:t>11.1.11 praticar atos ilícitos com vistas a frustrar os objetivos do certame;</w:t>
      </w:r>
    </w:p>
    <w:p w14:paraId="1E9C5A39">
      <w:pPr>
        <w:spacing w:line="288" w:lineRule="auto"/>
        <w:contextualSpacing/>
        <w:jc w:val="both"/>
        <w:rPr>
          <w:color w:val="000000"/>
          <w:sz w:val="24"/>
          <w:szCs w:val="24"/>
        </w:rPr>
      </w:pPr>
    </w:p>
    <w:p w14:paraId="6F3DFE58">
      <w:pPr>
        <w:spacing w:line="288" w:lineRule="auto"/>
        <w:contextualSpacing/>
        <w:jc w:val="both"/>
        <w:rPr>
          <w:rStyle w:val="16"/>
          <w:rFonts w:eastAsiaTheme="minorHAnsi"/>
          <w:color w:val="000000"/>
          <w:sz w:val="24"/>
          <w:szCs w:val="24"/>
        </w:rPr>
      </w:pPr>
      <w:r>
        <w:rPr>
          <w:color w:val="000000"/>
          <w:sz w:val="24"/>
          <w:szCs w:val="24"/>
        </w:rPr>
        <w:t>11.1.12 praticar ato lesivo previsto no </w:t>
      </w:r>
      <w:r>
        <w:fldChar w:fldCharType="begin"/>
      </w:r>
      <w:r>
        <w:instrText xml:space="preserve"> HYPERLINK "http://www.planalto.gov.br/ccivil_03/_Ato2011-2014/2013/Lei/L12846.htm" \l "art5" </w:instrText>
      </w:r>
      <w:r>
        <w:fldChar w:fldCharType="separate"/>
      </w:r>
      <w:r>
        <w:rPr>
          <w:rStyle w:val="16"/>
          <w:rFonts w:eastAsiaTheme="minorHAnsi"/>
          <w:color w:val="000000"/>
          <w:sz w:val="24"/>
          <w:szCs w:val="24"/>
        </w:rPr>
        <w:t>art. 5º da Lei nº 12.846, de 1º de agosto de 2013.</w:t>
      </w:r>
      <w:r>
        <w:rPr>
          <w:rStyle w:val="16"/>
          <w:rFonts w:eastAsiaTheme="minorHAnsi"/>
          <w:color w:val="000000"/>
          <w:sz w:val="24"/>
          <w:szCs w:val="24"/>
        </w:rPr>
        <w:fldChar w:fldCharType="end"/>
      </w:r>
    </w:p>
    <w:p w14:paraId="38535FCE">
      <w:pPr>
        <w:spacing w:line="288" w:lineRule="auto"/>
        <w:contextualSpacing/>
        <w:jc w:val="both"/>
        <w:rPr>
          <w:sz w:val="24"/>
          <w:szCs w:val="24"/>
        </w:rPr>
      </w:pPr>
    </w:p>
    <w:p w14:paraId="718F3E5F">
      <w:pPr>
        <w:spacing w:line="288" w:lineRule="auto"/>
        <w:contextualSpacing/>
        <w:jc w:val="both"/>
        <w:rPr>
          <w:sz w:val="24"/>
          <w:szCs w:val="24"/>
        </w:rPr>
      </w:pPr>
      <w:r>
        <w:rPr>
          <w:sz w:val="24"/>
          <w:szCs w:val="24"/>
        </w:rPr>
        <w:t xml:space="preserve">11.2 O </w:t>
      </w:r>
      <w:r>
        <w:rPr>
          <w:b/>
          <w:bCs/>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1F58A8DE">
      <w:pPr>
        <w:spacing w:line="288" w:lineRule="auto"/>
        <w:contextualSpacing/>
        <w:jc w:val="both"/>
        <w:rPr>
          <w:sz w:val="24"/>
          <w:szCs w:val="24"/>
        </w:rPr>
      </w:pPr>
    </w:p>
    <w:p w14:paraId="275304EC">
      <w:pPr>
        <w:spacing w:line="288" w:lineRule="auto"/>
        <w:contextualSpacing/>
        <w:jc w:val="both"/>
        <w:rPr>
          <w:sz w:val="24"/>
          <w:szCs w:val="24"/>
        </w:rPr>
      </w:pPr>
      <w:r>
        <w:rPr>
          <w:sz w:val="24"/>
          <w:szCs w:val="24"/>
        </w:rPr>
        <w:t>11.2.1 Advertência, prevista no art. 156, I, § 2º, da Lei nº 14.133/2021, pela infração descrita no item 11.1.1, de menor potencial ofensivo, quando não se justificar a imposição de penalidade mais grave.</w:t>
      </w:r>
    </w:p>
    <w:p w14:paraId="36F09505">
      <w:pPr>
        <w:spacing w:line="288" w:lineRule="auto"/>
        <w:contextualSpacing/>
        <w:jc w:val="both"/>
        <w:rPr>
          <w:sz w:val="24"/>
          <w:szCs w:val="24"/>
        </w:rPr>
      </w:pPr>
    </w:p>
    <w:p w14:paraId="4691BF00">
      <w:pPr>
        <w:spacing w:line="288" w:lineRule="auto"/>
        <w:contextualSpacing/>
        <w:jc w:val="both"/>
        <w:rPr>
          <w:sz w:val="24"/>
          <w:szCs w:val="24"/>
        </w:rPr>
      </w:pPr>
      <w:r>
        <w:rPr>
          <w:sz w:val="24"/>
          <w:szCs w:val="24"/>
        </w:rPr>
        <w:t xml:space="preserve">11.2.2 Multa administrativa, prevista no art. 156, II, § 3º, da Lei nº 14.133/2021, pela infração dos subitens 11.1.1 a 11.1.12,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60594933">
      <w:pPr>
        <w:spacing w:line="288" w:lineRule="auto"/>
        <w:contextualSpacing/>
        <w:jc w:val="both"/>
        <w:rPr>
          <w:color w:val="000000" w:themeColor="text1"/>
          <w:sz w:val="24"/>
          <w:szCs w:val="24"/>
          <w14:textFill>
            <w14:solidFill>
              <w14:schemeClr w14:val="tx1"/>
            </w14:solidFill>
          </w14:textFill>
        </w:rPr>
      </w:pPr>
      <w:r>
        <w:rPr>
          <w:sz w:val="24"/>
          <w:szCs w:val="24"/>
        </w:rPr>
        <w:t xml:space="preserve">a) multa de 0,5% a 1,5%, nos casos da infração prevista </w:t>
      </w:r>
      <w:r>
        <w:rPr>
          <w:color w:val="000000" w:themeColor="text1"/>
          <w:sz w:val="24"/>
          <w:szCs w:val="24"/>
          <w14:textFill>
            <w14:solidFill>
              <w14:schemeClr w14:val="tx1"/>
            </w14:solidFill>
          </w14:textFill>
        </w:rPr>
        <w:t xml:space="preserve">no subitem 11.1.1, incidente sobre o valor anual do Contrato; </w:t>
      </w:r>
    </w:p>
    <w:p w14:paraId="5C5A2070">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 multa de 0,5% a 15%, nos casos das infrações previstas nos subitens 11.1.2 a 11.1.7, incidente sobre o valor anual do Contrato;</w:t>
      </w:r>
    </w:p>
    <w:p w14:paraId="089B4CA5">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c) multa de 5% a 30%, nos casos das infrações previstas nos subitens 11.1.8 a 11.1.12, incidente sobre o valor anual do Contrato;</w:t>
      </w:r>
    </w:p>
    <w:p w14:paraId="48D81541">
      <w:pPr>
        <w:spacing w:line="288" w:lineRule="auto"/>
        <w:contextualSpacing/>
        <w:jc w:val="both"/>
        <w:rPr>
          <w:color w:val="000000" w:themeColor="text1"/>
          <w:sz w:val="24"/>
          <w:szCs w:val="24"/>
          <w14:textFill>
            <w14:solidFill>
              <w14:schemeClr w14:val="tx1"/>
            </w14:solidFill>
          </w14:textFill>
        </w:rPr>
      </w:pPr>
    </w:p>
    <w:p w14:paraId="24B44B1D">
      <w:pPr>
        <w:spacing w:line="288" w:lineRule="auto"/>
        <w:contextualSpacing/>
        <w:jc w:val="both"/>
        <w:rPr>
          <w:sz w:val="24"/>
          <w:szCs w:val="24"/>
        </w:rPr>
      </w:pPr>
      <w:r>
        <w:rPr>
          <w:sz w:val="24"/>
          <w:szCs w:val="24"/>
        </w:rPr>
        <w:t>11.2.2.1 Na hipótese de a infração ser cometida antes da celebração do contrato, a base de cálculo da multa do item 11.2.2 será o valor anual estimado da contratação.</w:t>
      </w:r>
    </w:p>
    <w:p w14:paraId="33B24B9D">
      <w:pPr>
        <w:spacing w:line="288" w:lineRule="auto"/>
        <w:contextualSpacing/>
        <w:jc w:val="both"/>
        <w:rPr>
          <w:b/>
          <w:bCs/>
          <w:color w:val="FF0000"/>
          <w:sz w:val="24"/>
          <w:szCs w:val="24"/>
        </w:rPr>
      </w:pPr>
    </w:p>
    <w:p w14:paraId="5A0B82BA">
      <w:pPr>
        <w:spacing w:line="288" w:lineRule="auto"/>
        <w:contextualSpacing/>
        <w:jc w:val="both"/>
        <w:rPr>
          <w:sz w:val="24"/>
          <w:szCs w:val="24"/>
        </w:rPr>
      </w:pPr>
      <w:r>
        <w:rPr>
          <w:sz w:val="24"/>
          <w:szCs w:val="24"/>
        </w:rPr>
        <w:t>11.2.2.2    Em caso de reincidência, o valor total das multas administrativas aplicadas não poderá exceder o limite de 30% (trinta por cento) sobre o valor total do Contrato.</w:t>
      </w:r>
    </w:p>
    <w:p w14:paraId="06A2F85C">
      <w:pPr>
        <w:spacing w:line="288" w:lineRule="auto"/>
        <w:contextualSpacing/>
        <w:jc w:val="both"/>
        <w:rPr>
          <w:sz w:val="24"/>
          <w:szCs w:val="24"/>
        </w:rPr>
      </w:pPr>
    </w:p>
    <w:p w14:paraId="351E8C48">
      <w:pPr>
        <w:spacing w:line="288" w:lineRule="auto"/>
        <w:contextualSpacing/>
        <w:jc w:val="both"/>
        <w:rPr>
          <w:sz w:val="24"/>
          <w:szCs w:val="24"/>
        </w:rPr>
      </w:pPr>
      <w:r>
        <w:rPr>
          <w:sz w:val="24"/>
          <w:szCs w:val="24"/>
        </w:rPr>
        <w:t xml:space="preserve">11.2.2.3 Se a multa aplicada e as indenizações cabíveis forem superiores ao valor de pagamento eventualmente devido pela Administração ao </w:t>
      </w:r>
      <w:r>
        <w:rPr>
          <w:b/>
          <w:bCs/>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11.13.</w:t>
      </w:r>
    </w:p>
    <w:p w14:paraId="6FF87C19">
      <w:pPr>
        <w:spacing w:line="288" w:lineRule="auto"/>
        <w:contextualSpacing/>
        <w:jc w:val="both"/>
        <w:rPr>
          <w:sz w:val="24"/>
          <w:szCs w:val="24"/>
        </w:rPr>
      </w:pPr>
    </w:p>
    <w:p w14:paraId="2ABDB209">
      <w:pPr>
        <w:spacing w:line="288" w:lineRule="auto"/>
        <w:contextualSpacing/>
        <w:jc w:val="both"/>
        <w:rPr>
          <w:sz w:val="24"/>
          <w:szCs w:val="24"/>
        </w:rPr>
      </w:pPr>
      <w:r>
        <w:rPr>
          <w:sz w:val="24"/>
          <w:szCs w:val="24"/>
        </w:rPr>
        <w:t>11.2.2.4 A penalidade de multa pode ser aplicada cumulativamente com as demais sanções, na forma do art. 156, § 7º, da Lei nº 14.133/2021.</w:t>
      </w:r>
    </w:p>
    <w:p w14:paraId="4A63CCEC">
      <w:pPr>
        <w:spacing w:line="288" w:lineRule="auto"/>
        <w:contextualSpacing/>
        <w:jc w:val="both"/>
        <w:rPr>
          <w:color w:val="000000"/>
          <w:sz w:val="24"/>
          <w:szCs w:val="24"/>
        </w:rPr>
      </w:pPr>
    </w:p>
    <w:p w14:paraId="71B968C7">
      <w:pPr>
        <w:spacing w:line="288" w:lineRule="auto"/>
        <w:contextualSpacing/>
        <w:jc w:val="both"/>
        <w:rPr>
          <w:rFonts w:eastAsia="Arial"/>
          <w:color w:val="000000"/>
          <w:sz w:val="24"/>
          <w:szCs w:val="24"/>
        </w:rPr>
      </w:pPr>
      <w:r>
        <w:rPr>
          <w:color w:val="000000"/>
          <w:sz w:val="24"/>
          <w:szCs w:val="24"/>
        </w:rPr>
        <w:t xml:space="preserve">11.2.3 Impedimento de licitar e contratar, prevista no </w:t>
      </w:r>
      <w:r>
        <w:rPr>
          <w:sz w:val="24"/>
          <w:szCs w:val="24"/>
        </w:rPr>
        <w:t xml:space="preserve">art. 156, III, § 4º, da Lei nº 14.133/2021, </w:t>
      </w:r>
      <w:r>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70F57B79">
      <w:pPr>
        <w:spacing w:line="288" w:lineRule="auto"/>
        <w:contextualSpacing/>
        <w:jc w:val="both"/>
        <w:rPr>
          <w:color w:val="000000"/>
          <w:sz w:val="24"/>
          <w:szCs w:val="24"/>
        </w:rPr>
      </w:pPr>
    </w:p>
    <w:p w14:paraId="148EC16D">
      <w:pPr>
        <w:spacing w:line="288" w:lineRule="auto"/>
        <w:contextualSpacing/>
        <w:jc w:val="both"/>
        <w:rPr>
          <w:sz w:val="24"/>
          <w:szCs w:val="24"/>
        </w:rPr>
      </w:pPr>
      <w:r>
        <w:rPr>
          <w:color w:val="000000"/>
          <w:sz w:val="24"/>
          <w:szCs w:val="24"/>
        </w:rPr>
        <w:t>11.2.4 Declaração de inidoneidade para licitar ou contratar, prevista no a</w:t>
      </w:r>
      <w:r>
        <w:rPr>
          <w:rStyle w:val="117"/>
          <w:rFonts w:ascii="Times New Roman" w:hAnsi="Times New Roman" w:cs="Times New Roman"/>
          <w:sz w:val="24"/>
          <w:szCs w:val="24"/>
        </w:rPr>
        <w:t xml:space="preserve">rt. 156, IV, § 5º, da Lei nº 14.133/2021, </w:t>
      </w:r>
      <w:r>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439F3ECD">
      <w:pPr>
        <w:spacing w:line="288" w:lineRule="auto"/>
        <w:contextualSpacing/>
        <w:jc w:val="both"/>
        <w:rPr>
          <w:sz w:val="24"/>
          <w:szCs w:val="24"/>
        </w:rPr>
      </w:pPr>
    </w:p>
    <w:p w14:paraId="4F390DE5">
      <w:pPr>
        <w:spacing w:line="288" w:lineRule="auto"/>
        <w:contextualSpacing/>
        <w:jc w:val="both"/>
        <w:rPr>
          <w:sz w:val="24"/>
          <w:szCs w:val="24"/>
        </w:rPr>
      </w:pPr>
      <w:r>
        <w:rPr>
          <w:sz w:val="24"/>
          <w:szCs w:val="24"/>
        </w:rPr>
        <w:t xml:space="preserve">11.3 Sem prejuízo da multa administrativa prevista no art. 156, II, § 3º, da Lei nº 14.133/2021, o atraso injustificado no cumprimento das obrigações contratuais sujeitará o </w:t>
      </w:r>
      <w:r>
        <w:rPr>
          <w:b/>
          <w:bCs/>
          <w:color w:val="000000"/>
          <w:sz w:val="24"/>
          <w:szCs w:val="24"/>
        </w:rPr>
        <w:t>CONTRATADO</w:t>
      </w:r>
      <w:r>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AD6F8B6">
      <w:pPr>
        <w:spacing w:line="288" w:lineRule="auto"/>
        <w:contextualSpacing/>
        <w:jc w:val="both"/>
        <w:rPr>
          <w:sz w:val="24"/>
          <w:szCs w:val="24"/>
        </w:rPr>
      </w:pPr>
    </w:p>
    <w:p w14:paraId="041034E3">
      <w:pPr>
        <w:spacing w:line="288" w:lineRule="auto"/>
        <w:contextualSpacing/>
        <w:jc w:val="both"/>
        <w:rPr>
          <w:sz w:val="24"/>
          <w:szCs w:val="24"/>
        </w:rPr>
      </w:pPr>
      <w:r>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CC9A8FA">
      <w:pPr>
        <w:spacing w:line="288" w:lineRule="auto"/>
        <w:contextualSpacing/>
        <w:jc w:val="both"/>
        <w:rPr>
          <w:sz w:val="24"/>
          <w:szCs w:val="24"/>
        </w:rPr>
      </w:pPr>
    </w:p>
    <w:p w14:paraId="5F6467B8">
      <w:pPr>
        <w:spacing w:line="288" w:lineRule="auto"/>
        <w:contextualSpacing/>
        <w:jc w:val="both"/>
        <w:rPr>
          <w:sz w:val="24"/>
          <w:szCs w:val="24"/>
        </w:rPr>
      </w:pPr>
      <w:r>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29EBE313">
      <w:pPr>
        <w:spacing w:line="288" w:lineRule="auto"/>
        <w:contextualSpacing/>
        <w:jc w:val="both"/>
        <w:rPr>
          <w:sz w:val="24"/>
          <w:szCs w:val="24"/>
        </w:rPr>
      </w:pPr>
    </w:p>
    <w:p w14:paraId="59731296">
      <w:pPr>
        <w:spacing w:line="288" w:lineRule="auto"/>
        <w:contextualSpacing/>
        <w:jc w:val="both"/>
        <w:rPr>
          <w:sz w:val="24"/>
          <w:szCs w:val="24"/>
        </w:rPr>
      </w:pPr>
    </w:p>
    <w:p w14:paraId="2E9CF7A9">
      <w:pPr>
        <w:spacing w:line="288" w:lineRule="auto"/>
        <w:contextualSpacing/>
        <w:jc w:val="both"/>
        <w:rPr>
          <w:sz w:val="24"/>
          <w:szCs w:val="24"/>
        </w:rPr>
      </w:pPr>
      <w:r>
        <w:rPr>
          <w:sz w:val="24"/>
          <w:szCs w:val="24"/>
        </w:rPr>
        <w:t>11.3.3 A aplicação de multa de mora não impedirá que a Administração a converta em compensatória e promova a extinção unilateral do Contrato com a aplicação cumulada de outras sanções previstas neste Contrato.</w:t>
      </w:r>
    </w:p>
    <w:p w14:paraId="56D5C8D6">
      <w:pPr>
        <w:spacing w:line="288" w:lineRule="auto"/>
        <w:contextualSpacing/>
        <w:jc w:val="both"/>
        <w:rPr>
          <w:sz w:val="24"/>
          <w:szCs w:val="24"/>
        </w:rPr>
      </w:pPr>
    </w:p>
    <w:p w14:paraId="6286ADA8">
      <w:pPr>
        <w:spacing w:line="288" w:lineRule="auto"/>
        <w:contextualSpacing/>
        <w:jc w:val="both"/>
        <w:rPr>
          <w:sz w:val="24"/>
          <w:szCs w:val="24"/>
        </w:rPr>
      </w:pPr>
      <w:r>
        <w:rPr>
          <w:sz w:val="24"/>
          <w:szCs w:val="24"/>
        </w:rPr>
        <w:t>11.4 No caso de inexecução total ou parcial do objeto, que acarrete a rescisão do Contrato, será automaticamente devida multa compensatória no valor de 5</w:t>
      </w:r>
      <w:r>
        <w:rPr>
          <w:color w:val="FF0000"/>
          <w:sz w:val="24"/>
          <w:szCs w:val="24"/>
        </w:rPr>
        <w:t xml:space="preserve"> </w:t>
      </w:r>
      <w:r>
        <w:rPr>
          <w:sz w:val="24"/>
          <w:szCs w:val="24"/>
        </w:rPr>
        <w:t>% (cinco por cento)  do valor do Contrato.</w:t>
      </w:r>
    </w:p>
    <w:p w14:paraId="63C0DFCB">
      <w:pPr>
        <w:spacing w:line="288" w:lineRule="auto"/>
        <w:contextualSpacing/>
        <w:jc w:val="both"/>
        <w:rPr>
          <w:b/>
          <w:bCs/>
          <w:color w:val="FF0000"/>
          <w:sz w:val="24"/>
          <w:szCs w:val="24"/>
        </w:rPr>
      </w:pPr>
    </w:p>
    <w:p w14:paraId="79565FCF">
      <w:pPr>
        <w:spacing w:line="288" w:lineRule="auto"/>
        <w:contextualSpacing/>
        <w:jc w:val="both"/>
        <w:rPr>
          <w:sz w:val="24"/>
          <w:szCs w:val="24"/>
        </w:rPr>
      </w:pPr>
      <w:r>
        <w:rPr>
          <w:sz w:val="24"/>
          <w:szCs w:val="24"/>
        </w:rPr>
        <w:t>11.4.1 A multa compensatória, isoladamente aplicada ou quando somada ao valor da multa moratória convertida, não poderá exceder o limite previsto no art. 412 do Código Civil, ou seja, o valor da obrigação principal.</w:t>
      </w:r>
    </w:p>
    <w:p w14:paraId="01A68C14">
      <w:pPr>
        <w:spacing w:line="288" w:lineRule="auto"/>
        <w:contextualSpacing/>
        <w:jc w:val="both"/>
        <w:rPr>
          <w:sz w:val="24"/>
          <w:szCs w:val="24"/>
        </w:rPr>
      </w:pPr>
    </w:p>
    <w:p w14:paraId="6D5882C0">
      <w:pPr>
        <w:spacing w:line="288" w:lineRule="auto"/>
        <w:contextualSpacing/>
        <w:jc w:val="both"/>
        <w:rPr>
          <w:sz w:val="24"/>
          <w:szCs w:val="24"/>
        </w:rPr>
      </w:pPr>
      <w:r>
        <w:rPr>
          <w:sz w:val="24"/>
          <w:szCs w:val="24"/>
        </w:rPr>
        <w:t xml:space="preserve">11.5 Na aplicação das sanções serão considerados os seguintes requisitos, previstos no art. </w:t>
      </w:r>
      <w:r>
        <w:rPr>
          <w:rStyle w:val="117"/>
          <w:rFonts w:ascii="Times New Roman" w:hAnsi="Times New Roman" w:cs="Times New Roman"/>
          <w:sz w:val="24"/>
          <w:szCs w:val="24"/>
        </w:rPr>
        <w:t>156, § 1º, incisos I a V, da Lei nº 14.133/2021</w:t>
      </w:r>
      <w:r>
        <w:rPr>
          <w:sz w:val="24"/>
          <w:szCs w:val="24"/>
        </w:rPr>
        <w:t>:</w:t>
      </w:r>
    </w:p>
    <w:p w14:paraId="779CF563">
      <w:pPr>
        <w:spacing w:line="288" w:lineRule="auto"/>
        <w:contextualSpacing/>
        <w:jc w:val="both"/>
        <w:rPr>
          <w:sz w:val="24"/>
          <w:szCs w:val="24"/>
        </w:rPr>
      </w:pPr>
    </w:p>
    <w:p w14:paraId="5B7EC316">
      <w:pPr>
        <w:spacing w:line="288" w:lineRule="auto"/>
        <w:contextualSpacing/>
        <w:jc w:val="both"/>
        <w:rPr>
          <w:sz w:val="24"/>
          <w:szCs w:val="24"/>
        </w:rPr>
      </w:pPr>
      <w:r>
        <w:rPr>
          <w:sz w:val="24"/>
          <w:szCs w:val="24"/>
        </w:rPr>
        <w:t>11.5.1 a natureza e a gravidade da infração cometida;</w:t>
      </w:r>
    </w:p>
    <w:p w14:paraId="290F0107">
      <w:pPr>
        <w:spacing w:line="288" w:lineRule="auto"/>
        <w:contextualSpacing/>
        <w:jc w:val="both"/>
        <w:rPr>
          <w:sz w:val="24"/>
          <w:szCs w:val="24"/>
        </w:rPr>
      </w:pPr>
    </w:p>
    <w:p w14:paraId="3FA741CF">
      <w:pPr>
        <w:spacing w:line="288" w:lineRule="auto"/>
        <w:contextualSpacing/>
        <w:jc w:val="both"/>
        <w:rPr>
          <w:sz w:val="24"/>
          <w:szCs w:val="24"/>
        </w:rPr>
      </w:pPr>
      <w:r>
        <w:rPr>
          <w:sz w:val="24"/>
          <w:szCs w:val="24"/>
        </w:rPr>
        <w:t>11.5.2 as peculiaridades do caso concreto;</w:t>
      </w:r>
    </w:p>
    <w:p w14:paraId="0E947AFE">
      <w:pPr>
        <w:spacing w:line="288" w:lineRule="auto"/>
        <w:contextualSpacing/>
        <w:jc w:val="both"/>
        <w:rPr>
          <w:sz w:val="24"/>
          <w:szCs w:val="24"/>
        </w:rPr>
      </w:pPr>
    </w:p>
    <w:p w14:paraId="713F1F1D">
      <w:pPr>
        <w:spacing w:line="288" w:lineRule="auto"/>
        <w:contextualSpacing/>
        <w:jc w:val="both"/>
        <w:rPr>
          <w:sz w:val="24"/>
          <w:szCs w:val="24"/>
        </w:rPr>
      </w:pPr>
      <w:r>
        <w:rPr>
          <w:sz w:val="24"/>
          <w:szCs w:val="24"/>
        </w:rPr>
        <w:t>11.5.3 as circunstâncias agravantes ou atenuantes;</w:t>
      </w:r>
    </w:p>
    <w:p w14:paraId="1D998842">
      <w:pPr>
        <w:spacing w:line="288" w:lineRule="auto"/>
        <w:contextualSpacing/>
        <w:jc w:val="both"/>
        <w:rPr>
          <w:sz w:val="24"/>
          <w:szCs w:val="24"/>
        </w:rPr>
      </w:pPr>
    </w:p>
    <w:p w14:paraId="260D1509">
      <w:pPr>
        <w:spacing w:line="288" w:lineRule="auto"/>
        <w:contextualSpacing/>
        <w:jc w:val="both"/>
        <w:rPr>
          <w:sz w:val="24"/>
          <w:szCs w:val="24"/>
        </w:rPr>
      </w:pPr>
      <w:r>
        <w:rPr>
          <w:sz w:val="24"/>
          <w:szCs w:val="24"/>
        </w:rPr>
        <w:t>11.5.4 os danos que dela provierem para a Administração Pública;</w:t>
      </w:r>
    </w:p>
    <w:p w14:paraId="5EECB191">
      <w:pPr>
        <w:spacing w:line="288" w:lineRule="auto"/>
        <w:contextualSpacing/>
        <w:jc w:val="both"/>
        <w:rPr>
          <w:sz w:val="24"/>
          <w:szCs w:val="24"/>
        </w:rPr>
      </w:pPr>
    </w:p>
    <w:p w14:paraId="3964E377">
      <w:pPr>
        <w:spacing w:line="288" w:lineRule="auto"/>
        <w:contextualSpacing/>
        <w:jc w:val="both"/>
        <w:rPr>
          <w:sz w:val="24"/>
          <w:szCs w:val="24"/>
        </w:rPr>
      </w:pPr>
      <w:r>
        <w:rPr>
          <w:sz w:val="24"/>
          <w:szCs w:val="24"/>
        </w:rPr>
        <w:t>11.5.5 a implantação ou o aperfeiçoamento de programa de integridade, conforme normas e orientações dos órgãos de controle.</w:t>
      </w:r>
    </w:p>
    <w:p w14:paraId="6E771343">
      <w:pPr>
        <w:spacing w:line="288" w:lineRule="auto"/>
        <w:contextualSpacing/>
        <w:jc w:val="both"/>
        <w:rPr>
          <w:sz w:val="24"/>
          <w:szCs w:val="24"/>
        </w:rPr>
      </w:pPr>
    </w:p>
    <w:p w14:paraId="692AD2AB">
      <w:pPr>
        <w:spacing w:line="288" w:lineRule="auto"/>
        <w:contextualSpacing/>
        <w:jc w:val="both"/>
        <w:rPr>
          <w:sz w:val="24"/>
          <w:szCs w:val="24"/>
        </w:rPr>
      </w:pPr>
      <w:r>
        <w:rPr>
          <w:sz w:val="24"/>
          <w:szCs w:val="24"/>
        </w:rPr>
        <w:t xml:space="preserve">11.6 A imposição das penalidades é de competência exclusiva do órgão ou entidade contratante, sendo competentes para sua aplicação: </w:t>
      </w:r>
    </w:p>
    <w:p w14:paraId="2AE0E887">
      <w:pPr>
        <w:spacing w:line="288" w:lineRule="auto"/>
        <w:contextualSpacing/>
        <w:jc w:val="both"/>
        <w:rPr>
          <w:sz w:val="24"/>
          <w:szCs w:val="24"/>
        </w:rPr>
      </w:pPr>
      <w:r>
        <w:rPr>
          <w:sz w:val="24"/>
          <w:szCs w:val="24"/>
        </w:rPr>
        <w:t>a) as sanções previstas nos itens 11.2.1, 11.2.2 e 11.2.3 serão impostas pelo Ordenador de Despesa;</w:t>
      </w:r>
    </w:p>
    <w:p w14:paraId="114546EE">
      <w:pPr>
        <w:spacing w:line="288" w:lineRule="auto"/>
        <w:contextualSpacing/>
        <w:jc w:val="both"/>
        <w:rPr>
          <w:sz w:val="24"/>
          <w:szCs w:val="24"/>
        </w:rPr>
      </w:pPr>
      <w:r>
        <w:rPr>
          <w:sz w:val="24"/>
          <w:szCs w:val="24"/>
        </w:rPr>
        <w:t xml:space="preserve">b) a aplicação da sanção prevista no item 11.2.4, na forma do art. </w:t>
      </w:r>
      <w:r>
        <w:rPr>
          <w:rStyle w:val="117"/>
          <w:rFonts w:ascii="Times New Roman" w:hAnsi="Times New Roman" w:cs="Times New Roman"/>
          <w:sz w:val="24"/>
          <w:szCs w:val="24"/>
        </w:rPr>
        <w:t>156, § 6º, I, da Lei nº 14.133/2021,</w:t>
      </w:r>
      <w:r>
        <w:rPr>
          <w:sz w:val="24"/>
          <w:szCs w:val="24"/>
        </w:rPr>
        <w:t xml:space="preserve"> é de competência exclusiva:</w:t>
      </w:r>
    </w:p>
    <w:p w14:paraId="29BEE1AB">
      <w:pPr>
        <w:spacing w:line="288" w:lineRule="auto"/>
        <w:contextualSpacing/>
        <w:jc w:val="both"/>
        <w:rPr>
          <w:rStyle w:val="117"/>
          <w:rFonts w:ascii="Times New Roman" w:hAnsi="Times New Roman" w:cs="Times New Roman"/>
          <w:sz w:val="24"/>
          <w:szCs w:val="24"/>
        </w:rPr>
      </w:pPr>
      <w:r>
        <w:rPr>
          <w:sz w:val="24"/>
          <w:szCs w:val="24"/>
        </w:rPr>
        <w:t>b.1) em se tratando de contratação realizada pela Administração Pública direta, do Secretário de Município</w:t>
      </w:r>
      <w:r>
        <w:rPr>
          <w:rStyle w:val="117"/>
          <w:rFonts w:ascii="Times New Roman" w:hAnsi="Times New Roman" w:cs="Times New Roman"/>
          <w:sz w:val="24"/>
          <w:szCs w:val="24"/>
        </w:rPr>
        <w:t>;</w:t>
      </w:r>
    </w:p>
    <w:p w14:paraId="1AE4225C">
      <w:pPr>
        <w:spacing w:line="288" w:lineRule="auto"/>
        <w:contextualSpacing/>
        <w:jc w:val="both"/>
        <w:rPr>
          <w:sz w:val="24"/>
          <w:szCs w:val="24"/>
        </w:rPr>
      </w:pPr>
      <w:r>
        <w:rPr>
          <w:rStyle w:val="117"/>
          <w:rFonts w:ascii="Times New Roman" w:hAnsi="Times New Roman" w:cs="Times New Roman"/>
          <w:sz w:val="24"/>
          <w:szCs w:val="24"/>
        </w:rPr>
        <w:t>b.2) e</w:t>
      </w:r>
      <w:r>
        <w:rPr>
          <w:sz w:val="24"/>
          <w:szCs w:val="24"/>
        </w:rPr>
        <w:t>m se tratando de contratação realizada pela Administração Pública Indireta (fundação e autarquia), da autoridade máxima da entidade.</w:t>
      </w:r>
    </w:p>
    <w:p w14:paraId="3D06D09B">
      <w:pPr>
        <w:spacing w:line="288" w:lineRule="auto"/>
        <w:contextualSpacing/>
        <w:jc w:val="both"/>
        <w:rPr>
          <w:sz w:val="24"/>
          <w:szCs w:val="24"/>
        </w:rPr>
      </w:pPr>
    </w:p>
    <w:p w14:paraId="497D9217">
      <w:pPr>
        <w:spacing w:line="288" w:lineRule="auto"/>
        <w:contextualSpacing/>
        <w:jc w:val="both"/>
        <w:rPr>
          <w:sz w:val="24"/>
          <w:szCs w:val="24"/>
        </w:rPr>
      </w:pPr>
      <w:r>
        <w:rPr>
          <w:sz w:val="24"/>
          <w:szCs w:val="24"/>
        </w:rPr>
        <w:t xml:space="preserve">11.7 A aplicação de quaisquer das penalidades realizar-se-á em processo administrativo que assegurará o contraditório e a ampla defesa ao </w:t>
      </w:r>
      <w:r>
        <w:rPr>
          <w:b/>
          <w:bCs/>
          <w:color w:val="000000"/>
          <w:sz w:val="24"/>
          <w:szCs w:val="24"/>
        </w:rPr>
        <w:t>CONTRATADO</w:t>
      </w:r>
      <w:r>
        <w:rPr>
          <w:sz w:val="24"/>
          <w:szCs w:val="24"/>
        </w:rPr>
        <w:t xml:space="preserve">, na forma do art. </w:t>
      </w:r>
      <w:r>
        <w:rPr>
          <w:rStyle w:val="117"/>
          <w:rFonts w:ascii="Times New Roman" w:hAnsi="Times New Roman" w:cs="Times New Roman"/>
          <w:sz w:val="24"/>
          <w:szCs w:val="24"/>
        </w:rPr>
        <w:t>156, § 6º, I, da Lei nº 14.133/2021</w:t>
      </w:r>
      <w:r>
        <w:rPr>
          <w:sz w:val="24"/>
          <w:szCs w:val="24"/>
        </w:rPr>
        <w:t>, devendo ser observado o procedimento previsto na Lei nº 14.133/2021.</w:t>
      </w:r>
    </w:p>
    <w:p w14:paraId="715A56A4">
      <w:pPr>
        <w:spacing w:line="288" w:lineRule="auto"/>
        <w:contextualSpacing/>
        <w:jc w:val="both"/>
        <w:rPr>
          <w:sz w:val="24"/>
          <w:szCs w:val="24"/>
        </w:rPr>
      </w:pPr>
    </w:p>
    <w:p w14:paraId="31BACD10">
      <w:pPr>
        <w:spacing w:line="288" w:lineRule="auto"/>
        <w:contextualSpacing/>
        <w:jc w:val="both"/>
        <w:rPr>
          <w:sz w:val="24"/>
          <w:szCs w:val="24"/>
        </w:rPr>
      </w:pPr>
      <w:r>
        <w:rPr>
          <w:sz w:val="24"/>
          <w:szCs w:val="24"/>
        </w:rPr>
        <w:t xml:space="preserve">11.7.1 A aplicação de sanção será antecedida de intimação do </w:t>
      </w:r>
      <w:r>
        <w:rPr>
          <w:b/>
          <w:bCs/>
          <w:color w:val="000000"/>
          <w:sz w:val="24"/>
          <w:szCs w:val="24"/>
        </w:rPr>
        <w:t>CONTRATADO</w:t>
      </w:r>
      <w:r>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6599F79">
      <w:pPr>
        <w:spacing w:line="288" w:lineRule="auto"/>
        <w:contextualSpacing/>
        <w:jc w:val="both"/>
        <w:rPr>
          <w:sz w:val="24"/>
          <w:szCs w:val="24"/>
        </w:rPr>
      </w:pPr>
    </w:p>
    <w:p w14:paraId="1747DBCC">
      <w:pPr>
        <w:spacing w:line="288" w:lineRule="auto"/>
        <w:contextualSpacing/>
        <w:jc w:val="both"/>
        <w:rPr>
          <w:sz w:val="24"/>
          <w:szCs w:val="24"/>
        </w:rPr>
      </w:pPr>
      <w:r>
        <w:rPr>
          <w:sz w:val="24"/>
          <w:szCs w:val="24"/>
        </w:rPr>
        <w:t xml:space="preserve">11.7.2 A defesa prévia do </w:t>
      </w:r>
      <w:r>
        <w:rPr>
          <w:b/>
          <w:bCs/>
          <w:color w:val="000000"/>
          <w:sz w:val="24"/>
          <w:szCs w:val="24"/>
        </w:rPr>
        <w:t>CONTRATADO</w:t>
      </w:r>
      <w:r>
        <w:rPr>
          <w:sz w:val="24"/>
          <w:szCs w:val="24"/>
        </w:rPr>
        <w:t xml:space="preserve"> será exercida no prazo de:</w:t>
      </w:r>
    </w:p>
    <w:p w14:paraId="3AC7D7BC">
      <w:pPr>
        <w:spacing w:line="288" w:lineRule="auto"/>
        <w:contextualSpacing/>
        <w:jc w:val="both"/>
        <w:rPr>
          <w:sz w:val="24"/>
          <w:szCs w:val="24"/>
        </w:rPr>
      </w:pPr>
      <w:r>
        <w:rPr>
          <w:sz w:val="24"/>
          <w:szCs w:val="24"/>
        </w:rPr>
        <w:t>a) 15 (quinze) dias úteis, no caso da aplicação das sanções previstas nos itens 11.2.1 e 11.2.2, contado da data da intimação;</w:t>
      </w:r>
    </w:p>
    <w:p w14:paraId="1FAC0ABC">
      <w:pPr>
        <w:spacing w:line="288" w:lineRule="auto"/>
        <w:contextualSpacing/>
        <w:jc w:val="both"/>
        <w:rPr>
          <w:color w:val="000000"/>
          <w:sz w:val="24"/>
          <w:szCs w:val="24"/>
        </w:rPr>
      </w:pPr>
      <w:r>
        <w:rPr>
          <w:sz w:val="24"/>
          <w:szCs w:val="24"/>
        </w:rPr>
        <w:t xml:space="preserve">b) 15 (quinze) dias úteis, no caso de aplicação das sanções previstas nos itens 11.2.3 e 11.2.4, </w:t>
      </w:r>
      <w:r>
        <w:rPr>
          <w:color w:val="000000"/>
          <w:sz w:val="24"/>
          <w:szCs w:val="24"/>
        </w:rPr>
        <w:t>contado da data da intimação, observado o procedimento estabelecido no art. 158 da Lei nº 14.133/2021.</w:t>
      </w:r>
    </w:p>
    <w:p w14:paraId="2624940F">
      <w:pPr>
        <w:pStyle w:val="24"/>
        <w:spacing w:line="288" w:lineRule="auto"/>
        <w:contextualSpacing/>
        <w:jc w:val="both"/>
      </w:pPr>
      <w:r>
        <w:t>11.7.3 Será emitida decisão conclusiva sobre a aplicação ou não da sanção, pela autoridade competente, devendo ser apresentada a devida motivação, com a demonstração dos fatos e dos respectivos fundamentos jurídicos.</w:t>
      </w:r>
    </w:p>
    <w:p w14:paraId="6450BB0B">
      <w:pPr>
        <w:spacing w:line="288" w:lineRule="auto"/>
        <w:contextualSpacing/>
        <w:jc w:val="both"/>
        <w:rPr>
          <w:sz w:val="24"/>
          <w:szCs w:val="24"/>
        </w:rPr>
      </w:pPr>
      <w:r>
        <w:rPr>
          <w:sz w:val="24"/>
          <w:szCs w:val="24"/>
        </w:rPr>
        <w:t>11.8 A aplicação das sanções previstas neste Contrato não exclui, em hipótese alguma:</w:t>
      </w:r>
    </w:p>
    <w:p w14:paraId="08248CA9">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7D34E5F0">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71663161">
      <w:pPr>
        <w:spacing w:line="288" w:lineRule="auto"/>
        <w:contextualSpacing/>
        <w:jc w:val="both"/>
        <w:rPr>
          <w:rFonts w:eastAsia="Arial"/>
          <w:color w:val="000000"/>
          <w:sz w:val="24"/>
          <w:szCs w:val="24"/>
        </w:rPr>
      </w:pPr>
    </w:p>
    <w:p w14:paraId="7881468D">
      <w:pPr>
        <w:spacing w:line="288" w:lineRule="auto"/>
        <w:contextualSpacing/>
        <w:jc w:val="both"/>
        <w:rPr>
          <w:rFonts w:eastAsia="Arial"/>
          <w:color w:val="000000"/>
          <w:sz w:val="24"/>
          <w:szCs w:val="24"/>
        </w:rPr>
      </w:pPr>
      <w:r>
        <w:rPr>
          <w:rFonts w:eastAsia="Arial"/>
          <w:color w:val="000000"/>
          <w:sz w:val="24"/>
          <w:szCs w:val="24"/>
        </w:rPr>
        <w:t xml:space="preserve">11.8.1 Aplica-se o disposto na alínea a do item 11.8 à multa compensatória, nos termos do parágrafo único do art. 416 do Código Civil. </w:t>
      </w:r>
    </w:p>
    <w:p w14:paraId="127C9A38">
      <w:pPr>
        <w:spacing w:line="288" w:lineRule="auto"/>
        <w:contextualSpacing/>
        <w:jc w:val="both"/>
        <w:rPr>
          <w:rFonts w:eastAsia="Arial"/>
          <w:color w:val="000000"/>
          <w:sz w:val="24"/>
          <w:szCs w:val="24"/>
        </w:rPr>
      </w:pPr>
    </w:p>
    <w:p w14:paraId="513507B9">
      <w:pPr>
        <w:spacing w:line="288" w:lineRule="auto"/>
        <w:contextualSpacing/>
        <w:jc w:val="both"/>
        <w:rPr>
          <w:rFonts w:eastAsia="Arial"/>
          <w:color w:val="000000"/>
          <w:sz w:val="24"/>
          <w:szCs w:val="24"/>
        </w:rPr>
      </w:pPr>
      <w:r>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7A761294">
      <w:pPr>
        <w:spacing w:line="288" w:lineRule="auto"/>
        <w:contextualSpacing/>
        <w:jc w:val="both"/>
        <w:rPr>
          <w:sz w:val="24"/>
          <w:szCs w:val="24"/>
        </w:rPr>
      </w:pPr>
    </w:p>
    <w:p w14:paraId="1EB3B7D2">
      <w:pPr>
        <w:spacing w:line="288" w:lineRule="auto"/>
        <w:contextualSpacing/>
        <w:jc w:val="both"/>
        <w:rPr>
          <w:sz w:val="24"/>
          <w:szCs w:val="24"/>
        </w:rPr>
      </w:pPr>
      <w:r>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9FB719">
      <w:pPr>
        <w:spacing w:line="288" w:lineRule="auto"/>
        <w:contextualSpacing/>
        <w:jc w:val="both"/>
        <w:rPr>
          <w:sz w:val="24"/>
          <w:szCs w:val="24"/>
        </w:rPr>
      </w:pPr>
    </w:p>
    <w:p w14:paraId="5D4022AE">
      <w:pPr>
        <w:spacing w:line="288" w:lineRule="auto"/>
        <w:contextualSpacing/>
        <w:jc w:val="both"/>
        <w:rPr>
          <w:sz w:val="24"/>
          <w:szCs w:val="24"/>
        </w:rPr>
      </w:pPr>
      <w:r>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007F5CEF">
      <w:pPr>
        <w:spacing w:line="288" w:lineRule="auto"/>
        <w:contextualSpacing/>
        <w:jc w:val="both"/>
        <w:rPr>
          <w:sz w:val="24"/>
          <w:szCs w:val="24"/>
        </w:rPr>
      </w:pPr>
    </w:p>
    <w:p w14:paraId="311CE9A2">
      <w:pPr>
        <w:spacing w:line="288" w:lineRule="auto"/>
        <w:contextualSpacing/>
        <w:jc w:val="both"/>
        <w:rPr>
          <w:sz w:val="24"/>
          <w:szCs w:val="24"/>
        </w:rPr>
      </w:pPr>
      <w:r>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D3BB728">
      <w:pPr>
        <w:spacing w:line="288" w:lineRule="auto"/>
        <w:contextualSpacing/>
        <w:jc w:val="both"/>
        <w:rPr>
          <w:sz w:val="24"/>
          <w:szCs w:val="24"/>
        </w:rPr>
      </w:pPr>
    </w:p>
    <w:p w14:paraId="36EE4D90">
      <w:pPr>
        <w:spacing w:line="288" w:lineRule="auto"/>
        <w:contextualSpacing/>
        <w:jc w:val="both"/>
        <w:rPr>
          <w:sz w:val="24"/>
          <w:szCs w:val="24"/>
        </w:rPr>
      </w:pPr>
      <w:r>
        <w:rPr>
          <w:sz w:val="24"/>
          <w:szCs w:val="24"/>
        </w:rPr>
        <w:t>11.10.2.1 Caso seja possível, a apuração deverá ser promovida em conjunto no PAR.</w:t>
      </w:r>
    </w:p>
    <w:p w14:paraId="6F226F2B">
      <w:pPr>
        <w:spacing w:line="288" w:lineRule="auto"/>
        <w:contextualSpacing/>
        <w:jc w:val="both"/>
        <w:rPr>
          <w:sz w:val="24"/>
          <w:szCs w:val="24"/>
        </w:rPr>
      </w:pPr>
    </w:p>
    <w:p w14:paraId="170FA701">
      <w:pPr>
        <w:spacing w:line="288" w:lineRule="auto"/>
        <w:contextualSpacing/>
        <w:jc w:val="both"/>
        <w:rPr>
          <w:sz w:val="24"/>
          <w:szCs w:val="24"/>
        </w:rPr>
      </w:pPr>
      <w:r>
        <w:rPr>
          <w:sz w:val="24"/>
          <w:szCs w:val="24"/>
        </w:rPr>
        <w:t xml:space="preserve">11.11 Na hipótese de abertura de processo administrativo destinado a apuração de fatos e, se for o caso, aplicação de sanções ao </w:t>
      </w:r>
      <w:r>
        <w:rPr>
          <w:b/>
          <w:bCs/>
          <w:color w:val="000000"/>
          <w:sz w:val="24"/>
          <w:szCs w:val="24"/>
        </w:rPr>
        <w:t>CONTRATADO</w:t>
      </w:r>
      <w:r>
        <w:rPr>
          <w:sz w:val="24"/>
          <w:szCs w:val="24"/>
        </w:rPr>
        <w:t>, em decorrência de conduta vedada no contrato, as comunicações serão efetuadas por meio do endereço de correio eletrônico ("e-mail") cadastrado pela empresa junto ao Comprasnet.</w:t>
      </w:r>
    </w:p>
    <w:p w14:paraId="4E8697DF">
      <w:pPr>
        <w:autoSpaceDE w:val="0"/>
        <w:autoSpaceDN w:val="0"/>
        <w:adjustRightInd w:val="0"/>
        <w:spacing w:line="288" w:lineRule="auto"/>
        <w:contextualSpacing/>
        <w:jc w:val="both"/>
        <w:rPr>
          <w:sz w:val="24"/>
          <w:szCs w:val="24"/>
        </w:rPr>
      </w:pPr>
    </w:p>
    <w:p w14:paraId="1C7D1CEE">
      <w:pPr>
        <w:autoSpaceDE w:val="0"/>
        <w:autoSpaceDN w:val="0"/>
        <w:adjustRightInd w:val="0"/>
        <w:spacing w:line="288" w:lineRule="auto"/>
        <w:contextualSpacing/>
        <w:jc w:val="both"/>
        <w:rPr>
          <w:sz w:val="24"/>
          <w:szCs w:val="24"/>
        </w:rPr>
      </w:pPr>
      <w:r>
        <w:rPr>
          <w:sz w:val="24"/>
          <w:szCs w:val="24"/>
        </w:rPr>
        <w:t xml:space="preserve">11.11.1 O </w:t>
      </w:r>
      <w:r>
        <w:rPr>
          <w:b/>
          <w:bCs/>
          <w:color w:val="000000"/>
          <w:sz w:val="24"/>
          <w:szCs w:val="24"/>
        </w:rPr>
        <w:t>CONTRATADO</w:t>
      </w:r>
      <w:r>
        <w:rPr>
          <w:sz w:val="24"/>
          <w:szCs w:val="24"/>
        </w:rPr>
        <w:t xml:space="preserve"> deverá manter atualizado o endereço de correio eletrônico ("e-mail") cadastrado junto ao sistema eletrônico Comprasnet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6CBA4EA">
      <w:pPr>
        <w:autoSpaceDE w:val="0"/>
        <w:autoSpaceDN w:val="0"/>
        <w:adjustRightInd w:val="0"/>
        <w:spacing w:line="288" w:lineRule="auto"/>
        <w:contextualSpacing/>
        <w:jc w:val="both"/>
        <w:rPr>
          <w:sz w:val="24"/>
          <w:szCs w:val="24"/>
        </w:rPr>
      </w:pPr>
    </w:p>
    <w:p w14:paraId="4D825F4D">
      <w:pPr>
        <w:autoSpaceDE w:val="0"/>
        <w:autoSpaceDN w:val="0"/>
        <w:adjustRightInd w:val="0"/>
        <w:spacing w:line="288" w:lineRule="auto"/>
        <w:contextualSpacing/>
        <w:jc w:val="both"/>
        <w:rPr>
          <w:sz w:val="24"/>
          <w:szCs w:val="24"/>
        </w:rPr>
      </w:pPr>
      <w:r>
        <w:rPr>
          <w:sz w:val="24"/>
          <w:szCs w:val="24"/>
        </w:rPr>
        <w:t xml:space="preserve">11.12 O </w:t>
      </w:r>
      <w:r>
        <w:rPr>
          <w:b/>
          <w:bCs/>
          <w:sz w:val="24"/>
          <w:szCs w:val="24"/>
        </w:rPr>
        <w:t>CONTRATANTE</w:t>
      </w:r>
      <w:r>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D8EF2F4">
      <w:pPr>
        <w:pStyle w:val="69"/>
        <w:spacing w:line="288" w:lineRule="auto"/>
        <w:contextualSpacing/>
        <w:jc w:val="both"/>
        <w:rPr>
          <w:rFonts w:ascii="Times New Roman" w:hAnsi="Times New Roman" w:cs="Times New Roman"/>
        </w:rPr>
      </w:pPr>
    </w:p>
    <w:p w14:paraId="100B3649">
      <w:pPr>
        <w:pStyle w:val="69"/>
        <w:spacing w:line="288" w:lineRule="auto"/>
        <w:contextualSpacing/>
        <w:jc w:val="both"/>
        <w:rPr>
          <w:rFonts w:ascii="Times New Roman" w:hAnsi="Times New Roman" w:cs="Times New Roman"/>
        </w:rPr>
      </w:pPr>
      <w:r>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192E587A">
      <w:pPr>
        <w:spacing w:line="288" w:lineRule="auto"/>
        <w:contextualSpacing/>
        <w:jc w:val="both"/>
        <w:rPr>
          <w:sz w:val="24"/>
          <w:szCs w:val="24"/>
        </w:rPr>
      </w:pPr>
    </w:p>
    <w:p w14:paraId="2204FE83">
      <w:pPr>
        <w:spacing w:line="288" w:lineRule="auto"/>
        <w:contextualSpacing/>
        <w:jc w:val="both"/>
        <w:rPr>
          <w:sz w:val="24"/>
          <w:szCs w:val="24"/>
        </w:rPr>
      </w:pPr>
      <w:r>
        <w:rPr>
          <w:sz w:val="24"/>
          <w:szCs w:val="24"/>
        </w:rPr>
        <w:t xml:space="preserve">11.13 Caso o valor da multa aplicada seja superior ao </w:t>
      </w:r>
      <w:r>
        <w:rPr>
          <w:color w:val="000000"/>
          <w:sz w:val="24"/>
          <w:szCs w:val="24"/>
        </w:rPr>
        <w:t xml:space="preserve">do pagamento eventualmente devido pela Administração ao </w:t>
      </w:r>
      <w:r>
        <w:rPr>
          <w:b/>
          <w:bCs/>
          <w:color w:val="000000"/>
          <w:sz w:val="24"/>
          <w:szCs w:val="24"/>
        </w:rPr>
        <w:t>CONTRATADO</w:t>
      </w:r>
      <w:r>
        <w:rPr>
          <w:color w:val="000000"/>
          <w:sz w:val="24"/>
          <w:szCs w:val="24"/>
        </w:rPr>
        <w:t xml:space="preserve"> e da garantia prestada</w:t>
      </w:r>
      <w:r>
        <w:rPr>
          <w:sz w:val="24"/>
          <w:szCs w:val="24"/>
        </w:rPr>
        <w:t>, deverá ser emitida nota de débito no valor do saldo, no prazo de 30 (trinta) dias após a decisão final quanto à penalidade.</w:t>
      </w:r>
    </w:p>
    <w:p w14:paraId="34A4B84A">
      <w:pPr>
        <w:spacing w:line="288" w:lineRule="auto"/>
        <w:contextualSpacing/>
        <w:jc w:val="both"/>
        <w:rPr>
          <w:sz w:val="24"/>
          <w:szCs w:val="24"/>
        </w:rPr>
      </w:pPr>
    </w:p>
    <w:p w14:paraId="2E3EBA69">
      <w:pPr>
        <w:spacing w:line="288" w:lineRule="auto"/>
        <w:ind w:right="64"/>
        <w:contextualSpacing/>
        <w:jc w:val="both"/>
        <w:rPr>
          <w:sz w:val="24"/>
          <w:szCs w:val="24"/>
        </w:rPr>
      </w:pPr>
      <w:r>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37822B95">
      <w:pPr>
        <w:spacing w:line="288" w:lineRule="auto"/>
        <w:contextualSpacing/>
        <w:jc w:val="both"/>
        <w:rPr>
          <w:sz w:val="24"/>
          <w:szCs w:val="24"/>
        </w:rPr>
      </w:pPr>
    </w:p>
    <w:p w14:paraId="17CEBA04">
      <w:pPr>
        <w:spacing w:line="288" w:lineRule="auto"/>
        <w:contextualSpacing/>
        <w:jc w:val="both"/>
        <w:rPr>
          <w:sz w:val="24"/>
          <w:szCs w:val="24"/>
        </w:rPr>
      </w:pPr>
      <w:r>
        <w:rPr>
          <w:sz w:val="24"/>
          <w:szCs w:val="24"/>
        </w:rPr>
        <w:t>11.13.2 O procedimento para inscrição do débito em dívida ativa deverá observar o que dispõe a Lei Complementar nº: 279/2024.</w:t>
      </w:r>
    </w:p>
    <w:p w14:paraId="70C2D87B">
      <w:pPr>
        <w:spacing w:line="288" w:lineRule="auto"/>
        <w:contextualSpacing/>
        <w:jc w:val="both"/>
        <w:rPr>
          <w:sz w:val="24"/>
          <w:szCs w:val="24"/>
        </w:rPr>
      </w:pPr>
    </w:p>
    <w:p w14:paraId="7DF7ED40">
      <w:pPr>
        <w:pStyle w:val="106"/>
        <w:numPr>
          <w:ilvl w:val="0"/>
          <w:numId w:val="0"/>
        </w:numPr>
        <w:spacing w:before="0" w:after="0" w:line="288" w:lineRule="auto"/>
        <w:contextualSpacing/>
        <w:rPr>
          <w:rFonts w:ascii="Times New Roman" w:hAnsi="Times New Roman" w:cs="Times New Roman"/>
          <w:color w:val="FFFFFF"/>
          <w:sz w:val="24"/>
          <w:szCs w:val="24"/>
        </w:rPr>
      </w:pPr>
      <w:r>
        <w:rPr>
          <w:rFonts w:ascii="Times New Roman" w:hAnsi="Times New Roman" w:cs="Times New Roman"/>
          <w:sz w:val="24"/>
          <w:szCs w:val="24"/>
        </w:rPr>
        <w:t>CLÁUSULA DÉCIMA SEGUNDA – DA EXTINÇÃO CONTRATUAL</w:t>
      </w:r>
    </w:p>
    <w:p w14:paraId="2B55B925">
      <w:pPr>
        <w:pStyle w:val="107"/>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2AC94E4">
      <w:pPr>
        <w:pStyle w:val="107"/>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01D89725">
      <w:pPr>
        <w:pStyle w:val="107"/>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6D2B0F46">
      <w:pPr>
        <w:pStyle w:val="107"/>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 O Contrato pode ser extinto antes do prazo nele fixado, sem ônus para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quando este não dispuser de créditos orçamentários para sua continuidade ou quando entender que o Contrato não mais lhe oferece vantagem.</w:t>
      </w:r>
    </w:p>
    <w:p w14:paraId="27F5F069">
      <w:pPr>
        <w:pStyle w:val="107"/>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2114BFFE">
      <w:pPr>
        <w:pStyle w:val="107"/>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12.2.1 A extinção nesta hipótese ocorrerá na próxima data de aniversário do Contrato, desde que haja a notificação do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pelo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nesse sentido com pelo menos 2 (dois) meses de antecedência desse dia.</w:t>
      </w:r>
    </w:p>
    <w:p w14:paraId="34163091">
      <w:pPr>
        <w:spacing w:line="288" w:lineRule="auto"/>
        <w:ind w:left="567" w:right="-78"/>
        <w:contextualSpacing/>
        <w:jc w:val="both"/>
        <w:rPr>
          <w:color w:val="000000" w:themeColor="text1"/>
          <w:sz w:val="24"/>
          <w:szCs w:val="24"/>
          <w14:textFill>
            <w14:solidFill>
              <w14:schemeClr w14:val="tx1"/>
            </w14:solidFill>
          </w14:textFill>
        </w:rPr>
      </w:pPr>
    </w:p>
    <w:p w14:paraId="5251F47B">
      <w:pPr>
        <w:spacing w:line="288" w:lineRule="auto"/>
        <w:ind w:right="-78"/>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12.2.2 Caso a notificação da não-continuidade do Contrato de que trata este subitem ocorra com menos de 2 (dois) meses de antecedência da data de aniversário, a extinção contratual ocorrerá após 2 (dois) meses da data da comunicação.</w:t>
      </w:r>
    </w:p>
    <w:p w14:paraId="2D1CE94D">
      <w:pPr>
        <w:spacing w:line="288" w:lineRule="auto"/>
        <w:ind w:left="567" w:right="565"/>
        <w:contextualSpacing/>
        <w:jc w:val="both"/>
        <w:rPr>
          <w:sz w:val="24"/>
          <w:szCs w:val="24"/>
        </w:rPr>
      </w:pPr>
    </w:p>
    <w:p w14:paraId="492F07EA">
      <w:pPr>
        <w:spacing w:line="288" w:lineRule="auto"/>
        <w:contextualSpacing/>
        <w:jc w:val="both"/>
        <w:rPr>
          <w:sz w:val="24"/>
          <w:szCs w:val="24"/>
        </w:rPr>
      </w:pPr>
      <w:r>
        <w:rPr>
          <w:sz w:val="24"/>
          <w:szCs w:val="24"/>
        </w:rPr>
        <w:t>12.3 O presente Contrato poderá ser extinto, antes de cumpridas as obrigações estipuladas, ou antes do prazo neste fixado:</w:t>
      </w:r>
    </w:p>
    <w:p w14:paraId="2C4F66CA">
      <w:pPr>
        <w:spacing w:line="288" w:lineRule="auto"/>
        <w:contextualSpacing/>
        <w:jc w:val="both"/>
        <w:rPr>
          <w:sz w:val="24"/>
          <w:szCs w:val="24"/>
        </w:rPr>
      </w:pPr>
      <w:r>
        <w:rPr>
          <w:sz w:val="24"/>
          <w:szCs w:val="24"/>
        </w:rPr>
        <w:t xml:space="preserve">a) por ato unilateral do </w:t>
      </w:r>
      <w:r>
        <w:rPr>
          <w:b/>
          <w:bCs/>
          <w:sz w:val="24"/>
          <w:szCs w:val="24"/>
        </w:rPr>
        <w:t>CONTRATANTE</w:t>
      </w:r>
      <w:r>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7D27117F">
      <w:pPr>
        <w:spacing w:line="288" w:lineRule="auto"/>
        <w:contextualSpacing/>
        <w:jc w:val="both"/>
        <w:rPr>
          <w:sz w:val="24"/>
          <w:szCs w:val="24"/>
        </w:rPr>
      </w:pPr>
      <w:r>
        <w:rPr>
          <w:sz w:val="24"/>
          <w:szCs w:val="24"/>
        </w:rPr>
        <w:t>b) consensualmente, na forma do art. 138, II, da Lei nº 14.133/2021; e</w:t>
      </w:r>
    </w:p>
    <w:p w14:paraId="5ED7253A">
      <w:pPr>
        <w:spacing w:line="288" w:lineRule="auto"/>
        <w:contextualSpacing/>
        <w:jc w:val="both"/>
        <w:rPr>
          <w:iCs/>
          <w:sz w:val="24"/>
          <w:szCs w:val="24"/>
        </w:rPr>
      </w:pPr>
      <w:r>
        <w:rPr>
          <w:sz w:val="24"/>
          <w:szCs w:val="24"/>
        </w:rPr>
        <w:t xml:space="preserve">c) na hipótese de contratação direta fundamentada no art. 75, VIII, da Lei nº 14.133/2021, </w:t>
      </w:r>
      <w:r>
        <w:rPr>
          <w:iCs/>
          <w:sz w:val="24"/>
          <w:szCs w:val="24"/>
        </w:rPr>
        <w:t xml:space="preserve">a qualquer tempo, sem indenização, e independentemente de aviso ou prazo, pelo </w:t>
      </w:r>
      <w:r>
        <w:rPr>
          <w:b/>
          <w:bCs/>
          <w:iCs/>
          <w:sz w:val="24"/>
          <w:szCs w:val="24"/>
        </w:rPr>
        <w:t>CONTRATANTE</w:t>
      </w:r>
      <w:r>
        <w:rPr>
          <w:iCs/>
          <w:sz w:val="24"/>
          <w:szCs w:val="24"/>
        </w:rPr>
        <w:t>, tão logo esteja(m) concluído(s) o(s) procedimento(s) licitatório(s) implementado(s) para a contratação do objeto em questão.</w:t>
      </w:r>
    </w:p>
    <w:p w14:paraId="7EBC1814">
      <w:pPr>
        <w:pStyle w:val="107"/>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0F4BAB1">
      <w:pPr>
        <w:pStyle w:val="107"/>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7AAE2DB">
      <w:pPr>
        <w:pStyle w:val="107"/>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1CDBB23">
      <w:pPr>
        <w:pStyle w:val="107"/>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1C90DD72">
      <w:pPr>
        <w:spacing w:line="288" w:lineRule="auto"/>
        <w:contextualSpacing/>
        <w:jc w:val="both"/>
        <w:rPr>
          <w:color w:val="000000"/>
          <w:sz w:val="24"/>
          <w:szCs w:val="24"/>
        </w:rPr>
      </w:pPr>
    </w:p>
    <w:p w14:paraId="7C8C2CEF">
      <w:pPr>
        <w:spacing w:line="288" w:lineRule="auto"/>
        <w:contextualSpacing/>
        <w:jc w:val="both"/>
        <w:rPr>
          <w:sz w:val="24"/>
          <w:szCs w:val="24"/>
        </w:rPr>
      </w:pPr>
      <w:r>
        <w:rPr>
          <w:color w:val="000000"/>
          <w:sz w:val="24"/>
          <w:szCs w:val="24"/>
        </w:rPr>
        <w:t>12.4 A extinção prematura do Contrato deverá ser precedida de autorização escrita e fundamentada da autoridade competente e reduzida a termo no respectivo processo.</w:t>
      </w:r>
    </w:p>
    <w:p w14:paraId="28A4DAD1">
      <w:pPr>
        <w:spacing w:line="288" w:lineRule="auto"/>
        <w:contextualSpacing/>
        <w:jc w:val="both"/>
        <w:rPr>
          <w:sz w:val="24"/>
          <w:szCs w:val="24"/>
        </w:rPr>
      </w:pPr>
    </w:p>
    <w:p w14:paraId="576B3F7E">
      <w:pPr>
        <w:spacing w:line="288" w:lineRule="auto"/>
        <w:contextualSpacing/>
        <w:jc w:val="both"/>
        <w:rPr>
          <w:sz w:val="24"/>
          <w:szCs w:val="24"/>
        </w:rPr>
      </w:pPr>
      <w:r>
        <w:rPr>
          <w:sz w:val="24"/>
          <w:szCs w:val="24"/>
        </w:rPr>
        <w:t xml:space="preserve">12.4.1 A justificativa da rescisão por ato unilateral do </w:t>
      </w:r>
      <w:r>
        <w:rPr>
          <w:b/>
          <w:bCs/>
          <w:sz w:val="24"/>
          <w:szCs w:val="24"/>
        </w:rPr>
        <w:t>CONTRATANTE</w:t>
      </w:r>
      <w:r>
        <w:rPr>
          <w:sz w:val="24"/>
          <w:szCs w:val="24"/>
        </w:rPr>
        <w:t>, sempre que possível, contemplará:</w:t>
      </w:r>
    </w:p>
    <w:p w14:paraId="486FAE1F">
      <w:pPr>
        <w:spacing w:line="288" w:lineRule="auto"/>
        <w:contextualSpacing/>
        <w:jc w:val="both"/>
        <w:rPr>
          <w:sz w:val="24"/>
          <w:szCs w:val="24"/>
        </w:rPr>
      </w:pPr>
      <w:r>
        <w:rPr>
          <w:sz w:val="24"/>
          <w:szCs w:val="24"/>
        </w:rPr>
        <w:t>a) as obrigações contratuais já cumpridas ou parcialmente cumpridas;</w:t>
      </w:r>
    </w:p>
    <w:p w14:paraId="7F77C3EF">
      <w:pPr>
        <w:spacing w:line="288" w:lineRule="auto"/>
        <w:contextualSpacing/>
        <w:jc w:val="both"/>
        <w:rPr>
          <w:sz w:val="24"/>
          <w:szCs w:val="24"/>
        </w:rPr>
      </w:pPr>
      <w:r>
        <w:rPr>
          <w:sz w:val="24"/>
          <w:szCs w:val="24"/>
        </w:rPr>
        <w:t>b) os pagamentos já efetuados e ainda devidos;</w:t>
      </w:r>
    </w:p>
    <w:p w14:paraId="30A49E83">
      <w:pPr>
        <w:spacing w:line="288" w:lineRule="auto"/>
        <w:contextualSpacing/>
        <w:jc w:val="both"/>
        <w:rPr>
          <w:sz w:val="24"/>
          <w:szCs w:val="24"/>
        </w:rPr>
      </w:pPr>
      <w:r>
        <w:rPr>
          <w:sz w:val="24"/>
          <w:szCs w:val="24"/>
        </w:rPr>
        <w:t>c) as indenizações e multas.</w:t>
      </w:r>
    </w:p>
    <w:p w14:paraId="3661D6A4">
      <w:pPr>
        <w:pStyle w:val="102"/>
        <w:spacing w:before="0" w:after="0" w:line="288" w:lineRule="auto"/>
        <w:ind w:left="0" w:firstLine="0"/>
        <w:contextualSpacing/>
        <w:rPr>
          <w:rFonts w:ascii="Times New Roman" w:hAnsi="Times New Roman" w:cs="Times New Roman"/>
          <w:sz w:val="24"/>
          <w:szCs w:val="24"/>
        </w:rPr>
      </w:pPr>
    </w:p>
    <w:p w14:paraId="62741D41">
      <w:pPr>
        <w:pStyle w:val="102"/>
        <w:spacing w:before="0" w:after="0" w:line="288" w:lineRule="auto"/>
        <w:ind w:left="0" w:firstLine="0"/>
        <w:contextualSpacing/>
        <w:rPr>
          <w:rStyle w:val="16"/>
          <w:rFonts w:ascii="Times New Roman" w:hAnsi="Times New Roman" w:cs="Times New Roman" w:eastAsiaTheme="minorHAnsi"/>
          <w:color w:val="auto"/>
          <w:sz w:val="24"/>
          <w:szCs w:val="24"/>
        </w:rPr>
      </w:pPr>
      <w:r>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r>
        <w:fldChar w:fldCharType="begin"/>
      </w:r>
      <w:r>
        <w:instrText xml:space="preserve"> HYPERLINK "http://www.planalto.gov.br/ccivil_03/_ato2019-2022/2021/lei/L14133.htm" \l "art131" </w:instrText>
      </w:r>
      <w:r>
        <w:fldChar w:fldCharType="separate"/>
      </w:r>
      <w:r>
        <w:rPr>
          <w:rStyle w:val="16"/>
          <w:rFonts w:ascii="Times New Roman" w:hAnsi="Times New Roman" w:cs="Times New Roman" w:eastAsiaTheme="minorHAnsi"/>
          <w:color w:val="auto"/>
          <w:sz w:val="24"/>
          <w:szCs w:val="24"/>
        </w:rPr>
        <w:t xml:space="preserve">art. 131, </w:t>
      </w:r>
      <w:r>
        <w:rPr>
          <w:rStyle w:val="16"/>
          <w:rFonts w:ascii="Times New Roman" w:hAnsi="Times New Roman" w:cs="Times New Roman" w:eastAsiaTheme="minorHAnsi"/>
          <w:i/>
          <w:iCs/>
          <w:color w:val="auto"/>
          <w:sz w:val="24"/>
          <w:szCs w:val="24"/>
        </w:rPr>
        <w:t xml:space="preserve">caput, </w:t>
      </w:r>
      <w:r>
        <w:rPr>
          <w:rStyle w:val="16"/>
          <w:rFonts w:ascii="Times New Roman" w:hAnsi="Times New Roman" w:cs="Times New Roman" w:eastAsiaTheme="minorHAnsi"/>
          <w:color w:val="auto"/>
          <w:sz w:val="24"/>
          <w:szCs w:val="24"/>
        </w:rPr>
        <w:t xml:space="preserve">da Lei nº 14.133/2021, desde que o pedido seja </w:t>
      </w:r>
      <w:r>
        <w:rPr>
          <w:rFonts w:ascii="Times New Roman" w:hAnsi="Times New Roman" w:cs="Times New Roman"/>
          <w:sz w:val="24"/>
          <w:szCs w:val="24"/>
        </w:rPr>
        <w:t>formulado durante a vigência do Contrato e antes de eventual prorrogação</w:t>
      </w:r>
      <w:r>
        <w:rPr>
          <w:rStyle w:val="16"/>
          <w:rFonts w:ascii="Times New Roman" w:hAnsi="Times New Roman" w:cs="Times New Roman" w:eastAsiaTheme="minorHAnsi"/>
          <w:color w:val="auto"/>
          <w:sz w:val="24"/>
          <w:szCs w:val="24"/>
        </w:rPr>
        <w:t>.</w:t>
      </w:r>
      <w:r>
        <w:rPr>
          <w:rStyle w:val="16"/>
          <w:rFonts w:ascii="Times New Roman" w:hAnsi="Times New Roman" w:cs="Times New Roman" w:eastAsiaTheme="minorHAnsi"/>
          <w:color w:val="auto"/>
          <w:sz w:val="24"/>
          <w:szCs w:val="24"/>
        </w:rPr>
        <w:fldChar w:fldCharType="end"/>
      </w:r>
    </w:p>
    <w:p w14:paraId="1B9331FD">
      <w:pPr>
        <w:pStyle w:val="102"/>
        <w:spacing w:before="0" w:after="0" w:line="288" w:lineRule="auto"/>
        <w:ind w:left="0" w:firstLine="0"/>
        <w:contextualSpacing/>
        <w:rPr>
          <w:rStyle w:val="16"/>
          <w:rFonts w:ascii="Times New Roman" w:hAnsi="Times New Roman" w:cs="Times New Roman" w:eastAsiaTheme="minorHAnsi"/>
          <w:color w:val="auto"/>
          <w:sz w:val="24"/>
          <w:szCs w:val="24"/>
        </w:rPr>
      </w:pPr>
    </w:p>
    <w:p w14:paraId="78F1758C">
      <w:pPr>
        <w:pStyle w:val="102"/>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Extinto o Contrato, o </w:t>
      </w:r>
      <w:r>
        <w:rPr>
          <w:rFonts w:ascii="Times New Roman" w:hAnsi="Times New Roman" w:cs="Times New Roman"/>
          <w:b/>
          <w:bCs/>
          <w:sz w:val="24"/>
          <w:szCs w:val="24"/>
        </w:rPr>
        <w:t>CONTRATANTE</w:t>
      </w:r>
      <w:r>
        <w:rPr>
          <w:rFonts w:ascii="Times New Roman" w:hAnsi="Times New Roman" w:cs="Times New Roman"/>
          <w:sz w:val="24"/>
          <w:szCs w:val="24"/>
        </w:rPr>
        <w:t xml:space="preserve"> poderá ainda:</w:t>
      </w:r>
    </w:p>
    <w:p w14:paraId="6237765E">
      <w:pPr>
        <w:spacing w:before="120" w:after="120" w:line="288" w:lineRule="auto"/>
        <w:contextualSpacing/>
        <w:jc w:val="both"/>
        <w:rPr>
          <w:color w:val="000000"/>
          <w:sz w:val="24"/>
          <w:szCs w:val="24"/>
        </w:rPr>
      </w:pPr>
    </w:p>
    <w:p w14:paraId="04C4CD64">
      <w:pPr>
        <w:spacing w:before="120" w:after="120" w:line="288" w:lineRule="auto"/>
        <w:contextualSpacing/>
        <w:jc w:val="both"/>
        <w:rPr>
          <w:color w:val="000000"/>
          <w:sz w:val="24"/>
          <w:szCs w:val="24"/>
        </w:rPr>
      </w:pPr>
      <w:r>
        <w:rPr>
          <w:color w:val="000000"/>
          <w:sz w:val="24"/>
          <w:szCs w:val="24"/>
        </w:rPr>
        <w:t xml:space="preserve">12.6.1 nos casos de obrigação de pagamento de multa pelo </w:t>
      </w:r>
      <w:r>
        <w:rPr>
          <w:b/>
          <w:bCs/>
          <w:color w:val="000000"/>
          <w:sz w:val="24"/>
          <w:szCs w:val="24"/>
        </w:rPr>
        <w:t>CONTRATADO</w:t>
      </w:r>
      <w:r>
        <w:rPr>
          <w:color w:val="000000"/>
          <w:sz w:val="24"/>
          <w:szCs w:val="24"/>
        </w:rPr>
        <w:t>, reter e executar a garantia prestada; e</w:t>
      </w:r>
    </w:p>
    <w:p w14:paraId="0D08359F">
      <w:pPr>
        <w:spacing w:before="120" w:after="120" w:line="288" w:lineRule="auto"/>
        <w:contextualSpacing/>
        <w:jc w:val="both"/>
        <w:rPr>
          <w:color w:val="000000"/>
          <w:sz w:val="24"/>
          <w:szCs w:val="24"/>
        </w:rPr>
      </w:pPr>
    </w:p>
    <w:p w14:paraId="0EFDC265">
      <w:pPr>
        <w:spacing w:before="120" w:after="120" w:line="288" w:lineRule="auto"/>
        <w:contextualSpacing/>
        <w:jc w:val="both"/>
        <w:rPr>
          <w:sz w:val="24"/>
          <w:szCs w:val="24"/>
        </w:rPr>
      </w:pPr>
      <w:r>
        <w:rPr>
          <w:color w:val="000000"/>
          <w:sz w:val="24"/>
          <w:szCs w:val="24"/>
        </w:rPr>
        <w:t>12.6.2 nos casos em que houver necessidade de ressarcimento de prejuízos causados à Administração, nos termos do inciso IV do art. 139 da Lei nº 14.133/2021, reter os eventuais créditos existentes</w:t>
      </w:r>
      <w:r>
        <w:rPr>
          <w:sz w:val="24"/>
          <w:szCs w:val="24"/>
        </w:rPr>
        <w:t xml:space="preserve"> em favor do </w:t>
      </w:r>
      <w:r>
        <w:rPr>
          <w:b/>
          <w:bCs/>
          <w:sz w:val="24"/>
          <w:szCs w:val="24"/>
        </w:rPr>
        <w:t>C</w:t>
      </w:r>
      <w:r>
        <w:rPr>
          <w:b/>
          <w:bCs/>
          <w:color w:val="000000"/>
          <w:sz w:val="24"/>
          <w:szCs w:val="24"/>
        </w:rPr>
        <w:t>ONTRATADO</w:t>
      </w:r>
      <w:r>
        <w:rPr>
          <w:sz w:val="24"/>
          <w:szCs w:val="24"/>
        </w:rPr>
        <w:t xml:space="preserve"> decorrentes do Contrato.</w:t>
      </w:r>
    </w:p>
    <w:p w14:paraId="381767EC">
      <w:pPr>
        <w:spacing w:before="120" w:after="120" w:line="288" w:lineRule="auto"/>
        <w:contextualSpacing/>
        <w:jc w:val="both"/>
        <w:rPr>
          <w:sz w:val="24"/>
          <w:szCs w:val="24"/>
        </w:rPr>
      </w:pPr>
    </w:p>
    <w:p w14:paraId="74FA8A4B">
      <w:pPr>
        <w:pStyle w:val="100"/>
        <w:spacing w:before="0" w:line="288" w:lineRule="auto"/>
        <w:ind w:left="22"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TERCEIRA – ALTERAÇÕES</w:t>
      </w:r>
    </w:p>
    <w:p w14:paraId="4A985CFA">
      <w:pPr>
        <w:pStyle w:val="98"/>
        <w:spacing w:before="0" w:after="0" w:line="288" w:lineRule="auto"/>
        <w:ind w:left="22" w:firstLine="0"/>
        <w:contextualSpacing/>
        <w:rPr>
          <w:rFonts w:ascii="Times New Roman" w:hAnsi="Times New Roman" w:cs="Times New Roman"/>
          <w:sz w:val="24"/>
          <w:szCs w:val="24"/>
        </w:rPr>
      </w:pPr>
    </w:p>
    <w:p w14:paraId="5233B4DE">
      <w:pPr>
        <w:pStyle w:val="98"/>
        <w:spacing w:before="0" w:after="0" w:line="288" w:lineRule="auto"/>
        <w:ind w:left="22" w:firstLine="0"/>
        <w:contextualSpacing/>
        <w:rPr>
          <w:rFonts w:ascii="Times New Roman" w:hAnsi="Times New Roman" w:cs="Times New Roman"/>
          <w:color w:val="auto"/>
          <w:sz w:val="24"/>
          <w:szCs w:val="24"/>
        </w:rPr>
      </w:pPr>
      <w:r>
        <w:rPr>
          <w:rFonts w:ascii="Times New Roman" w:hAnsi="Times New Roman" w:cs="Times New Roman"/>
          <w:sz w:val="24"/>
          <w:szCs w:val="24"/>
        </w:rPr>
        <w:t xml:space="preserve">13.1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6"/>
          <w:rFonts w:ascii="Times New Roman" w:hAnsi="Times New Roman" w:cs="Times New Roman" w:eastAsiaTheme="minorHAnsi"/>
          <w:color w:val="auto"/>
          <w:sz w:val="24"/>
          <w:szCs w:val="24"/>
        </w:rPr>
        <w:t>arts. 124 e seguintes da Lei 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24AE7E85">
      <w:pPr>
        <w:spacing w:line="288" w:lineRule="auto"/>
        <w:contextualSpacing/>
        <w:jc w:val="both"/>
        <w:rPr>
          <w:sz w:val="24"/>
          <w:szCs w:val="24"/>
        </w:rPr>
      </w:pPr>
    </w:p>
    <w:p w14:paraId="55386DEF">
      <w:pPr>
        <w:spacing w:line="288" w:lineRule="auto"/>
        <w:contextualSpacing/>
        <w:jc w:val="both"/>
        <w:rPr>
          <w:sz w:val="24"/>
          <w:szCs w:val="24"/>
        </w:rPr>
      </w:pPr>
      <w:r>
        <w:rPr>
          <w:sz w:val="24"/>
          <w:szCs w:val="24"/>
        </w:rPr>
        <w:t xml:space="preserve">13.2 O </w:t>
      </w:r>
      <w:r>
        <w:rPr>
          <w:b/>
          <w:bCs/>
          <w:sz w:val="24"/>
          <w:szCs w:val="24"/>
        </w:rPr>
        <w:t>CONTRATADO</w:t>
      </w:r>
      <w:r>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70DE5DD0">
      <w:pPr>
        <w:spacing w:line="288" w:lineRule="auto"/>
        <w:contextualSpacing/>
        <w:jc w:val="both"/>
        <w:rPr>
          <w:sz w:val="24"/>
          <w:szCs w:val="24"/>
        </w:rPr>
      </w:pPr>
    </w:p>
    <w:p w14:paraId="1DC1D54C">
      <w:pPr>
        <w:spacing w:line="288" w:lineRule="auto"/>
        <w:contextualSpacing/>
        <w:jc w:val="both"/>
        <w:rPr>
          <w:b/>
          <w:bCs/>
          <w:sz w:val="24"/>
          <w:szCs w:val="24"/>
        </w:rPr>
      </w:pPr>
      <w:r>
        <w:rPr>
          <w:sz w:val="24"/>
          <w:szCs w:val="24"/>
        </w:rPr>
        <w:t xml:space="preserve">13.3 As alterações contratuais deverão ser promovidas mediante celebração de termo aditivo, submetido à prévia aprovação da assessoria jurídica do </w:t>
      </w:r>
      <w:r>
        <w:rPr>
          <w:b/>
          <w:bCs/>
          <w:sz w:val="24"/>
          <w:szCs w:val="24"/>
        </w:rPr>
        <w:t>CONTRATANTE</w:t>
      </w:r>
      <w:r>
        <w:rPr>
          <w:sz w:val="24"/>
          <w:szCs w:val="24"/>
        </w:rPr>
        <w:t>.</w:t>
      </w:r>
    </w:p>
    <w:p w14:paraId="30208B45">
      <w:pPr>
        <w:pStyle w:val="100"/>
        <w:spacing w:before="0" w:line="288" w:lineRule="auto"/>
        <w:ind w:left="0" w:firstLine="0"/>
        <w:contextualSpacing/>
        <w:rPr>
          <w:rFonts w:ascii="Times New Roman" w:hAnsi="Times New Roman" w:cs="Times New Roman"/>
          <w:b w:val="0"/>
          <w:bCs w:val="0"/>
          <w:sz w:val="24"/>
          <w:szCs w:val="24"/>
        </w:rPr>
      </w:pPr>
    </w:p>
    <w:p w14:paraId="6B8B948E">
      <w:pPr>
        <w:pStyle w:val="100"/>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13.4</w:t>
      </w:r>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6"/>
          <w:rFonts w:ascii="Times New Roman" w:hAnsi="Times New Roman" w:cs="Times New Roman" w:eastAsiaTheme="minorHAnsi"/>
          <w:b w:val="0"/>
          <w:bCs w:val="0"/>
          <w:sz w:val="24"/>
          <w:szCs w:val="24"/>
        </w:rPr>
        <w:t>art. 136 da Lei nº 14.133/2021</w:t>
      </w:r>
      <w:r>
        <w:rPr>
          <w:rStyle w:val="16"/>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64CEF828">
      <w:pPr>
        <w:spacing w:line="288" w:lineRule="auto"/>
        <w:contextualSpacing/>
        <w:rPr>
          <w:sz w:val="24"/>
          <w:szCs w:val="24"/>
        </w:rPr>
      </w:pPr>
    </w:p>
    <w:p w14:paraId="7312F803">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QUARTA – DOTAÇÃO ORÇAMENTÁRIA </w:t>
      </w:r>
    </w:p>
    <w:p w14:paraId="39C170FE">
      <w:pPr>
        <w:spacing w:line="288" w:lineRule="auto"/>
        <w:contextualSpacing/>
        <w:rPr>
          <w:sz w:val="24"/>
          <w:szCs w:val="24"/>
        </w:rPr>
      </w:pPr>
    </w:p>
    <w:p w14:paraId="4D189B50">
      <w:pPr>
        <w:pStyle w:val="98"/>
        <w:spacing w:before="0" w:after="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Pr>
          <w:rFonts w:ascii="Times New Roman" w:hAnsi="Times New Roman" w:cs="Times New Roman"/>
          <w:color w:val="FF0000"/>
          <w:sz w:val="24"/>
          <w:szCs w:val="24"/>
        </w:rPr>
        <w:t>.........</w:t>
      </w:r>
      <w:r>
        <w:rPr>
          <w:rFonts w:ascii="Times New Roman" w:hAnsi="Times New Roman" w:cs="Times New Roman"/>
          <w:sz w:val="24"/>
          <w:szCs w:val="24"/>
        </w:rPr>
        <w:t>, assim classificadas:</w:t>
      </w:r>
    </w:p>
    <w:p w14:paraId="440B1A23">
      <w:pPr>
        <w:pStyle w:val="20"/>
        <w:spacing w:line="288" w:lineRule="auto"/>
        <w:contextualSpacing/>
        <w:jc w:val="both"/>
        <w:rPr>
          <w:rFonts w:ascii="Times New Roman" w:hAnsi="Times New Roman" w:cs="Times New Roman"/>
        </w:rPr>
      </w:pPr>
      <w:r>
        <w:rPr>
          <w:rFonts w:ascii="Times New Roman" w:hAnsi="Times New Roman" w:cs="Times New Roman"/>
        </w:rPr>
        <w:t>Natureza da Despesa:</w:t>
      </w:r>
    </w:p>
    <w:p w14:paraId="78F694E4">
      <w:pPr>
        <w:pStyle w:val="20"/>
        <w:spacing w:line="288" w:lineRule="auto"/>
        <w:contextualSpacing/>
        <w:jc w:val="both"/>
        <w:rPr>
          <w:rFonts w:ascii="Times New Roman" w:hAnsi="Times New Roman" w:cs="Times New Roman"/>
        </w:rPr>
      </w:pPr>
      <w:r>
        <w:rPr>
          <w:rFonts w:ascii="Times New Roman" w:hAnsi="Times New Roman" w:cs="Times New Roman"/>
        </w:rPr>
        <w:t>Fonte de Recurso:</w:t>
      </w:r>
    </w:p>
    <w:p w14:paraId="26BAE96A">
      <w:pPr>
        <w:pStyle w:val="20"/>
        <w:spacing w:line="288" w:lineRule="auto"/>
        <w:contextualSpacing/>
        <w:jc w:val="both"/>
        <w:rPr>
          <w:rFonts w:ascii="Times New Roman" w:hAnsi="Times New Roman" w:cs="Times New Roman"/>
        </w:rPr>
      </w:pPr>
      <w:r>
        <w:rPr>
          <w:rFonts w:ascii="Times New Roman" w:hAnsi="Times New Roman" w:cs="Times New Roman"/>
        </w:rPr>
        <w:t>Programa de Trabalho:</w:t>
      </w:r>
    </w:p>
    <w:p w14:paraId="6B994146">
      <w:pPr>
        <w:pStyle w:val="20"/>
        <w:spacing w:line="288" w:lineRule="auto"/>
        <w:contextualSpacing/>
        <w:jc w:val="both"/>
        <w:rPr>
          <w:rFonts w:ascii="Times New Roman" w:hAnsi="Times New Roman" w:cs="Times New Roman"/>
        </w:rPr>
      </w:pPr>
      <w:r>
        <w:rPr>
          <w:rFonts w:ascii="Times New Roman" w:hAnsi="Times New Roman" w:cs="Times New Roman"/>
        </w:rPr>
        <w:t>Nota de Empenho:</w:t>
      </w:r>
    </w:p>
    <w:p w14:paraId="716A1C5A">
      <w:pPr>
        <w:pStyle w:val="20"/>
        <w:spacing w:line="288" w:lineRule="auto"/>
        <w:contextualSpacing/>
        <w:jc w:val="both"/>
        <w:rPr>
          <w:rFonts w:ascii="Times New Roman" w:hAnsi="Times New Roman" w:cs="Times New Roman"/>
        </w:rPr>
      </w:pPr>
    </w:p>
    <w:p w14:paraId="0ECEA7B4">
      <w:pPr>
        <w:pStyle w:val="20"/>
        <w:spacing w:line="288" w:lineRule="auto"/>
        <w:contextualSpacing/>
        <w:jc w:val="both"/>
        <w:rPr>
          <w:rFonts w:ascii="Times New Roman" w:hAnsi="Times New Roman" w:cs="Times New Roman"/>
        </w:rPr>
      </w:pPr>
      <w:r>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2904535F">
      <w:pPr>
        <w:pStyle w:val="20"/>
        <w:spacing w:line="288" w:lineRule="auto"/>
        <w:contextualSpacing/>
        <w:jc w:val="both"/>
        <w:rPr>
          <w:rFonts w:ascii="Times New Roman" w:hAnsi="Times New Roman" w:cs="Times New Roman"/>
        </w:rPr>
      </w:pPr>
    </w:p>
    <w:p w14:paraId="25FF3915">
      <w:pPr>
        <w:pStyle w:val="20"/>
        <w:spacing w:line="288" w:lineRule="auto"/>
        <w:contextualSpacing/>
        <w:jc w:val="both"/>
        <w:rPr>
          <w:rFonts w:ascii="Times New Roman" w:hAnsi="Times New Roman" w:cs="Times New Roman"/>
        </w:rPr>
      </w:pPr>
      <w:r>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4B3D9EBD">
      <w:pPr>
        <w:pStyle w:val="20"/>
        <w:spacing w:line="288" w:lineRule="auto"/>
        <w:contextualSpacing/>
        <w:jc w:val="both"/>
        <w:rPr>
          <w:rFonts w:ascii="Times New Roman" w:hAnsi="Times New Roman" w:cs="Times New Roman"/>
        </w:rPr>
      </w:pPr>
    </w:p>
    <w:p w14:paraId="15FF96C6">
      <w:pPr>
        <w:pStyle w:val="100"/>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QUINTA – DOS CASOS OMISSOS </w:t>
      </w:r>
    </w:p>
    <w:p w14:paraId="0947E2CE">
      <w:pPr>
        <w:spacing w:line="288" w:lineRule="auto"/>
        <w:contextualSpacing/>
        <w:rPr>
          <w:sz w:val="24"/>
          <w:szCs w:val="24"/>
        </w:rPr>
      </w:pPr>
    </w:p>
    <w:p w14:paraId="25D4A725">
      <w:pPr>
        <w:pStyle w:val="98"/>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 Os casos omissos serão decididos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segundo as disposições contidas na Lei </w:t>
      </w:r>
      <w:r>
        <w:fldChar w:fldCharType="begin"/>
      </w:r>
      <w:r>
        <w:instrText xml:space="preserve"> HYPERLINK "http://www.planalto.gov.br/ccivil_03/_ato2019-2022/2021/lei/L14133.htm" </w:instrText>
      </w:r>
      <w:r>
        <w:fldChar w:fldCharType="separate"/>
      </w:r>
      <w:r>
        <w:rPr>
          <w:rStyle w:val="16"/>
          <w:rFonts w:ascii="Times New Roman" w:hAnsi="Times New Roman" w:cs="Times New Roman" w:eastAsiaTheme="minorHAnsi"/>
          <w:color w:val="auto"/>
          <w:sz w:val="24"/>
          <w:szCs w:val="24"/>
        </w:rPr>
        <w:t>nº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demais normas federais e estaduais aplicáveis e, subsidiariamente, segundo as disposições contidas na </w:t>
      </w:r>
      <w:r>
        <w:fldChar w:fldCharType="begin"/>
      </w:r>
      <w:r>
        <w:instrText xml:space="preserve"> HYPERLINK "https://www.planalto.gov.br/ccivil_03/leis/l8078compilado.htm" </w:instrText>
      </w:r>
      <w:r>
        <w:fldChar w:fldCharType="separate"/>
      </w:r>
      <w:r>
        <w:rPr>
          <w:rStyle w:val="16"/>
          <w:rFonts w:ascii="Times New Roman" w:hAnsi="Times New Roman" w:cs="Times New Roman" w:eastAsiaTheme="minorHAnsi"/>
          <w:color w:val="auto"/>
          <w:sz w:val="24"/>
          <w:szCs w:val="24"/>
        </w:rPr>
        <w:t>Lei nº 8.078/1990 – Código de Defesa do Consumidor</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e normas e princípios gerais dos contratos.</w:t>
      </w:r>
    </w:p>
    <w:p w14:paraId="6A1CF3A8">
      <w:pPr>
        <w:pStyle w:val="20"/>
        <w:spacing w:line="288" w:lineRule="auto"/>
        <w:contextualSpacing/>
        <w:jc w:val="both"/>
        <w:rPr>
          <w:rFonts w:ascii="Times New Roman" w:hAnsi="Times New Roman" w:cs="Times New Roman"/>
        </w:rPr>
      </w:pPr>
    </w:p>
    <w:p w14:paraId="73BC5D3A">
      <w:pPr>
        <w:pStyle w:val="100"/>
        <w:spacing w:before="0" w:line="288" w:lineRule="auto"/>
        <w:ind w:left="36"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SEXTA – PUBLICAÇÃO E CONTROLE DO CONTRATO</w:t>
      </w:r>
    </w:p>
    <w:p w14:paraId="1C517B2D">
      <w:pPr>
        <w:pStyle w:val="98"/>
        <w:spacing w:before="0" w:after="0" w:line="288" w:lineRule="auto"/>
        <w:ind w:left="36" w:firstLine="0"/>
        <w:contextualSpacing/>
        <w:rPr>
          <w:rFonts w:ascii="Times New Roman" w:hAnsi="Times New Roman" w:cs="Times New Roman"/>
          <w:color w:val="auto"/>
          <w:sz w:val="24"/>
          <w:szCs w:val="24"/>
        </w:rPr>
      </w:pPr>
    </w:p>
    <w:p w14:paraId="7CEF1F9F">
      <w:pPr>
        <w:pStyle w:val="98"/>
        <w:spacing w:before="0" w:after="0" w:line="288" w:lineRule="auto"/>
        <w:ind w:left="36"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16.1 Incumbirá ao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6"/>
          <w:rFonts w:ascii="Times New Roman" w:hAnsi="Times New Roman" w:cs="Times New Roman" w:eastAsiaTheme="minorHAnsi"/>
          <w:color w:val="auto"/>
          <w:sz w:val="24"/>
          <w:szCs w:val="24"/>
        </w:rPr>
        <w:t>art. 94 da Lei 14.133/2021</w:t>
      </w:r>
      <w:r>
        <w:rPr>
          <w:rStyle w:val="16"/>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16"/>
          <w:rFonts w:ascii="Times New Roman" w:hAnsi="Times New Roman" w:cs="Times New Roman" w:eastAsiaTheme="minorHAnsi"/>
          <w:color w:val="auto"/>
          <w:sz w:val="24"/>
          <w:szCs w:val="24"/>
        </w:rPr>
        <w:t>art. 8º, §2º, da Lei nº 12.527/2011</w:t>
      </w:r>
      <w:r>
        <w:rPr>
          <w:rStyle w:val="16"/>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e publicar extrato da contratação no Boletim Oficial do Município.</w:t>
      </w:r>
    </w:p>
    <w:p w14:paraId="7C9D1264">
      <w:pPr>
        <w:spacing w:line="288" w:lineRule="auto"/>
        <w:contextualSpacing/>
        <w:jc w:val="both"/>
        <w:rPr>
          <w:sz w:val="24"/>
          <w:szCs w:val="24"/>
        </w:rPr>
      </w:pPr>
    </w:p>
    <w:p w14:paraId="30D77B71">
      <w:pPr>
        <w:spacing w:line="288" w:lineRule="auto"/>
        <w:contextualSpacing/>
        <w:jc w:val="both"/>
        <w:rPr>
          <w:sz w:val="24"/>
          <w:szCs w:val="24"/>
        </w:rPr>
      </w:pPr>
      <w:r>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55A7744B">
      <w:pPr>
        <w:spacing w:line="288" w:lineRule="auto"/>
        <w:contextualSpacing/>
        <w:jc w:val="both"/>
        <w:rPr>
          <w:sz w:val="24"/>
          <w:szCs w:val="24"/>
        </w:rPr>
      </w:pPr>
    </w:p>
    <w:p w14:paraId="14253DB6">
      <w:pPr>
        <w:spacing w:line="288" w:lineRule="auto"/>
        <w:contextualSpacing/>
        <w:jc w:val="both"/>
        <w:rPr>
          <w:sz w:val="24"/>
          <w:szCs w:val="24"/>
        </w:rPr>
      </w:pPr>
      <w:r>
        <w:rPr>
          <w:sz w:val="24"/>
          <w:szCs w:val="24"/>
        </w:rPr>
        <w:t xml:space="preserve">16.2 O </w:t>
      </w:r>
      <w:r>
        <w:rPr>
          <w:b/>
          <w:bCs/>
          <w:sz w:val="24"/>
          <w:szCs w:val="24"/>
        </w:rPr>
        <w:t>CONTRATANTE</w:t>
      </w:r>
      <w:r>
        <w:rPr>
          <w:sz w:val="24"/>
          <w:szCs w:val="24"/>
        </w:rPr>
        <w:t xml:space="preserve"> deverá adotar as providências necessárias para dar conhecimento da contratação, junto ao Tribunal de Contas do Estado.</w:t>
      </w:r>
    </w:p>
    <w:p w14:paraId="73BD2823">
      <w:pPr>
        <w:pStyle w:val="98"/>
        <w:spacing w:before="0" w:after="0" w:line="288" w:lineRule="auto"/>
        <w:ind w:left="36" w:firstLine="0"/>
        <w:contextualSpacing/>
        <w:rPr>
          <w:rFonts w:ascii="Times New Roman" w:hAnsi="Times New Roman" w:cs="Times New Roman"/>
          <w:color w:val="auto"/>
          <w:sz w:val="24"/>
          <w:szCs w:val="24"/>
        </w:rPr>
      </w:pPr>
    </w:p>
    <w:p w14:paraId="3AB9A952">
      <w:pPr>
        <w:pStyle w:val="100"/>
        <w:spacing w:before="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SÉTIMA – FORO </w:t>
      </w:r>
    </w:p>
    <w:p w14:paraId="7FA18A20">
      <w:pPr>
        <w:spacing w:line="288" w:lineRule="auto"/>
        <w:contextualSpacing/>
        <w:rPr>
          <w:sz w:val="24"/>
          <w:szCs w:val="24"/>
        </w:rPr>
      </w:pPr>
    </w:p>
    <w:p w14:paraId="733CD792">
      <w:pPr>
        <w:spacing w:line="288" w:lineRule="auto"/>
        <w:contextualSpacing/>
        <w:jc w:val="both"/>
        <w:rPr>
          <w:sz w:val="24"/>
          <w:szCs w:val="24"/>
        </w:rPr>
      </w:pPr>
      <w:r>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0026F640">
      <w:pPr>
        <w:spacing w:line="288" w:lineRule="auto"/>
        <w:contextualSpacing/>
        <w:jc w:val="both"/>
        <w:rPr>
          <w:sz w:val="24"/>
          <w:szCs w:val="24"/>
        </w:rPr>
      </w:pPr>
    </w:p>
    <w:p w14:paraId="71C1B29D">
      <w:pPr>
        <w:spacing w:line="288" w:lineRule="auto"/>
        <w:contextualSpacing/>
        <w:jc w:val="both"/>
        <w:rPr>
          <w:sz w:val="24"/>
          <w:szCs w:val="24"/>
        </w:rPr>
      </w:pPr>
      <w:r>
        <w:rPr>
          <w:sz w:val="24"/>
          <w:szCs w:val="24"/>
        </w:rPr>
        <w:t>E, por estarem assim acordes em todas as condições e cláusulas estabelecidas neste Contrato, firmam as partes o presente instrumento, depois de achado conforme, em presença das testemunhas abaixo firmadas.</w:t>
      </w:r>
    </w:p>
    <w:p w14:paraId="2EEE282D">
      <w:pPr>
        <w:pStyle w:val="98"/>
        <w:spacing w:before="0" w:after="0" w:line="288" w:lineRule="auto"/>
        <w:ind w:left="0" w:firstLine="567"/>
        <w:contextualSpacing/>
        <w:rPr>
          <w:rFonts w:ascii="Times New Roman" w:hAnsi="Times New Roman" w:cs="Times New Roman"/>
          <w:i/>
          <w:iCs/>
          <w:color w:val="FF0000"/>
          <w:sz w:val="24"/>
          <w:szCs w:val="24"/>
        </w:rPr>
      </w:pPr>
    </w:p>
    <w:p w14:paraId="018800DF">
      <w:pPr>
        <w:pStyle w:val="98"/>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 de xxxxxxxxx de 2026.</w:t>
      </w:r>
    </w:p>
    <w:p w14:paraId="5996192B">
      <w:pPr>
        <w:spacing w:line="288" w:lineRule="auto"/>
        <w:ind w:firstLine="567"/>
        <w:contextualSpacing/>
        <w:jc w:val="center"/>
        <w:rPr>
          <w:bCs/>
          <w:sz w:val="24"/>
          <w:szCs w:val="24"/>
        </w:rPr>
      </w:pPr>
    </w:p>
    <w:p w14:paraId="6E505C43">
      <w:pPr>
        <w:spacing w:line="288" w:lineRule="auto"/>
        <w:ind w:firstLine="567"/>
        <w:contextualSpacing/>
        <w:jc w:val="center"/>
        <w:rPr>
          <w:bCs/>
          <w:sz w:val="24"/>
          <w:szCs w:val="24"/>
        </w:rPr>
      </w:pPr>
      <w:r>
        <w:rPr>
          <w:bCs/>
          <w:sz w:val="24"/>
          <w:szCs w:val="24"/>
        </w:rPr>
        <w:t xml:space="preserve"> </w:t>
      </w:r>
    </w:p>
    <w:p w14:paraId="75255937">
      <w:pPr>
        <w:spacing w:line="288" w:lineRule="auto"/>
        <w:ind w:firstLine="567"/>
        <w:contextualSpacing/>
        <w:jc w:val="center"/>
        <w:rPr>
          <w:bCs/>
          <w:sz w:val="24"/>
          <w:szCs w:val="24"/>
        </w:rPr>
      </w:pPr>
    </w:p>
    <w:p w14:paraId="18BDE4D6">
      <w:pPr>
        <w:spacing w:line="288" w:lineRule="auto"/>
        <w:ind w:firstLine="567"/>
        <w:contextualSpacing/>
        <w:jc w:val="center"/>
        <w:rPr>
          <w:bCs/>
          <w:sz w:val="24"/>
          <w:szCs w:val="24"/>
        </w:rPr>
      </w:pPr>
    </w:p>
    <w:p w14:paraId="1BF0733F">
      <w:pPr>
        <w:spacing w:line="288" w:lineRule="auto"/>
        <w:ind w:firstLine="567"/>
        <w:contextualSpacing/>
        <w:jc w:val="center"/>
        <w:rPr>
          <w:bCs/>
          <w:sz w:val="24"/>
          <w:szCs w:val="24"/>
        </w:rPr>
      </w:pPr>
      <w:r>
        <w:rPr>
          <w:bCs/>
          <w:sz w:val="24"/>
          <w:szCs w:val="24"/>
        </w:rPr>
        <w:t>_________________________</w:t>
      </w:r>
    </w:p>
    <w:p w14:paraId="728209EE">
      <w:pPr>
        <w:spacing w:line="288" w:lineRule="auto"/>
        <w:ind w:firstLine="567"/>
        <w:contextualSpacing/>
        <w:jc w:val="center"/>
        <w:rPr>
          <w:sz w:val="24"/>
          <w:szCs w:val="24"/>
        </w:rPr>
      </w:pPr>
      <w:r>
        <w:rPr>
          <w:sz w:val="24"/>
          <w:szCs w:val="24"/>
        </w:rPr>
        <w:t>Rafael de Oliveira Tavares</w:t>
      </w:r>
    </w:p>
    <w:p w14:paraId="01C3EBB2">
      <w:pPr>
        <w:spacing w:line="288" w:lineRule="auto"/>
        <w:ind w:firstLine="567"/>
        <w:contextualSpacing/>
        <w:jc w:val="center"/>
        <w:rPr>
          <w:bCs/>
          <w:sz w:val="24"/>
          <w:szCs w:val="24"/>
        </w:rPr>
      </w:pPr>
      <w:r>
        <w:rPr>
          <w:sz w:val="24"/>
          <w:szCs w:val="24"/>
        </w:rPr>
        <w:t>Secretário Municipal de Saúde</w:t>
      </w:r>
    </w:p>
    <w:p w14:paraId="5435C56F">
      <w:pPr>
        <w:spacing w:line="288" w:lineRule="auto"/>
        <w:ind w:firstLine="567"/>
        <w:contextualSpacing/>
        <w:jc w:val="center"/>
        <w:rPr>
          <w:bCs/>
          <w:sz w:val="24"/>
          <w:szCs w:val="24"/>
        </w:rPr>
      </w:pPr>
      <w:r>
        <w:rPr>
          <w:bCs/>
          <w:sz w:val="24"/>
          <w:szCs w:val="24"/>
        </w:rPr>
        <w:t>MUNICÍPIO DE VALENÇA</w:t>
      </w:r>
    </w:p>
    <w:p w14:paraId="2DE40EE4">
      <w:pPr>
        <w:spacing w:line="288" w:lineRule="auto"/>
        <w:ind w:firstLine="567"/>
        <w:contextualSpacing/>
        <w:jc w:val="center"/>
        <w:rPr>
          <w:bCs/>
          <w:sz w:val="24"/>
          <w:szCs w:val="24"/>
        </w:rPr>
      </w:pPr>
    </w:p>
    <w:p w14:paraId="211C09F6">
      <w:pPr>
        <w:spacing w:line="288" w:lineRule="auto"/>
        <w:ind w:firstLine="567"/>
        <w:contextualSpacing/>
        <w:jc w:val="center"/>
        <w:rPr>
          <w:bCs/>
          <w:sz w:val="24"/>
          <w:szCs w:val="24"/>
        </w:rPr>
      </w:pPr>
    </w:p>
    <w:p w14:paraId="4BB6E0A2">
      <w:pPr>
        <w:spacing w:line="288" w:lineRule="auto"/>
        <w:ind w:firstLine="567"/>
        <w:contextualSpacing/>
        <w:jc w:val="center"/>
        <w:rPr>
          <w:sz w:val="24"/>
          <w:szCs w:val="24"/>
        </w:rPr>
      </w:pPr>
      <w:r>
        <w:rPr>
          <w:sz w:val="24"/>
          <w:szCs w:val="24"/>
        </w:rPr>
        <w:t>_________________________</w:t>
      </w:r>
    </w:p>
    <w:p w14:paraId="41D47E85">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061793B9">
      <w:pPr>
        <w:spacing w:line="288" w:lineRule="auto"/>
        <w:ind w:firstLine="567"/>
        <w:contextualSpacing/>
        <w:jc w:val="center"/>
        <w:rPr>
          <w:sz w:val="24"/>
          <w:szCs w:val="24"/>
        </w:rPr>
      </w:pPr>
    </w:p>
    <w:p w14:paraId="051C0590">
      <w:pPr>
        <w:spacing w:line="288" w:lineRule="auto"/>
        <w:ind w:firstLine="567"/>
        <w:contextualSpacing/>
        <w:jc w:val="center"/>
        <w:rPr>
          <w:sz w:val="24"/>
          <w:szCs w:val="24"/>
        </w:rPr>
      </w:pPr>
    </w:p>
    <w:p w14:paraId="10067BBA">
      <w:pPr>
        <w:spacing w:line="288" w:lineRule="auto"/>
        <w:contextualSpacing/>
        <w:jc w:val="both"/>
        <w:rPr>
          <w:sz w:val="24"/>
          <w:szCs w:val="24"/>
        </w:rPr>
      </w:pPr>
      <w:r>
        <w:rPr>
          <w:sz w:val="24"/>
          <w:szCs w:val="24"/>
        </w:rPr>
        <w:t>TESTEMUNHAS:</w:t>
      </w:r>
    </w:p>
    <w:p w14:paraId="63C54604">
      <w:pPr>
        <w:spacing w:line="288" w:lineRule="auto"/>
        <w:contextualSpacing/>
        <w:rPr>
          <w:sz w:val="24"/>
          <w:szCs w:val="24"/>
        </w:rPr>
      </w:pPr>
      <w:r>
        <w:rPr>
          <w:sz w:val="24"/>
          <w:szCs w:val="24"/>
        </w:rPr>
        <w:t>1-</w:t>
      </w:r>
    </w:p>
    <w:p w14:paraId="221BF12E">
      <w:pPr>
        <w:spacing w:line="288" w:lineRule="auto"/>
        <w:contextualSpacing/>
        <w:rPr>
          <w:sz w:val="24"/>
          <w:szCs w:val="24"/>
        </w:rPr>
      </w:pPr>
      <w:r>
        <w:rPr>
          <w:sz w:val="24"/>
          <w:szCs w:val="24"/>
        </w:rPr>
        <w:t xml:space="preserve">2- </w:t>
      </w:r>
    </w:p>
    <w:p w14:paraId="4B6D9ED2">
      <w:pPr>
        <w:rPr>
          <w:sz w:val="24"/>
          <w:szCs w:val="24"/>
        </w:rPr>
      </w:pPr>
    </w:p>
    <w:p w14:paraId="126EB957">
      <w:pPr>
        <w:rPr>
          <w:sz w:val="24"/>
          <w:szCs w:val="24"/>
        </w:rPr>
      </w:pPr>
    </w:p>
    <w:p w14:paraId="7E3DC760">
      <w:pPr>
        <w:ind w:firstLine="142"/>
        <w:rPr>
          <w:sz w:val="24"/>
          <w:szCs w:val="24"/>
        </w:rPr>
      </w:pPr>
    </w:p>
    <w:p w14:paraId="23169F2B">
      <w:pPr>
        <w:ind w:firstLine="142"/>
        <w:jc w:val="center"/>
        <w:rPr>
          <w:b/>
          <w:bCs/>
          <w:sz w:val="24"/>
          <w:szCs w:val="24"/>
        </w:rPr>
      </w:pPr>
      <w:r>
        <w:rPr>
          <w:b/>
          <w:bCs/>
          <w:sz w:val="24"/>
          <w:szCs w:val="24"/>
        </w:rPr>
        <w:t>ANEXO VII</w:t>
      </w:r>
    </w:p>
    <w:p w14:paraId="6B847701">
      <w:pPr>
        <w:ind w:firstLine="142"/>
        <w:jc w:val="center"/>
        <w:rPr>
          <w:b/>
          <w:bCs/>
          <w:sz w:val="24"/>
          <w:szCs w:val="24"/>
        </w:rPr>
      </w:pPr>
    </w:p>
    <w:p w14:paraId="35E500AD">
      <w:pPr>
        <w:pStyle w:val="20"/>
        <w:spacing w:line="360" w:lineRule="auto"/>
        <w:ind w:right="-285" w:firstLine="142"/>
        <w:jc w:val="center"/>
        <w:rPr>
          <w:rFonts w:ascii="Times New Roman" w:hAnsi="Times New Roman" w:cs="Times New Roman"/>
          <w:b/>
          <w:u w:val="single"/>
        </w:rPr>
      </w:pPr>
      <w:r>
        <w:rPr>
          <w:rFonts w:ascii="Times New Roman" w:hAnsi="Times New Roman" w:cs="Times New Roman"/>
          <w:b/>
          <w:highlight w:val="yellow"/>
          <w:u w:val="single"/>
        </w:rPr>
        <w:t>DECLARAÇÃO DE RESPONSABILIZAÇÃO CIVIL E ADMINISTRATIVA</w:t>
      </w:r>
    </w:p>
    <w:p w14:paraId="2D57AE56">
      <w:pPr>
        <w:pStyle w:val="20"/>
        <w:spacing w:line="360" w:lineRule="auto"/>
        <w:ind w:right="-285" w:firstLine="142"/>
        <w:jc w:val="center"/>
        <w:rPr>
          <w:rFonts w:ascii="Times New Roman" w:hAnsi="Times New Roman" w:cs="Times New Roman"/>
        </w:rPr>
      </w:pPr>
    </w:p>
    <w:p w14:paraId="17C7E9A5">
      <w:pPr>
        <w:pStyle w:val="20"/>
        <w:spacing w:line="360" w:lineRule="auto"/>
        <w:ind w:right="-285" w:firstLine="142"/>
        <w:jc w:val="both"/>
        <w:rPr>
          <w:rFonts w:ascii="Times New Roman" w:hAnsi="Times New Roman" w:cs="Times New Roman"/>
        </w:rPr>
      </w:pPr>
      <w:r>
        <w:rPr>
          <w:rFonts w:ascii="Times New Roman" w:hAnsi="Times New Roman" w:cs="Times New Roman"/>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6B5B0E98">
      <w:pPr>
        <w:pStyle w:val="20"/>
        <w:spacing w:line="360" w:lineRule="auto"/>
        <w:ind w:right="-285" w:firstLine="142"/>
        <w:jc w:val="center"/>
        <w:rPr>
          <w:rFonts w:ascii="Times New Roman" w:hAnsi="Times New Roman" w:cs="Times New Roman"/>
        </w:rPr>
      </w:pPr>
    </w:p>
    <w:p w14:paraId="1F4BCB24">
      <w:pPr>
        <w:pStyle w:val="20"/>
        <w:spacing w:line="360" w:lineRule="auto"/>
        <w:ind w:right="-285" w:firstLine="142"/>
        <w:jc w:val="both"/>
        <w:rPr>
          <w:rFonts w:ascii="Times New Roman" w:hAnsi="Times New Roman" w:cs="Times New Roman"/>
        </w:rPr>
      </w:pPr>
      <w:r>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9BCE98A">
      <w:pPr>
        <w:pStyle w:val="20"/>
        <w:spacing w:line="360" w:lineRule="auto"/>
        <w:ind w:right="-285" w:firstLine="142"/>
        <w:jc w:val="center"/>
        <w:rPr>
          <w:rFonts w:ascii="Times New Roman" w:hAnsi="Times New Roman" w:cs="Times New Roman"/>
        </w:rPr>
      </w:pPr>
    </w:p>
    <w:p w14:paraId="1F581539">
      <w:pPr>
        <w:pStyle w:val="20"/>
        <w:spacing w:line="360" w:lineRule="auto"/>
        <w:ind w:right="-285" w:firstLine="142"/>
        <w:jc w:val="both"/>
        <w:rPr>
          <w:rFonts w:ascii="Times New Roman" w:hAnsi="Times New Roman" w:cs="Times New Roman"/>
        </w:rPr>
      </w:pPr>
      <w:r>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1132E721">
      <w:pPr>
        <w:pStyle w:val="20"/>
        <w:spacing w:line="360" w:lineRule="auto"/>
        <w:ind w:right="-285" w:firstLine="142"/>
        <w:jc w:val="center"/>
        <w:rPr>
          <w:rFonts w:ascii="Times New Roman" w:hAnsi="Times New Roman" w:cs="Times New Roman"/>
        </w:rPr>
      </w:pPr>
    </w:p>
    <w:p w14:paraId="68D99209">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7DC4542F">
      <w:pPr>
        <w:pStyle w:val="20"/>
        <w:spacing w:line="360" w:lineRule="auto"/>
        <w:ind w:right="-285" w:firstLine="142"/>
        <w:jc w:val="center"/>
        <w:rPr>
          <w:rFonts w:ascii="Times New Roman" w:hAnsi="Times New Roman" w:cs="Times New Roman"/>
        </w:rPr>
      </w:pPr>
    </w:p>
    <w:p w14:paraId="6FDE8502">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6A19A55">
      <w:pPr>
        <w:pStyle w:val="20"/>
        <w:ind w:right="-284" w:firstLine="142"/>
        <w:jc w:val="center"/>
        <w:rPr>
          <w:rFonts w:ascii="Times New Roman" w:hAnsi="Times New Roman" w:cs="Times New Roman"/>
        </w:rPr>
      </w:pPr>
      <w:r>
        <w:rPr>
          <w:rFonts w:ascii="Times New Roman" w:hAnsi="Times New Roman" w:cs="Times New Roman"/>
        </w:rPr>
        <w:t>AGENTE PÚBLICO</w:t>
      </w:r>
    </w:p>
    <w:p w14:paraId="40AA8B6A">
      <w:pPr>
        <w:pStyle w:val="20"/>
        <w:ind w:right="-284" w:firstLine="142"/>
        <w:jc w:val="center"/>
        <w:rPr>
          <w:rFonts w:ascii="Times New Roman" w:hAnsi="Times New Roman" w:cs="Times New Roman"/>
        </w:rPr>
      </w:pPr>
      <w:r>
        <w:rPr>
          <w:rFonts w:ascii="Times New Roman" w:hAnsi="Times New Roman" w:cs="Times New Roman"/>
        </w:rPr>
        <w:t>(Nome, cargo, matrícula e lotação)</w:t>
      </w:r>
    </w:p>
    <w:p w14:paraId="69B347DC">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1DD8A169">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AB4EE7F">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7BC41C5B">
      <w:pPr>
        <w:pStyle w:val="20"/>
        <w:spacing w:line="360" w:lineRule="auto"/>
        <w:rPr>
          <w:rFonts w:ascii="Times New Roman" w:hAnsi="Times New Roman" w:cs="Times New Roman"/>
        </w:rPr>
      </w:pPr>
    </w:p>
    <w:p w14:paraId="5A84A1BF">
      <w:pPr>
        <w:pStyle w:val="2"/>
        <w:rPr>
          <w:sz w:val="24"/>
          <w:szCs w:val="24"/>
        </w:rPr>
      </w:pPr>
    </w:p>
    <w:p w14:paraId="2D3DF16F">
      <w:pPr>
        <w:pStyle w:val="20"/>
        <w:spacing w:line="360" w:lineRule="auto"/>
        <w:ind w:right="-285" w:firstLine="142"/>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DECLARAÇÃO DE INEXISTÊNCIA DE NEPOTISMO</w:t>
      </w:r>
    </w:p>
    <w:p w14:paraId="3C63E905">
      <w:pPr>
        <w:pStyle w:val="20"/>
        <w:spacing w:line="360" w:lineRule="auto"/>
        <w:ind w:right="-285" w:firstLine="142"/>
        <w:jc w:val="center"/>
        <w:rPr>
          <w:rFonts w:ascii="Times New Roman" w:hAnsi="Times New Roman" w:cs="Times New Roman"/>
          <w:color w:val="000000" w:themeColor="text1"/>
          <w14:textFill>
            <w14:solidFill>
              <w14:schemeClr w14:val="tx1"/>
            </w14:solidFill>
          </w14:textFill>
        </w:rPr>
      </w:pPr>
    </w:p>
    <w:p w14:paraId="5FEF3969">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77A4DC1">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2A05D26F">
      <w:pPr>
        <w:pStyle w:val="20"/>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3C66C6C3">
      <w:pPr>
        <w:pStyle w:val="20"/>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4DE409E5">
      <w:pPr>
        <w:pStyle w:val="20"/>
        <w:spacing w:line="360" w:lineRule="auto"/>
        <w:ind w:right="-285" w:firstLine="142"/>
        <w:jc w:val="center"/>
        <w:rPr>
          <w:rFonts w:ascii="Times New Roman" w:hAnsi="Times New Roman" w:cs="Times New Roman"/>
        </w:rPr>
      </w:pPr>
    </w:p>
    <w:p w14:paraId="405C74FA">
      <w:pPr>
        <w:pStyle w:val="20"/>
        <w:spacing w:line="360" w:lineRule="auto"/>
        <w:ind w:right="-285" w:firstLine="142"/>
        <w:jc w:val="center"/>
        <w:rPr>
          <w:rFonts w:ascii="Times New Roman" w:hAnsi="Times New Roman" w:cs="Times New Roman"/>
        </w:rPr>
      </w:pPr>
    </w:p>
    <w:p w14:paraId="36006C0B">
      <w:pPr>
        <w:pStyle w:val="20"/>
        <w:spacing w:line="360" w:lineRule="auto"/>
        <w:ind w:right="-285" w:firstLine="142"/>
        <w:jc w:val="center"/>
        <w:rPr>
          <w:rFonts w:ascii="Times New Roman" w:hAnsi="Times New Roman" w:cs="Times New Roman"/>
        </w:rPr>
      </w:pPr>
    </w:p>
    <w:p w14:paraId="493DB7F0">
      <w:pPr>
        <w:pStyle w:val="20"/>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5FC65923">
      <w:pPr>
        <w:pStyle w:val="20"/>
        <w:ind w:right="-284" w:firstLine="142"/>
        <w:jc w:val="center"/>
        <w:rPr>
          <w:rFonts w:ascii="Times New Roman" w:hAnsi="Times New Roman" w:cs="Times New Roman"/>
        </w:rPr>
      </w:pPr>
      <w:r>
        <w:rPr>
          <w:rFonts w:ascii="Times New Roman" w:hAnsi="Times New Roman" w:cs="Times New Roman"/>
        </w:rPr>
        <w:t>CONTRATADA</w:t>
      </w:r>
    </w:p>
    <w:p w14:paraId="57568395">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2D02CC3D">
      <w:pPr>
        <w:pStyle w:val="20"/>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06B3AA33">
      <w:pPr>
        <w:pStyle w:val="20"/>
        <w:spacing w:line="360" w:lineRule="auto"/>
        <w:jc w:val="both"/>
        <w:rPr>
          <w:rFonts w:ascii="Times New Roman" w:hAnsi="Times New Roman" w:cs="Times New Roman"/>
          <w:color w:val="000000" w:themeColor="text1"/>
          <w14:textFill>
            <w14:solidFill>
              <w14:schemeClr w14:val="tx1"/>
            </w14:solidFill>
          </w14:textFill>
        </w:rPr>
      </w:pPr>
    </w:p>
    <w:p w14:paraId="44A5C75A">
      <w:pPr>
        <w:pStyle w:val="20"/>
        <w:ind w:right="-284" w:firstLine="142"/>
        <w:jc w:val="center"/>
        <w:rPr>
          <w:rFonts w:ascii="Times New Roman" w:hAnsi="Times New Roman" w:cs="Times New Roman"/>
          <w:b/>
          <w:color w:val="000000"/>
        </w:rPr>
      </w:pPr>
    </w:p>
    <w:p w14:paraId="5AC87FF5">
      <w:pPr>
        <w:pStyle w:val="20"/>
        <w:ind w:right="-284" w:firstLine="142"/>
        <w:jc w:val="center"/>
        <w:rPr>
          <w:rFonts w:ascii="Times New Roman" w:hAnsi="Times New Roman" w:eastAsia="Times New Roman" w:cs="Times New Roman"/>
          <w:b/>
        </w:rPr>
      </w:pPr>
      <w:r>
        <w:rPr>
          <w:rFonts w:ascii="Times New Roman" w:hAnsi="Times New Roman" w:cs="Times New Roman"/>
          <w:b/>
          <w:color w:val="000000"/>
        </w:rPr>
        <w:t xml:space="preserve">DECLARAÇÃO  REF. </w:t>
      </w:r>
      <w:r>
        <w:rPr>
          <w:rFonts w:ascii="Times New Roman" w:hAnsi="Times New Roman" w:eastAsia="Times New Roman" w:cs="Times New Roman"/>
          <w:b/>
        </w:rPr>
        <w:t>ARTIGO  9º, § 1º, DA LEI FEDERAL Nº 14.133/2021</w:t>
      </w:r>
    </w:p>
    <w:p w14:paraId="58E1C886">
      <w:pPr>
        <w:spacing w:line="360" w:lineRule="auto"/>
        <w:ind w:right="-285" w:firstLine="142"/>
        <w:jc w:val="both"/>
        <w:rPr>
          <w:sz w:val="24"/>
          <w:szCs w:val="24"/>
        </w:rPr>
      </w:pPr>
    </w:p>
    <w:p w14:paraId="68D69372">
      <w:pPr>
        <w:spacing w:line="360" w:lineRule="auto"/>
        <w:ind w:right="-285" w:firstLine="142"/>
        <w:jc w:val="both"/>
        <w:rPr>
          <w:sz w:val="24"/>
          <w:szCs w:val="24"/>
        </w:rPr>
      </w:pPr>
      <w:r>
        <w:rPr>
          <w:sz w:val="24"/>
          <w:szCs w:val="24"/>
        </w:rPr>
        <w:t>(em papel timbrado da empresa)</w:t>
      </w:r>
    </w:p>
    <w:p w14:paraId="0AE3634B">
      <w:pPr>
        <w:spacing w:line="360" w:lineRule="auto"/>
        <w:ind w:right="-285" w:firstLine="142"/>
        <w:jc w:val="both"/>
        <w:rPr>
          <w:sz w:val="24"/>
          <w:szCs w:val="24"/>
        </w:rPr>
      </w:pPr>
    </w:p>
    <w:p w14:paraId="5064F6C8">
      <w:pPr>
        <w:spacing w:line="360" w:lineRule="auto"/>
        <w:ind w:right="-285" w:firstLine="142"/>
        <w:jc w:val="both"/>
        <w:rPr>
          <w:sz w:val="24"/>
          <w:szCs w:val="24"/>
        </w:rPr>
      </w:pPr>
      <w:r>
        <w:rPr>
          <w:i/>
          <w:sz w:val="24"/>
          <w:szCs w:val="24"/>
        </w:rPr>
        <w:t>[denominação/razão social da sociedade empresarial]</w:t>
      </w:r>
    </w:p>
    <w:p w14:paraId="4C5C3BE2">
      <w:pPr>
        <w:tabs>
          <w:tab w:val="left" w:pos="5980"/>
        </w:tabs>
        <w:spacing w:line="360" w:lineRule="auto"/>
        <w:ind w:right="-285" w:firstLine="142"/>
        <w:jc w:val="both"/>
        <w:rPr>
          <w:sz w:val="24"/>
          <w:szCs w:val="24"/>
        </w:rPr>
      </w:pPr>
      <w:r>
        <w:rPr>
          <w:sz w:val="24"/>
          <w:szCs w:val="24"/>
        </w:rPr>
        <w:t>Cadastro Nacional de Pessoas Jurídicas – CNPJ n°____________.</w:t>
      </w:r>
    </w:p>
    <w:p w14:paraId="09723628">
      <w:pPr>
        <w:spacing w:line="360" w:lineRule="auto"/>
        <w:ind w:right="-285" w:firstLine="142"/>
        <w:jc w:val="both"/>
        <w:rPr>
          <w:i/>
          <w:sz w:val="24"/>
          <w:szCs w:val="24"/>
        </w:rPr>
      </w:pPr>
      <w:r>
        <w:rPr>
          <w:i/>
          <w:sz w:val="24"/>
          <w:szCs w:val="24"/>
        </w:rPr>
        <w:t>[endereço da sociedade empresarial]</w:t>
      </w:r>
    </w:p>
    <w:p w14:paraId="7D9442F7">
      <w:pPr>
        <w:spacing w:line="360" w:lineRule="auto"/>
        <w:ind w:right="-285" w:firstLine="142"/>
        <w:jc w:val="both"/>
        <w:rPr>
          <w:sz w:val="24"/>
          <w:szCs w:val="24"/>
        </w:rPr>
      </w:pPr>
    </w:p>
    <w:p w14:paraId="3BDA04E7">
      <w:pPr>
        <w:spacing w:line="360" w:lineRule="auto"/>
        <w:ind w:right="-285" w:firstLine="142"/>
        <w:jc w:val="both"/>
        <w:rPr>
          <w:sz w:val="24"/>
          <w:szCs w:val="24"/>
        </w:rPr>
      </w:pPr>
      <w:r>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35FADF78">
      <w:pPr>
        <w:spacing w:line="360" w:lineRule="auto"/>
        <w:ind w:right="-285" w:firstLine="142"/>
        <w:jc w:val="both"/>
        <w:rPr>
          <w:sz w:val="24"/>
          <w:szCs w:val="24"/>
        </w:rPr>
      </w:pPr>
      <w:r>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745BD85B">
      <w:pPr>
        <w:spacing w:line="360" w:lineRule="auto"/>
        <w:ind w:right="-285" w:firstLine="142"/>
        <w:jc w:val="both"/>
        <w:rPr>
          <w:sz w:val="24"/>
          <w:szCs w:val="24"/>
        </w:rPr>
      </w:pPr>
      <w:r>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2880C21">
      <w:pPr>
        <w:spacing w:line="360" w:lineRule="auto"/>
        <w:ind w:right="-285" w:firstLine="142"/>
        <w:jc w:val="center"/>
        <w:rPr>
          <w:sz w:val="24"/>
          <w:szCs w:val="24"/>
        </w:rPr>
      </w:pPr>
      <w:r>
        <w:rPr>
          <w:sz w:val="24"/>
          <w:szCs w:val="24"/>
        </w:rPr>
        <w:t>Valença, _____ de ___________________de _______.</w:t>
      </w:r>
    </w:p>
    <w:p w14:paraId="38460536">
      <w:pPr>
        <w:spacing w:line="360" w:lineRule="auto"/>
        <w:ind w:right="-285" w:firstLine="142"/>
        <w:jc w:val="center"/>
        <w:rPr>
          <w:sz w:val="24"/>
          <w:szCs w:val="24"/>
        </w:rPr>
      </w:pPr>
      <w:r>
        <w:rPr>
          <w:sz w:val="24"/>
          <w:szCs w:val="24"/>
        </w:rPr>
        <w:t>_____________________________________________________</w:t>
      </w:r>
    </w:p>
    <w:p w14:paraId="7142BD70">
      <w:pPr>
        <w:pStyle w:val="20"/>
        <w:ind w:right="-284" w:firstLine="142"/>
        <w:jc w:val="center"/>
        <w:rPr>
          <w:rFonts w:ascii="Times New Roman" w:hAnsi="Times New Roman" w:cs="Times New Roman"/>
        </w:rPr>
      </w:pPr>
      <w:r>
        <w:rPr>
          <w:rFonts w:ascii="Times New Roman" w:hAnsi="Times New Roman" w:cs="Times New Roman"/>
        </w:rPr>
        <w:t>CONTRATADA</w:t>
      </w:r>
    </w:p>
    <w:p w14:paraId="286A53D8">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121F5D83">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69B4092A">
      <w:pPr>
        <w:pStyle w:val="20"/>
        <w:ind w:right="-284"/>
        <w:rPr>
          <w:rFonts w:ascii="Times New Roman" w:hAnsi="Times New Roman" w:cs="Times New Roman"/>
        </w:rPr>
      </w:pPr>
    </w:p>
    <w:p w14:paraId="6E682EDB">
      <w:pPr>
        <w:pStyle w:val="20"/>
        <w:ind w:right="-284" w:firstLine="142"/>
        <w:jc w:val="center"/>
        <w:rPr>
          <w:rFonts w:ascii="Times New Roman" w:hAnsi="Times New Roman" w:cs="Times New Roman"/>
        </w:rPr>
      </w:pPr>
    </w:p>
    <w:p w14:paraId="13BDC093">
      <w:pPr>
        <w:pStyle w:val="20"/>
        <w:ind w:right="-284" w:firstLine="142"/>
        <w:jc w:val="center"/>
        <w:rPr>
          <w:rFonts w:ascii="Times New Roman" w:hAnsi="Times New Roman" w:cs="Times New Roman"/>
          <w:b/>
        </w:rPr>
      </w:pPr>
    </w:p>
    <w:p w14:paraId="0A2AC787">
      <w:pPr>
        <w:pStyle w:val="20"/>
        <w:ind w:right="-284" w:firstLine="142"/>
        <w:jc w:val="center"/>
        <w:rPr>
          <w:rFonts w:ascii="Times New Roman" w:hAnsi="Times New Roman" w:cs="Times New Roman"/>
          <w:b/>
        </w:rPr>
      </w:pPr>
      <w:r>
        <w:rPr>
          <w:rFonts w:ascii="Times New Roman" w:hAnsi="Times New Roman" w:cs="Times New Roman"/>
          <w:b/>
        </w:rPr>
        <w:t>DECLARAÇÃO REF. AO ARTIGO 68, DA LEI FEDERAL Nº 14.133/2021</w:t>
      </w:r>
    </w:p>
    <w:p w14:paraId="26354B47">
      <w:pPr>
        <w:pStyle w:val="59"/>
        <w:rPr>
          <w:rFonts w:ascii="Times New Roman" w:hAnsi="Times New Roman" w:cs="Times New Roman"/>
        </w:rPr>
      </w:pPr>
    </w:p>
    <w:p w14:paraId="6595B656">
      <w:pPr>
        <w:pStyle w:val="59"/>
        <w:rPr>
          <w:rFonts w:ascii="Times New Roman" w:hAnsi="Times New Roman" w:cs="Times New Roman"/>
        </w:rPr>
      </w:pPr>
      <w:r>
        <w:rPr>
          <w:rFonts w:ascii="Times New Roman" w:hAnsi="Times New Roman" w:cs="Times New Roman"/>
        </w:rPr>
        <w:t>(em papel timbrado da empresa)</w:t>
      </w:r>
    </w:p>
    <w:p w14:paraId="3B80EF63">
      <w:pPr>
        <w:pStyle w:val="59"/>
        <w:rPr>
          <w:rFonts w:ascii="Times New Roman" w:hAnsi="Times New Roman" w:cs="Times New Roman"/>
        </w:rPr>
      </w:pPr>
    </w:p>
    <w:p w14:paraId="5C6C8341">
      <w:pPr>
        <w:pStyle w:val="59"/>
        <w:rPr>
          <w:rFonts w:ascii="Times New Roman" w:hAnsi="Times New Roman" w:cs="Times New Roman"/>
        </w:rPr>
      </w:pPr>
    </w:p>
    <w:p w14:paraId="49F429BB">
      <w:pPr>
        <w:pStyle w:val="59"/>
        <w:rPr>
          <w:rFonts w:ascii="Times New Roman" w:hAnsi="Times New Roman" w:cs="Times New Roman"/>
        </w:rPr>
      </w:pPr>
      <w:r>
        <w:rPr>
          <w:rFonts w:ascii="Times New Roman" w:hAnsi="Times New Roman" w:cs="Times New Roman"/>
        </w:rPr>
        <w:t>____________________________________ [</w:t>
      </w:r>
      <w:r>
        <w:rPr>
          <w:rFonts w:ascii="Times New Roman" w:hAnsi="Times New Roman" w:cs="Times New Roman"/>
          <w:i/>
        </w:rPr>
        <w:t>órgão ou entidade licitante</w:t>
      </w:r>
      <w:r>
        <w:rPr>
          <w:rFonts w:ascii="Times New Roman" w:hAnsi="Times New Roman" w:cs="Times New Roman"/>
        </w:rPr>
        <w:t>] Ref. Licitação n° ___/____ ________________________________________ [</w:t>
      </w:r>
      <w:r>
        <w:rPr>
          <w:rFonts w:ascii="Times New Roman" w:hAnsi="Times New Roman" w:cs="Times New Roman"/>
          <w:i/>
        </w:rPr>
        <w:t>denominação/razão social da sociedade empresarial</w:t>
      </w:r>
      <w:r>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36F1D1F6">
      <w:pPr>
        <w:pStyle w:val="59"/>
        <w:rPr>
          <w:rFonts w:ascii="Times New Roman" w:hAnsi="Times New Roman" w:cs="Times New Roman"/>
        </w:rPr>
      </w:pPr>
    </w:p>
    <w:p w14:paraId="76109AD6">
      <w:pPr>
        <w:pStyle w:val="59"/>
        <w:rPr>
          <w:rFonts w:ascii="Times New Roman" w:hAnsi="Times New Roman" w:cs="Times New Roman"/>
        </w:rPr>
      </w:pPr>
      <w:r>
        <w:rPr>
          <w:rFonts w:ascii="Times New Roman" w:hAnsi="Times New Roman" w:cs="Times New Roman"/>
        </w:rPr>
        <w:t>Ressalva: (  ) Emprega menor, a partir de quatorze anos, na condição de aprendiz.</w:t>
      </w:r>
    </w:p>
    <w:p w14:paraId="76110717">
      <w:pPr>
        <w:pStyle w:val="59"/>
        <w:rPr>
          <w:rFonts w:ascii="Times New Roman" w:hAnsi="Times New Roman" w:cs="Times New Roman"/>
        </w:rPr>
      </w:pPr>
    </w:p>
    <w:p w14:paraId="0649E73C">
      <w:pPr>
        <w:pStyle w:val="59"/>
        <w:rPr>
          <w:rFonts w:ascii="Times New Roman" w:hAnsi="Times New Roman" w:cs="Times New Roman"/>
        </w:rPr>
      </w:pPr>
    </w:p>
    <w:p w14:paraId="5C388F3C">
      <w:pPr>
        <w:pStyle w:val="59"/>
        <w:rPr>
          <w:rFonts w:ascii="Times New Roman" w:hAnsi="Times New Roman" w:cs="Times New Roman"/>
        </w:rPr>
      </w:pPr>
    </w:p>
    <w:p w14:paraId="00DBD19C">
      <w:pPr>
        <w:pStyle w:val="20"/>
        <w:ind w:right="-284" w:firstLine="142"/>
        <w:jc w:val="center"/>
        <w:rPr>
          <w:rFonts w:ascii="Times New Roman" w:hAnsi="Times New Roman" w:cs="Times New Roman"/>
        </w:rPr>
      </w:pPr>
      <w:r>
        <w:rPr>
          <w:rFonts w:ascii="Times New Roman" w:hAnsi="Times New Roman" w:cs="Times New Roman"/>
        </w:rPr>
        <w:t>Valença, ______de ____________de _____.</w:t>
      </w:r>
    </w:p>
    <w:p w14:paraId="0C04F4DD">
      <w:pPr>
        <w:pStyle w:val="20"/>
        <w:ind w:right="-284" w:firstLine="142"/>
        <w:jc w:val="center"/>
        <w:rPr>
          <w:rFonts w:ascii="Times New Roman" w:hAnsi="Times New Roman" w:cs="Times New Roman"/>
        </w:rPr>
      </w:pPr>
    </w:p>
    <w:p w14:paraId="353275B0">
      <w:pPr>
        <w:pStyle w:val="20"/>
        <w:ind w:right="-284" w:firstLine="142"/>
        <w:jc w:val="center"/>
        <w:rPr>
          <w:rFonts w:ascii="Times New Roman" w:hAnsi="Times New Roman" w:cs="Times New Roman"/>
        </w:rPr>
      </w:pPr>
    </w:p>
    <w:p w14:paraId="6BD9B724">
      <w:pPr>
        <w:pStyle w:val="20"/>
        <w:spacing w:after="120"/>
        <w:ind w:right="-284" w:firstLine="142"/>
        <w:jc w:val="center"/>
        <w:rPr>
          <w:rFonts w:ascii="Times New Roman" w:hAnsi="Times New Roman" w:cs="Times New Roman"/>
        </w:rPr>
      </w:pPr>
      <w:r>
        <w:rPr>
          <w:rFonts w:ascii="Times New Roman" w:hAnsi="Times New Roman" w:cs="Times New Roman"/>
        </w:rPr>
        <w:t>_______________________________________________</w:t>
      </w:r>
    </w:p>
    <w:p w14:paraId="1A53CC3D">
      <w:pPr>
        <w:pStyle w:val="20"/>
        <w:ind w:right="-284" w:firstLine="142"/>
        <w:jc w:val="center"/>
        <w:rPr>
          <w:rFonts w:ascii="Times New Roman" w:hAnsi="Times New Roman" w:cs="Times New Roman"/>
        </w:rPr>
      </w:pPr>
      <w:r>
        <w:rPr>
          <w:rFonts w:ascii="Times New Roman" w:hAnsi="Times New Roman" w:cs="Times New Roman"/>
        </w:rPr>
        <w:t>CONTRATADA</w:t>
      </w:r>
    </w:p>
    <w:p w14:paraId="1BCF0E7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716A9796">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070FEE30">
      <w:pPr>
        <w:pStyle w:val="20"/>
        <w:spacing w:line="360" w:lineRule="auto"/>
        <w:ind w:right="-285"/>
        <w:rPr>
          <w:rFonts w:ascii="Times New Roman" w:hAnsi="Times New Roman" w:cs="Times New Roman"/>
          <w:b/>
        </w:rPr>
      </w:pPr>
    </w:p>
    <w:p w14:paraId="651B164F">
      <w:pPr>
        <w:rPr>
          <w:sz w:val="24"/>
          <w:szCs w:val="24"/>
        </w:rPr>
      </w:pPr>
    </w:p>
    <w:p w14:paraId="26548D4A">
      <w:pPr>
        <w:spacing w:line="360" w:lineRule="auto"/>
        <w:ind w:right="-285" w:firstLine="142"/>
        <w:jc w:val="center"/>
        <w:rPr>
          <w:b/>
          <w:sz w:val="24"/>
          <w:szCs w:val="24"/>
        </w:rPr>
      </w:pPr>
      <w:r>
        <w:rPr>
          <w:b/>
          <w:sz w:val="24"/>
          <w:szCs w:val="24"/>
        </w:rPr>
        <w:t>DECLARAÇÃO PARA FINS DE HABILITAÇÃO ECONÔMICO–FINANCEIRA –ART. 63, § 1º, DA LEI FEDERAL Nº 14.133/2021</w:t>
      </w:r>
    </w:p>
    <w:p w14:paraId="14BD06BC">
      <w:pPr>
        <w:pStyle w:val="59"/>
        <w:rPr>
          <w:rFonts w:ascii="Times New Roman" w:hAnsi="Times New Roman" w:cs="Times New Roman"/>
        </w:rPr>
      </w:pPr>
    </w:p>
    <w:p w14:paraId="32B80C46">
      <w:pPr>
        <w:spacing w:line="360" w:lineRule="auto"/>
        <w:ind w:right="-285" w:firstLine="142"/>
        <w:jc w:val="both"/>
        <w:rPr>
          <w:sz w:val="24"/>
          <w:szCs w:val="24"/>
        </w:rPr>
      </w:pPr>
      <w:r>
        <w:rPr>
          <w:sz w:val="24"/>
          <w:szCs w:val="24"/>
        </w:rPr>
        <w:t>(em papel timbrado da empresa)</w:t>
      </w:r>
    </w:p>
    <w:p w14:paraId="59BBB930">
      <w:pPr>
        <w:spacing w:line="360" w:lineRule="auto"/>
        <w:ind w:right="-285" w:firstLine="142"/>
        <w:jc w:val="both"/>
        <w:rPr>
          <w:sz w:val="24"/>
          <w:szCs w:val="24"/>
        </w:rPr>
      </w:pPr>
    </w:p>
    <w:p w14:paraId="11BC4586">
      <w:pPr>
        <w:spacing w:line="360" w:lineRule="auto"/>
        <w:ind w:right="-285" w:firstLine="142"/>
        <w:jc w:val="both"/>
        <w:rPr>
          <w:sz w:val="24"/>
          <w:szCs w:val="24"/>
        </w:rPr>
      </w:pPr>
      <w:r>
        <w:rPr>
          <w:i/>
          <w:sz w:val="24"/>
          <w:szCs w:val="24"/>
        </w:rPr>
        <w:t>[denominação/razão social da sociedade empresarial]</w:t>
      </w:r>
    </w:p>
    <w:p w14:paraId="7EC3EC69">
      <w:pPr>
        <w:tabs>
          <w:tab w:val="left" w:pos="5980"/>
        </w:tabs>
        <w:spacing w:line="360" w:lineRule="auto"/>
        <w:ind w:right="-285" w:firstLine="142"/>
        <w:jc w:val="both"/>
        <w:rPr>
          <w:sz w:val="24"/>
          <w:szCs w:val="24"/>
        </w:rPr>
      </w:pPr>
      <w:r>
        <w:rPr>
          <w:sz w:val="24"/>
          <w:szCs w:val="24"/>
        </w:rPr>
        <w:t>Cadastro Nacional de Pessoas Jurídicas – CNPJ n°____________.</w:t>
      </w:r>
    </w:p>
    <w:p w14:paraId="3D5163F8">
      <w:pPr>
        <w:spacing w:line="360" w:lineRule="auto"/>
        <w:ind w:right="-285" w:firstLine="142"/>
        <w:jc w:val="both"/>
        <w:rPr>
          <w:i/>
          <w:sz w:val="24"/>
          <w:szCs w:val="24"/>
        </w:rPr>
      </w:pPr>
      <w:r>
        <w:rPr>
          <w:i/>
          <w:sz w:val="24"/>
          <w:szCs w:val="24"/>
        </w:rPr>
        <w:t>[endereço da sociedade empresarial]</w:t>
      </w:r>
    </w:p>
    <w:p w14:paraId="7674E341">
      <w:pPr>
        <w:spacing w:line="360" w:lineRule="auto"/>
        <w:ind w:right="-285" w:firstLine="142"/>
        <w:jc w:val="both"/>
        <w:rPr>
          <w:sz w:val="24"/>
          <w:szCs w:val="24"/>
        </w:rPr>
      </w:pPr>
    </w:p>
    <w:p w14:paraId="7D3F1D5C">
      <w:pPr>
        <w:spacing w:line="360" w:lineRule="auto"/>
        <w:ind w:right="-285" w:firstLine="142"/>
        <w:jc w:val="both"/>
        <w:rPr>
          <w:sz w:val="24"/>
          <w:szCs w:val="24"/>
        </w:rPr>
      </w:pPr>
      <w:r>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565039">
      <w:pPr>
        <w:spacing w:line="360" w:lineRule="auto"/>
        <w:ind w:right="-285" w:firstLine="142"/>
        <w:jc w:val="both"/>
        <w:rPr>
          <w:sz w:val="24"/>
          <w:szCs w:val="24"/>
        </w:rPr>
      </w:pPr>
    </w:p>
    <w:p w14:paraId="7F509A02">
      <w:pPr>
        <w:spacing w:line="360" w:lineRule="auto"/>
        <w:ind w:right="-285" w:firstLine="142"/>
        <w:jc w:val="center"/>
        <w:rPr>
          <w:sz w:val="24"/>
          <w:szCs w:val="24"/>
        </w:rPr>
      </w:pPr>
      <w:r>
        <w:rPr>
          <w:sz w:val="24"/>
          <w:szCs w:val="24"/>
        </w:rPr>
        <w:t>Valença, _____ de ___________________de _______.</w:t>
      </w:r>
    </w:p>
    <w:p w14:paraId="52312FF1">
      <w:pPr>
        <w:spacing w:line="360" w:lineRule="auto"/>
        <w:ind w:right="-285" w:firstLine="142"/>
        <w:jc w:val="both"/>
        <w:rPr>
          <w:sz w:val="24"/>
          <w:szCs w:val="24"/>
        </w:rPr>
      </w:pPr>
    </w:p>
    <w:p w14:paraId="44091C13">
      <w:pPr>
        <w:ind w:right="-284" w:firstLine="142"/>
        <w:jc w:val="center"/>
        <w:rPr>
          <w:sz w:val="24"/>
          <w:szCs w:val="24"/>
        </w:rPr>
      </w:pPr>
      <w:r>
        <w:rPr>
          <w:sz w:val="24"/>
          <w:szCs w:val="24"/>
        </w:rPr>
        <w:t>______________________________________________________</w:t>
      </w:r>
    </w:p>
    <w:p w14:paraId="2C86D17B">
      <w:pPr>
        <w:pStyle w:val="20"/>
        <w:ind w:right="-284" w:firstLine="142"/>
        <w:jc w:val="center"/>
        <w:rPr>
          <w:rFonts w:ascii="Times New Roman" w:hAnsi="Times New Roman" w:cs="Times New Roman"/>
        </w:rPr>
      </w:pPr>
      <w:r>
        <w:rPr>
          <w:rFonts w:ascii="Times New Roman" w:hAnsi="Times New Roman" w:cs="Times New Roman"/>
        </w:rPr>
        <w:t>CONTRATADA</w:t>
      </w:r>
    </w:p>
    <w:p w14:paraId="4B1F2796">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06022D5B">
      <w:pPr>
        <w:pStyle w:val="20"/>
        <w:ind w:right="-284" w:firstLine="142"/>
        <w:jc w:val="center"/>
        <w:rPr>
          <w:rFonts w:ascii="Times New Roman" w:hAnsi="Times New Roman" w:cs="Times New Roman"/>
        </w:rPr>
      </w:pPr>
      <w:r>
        <w:rPr>
          <w:rFonts w:ascii="Times New Roman" w:hAnsi="Times New Roman" w:cs="Times New Roman"/>
        </w:rPr>
        <w:t>(Nome, cargo e carimbo da empresa)</w:t>
      </w:r>
    </w:p>
    <w:p w14:paraId="427BEB68">
      <w:pPr>
        <w:pStyle w:val="20"/>
        <w:ind w:right="-284" w:firstLine="142"/>
        <w:jc w:val="center"/>
        <w:rPr>
          <w:rFonts w:ascii="Times New Roman" w:hAnsi="Times New Roman" w:cs="Times New Roman"/>
        </w:rPr>
      </w:pPr>
    </w:p>
    <w:p w14:paraId="49AA916C">
      <w:pPr>
        <w:pStyle w:val="59"/>
        <w:rPr>
          <w:rFonts w:ascii="Times New Roman" w:hAnsi="Times New Roman" w:cs="Times New Roman"/>
        </w:rPr>
      </w:pPr>
    </w:p>
    <w:p w14:paraId="363B7077">
      <w:pPr>
        <w:spacing w:line="360" w:lineRule="auto"/>
        <w:ind w:right="-285" w:firstLine="142"/>
        <w:jc w:val="center"/>
        <w:rPr>
          <w:sz w:val="24"/>
          <w:szCs w:val="24"/>
        </w:rPr>
      </w:pPr>
      <w:r>
        <w:rPr>
          <w:b/>
          <w:bCs/>
          <w:sz w:val="24"/>
          <w:szCs w:val="24"/>
        </w:rPr>
        <w:t>DECLARAÇÃO DE CUMPRIMENTO DE RESERVA DE CARGOS DO ART. 63, IV, DA LEI FEDERAL Nº 14.133/2021</w:t>
      </w:r>
    </w:p>
    <w:p w14:paraId="21564D77">
      <w:pPr>
        <w:spacing w:line="360" w:lineRule="auto"/>
        <w:ind w:right="-285" w:firstLine="142"/>
        <w:jc w:val="both"/>
        <w:rPr>
          <w:sz w:val="24"/>
          <w:szCs w:val="24"/>
        </w:rPr>
      </w:pPr>
      <w:r>
        <w:rPr>
          <w:sz w:val="24"/>
          <w:szCs w:val="24"/>
        </w:rPr>
        <w:t>(em papel timbrado da empresa)</w:t>
      </w:r>
    </w:p>
    <w:p w14:paraId="06E6859B">
      <w:pPr>
        <w:spacing w:line="360" w:lineRule="auto"/>
        <w:ind w:right="-285" w:firstLine="142"/>
        <w:jc w:val="both"/>
        <w:rPr>
          <w:sz w:val="24"/>
          <w:szCs w:val="24"/>
        </w:rPr>
      </w:pPr>
    </w:p>
    <w:p w14:paraId="54A047B3">
      <w:pPr>
        <w:spacing w:line="360" w:lineRule="auto"/>
        <w:ind w:right="-285" w:firstLine="142"/>
        <w:jc w:val="both"/>
        <w:rPr>
          <w:sz w:val="24"/>
          <w:szCs w:val="24"/>
        </w:rPr>
      </w:pPr>
      <w:r>
        <w:rPr>
          <w:i/>
          <w:sz w:val="24"/>
          <w:szCs w:val="24"/>
        </w:rPr>
        <w:t>[denominação/razão social da sociedade empresarial]</w:t>
      </w:r>
    </w:p>
    <w:p w14:paraId="23EB874E">
      <w:pPr>
        <w:tabs>
          <w:tab w:val="left" w:pos="5980"/>
        </w:tabs>
        <w:spacing w:line="360" w:lineRule="auto"/>
        <w:ind w:right="-285" w:firstLine="142"/>
        <w:jc w:val="both"/>
        <w:rPr>
          <w:sz w:val="24"/>
          <w:szCs w:val="24"/>
        </w:rPr>
      </w:pPr>
      <w:r>
        <w:rPr>
          <w:sz w:val="24"/>
          <w:szCs w:val="24"/>
        </w:rPr>
        <w:t>Cadastro Nacional de Pessoas Jurídicas – CNPJ n°____________.</w:t>
      </w:r>
    </w:p>
    <w:p w14:paraId="1DB276AE">
      <w:pPr>
        <w:spacing w:line="360" w:lineRule="auto"/>
        <w:ind w:right="-285" w:firstLine="142"/>
        <w:jc w:val="both"/>
        <w:rPr>
          <w:i/>
          <w:sz w:val="24"/>
          <w:szCs w:val="24"/>
        </w:rPr>
      </w:pPr>
      <w:r>
        <w:rPr>
          <w:i/>
          <w:sz w:val="24"/>
          <w:szCs w:val="24"/>
        </w:rPr>
        <w:t>[endereço da sociedade empresarial]</w:t>
      </w:r>
    </w:p>
    <w:p w14:paraId="627FC5A7">
      <w:pPr>
        <w:spacing w:line="360" w:lineRule="auto"/>
        <w:ind w:right="-285" w:firstLine="142"/>
        <w:jc w:val="both"/>
        <w:rPr>
          <w:sz w:val="24"/>
          <w:szCs w:val="24"/>
        </w:rPr>
      </w:pPr>
    </w:p>
    <w:p w14:paraId="5ACE8CB4">
      <w:pPr>
        <w:spacing w:line="360" w:lineRule="auto"/>
        <w:ind w:right="-285" w:firstLine="142"/>
        <w:jc w:val="both"/>
        <w:rPr>
          <w:sz w:val="24"/>
          <w:szCs w:val="24"/>
        </w:rPr>
      </w:pPr>
      <w:r>
        <w:rPr>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40F8CAF4">
      <w:pPr>
        <w:spacing w:line="360" w:lineRule="auto"/>
        <w:ind w:right="-285" w:firstLine="142"/>
        <w:jc w:val="both"/>
        <w:rPr>
          <w:sz w:val="24"/>
          <w:szCs w:val="24"/>
        </w:rPr>
      </w:pPr>
    </w:p>
    <w:p w14:paraId="238ECC42">
      <w:pPr>
        <w:spacing w:line="360" w:lineRule="auto"/>
        <w:ind w:right="-285" w:firstLine="142"/>
        <w:jc w:val="center"/>
        <w:rPr>
          <w:sz w:val="24"/>
          <w:szCs w:val="24"/>
        </w:rPr>
      </w:pPr>
      <w:r>
        <w:rPr>
          <w:sz w:val="24"/>
          <w:szCs w:val="24"/>
        </w:rPr>
        <w:t>Valença, _____ de ___________________de _______.</w:t>
      </w:r>
    </w:p>
    <w:p w14:paraId="383EBCBF">
      <w:pPr>
        <w:spacing w:line="360" w:lineRule="auto"/>
        <w:ind w:right="-285" w:firstLine="142"/>
        <w:jc w:val="both"/>
        <w:rPr>
          <w:sz w:val="24"/>
          <w:szCs w:val="24"/>
        </w:rPr>
      </w:pPr>
    </w:p>
    <w:p w14:paraId="59DBAAC6">
      <w:pPr>
        <w:ind w:right="-284" w:firstLine="142"/>
        <w:jc w:val="center"/>
        <w:rPr>
          <w:sz w:val="24"/>
          <w:szCs w:val="24"/>
        </w:rPr>
      </w:pPr>
      <w:r>
        <w:rPr>
          <w:sz w:val="24"/>
          <w:szCs w:val="24"/>
        </w:rPr>
        <w:t>______________________________________________________</w:t>
      </w:r>
    </w:p>
    <w:p w14:paraId="5B336165">
      <w:pPr>
        <w:pStyle w:val="20"/>
        <w:ind w:right="-284" w:firstLine="142"/>
        <w:jc w:val="center"/>
        <w:rPr>
          <w:rFonts w:ascii="Times New Roman" w:hAnsi="Times New Roman" w:cs="Times New Roman"/>
        </w:rPr>
      </w:pPr>
      <w:r>
        <w:rPr>
          <w:rFonts w:ascii="Times New Roman" w:hAnsi="Times New Roman" w:cs="Times New Roman"/>
        </w:rPr>
        <w:t>CONTRATADA</w:t>
      </w:r>
    </w:p>
    <w:p w14:paraId="5D2C3602">
      <w:pPr>
        <w:pStyle w:val="20"/>
        <w:ind w:right="-284" w:firstLine="142"/>
        <w:jc w:val="center"/>
        <w:rPr>
          <w:rFonts w:ascii="Times New Roman" w:hAnsi="Times New Roman" w:cs="Times New Roman"/>
        </w:rPr>
      </w:pPr>
      <w:r>
        <w:rPr>
          <w:rFonts w:ascii="Times New Roman" w:hAnsi="Times New Roman" w:cs="Times New Roman"/>
        </w:rPr>
        <w:t>REPRESENTANTE LEGAL DA EMPRESA</w:t>
      </w:r>
    </w:p>
    <w:p w14:paraId="5D0FE830">
      <w:pPr>
        <w:pStyle w:val="20"/>
        <w:ind w:right="-284" w:firstLine="142"/>
        <w:jc w:val="center"/>
        <w:rPr>
          <w:rFonts w:ascii="Times New Roman" w:hAnsi="Times New Roman" w:cs="Times New Roman"/>
        </w:rPr>
      </w:pPr>
      <w:r>
        <w:rPr>
          <w:rFonts w:ascii="Times New Roman" w:hAnsi="Times New Roman" w:cs="Times New Roman"/>
        </w:rPr>
        <w:t>(Nome, cargo e carimbo da empresa)</w:t>
      </w:r>
    </w:p>
    <w:sectPr>
      <w:headerReference r:id="rId3" w:type="default"/>
      <w:footerReference r:id="rId4" w:type="default"/>
      <w:pgSz w:w="11900" w:h="16820"/>
      <w:pgMar w:top="566" w:right="1552" w:bottom="314" w:left="1580" w:header="0" w:footer="49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ArialMT">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Minion Pro">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Ecofont_Spranq_eco_Sans">
    <w:altName w:val="Calibri"/>
    <w:panose1 w:val="00000000000000000000"/>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WenQuanYi Micro He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00000" w:csb1="00000000"/>
  </w:font>
  <w:font w:name="Mangal">
    <w:altName w:val="Segoe Print"/>
    <w:panose1 w:val="00000400000000000000"/>
    <w:charset w:val="00"/>
    <w:family w:val="roman"/>
    <w:pitch w:val="default"/>
    <w:sig w:usb0="00000000" w:usb1="00000000" w:usb2="00000000" w:usb3="00000000" w:csb0="00000001" w:csb1="00000000"/>
  </w:font>
  <w:font w:name="Liberation Serif">
    <w:altName w:val="Times New Roman"/>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Liberation Sans">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OpenSymbol">
    <w:altName w:val="Calibri"/>
    <w:panose1 w:val="00000000000000000000"/>
    <w:charset w:val="00"/>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Zurich BT">
    <w:altName w:val="Segoe Print"/>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ui-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2092542"/>
      <w:docPartObj>
        <w:docPartGallery w:val="AutoText"/>
      </w:docPartObj>
    </w:sdtPr>
    <w:sdtContent>
      <w:p w14:paraId="4E871E12">
        <w:pPr>
          <w:pStyle w:val="29"/>
          <w:jc w:val="right"/>
        </w:pPr>
        <w:r>
          <w:fldChar w:fldCharType="begin"/>
        </w:r>
        <w:r>
          <w:instrText xml:space="preserve">PAGE   \* MERGEFORMAT</w:instrText>
        </w:r>
        <w:r>
          <w:fldChar w:fldCharType="separate"/>
        </w:r>
        <w:r>
          <w:t>20</w:t>
        </w:r>
        <w:r>
          <w:fldChar w:fldCharType="end"/>
        </w:r>
      </w:p>
    </w:sdtContent>
  </w:sdt>
  <w:p w14:paraId="44DD60A9">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D75C4">
    <w:pPr>
      <w:pStyle w:val="27"/>
      <w:tabs>
        <w:tab w:val="center" w:pos="2127"/>
      </w:tabs>
      <w:rPr>
        <w:rFonts w:ascii="Book Antiqua" w:hAnsi="Book Antiqua"/>
        <w:b/>
        <w:sz w:val="28"/>
        <w:szCs w:val="28"/>
      </w:rPr>
    </w:pPr>
  </w:p>
  <w:p w14:paraId="52335529">
    <w:pPr>
      <w:pStyle w:val="27"/>
      <w:tabs>
        <w:tab w:val="center" w:pos="2127"/>
      </w:tabs>
      <w:rPr>
        <w:rFonts w:ascii="Book Antiqua" w:hAnsi="Book Antiqua"/>
        <w:b/>
        <w:sz w:val="28"/>
        <w:szCs w:val="28"/>
      </w:rPr>
    </w:pPr>
    <w:r>
      <w:drawing>
        <wp:anchor distT="0" distB="0" distL="114300" distR="114300" simplePos="0" relativeHeight="251659264"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1656DBB1">
    <w:pPr>
      <w:pStyle w:val="27"/>
      <w:tabs>
        <w:tab w:val="center" w:pos="2127"/>
      </w:tabs>
      <w:jc w:val="center"/>
      <w:rPr>
        <w:rFonts w:ascii="Book Antiqua" w:hAnsi="Book Antiqua"/>
        <w:b/>
        <w:sz w:val="28"/>
        <w:szCs w:val="28"/>
      </w:rPr>
    </w:pPr>
    <w:r>
      <w:rPr>
        <w:rFonts w:ascii="Book Antiqua" w:hAnsi="Book Antiqua"/>
        <w:b/>
        <w:sz w:val="28"/>
        <w:szCs w:val="28"/>
      </w:rPr>
      <w:t>ESTADO DO RIO DE JANEIRO</w:t>
    </w:r>
  </w:p>
  <w:p w14:paraId="1D36C7F4">
    <w:pPr>
      <w:pStyle w:val="27"/>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222092CA">
    <w:pPr>
      <w:pStyle w:val="27"/>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tbl>
    <w:tblPr>
      <w:tblStyle w:val="10"/>
      <w:tblW w:w="10538" w:type="dxa"/>
      <w:tblInd w:w="-28" w:type="dxa"/>
      <w:tblLayout w:type="fixed"/>
      <w:tblCellMar>
        <w:top w:w="0" w:type="dxa"/>
        <w:left w:w="108" w:type="dxa"/>
        <w:bottom w:w="0" w:type="dxa"/>
        <w:right w:w="108" w:type="dxa"/>
      </w:tblCellMar>
    </w:tblPr>
    <w:tblGrid>
      <w:gridCol w:w="940"/>
      <w:gridCol w:w="9362"/>
      <w:gridCol w:w="236"/>
    </w:tblGrid>
    <w:tr w14:paraId="663B8DD8">
      <w:tblPrEx>
        <w:tblCellMar>
          <w:top w:w="0" w:type="dxa"/>
          <w:left w:w="108" w:type="dxa"/>
          <w:bottom w:w="0" w:type="dxa"/>
          <w:right w:w="108" w:type="dxa"/>
        </w:tblCellMar>
      </w:tblPrEx>
      <w:trPr>
        <w:cantSplit/>
        <w:trHeight w:val="192" w:hRule="atLeast"/>
      </w:trPr>
      <w:tc>
        <w:tcPr>
          <w:tcW w:w="945" w:type="dxa"/>
        </w:tcPr>
        <w:p w14:paraId="1047C079">
          <w:pPr>
            <w:pStyle w:val="27"/>
            <w:tabs>
              <w:tab w:val="center" w:pos="2127"/>
            </w:tabs>
            <w:jc w:val="center"/>
            <w:rPr>
              <w:rFonts w:ascii="Book Antiqua" w:hAnsi="Book Antiqua"/>
              <w:b/>
              <w:sz w:val="28"/>
              <w:szCs w:val="28"/>
            </w:rPr>
          </w:pPr>
        </w:p>
        <w:p w14:paraId="56AC137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rPr>
          </w:pPr>
        </w:p>
      </w:tc>
      <w:tc>
        <w:tcPr>
          <w:tcW w:w="9422" w:type="dxa"/>
          <w:vAlign w:val="center"/>
        </w:tcPr>
        <w:p w14:paraId="49CC65AC">
          <w:pPr>
            <w:pStyle w:val="27"/>
            <w:tabs>
              <w:tab w:val="center" w:pos="2127"/>
            </w:tabs>
            <w:rPr>
              <w:rFonts w:ascii="Book Antiqua" w:hAnsi="Book Antiqua"/>
              <w:b/>
              <w:sz w:val="28"/>
              <w:szCs w:val="28"/>
            </w:rPr>
          </w:pPr>
        </w:p>
      </w:tc>
      <w:tc>
        <w:tcPr>
          <w:tcW w:w="171" w:type="dxa"/>
        </w:tcPr>
        <w:p w14:paraId="41654CA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r w14:paraId="136944EE">
      <w:tblPrEx>
        <w:tblCellMar>
          <w:top w:w="0" w:type="dxa"/>
          <w:left w:w="108" w:type="dxa"/>
          <w:bottom w:w="0" w:type="dxa"/>
          <w:right w:w="108" w:type="dxa"/>
        </w:tblCellMar>
      </w:tblPrEx>
      <w:trPr>
        <w:cantSplit/>
        <w:trHeight w:val="80" w:hRule="atLeast"/>
      </w:trPr>
      <w:tc>
        <w:tcPr>
          <w:tcW w:w="945" w:type="dxa"/>
          <w:tcBorders>
            <w:bottom w:val="single" w:color="000000" w:sz="4" w:space="0"/>
          </w:tcBorders>
        </w:tcPr>
        <w:p w14:paraId="15BD811F">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color w:val="000000"/>
              <w:sz w:val="24"/>
              <w:szCs w:val="24"/>
            </w:rPr>
          </w:pPr>
        </w:p>
      </w:tc>
      <w:tc>
        <w:tcPr>
          <w:tcW w:w="9422" w:type="dxa"/>
          <w:tcBorders>
            <w:bottom w:val="single" w:color="000000" w:sz="4" w:space="0"/>
          </w:tcBorders>
          <w:vAlign w:val="center"/>
        </w:tcPr>
        <w:p w14:paraId="220F3A16">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sz w:val="24"/>
              <w:szCs w:val="24"/>
            </w:rPr>
          </w:pPr>
        </w:p>
      </w:tc>
      <w:tc>
        <w:tcPr>
          <w:tcW w:w="171" w:type="dxa"/>
          <w:tcBorders>
            <w:bottom w:val="single" w:color="000000" w:sz="4" w:space="0"/>
          </w:tcBorders>
        </w:tcPr>
        <w:p w14:paraId="3D341DD5">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bl>
  <w:p w14:paraId="48861C0D">
    <w:pPr>
      <w:pBdr>
        <w:top w:val="none" w:color="auto" w:sz="0" w:space="0"/>
        <w:left w:val="none" w:color="auto" w:sz="0" w:space="0"/>
        <w:bottom w:val="none" w:color="auto" w:sz="0" w:space="0"/>
        <w:right w:val="none" w:color="auto" w:sz="0" w:space="0"/>
        <w:between w:val="none" w:color="auto" w:sz="0" w:space="0"/>
      </w:pBdr>
      <w:tabs>
        <w:tab w:val="left" w:pos="2880"/>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35"/>
      <w:lvlText w:val=""/>
      <w:lvlJc w:val="left"/>
      <w:pPr>
        <w:tabs>
          <w:tab w:val="left" w:pos="360"/>
        </w:tabs>
        <w:ind w:left="360" w:hanging="360"/>
      </w:pPr>
      <w:rPr>
        <w:rFonts w:hint="default" w:ascii="Symbol" w:hAnsi="Symbol"/>
      </w:rPr>
    </w:lvl>
  </w:abstractNum>
  <w:abstractNum w:abstractNumId="1">
    <w:nsid w:val="133D39CA"/>
    <w:multiLevelType w:val="multilevel"/>
    <w:tmpl w:val="133D39CA"/>
    <w:lvl w:ilvl="0" w:tentative="0">
      <w:start w:val="1"/>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2">
    <w:nsid w:val="14DA32CD"/>
    <w:multiLevelType w:val="multilevel"/>
    <w:tmpl w:val="14DA32CD"/>
    <w:lvl w:ilvl="0" w:tentative="0">
      <w:start w:val="1"/>
      <w:numFmt w:val="decimal"/>
      <w:lvlText w:val="%1."/>
      <w:lvlJc w:val="left"/>
      <w:pPr>
        <w:ind w:left="720" w:hanging="360"/>
      </w:pPr>
      <w:rPr>
        <w:rFonts w:hint="default"/>
      </w:rPr>
    </w:lvl>
    <w:lvl w:ilvl="1" w:tentative="0">
      <w:start w:val="2"/>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3">
    <w:nsid w:val="1D5C100D"/>
    <w:multiLevelType w:val="multilevel"/>
    <w:tmpl w:val="1D5C100D"/>
    <w:lvl w:ilvl="0" w:tentative="0">
      <w:start w:val="3"/>
      <w:numFmt w:val="decimal"/>
      <w:pStyle w:val="106"/>
      <w:lvlText w:val="%1."/>
      <w:lvlJc w:val="left"/>
      <w:pPr>
        <w:ind w:left="360" w:hanging="360"/>
      </w:pPr>
      <w:rPr>
        <w:rFonts w:hint="default"/>
        <w:b/>
        <w:color w:val="auto"/>
      </w:rPr>
    </w:lvl>
    <w:lvl w:ilvl="1" w:tentative="0">
      <w:start w:val="1"/>
      <w:numFmt w:val="decimal"/>
      <w:lvlText w:val="%1.%2."/>
      <w:lvlJc w:val="left"/>
      <w:pPr>
        <w:ind w:left="432" w:hanging="432"/>
      </w:pPr>
      <w:rPr>
        <w:rFonts w:hint="default"/>
        <w:b w:val="0"/>
        <w:i w:val="0"/>
        <w:strike w:val="0"/>
        <w:dstrike w:val="0"/>
        <w:color w:val="auto"/>
        <w:u w:val="none"/>
      </w:rPr>
    </w:lvl>
    <w:lvl w:ilvl="2" w:tentative="0">
      <w:start w:val="1"/>
      <w:numFmt w:val="decimal"/>
      <w:lvlText w:val="%1.%2.%3."/>
      <w:lvlJc w:val="left"/>
      <w:pPr>
        <w:ind w:left="930" w:hanging="504"/>
      </w:pPr>
      <w:rPr>
        <w:rFonts w:hint="default"/>
        <w:b w:val="0"/>
        <w:i w:val="0"/>
        <w:color w:val="auto"/>
      </w:rPr>
    </w:lvl>
    <w:lvl w:ilvl="3" w:tentative="0">
      <w:start w:val="1"/>
      <w:numFmt w:val="decimal"/>
      <w:lvlText w:val="%1.%2.%3.%4."/>
      <w:lvlJc w:val="left"/>
      <w:pPr>
        <w:ind w:left="164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279839A0"/>
    <w:multiLevelType w:val="multilevel"/>
    <w:tmpl w:val="279839A0"/>
    <w:lvl w:ilvl="0" w:tentative="0">
      <w:start w:val="14"/>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5">
    <w:nsid w:val="296F3278"/>
    <w:multiLevelType w:val="multilevel"/>
    <w:tmpl w:val="296F3278"/>
    <w:lvl w:ilvl="0" w:tentative="0">
      <w:start w:val="1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6">
    <w:nsid w:val="2CD241C4"/>
    <w:multiLevelType w:val="multilevel"/>
    <w:tmpl w:val="2CD241C4"/>
    <w:lvl w:ilvl="0" w:tentative="0">
      <w:start w:val="1"/>
      <w:numFmt w:val="decimal"/>
      <w:lvlText w:val="%1"/>
      <w:lvlJc w:val="left"/>
      <w:pPr>
        <w:ind w:left="360" w:hanging="360"/>
      </w:pPr>
      <w:rPr>
        <w:rFonts w:hint="default" w:eastAsia="Calibri"/>
      </w:rPr>
    </w:lvl>
    <w:lvl w:ilvl="1" w:tentative="0">
      <w:start w:val="1"/>
      <w:numFmt w:val="decimal"/>
      <w:lvlText w:val="%1.%2"/>
      <w:lvlJc w:val="left"/>
      <w:pPr>
        <w:ind w:left="360" w:hanging="360"/>
      </w:pPr>
      <w:rPr>
        <w:rFonts w:hint="default" w:eastAsia="Calibri"/>
      </w:rPr>
    </w:lvl>
    <w:lvl w:ilvl="2" w:tentative="0">
      <w:start w:val="1"/>
      <w:numFmt w:val="decimal"/>
      <w:lvlText w:val="%1.%2.%3"/>
      <w:lvlJc w:val="left"/>
      <w:pPr>
        <w:ind w:left="720" w:hanging="720"/>
      </w:pPr>
      <w:rPr>
        <w:rFonts w:hint="default" w:eastAsia="Calibri"/>
      </w:rPr>
    </w:lvl>
    <w:lvl w:ilvl="3" w:tentative="0">
      <w:start w:val="1"/>
      <w:numFmt w:val="decimal"/>
      <w:lvlText w:val="%1.%2.%3.%4"/>
      <w:lvlJc w:val="left"/>
      <w:pPr>
        <w:ind w:left="720" w:hanging="720"/>
      </w:pPr>
      <w:rPr>
        <w:rFonts w:hint="default" w:eastAsia="Calibri"/>
      </w:rPr>
    </w:lvl>
    <w:lvl w:ilvl="4" w:tentative="0">
      <w:start w:val="1"/>
      <w:numFmt w:val="decimal"/>
      <w:lvlText w:val="%1.%2.%3.%4.%5"/>
      <w:lvlJc w:val="left"/>
      <w:pPr>
        <w:ind w:left="1080" w:hanging="1080"/>
      </w:pPr>
      <w:rPr>
        <w:rFonts w:hint="default" w:eastAsia="Calibri"/>
      </w:rPr>
    </w:lvl>
    <w:lvl w:ilvl="5" w:tentative="0">
      <w:start w:val="1"/>
      <w:numFmt w:val="decimal"/>
      <w:lvlText w:val="%1.%2.%3.%4.%5.%6"/>
      <w:lvlJc w:val="left"/>
      <w:pPr>
        <w:ind w:left="1080" w:hanging="1080"/>
      </w:pPr>
      <w:rPr>
        <w:rFonts w:hint="default" w:eastAsia="Calibri"/>
      </w:rPr>
    </w:lvl>
    <w:lvl w:ilvl="6" w:tentative="0">
      <w:start w:val="1"/>
      <w:numFmt w:val="decimal"/>
      <w:lvlText w:val="%1.%2.%3.%4.%5.%6.%7"/>
      <w:lvlJc w:val="left"/>
      <w:pPr>
        <w:ind w:left="1440" w:hanging="1440"/>
      </w:pPr>
      <w:rPr>
        <w:rFonts w:hint="default" w:eastAsia="Calibri"/>
      </w:rPr>
    </w:lvl>
    <w:lvl w:ilvl="7" w:tentative="0">
      <w:start w:val="1"/>
      <w:numFmt w:val="decimal"/>
      <w:lvlText w:val="%1.%2.%3.%4.%5.%6.%7.%8"/>
      <w:lvlJc w:val="left"/>
      <w:pPr>
        <w:ind w:left="1440" w:hanging="1440"/>
      </w:pPr>
      <w:rPr>
        <w:rFonts w:hint="default" w:eastAsia="Calibri"/>
      </w:rPr>
    </w:lvl>
    <w:lvl w:ilvl="8" w:tentative="0">
      <w:start w:val="1"/>
      <w:numFmt w:val="decimal"/>
      <w:lvlText w:val="%1.%2.%3.%4.%5.%6.%7.%8.%9"/>
      <w:lvlJc w:val="left"/>
      <w:pPr>
        <w:ind w:left="1800" w:hanging="1800"/>
      </w:pPr>
      <w:rPr>
        <w:rFonts w:hint="default" w:eastAsia="Calibri"/>
      </w:rPr>
    </w:lvl>
  </w:abstractNum>
  <w:abstractNum w:abstractNumId="7">
    <w:nsid w:val="46085681"/>
    <w:multiLevelType w:val="multilevel"/>
    <w:tmpl w:val="46085681"/>
    <w:lvl w:ilvl="0" w:tentative="0">
      <w:start w:val="1"/>
      <w:numFmt w:val="decimal"/>
      <w:pStyle w:val="141"/>
      <w:lvlText w:val="%1."/>
      <w:lvlJc w:val="left"/>
      <w:pPr>
        <w:ind w:left="720" w:hanging="360"/>
      </w:pPr>
      <w:rPr>
        <w:rFonts w:cs="Times New Roman"/>
        <w:b/>
        <w:bCs/>
        <w:color w:val="000000"/>
      </w:rPr>
    </w:lvl>
    <w:lvl w:ilvl="1" w:tentative="0">
      <w:start w:val="1"/>
      <w:numFmt w:val="decimal"/>
      <w:suff w:val="space"/>
      <w:lvlText w:val="%1.%2."/>
      <w:lvlJc w:val="left"/>
      <w:pPr>
        <w:ind w:left="1072" w:hanging="363"/>
      </w:pPr>
      <w:rPr>
        <w:rFonts w:cs="Times New Roman"/>
        <w:b/>
        <w:bCs/>
        <w:strike w:val="0"/>
        <w:dstrike w:val="0"/>
        <w:color w:val="auto"/>
      </w:rPr>
    </w:lvl>
    <w:lvl w:ilvl="2" w:tentative="0">
      <w:start w:val="1"/>
      <w:numFmt w:val="decimal"/>
      <w:suff w:val="space"/>
      <w:lvlText w:val=" %1.%2.%3."/>
      <w:lvlJc w:val="left"/>
      <w:pPr>
        <w:ind w:left="1440" w:hanging="360"/>
      </w:pPr>
      <w:rPr>
        <w:rFonts w:cs="Times New Roman"/>
        <w:b/>
        <w:bCs/>
      </w:rPr>
    </w:lvl>
    <w:lvl w:ilvl="3" w:tentative="0">
      <w:start w:val="1"/>
      <w:numFmt w:val="decimal"/>
      <w:suff w:val="space"/>
      <w:lvlText w:val=" %1.%2.%3.%4."/>
      <w:lvlJc w:val="left"/>
      <w:pPr>
        <w:ind w:left="1920" w:hanging="360"/>
      </w:pPr>
      <w:rPr>
        <w:rFonts w:cs="Times New Roman"/>
        <w:sz w:val="24"/>
        <w:szCs w:val="24"/>
      </w:rPr>
    </w:lvl>
    <w:lvl w:ilvl="4" w:tentative="0">
      <w:start w:val="1"/>
      <w:numFmt w:val="decimal"/>
      <w:suff w:val="space"/>
      <w:lvlText w:val=" %1.%2.%3.%4.%5."/>
      <w:lvlJc w:val="left"/>
      <w:pPr>
        <w:ind w:left="2160" w:hanging="360"/>
      </w:pPr>
      <w:rPr>
        <w:rFonts w:cs="Times New Roman"/>
      </w:rPr>
    </w:lvl>
    <w:lvl w:ilvl="5" w:tentative="0">
      <w:start w:val="1"/>
      <w:numFmt w:val="decimal"/>
      <w:lvlText w:val=" %1.%2.%3.%4.%5.%6."/>
      <w:lvlJc w:val="left"/>
      <w:pPr>
        <w:ind w:left="2520" w:hanging="360"/>
      </w:pPr>
      <w:rPr>
        <w:rFonts w:cs="Times New Roman"/>
      </w:rPr>
    </w:lvl>
    <w:lvl w:ilvl="6" w:tentative="0">
      <w:start w:val="1"/>
      <w:numFmt w:val="decimal"/>
      <w:lvlText w:val=" %1.%2.%3.%4.%5.%6.%7."/>
      <w:lvlJc w:val="left"/>
      <w:pPr>
        <w:ind w:left="2880" w:hanging="360"/>
      </w:pPr>
      <w:rPr>
        <w:rFonts w:cs="Times New Roman"/>
      </w:rPr>
    </w:lvl>
    <w:lvl w:ilvl="7" w:tentative="0">
      <w:start w:val="1"/>
      <w:numFmt w:val="decimal"/>
      <w:lvlText w:val=" %1.%2.%3.%4.%5.%6.%7.%8."/>
      <w:lvlJc w:val="left"/>
      <w:pPr>
        <w:ind w:left="3240" w:hanging="360"/>
      </w:pPr>
      <w:rPr>
        <w:rFonts w:cs="Times New Roman"/>
      </w:rPr>
    </w:lvl>
    <w:lvl w:ilvl="8" w:tentative="0">
      <w:start w:val="1"/>
      <w:numFmt w:val="decimal"/>
      <w:lvlText w:val=" %1.%2.%3.%4.%5.%6.%7.%8.%9."/>
      <w:lvlJc w:val="left"/>
      <w:pPr>
        <w:ind w:left="3600" w:hanging="360"/>
      </w:pPr>
      <w:rPr>
        <w:rFonts w:cs="Times New Roman"/>
      </w:rPr>
    </w:lvl>
  </w:abstractNum>
  <w:abstractNum w:abstractNumId="8">
    <w:nsid w:val="520D039D"/>
    <w:multiLevelType w:val="multilevel"/>
    <w:tmpl w:val="520D039D"/>
    <w:lvl w:ilvl="0" w:tentative="0">
      <w:start w:val="6"/>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9">
    <w:nsid w:val="61DD361E"/>
    <w:multiLevelType w:val="multilevel"/>
    <w:tmpl w:val="61DD361E"/>
    <w:lvl w:ilvl="0" w:tentative="0">
      <w:start w:val="1"/>
      <w:numFmt w:val="decimal"/>
      <w:pStyle w:val="104"/>
      <w:lvlText w:val="%1."/>
      <w:lvlJc w:val="left"/>
      <w:pPr>
        <w:ind w:left="502" w:hanging="360"/>
      </w:pPr>
      <w:rPr>
        <w:rFonts w:hint="default"/>
        <w:b/>
        <w:i w:val="0"/>
      </w:rPr>
    </w:lvl>
    <w:lvl w:ilvl="1" w:tentative="0">
      <w:start w:val="1"/>
      <w:numFmt w:val="decimal"/>
      <w:pStyle w:val="107"/>
      <w:suff w:val="space"/>
      <w:lvlText w:val="%1.%2."/>
      <w:lvlJc w:val="left"/>
      <w:pPr>
        <w:ind w:left="851" w:firstLine="0"/>
      </w:pPr>
      <w:rPr>
        <w:rFonts w:hint="default"/>
        <w:b w:val="0"/>
        <w:i w:val="0"/>
        <w:color w:val="auto"/>
      </w:rPr>
    </w:lvl>
    <w:lvl w:ilvl="2" w:tentative="0">
      <w:start w:val="1"/>
      <w:numFmt w:val="decimal"/>
      <w:pStyle w:val="109"/>
      <w:suff w:val="space"/>
      <w:lvlText w:val="%1.%2.%3."/>
      <w:lvlJc w:val="left"/>
      <w:pPr>
        <w:ind w:left="1135" w:firstLine="0"/>
      </w:pPr>
      <w:rPr>
        <w:rFonts w:hint="default"/>
        <w:b w:val="0"/>
        <w:i w:val="0"/>
        <w:color w:val="auto"/>
        <w:sz w:val="20"/>
        <w:szCs w:val="20"/>
      </w:rPr>
    </w:lvl>
    <w:lvl w:ilvl="3" w:tentative="0">
      <w:start w:val="1"/>
      <w:numFmt w:val="decimal"/>
      <w:pStyle w:val="111"/>
      <w:suff w:val="space"/>
      <w:lvlText w:val="%1.%2.%3.%4."/>
      <w:lvlJc w:val="left"/>
      <w:pPr>
        <w:ind w:left="1702" w:firstLine="0"/>
      </w:pPr>
      <w:rPr>
        <w:rFonts w:hint="default" w:ascii="Times New Roman" w:hAnsi="Times New Roman" w:cs="Times New Roman"/>
        <w:b w:val="0"/>
        <w:bCs/>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num w:numId="1">
    <w:abstractNumId w:val="0"/>
  </w:num>
  <w:num w:numId="2">
    <w:abstractNumId w:val="9"/>
  </w:num>
  <w:num w:numId="3">
    <w:abstractNumId w:val="3"/>
  </w:num>
  <w:num w:numId="4">
    <w:abstractNumId w:val="7"/>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6E"/>
    <w:rsid w:val="00001EA9"/>
    <w:rsid w:val="00002B55"/>
    <w:rsid w:val="00005F0C"/>
    <w:rsid w:val="0001108A"/>
    <w:rsid w:val="00031280"/>
    <w:rsid w:val="000337DD"/>
    <w:rsid w:val="00042D77"/>
    <w:rsid w:val="00047543"/>
    <w:rsid w:val="00052E80"/>
    <w:rsid w:val="0005496D"/>
    <w:rsid w:val="00060850"/>
    <w:rsid w:val="00065CF2"/>
    <w:rsid w:val="00084938"/>
    <w:rsid w:val="00085292"/>
    <w:rsid w:val="00093103"/>
    <w:rsid w:val="000978D1"/>
    <w:rsid w:val="000C3FF4"/>
    <w:rsid w:val="000D5D21"/>
    <w:rsid w:val="000E355F"/>
    <w:rsid w:val="000F418D"/>
    <w:rsid w:val="000F5CF3"/>
    <w:rsid w:val="00117C41"/>
    <w:rsid w:val="001256EF"/>
    <w:rsid w:val="00126417"/>
    <w:rsid w:val="00126C9A"/>
    <w:rsid w:val="00132AF6"/>
    <w:rsid w:val="00134E13"/>
    <w:rsid w:val="00136938"/>
    <w:rsid w:val="00160D9C"/>
    <w:rsid w:val="00166543"/>
    <w:rsid w:val="0017474E"/>
    <w:rsid w:val="00180B8B"/>
    <w:rsid w:val="00194F56"/>
    <w:rsid w:val="00197CAC"/>
    <w:rsid w:val="001C13C8"/>
    <w:rsid w:val="001C22A8"/>
    <w:rsid w:val="001C5351"/>
    <w:rsid w:val="001C53A2"/>
    <w:rsid w:val="001D0FD5"/>
    <w:rsid w:val="001D7B8A"/>
    <w:rsid w:val="001E6C6E"/>
    <w:rsid w:val="001F1E75"/>
    <w:rsid w:val="001F6345"/>
    <w:rsid w:val="0021752F"/>
    <w:rsid w:val="00227F05"/>
    <w:rsid w:val="002300D2"/>
    <w:rsid w:val="00237ABD"/>
    <w:rsid w:val="00240649"/>
    <w:rsid w:val="00243228"/>
    <w:rsid w:val="0024684C"/>
    <w:rsid w:val="00256763"/>
    <w:rsid w:val="00261F0F"/>
    <w:rsid w:val="00263F8F"/>
    <w:rsid w:val="00281726"/>
    <w:rsid w:val="0028405A"/>
    <w:rsid w:val="00297107"/>
    <w:rsid w:val="002C02A8"/>
    <w:rsid w:val="002C58AE"/>
    <w:rsid w:val="002D4334"/>
    <w:rsid w:val="002E1E69"/>
    <w:rsid w:val="002E797A"/>
    <w:rsid w:val="002F6F7A"/>
    <w:rsid w:val="00300EE6"/>
    <w:rsid w:val="00321757"/>
    <w:rsid w:val="00322708"/>
    <w:rsid w:val="00333BE0"/>
    <w:rsid w:val="00336D17"/>
    <w:rsid w:val="003631A2"/>
    <w:rsid w:val="003641B4"/>
    <w:rsid w:val="0036420F"/>
    <w:rsid w:val="0038596D"/>
    <w:rsid w:val="003A122E"/>
    <w:rsid w:val="003B6185"/>
    <w:rsid w:val="003B76DC"/>
    <w:rsid w:val="003C606F"/>
    <w:rsid w:val="003D022A"/>
    <w:rsid w:val="003D05A9"/>
    <w:rsid w:val="003D177A"/>
    <w:rsid w:val="003D2EA0"/>
    <w:rsid w:val="003E6590"/>
    <w:rsid w:val="003F0949"/>
    <w:rsid w:val="003F306E"/>
    <w:rsid w:val="004068F8"/>
    <w:rsid w:val="0041299D"/>
    <w:rsid w:val="0041560B"/>
    <w:rsid w:val="00415D44"/>
    <w:rsid w:val="00416F76"/>
    <w:rsid w:val="00420256"/>
    <w:rsid w:val="004253EA"/>
    <w:rsid w:val="00427E1E"/>
    <w:rsid w:val="00454E42"/>
    <w:rsid w:val="0047114A"/>
    <w:rsid w:val="00476260"/>
    <w:rsid w:val="004864FC"/>
    <w:rsid w:val="0049763F"/>
    <w:rsid w:val="00497AF6"/>
    <w:rsid w:val="004A5906"/>
    <w:rsid w:val="004B2551"/>
    <w:rsid w:val="004C63EB"/>
    <w:rsid w:val="004D591E"/>
    <w:rsid w:val="004F7BBD"/>
    <w:rsid w:val="00526AAD"/>
    <w:rsid w:val="00541C53"/>
    <w:rsid w:val="0055320B"/>
    <w:rsid w:val="005633E2"/>
    <w:rsid w:val="00565277"/>
    <w:rsid w:val="00565B68"/>
    <w:rsid w:val="00567642"/>
    <w:rsid w:val="00575228"/>
    <w:rsid w:val="00585FDB"/>
    <w:rsid w:val="0058624E"/>
    <w:rsid w:val="005A018E"/>
    <w:rsid w:val="005A71A5"/>
    <w:rsid w:val="005A7AA0"/>
    <w:rsid w:val="005B7044"/>
    <w:rsid w:val="005C25FD"/>
    <w:rsid w:val="005D24F4"/>
    <w:rsid w:val="005D7DBE"/>
    <w:rsid w:val="005E62EA"/>
    <w:rsid w:val="00601AB8"/>
    <w:rsid w:val="00601FD3"/>
    <w:rsid w:val="006029B7"/>
    <w:rsid w:val="006404C6"/>
    <w:rsid w:val="006454C5"/>
    <w:rsid w:val="00645BB7"/>
    <w:rsid w:val="006506EB"/>
    <w:rsid w:val="00680E06"/>
    <w:rsid w:val="0068208C"/>
    <w:rsid w:val="0069470E"/>
    <w:rsid w:val="00695AB8"/>
    <w:rsid w:val="006A3AB0"/>
    <w:rsid w:val="006A4E5F"/>
    <w:rsid w:val="006F462A"/>
    <w:rsid w:val="006F47BB"/>
    <w:rsid w:val="006F6348"/>
    <w:rsid w:val="00706C1F"/>
    <w:rsid w:val="00716721"/>
    <w:rsid w:val="00717B37"/>
    <w:rsid w:val="00721F1E"/>
    <w:rsid w:val="00724210"/>
    <w:rsid w:val="00734030"/>
    <w:rsid w:val="0074505D"/>
    <w:rsid w:val="00750F6E"/>
    <w:rsid w:val="00761EB1"/>
    <w:rsid w:val="0077566C"/>
    <w:rsid w:val="00776682"/>
    <w:rsid w:val="00777538"/>
    <w:rsid w:val="00793A6C"/>
    <w:rsid w:val="0079449F"/>
    <w:rsid w:val="007B2B18"/>
    <w:rsid w:val="007C1CCF"/>
    <w:rsid w:val="007D230E"/>
    <w:rsid w:val="007D54B2"/>
    <w:rsid w:val="007E4CB0"/>
    <w:rsid w:val="007E6E1B"/>
    <w:rsid w:val="0080251D"/>
    <w:rsid w:val="00802B0D"/>
    <w:rsid w:val="008112DD"/>
    <w:rsid w:val="00812B56"/>
    <w:rsid w:val="00814E10"/>
    <w:rsid w:val="00825C70"/>
    <w:rsid w:val="00831C20"/>
    <w:rsid w:val="008407AD"/>
    <w:rsid w:val="008427C3"/>
    <w:rsid w:val="00850EAD"/>
    <w:rsid w:val="008515C8"/>
    <w:rsid w:val="0086051B"/>
    <w:rsid w:val="008623F3"/>
    <w:rsid w:val="008701B1"/>
    <w:rsid w:val="00894B13"/>
    <w:rsid w:val="008977DB"/>
    <w:rsid w:val="008A076D"/>
    <w:rsid w:val="008A1E6F"/>
    <w:rsid w:val="008B08E2"/>
    <w:rsid w:val="008B4D15"/>
    <w:rsid w:val="008C22DA"/>
    <w:rsid w:val="008D0426"/>
    <w:rsid w:val="008D4525"/>
    <w:rsid w:val="008F1FAC"/>
    <w:rsid w:val="008F6AEA"/>
    <w:rsid w:val="008F6FE9"/>
    <w:rsid w:val="00901F2D"/>
    <w:rsid w:val="00910089"/>
    <w:rsid w:val="00910F17"/>
    <w:rsid w:val="00913CAF"/>
    <w:rsid w:val="00916315"/>
    <w:rsid w:val="00916A33"/>
    <w:rsid w:val="009226AB"/>
    <w:rsid w:val="00932B6F"/>
    <w:rsid w:val="0093434F"/>
    <w:rsid w:val="00935D0A"/>
    <w:rsid w:val="009372B0"/>
    <w:rsid w:val="00940051"/>
    <w:rsid w:val="0094245E"/>
    <w:rsid w:val="00946C79"/>
    <w:rsid w:val="00947D72"/>
    <w:rsid w:val="009549D6"/>
    <w:rsid w:val="00956F0C"/>
    <w:rsid w:val="009652F2"/>
    <w:rsid w:val="00970421"/>
    <w:rsid w:val="00981B25"/>
    <w:rsid w:val="009879E2"/>
    <w:rsid w:val="009A1021"/>
    <w:rsid w:val="009A7FA7"/>
    <w:rsid w:val="009B11D6"/>
    <w:rsid w:val="009C087C"/>
    <w:rsid w:val="009D49ED"/>
    <w:rsid w:val="009F67F4"/>
    <w:rsid w:val="00A0469C"/>
    <w:rsid w:val="00A06FC3"/>
    <w:rsid w:val="00A07671"/>
    <w:rsid w:val="00A07A86"/>
    <w:rsid w:val="00A15306"/>
    <w:rsid w:val="00A17C82"/>
    <w:rsid w:val="00A353DF"/>
    <w:rsid w:val="00A362C3"/>
    <w:rsid w:val="00A41EAE"/>
    <w:rsid w:val="00A55C27"/>
    <w:rsid w:val="00A605C5"/>
    <w:rsid w:val="00A64472"/>
    <w:rsid w:val="00A72AA9"/>
    <w:rsid w:val="00A80F0E"/>
    <w:rsid w:val="00A83DF7"/>
    <w:rsid w:val="00A92A7A"/>
    <w:rsid w:val="00A975FD"/>
    <w:rsid w:val="00AB1451"/>
    <w:rsid w:val="00AC6054"/>
    <w:rsid w:val="00AD43BE"/>
    <w:rsid w:val="00AE5A43"/>
    <w:rsid w:val="00B1344A"/>
    <w:rsid w:val="00B25548"/>
    <w:rsid w:val="00B339D5"/>
    <w:rsid w:val="00B355A6"/>
    <w:rsid w:val="00B41BDA"/>
    <w:rsid w:val="00B45852"/>
    <w:rsid w:val="00B50433"/>
    <w:rsid w:val="00B60101"/>
    <w:rsid w:val="00B63089"/>
    <w:rsid w:val="00B6755D"/>
    <w:rsid w:val="00B70F01"/>
    <w:rsid w:val="00B71173"/>
    <w:rsid w:val="00B75E45"/>
    <w:rsid w:val="00B813E0"/>
    <w:rsid w:val="00B83763"/>
    <w:rsid w:val="00B84E83"/>
    <w:rsid w:val="00B85FCD"/>
    <w:rsid w:val="00B94EEA"/>
    <w:rsid w:val="00BA3815"/>
    <w:rsid w:val="00BA47FF"/>
    <w:rsid w:val="00BA5F7F"/>
    <w:rsid w:val="00BB19B6"/>
    <w:rsid w:val="00BB5645"/>
    <w:rsid w:val="00BB7EAC"/>
    <w:rsid w:val="00BC6EF3"/>
    <w:rsid w:val="00BE3D2C"/>
    <w:rsid w:val="00BE4911"/>
    <w:rsid w:val="00BE543F"/>
    <w:rsid w:val="00BF5711"/>
    <w:rsid w:val="00C343F9"/>
    <w:rsid w:val="00C42445"/>
    <w:rsid w:val="00C47608"/>
    <w:rsid w:val="00C557EA"/>
    <w:rsid w:val="00C5674C"/>
    <w:rsid w:val="00C87D25"/>
    <w:rsid w:val="00C90C2D"/>
    <w:rsid w:val="00C93727"/>
    <w:rsid w:val="00C97ED5"/>
    <w:rsid w:val="00CC1B49"/>
    <w:rsid w:val="00CD1743"/>
    <w:rsid w:val="00CD4DB6"/>
    <w:rsid w:val="00CE4BEB"/>
    <w:rsid w:val="00CF767F"/>
    <w:rsid w:val="00D03E66"/>
    <w:rsid w:val="00D24215"/>
    <w:rsid w:val="00D27F7C"/>
    <w:rsid w:val="00D30CE0"/>
    <w:rsid w:val="00D9343D"/>
    <w:rsid w:val="00D9648C"/>
    <w:rsid w:val="00DA4283"/>
    <w:rsid w:val="00DA79AE"/>
    <w:rsid w:val="00DB11D9"/>
    <w:rsid w:val="00DF6E52"/>
    <w:rsid w:val="00E06317"/>
    <w:rsid w:val="00E06FC6"/>
    <w:rsid w:val="00E1354B"/>
    <w:rsid w:val="00E15C82"/>
    <w:rsid w:val="00E33BE2"/>
    <w:rsid w:val="00E6632E"/>
    <w:rsid w:val="00E8554F"/>
    <w:rsid w:val="00EA221C"/>
    <w:rsid w:val="00EA5833"/>
    <w:rsid w:val="00EA7423"/>
    <w:rsid w:val="00EB0614"/>
    <w:rsid w:val="00EB2425"/>
    <w:rsid w:val="00EB5C39"/>
    <w:rsid w:val="00EC15C9"/>
    <w:rsid w:val="00ED05C4"/>
    <w:rsid w:val="00ED316C"/>
    <w:rsid w:val="00F111E2"/>
    <w:rsid w:val="00F34C41"/>
    <w:rsid w:val="00F470C6"/>
    <w:rsid w:val="00F53A79"/>
    <w:rsid w:val="00F66C2E"/>
    <w:rsid w:val="00F66D73"/>
    <w:rsid w:val="00F712F8"/>
    <w:rsid w:val="00F72635"/>
    <w:rsid w:val="00F90DC5"/>
    <w:rsid w:val="00F90E27"/>
    <w:rsid w:val="00F92885"/>
    <w:rsid w:val="00FA11B3"/>
    <w:rsid w:val="00FA30F0"/>
    <w:rsid w:val="00FA6874"/>
    <w:rsid w:val="00FC11D4"/>
    <w:rsid w:val="00FD7AE0"/>
    <w:rsid w:val="00FD7C78"/>
    <w:rsid w:val="00FE2E3B"/>
    <w:rsid w:val="00FE4238"/>
    <w:rsid w:val="00FE52A9"/>
    <w:rsid w:val="00FE7355"/>
    <w:rsid w:val="00FF38CF"/>
    <w:rsid w:val="0D234481"/>
    <w:rsid w:val="630B37C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qFormat="1" w:uiPriority="0" w:semiHidden="0" w:name="annotation text"/>
    <w:lsdException w:qFormat="1" w:unhideWhenUsed="0" w:uiPriority="0" w:semiHidden="0" w:name="header"/>
    <w:lsdException w:qFormat="1" w:uiPriority="0"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semiHidden="0" w:name="Body Text 3"/>
    <w:lsdException w:unhideWhenUsed="0" w:uiPriority="0" w:semiHidden="0" w:name="Body Text Indent 2"/>
    <w:lsdException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38"/>
    <w:qFormat/>
    <w:uiPriority w:val="9"/>
    <w:pPr>
      <w:keepNext/>
      <w:keepLines/>
      <w:spacing w:before="480" w:after="120"/>
      <w:outlineLvl w:val="0"/>
    </w:pPr>
    <w:rPr>
      <w:b/>
      <w:sz w:val="48"/>
      <w:szCs w:val="48"/>
    </w:rPr>
  </w:style>
  <w:style w:type="paragraph" w:styleId="3">
    <w:name w:val="heading 2"/>
    <w:basedOn w:val="1"/>
    <w:next w:val="1"/>
    <w:link w:val="39"/>
    <w:unhideWhenUsed/>
    <w:qFormat/>
    <w:uiPriority w:val="9"/>
    <w:pPr>
      <w:keepNext/>
      <w:keepLines/>
      <w:spacing w:before="360" w:after="80"/>
      <w:outlineLvl w:val="1"/>
    </w:pPr>
    <w:rPr>
      <w:b/>
      <w:sz w:val="36"/>
      <w:szCs w:val="36"/>
    </w:rPr>
  </w:style>
  <w:style w:type="paragraph" w:styleId="4">
    <w:name w:val="heading 3"/>
    <w:basedOn w:val="1"/>
    <w:next w:val="1"/>
    <w:link w:val="40"/>
    <w:unhideWhenUsed/>
    <w:qFormat/>
    <w:uiPriority w:val="9"/>
    <w:pPr>
      <w:keepNext/>
      <w:keepLines/>
      <w:spacing w:before="280" w:after="80"/>
      <w:outlineLvl w:val="2"/>
    </w:pPr>
    <w:rPr>
      <w:b/>
      <w:sz w:val="28"/>
      <w:szCs w:val="28"/>
    </w:rPr>
  </w:style>
  <w:style w:type="paragraph" w:styleId="5">
    <w:name w:val="heading 4"/>
    <w:basedOn w:val="1"/>
    <w:next w:val="1"/>
    <w:link w:val="41"/>
    <w:unhideWhenUsed/>
    <w:qFormat/>
    <w:uiPriority w:val="9"/>
    <w:pPr>
      <w:keepNext/>
      <w:keepLines/>
      <w:spacing w:before="240" w:after="40"/>
      <w:outlineLvl w:val="3"/>
    </w:pPr>
    <w:rPr>
      <w:b/>
      <w:sz w:val="24"/>
      <w:szCs w:val="24"/>
    </w:rPr>
  </w:style>
  <w:style w:type="paragraph" w:styleId="6">
    <w:name w:val="heading 5"/>
    <w:basedOn w:val="1"/>
    <w:next w:val="1"/>
    <w:link w:val="42"/>
    <w:unhideWhenUsed/>
    <w:qFormat/>
    <w:uiPriority w:val="0"/>
    <w:pPr>
      <w:keepNext/>
      <w:keepLines/>
      <w:spacing w:before="220" w:after="40"/>
      <w:outlineLvl w:val="4"/>
    </w:pPr>
    <w:rPr>
      <w:b/>
      <w:sz w:val="22"/>
      <w:szCs w:val="22"/>
    </w:rPr>
  </w:style>
  <w:style w:type="paragraph" w:styleId="7">
    <w:name w:val="heading 6"/>
    <w:basedOn w:val="1"/>
    <w:next w:val="1"/>
    <w:link w:val="43"/>
    <w:unhideWhenUsed/>
    <w:qFormat/>
    <w:uiPriority w:val="0"/>
    <w:pPr>
      <w:keepNext/>
      <w:keepLines/>
      <w:spacing w:before="200" w:after="40"/>
      <w:outlineLvl w:val="5"/>
    </w:pPr>
    <w:rPr>
      <w:b/>
    </w:rPr>
  </w:style>
  <w:style w:type="paragraph" w:styleId="8">
    <w:name w:val="heading 7"/>
    <w:basedOn w:val="1"/>
    <w:next w:val="1"/>
    <w:link w:val="44"/>
    <w:qFormat/>
    <w:uiPriority w:val="0"/>
    <w:pPr>
      <w:keepNext/>
      <w:keepLines/>
      <w:widowControl w:val="0"/>
      <w:suppressAutoHyphens/>
      <w:autoSpaceDN w:val="0"/>
      <w:spacing w:before="40"/>
      <w:textAlignment w:val="baseline"/>
      <w:outlineLvl w:val="6"/>
    </w:pPr>
    <w:rPr>
      <w:rFonts w:ascii="Calibri Light" w:hAnsi="Calibri Light"/>
      <w:i/>
      <w:iCs/>
      <w:color w:val="1F3763"/>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qFormat/>
    <w:uiPriority w:val="0"/>
    <w:rPr>
      <w:b/>
      <w:bCs/>
    </w:rPr>
  </w:style>
  <w:style w:type="character" w:styleId="12">
    <w:name w:val="annotation reference"/>
    <w:basedOn w:val="9"/>
    <w:unhideWhenUsed/>
    <w:qFormat/>
    <w:uiPriority w:val="0"/>
    <w:rPr>
      <w:sz w:val="16"/>
      <w:szCs w:val="16"/>
    </w:rPr>
  </w:style>
  <w:style w:type="character" w:styleId="13">
    <w:name w:val="FollowedHyperlink"/>
    <w:basedOn w:val="9"/>
    <w:semiHidden/>
    <w:unhideWhenUsed/>
    <w:qFormat/>
    <w:uiPriority w:val="99"/>
    <w:rPr>
      <w:color w:val="954F72"/>
      <w:u w:val="single"/>
    </w:rPr>
  </w:style>
  <w:style w:type="character" w:styleId="14">
    <w:name w:val="Emphasis"/>
    <w:qFormat/>
    <w:uiPriority w:val="20"/>
    <w:rPr>
      <w:i/>
      <w:iCs/>
    </w:rPr>
  </w:style>
  <w:style w:type="character" w:styleId="15">
    <w:name w:val="footnote reference"/>
    <w:basedOn w:val="9"/>
    <w:unhideWhenUsed/>
    <w:qFormat/>
    <w:uiPriority w:val="0"/>
    <w:rPr>
      <w:vertAlign w:val="superscript"/>
    </w:rPr>
  </w:style>
  <w:style w:type="character" w:styleId="16">
    <w:name w:val="Hyperlink"/>
    <w:basedOn w:val="9"/>
    <w:unhideWhenUsed/>
    <w:qFormat/>
    <w:uiPriority w:val="99"/>
    <w:rPr>
      <w:color w:val="0000FF"/>
      <w:u w:val="single"/>
    </w:rPr>
  </w:style>
  <w:style w:type="paragraph" w:styleId="17">
    <w:name w:val="List"/>
    <w:basedOn w:val="18"/>
    <w:qFormat/>
    <w:uiPriority w:val="0"/>
    <w:rPr>
      <w:rFonts w:cs="Mangal"/>
    </w:rPr>
  </w:style>
  <w:style w:type="paragraph" w:customStyle="1" w:styleId="18">
    <w:name w:val="Text body"/>
    <w:basedOn w:val="19"/>
    <w:qFormat/>
    <w:uiPriority w:val="0"/>
    <w:pPr>
      <w:spacing w:after="140" w:line="276" w:lineRule="auto"/>
    </w:pPr>
  </w:style>
  <w:style w:type="paragraph" w:customStyle="1" w:styleId="19">
    <w:name w:val="Standard"/>
    <w:qFormat/>
    <w:uiPriority w:val="0"/>
    <w:pPr>
      <w:suppressAutoHyphens/>
      <w:autoSpaceDN w:val="0"/>
      <w:spacing w:after="62" w:line="348" w:lineRule="auto"/>
      <w:ind w:left="10" w:right="16" w:hanging="10"/>
      <w:jc w:val="both"/>
      <w:textAlignment w:val="baseline"/>
    </w:pPr>
    <w:rPr>
      <w:rFonts w:ascii="Liberation Serif" w:hAnsi="Liberation Serif" w:eastAsia="Liberation Serif" w:cs="Liberation Serif"/>
      <w:color w:val="000000"/>
      <w:sz w:val="24"/>
      <w:szCs w:val="22"/>
      <w:lang w:val="pt-BR" w:eastAsia="pt-BR" w:bidi="ar-SA"/>
    </w:rPr>
  </w:style>
  <w:style w:type="paragraph" w:styleId="20">
    <w:name w:val="Body Text"/>
    <w:basedOn w:val="1"/>
    <w:link w:val="65"/>
    <w:qFormat/>
    <w:uiPriority w:val="1"/>
    <w:pPr>
      <w:widowControl w:val="0"/>
      <w:suppressAutoHyphens/>
    </w:pPr>
    <w:rPr>
      <w:rFonts w:ascii="Arial" w:hAnsi="Arial" w:eastAsia="Arial" w:cs="Arial"/>
      <w:sz w:val="24"/>
      <w:szCs w:val="24"/>
      <w:lang w:val="pt-PT" w:eastAsia="en-US"/>
    </w:rPr>
  </w:style>
  <w:style w:type="paragraph" w:styleId="21">
    <w:name w:val="annotation text"/>
    <w:basedOn w:val="1"/>
    <w:link w:val="61"/>
    <w:unhideWhenUsed/>
    <w:qFormat/>
    <w:uiPriority w:val="0"/>
    <w:pPr>
      <w:suppressAutoHyphens/>
    </w:pPr>
    <w:rPr>
      <w:rFonts w:ascii="Calibri" w:hAnsi="Calibri" w:eastAsia="Calibri"/>
      <w:lang w:val="en-US" w:eastAsia="zh-CN"/>
    </w:rPr>
  </w:style>
  <w:style w:type="paragraph" w:styleId="22">
    <w:name w:val="Body Text Indent 2"/>
    <w:basedOn w:val="1"/>
    <w:link w:val="79"/>
    <w:uiPriority w:val="0"/>
    <w:pPr>
      <w:spacing w:after="120" w:line="480" w:lineRule="auto"/>
      <w:ind w:left="283"/>
    </w:pPr>
    <w:rPr>
      <w:sz w:val="24"/>
      <w:szCs w:val="24"/>
    </w:rPr>
  </w:style>
  <w:style w:type="paragraph" w:styleId="23">
    <w:name w:val="Title"/>
    <w:basedOn w:val="1"/>
    <w:next w:val="1"/>
    <w:link w:val="46"/>
    <w:qFormat/>
    <w:uiPriority w:val="0"/>
    <w:pPr>
      <w:keepNext/>
      <w:keepLines/>
      <w:spacing w:before="480" w:after="120"/>
    </w:pPr>
    <w:rPr>
      <w:b/>
      <w:sz w:val="72"/>
      <w:szCs w:val="72"/>
    </w:rPr>
  </w:style>
  <w:style w:type="paragraph" w:styleId="24">
    <w:name w:val="Normal (Web)"/>
    <w:basedOn w:val="1"/>
    <w:unhideWhenUsed/>
    <w:qFormat/>
    <w:uiPriority w:val="0"/>
    <w:pPr>
      <w:spacing w:before="100" w:beforeAutospacing="1" w:after="100" w:afterAutospacing="1"/>
    </w:pPr>
    <w:rPr>
      <w:sz w:val="24"/>
      <w:szCs w:val="24"/>
    </w:rPr>
  </w:style>
  <w:style w:type="paragraph" w:styleId="25">
    <w:name w:val="Body Text 3"/>
    <w:basedOn w:val="1"/>
    <w:link w:val="73"/>
    <w:unhideWhenUsed/>
    <w:uiPriority w:val="99"/>
    <w:pPr>
      <w:spacing w:after="120" w:line="259" w:lineRule="auto"/>
    </w:pPr>
    <w:rPr>
      <w:rFonts w:asciiTheme="minorHAnsi" w:hAnsiTheme="minorHAnsi" w:eastAsiaTheme="minorHAnsi" w:cstheme="minorBidi"/>
      <w:sz w:val="16"/>
      <w:szCs w:val="16"/>
      <w:lang w:eastAsia="en-US"/>
    </w:rPr>
  </w:style>
  <w:style w:type="paragraph" w:styleId="26">
    <w:name w:val="HTML Preformatted"/>
    <w:basedOn w:val="1"/>
    <w:link w:val="131"/>
    <w:semiHidden/>
    <w:unhideWhenUsed/>
    <w:qFormat/>
    <w:uiPriority w:val="99"/>
    <w:rPr>
      <w:rFonts w:ascii="Consolas" w:hAnsi="Consolas" w:eastAsiaTheme="minorHAnsi" w:cstheme="minorBidi"/>
      <w:kern w:val="2"/>
      <w:lang w:eastAsia="en-US"/>
      <w14:ligatures w14:val="standardContextual"/>
    </w:rPr>
  </w:style>
  <w:style w:type="paragraph" w:styleId="27">
    <w:name w:val="header"/>
    <w:basedOn w:val="1"/>
    <w:link w:val="47"/>
    <w:qFormat/>
    <w:uiPriority w:val="0"/>
    <w:pPr>
      <w:tabs>
        <w:tab w:val="center" w:pos="4419"/>
        <w:tab w:val="right" w:pos="8838"/>
      </w:tabs>
    </w:pPr>
  </w:style>
  <w:style w:type="paragraph" w:styleId="28">
    <w:name w:val="annotation subject"/>
    <w:basedOn w:val="21"/>
    <w:next w:val="21"/>
    <w:link w:val="63"/>
    <w:unhideWhenUsed/>
    <w:uiPriority w:val="0"/>
    <w:pPr>
      <w:suppressAutoHyphens w:val="0"/>
      <w:spacing w:after="160"/>
    </w:pPr>
    <w:rPr>
      <w:rFonts w:asciiTheme="minorHAnsi" w:hAnsiTheme="minorHAnsi" w:eastAsiaTheme="minorHAnsi" w:cstheme="minorBidi"/>
      <w:b/>
      <w:bCs/>
      <w:lang w:val="pt-BR" w:eastAsia="en-US"/>
    </w:rPr>
  </w:style>
  <w:style w:type="paragraph" w:styleId="29">
    <w:name w:val="footer"/>
    <w:basedOn w:val="1"/>
    <w:link w:val="48"/>
    <w:unhideWhenUsed/>
    <w:qFormat/>
    <w:uiPriority w:val="0"/>
    <w:pPr>
      <w:tabs>
        <w:tab w:val="center" w:pos="4252"/>
        <w:tab w:val="right" w:pos="8504"/>
      </w:tabs>
    </w:pPr>
  </w:style>
  <w:style w:type="paragraph" w:styleId="30">
    <w:name w:val="caption"/>
    <w:basedOn w:val="1"/>
    <w:next w:val="1"/>
    <w:unhideWhenUsed/>
    <w:qFormat/>
    <w:uiPriority w:val="0"/>
    <w:pPr>
      <w:spacing w:after="200"/>
    </w:pPr>
    <w:rPr>
      <w:rFonts w:ascii="Calibri" w:hAnsi="Calibri" w:eastAsia="Calibri" w:cs="Calibri"/>
      <w:i/>
      <w:iCs/>
      <w:color w:val="1F497D" w:themeColor="text2"/>
      <w:sz w:val="18"/>
      <w:szCs w:val="18"/>
      <w14:textFill>
        <w14:solidFill>
          <w14:schemeClr w14:val="tx2"/>
        </w14:solidFill>
      </w14:textFill>
    </w:rPr>
  </w:style>
  <w:style w:type="paragraph" w:styleId="31">
    <w:name w:val="Body Text Indent 3"/>
    <w:basedOn w:val="1"/>
    <w:link w:val="78"/>
    <w:uiPriority w:val="0"/>
    <w:pPr>
      <w:spacing w:line="360" w:lineRule="auto"/>
      <w:ind w:firstLine="2552"/>
      <w:jc w:val="both"/>
    </w:pPr>
    <w:rPr>
      <w:rFonts w:ascii="Arial" w:hAnsi="Arial"/>
      <w:sz w:val="24"/>
    </w:rPr>
  </w:style>
  <w:style w:type="paragraph" w:styleId="32">
    <w:name w:val="Balloon Text"/>
    <w:basedOn w:val="1"/>
    <w:link w:val="64"/>
    <w:unhideWhenUsed/>
    <w:qFormat/>
    <w:uiPriority w:val="0"/>
    <w:rPr>
      <w:rFonts w:ascii="Segoe UI" w:hAnsi="Segoe UI" w:cs="Segoe UI" w:eastAsiaTheme="minorHAnsi"/>
      <w:sz w:val="18"/>
      <w:szCs w:val="18"/>
      <w:lang w:eastAsia="en-US"/>
    </w:rPr>
  </w:style>
  <w:style w:type="paragraph" w:styleId="33">
    <w:name w:val="Subtitle"/>
    <w:basedOn w:val="1"/>
    <w:next w:val="1"/>
    <w:link w:val="51"/>
    <w:qFormat/>
    <w:uiPriority w:val="0"/>
    <w:pPr>
      <w:keepNext/>
      <w:keepLines/>
      <w:spacing w:before="360" w:after="80"/>
    </w:pPr>
    <w:rPr>
      <w:rFonts w:ascii="Georgia" w:hAnsi="Georgia" w:eastAsia="Georgia" w:cs="Georgia"/>
      <w:i/>
      <w:color w:val="666666"/>
      <w:sz w:val="48"/>
      <w:szCs w:val="48"/>
    </w:rPr>
  </w:style>
  <w:style w:type="paragraph" w:styleId="34">
    <w:name w:val="footnote text"/>
    <w:basedOn w:val="1"/>
    <w:link w:val="66"/>
    <w:unhideWhenUsed/>
    <w:uiPriority w:val="99"/>
    <w:rPr>
      <w:rFonts w:asciiTheme="minorHAnsi" w:hAnsiTheme="minorHAnsi" w:eastAsiaTheme="minorHAnsi" w:cstheme="minorBidi"/>
      <w:lang w:eastAsia="en-US"/>
    </w:rPr>
  </w:style>
  <w:style w:type="paragraph" w:styleId="35">
    <w:name w:val="List Bullet"/>
    <w:basedOn w:val="1"/>
    <w:unhideWhenUsed/>
    <w:qFormat/>
    <w:uiPriority w:val="99"/>
    <w:pPr>
      <w:numPr>
        <w:ilvl w:val="0"/>
        <w:numId w:val="1"/>
      </w:numPr>
      <w:spacing w:after="160" w:line="259" w:lineRule="auto"/>
      <w:contextualSpacing/>
    </w:pPr>
    <w:rPr>
      <w:rFonts w:asciiTheme="minorHAnsi" w:hAnsiTheme="minorHAnsi" w:eastAsiaTheme="minorHAnsi" w:cstheme="minorBidi"/>
      <w:sz w:val="22"/>
      <w:szCs w:val="22"/>
      <w:lang w:eastAsia="en-US"/>
    </w:rPr>
  </w:style>
  <w:style w:type="paragraph" w:styleId="36">
    <w:name w:val="Body Text Indent"/>
    <w:basedOn w:val="1"/>
    <w:link w:val="76"/>
    <w:unhideWhenUsed/>
    <w:uiPriority w:val="0"/>
    <w:pPr>
      <w:widowControl w:val="0"/>
      <w:autoSpaceDE w:val="0"/>
      <w:autoSpaceDN w:val="0"/>
      <w:spacing w:after="120"/>
      <w:ind w:left="283"/>
    </w:pPr>
    <w:rPr>
      <w:rFonts w:ascii="Century Gothic" w:hAnsi="Century Gothic" w:eastAsia="Century Gothic" w:cs="Century Gothic"/>
      <w:sz w:val="22"/>
      <w:szCs w:val="22"/>
      <w:lang w:val="pt-PT" w:eastAsia="en-US"/>
    </w:rPr>
  </w:style>
  <w:style w:type="table" w:styleId="37">
    <w:name w:val="Table Grid"/>
    <w:basedOn w:val="10"/>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ítulo 1 Char"/>
    <w:basedOn w:val="9"/>
    <w:link w:val="2"/>
    <w:qFormat/>
    <w:uiPriority w:val="9"/>
    <w:rPr>
      <w:b/>
      <w:sz w:val="48"/>
      <w:szCs w:val="48"/>
    </w:rPr>
  </w:style>
  <w:style w:type="character" w:customStyle="1" w:styleId="39">
    <w:name w:val="Título 2 Char"/>
    <w:basedOn w:val="9"/>
    <w:link w:val="3"/>
    <w:qFormat/>
    <w:uiPriority w:val="9"/>
    <w:rPr>
      <w:b/>
      <w:sz w:val="36"/>
      <w:szCs w:val="36"/>
    </w:rPr>
  </w:style>
  <w:style w:type="character" w:customStyle="1" w:styleId="40">
    <w:name w:val="Título 3 Char"/>
    <w:basedOn w:val="9"/>
    <w:link w:val="4"/>
    <w:qFormat/>
    <w:uiPriority w:val="9"/>
    <w:rPr>
      <w:b/>
      <w:sz w:val="28"/>
      <w:szCs w:val="28"/>
    </w:rPr>
  </w:style>
  <w:style w:type="character" w:customStyle="1" w:styleId="41">
    <w:name w:val="Título 4 Char"/>
    <w:basedOn w:val="9"/>
    <w:link w:val="5"/>
    <w:qFormat/>
    <w:uiPriority w:val="9"/>
    <w:rPr>
      <w:b/>
      <w:sz w:val="24"/>
      <w:szCs w:val="24"/>
    </w:rPr>
  </w:style>
  <w:style w:type="character" w:customStyle="1" w:styleId="42">
    <w:name w:val="Título 5 Char"/>
    <w:basedOn w:val="9"/>
    <w:link w:val="6"/>
    <w:qFormat/>
    <w:uiPriority w:val="0"/>
    <w:rPr>
      <w:b/>
      <w:sz w:val="22"/>
      <w:szCs w:val="22"/>
    </w:rPr>
  </w:style>
  <w:style w:type="character" w:customStyle="1" w:styleId="43">
    <w:name w:val="Título 6 Char"/>
    <w:basedOn w:val="9"/>
    <w:link w:val="7"/>
    <w:qFormat/>
    <w:uiPriority w:val="0"/>
    <w:rPr>
      <w:b/>
    </w:rPr>
  </w:style>
  <w:style w:type="character" w:customStyle="1" w:styleId="44">
    <w:name w:val="Título 7 Char"/>
    <w:basedOn w:val="9"/>
    <w:link w:val="8"/>
    <w:qFormat/>
    <w:uiPriority w:val="0"/>
    <w:rPr>
      <w:rFonts w:ascii="Calibri Light" w:hAnsi="Calibri Light"/>
      <w:i/>
      <w:iCs/>
      <w:color w:val="1F3763"/>
      <w:sz w:val="22"/>
      <w:szCs w:val="22"/>
    </w:r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Título Char"/>
    <w:basedOn w:val="9"/>
    <w:link w:val="23"/>
    <w:qFormat/>
    <w:uiPriority w:val="0"/>
    <w:rPr>
      <w:b/>
      <w:sz w:val="72"/>
      <w:szCs w:val="72"/>
    </w:rPr>
  </w:style>
  <w:style w:type="character" w:customStyle="1" w:styleId="47">
    <w:name w:val="Cabeçalho Char"/>
    <w:basedOn w:val="9"/>
    <w:link w:val="27"/>
    <w:qFormat/>
    <w:uiPriority w:val="0"/>
    <w:rPr>
      <w:rFonts w:ascii="Times New Roman" w:hAnsi="Times New Roman" w:eastAsia="Times New Roman" w:cs="Times New Roman"/>
      <w:sz w:val="20"/>
      <w:szCs w:val="20"/>
      <w:lang w:eastAsia="pt-BR"/>
    </w:rPr>
  </w:style>
  <w:style w:type="character" w:customStyle="1" w:styleId="48">
    <w:name w:val="Rodapé Char"/>
    <w:basedOn w:val="9"/>
    <w:link w:val="29"/>
    <w:qFormat/>
    <w:uiPriority w:val="0"/>
    <w:rPr>
      <w:rFonts w:ascii="Times New Roman" w:hAnsi="Times New Roman" w:eastAsia="Times New Roman" w:cs="Times New Roman"/>
      <w:sz w:val="20"/>
      <w:szCs w:val="20"/>
      <w:lang w:eastAsia="pt-BR"/>
    </w:rPr>
  </w:style>
  <w:style w:type="paragraph" w:styleId="49">
    <w:name w:val="List Paragraph"/>
    <w:basedOn w:val="1"/>
    <w:link w:val="50"/>
    <w:qFormat/>
    <w:uiPriority w:val="0"/>
    <w:pPr>
      <w:ind w:left="720"/>
      <w:contextualSpacing/>
    </w:pPr>
  </w:style>
  <w:style w:type="character" w:customStyle="1" w:styleId="50">
    <w:name w:val="Parágrafo da Lista Char"/>
    <w:link w:val="49"/>
    <w:qFormat/>
    <w:uiPriority w:val="0"/>
  </w:style>
  <w:style w:type="character" w:customStyle="1" w:styleId="51">
    <w:name w:val="Subtítulo Char"/>
    <w:basedOn w:val="9"/>
    <w:link w:val="33"/>
    <w:qFormat/>
    <w:uiPriority w:val="0"/>
    <w:rPr>
      <w:rFonts w:ascii="Georgia" w:hAnsi="Georgia" w:eastAsia="Georgia" w:cs="Georgia"/>
      <w:i/>
      <w:color w:val="666666"/>
      <w:sz w:val="48"/>
      <w:szCs w:val="48"/>
    </w:rPr>
  </w:style>
  <w:style w:type="table" w:customStyle="1" w:styleId="52">
    <w:name w:val="_Style 28"/>
    <w:basedOn w:val="45"/>
    <w:uiPriority w:val="0"/>
    <w:tblPr>
      <w:tblCellMar>
        <w:left w:w="115" w:type="dxa"/>
        <w:right w:w="115" w:type="dxa"/>
      </w:tblCellMar>
    </w:tblPr>
  </w:style>
  <w:style w:type="table" w:customStyle="1" w:styleId="53">
    <w:name w:val="_Style 29"/>
    <w:basedOn w:val="45"/>
    <w:uiPriority w:val="0"/>
    <w:tblPr>
      <w:tblCellMar>
        <w:left w:w="115" w:type="dxa"/>
        <w:right w:w="115" w:type="dxa"/>
      </w:tblCellMar>
    </w:tblPr>
  </w:style>
  <w:style w:type="table" w:customStyle="1" w:styleId="54">
    <w:name w:val="_Style 30"/>
    <w:basedOn w:val="45"/>
    <w:uiPriority w:val="0"/>
    <w:tblPr>
      <w:tblCellMar>
        <w:left w:w="115" w:type="dxa"/>
        <w:right w:w="115" w:type="dxa"/>
      </w:tblCellMar>
    </w:tblPr>
  </w:style>
  <w:style w:type="table" w:customStyle="1" w:styleId="55">
    <w:name w:val="_Style 31"/>
    <w:basedOn w:val="45"/>
    <w:uiPriority w:val="0"/>
    <w:tblPr>
      <w:tblCellMar>
        <w:left w:w="115" w:type="dxa"/>
        <w:right w:w="115" w:type="dxa"/>
      </w:tblCellMar>
    </w:tblPr>
  </w:style>
  <w:style w:type="table" w:customStyle="1" w:styleId="56">
    <w:name w:val="_Style 32"/>
    <w:basedOn w:val="45"/>
    <w:uiPriority w:val="0"/>
    <w:tblPr>
      <w:tblCellMar>
        <w:left w:w="115" w:type="dxa"/>
        <w:right w:w="115" w:type="dxa"/>
      </w:tblCellMar>
    </w:tblPr>
  </w:style>
  <w:style w:type="table" w:customStyle="1" w:styleId="57">
    <w:name w:val="_Style 33"/>
    <w:basedOn w:val="45"/>
    <w:uiPriority w:val="0"/>
    <w:tblPr>
      <w:tblCellMar>
        <w:left w:w="115" w:type="dxa"/>
        <w:right w:w="115" w:type="dxa"/>
      </w:tblCellMar>
    </w:tblPr>
  </w:style>
  <w:style w:type="table" w:customStyle="1" w:styleId="58">
    <w:name w:val="_Style 34"/>
    <w:basedOn w:val="45"/>
    <w:uiPriority w:val="0"/>
    <w:tblPr>
      <w:tblCellMar>
        <w:left w:w="70" w:type="dxa"/>
        <w:right w:w="70" w:type="dxa"/>
      </w:tblCellMar>
    </w:tblPr>
  </w:style>
  <w:style w:type="paragraph" w:customStyle="1" w:styleId="59">
    <w:name w:val="TEXTO"/>
    <w:basedOn w:val="1"/>
    <w:autoRedefine/>
    <w:qFormat/>
    <w:uiPriority w:val="0"/>
    <w:pPr>
      <w:suppressAutoHyphens/>
      <w:spacing w:line="360" w:lineRule="auto"/>
      <w:ind w:left="142" w:right="537"/>
      <w:jc w:val="both"/>
    </w:pPr>
    <w:rPr>
      <w:rFonts w:eastAsia="ArialMT" w:asciiTheme="minorHAnsi" w:hAnsiTheme="minorHAnsi" w:cstheme="minorHAnsi"/>
      <w:sz w:val="24"/>
      <w:szCs w:val="24"/>
    </w:rPr>
  </w:style>
  <w:style w:type="paragraph" w:customStyle="1" w:styleId="60">
    <w:name w:val="WW-Texto sem formatação"/>
    <w:basedOn w:val="1"/>
    <w:qFormat/>
    <w:uiPriority w:val="0"/>
    <w:pPr>
      <w:suppressAutoHyphens/>
    </w:pPr>
    <w:rPr>
      <w:rFonts w:ascii="Courier New" w:hAnsi="Courier New" w:cs="Courier New"/>
      <w:lang w:eastAsia="ar-SA"/>
    </w:rPr>
  </w:style>
  <w:style w:type="character" w:customStyle="1" w:styleId="61">
    <w:name w:val="Texto de comentário Char"/>
    <w:basedOn w:val="9"/>
    <w:link w:val="21"/>
    <w:qFormat/>
    <w:uiPriority w:val="0"/>
    <w:rPr>
      <w:rFonts w:ascii="Calibri" w:hAnsi="Calibri" w:eastAsia="Calibri"/>
      <w:lang w:val="en-US" w:eastAsia="zh-CN"/>
    </w:rPr>
  </w:style>
  <w:style w:type="character" w:customStyle="1" w:styleId="62">
    <w:name w:val="Texto de comentário Char1"/>
    <w:basedOn w:val="9"/>
    <w:semiHidden/>
    <w:uiPriority w:val="99"/>
  </w:style>
  <w:style w:type="character" w:customStyle="1" w:styleId="63">
    <w:name w:val="Assunto do comentário Char"/>
    <w:basedOn w:val="62"/>
    <w:link w:val="28"/>
    <w:uiPriority w:val="0"/>
    <w:rPr>
      <w:rFonts w:asciiTheme="minorHAnsi" w:hAnsiTheme="minorHAnsi" w:eastAsiaTheme="minorHAnsi" w:cstheme="minorBidi"/>
      <w:b/>
      <w:bCs/>
      <w:lang w:eastAsia="en-US"/>
    </w:rPr>
  </w:style>
  <w:style w:type="character" w:customStyle="1" w:styleId="64">
    <w:name w:val="Texto de balão Char"/>
    <w:basedOn w:val="9"/>
    <w:link w:val="32"/>
    <w:qFormat/>
    <w:uiPriority w:val="0"/>
    <w:rPr>
      <w:rFonts w:ascii="Segoe UI" w:hAnsi="Segoe UI" w:cs="Segoe UI" w:eastAsiaTheme="minorHAnsi"/>
      <w:sz w:val="18"/>
      <w:szCs w:val="18"/>
      <w:lang w:eastAsia="en-US"/>
    </w:rPr>
  </w:style>
  <w:style w:type="character" w:customStyle="1" w:styleId="65">
    <w:name w:val="Corpo de texto Char"/>
    <w:basedOn w:val="9"/>
    <w:link w:val="20"/>
    <w:qFormat/>
    <w:uiPriority w:val="1"/>
    <w:rPr>
      <w:rFonts w:ascii="Arial" w:hAnsi="Arial" w:eastAsia="Arial" w:cs="Arial"/>
      <w:sz w:val="24"/>
      <w:szCs w:val="24"/>
      <w:lang w:val="pt-PT" w:eastAsia="en-US"/>
    </w:rPr>
  </w:style>
  <w:style w:type="character" w:customStyle="1" w:styleId="66">
    <w:name w:val="Texto de nota de rodapé Char"/>
    <w:basedOn w:val="9"/>
    <w:link w:val="34"/>
    <w:uiPriority w:val="99"/>
    <w:rPr>
      <w:rFonts w:asciiTheme="minorHAnsi" w:hAnsiTheme="minorHAnsi" w:eastAsiaTheme="minorHAnsi" w:cstheme="minorBidi"/>
      <w:lang w:eastAsia="en-US"/>
    </w:rPr>
  </w:style>
  <w:style w:type="character" w:customStyle="1" w:styleId="67">
    <w:name w:val="Footnote Characters"/>
    <w:basedOn w:val="9"/>
    <w:semiHidden/>
    <w:unhideWhenUsed/>
    <w:qFormat/>
    <w:uiPriority w:val="99"/>
    <w:rPr>
      <w:vertAlign w:val="superscript"/>
    </w:rPr>
  </w:style>
  <w:style w:type="paragraph" w:customStyle="1" w:styleId="68">
    <w:name w:val="Table Paragraph"/>
    <w:basedOn w:val="1"/>
    <w:qFormat/>
    <w:uiPriority w:val="1"/>
    <w:pPr>
      <w:widowControl w:val="0"/>
      <w:suppressAutoHyphens/>
      <w:spacing w:before="115"/>
      <w:ind w:left="107"/>
    </w:pPr>
    <w:rPr>
      <w:rFonts w:ascii="Arial" w:hAnsi="Arial" w:eastAsia="Arial" w:cs="Arial"/>
      <w:sz w:val="22"/>
      <w:szCs w:val="22"/>
      <w:lang w:val="pt-PT" w:eastAsia="en-US"/>
    </w:rPr>
  </w:style>
  <w:style w:type="paragraph" w:customStyle="1" w:styleId="69">
    <w:name w:val="Default"/>
    <w:link w:val="70"/>
    <w:qFormat/>
    <w:uiPriority w:val="0"/>
    <w:pPr>
      <w:autoSpaceDE w:val="0"/>
      <w:autoSpaceDN w:val="0"/>
      <w:adjustRightInd w:val="0"/>
    </w:pPr>
    <w:rPr>
      <w:rFonts w:ascii="Minion Pro" w:hAnsi="Minion Pro" w:cs="Minion Pro" w:eastAsiaTheme="minorHAnsi"/>
      <w:color w:val="000000"/>
      <w:sz w:val="24"/>
      <w:szCs w:val="24"/>
      <w:lang w:val="pt-BR" w:eastAsia="en-US" w:bidi="ar-SA"/>
    </w:rPr>
  </w:style>
  <w:style w:type="character" w:customStyle="1" w:styleId="70">
    <w:name w:val="Default Char"/>
    <w:link w:val="69"/>
    <w:qFormat/>
    <w:uiPriority w:val="0"/>
    <w:rPr>
      <w:rFonts w:ascii="Minion Pro" w:hAnsi="Minion Pro" w:cs="Minion Pro" w:eastAsiaTheme="minorHAnsi"/>
      <w:color w:val="000000"/>
      <w:sz w:val="24"/>
      <w:szCs w:val="24"/>
      <w:lang w:eastAsia="en-US"/>
    </w:rPr>
  </w:style>
  <w:style w:type="character" w:customStyle="1" w:styleId="71">
    <w:name w:val="Menção Pendente1"/>
    <w:basedOn w:val="9"/>
    <w:semiHidden/>
    <w:unhideWhenUsed/>
    <w:uiPriority w:val="99"/>
    <w:rPr>
      <w:color w:val="605E5C"/>
      <w:shd w:val="clear" w:color="auto" w:fill="E1DFDD"/>
    </w:rPr>
  </w:style>
  <w:style w:type="paragraph" w:customStyle="1" w:styleId="72">
    <w:name w:val="Normal1"/>
    <w:qFormat/>
    <w:uiPriority w:val="0"/>
    <w:pPr>
      <w:spacing w:line="276" w:lineRule="auto"/>
    </w:pPr>
    <w:rPr>
      <w:rFonts w:ascii="Arial" w:hAnsi="Arial" w:eastAsia="Arial" w:cs="Arial"/>
      <w:sz w:val="22"/>
      <w:szCs w:val="22"/>
      <w:lang w:val="pt-BR" w:eastAsia="pt-BR" w:bidi="ar-SA"/>
    </w:rPr>
  </w:style>
  <w:style w:type="character" w:customStyle="1" w:styleId="73">
    <w:name w:val="Corpo de texto 3 Char"/>
    <w:basedOn w:val="9"/>
    <w:link w:val="25"/>
    <w:uiPriority w:val="99"/>
    <w:rPr>
      <w:rFonts w:asciiTheme="minorHAnsi" w:hAnsiTheme="minorHAnsi" w:eastAsiaTheme="minorHAnsi" w:cstheme="minorBidi"/>
      <w:sz w:val="16"/>
      <w:szCs w:val="16"/>
      <w:lang w:eastAsia="en-US"/>
    </w:rPr>
  </w:style>
  <w:style w:type="table" w:customStyle="1" w:styleId="74">
    <w:name w:val="Tabela com grade1"/>
    <w:basedOn w:val="10"/>
    <w:qFormat/>
    <w:uiPriority w:val="3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75">
    <w:name w:val="Tabela com grade2"/>
    <w:basedOn w:val="10"/>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76">
    <w:name w:val="Recuo de corpo de texto Char"/>
    <w:basedOn w:val="9"/>
    <w:link w:val="36"/>
    <w:uiPriority w:val="0"/>
    <w:rPr>
      <w:rFonts w:ascii="Century Gothic" w:hAnsi="Century Gothic" w:eastAsia="Century Gothic" w:cs="Century Gothic"/>
      <w:sz w:val="22"/>
      <w:szCs w:val="22"/>
      <w:lang w:val="pt-PT" w:eastAsia="en-US"/>
    </w:rPr>
  </w:style>
  <w:style w:type="paragraph" w:customStyle="1" w:styleId="77">
    <w:name w:val="t1"/>
    <w:basedOn w:val="1"/>
    <w:uiPriority w:val="0"/>
    <w:pPr>
      <w:widowControl w:val="0"/>
      <w:autoSpaceDE w:val="0"/>
      <w:autoSpaceDN w:val="0"/>
      <w:adjustRightInd w:val="0"/>
      <w:spacing w:line="240" w:lineRule="atLeast"/>
    </w:pPr>
    <w:rPr>
      <w:sz w:val="24"/>
      <w:szCs w:val="24"/>
      <w:lang w:val="en-US"/>
    </w:rPr>
  </w:style>
  <w:style w:type="character" w:customStyle="1" w:styleId="78">
    <w:name w:val="Recuo de corpo de texto 3 Char"/>
    <w:basedOn w:val="9"/>
    <w:link w:val="31"/>
    <w:uiPriority w:val="0"/>
    <w:rPr>
      <w:rFonts w:ascii="Arial" w:hAnsi="Arial"/>
      <w:sz w:val="24"/>
    </w:rPr>
  </w:style>
  <w:style w:type="character" w:customStyle="1" w:styleId="79">
    <w:name w:val="Recuo de corpo de texto 2 Char"/>
    <w:basedOn w:val="9"/>
    <w:link w:val="22"/>
    <w:qFormat/>
    <w:uiPriority w:val="0"/>
    <w:rPr>
      <w:sz w:val="24"/>
      <w:szCs w:val="24"/>
    </w:rPr>
  </w:style>
  <w:style w:type="character" w:customStyle="1" w:styleId="80">
    <w:name w:val="apple-converted-space"/>
    <w:qFormat/>
    <w:uiPriority w:val="0"/>
  </w:style>
  <w:style w:type="paragraph" w:customStyle="1" w:styleId="81">
    <w:name w:val="TCU - Epígrafe"/>
    <w:basedOn w:val="1"/>
    <w:qFormat/>
    <w:uiPriority w:val="0"/>
    <w:pPr>
      <w:ind w:left="2835"/>
      <w:jc w:val="both"/>
    </w:pPr>
    <w:rPr>
      <w:sz w:val="24"/>
    </w:rPr>
  </w:style>
  <w:style w:type="paragraph" w:customStyle="1" w:styleId="82">
    <w:name w:val="TCU - Sem Recuo"/>
    <w:basedOn w:val="1"/>
    <w:qFormat/>
    <w:uiPriority w:val="0"/>
    <w:pPr>
      <w:tabs>
        <w:tab w:val="left" w:pos="1134"/>
      </w:tabs>
      <w:spacing w:after="160"/>
      <w:jc w:val="both"/>
    </w:pPr>
    <w:rPr>
      <w:sz w:val="24"/>
    </w:rPr>
  </w:style>
  <w:style w:type="paragraph" w:customStyle="1" w:styleId="83">
    <w:name w:val="TCU - Rel/Voto - demais §§"/>
    <w:basedOn w:val="1"/>
    <w:qFormat/>
    <w:uiPriority w:val="0"/>
    <w:pPr>
      <w:tabs>
        <w:tab w:val="left" w:pos="1134"/>
      </w:tabs>
      <w:spacing w:after="160"/>
      <w:jc w:val="both"/>
    </w:pPr>
    <w:rPr>
      <w:sz w:val="24"/>
      <w:szCs w:val="22"/>
      <w:lang w:eastAsia="en-US"/>
    </w:rPr>
  </w:style>
  <w:style w:type="paragraph" w:customStyle="1" w:styleId="84">
    <w:name w:val="corpo de texto"/>
    <w:basedOn w:val="31"/>
    <w:qFormat/>
    <w:uiPriority w:val="0"/>
    <w:pPr>
      <w:spacing w:line="240" w:lineRule="auto"/>
      <w:ind w:firstLine="1134"/>
    </w:pPr>
    <w:rPr>
      <w:rFonts w:ascii="Times New Roman" w:hAnsi="Times New Roman"/>
    </w:rPr>
  </w:style>
  <w:style w:type="character" w:customStyle="1" w:styleId="85">
    <w:name w:val="titulo"/>
    <w:qFormat/>
    <w:uiPriority w:val="0"/>
  </w:style>
  <w:style w:type="character" w:customStyle="1" w:styleId="86">
    <w:name w:val="corpojustificado"/>
    <w:qFormat/>
    <w:uiPriority w:val="0"/>
  </w:style>
  <w:style w:type="paragraph" w:customStyle="1" w:styleId="87">
    <w:name w:val="04partenormativa"/>
    <w:basedOn w:val="1"/>
    <w:qFormat/>
    <w:uiPriority w:val="0"/>
    <w:pPr>
      <w:spacing w:before="100" w:beforeAutospacing="1" w:after="100" w:afterAutospacing="1"/>
    </w:pPr>
    <w:rPr>
      <w:sz w:val="24"/>
      <w:szCs w:val="24"/>
    </w:rPr>
  </w:style>
  <w:style w:type="paragraph" w:customStyle="1" w:styleId="88">
    <w:name w:val="Style 2"/>
    <w:basedOn w:val="1"/>
    <w:qFormat/>
    <w:uiPriority w:val="99"/>
    <w:pPr>
      <w:widowControl w:val="0"/>
      <w:autoSpaceDE w:val="0"/>
      <w:autoSpaceDN w:val="0"/>
      <w:ind w:firstLine="288"/>
      <w:jc w:val="both"/>
    </w:pPr>
    <w:rPr>
      <w:sz w:val="19"/>
      <w:szCs w:val="19"/>
    </w:rPr>
  </w:style>
  <w:style w:type="character" w:customStyle="1" w:styleId="89">
    <w:name w:val="Character Style 1"/>
    <w:qFormat/>
    <w:uiPriority w:val="99"/>
    <w:rPr>
      <w:sz w:val="19"/>
      <w:szCs w:val="19"/>
    </w:rPr>
  </w:style>
  <w:style w:type="paragraph" w:customStyle="1" w:styleId="90">
    <w:name w:val="Style 3"/>
    <w:basedOn w:val="1"/>
    <w:qFormat/>
    <w:uiPriority w:val="99"/>
    <w:pPr>
      <w:widowControl w:val="0"/>
      <w:autoSpaceDE w:val="0"/>
      <w:autoSpaceDN w:val="0"/>
      <w:spacing w:before="324" w:line="360" w:lineRule="auto"/>
      <w:ind w:right="144"/>
      <w:jc w:val="both"/>
    </w:pPr>
    <w:rPr>
      <w:rFonts w:ascii="Arial" w:hAnsi="Arial" w:cs="Arial"/>
      <w:sz w:val="23"/>
      <w:szCs w:val="23"/>
    </w:rPr>
  </w:style>
  <w:style w:type="character" w:customStyle="1" w:styleId="91">
    <w:name w:val="Character Style 2"/>
    <w:qFormat/>
    <w:uiPriority w:val="99"/>
    <w:rPr>
      <w:sz w:val="20"/>
      <w:szCs w:val="20"/>
    </w:rPr>
  </w:style>
  <w:style w:type="paragraph" w:customStyle="1" w:styleId="92">
    <w:name w:val="textbody"/>
    <w:basedOn w:val="1"/>
    <w:qFormat/>
    <w:uiPriority w:val="0"/>
    <w:pPr>
      <w:spacing w:before="100" w:beforeAutospacing="1" w:after="100" w:afterAutospacing="1"/>
    </w:pPr>
    <w:rPr>
      <w:sz w:val="24"/>
      <w:szCs w:val="24"/>
    </w:rPr>
  </w:style>
  <w:style w:type="paragraph" w:customStyle="1" w:styleId="93">
    <w:name w:val="tcu_-_transcrição"/>
    <w:basedOn w:val="1"/>
    <w:qFormat/>
    <w:uiPriority w:val="0"/>
    <w:pPr>
      <w:spacing w:before="100" w:beforeAutospacing="1" w:after="100" w:afterAutospacing="1"/>
    </w:pPr>
    <w:rPr>
      <w:sz w:val="24"/>
      <w:szCs w:val="24"/>
    </w:rPr>
  </w:style>
  <w:style w:type="paragraph" w:customStyle="1" w:styleId="94">
    <w:name w:val="tcu_-_rel/voto_-_demais_§§"/>
    <w:basedOn w:val="1"/>
    <w:qFormat/>
    <w:uiPriority w:val="0"/>
    <w:pPr>
      <w:spacing w:before="100" w:beforeAutospacing="1" w:after="100" w:afterAutospacing="1"/>
    </w:pPr>
    <w:rPr>
      <w:sz w:val="24"/>
      <w:szCs w:val="24"/>
    </w:rPr>
  </w:style>
  <w:style w:type="paragraph" w:customStyle="1" w:styleId="95">
    <w:name w:val="tcu_-_centralizado"/>
    <w:basedOn w:val="1"/>
    <w:qFormat/>
    <w:uiPriority w:val="0"/>
    <w:pPr>
      <w:spacing w:before="100" w:beforeAutospacing="1" w:after="100" w:afterAutospacing="1"/>
    </w:pPr>
    <w:rPr>
      <w:sz w:val="24"/>
      <w:szCs w:val="24"/>
    </w:rPr>
  </w:style>
  <w:style w:type="paragraph" w:customStyle="1" w:styleId="96">
    <w:name w:val="texto_justificado_recuo_primeira_linha"/>
    <w:basedOn w:val="1"/>
    <w:qFormat/>
    <w:uiPriority w:val="0"/>
    <w:pPr>
      <w:spacing w:before="100" w:beforeAutospacing="1" w:after="100" w:afterAutospacing="1"/>
    </w:pPr>
    <w:rPr>
      <w:sz w:val="24"/>
      <w:szCs w:val="24"/>
    </w:rPr>
  </w:style>
  <w:style w:type="paragraph" w:customStyle="1" w:styleId="97">
    <w:name w:val="citacao"/>
    <w:basedOn w:val="1"/>
    <w:qFormat/>
    <w:uiPriority w:val="0"/>
    <w:pPr>
      <w:spacing w:before="100" w:beforeAutospacing="1" w:after="100" w:afterAutospacing="1"/>
    </w:pPr>
    <w:rPr>
      <w:sz w:val="24"/>
      <w:szCs w:val="24"/>
    </w:rPr>
  </w:style>
  <w:style w:type="paragraph" w:customStyle="1" w:styleId="98">
    <w:name w:val="Nivel 2"/>
    <w:basedOn w:val="1"/>
    <w:link w:val="99"/>
    <w:qFormat/>
    <w:uiPriority w:val="0"/>
    <w:pPr>
      <w:spacing w:before="120" w:after="120" w:line="276" w:lineRule="auto"/>
      <w:ind w:left="4969" w:hanging="432"/>
      <w:jc w:val="both"/>
    </w:pPr>
    <w:rPr>
      <w:rFonts w:ascii="Arial" w:hAnsi="Arial" w:cs="Arial"/>
      <w:color w:val="000000"/>
    </w:rPr>
  </w:style>
  <w:style w:type="character" w:customStyle="1" w:styleId="99">
    <w:name w:val="Nivel 2 Char"/>
    <w:link w:val="98"/>
    <w:qFormat/>
    <w:locked/>
    <w:uiPriority w:val="0"/>
    <w:rPr>
      <w:rFonts w:ascii="Arial" w:hAnsi="Arial" w:cs="Arial"/>
      <w:color w:val="000000"/>
    </w:rPr>
  </w:style>
  <w:style w:type="paragraph" w:customStyle="1" w:styleId="100">
    <w:name w:val="Nivel 01"/>
    <w:basedOn w:val="2"/>
    <w:next w:val="1"/>
    <w:link w:val="101"/>
    <w:qFormat/>
    <w:uiPriority w:val="0"/>
    <w:pPr>
      <w:tabs>
        <w:tab w:val="left" w:pos="567"/>
      </w:tabs>
      <w:spacing w:before="240" w:after="0"/>
      <w:ind w:left="360" w:hanging="360"/>
      <w:jc w:val="both"/>
    </w:pPr>
    <w:rPr>
      <w:rFonts w:ascii="Arial" w:hAnsi="Arial" w:cs="Arial"/>
      <w:bCs/>
      <w:sz w:val="20"/>
      <w:szCs w:val="20"/>
    </w:rPr>
  </w:style>
  <w:style w:type="character" w:customStyle="1" w:styleId="101">
    <w:name w:val="Nivel 01 Char"/>
    <w:link w:val="100"/>
    <w:qFormat/>
    <w:uiPriority w:val="0"/>
    <w:rPr>
      <w:rFonts w:ascii="Arial" w:hAnsi="Arial" w:cs="Arial"/>
      <w:b/>
      <w:bCs/>
    </w:rPr>
  </w:style>
  <w:style w:type="paragraph" w:customStyle="1" w:styleId="102">
    <w:name w:val="Nivel 3"/>
    <w:basedOn w:val="1"/>
    <w:link w:val="103"/>
    <w:qFormat/>
    <w:uiPriority w:val="0"/>
    <w:pPr>
      <w:spacing w:before="120" w:after="120" w:line="276" w:lineRule="auto"/>
      <w:ind w:left="3198" w:hanging="504"/>
      <w:jc w:val="both"/>
    </w:pPr>
    <w:rPr>
      <w:rFonts w:ascii="Arial" w:hAnsi="Arial" w:cs="Arial"/>
      <w:color w:val="000000"/>
    </w:rPr>
  </w:style>
  <w:style w:type="character" w:customStyle="1" w:styleId="103">
    <w:name w:val="Nivel 3 Char"/>
    <w:link w:val="102"/>
    <w:qFormat/>
    <w:uiPriority w:val="0"/>
    <w:rPr>
      <w:rFonts w:ascii="Arial" w:hAnsi="Arial" w:cs="Arial"/>
      <w:color w:val="000000"/>
    </w:rPr>
  </w:style>
  <w:style w:type="paragraph" w:customStyle="1" w:styleId="104">
    <w:name w:val="Nivel_01_Titulo"/>
    <w:basedOn w:val="2"/>
    <w:next w:val="1"/>
    <w:link w:val="105"/>
    <w:qFormat/>
    <w:uiPriority w:val="0"/>
    <w:pPr>
      <w:numPr>
        <w:ilvl w:val="0"/>
        <w:numId w:val="2"/>
      </w:numPr>
      <w:tabs>
        <w:tab w:val="left" w:pos="567"/>
      </w:tabs>
      <w:spacing w:before="240" w:after="0"/>
      <w:ind w:left="360" w:hanging="990"/>
      <w:jc w:val="both"/>
    </w:pPr>
    <w:rPr>
      <w:rFonts w:ascii="Arial" w:hAnsi="Arial"/>
      <w:bCs/>
      <w:color w:val="2F5496"/>
      <w:sz w:val="20"/>
      <w:szCs w:val="20"/>
    </w:rPr>
  </w:style>
  <w:style w:type="character" w:customStyle="1" w:styleId="105">
    <w:name w:val="Nivel_01_Titulo Char"/>
    <w:link w:val="104"/>
    <w:qFormat/>
    <w:uiPriority w:val="0"/>
    <w:rPr>
      <w:rFonts w:ascii="Arial" w:hAnsi="Arial"/>
      <w:b/>
      <w:bCs/>
      <w:color w:val="2F5496"/>
    </w:rPr>
  </w:style>
  <w:style w:type="paragraph" w:customStyle="1" w:styleId="106">
    <w:name w:val="Nivel1"/>
    <w:basedOn w:val="2"/>
    <w:next w:val="1"/>
    <w:qFormat/>
    <w:uiPriority w:val="0"/>
    <w:pPr>
      <w:numPr>
        <w:ilvl w:val="0"/>
        <w:numId w:val="3"/>
      </w:numPr>
      <w:spacing w:line="276" w:lineRule="auto"/>
      <w:ind w:left="1859"/>
      <w:jc w:val="both"/>
    </w:pPr>
    <w:rPr>
      <w:rFonts w:ascii="Arial" w:hAnsi="Arial" w:cs="Arial"/>
      <w:color w:val="000000"/>
      <w:sz w:val="32"/>
      <w:szCs w:val="32"/>
      <w:lang w:eastAsia="en-US"/>
    </w:rPr>
  </w:style>
  <w:style w:type="paragraph" w:customStyle="1" w:styleId="107">
    <w:name w:val="Nível 2 -Red"/>
    <w:basedOn w:val="98"/>
    <w:link w:val="108"/>
    <w:qFormat/>
    <w:uiPriority w:val="0"/>
    <w:pPr>
      <w:numPr>
        <w:ilvl w:val="1"/>
        <w:numId w:val="2"/>
      </w:numPr>
      <w:ind w:left="4969" w:hanging="360"/>
    </w:pPr>
    <w:rPr>
      <w:i/>
      <w:iCs/>
      <w:color w:val="FF0000"/>
    </w:rPr>
  </w:style>
  <w:style w:type="character" w:customStyle="1" w:styleId="108">
    <w:name w:val="Nível 2 -Red Char"/>
    <w:link w:val="107"/>
    <w:qFormat/>
    <w:uiPriority w:val="0"/>
    <w:rPr>
      <w:rFonts w:ascii="Arial" w:hAnsi="Arial" w:cs="Arial"/>
      <w:i/>
      <w:iCs/>
      <w:color w:val="FF0000"/>
    </w:rPr>
  </w:style>
  <w:style w:type="paragraph" w:customStyle="1" w:styleId="109">
    <w:name w:val="Nível 3-R"/>
    <w:basedOn w:val="102"/>
    <w:link w:val="110"/>
    <w:qFormat/>
    <w:uiPriority w:val="0"/>
    <w:pPr>
      <w:numPr>
        <w:ilvl w:val="2"/>
        <w:numId w:val="2"/>
      </w:numPr>
    </w:pPr>
    <w:rPr>
      <w:i/>
      <w:iCs/>
      <w:color w:val="FF0000"/>
    </w:rPr>
  </w:style>
  <w:style w:type="character" w:customStyle="1" w:styleId="110">
    <w:name w:val="Nível 3-R Char"/>
    <w:link w:val="109"/>
    <w:qFormat/>
    <w:uiPriority w:val="0"/>
    <w:rPr>
      <w:rFonts w:ascii="Arial" w:hAnsi="Arial" w:cs="Arial"/>
      <w:i/>
      <w:iCs/>
      <w:color w:val="FF0000"/>
    </w:rPr>
  </w:style>
  <w:style w:type="paragraph" w:customStyle="1" w:styleId="111">
    <w:name w:val="Nível 4-R"/>
    <w:basedOn w:val="1"/>
    <w:qFormat/>
    <w:uiPriority w:val="0"/>
    <w:pPr>
      <w:numPr>
        <w:ilvl w:val="3"/>
        <w:numId w:val="2"/>
      </w:numPr>
      <w:spacing w:before="120" w:after="120" w:line="276" w:lineRule="auto"/>
      <w:ind w:left="2491" w:hanging="648"/>
      <w:jc w:val="both"/>
    </w:pPr>
    <w:rPr>
      <w:rFonts w:ascii="Arial" w:hAnsi="Arial" w:cs="Arial"/>
      <w:i/>
      <w:iCs/>
      <w:color w:val="FF0000"/>
    </w:rPr>
  </w:style>
  <w:style w:type="paragraph" w:customStyle="1" w:styleId="112">
    <w:name w:val="ou"/>
    <w:basedOn w:val="49"/>
    <w:link w:val="113"/>
    <w:qFormat/>
    <w:uiPriority w:val="0"/>
    <w:pPr>
      <w:spacing w:before="60" w:after="60" w:line="259" w:lineRule="auto"/>
      <w:ind w:left="0"/>
      <w:contextualSpacing w:val="0"/>
      <w:jc w:val="center"/>
    </w:pPr>
    <w:rPr>
      <w:rFonts w:ascii="Arial" w:hAnsi="Arial" w:eastAsia="Calibri" w:cs="Arial"/>
      <w:b/>
      <w:bCs/>
      <w:i/>
      <w:iCs/>
      <w:color w:val="FF0000"/>
      <w:sz w:val="24"/>
      <w:szCs w:val="24"/>
      <w:u w:val="single"/>
    </w:rPr>
  </w:style>
  <w:style w:type="character" w:customStyle="1" w:styleId="113">
    <w:name w:val="ou Char"/>
    <w:link w:val="112"/>
    <w:qFormat/>
    <w:uiPriority w:val="0"/>
    <w:rPr>
      <w:rFonts w:ascii="Arial" w:hAnsi="Arial" w:eastAsia="Calibri" w:cs="Arial"/>
      <w:b/>
      <w:bCs/>
      <w:i/>
      <w:iCs/>
      <w:color w:val="FF0000"/>
      <w:sz w:val="24"/>
      <w:szCs w:val="24"/>
      <w:u w:val="single"/>
    </w:rPr>
  </w:style>
  <w:style w:type="paragraph" w:customStyle="1" w:styleId="114">
    <w:name w:val="Nivel 3-erro"/>
    <w:basedOn w:val="102"/>
    <w:link w:val="115"/>
    <w:qFormat/>
    <w:uiPriority w:val="0"/>
    <w:pPr>
      <w:spacing w:line="240" w:lineRule="auto"/>
      <w:ind w:left="425" w:hanging="504"/>
    </w:pPr>
    <w:rPr>
      <w:rFonts w:cs="Tahoma"/>
      <w:color w:val="auto"/>
      <w:szCs w:val="24"/>
    </w:rPr>
  </w:style>
  <w:style w:type="character" w:customStyle="1" w:styleId="115">
    <w:name w:val="Nivel 3-erro Char"/>
    <w:link w:val="114"/>
    <w:qFormat/>
    <w:uiPriority w:val="0"/>
    <w:rPr>
      <w:rFonts w:ascii="Arial" w:hAnsi="Arial" w:cs="Tahoma"/>
      <w:szCs w:val="24"/>
    </w:rPr>
  </w:style>
  <w:style w:type="character" w:customStyle="1" w:styleId="116">
    <w:name w:val="normaltextrun"/>
    <w:basedOn w:val="9"/>
    <w:qFormat/>
    <w:uiPriority w:val="0"/>
  </w:style>
  <w:style w:type="character" w:customStyle="1" w:styleId="117">
    <w:name w:val="cf01"/>
    <w:qFormat/>
    <w:uiPriority w:val="0"/>
    <w:rPr>
      <w:rFonts w:hint="default" w:ascii="Segoe UI" w:hAnsi="Segoe UI" w:cs="Segoe UI"/>
      <w:sz w:val="18"/>
      <w:szCs w:val="18"/>
    </w:rPr>
  </w:style>
  <w:style w:type="paragraph" w:customStyle="1" w:styleId="118">
    <w:name w:val="pf0"/>
    <w:basedOn w:val="1"/>
    <w:qFormat/>
    <w:uiPriority w:val="0"/>
    <w:pPr>
      <w:spacing w:before="100" w:beforeAutospacing="1" w:after="100" w:afterAutospacing="1"/>
    </w:pPr>
    <w:rPr>
      <w:sz w:val="24"/>
      <w:szCs w:val="24"/>
    </w:rPr>
  </w:style>
  <w:style w:type="paragraph" w:customStyle="1" w:styleId="119">
    <w:name w:val="Nivel 4"/>
    <w:basedOn w:val="102"/>
    <w:link w:val="120"/>
    <w:qFormat/>
    <w:uiPriority w:val="0"/>
    <w:pPr>
      <w:ind w:left="851" w:firstLine="0"/>
    </w:pPr>
    <w:rPr>
      <w:rFonts w:eastAsia="MS Mincho"/>
      <w:color w:val="auto"/>
    </w:rPr>
  </w:style>
  <w:style w:type="character" w:customStyle="1" w:styleId="120">
    <w:name w:val="Nivel 4 Char"/>
    <w:link w:val="119"/>
    <w:qFormat/>
    <w:uiPriority w:val="0"/>
    <w:rPr>
      <w:rFonts w:ascii="Arial" w:hAnsi="Arial" w:eastAsia="MS Mincho" w:cs="Arial"/>
    </w:rPr>
  </w:style>
  <w:style w:type="paragraph" w:customStyle="1" w:styleId="121">
    <w:name w:val="Nivel 5"/>
    <w:basedOn w:val="119"/>
    <w:qFormat/>
    <w:uiPriority w:val="0"/>
    <w:pPr>
      <w:ind w:left="1276"/>
    </w:pPr>
  </w:style>
  <w:style w:type="paragraph" w:customStyle="1" w:styleId="122">
    <w:name w:val="Nivel 1"/>
    <w:basedOn w:val="98"/>
    <w:next w:val="98"/>
    <w:qFormat/>
    <w:uiPriority w:val="0"/>
    <w:pPr>
      <w:tabs>
        <w:tab w:val="left" w:pos="360"/>
      </w:tabs>
      <w:ind w:left="858"/>
    </w:pPr>
    <w:rPr>
      <w:rFonts w:ascii="Ecofont_Spranq_eco_Sans" w:hAnsi="Ecofont_Spranq_eco_Sans" w:eastAsia="Arial Unicode MS"/>
      <w:b/>
      <w:color w:val="auto"/>
    </w:rPr>
  </w:style>
  <w:style w:type="character" w:customStyle="1" w:styleId="123">
    <w:name w:val="cf11"/>
    <w:qFormat/>
    <w:uiPriority w:val="0"/>
    <w:rPr>
      <w:rFonts w:hint="default" w:ascii="Segoe UI" w:hAnsi="Segoe UI" w:cs="Segoe UI"/>
      <w:i/>
      <w:iCs/>
      <w:sz w:val="18"/>
      <w:szCs w:val="18"/>
    </w:rPr>
  </w:style>
  <w:style w:type="paragraph" w:customStyle="1" w:styleId="124">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25">
    <w:name w:val="Revision"/>
    <w:hidden/>
    <w:semiHidden/>
    <w:uiPriority w:val="99"/>
    <w:rPr>
      <w:rFonts w:ascii="Times New Roman" w:hAnsi="Times New Roman" w:eastAsia="Times New Roman" w:cs="Times New Roman"/>
      <w:sz w:val="24"/>
      <w:szCs w:val="24"/>
      <w:lang w:val="pt-BR" w:eastAsia="pt-BR" w:bidi="ar-SA"/>
    </w:rPr>
  </w:style>
  <w:style w:type="paragraph" w:customStyle="1" w:styleId="126">
    <w:name w:val="Nível 4"/>
    <w:basedOn w:val="1"/>
    <w:qFormat/>
    <w:uiPriority w:val="0"/>
    <w:pPr>
      <w:spacing w:before="120" w:after="120" w:line="276" w:lineRule="auto"/>
      <w:ind w:left="567"/>
      <w:jc w:val="both"/>
    </w:pPr>
    <w:rPr>
      <w:rFonts w:ascii="Arial" w:hAnsi="Arial" w:cs="Arial"/>
    </w:rPr>
  </w:style>
  <w:style w:type="paragraph" w:customStyle="1" w:styleId="127">
    <w:name w:val="Recuo de corpo de texto 21"/>
    <w:basedOn w:val="1"/>
    <w:qFormat/>
    <w:uiPriority w:val="0"/>
    <w:pPr>
      <w:suppressAutoHyphens/>
      <w:spacing w:after="120" w:line="480" w:lineRule="auto"/>
      <w:ind w:left="283"/>
    </w:pPr>
    <w:rPr>
      <w:sz w:val="24"/>
      <w:szCs w:val="24"/>
      <w:lang w:eastAsia="ar-SA"/>
    </w:rPr>
  </w:style>
  <w:style w:type="paragraph" w:customStyle="1" w:styleId="128">
    <w:name w:val="Nível 3"/>
    <w:basedOn w:val="109"/>
    <w:link w:val="129"/>
    <w:qFormat/>
    <w:uiPriority w:val="0"/>
    <w:pPr>
      <w:numPr>
        <w:numId w:val="0"/>
      </w:numPr>
      <w:ind w:left="284"/>
    </w:pPr>
    <w:rPr>
      <w:i w:val="0"/>
      <w:iCs w:val="0"/>
      <w:color w:val="auto"/>
    </w:rPr>
  </w:style>
  <w:style w:type="character" w:customStyle="1" w:styleId="129">
    <w:name w:val="Nível 3 Char"/>
    <w:link w:val="128"/>
    <w:qFormat/>
    <w:uiPriority w:val="0"/>
    <w:rPr>
      <w:rFonts w:ascii="Arial" w:hAnsi="Arial" w:cs="Arial"/>
    </w:rPr>
  </w:style>
  <w:style w:type="paragraph" w:customStyle="1" w:styleId="130">
    <w:name w:val="Título 11"/>
    <w:basedOn w:val="1"/>
    <w:qFormat/>
    <w:uiPriority w:val="1"/>
    <w:pPr>
      <w:widowControl w:val="0"/>
      <w:ind w:left="292" w:hanging="174"/>
      <w:outlineLvl w:val="1"/>
    </w:pPr>
    <w:rPr>
      <w:rFonts w:ascii="Calibri" w:hAnsi="Calibri" w:eastAsia="Calibri" w:cs="Calibri"/>
      <w:b/>
      <w:bCs/>
      <w:sz w:val="24"/>
      <w:szCs w:val="24"/>
      <w:lang w:val="pt-PT"/>
    </w:rPr>
  </w:style>
  <w:style w:type="character" w:customStyle="1" w:styleId="131">
    <w:name w:val="Pré-formatação HTML Char"/>
    <w:basedOn w:val="9"/>
    <w:link w:val="26"/>
    <w:semiHidden/>
    <w:qFormat/>
    <w:uiPriority w:val="99"/>
    <w:rPr>
      <w:rFonts w:ascii="Consolas" w:hAnsi="Consolas" w:eastAsiaTheme="minorHAnsi" w:cstheme="minorBidi"/>
      <w:kern w:val="2"/>
      <w:lang w:eastAsia="en-US"/>
      <w14:ligatures w14:val="standardContextual"/>
    </w:rPr>
  </w:style>
  <w:style w:type="table" w:customStyle="1" w:styleId="132">
    <w:name w:val="_Style 19"/>
    <w:basedOn w:val="45"/>
    <w:uiPriority w:val="0"/>
    <w:tblPr>
      <w:tblCellMar>
        <w:left w:w="115" w:type="dxa"/>
        <w:right w:w="115" w:type="dxa"/>
      </w:tblCellMar>
    </w:tblPr>
  </w:style>
  <w:style w:type="character" w:customStyle="1" w:styleId="133">
    <w:name w:val="apple-tab-span"/>
    <w:basedOn w:val="9"/>
    <w:qFormat/>
    <w:uiPriority w:val="0"/>
  </w:style>
  <w:style w:type="paragraph" w:customStyle="1" w:styleId="134">
    <w:name w:val="Heading"/>
    <w:basedOn w:val="19"/>
    <w:next w:val="18"/>
    <w:qFormat/>
    <w:uiPriority w:val="0"/>
    <w:pPr>
      <w:keepNext/>
      <w:spacing w:before="240" w:after="120"/>
    </w:pPr>
    <w:rPr>
      <w:rFonts w:ascii="Liberation Sans" w:hAnsi="Liberation Sans" w:eastAsia="Microsoft YaHei" w:cs="Mangal"/>
      <w:sz w:val="28"/>
      <w:szCs w:val="28"/>
    </w:rPr>
  </w:style>
  <w:style w:type="paragraph" w:customStyle="1" w:styleId="135">
    <w:name w:val="Index"/>
    <w:basedOn w:val="19"/>
    <w:qFormat/>
    <w:uiPriority w:val="0"/>
    <w:pPr>
      <w:suppressLineNumbers/>
    </w:pPr>
    <w:rPr>
      <w:rFonts w:cs="Mangal"/>
    </w:rPr>
  </w:style>
  <w:style w:type="paragraph" w:customStyle="1" w:styleId="136">
    <w:name w:val="footnote description"/>
    <w:next w:val="19"/>
    <w:qFormat/>
    <w:uiPriority w:val="0"/>
    <w:pPr>
      <w:suppressAutoHyphens/>
      <w:autoSpaceDN w:val="0"/>
      <w:ind w:left="170" w:right="9" w:hanging="170"/>
      <w:jc w:val="both"/>
      <w:textAlignment w:val="baseline"/>
    </w:pPr>
    <w:rPr>
      <w:rFonts w:ascii="Liberation Serif" w:hAnsi="Liberation Serif" w:eastAsia="Liberation Serif" w:cs="Liberation Serif"/>
      <w:color w:val="000000"/>
      <w:sz w:val="16"/>
      <w:szCs w:val="22"/>
      <w:lang w:val="pt-BR" w:eastAsia="pt-BR" w:bidi="ar-SA"/>
    </w:rPr>
  </w:style>
  <w:style w:type="paragraph" w:customStyle="1" w:styleId="137">
    <w:name w:val="Footnote"/>
    <w:basedOn w:val="19"/>
    <w:qFormat/>
    <w:uiPriority w:val="0"/>
  </w:style>
  <w:style w:type="paragraph" w:customStyle="1" w:styleId="138">
    <w:name w:val="Table Contents"/>
    <w:basedOn w:val="19"/>
    <w:qFormat/>
    <w:uiPriority w:val="0"/>
    <w:pPr>
      <w:suppressLineNumbers/>
    </w:pPr>
  </w:style>
  <w:style w:type="paragraph" w:customStyle="1" w:styleId="139">
    <w:name w:val="Table Heading"/>
    <w:basedOn w:val="138"/>
    <w:qFormat/>
    <w:uiPriority w:val="0"/>
    <w:pPr>
      <w:jc w:val="center"/>
    </w:pPr>
    <w:rPr>
      <w:b/>
      <w:bCs/>
    </w:rPr>
  </w:style>
  <w:style w:type="paragraph" w:customStyle="1" w:styleId="140">
    <w:name w:val="Header and Footer"/>
    <w:basedOn w:val="19"/>
    <w:qFormat/>
    <w:uiPriority w:val="0"/>
    <w:pPr>
      <w:suppressLineNumbers/>
      <w:tabs>
        <w:tab w:val="center" w:pos="4829"/>
        <w:tab w:val="right" w:pos="9648"/>
      </w:tabs>
    </w:pPr>
  </w:style>
  <w:style w:type="paragraph" w:customStyle="1" w:styleId="141">
    <w:name w:val="Estilo1"/>
    <w:basedOn w:val="27"/>
    <w:qFormat/>
    <w:uiPriority w:val="0"/>
    <w:pPr>
      <w:widowControl w:val="0"/>
      <w:numPr>
        <w:ilvl w:val="0"/>
        <w:numId w:val="4"/>
      </w:numPr>
      <w:tabs>
        <w:tab w:val="left" w:pos="-2880"/>
        <w:tab w:val="clear" w:pos="4419"/>
        <w:tab w:val="clear" w:pos="8838"/>
      </w:tabs>
      <w:suppressAutoHyphens/>
      <w:autoSpaceDN w:val="0"/>
      <w:spacing w:before="360" w:after="120" w:line="100" w:lineRule="atLeast"/>
      <w:jc w:val="both"/>
    </w:pPr>
    <w:rPr>
      <w:rFonts w:eastAsia="SimSun"/>
      <w:b/>
      <w:bCs/>
      <w:kern w:val="3"/>
      <w:sz w:val="24"/>
      <w:szCs w:val="24"/>
      <w:lang w:eastAsia="zh-CN"/>
    </w:rPr>
  </w:style>
  <w:style w:type="character" w:customStyle="1" w:styleId="142">
    <w:name w:val="footnote description Char"/>
    <w:qFormat/>
    <w:uiPriority w:val="0"/>
    <w:rPr>
      <w:rFonts w:ascii="Liberation Serif" w:hAnsi="Liberation Serif" w:eastAsia="Liberation Serif" w:cs="Liberation Serif"/>
      <w:color w:val="000000"/>
      <w:sz w:val="16"/>
    </w:rPr>
  </w:style>
  <w:style w:type="character" w:customStyle="1" w:styleId="143">
    <w:name w:val="footnote mark"/>
    <w:qFormat/>
    <w:uiPriority w:val="0"/>
    <w:rPr>
      <w:rFonts w:ascii="Liberation Serif" w:hAnsi="Liberation Serif" w:eastAsia="Liberation Serif" w:cs="Liberation Serif"/>
      <w:color w:val="000000"/>
      <w:position w:val="0"/>
      <w:sz w:val="16"/>
      <w:vertAlign w:val="superscript"/>
    </w:rPr>
  </w:style>
  <w:style w:type="character" w:customStyle="1" w:styleId="144">
    <w:name w:val="ListLabel 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5">
    <w:name w:val="ListLabel 2"/>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6">
    <w:name w:val="ListLabel 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7">
    <w:name w:val="ListLabel 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8">
    <w:name w:val="ListLabel 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49">
    <w:name w:val="ListLabel 6"/>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0">
    <w:name w:val="ListLabel 7"/>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1">
    <w:name w:val="ListLabel 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2">
    <w:name w:val="ListLabel 9"/>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3">
    <w:name w:val="ListLabel 10"/>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4">
    <w:name w:val="ListLabel 11"/>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5">
    <w:name w:val="ListLabel 12"/>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6">
    <w:name w:val="ListLabel 13"/>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7">
    <w:name w:val="ListLabel 14"/>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8">
    <w:name w:val="ListLabel 15"/>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59">
    <w:name w:val="ListLabel 16"/>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0">
    <w:name w:val="ListLabel 17"/>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1">
    <w:name w:val="ListLabel 18"/>
    <w:qFormat/>
    <w:uiPriority w:val="0"/>
    <w:rPr>
      <w:rFonts w:ascii="Times New Roman" w:hAnsi="Times New Roman" w:eastAsia="Times New Roman" w:cs="Times New Roman"/>
      <w:color w:val="000000"/>
      <w:position w:val="0"/>
      <w:sz w:val="20"/>
      <w:szCs w:val="20"/>
      <w:u w:val="none"/>
      <w:shd w:val="clear" w:color="auto" w:fill="auto"/>
      <w:vertAlign w:val="baseline"/>
    </w:rPr>
  </w:style>
  <w:style w:type="character" w:customStyle="1" w:styleId="162">
    <w:name w:val="ListLabel 19"/>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3">
    <w:name w:val="ListLabel 20"/>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4">
    <w:name w:val="ListLabel 21"/>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5">
    <w:name w:val="ListLabel 22"/>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6">
    <w:name w:val="ListLabel 2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7">
    <w:name w:val="ListLabel 2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8">
    <w:name w:val="ListLabel 25"/>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69">
    <w:name w:val="ListLabel 2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0">
    <w:name w:val="ListLabel 27"/>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1">
    <w:name w:val="ListLabel 28"/>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2">
    <w:name w:val="ListLabel 29"/>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3">
    <w:name w:val="ListLabel 30"/>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4">
    <w:name w:val="ListLabel 31"/>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5">
    <w:name w:val="ListLabel 32"/>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6">
    <w:name w:val="ListLabel 33"/>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7">
    <w:name w:val="ListLabel 34"/>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8">
    <w:name w:val="ListLabel 35"/>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79">
    <w:name w:val="ListLabel 36"/>
    <w:qFormat/>
    <w:uiPriority w:val="0"/>
    <w:rPr>
      <w:rFonts w:ascii="Liberation Serif" w:hAnsi="Liberation Serif" w:eastAsia="Liberation Serif" w:cs="Liberation Serif"/>
      <w:color w:val="000000"/>
      <w:position w:val="0"/>
      <w:sz w:val="24"/>
      <w:szCs w:val="24"/>
      <w:u w:val="none"/>
      <w:shd w:val="clear" w:color="auto" w:fill="auto"/>
      <w:vertAlign w:val="baseline"/>
    </w:rPr>
  </w:style>
  <w:style w:type="character" w:customStyle="1" w:styleId="180">
    <w:name w:val="ListLabel 37"/>
    <w:qFormat/>
    <w:uiPriority w:val="0"/>
    <w:rPr>
      <w:rFonts w:eastAsia="Liberation Serif" w:cs="Liberation Serif"/>
      <w:color w:val="000000"/>
      <w:position w:val="0"/>
      <w:sz w:val="22"/>
      <w:szCs w:val="22"/>
      <w:u w:val="none"/>
      <w:shd w:val="clear" w:color="auto" w:fill="auto"/>
      <w:vertAlign w:val="baseline"/>
    </w:rPr>
  </w:style>
  <w:style w:type="character" w:customStyle="1" w:styleId="181">
    <w:name w:val="ListLabel 38"/>
    <w:qFormat/>
    <w:uiPriority w:val="0"/>
    <w:rPr>
      <w:rFonts w:eastAsia="Liberation Serif" w:cs="Liberation Serif"/>
      <w:color w:val="000000"/>
      <w:position w:val="0"/>
      <w:sz w:val="22"/>
      <w:szCs w:val="22"/>
      <w:u w:val="none"/>
      <w:shd w:val="clear" w:color="auto" w:fill="auto"/>
      <w:vertAlign w:val="baseline"/>
    </w:rPr>
  </w:style>
  <w:style w:type="character" w:customStyle="1" w:styleId="182">
    <w:name w:val="ListLabel 39"/>
    <w:qFormat/>
    <w:uiPriority w:val="0"/>
    <w:rPr>
      <w:rFonts w:eastAsia="Liberation Serif" w:cs="Liberation Serif"/>
      <w:color w:val="000000"/>
      <w:position w:val="0"/>
      <w:sz w:val="22"/>
      <w:szCs w:val="22"/>
      <w:u w:val="none"/>
      <w:shd w:val="clear" w:color="auto" w:fill="auto"/>
      <w:vertAlign w:val="baseline"/>
    </w:rPr>
  </w:style>
  <w:style w:type="character" w:customStyle="1" w:styleId="183">
    <w:name w:val="ListLabel 40"/>
    <w:qFormat/>
    <w:uiPriority w:val="0"/>
    <w:rPr>
      <w:rFonts w:eastAsia="Liberation Serif" w:cs="Liberation Serif"/>
      <w:color w:val="000000"/>
      <w:position w:val="0"/>
      <w:sz w:val="22"/>
      <w:szCs w:val="22"/>
      <w:u w:val="none"/>
      <w:shd w:val="clear" w:color="auto" w:fill="auto"/>
      <w:vertAlign w:val="baseline"/>
    </w:rPr>
  </w:style>
  <w:style w:type="character" w:customStyle="1" w:styleId="184">
    <w:name w:val="ListLabel 41"/>
    <w:qFormat/>
    <w:uiPriority w:val="0"/>
    <w:rPr>
      <w:rFonts w:eastAsia="Liberation Serif" w:cs="Liberation Serif"/>
      <w:color w:val="000000"/>
      <w:position w:val="0"/>
      <w:sz w:val="22"/>
      <w:szCs w:val="22"/>
      <w:u w:val="none"/>
      <w:shd w:val="clear" w:color="auto" w:fill="auto"/>
      <w:vertAlign w:val="baseline"/>
    </w:rPr>
  </w:style>
  <w:style w:type="character" w:customStyle="1" w:styleId="185">
    <w:name w:val="ListLabel 42"/>
    <w:qFormat/>
    <w:uiPriority w:val="0"/>
    <w:rPr>
      <w:rFonts w:eastAsia="Liberation Serif" w:cs="Liberation Serif"/>
      <w:color w:val="000000"/>
      <w:position w:val="0"/>
      <w:sz w:val="22"/>
      <w:szCs w:val="22"/>
      <w:u w:val="none"/>
      <w:shd w:val="clear" w:color="auto" w:fill="auto"/>
      <w:vertAlign w:val="baseline"/>
    </w:rPr>
  </w:style>
  <w:style w:type="character" w:customStyle="1" w:styleId="186">
    <w:name w:val="ListLabel 43"/>
    <w:qFormat/>
    <w:uiPriority w:val="0"/>
    <w:rPr>
      <w:rFonts w:eastAsia="Liberation Serif" w:cs="Liberation Serif"/>
      <w:color w:val="000000"/>
      <w:position w:val="0"/>
      <w:sz w:val="22"/>
      <w:szCs w:val="22"/>
      <w:u w:val="none"/>
      <w:shd w:val="clear" w:color="auto" w:fill="auto"/>
      <w:vertAlign w:val="baseline"/>
    </w:rPr>
  </w:style>
  <w:style w:type="character" w:customStyle="1" w:styleId="187">
    <w:name w:val="ListLabel 44"/>
    <w:qFormat/>
    <w:uiPriority w:val="0"/>
    <w:rPr>
      <w:rFonts w:eastAsia="Liberation Serif" w:cs="Liberation Serif"/>
      <w:color w:val="000000"/>
      <w:position w:val="0"/>
      <w:sz w:val="22"/>
      <w:szCs w:val="22"/>
      <w:u w:val="none"/>
      <w:shd w:val="clear" w:color="auto" w:fill="auto"/>
      <w:vertAlign w:val="baseline"/>
    </w:rPr>
  </w:style>
  <w:style w:type="character" w:customStyle="1" w:styleId="188">
    <w:name w:val="ListLabel 45"/>
    <w:qFormat/>
    <w:uiPriority w:val="0"/>
    <w:rPr>
      <w:rFonts w:eastAsia="Liberation Serif" w:cs="Liberation Serif"/>
      <w:color w:val="000000"/>
      <w:position w:val="0"/>
      <w:sz w:val="22"/>
      <w:szCs w:val="22"/>
      <w:u w:val="none"/>
      <w:shd w:val="clear" w:color="auto" w:fill="auto"/>
      <w:vertAlign w:val="baseline"/>
    </w:rPr>
  </w:style>
  <w:style w:type="character" w:customStyle="1" w:styleId="189">
    <w:name w:val="ListLabel 46"/>
    <w:qFormat/>
    <w:uiPriority w:val="0"/>
    <w:rPr>
      <w:rFonts w:eastAsia="Liberation Serif" w:cs="Liberation Serif"/>
      <w:color w:val="000000"/>
      <w:position w:val="0"/>
      <w:sz w:val="22"/>
      <w:szCs w:val="22"/>
      <w:u w:val="none"/>
      <w:shd w:val="clear" w:color="auto" w:fill="auto"/>
      <w:vertAlign w:val="baseline"/>
    </w:rPr>
  </w:style>
  <w:style w:type="character" w:customStyle="1" w:styleId="190">
    <w:name w:val="ListLabel 47"/>
    <w:qFormat/>
    <w:uiPriority w:val="0"/>
    <w:rPr>
      <w:rFonts w:eastAsia="Liberation Serif" w:cs="Liberation Serif"/>
      <w:color w:val="000000"/>
      <w:position w:val="0"/>
      <w:sz w:val="22"/>
      <w:szCs w:val="22"/>
      <w:u w:val="none"/>
      <w:shd w:val="clear" w:color="auto" w:fill="auto"/>
      <w:vertAlign w:val="baseline"/>
    </w:rPr>
  </w:style>
  <w:style w:type="character" w:customStyle="1" w:styleId="191">
    <w:name w:val="ListLabel 48"/>
    <w:qFormat/>
    <w:uiPriority w:val="0"/>
    <w:rPr>
      <w:rFonts w:eastAsia="Liberation Serif" w:cs="Liberation Serif"/>
      <w:color w:val="000000"/>
      <w:position w:val="0"/>
      <w:sz w:val="22"/>
      <w:szCs w:val="22"/>
      <w:u w:val="none"/>
      <w:shd w:val="clear" w:color="auto" w:fill="auto"/>
      <w:vertAlign w:val="baseline"/>
    </w:rPr>
  </w:style>
  <w:style w:type="character" w:customStyle="1" w:styleId="192">
    <w:name w:val="ListLabel 49"/>
    <w:qFormat/>
    <w:uiPriority w:val="0"/>
    <w:rPr>
      <w:rFonts w:eastAsia="Liberation Serif" w:cs="Liberation Serif"/>
      <w:color w:val="000000"/>
      <w:position w:val="0"/>
      <w:sz w:val="22"/>
      <w:szCs w:val="22"/>
      <w:u w:val="none"/>
      <w:shd w:val="clear" w:color="auto" w:fill="auto"/>
      <w:vertAlign w:val="baseline"/>
    </w:rPr>
  </w:style>
  <w:style w:type="character" w:customStyle="1" w:styleId="193">
    <w:name w:val="ListLabel 50"/>
    <w:qFormat/>
    <w:uiPriority w:val="0"/>
    <w:rPr>
      <w:rFonts w:eastAsia="Liberation Serif" w:cs="Liberation Serif"/>
      <w:color w:val="000000"/>
      <w:position w:val="0"/>
      <w:sz w:val="22"/>
      <w:szCs w:val="22"/>
      <w:u w:val="none"/>
      <w:shd w:val="clear" w:color="auto" w:fill="auto"/>
      <w:vertAlign w:val="baseline"/>
    </w:rPr>
  </w:style>
  <w:style w:type="character" w:customStyle="1" w:styleId="194">
    <w:name w:val="ListLabel 51"/>
    <w:qFormat/>
    <w:uiPriority w:val="0"/>
    <w:rPr>
      <w:rFonts w:eastAsia="Liberation Serif" w:cs="Liberation Serif"/>
      <w:color w:val="000000"/>
      <w:position w:val="0"/>
      <w:sz w:val="22"/>
      <w:szCs w:val="22"/>
      <w:u w:val="none"/>
      <w:shd w:val="clear" w:color="auto" w:fill="auto"/>
      <w:vertAlign w:val="baseline"/>
    </w:rPr>
  </w:style>
  <w:style w:type="character" w:customStyle="1" w:styleId="195">
    <w:name w:val="ListLabel 52"/>
    <w:qFormat/>
    <w:uiPriority w:val="0"/>
    <w:rPr>
      <w:rFonts w:eastAsia="Liberation Serif" w:cs="Liberation Serif"/>
      <w:color w:val="000000"/>
      <w:position w:val="0"/>
      <w:sz w:val="22"/>
      <w:szCs w:val="22"/>
      <w:u w:val="none"/>
      <w:shd w:val="clear" w:color="auto" w:fill="auto"/>
      <w:vertAlign w:val="baseline"/>
    </w:rPr>
  </w:style>
  <w:style w:type="character" w:customStyle="1" w:styleId="196">
    <w:name w:val="ListLabel 53"/>
    <w:qFormat/>
    <w:uiPriority w:val="0"/>
    <w:rPr>
      <w:rFonts w:eastAsia="Liberation Serif" w:cs="Liberation Serif"/>
      <w:color w:val="000000"/>
      <w:position w:val="0"/>
      <w:sz w:val="22"/>
      <w:szCs w:val="22"/>
      <w:u w:val="none"/>
      <w:shd w:val="clear" w:color="auto" w:fill="auto"/>
      <w:vertAlign w:val="baseline"/>
    </w:rPr>
  </w:style>
  <w:style w:type="character" w:customStyle="1" w:styleId="197">
    <w:name w:val="ListLabel 54"/>
    <w:qFormat/>
    <w:uiPriority w:val="0"/>
    <w:rPr>
      <w:rFonts w:eastAsia="Liberation Serif" w:cs="Liberation Serif"/>
      <w:color w:val="000000"/>
      <w:position w:val="0"/>
      <w:sz w:val="22"/>
      <w:szCs w:val="22"/>
      <w:u w:val="none"/>
      <w:shd w:val="clear" w:color="auto" w:fill="auto"/>
      <w:vertAlign w:val="baseline"/>
    </w:rPr>
  </w:style>
  <w:style w:type="character" w:customStyle="1" w:styleId="198">
    <w:name w:val="ListLabel 55"/>
    <w:qFormat/>
    <w:uiPriority w:val="0"/>
    <w:rPr>
      <w:rFonts w:eastAsia="Liberation Serif" w:cs="Liberation Serif"/>
      <w:color w:val="000000"/>
      <w:position w:val="0"/>
      <w:sz w:val="22"/>
      <w:szCs w:val="22"/>
      <w:u w:val="none"/>
      <w:shd w:val="clear" w:color="auto" w:fill="auto"/>
      <w:vertAlign w:val="baseline"/>
    </w:rPr>
  </w:style>
  <w:style w:type="character" w:customStyle="1" w:styleId="199">
    <w:name w:val="ListLabel 56"/>
    <w:qFormat/>
    <w:uiPriority w:val="0"/>
    <w:rPr>
      <w:rFonts w:eastAsia="Liberation Serif" w:cs="Liberation Serif"/>
      <w:color w:val="000000"/>
      <w:position w:val="0"/>
      <w:sz w:val="22"/>
      <w:szCs w:val="22"/>
      <w:u w:val="none"/>
      <w:shd w:val="clear" w:color="auto" w:fill="auto"/>
      <w:vertAlign w:val="baseline"/>
    </w:rPr>
  </w:style>
  <w:style w:type="character" w:customStyle="1" w:styleId="200">
    <w:name w:val="ListLabel 57"/>
    <w:qFormat/>
    <w:uiPriority w:val="0"/>
    <w:rPr>
      <w:rFonts w:eastAsia="Liberation Serif" w:cs="Liberation Serif"/>
      <w:color w:val="000000"/>
      <w:position w:val="0"/>
      <w:sz w:val="22"/>
      <w:szCs w:val="22"/>
      <w:u w:val="none"/>
      <w:shd w:val="clear" w:color="auto" w:fill="auto"/>
      <w:vertAlign w:val="baseline"/>
    </w:rPr>
  </w:style>
  <w:style w:type="character" w:customStyle="1" w:styleId="201">
    <w:name w:val="ListLabel 58"/>
    <w:qFormat/>
    <w:uiPriority w:val="0"/>
    <w:rPr>
      <w:rFonts w:eastAsia="Liberation Serif" w:cs="Liberation Serif"/>
      <w:color w:val="000000"/>
      <w:position w:val="0"/>
      <w:sz w:val="22"/>
      <w:szCs w:val="22"/>
      <w:u w:val="none"/>
      <w:shd w:val="clear" w:color="auto" w:fill="auto"/>
      <w:vertAlign w:val="baseline"/>
    </w:rPr>
  </w:style>
  <w:style w:type="character" w:customStyle="1" w:styleId="202">
    <w:name w:val="ListLabel 59"/>
    <w:qFormat/>
    <w:uiPriority w:val="0"/>
    <w:rPr>
      <w:rFonts w:eastAsia="Liberation Serif" w:cs="Liberation Serif"/>
      <w:color w:val="000000"/>
      <w:position w:val="0"/>
      <w:sz w:val="22"/>
      <w:szCs w:val="22"/>
      <w:u w:val="none"/>
      <w:shd w:val="clear" w:color="auto" w:fill="auto"/>
      <w:vertAlign w:val="baseline"/>
    </w:rPr>
  </w:style>
  <w:style w:type="character" w:customStyle="1" w:styleId="203">
    <w:name w:val="ListLabel 60"/>
    <w:qFormat/>
    <w:uiPriority w:val="0"/>
    <w:rPr>
      <w:rFonts w:eastAsia="Liberation Serif" w:cs="Liberation Serif"/>
      <w:color w:val="000000"/>
      <w:position w:val="0"/>
      <w:sz w:val="22"/>
      <w:szCs w:val="22"/>
      <w:u w:val="none"/>
      <w:shd w:val="clear" w:color="auto" w:fill="auto"/>
      <w:vertAlign w:val="baseline"/>
    </w:rPr>
  </w:style>
  <w:style w:type="character" w:customStyle="1" w:styleId="204">
    <w:name w:val="ListLabel 61"/>
    <w:qFormat/>
    <w:uiPriority w:val="0"/>
    <w:rPr>
      <w:rFonts w:eastAsia="Liberation Serif" w:cs="Liberation Serif"/>
      <w:color w:val="000000"/>
      <w:position w:val="0"/>
      <w:sz w:val="22"/>
      <w:szCs w:val="22"/>
      <w:u w:val="none"/>
      <w:shd w:val="clear" w:color="auto" w:fill="auto"/>
      <w:vertAlign w:val="baseline"/>
    </w:rPr>
  </w:style>
  <w:style w:type="character" w:customStyle="1" w:styleId="205">
    <w:name w:val="ListLabel 62"/>
    <w:qFormat/>
    <w:uiPriority w:val="0"/>
    <w:rPr>
      <w:rFonts w:eastAsia="Liberation Serif" w:cs="Liberation Serif"/>
      <w:color w:val="000000"/>
      <w:position w:val="0"/>
      <w:sz w:val="22"/>
      <w:szCs w:val="22"/>
      <w:u w:val="none"/>
      <w:shd w:val="clear" w:color="auto" w:fill="auto"/>
      <w:vertAlign w:val="baseline"/>
    </w:rPr>
  </w:style>
  <w:style w:type="character" w:customStyle="1" w:styleId="206">
    <w:name w:val="ListLabel 63"/>
    <w:qFormat/>
    <w:uiPriority w:val="0"/>
    <w:rPr>
      <w:rFonts w:eastAsia="Liberation Serif" w:cs="Liberation Serif"/>
      <w:color w:val="000000"/>
      <w:position w:val="0"/>
      <w:sz w:val="22"/>
      <w:szCs w:val="22"/>
      <w:u w:val="none"/>
      <w:shd w:val="clear" w:color="auto" w:fill="auto"/>
      <w:vertAlign w:val="baseline"/>
    </w:rPr>
  </w:style>
  <w:style w:type="character" w:customStyle="1" w:styleId="207">
    <w:name w:val="ListLabel 64"/>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8">
    <w:name w:val="ListLabel 65"/>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09">
    <w:name w:val="ListLabel 66"/>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0">
    <w:name w:val="ListLabel 67"/>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1">
    <w:name w:val="ListLabel 68"/>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2">
    <w:name w:val="ListLabel 69"/>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3">
    <w:name w:val="ListLabel 70"/>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4">
    <w:name w:val="ListLabel 71"/>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5">
    <w:name w:val="ListLabel 72"/>
    <w:qFormat/>
    <w:uiPriority w:val="0"/>
    <w:rPr>
      <w:rFonts w:ascii="Liberation Serif" w:hAnsi="Liberation Serif" w:eastAsia="Liberation Serif" w:cs="Liberation Serif"/>
      <w:b/>
      <w:bCs/>
      <w:color w:val="000000"/>
      <w:position w:val="0"/>
      <w:sz w:val="21"/>
      <w:szCs w:val="21"/>
      <w:u w:val="none"/>
      <w:shd w:val="clear" w:color="auto" w:fill="auto"/>
      <w:vertAlign w:val="baseline"/>
    </w:rPr>
  </w:style>
  <w:style w:type="character" w:customStyle="1" w:styleId="216">
    <w:name w:val="ListLabel 73"/>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7">
    <w:name w:val="ListLabel 74"/>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8">
    <w:name w:val="ListLabel 75"/>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19">
    <w:name w:val="ListLabel 76"/>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0">
    <w:name w:val="ListLabel 77"/>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1">
    <w:name w:val="ListLabel 78"/>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2">
    <w:name w:val="ListLabel 79"/>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3">
    <w:name w:val="ListLabel 80"/>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4">
    <w:name w:val="ListLabel 81"/>
    <w:qFormat/>
    <w:uiPriority w:val="0"/>
    <w:rPr>
      <w:rFonts w:ascii="Liberation Serif" w:hAnsi="Liberation Serif" w:eastAsia="Liberation Serif" w:cs="Liberation Serif"/>
      <w:color w:val="000000"/>
      <w:position w:val="0"/>
      <w:sz w:val="21"/>
      <w:szCs w:val="21"/>
      <w:u w:val="none"/>
      <w:shd w:val="clear" w:color="auto" w:fill="auto"/>
      <w:vertAlign w:val="baseline"/>
    </w:rPr>
  </w:style>
  <w:style w:type="character" w:customStyle="1" w:styleId="225">
    <w:name w:val="Footnote Symbol"/>
    <w:qFormat/>
    <w:uiPriority w:val="0"/>
  </w:style>
  <w:style w:type="character" w:customStyle="1" w:styleId="226">
    <w:name w:val="Footnote anchor"/>
    <w:qFormat/>
    <w:uiPriority w:val="0"/>
    <w:rPr>
      <w:position w:val="0"/>
      <w:vertAlign w:val="superscript"/>
    </w:rPr>
  </w:style>
  <w:style w:type="character" w:customStyle="1" w:styleId="227">
    <w:name w:val="Bullet Symbols"/>
    <w:qFormat/>
    <w:uiPriority w:val="0"/>
    <w:rPr>
      <w:rFonts w:ascii="OpenSymbol" w:hAnsi="OpenSymbol" w:eastAsia="OpenSymbol" w:cs="OpenSymbol"/>
    </w:rPr>
  </w:style>
  <w:style w:type="character" w:customStyle="1" w:styleId="228">
    <w:name w:val="go"/>
    <w:basedOn w:val="9"/>
    <w:qFormat/>
    <w:uiPriority w:val="0"/>
  </w:style>
  <w:style w:type="character" w:customStyle="1" w:styleId="229">
    <w:name w:val="Internet link"/>
    <w:qFormat/>
    <w:uiPriority w:val="0"/>
    <w:rPr>
      <w:color w:val="000080"/>
      <w:u w:val="single"/>
    </w:rPr>
  </w:style>
  <w:style w:type="character" w:customStyle="1" w:styleId="230">
    <w:name w:val="Menção Pendente2"/>
    <w:basedOn w:val="9"/>
    <w:unhideWhenUsed/>
    <w:qFormat/>
    <w:uiPriority w:val="0"/>
    <w:rPr>
      <w:color w:val="605E5C"/>
      <w:shd w:val="clear" w:color="auto" w:fill="E1DFDD"/>
    </w:rPr>
  </w:style>
  <w:style w:type="paragraph" w:customStyle="1" w:styleId="231">
    <w:name w:val="texto"/>
    <w:qFormat/>
    <w:uiPriority w:val="0"/>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hAnsi="Times New Roman" w:eastAsia="Times New Roman" w:cs="Times New Roman"/>
      <w:kern w:val="3"/>
      <w:lang w:val="pt-BR" w:eastAsia="zh-CN" w:bidi="ar-SA"/>
    </w:rPr>
  </w:style>
  <w:style w:type="paragraph" w:customStyle="1" w:styleId="232">
    <w:name w:val="Quotations"/>
    <w:basedOn w:val="19"/>
    <w:qFormat/>
    <w:uiPriority w:val="0"/>
    <w:pPr>
      <w:widowControl w:val="0"/>
      <w:spacing w:after="283" w:line="240" w:lineRule="auto"/>
      <w:ind w:left="567" w:right="567" w:firstLine="0"/>
      <w:jc w:val="left"/>
    </w:pPr>
    <w:rPr>
      <w:rFonts w:ascii="Times New Roman" w:hAnsi="Times New Roman" w:eastAsia="SimSun" w:cs="Tahoma"/>
      <w:color w:val="auto"/>
      <w:kern w:val="3"/>
      <w:szCs w:val="24"/>
      <w:lang w:eastAsia="zh-CN" w:bidi="hi-IN"/>
    </w:rPr>
  </w:style>
  <w:style w:type="paragraph" w:customStyle="1" w:styleId="233">
    <w:name w:val="EP Tabela"/>
    <w:basedOn w:val="1"/>
    <w:qFormat/>
    <w:uiPriority w:val="0"/>
    <w:pPr>
      <w:widowControl w:val="0"/>
      <w:suppressAutoHyphens/>
      <w:autoSpaceDN w:val="0"/>
      <w:jc w:val="center"/>
      <w:textAlignment w:val="baseline"/>
    </w:pPr>
    <w:rPr>
      <w:rFonts w:eastAsia="SimSun" w:cs="Arial"/>
      <w:b/>
      <w:kern w:val="3"/>
      <w:sz w:val="22"/>
      <w:szCs w:val="24"/>
      <w:lang w:eastAsia="ar-SA" w:bidi="hi-IN"/>
    </w:rPr>
  </w:style>
  <w:style w:type="paragraph" w:customStyle="1" w:styleId="234">
    <w:name w:val="EP Conteudotabela"/>
    <w:basedOn w:val="1"/>
    <w:qFormat/>
    <w:uiPriority w:val="0"/>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235">
    <w:name w:val="western"/>
    <w:basedOn w:val="1"/>
    <w:qFormat/>
    <w:uiPriority w:val="0"/>
    <w:pPr>
      <w:suppressAutoHyphens/>
      <w:autoSpaceDN w:val="0"/>
      <w:spacing w:before="100" w:after="119"/>
      <w:textAlignment w:val="baseline"/>
    </w:pPr>
    <w:rPr>
      <w:sz w:val="24"/>
      <w:szCs w:val="24"/>
    </w:rPr>
  </w:style>
  <w:style w:type="paragraph" w:customStyle="1" w:styleId="236">
    <w:name w:val="msonormal"/>
    <w:basedOn w:val="1"/>
    <w:qFormat/>
    <w:uiPriority w:val="0"/>
    <w:pPr>
      <w:spacing w:before="100" w:beforeAutospacing="1" w:after="100" w:afterAutospacing="1"/>
    </w:pPr>
    <w:rPr>
      <w:sz w:val="24"/>
      <w:szCs w:val="24"/>
    </w:rPr>
  </w:style>
  <w:style w:type="paragraph" w:customStyle="1" w:styleId="237">
    <w:name w:val="xl64"/>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8">
    <w:name w:val="xl65"/>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39">
    <w:name w:val="xl66"/>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40">
    <w:name w:val="xl6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41">
    <w:name w:val="xl68"/>
    <w:basedOn w:val="1"/>
    <w:qFormat/>
    <w:uiPriority w:val="0"/>
    <w:pPr>
      <w:pBdr>
        <w:bottom w:val="single" w:color="auto" w:sz="8" w:space="0"/>
      </w:pBdr>
      <w:spacing w:before="100" w:beforeAutospacing="1" w:after="100" w:afterAutospacing="1"/>
      <w:jc w:val="center"/>
      <w:textAlignment w:val="center"/>
    </w:pPr>
    <w:rPr>
      <w:color w:val="000000"/>
      <w:sz w:val="24"/>
      <w:szCs w:val="24"/>
    </w:rPr>
  </w:style>
  <w:style w:type="paragraph" w:customStyle="1" w:styleId="242">
    <w:name w:val="xl69"/>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3">
    <w:name w:val="xl70"/>
    <w:basedOn w:val="1"/>
    <w:qFormat/>
    <w:uiPriority w:val="0"/>
    <w:pPr>
      <w:pBdr>
        <w:top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4">
    <w:name w:val="xl71"/>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5">
    <w:name w:val="xl72"/>
    <w:basedOn w:val="1"/>
    <w:qFormat/>
    <w:uiPriority w:val="0"/>
    <w:pPr>
      <w:pBdr>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46">
    <w:name w:val="xl73"/>
    <w:basedOn w:val="1"/>
    <w:qFormat/>
    <w:uiPriority w:val="0"/>
    <w:pPr>
      <w:pBdr>
        <w:left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7">
    <w:name w:val="xl74"/>
    <w:basedOn w:val="1"/>
    <w:qFormat/>
    <w:uiPriority w:val="0"/>
    <w:pPr>
      <w:pBdr>
        <w:right w:val="single" w:color="auto" w:sz="8" w:space="0"/>
      </w:pBdr>
      <w:spacing w:before="100" w:beforeAutospacing="1" w:after="100" w:afterAutospacing="1"/>
      <w:jc w:val="center"/>
      <w:textAlignment w:val="center"/>
    </w:pPr>
    <w:rPr>
      <w:color w:val="000000"/>
      <w:sz w:val="24"/>
      <w:szCs w:val="24"/>
    </w:rPr>
  </w:style>
  <w:style w:type="paragraph" w:customStyle="1" w:styleId="248">
    <w:name w:val="xl7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49">
    <w:name w:val="xl76"/>
    <w:basedOn w:val="1"/>
    <w:qFormat/>
    <w:uiPriority w:val="0"/>
    <w:pPr>
      <w:pBdr>
        <w:left w:val="single" w:color="auto" w:sz="8" w:space="0"/>
        <w:bottom w:val="single" w:color="auto" w:sz="8" w:space="0"/>
      </w:pBdr>
      <w:spacing w:before="100" w:beforeAutospacing="1" w:after="100" w:afterAutospacing="1"/>
      <w:jc w:val="center"/>
      <w:textAlignment w:val="center"/>
    </w:pPr>
    <w:rPr>
      <w:rFonts w:ascii="Arial" w:hAnsi="Arial" w:cs="Arial"/>
      <w:color w:val="000000"/>
    </w:rPr>
  </w:style>
  <w:style w:type="paragraph" w:customStyle="1" w:styleId="250">
    <w:name w:val="xl77"/>
    <w:basedOn w:val="1"/>
    <w:qFormat/>
    <w:uiPriority w:val="0"/>
    <w:pPr>
      <w:pBdr>
        <w:left w:val="single" w:color="auto" w:sz="8" w:space="0"/>
        <w:bottom w:val="single" w:color="auto" w:sz="8" w:space="0"/>
      </w:pBdr>
      <w:spacing w:before="100" w:beforeAutospacing="1" w:after="100" w:afterAutospacing="1"/>
      <w:jc w:val="center"/>
      <w:textAlignment w:val="center"/>
    </w:pPr>
    <w:rPr>
      <w:color w:val="000000"/>
      <w:sz w:val="24"/>
      <w:szCs w:val="24"/>
    </w:rPr>
  </w:style>
  <w:style w:type="paragraph" w:customStyle="1" w:styleId="251">
    <w:name w:val="xl78"/>
    <w:basedOn w:val="1"/>
    <w:qFormat/>
    <w:uiPriority w:val="0"/>
    <w:pPr>
      <w:pBdr>
        <w:left w:val="single" w:color="auto" w:sz="8"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52">
    <w:name w:val="xl79"/>
    <w:basedOn w:val="1"/>
    <w:qFormat/>
    <w:uiPriority w:val="0"/>
    <w:pPr>
      <w:spacing w:before="100" w:beforeAutospacing="1" w:after="100" w:afterAutospacing="1"/>
      <w:jc w:val="center"/>
      <w:textAlignment w:val="center"/>
    </w:pPr>
    <w:rPr>
      <w:rFonts w:ascii="Arial" w:hAnsi="Arial" w:cs="Arial"/>
      <w:color w:val="000000"/>
    </w:rPr>
  </w:style>
  <w:style w:type="paragraph" w:customStyle="1" w:styleId="253">
    <w:name w:val="xl80"/>
    <w:basedOn w:val="1"/>
    <w:qFormat/>
    <w:uiPriority w:val="0"/>
    <w:pPr>
      <w:spacing w:before="100" w:beforeAutospacing="1" w:after="100" w:afterAutospacing="1"/>
      <w:jc w:val="center"/>
      <w:textAlignment w:val="center"/>
    </w:pPr>
    <w:rPr>
      <w:color w:val="000000"/>
      <w:sz w:val="24"/>
      <w:szCs w:val="24"/>
    </w:rPr>
  </w:style>
  <w:style w:type="paragraph" w:customStyle="1" w:styleId="254">
    <w:name w:val="xl81"/>
    <w:basedOn w:val="1"/>
    <w:qFormat/>
    <w:uiPriority w:val="0"/>
    <w:pPr>
      <w:spacing w:before="100" w:beforeAutospacing="1" w:after="100" w:afterAutospacing="1"/>
      <w:jc w:val="center"/>
      <w:textAlignment w:val="center"/>
    </w:pPr>
    <w:rPr>
      <w:color w:val="000000"/>
      <w:sz w:val="24"/>
      <w:szCs w:val="24"/>
    </w:rPr>
  </w:style>
  <w:style w:type="paragraph" w:customStyle="1" w:styleId="255">
    <w:name w:val="xl82"/>
    <w:basedOn w:val="1"/>
    <w:qFormat/>
    <w:uiPriority w:val="0"/>
    <w:pPr>
      <w:pBdr>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6">
    <w:name w:val="xl83"/>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7">
    <w:name w:val="xl84"/>
    <w:basedOn w:val="1"/>
    <w:qFormat/>
    <w:uiPriority w:val="0"/>
    <w:pPr>
      <w:pBdr>
        <w:bottom w:val="single" w:color="auto" w:sz="4" w:space="0"/>
        <w:right w:val="single" w:color="auto" w:sz="8" w:space="0"/>
      </w:pBdr>
      <w:spacing w:before="100" w:beforeAutospacing="1" w:after="100" w:afterAutospacing="1"/>
      <w:jc w:val="center"/>
      <w:textAlignment w:val="center"/>
    </w:pPr>
    <w:rPr>
      <w:color w:val="000000"/>
      <w:sz w:val="24"/>
      <w:szCs w:val="24"/>
    </w:rPr>
  </w:style>
  <w:style w:type="paragraph" w:customStyle="1" w:styleId="258">
    <w:name w:val="xl85"/>
    <w:basedOn w:val="1"/>
    <w:qFormat/>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rPr>
  </w:style>
  <w:style w:type="paragraph" w:customStyle="1" w:styleId="259">
    <w:name w:val="xl86"/>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0">
    <w:name w:val="xl87"/>
    <w:basedOn w:val="1"/>
    <w:qFormat/>
    <w:uiPriority w:val="0"/>
    <w:pPr>
      <w:pBdr>
        <w:top w:val="single" w:color="auto" w:sz="4" w:space="0"/>
        <w:bottom w:val="single" w:color="auto" w:sz="8" w:space="0"/>
        <w:right w:val="single" w:color="auto" w:sz="8" w:space="0"/>
      </w:pBdr>
      <w:spacing w:before="100" w:beforeAutospacing="1" w:after="100" w:afterAutospacing="1"/>
      <w:jc w:val="center"/>
      <w:textAlignment w:val="center"/>
    </w:pPr>
    <w:rPr>
      <w:color w:val="000000"/>
      <w:sz w:val="24"/>
      <w:szCs w:val="24"/>
    </w:rPr>
  </w:style>
  <w:style w:type="paragraph" w:customStyle="1" w:styleId="261">
    <w:name w:val="xl88"/>
    <w:basedOn w:val="1"/>
    <w:qFormat/>
    <w:uiPriority w:val="0"/>
    <w:pPr>
      <w:pBdr>
        <w:top w:val="single" w:color="auto" w:sz="4" w:space="0"/>
        <w:bottom w:val="single" w:color="auto" w:sz="8" w:space="0"/>
      </w:pBdr>
      <w:spacing w:before="100" w:beforeAutospacing="1" w:after="100" w:afterAutospacing="1"/>
      <w:jc w:val="center"/>
      <w:textAlignment w:val="center"/>
    </w:pPr>
    <w:rPr>
      <w:color w:val="000000"/>
      <w:sz w:val="24"/>
      <w:szCs w:val="24"/>
    </w:rPr>
  </w:style>
  <w:style w:type="paragraph" w:customStyle="1" w:styleId="262">
    <w:name w:val="xl89"/>
    <w:basedOn w:val="1"/>
    <w:qFormat/>
    <w:uiPriority w:val="0"/>
    <w:pPr>
      <w:spacing w:before="100" w:beforeAutospacing="1" w:after="100" w:afterAutospacing="1"/>
      <w:jc w:val="center"/>
    </w:pPr>
    <w:rPr>
      <w:sz w:val="24"/>
      <w:szCs w:val="24"/>
    </w:rPr>
  </w:style>
  <w:style w:type="paragraph" w:customStyle="1" w:styleId="263">
    <w:name w:val="xl90"/>
    <w:basedOn w:val="1"/>
    <w:qFormat/>
    <w:uiPriority w:val="0"/>
    <w:pPr>
      <w:pBdr>
        <w:top w:val="single" w:color="auto" w:sz="4" w:space="0"/>
      </w:pBdr>
      <w:spacing w:before="100" w:beforeAutospacing="1" w:after="100" w:afterAutospacing="1"/>
      <w:jc w:val="center"/>
      <w:textAlignment w:val="center"/>
    </w:pPr>
    <w:rPr>
      <w:rFonts w:ascii="Arial" w:hAnsi="Arial" w:cs="Arial"/>
      <w:color w:val="000000"/>
    </w:rPr>
  </w:style>
  <w:style w:type="paragraph" w:customStyle="1" w:styleId="264">
    <w:name w:val="xl91"/>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5">
    <w:name w:val="xl92"/>
    <w:basedOn w:val="1"/>
    <w:qFormat/>
    <w:uiPriority w:val="0"/>
    <w:pPr>
      <w:pBdr>
        <w:top w:val="single" w:color="auto" w:sz="4" w:space="0"/>
      </w:pBdr>
      <w:spacing w:before="100" w:beforeAutospacing="1" w:after="100" w:afterAutospacing="1"/>
      <w:jc w:val="center"/>
      <w:textAlignment w:val="center"/>
    </w:pPr>
    <w:rPr>
      <w:color w:val="000000"/>
      <w:sz w:val="24"/>
      <w:szCs w:val="24"/>
    </w:rPr>
  </w:style>
  <w:style w:type="paragraph" w:customStyle="1" w:styleId="266">
    <w:name w:val="xl93"/>
    <w:basedOn w:val="1"/>
    <w:qFormat/>
    <w:uiPriority w:val="0"/>
    <w:pPr>
      <w:pBdr>
        <w:bottom w:val="single" w:color="auto" w:sz="4" w:space="0"/>
      </w:pBdr>
      <w:spacing w:before="100" w:beforeAutospacing="1" w:after="100" w:afterAutospacing="1"/>
      <w:jc w:val="center"/>
      <w:textAlignment w:val="center"/>
    </w:pPr>
    <w:rPr>
      <w:rFonts w:ascii="Arial" w:hAnsi="Arial" w:cs="Arial"/>
      <w:color w:val="000000"/>
    </w:rPr>
  </w:style>
  <w:style w:type="paragraph" w:customStyle="1" w:styleId="267">
    <w:name w:val="xl94"/>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8">
    <w:name w:val="xl95"/>
    <w:basedOn w:val="1"/>
    <w:qFormat/>
    <w:uiPriority w:val="0"/>
    <w:pPr>
      <w:pBdr>
        <w:bottom w:val="single" w:color="auto" w:sz="4" w:space="0"/>
      </w:pBdr>
      <w:spacing w:before="100" w:beforeAutospacing="1" w:after="100" w:afterAutospacing="1"/>
      <w:jc w:val="center"/>
      <w:textAlignment w:val="center"/>
    </w:pPr>
    <w:rPr>
      <w:color w:val="000000"/>
      <w:sz w:val="24"/>
      <w:szCs w:val="24"/>
    </w:rPr>
  </w:style>
  <w:style w:type="paragraph" w:customStyle="1" w:styleId="269">
    <w:name w:val="xl96"/>
    <w:basedOn w:val="1"/>
    <w:qFormat/>
    <w:uiPriority w:val="0"/>
    <w:pPr>
      <w:spacing w:before="100" w:beforeAutospacing="1" w:after="100" w:afterAutospacing="1"/>
      <w:jc w:val="center"/>
      <w:textAlignment w:val="center"/>
    </w:pPr>
    <w:rPr>
      <w:b/>
      <w:bCs/>
      <w:color w:val="000000"/>
      <w:sz w:val="24"/>
      <w:szCs w:val="24"/>
    </w:rPr>
  </w:style>
  <w:style w:type="paragraph" w:customStyle="1" w:styleId="27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1">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4"/>
      <w:szCs w:val="24"/>
    </w:rPr>
  </w:style>
  <w:style w:type="paragraph" w:customStyle="1" w:styleId="272">
    <w:name w:val="Normal11"/>
    <w:qFormat/>
    <w:uiPriority w:val="0"/>
    <w:pPr>
      <w:widowControl w:val="0"/>
    </w:pPr>
    <w:rPr>
      <w:rFonts w:ascii="Calibri" w:hAnsi="Calibri" w:eastAsia="Calibri" w:cs="Calibri"/>
      <w:sz w:val="22"/>
      <w:szCs w:val="22"/>
      <w:lang w:val="pt-BR" w:eastAsia="pt-BR" w:bidi="ar-SA"/>
    </w:rPr>
  </w:style>
  <w:style w:type="paragraph" w:customStyle="1" w:styleId="273">
    <w:name w:val="Normal2"/>
    <w:qFormat/>
    <w:uiPriority w:val="0"/>
    <w:pPr>
      <w:widowControl w:val="0"/>
    </w:pPr>
    <w:rPr>
      <w:rFonts w:ascii="Calibri" w:hAnsi="Calibri" w:eastAsia="Calibri" w:cs="Calibri"/>
      <w:sz w:val="22"/>
      <w:szCs w:val="22"/>
      <w:lang w:val="pt-BR" w:eastAsia="pt-BR" w:bidi="ar-SA"/>
    </w:rPr>
  </w:style>
  <w:style w:type="paragraph" w:customStyle="1" w:styleId="274">
    <w:name w:val="Normal3"/>
    <w:qFormat/>
    <w:uiPriority w:val="0"/>
    <w:pPr>
      <w:widowControl w:val="0"/>
    </w:pPr>
    <w:rPr>
      <w:rFonts w:ascii="Calibri" w:hAnsi="Calibri" w:eastAsia="Calibri" w:cs="Calibri"/>
      <w:sz w:val="22"/>
      <w:szCs w:val="22"/>
      <w:lang w:val="pt-BR" w:eastAsia="pt-BR" w:bidi="ar-SA"/>
    </w:rPr>
  </w:style>
  <w:style w:type="table" w:customStyle="1" w:styleId="275">
    <w:name w:val="_Style 14"/>
    <w:basedOn w:val="45"/>
    <w:qFormat/>
    <w:uiPriority w:val="0"/>
    <w:rPr>
      <w:rFonts w:eastAsia="SimSun"/>
    </w:rPr>
    <w:tblPr>
      <w:tblCellMar>
        <w:left w:w="108" w:type="dxa"/>
        <w:right w:w="108" w:type="dxa"/>
      </w:tblCellMar>
    </w:tblPr>
  </w:style>
  <w:style w:type="table" w:customStyle="1" w:styleId="276">
    <w:name w:val="_Style 17"/>
    <w:basedOn w:val="45"/>
    <w:uiPriority w:val="0"/>
    <w:tblPr>
      <w:tblCellMar>
        <w:left w:w="115" w:type="dxa"/>
        <w:right w:w="115" w:type="dxa"/>
      </w:tblCellMar>
    </w:tblPr>
  </w:style>
  <w:style w:type="table" w:customStyle="1" w:styleId="277">
    <w:name w:val="_Style 18"/>
    <w:basedOn w:val="45"/>
    <w:uiPriority w:val="0"/>
    <w:tblPr>
      <w:tblCellMar>
        <w:left w:w="115" w:type="dxa"/>
        <w:right w:w="115" w:type="dxa"/>
      </w:tblCellMar>
    </w:tblPr>
  </w:style>
  <w:style w:type="table" w:customStyle="1" w:styleId="278">
    <w:name w:val="_Style 20"/>
    <w:basedOn w:val="45"/>
    <w:uiPriority w:val="0"/>
    <w:tblPr>
      <w:tblCellMar>
        <w:left w:w="115" w:type="dxa"/>
        <w:right w:w="115" w:type="dxa"/>
      </w:tblCellMar>
    </w:tblPr>
  </w:style>
  <w:style w:type="table" w:customStyle="1" w:styleId="279">
    <w:name w:val="_Style 21"/>
    <w:basedOn w:val="45"/>
    <w:uiPriority w:val="0"/>
    <w:tblPr>
      <w:tblCellMar>
        <w:left w:w="115" w:type="dxa"/>
        <w:right w:w="115" w:type="dxa"/>
      </w:tblCellMar>
    </w:tblPr>
  </w:style>
  <w:style w:type="table" w:customStyle="1" w:styleId="280">
    <w:name w:val="_Style 22"/>
    <w:basedOn w:val="45"/>
    <w:uiPriority w:val="0"/>
    <w:tblPr>
      <w:tblCellMar>
        <w:left w:w="115" w:type="dxa"/>
        <w:right w:w="115" w:type="dxa"/>
      </w:tblCellMar>
    </w:tblPr>
  </w:style>
  <w:style w:type="table" w:customStyle="1" w:styleId="281">
    <w:name w:val="_Style 23"/>
    <w:basedOn w:val="45"/>
    <w:uiPriority w:val="0"/>
    <w:tblPr>
      <w:tblCellMar>
        <w:left w:w="70" w:type="dxa"/>
        <w:right w:w="70" w:type="dxa"/>
      </w:tblCellMar>
    </w:tblPr>
  </w:style>
  <w:style w:type="paragraph" w:customStyle="1" w:styleId="282">
    <w:name w:val="Revisão1"/>
    <w:hidden/>
    <w:semiHidden/>
    <w:qFormat/>
    <w:uiPriority w:val="99"/>
    <w:rPr>
      <w:rFonts w:ascii="Times New Roman" w:hAnsi="Times New Roman" w:eastAsia="Times New Roman" w:cs="Times New Roman"/>
      <w:sz w:val="24"/>
      <w:szCs w:val="24"/>
      <w:lang w:val="pt-BR" w:eastAsia="pt-BR" w:bidi="ar-SA"/>
    </w:rPr>
  </w:style>
  <w:style w:type="table" w:customStyle="1" w:styleId="283">
    <w:name w:val="_Style 136"/>
    <w:basedOn w:val="45"/>
    <w:qFormat/>
    <w:uiPriority w:val="0"/>
    <w:rPr>
      <w:rFonts w:ascii="Aptos" w:hAnsi="Aptos" w:eastAsia="Aptos" w:cs="Aptos"/>
    </w:rPr>
    <w:tblPr>
      <w:tblCellMar>
        <w:left w:w="108"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Props1.xml><?xml version="1.0" encoding="utf-8"?>
<ds:datastoreItem xmlns:ds="http://schemas.openxmlformats.org/officeDocument/2006/customXml" ds:itemID="{60163FCB-FAF0-45A6-80A0-E211046E5BE8}">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91</Pages>
  <Words>27232</Words>
  <Characters>147055</Characters>
  <Lines>1225</Lines>
  <Paragraphs>347</Paragraphs>
  <TotalTime>69</TotalTime>
  <ScaleCrop>false</ScaleCrop>
  <LinksUpToDate>false</LinksUpToDate>
  <CharactersWithSpaces>173940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2026-06-30T12:48:00Z</dcterms:created>
  <dc:creator>Sabrina Guimarães</dc:creator>
  <cp:lastModifiedBy>licitacao04</cp:lastModifiedBy>
  <cp:lastPrinted>2025-09-19T17:36:00Z</cp:lastPrinted>
  <dcterms:modified xsi:type="dcterms:W3CDTF">2026-08-05T11:36:42Z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eyJoZGlkIjoiODk5ZDUzODY0MzRjZDU1MTZjNjdmZjFjZGJkZmQ3NTUifQ==</vt:lpwstr>
  </property>
  <property fmtid="{D5CDD505-2E9C-101B-9397-08002B2CF9AE}" pid="3" name="KSOProductBuildVer">
    <vt:lpwstr>1046-12.1.0.28032</vt:lpwstr>
  </property>
  <property fmtid="{D5CDD505-2E9C-101B-9397-08002B2CF9AE}" pid="4" name="ICV">
    <vt:lpwstr>9A032291B3BA4070AA3E2C0316B29777_13</vt:lpwstr>
  </property>
</Properties>
</file>