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B7CD7E">
      <w:pPr>
        <w:pStyle w:val="71"/>
        <w:spacing w:line="360" w:lineRule="auto"/>
        <w:ind w:right="-285" w:firstLine="142"/>
        <w:jc w:val="center"/>
        <w:rPr>
          <w:rFonts w:ascii="Times New Roman" w:hAnsi="Times New Roman" w:cs="Times New Roman"/>
          <w:b/>
          <w:sz w:val="24"/>
          <w:szCs w:val="24"/>
        </w:rPr>
      </w:pPr>
      <w:r>
        <w:rPr>
          <w:rFonts w:ascii="Times New Roman" w:hAnsi="Times New Roman" w:cs="Times New Roman"/>
          <w:b/>
          <w:sz w:val="24"/>
          <w:szCs w:val="24"/>
        </w:rPr>
        <w:t xml:space="preserve"> EDITAL DE PREGÃO ELETRÔNICO (AQUISIÇÃO DE BENS) </w:t>
      </w:r>
    </w:p>
    <w:p w14:paraId="28535BE0">
      <w:pPr>
        <w:pStyle w:val="71"/>
        <w:spacing w:line="360" w:lineRule="auto"/>
        <w:ind w:right="-285" w:firstLine="142"/>
        <w:jc w:val="center"/>
        <w:rPr>
          <w:rFonts w:ascii="Times New Roman" w:hAnsi="Times New Roman" w:cs="Times New Roman"/>
          <w:b/>
          <w:sz w:val="24"/>
          <w:szCs w:val="24"/>
        </w:rPr>
      </w:pPr>
      <w:r>
        <w:rPr>
          <w:rFonts w:ascii="Times New Roman" w:hAnsi="Times New Roman" w:cs="Times New Roman"/>
          <w:b/>
          <w:sz w:val="24"/>
          <w:szCs w:val="24"/>
        </w:rPr>
        <w:t>PREGÃO ELETRÔNICO PE – Nº 900</w:t>
      </w:r>
      <w:r>
        <w:rPr>
          <w:rFonts w:hint="default" w:ascii="Times New Roman" w:hAnsi="Times New Roman" w:cs="Times New Roman"/>
          <w:b/>
          <w:sz w:val="24"/>
          <w:szCs w:val="24"/>
          <w:lang w:val="pt-BR"/>
        </w:rPr>
        <w:t>62</w:t>
      </w:r>
      <w:r>
        <w:rPr>
          <w:rFonts w:ascii="Times New Roman" w:hAnsi="Times New Roman" w:cs="Times New Roman"/>
          <w:b/>
          <w:sz w:val="24"/>
          <w:szCs w:val="24"/>
        </w:rPr>
        <w:t xml:space="preserve">/2026 – </w:t>
      </w:r>
      <w:r>
        <w:rPr>
          <w:rFonts w:ascii="Times New Roman" w:hAnsi="Times New Roman" w:cs="Times New Roman"/>
          <w:b/>
          <w:sz w:val="24"/>
          <w:szCs w:val="24"/>
          <w:highlight w:val="yellow"/>
        </w:rPr>
        <w:t>Registro de Preços</w:t>
      </w:r>
    </w:p>
    <w:p w14:paraId="20F878F1">
      <w:pPr>
        <w:spacing w:line="288" w:lineRule="auto"/>
        <w:contextualSpacing/>
        <w:jc w:val="center"/>
        <w:rPr>
          <w:rFonts w:hint="default" w:ascii="Calibri" w:hAnsi="Calibri" w:cs="Calibri"/>
          <w:b w:val="0"/>
          <w:bCs w:val="0"/>
          <w:i/>
          <w:iCs/>
          <w:color w:val="405CA1"/>
          <w:sz w:val="24"/>
          <w:szCs w:val="24"/>
          <w:u w:val="single"/>
        </w:rPr>
      </w:pPr>
      <w:bookmarkStart w:id="49" w:name="_GoBack"/>
      <w:bookmarkEnd w:id="49"/>
      <w:r>
        <w:rPr>
          <w:rFonts w:hint="default" w:ascii="Calibri" w:hAnsi="Calibri" w:eastAsia="ui-serif" w:cs="Calibri"/>
          <w:b w:val="0"/>
          <w:bCs w:val="0"/>
          <w:i/>
          <w:iCs/>
          <w:caps w:val="0"/>
          <w:color w:val="333333"/>
          <w:spacing w:val="0"/>
          <w:sz w:val="24"/>
          <w:szCs w:val="24"/>
          <w:u w:val="single"/>
          <w:shd w:val="clear" w:fill="FFFFFF"/>
        </w:rPr>
        <w:t>Contratação: 985921-230/2026</w:t>
      </w:r>
    </w:p>
    <w:p w14:paraId="774483D9">
      <w:pPr>
        <w:spacing w:line="288" w:lineRule="auto"/>
        <w:contextualSpacing/>
        <w:jc w:val="both"/>
        <w:rPr>
          <w:b/>
          <w:bCs/>
          <w:color w:val="405CA1"/>
          <w:sz w:val="24"/>
          <w:szCs w:val="24"/>
        </w:rPr>
      </w:pPr>
    </w:p>
    <w:p w14:paraId="1A8314EB">
      <w:pPr>
        <w:spacing w:line="288" w:lineRule="auto"/>
        <w:contextualSpacing/>
        <w:jc w:val="both"/>
        <w:rPr>
          <w:b/>
          <w:bCs/>
          <w:color w:val="405CA1"/>
          <w:sz w:val="24"/>
          <w:szCs w:val="24"/>
        </w:rPr>
      </w:pPr>
      <w:r>
        <w:rPr>
          <w:b/>
          <w:bCs/>
          <w:color w:val="405CA1"/>
          <w:sz w:val="24"/>
          <w:szCs w:val="24"/>
        </w:rPr>
        <w:t>ÓRGÃO/ENTIDADE GERENCIADORA - Unidade Gestora – UG: 985921</w:t>
      </w:r>
    </w:p>
    <w:p w14:paraId="31C6433B">
      <w:pPr>
        <w:spacing w:line="288" w:lineRule="auto"/>
        <w:contextualSpacing/>
        <w:jc w:val="both"/>
        <w:rPr>
          <w:sz w:val="24"/>
          <w:szCs w:val="24"/>
        </w:rPr>
      </w:pPr>
      <w:r>
        <w:rPr>
          <w:sz w:val="24"/>
          <w:szCs w:val="24"/>
        </w:rPr>
        <w:t>MUNICÍPIO DE VALENÇA RJ, PELA SECRETARIA MUNICIPAL DE SAÚDE.</w:t>
      </w:r>
    </w:p>
    <w:p w14:paraId="1E0DE954">
      <w:pPr>
        <w:spacing w:line="288" w:lineRule="auto"/>
        <w:contextualSpacing/>
        <w:jc w:val="both"/>
        <w:rPr>
          <w:color w:val="FF0000"/>
          <w:sz w:val="24"/>
          <w:szCs w:val="24"/>
        </w:rPr>
      </w:pPr>
    </w:p>
    <w:p w14:paraId="16BD0C84">
      <w:pPr>
        <w:spacing w:line="288" w:lineRule="auto"/>
        <w:contextualSpacing/>
        <w:jc w:val="both"/>
        <w:rPr>
          <w:b/>
          <w:bCs/>
          <w:color w:val="5B5B5F"/>
          <w:sz w:val="24"/>
          <w:szCs w:val="24"/>
        </w:rPr>
      </w:pPr>
      <w:r>
        <w:rPr>
          <w:b/>
          <w:bCs/>
          <w:color w:val="405CA1"/>
          <w:sz w:val="24"/>
          <w:szCs w:val="24"/>
        </w:rPr>
        <w:t>OBJETO</w:t>
      </w:r>
    </w:p>
    <w:p w14:paraId="6D95E4FD">
      <w:pPr>
        <w:spacing w:after="112" w:line="360" w:lineRule="auto"/>
        <w:jc w:val="both"/>
        <w:rPr>
          <w:rFonts w:eastAsia="SimSun"/>
          <w:sz w:val="24"/>
          <w:szCs w:val="24"/>
        </w:rPr>
      </w:pPr>
      <w:r>
        <w:rPr>
          <w:rFonts w:eastAsia="Cambria Math"/>
          <w:sz w:val="24"/>
          <w:szCs w:val="24"/>
        </w:rPr>
        <w:t>A</w:t>
      </w:r>
      <w:r>
        <w:rPr>
          <w:rFonts w:eastAsia="SimSun"/>
          <w:sz w:val="24"/>
          <w:szCs w:val="24"/>
        </w:rPr>
        <w:t>quisição de kits bucais e escovas elétricas, destinados ao atendimento das necessidades do Centro de Especialidades Odontológicas (CEO).</w:t>
      </w:r>
    </w:p>
    <w:p w14:paraId="2A7EB13A">
      <w:pPr>
        <w:spacing w:line="288" w:lineRule="auto"/>
        <w:contextualSpacing/>
        <w:jc w:val="both"/>
        <w:rPr>
          <w:rFonts w:asciiTheme="minorHAnsi" w:hAnsiTheme="minorHAnsi" w:cstheme="minorHAnsi"/>
          <w:b/>
          <w:bCs/>
          <w:color w:val="405CA1"/>
          <w:sz w:val="24"/>
          <w:szCs w:val="24"/>
        </w:rPr>
      </w:pPr>
    </w:p>
    <w:p w14:paraId="5961C686">
      <w:pPr>
        <w:spacing w:line="288" w:lineRule="auto"/>
        <w:contextualSpacing/>
        <w:jc w:val="both"/>
        <w:rPr>
          <w:b/>
          <w:bCs/>
          <w:color w:val="405CA1"/>
          <w:sz w:val="24"/>
          <w:szCs w:val="24"/>
        </w:rPr>
      </w:pPr>
      <w:r>
        <w:rPr>
          <w:b/>
          <w:bCs/>
          <w:color w:val="405CA1"/>
          <w:sz w:val="24"/>
          <w:szCs w:val="24"/>
        </w:rPr>
        <w:t>VALOR TOTAL ESTIMADO DA CONTRATAÇÃO</w:t>
      </w:r>
    </w:p>
    <w:p w14:paraId="1709F553">
      <w:pPr>
        <w:rPr>
          <w:sz w:val="24"/>
          <w:szCs w:val="24"/>
        </w:rPr>
      </w:pPr>
    </w:p>
    <w:p w14:paraId="7415212E">
      <w:pPr>
        <w:spacing w:line="288" w:lineRule="auto"/>
        <w:contextualSpacing/>
        <w:jc w:val="both"/>
        <w:rPr>
          <w:color w:val="FF0000"/>
          <w:sz w:val="24"/>
          <w:szCs w:val="24"/>
        </w:rPr>
      </w:pPr>
      <w:r>
        <w:rPr>
          <w:b/>
          <w:bCs/>
          <w:sz w:val="24"/>
          <w:szCs w:val="24"/>
        </w:rPr>
        <w:t>R$</w:t>
      </w:r>
      <w:r>
        <w:rPr>
          <w:b/>
          <w:bCs/>
          <w:color w:val="FF0000"/>
          <w:sz w:val="24"/>
          <w:szCs w:val="24"/>
        </w:rPr>
        <w:t xml:space="preserve"> </w:t>
      </w:r>
      <w:r>
        <w:rPr>
          <w:rFonts w:eastAsia="SimSun"/>
          <w:b/>
          <w:color w:val="000000"/>
          <w:sz w:val="24"/>
          <w:szCs w:val="24"/>
          <w:lang w:eastAsia="zh-CN" w:bidi="ar"/>
        </w:rPr>
        <w:t>109.374,00</w:t>
      </w:r>
      <w:r>
        <w:rPr>
          <w:rFonts w:eastAsia="Cambria"/>
          <w:b/>
          <w:sz w:val="24"/>
          <w:szCs w:val="24"/>
        </w:rPr>
        <w:t xml:space="preserve"> (cento e nove mil, trezentos e setenta e quatro ).</w:t>
      </w:r>
    </w:p>
    <w:p w14:paraId="69A6CC1B">
      <w:pPr>
        <w:spacing w:line="288" w:lineRule="auto"/>
        <w:contextualSpacing/>
        <w:jc w:val="both"/>
        <w:rPr>
          <w:color w:val="FF0000"/>
          <w:sz w:val="24"/>
          <w:szCs w:val="24"/>
        </w:rPr>
      </w:pPr>
    </w:p>
    <w:p w14:paraId="3EF12550">
      <w:pPr>
        <w:spacing w:line="288" w:lineRule="auto"/>
        <w:contextualSpacing/>
        <w:jc w:val="both"/>
        <w:rPr>
          <w:b/>
          <w:bCs/>
          <w:color w:val="405CA1"/>
          <w:sz w:val="24"/>
          <w:szCs w:val="24"/>
        </w:rPr>
      </w:pPr>
      <w:r>
        <w:rPr>
          <w:b/>
          <w:bCs/>
          <w:color w:val="405CA1"/>
          <w:sz w:val="24"/>
          <w:szCs w:val="24"/>
        </w:rPr>
        <w:t>DATA DA SESSÃO PÚBLICA</w:t>
      </w:r>
    </w:p>
    <w:p w14:paraId="4431516B">
      <w:pPr>
        <w:spacing w:line="288" w:lineRule="auto"/>
        <w:contextualSpacing/>
        <w:jc w:val="both"/>
        <w:rPr>
          <w:b/>
          <w:bCs/>
          <w:color w:val="405CA1"/>
          <w:sz w:val="24"/>
          <w:szCs w:val="24"/>
        </w:rPr>
      </w:pPr>
    </w:p>
    <w:p w14:paraId="330D4A2B">
      <w:pPr>
        <w:spacing w:line="288" w:lineRule="auto"/>
        <w:contextualSpacing/>
        <w:jc w:val="both"/>
        <w:rPr>
          <w:color w:val="5B5B5F"/>
          <w:sz w:val="24"/>
          <w:szCs w:val="24"/>
        </w:rPr>
      </w:pPr>
      <w:r>
        <w:rPr>
          <w:b/>
          <w:bCs/>
          <w:i/>
          <w:iCs/>
          <w:color w:val="auto"/>
          <w:sz w:val="24"/>
          <w:szCs w:val="24"/>
          <w:u w:val="single"/>
        </w:rPr>
        <w:t xml:space="preserve">Dia </w:t>
      </w:r>
      <w:r>
        <w:rPr>
          <w:rFonts w:hint="default"/>
          <w:b/>
          <w:bCs/>
          <w:i/>
          <w:iCs/>
          <w:color w:val="auto"/>
          <w:sz w:val="24"/>
          <w:szCs w:val="24"/>
          <w:u w:val="single"/>
          <w:lang w:val="pt-BR"/>
        </w:rPr>
        <w:t>23</w:t>
      </w:r>
      <w:r>
        <w:rPr>
          <w:b/>
          <w:bCs/>
          <w:i/>
          <w:iCs/>
          <w:color w:val="auto"/>
          <w:sz w:val="24"/>
          <w:szCs w:val="24"/>
          <w:u w:val="single"/>
        </w:rPr>
        <w:t>/</w:t>
      </w:r>
      <w:r>
        <w:rPr>
          <w:rFonts w:hint="default"/>
          <w:b/>
          <w:bCs/>
          <w:i/>
          <w:iCs/>
          <w:color w:val="auto"/>
          <w:sz w:val="24"/>
          <w:szCs w:val="24"/>
          <w:u w:val="single"/>
          <w:lang w:val="pt-BR"/>
        </w:rPr>
        <w:t>09</w:t>
      </w:r>
      <w:r>
        <w:rPr>
          <w:b/>
          <w:bCs/>
          <w:i/>
          <w:iCs/>
          <w:color w:val="auto"/>
          <w:sz w:val="24"/>
          <w:szCs w:val="24"/>
          <w:u w:val="single"/>
        </w:rPr>
        <w:t xml:space="preserve">/2026 às </w:t>
      </w:r>
      <w:r>
        <w:rPr>
          <w:rFonts w:hint="default"/>
          <w:b/>
          <w:bCs/>
          <w:i/>
          <w:iCs/>
          <w:color w:val="auto"/>
          <w:sz w:val="24"/>
          <w:szCs w:val="24"/>
          <w:u w:val="single"/>
          <w:lang w:val="pt-BR"/>
        </w:rPr>
        <w:t>13</w:t>
      </w:r>
      <w:r>
        <w:rPr>
          <w:b/>
          <w:bCs/>
          <w:i/>
          <w:iCs/>
          <w:color w:val="auto"/>
          <w:sz w:val="24"/>
          <w:szCs w:val="24"/>
          <w:u w:val="single"/>
        </w:rPr>
        <w:t xml:space="preserve">h </w:t>
      </w:r>
      <w:r>
        <w:rPr>
          <w:color w:val="5B5B5F"/>
          <w:sz w:val="24"/>
          <w:szCs w:val="24"/>
        </w:rPr>
        <w:t>(horário de Brasília)</w:t>
      </w:r>
    </w:p>
    <w:p w14:paraId="1FE3145D">
      <w:pPr>
        <w:spacing w:line="288" w:lineRule="auto"/>
        <w:contextualSpacing/>
        <w:jc w:val="both"/>
        <w:rPr>
          <w:color w:val="5B5B5F"/>
          <w:sz w:val="24"/>
          <w:szCs w:val="24"/>
        </w:rPr>
      </w:pPr>
    </w:p>
    <w:p w14:paraId="6590E4DC">
      <w:pPr>
        <w:spacing w:line="288" w:lineRule="auto"/>
        <w:contextualSpacing/>
        <w:jc w:val="both"/>
        <w:rPr>
          <w:caps/>
          <w:color w:val="0000FF"/>
          <w:sz w:val="24"/>
          <w:szCs w:val="24"/>
        </w:rPr>
      </w:pPr>
      <w:r>
        <w:rPr>
          <w:b/>
          <w:bCs/>
          <w:caps/>
          <w:color w:val="405CA1"/>
          <w:sz w:val="24"/>
          <w:szCs w:val="24"/>
        </w:rPr>
        <w:t>Critério de Julgamento:</w:t>
      </w:r>
    </w:p>
    <w:p w14:paraId="02A8CB27">
      <w:pPr>
        <w:spacing w:line="288" w:lineRule="auto"/>
        <w:contextualSpacing/>
        <w:jc w:val="both"/>
        <w:rPr>
          <w:sz w:val="24"/>
          <w:szCs w:val="24"/>
        </w:rPr>
      </w:pPr>
      <w:r>
        <w:rPr>
          <w:sz w:val="24"/>
          <w:szCs w:val="24"/>
        </w:rPr>
        <w:t>MENOR PREÇO POR ITEM</w:t>
      </w:r>
    </w:p>
    <w:p w14:paraId="20865AFB">
      <w:pPr>
        <w:spacing w:line="288" w:lineRule="auto"/>
        <w:contextualSpacing/>
        <w:jc w:val="both"/>
        <w:rPr>
          <w:rFonts w:asciiTheme="minorHAnsi" w:hAnsiTheme="minorHAnsi" w:cstheme="minorHAnsi"/>
          <w:sz w:val="24"/>
          <w:szCs w:val="24"/>
        </w:rPr>
      </w:pPr>
    </w:p>
    <w:p w14:paraId="5D5D116C">
      <w:pPr>
        <w:spacing w:line="288" w:lineRule="auto"/>
        <w:contextualSpacing/>
        <w:jc w:val="both"/>
        <w:rPr>
          <w:caps/>
          <w:sz w:val="24"/>
          <w:szCs w:val="24"/>
        </w:rPr>
      </w:pPr>
      <w:r>
        <w:rPr>
          <w:b/>
          <w:bCs/>
          <w:caps/>
          <w:color w:val="405CA1"/>
          <w:sz w:val="24"/>
          <w:szCs w:val="24"/>
        </w:rPr>
        <w:t>Modo de disputa:</w:t>
      </w:r>
    </w:p>
    <w:p w14:paraId="56723C97">
      <w:pPr>
        <w:spacing w:line="288" w:lineRule="auto"/>
        <w:contextualSpacing/>
        <w:jc w:val="both"/>
        <w:rPr>
          <w:sz w:val="24"/>
          <w:szCs w:val="24"/>
        </w:rPr>
      </w:pPr>
      <w:r>
        <w:rPr>
          <w:sz w:val="24"/>
          <w:szCs w:val="24"/>
        </w:rPr>
        <w:t>ABERTO E FECHADO</w:t>
      </w:r>
    </w:p>
    <w:p w14:paraId="778B5D52">
      <w:pPr>
        <w:pStyle w:val="97"/>
        <w:spacing w:before="0" w:beforeAutospacing="0" w:after="0" w:afterAutospacing="0" w:line="288" w:lineRule="auto"/>
        <w:ind w:right="-1"/>
        <w:contextualSpacing/>
        <w:jc w:val="both"/>
        <w:rPr>
          <w:rFonts w:eastAsia="Calibri"/>
          <w:b/>
          <w:bCs/>
          <w:lang w:eastAsia="en-US"/>
        </w:rPr>
      </w:pPr>
    </w:p>
    <w:p w14:paraId="38880548">
      <w:pPr>
        <w:spacing w:line="288" w:lineRule="auto"/>
        <w:ind w:firstLine="567"/>
        <w:contextualSpacing/>
        <w:jc w:val="center"/>
        <w:rPr>
          <w:b/>
          <w:i/>
          <w:color w:val="FF0000"/>
          <w:sz w:val="24"/>
          <w:szCs w:val="24"/>
        </w:rPr>
      </w:pPr>
    </w:p>
    <w:p w14:paraId="553F639C">
      <w:pPr>
        <w:spacing w:line="288" w:lineRule="auto"/>
        <w:contextualSpacing/>
        <w:jc w:val="both"/>
        <w:rPr>
          <w:sz w:val="24"/>
          <w:szCs w:val="24"/>
        </w:rPr>
      </w:pPr>
      <w:r>
        <w:rPr>
          <w:sz w:val="24"/>
          <w:szCs w:val="24"/>
        </w:rPr>
        <w:t>MUNICÍPIO DE VALENÇA/RJ, PELA SECRETARIA MUNICIPAL DE SAÚDE.</w:t>
      </w:r>
    </w:p>
    <w:p w14:paraId="7BDD4A4F">
      <w:pPr>
        <w:spacing w:before="288" w:beforeLines="120" w:after="288" w:afterLines="120" w:line="288" w:lineRule="auto"/>
        <w:ind w:firstLine="567"/>
        <w:contextualSpacing/>
        <w:jc w:val="center"/>
        <w:rPr>
          <w:b/>
          <w:color w:val="000000"/>
          <w:sz w:val="24"/>
          <w:szCs w:val="24"/>
        </w:rPr>
      </w:pPr>
    </w:p>
    <w:p w14:paraId="7378B574">
      <w:pPr>
        <w:spacing w:before="288" w:beforeLines="120" w:after="288" w:afterLines="120" w:line="288" w:lineRule="auto"/>
        <w:contextualSpacing/>
        <w:rPr>
          <w:b/>
          <w:color w:val="auto"/>
          <w:sz w:val="24"/>
          <w:szCs w:val="24"/>
        </w:rPr>
      </w:pPr>
      <w:r>
        <w:rPr>
          <w:b/>
          <w:color w:val="000000"/>
          <w:sz w:val="24"/>
          <w:szCs w:val="24"/>
        </w:rPr>
        <w:t xml:space="preserve">PREGÃO ELETRÔNICO Nº </w:t>
      </w:r>
      <w:r>
        <w:rPr>
          <w:rFonts w:hint="default"/>
          <w:b/>
          <w:color w:val="auto"/>
          <w:sz w:val="24"/>
          <w:szCs w:val="24"/>
          <w:lang w:val="pt-BR"/>
        </w:rPr>
        <w:t>90062</w:t>
      </w:r>
      <w:r>
        <w:rPr>
          <w:b/>
          <w:color w:val="auto"/>
          <w:sz w:val="24"/>
          <w:szCs w:val="24"/>
        </w:rPr>
        <w:t>/2026</w:t>
      </w:r>
    </w:p>
    <w:p w14:paraId="78D60D9C">
      <w:pPr>
        <w:spacing w:before="288" w:beforeLines="120" w:after="288" w:afterLines="120" w:line="288" w:lineRule="auto"/>
        <w:ind w:firstLine="567"/>
        <w:contextualSpacing/>
        <w:jc w:val="center"/>
        <w:rPr>
          <w:bCs/>
          <w:color w:val="000000"/>
          <w:sz w:val="24"/>
          <w:szCs w:val="24"/>
        </w:rPr>
      </w:pPr>
      <w:r>
        <w:rPr>
          <w:color w:val="000000"/>
          <w:sz w:val="24"/>
          <w:szCs w:val="24"/>
        </w:rPr>
        <w:t xml:space="preserve">   </w:t>
      </w:r>
    </w:p>
    <w:p w14:paraId="46D51E38">
      <w:pPr>
        <w:spacing w:line="288" w:lineRule="auto"/>
        <w:contextualSpacing/>
        <w:jc w:val="both"/>
        <w:rPr>
          <w:sz w:val="24"/>
          <w:szCs w:val="24"/>
        </w:rPr>
      </w:pPr>
      <w:r>
        <w:rPr>
          <w:color w:val="000000"/>
          <w:sz w:val="24"/>
          <w:szCs w:val="24"/>
        </w:rPr>
        <w:t xml:space="preserve">Torna-se público que o </w:t>
      </w:r>
      <w:r>
        <w:rPr>
          <w:iCs/>
          <w:sz w:val="24"/>
          <w:szCs w:val="24"/>
        </w:rPr>
        <w:t>MUNICÍPIO DE VALENÇA</w:t>
      </w:r>
      <w:r>
        <w:rPr>
          <w:sz w:val="24"/>
          <w:szCs w:val="24"/>
        </w:rPr>
        <w:t>, PELA SECRETARIA MUNICIPAL DE SAÚDE</w:t>
      </w:r>
      <w:r>
        <w:rPr>
          <w:iCs/>
          <w:color w:val="000000"/>
          <w:sz w:val="24"/>
          <w:szCs w:val="24"/>
        </w:rPr>
        <w:t xml:space="preserve">, sediada Rua Dr. Figueiredo, n° 320, Centro, Valença, RJ, </w:t>
      </w:r>
      <w:r>
        <w:rPr>
          <w:color w:val="000000"/>
          <w:sz w:val="24"/>
          <w:szCs w:val="24"/>
        </w:rPr>
        <w:t xml:space="preserve">realizará licitação, na modalidade PREGÃO, na forma ELETRÔNICA, nos termos do processo nº VLC-020508/001965/2026, da </w:t>
      </w:r>
      <w:r>
        <w:fldChar w:fldCharType="begin"/>
      </w:r>
      <w:r>
        <w:instrText xml:space="preserve"> HYPERLINK "http://www.planalto.gov.br/ccivil_03/_ato2019-2022/2021/lei/L14133.htm" </w:instrText>
      </w:r>
      <w:r>
        <w:fldChar w:fldCharType="separate"/>
      </w:r>
      <w:r>
        <w:rPr>
          <w:rStyle w:val="16"/>
          <w:rFonts w:eastAsiaTheme="minorHAnsi"/>
          <w:sz w:val="24"/>
          <w:szCs w:val="24"/>
        </w:rPr>
        <w:t>Lei nº 14.133, de 1º de abril de 2021</w:t>
      </w:r>
      <w:r>
        <w:rPr>
          <w:rStyle w:val="16"/>
          <w:rFonts w:eastAsiaTheme="minorHAnsi"/>
          <w:sz w:val="24"/>
          <w:szCs w:val="24"/>
        </w:rPr>
        <w:fldChar w:fldCharType="end"/>
      </w:r>
      <w:r>
        <w:rPr>
          <w:sz w:val="24"/>
          <w:szCs w:val="24"/>
        </w:rPr>
        <w:t xml:space="preserve"> </w:t>
      </w:r>
      <w:r>
        <w:rPr>
          <w:rFonts w:eastAsia="Arial"/>
          <w:sz w:val="24"/>
          <w:szCs w:val="24"/>
        </w:rPr>
        <w:t xml:space="preserve">e dos demais normativos municipais aplicáveis, todos disponíveis </w:t>
      </w:r>
      <w:r>
        <w:rPr>
          <w:sz w:val="24"/>
          <w:szCs w:val="24"/>
        </w:rPr>
        <w:t>no endereço eletrônico www.valenca.rj.gov.br, e, ainda, de acordo com as condições estabelecidas neste Edital.</w:t>
      </w:r>
    </w:p>
    <w:p w14:paraId="78F5309E">
      <w:pPr>
        <w:pStyle w:val="97"/>
        <w:spacing w:before="0" w:beforeAutospacing="0" w:after="0" w:afterAutospacing="0" w:line="288" w:lineRule="auto"/>
        <w:ind w:right="-1"/>
        <w:contextualSpacing/>
        <w:jc w:val="both"/>
        <w:rPr>
          <w:rFonts w:eastAsia="Calibri" w:asciiTheme="minorHAnsi" w:hAnsiTheme="minorHAnsi" w:cstheme="minorHAnsi"/>
          <w:b/>
          <w:bCs/>
          <w:lang w:eastAsia="en-US"/>
        </w:rPr>
      </w:pPr>
    </w:p>
    <w:p w14:paraId="71571B46">
      <w:pPr>
        <w:pStyle w:val="97"/>
        <w:numPr>
          <w:ilvl w:val="0"/>
          <w:numId w:val="5"/>
        </w:numPr>
        <w:spacing w:before="0" w:beforeAutospacing="0" w:after="0" w:afterAutospacing="0" w:line="288" w:lineRule="auto"/>
        <w:ind w:right="-1"/>
        <w:contextualSpacing/>
        <w:jc w:val="both"/>
        <w:rPr>
          <w:rFonts w:eastAsia="Calibri"/>
          <w:b/>
          <w:bCs/>
          <w:lang w:eastAsia="en-US"/>
        </w:rPr>
      </w:pPr>
      <w:r>
        <w:rPr>
          <w:rFonts w:eastAsia="Calibri"/>
          <w:b/>
          <w:bCs/>
          <w:lang w:eastAsia="en-US"/>
        </w:rPr>
        <w:t>OBJETO</w:t>
      </w:r>
    </w:p>
    <w:p w14:paraId="35BE52A1">
      <w:pPr>
        <w:pStyle w:val="97"/>
        <w:spacing w:before="0" w:beforeAutospacing="0" w:after="0" w:afterAutospacing="0" w:line="288" w:lineRule="auto"/>
        <w:ind w:right="-1"/>
        <w:contextualSpacing/>
        <w:jc w:val="both"/>
        <w:rPr>
          <w:rFonts w:eastAsia="Calibri"/>
          <w:b/>
          <w:bCs/>
          <w:lang w:eastAsia="en-US"/>
        </w:rPr>
      </w:pPr>
    </w:p>
    <w:p w14:paraId="6174AA40">
      <w:pPr>
        <w:spacing w:after="112" w:line="360" w:lineRule="auto"/>
        <w:jc w:val="both"/>
        <w:rPr>
          <w:rFonts w:eastAsia="SimSun"/>
          <w:sz w:val="24"/>
          <w:szCs w:val="24"/>
        </w:rPr>
      </w:pPr>
      <w:r>
        <w:rPr>
          <w:rFonts w:eastAsia="Cambria"/>
          <w:sz w:val="24"/>
          <w:szCs w:val="24"/>
        </w:rPr>
        <w:t xml:space="preserve">1.1 </w:t>
      </w:r>
      <w:r>
        <w:rPr>
          <w:rFonts w:eastAsia="Cambria Math"/>
          <w:sz w:val="24"/>
          <w:szCs w:val="24"/>
        </w:rPr>
        <w:t>A</w:t>
      </w:r>
      <w:r>
        <w:rPr>
          <w:rFonts w:eastAsia="SimSun"/>
          <w:sz w:val="24"/>
          <w:szCs w:val="24"/>
        </w:rPr>
        <w:t>quisição de kits bucais e escovas elétricas, destinados ao atendimento das necessidades do Centro de Especialidades Odontológicas (CEO).</w:t>
      </w:r>
    </w:p>
    <w:p w14:paraId="53B44931">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sz w:val="24"/>
          <w:szCs w:val="24"/>
          <w:lang w:eastAsia="en-US"/>
        </w:rPr>
        <w:t xml:space="preserve">1.2 </w:t>
      </w:r>
      <w:r>
        <w:rPr>
          <w:rFonts w:ascii="Times New Roman" w:hAnsi="Times New Roman" w:cs="Times New Roman"/>
          <w:color w:val="auto"/>
          <w:sz w:val="24"/>
          <w:szCs w:val="24"/>
        </w:rPr>
        <w:t>A licitação será dividida em itens, conforme tabela abaixo, facultando-se ao licitante a participação no que for de seu interesse.</w:t>
      </w:r>
    </w:p>
    <w:p w14:paraId="4668C4E0">
      <w:pPr>
        <w:spacing w:line="360" w:lineRule="auto"/>
        <w:jc w:val="center"/>
        <w:rPr>
          <w:sz w:val="24"/>
          <w:szCs w:val="24"/>
          <w:lang w:val="en-US"/>
        </w:rPr>
      </w:pPr>
    </w:p>
    <w:tbl>
      <w:tblPr>
        <w:tblStyle w:val="10"/>
        <w:tblW w:w="11057" w:type="dxa"/>
        <w:tblInd w:w="-1139" w:type="dxa"/>
        <w:tblLayout w:type="fixed"/>
        <w:tblCellMar>
          <w:top w:w="0" w:type="dxa"/>
          <w:left w:w="10" w:type="dxa"/>
          <w:bottom w:w="0" w:type="dxa"/>
          <w:right w:w="10" w:type="dxa"/>
        </w:tblCellMar>
      </w:tblPr>
      <w:tblGrid>
        <w:gridCol w:w="850"/>
        <w:gridCol w:w="5246"/>
        <w:gridCol w:w="992"/>
        <w:gridCol w:w="992"/>
        <w:gridCol w:w="1276"/>
        <w:gridCol w:w="1701"/>
      </w:tblGrid>
      <w:tr w14:paraId="3C861C53">
        <w:tblPrEx>
          <w:tblCellMar>
            <w:top w:w="0" w:type="dxa"/>
            <w:left w:w="10" w:type="dxa"/>
            <w:bottom w:w="0" w:type="dxa"/>
            <w:right w:w="10" w:type="dxa"/>
          </w:tblCellMar>
        </w:tblPrEx>
        <w:trPr>
          <w:trHeight w:val="37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3C55AAAE">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szCs w:val="24"/>
              </w:rPr>
            </w:pPr>
            <w:r>
              <w:rPr>
                <w:rFonts w:ascii="Times New Roman" w:hAnsi="Times New Roman" w:cs="Times New Roman"/>
                <w:b/>
                <w:color w:val="auto"/>
                <w:szCs w:val="24"/>
              </w:rPr>
              <w:t>Item</w:t>
            </w:r>
          </w:p>
        </w:tc>
        <w:tc>
          <w:tcPr>
            <w:tcW w:w="524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3D819EDE">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szCs w:val="24"/>
              </w:rPr>
            </w:pPr>
            <w:r>
              <w:rPr>
                <w:rFonts w:ascii="Times New Roman" w:hAnsi="Times New Roman" w:cs="Times New Roman"/>
                <w:b/>
                <w:color w:val="auto"/>
                <w:szCs w:val="24"/>
              </w:rPr>
              <w:t>Descrição</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30B87355">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szCs w:val="24"/>
              </w:rPr>
            </w:pPr>
            <w:r>
              <w:rPr>
                <w:rFonts w:ascii="Times New Roman" w:hAnsi="Times New Roman" w:cs="Times New Roman"/>
                <w:b/>
                <w:color w:val="auto"/>
                <w:szCs w:val="24"/>
              </w:rPr>
              <w:t>Qtde.</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2F2D3EB3">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szCs w:val="24"/>
              </w:rPr>
            </w:pPr>
            <w:r>
              <w:rPr>
                <w:rFonts w:ascii="Times New Roman" w:hAnsi="Times New Roman" w:cs="Times New Roman"/>
                <w:b/>
                <w:color w:val="auto"/>
                <w:szCs w:val="24"/>
              </w:rPr>
              <w:t>Catmat</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75CB230E">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szCs w:val="24"/>
              </w:rPr>
            </w:pPr>
            <w:r>
              <w:rPr>
                <w:rFonts w:ascii="Times New Roman" w:hAnsi="Times New Roman" w:cs="Times New Roman"/>
                <w:b/>
                <w:color w:val="auto"/>
                <w:szCs w:val="24"/>
              </w:rPr>
              <w:t>Valor Unit.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0D0CBB9D">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szCs w:val="24"/>
              </w:rPr>
            </w:pPr>
            <w:r>
              <w:rPr>
                <w:rFonts w:ascii="Times New Roman" w:hAnsi="Times New Roman" w:cs="Times New Roman"/>
                <w:b/>
                <w:color w:val="auto"/>
                <w:szCs w:val="24"/>
              </w:rPr>
              <w:t>Valor total</w:t>
            </w:r>
          </w:p>
        </w:tc>
      </w:tr>
      <w:tr w14:paraId="23C6AA73">
        <w:tblPrEx>
          <w:tblCellMar>
            <w:top w:w="0" w:type="dxa"/>
            <w:left w:w="10" w:type="dxa"/>
            <w:bottom w:w="0" w:type="dxa"/>
            <w:right w:w="10" w:type="dxa"/>
          </w:tblCellMar>
        </w:tblPrEx>
        <w:trPr>
          <w:trHeight w:val="376"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7FF96F05">
            <w:pPr>
              <w:jc w:val="center"/>
              <w:textAlignment w:val="bottom"/>
              <w:rPr>
                <w:rFonts w:eastAsia="SimSun"/>
                <w:b/>
                <w:bCs/>
                <w:sz w:val="24"/>
                <w:szCs w:val="24"/>
                <w:lang w:eastAsia="hi-IN" w:bidi="ar"/>
              </w:rPr>
            </w:pPr>
            <w:r>
              <w:rPr>
                <w:rFonts w:eastAsia="SimSun"/>
                <w:b/>
                <w:bCs/>
                <w:sz w:val="24"/>
                <w:szCs w:val="24"/>
                <w:lang w:eastAsia="zh-CN" w:bidi="ar"/>
              </w:rPr>
              <w:t>1</w:t>
            </w:r>
          </w:p>
        </w:tc>
        <w:tc>
          <w:tcPr>
            <w:tcW w:w="524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1F250EFA">
            <w:pPr>
              <w:rPr>
                <w:sz w:val="24"/>
                <w:szCs w:val="24"/>
              </w:rPr>
            </w:pPr>
            <w:r>
              <w:rPr>
                <w:sz w:val="24"/>
                <w:szCs w:val="24"/>
              </w:rPr>
              <w:t>Kit Higiene Bucal - contendo</w:t>
            </w:r>
          </w:p>
          <w:p w14:paraId="6BBC3F8B">
            <w:pPr>
              <w:rPr>
                <w:sz w:val="24"/>
                <w:szCs w:val="24"/>
              </w:rPr>
            </w:pPr>
            <w:r>
              <w:rPr>
                <w:rFonts w:eastAsia="Symbol"/>
                <w:sz w:val="24"/>
                <w:szCs w:val="24"/>
              </w:rPr>
              <w:t>·</w:t>
            </w:r>
            <w:r>
              <w:rPr>
                <w:rFonts w:eastAsia="SimSun"/>
                <w:sz w:val="24"/>
                <w:szCs w:val="24"/>
              </w:rPr>
              <w:t xml:space="preserve">  </w:t>
            </w:r>
            <w:r>
              <w:rPr>
                <w:rStyle w:val="11"/>
                <w:b w:val="0"/>
                <w:sz w:val="24"/>
                <w:szCs w:val="24"/>
              </w:rPr>
              <w:t>01 escova dental</w:t>
            </w:r>
            <w:r>
              <w:rPr>
                <w:sz w:val="24"/>
                <w:szCs w:val="24"/>
              </w:rPr>
              <w:t xml:space="preserve">, com cerdas macias, cabo anatômico e adequado à higiene bucal; </w:t>
            </w:r>
          </w:p>
          <w:p w14:paraId="2FDEB693">
            <w:pPr>
              <w:rPr>
                <w:sz w:val="24"/>
                <w:szCs w:val="24"/>
              </w:rPr>
            </w:pPr>
            <w:r>
              <w:rPr>
                <w:rFonts w:eastAsia="Symbol"/>
                <w:sz w:val="24"/>
                <w:szCs w:val="24"/>
              </w:rPr>
              <w:t>·</w:t>
            </w:r>
            <w:r>
              <w:rPr>
                <w:rFonts w:eastAsia="SimSun"/>
                <w:sz w:val="24"/>
                <w:szCs w:val="24"/>
              </w:rPr>
              <w:t xml:space="preserve">  </w:t>
            </w:r>
            <w:r>
              <w:rPr>
                <w:rStyle w:val="11"/>
                <w:b w:val="0"/>
                <w:sz w:val="24"/>
                <w:szCs w:val="24"/>
              </w:rPr>
              <w:t>01 fio dental</w:t>
            </w:r>
            <w:r>
              <w:rPr>
                <w:sz w:val="24"/>
                <w:szCs w:val="24"/>
              </w:rPr>
              <w:t xml:space="preserve">, com comprimento mínimo de 25 metros; </w:t>
            </w:r>
          </w:p>
          <w:p w14:paraId="0E0F01A4">
            <w:pPr>
              <w:rPr>
                <w:sz w:val="24"/>
                <w:szCs w:val="24"/>
              </w:rPr>
            </w:pPr>
            <w:r>
              <w:rPr>
                <w:rFonts w:eastAsia="Symbol"/>
                <w:sz w:val="24"/>
                <w:szCs w:val="24"/>
              </w:rPr>
              <w:t>·</w:t>
            </w:r>
            <w:r>
              <w:rPr>
                <w:rFonts w:eastAsia="SimSun"/>
                <w:sz w:val="24"/>
                <w:szCs w:val="24"/>
              </w:rPr>
              <w:t xml:space="preserve">  </w:t>
            </w:r>
            <w:r>
              <w:rPr>
                <w:rStyle w:val="11"/>
                <w:b w:val="0"/>
                <w:sz w:val="24"/>
                <w:szCs w:val="24"/>
              </w:rPr>
              <w:t>01 creme dental</w:t>
            </w:r>
            <w:r>
              <w:rPr>
                <w:sz w:val="24"/>
                <w:szCs w:val="24"/>
              </w:rPr>
              <w:t>, com flúor, embalagem com conteúdo mínimo de 50 g.</w:t>
            </w:r>
          </w:p>
          <w:p w14:paraId="70BEBB0E">
            <w:pPr>
              <w:jc w:val="both"/>
              <w:rPr>
                <w:b/>
                <w:bCs/>
                <w:sz w:val="24"/>
                <w:szCs w:val="24"/>
                <w:lang w:eastAsia="hi-IN"/>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601AF70E">
            <w:pPr>
              <w:jc w:val="center"/>
              <w:textAlignment w:val="bottom"/>
              <w:rPr>
                <w:b/>
                <w:bCs/>
                <w:sz w:val="24"/>
                <w:szCs w:val="24"/>
                <w:lang w:eastAsia="hi-IN"/>
              </w:rPr>
            </w:pPr>
            <w:r>
              <w:rPr>
                <w:b/>
                <w:bCs/>
                <w:sz w:val="24"/>
                <w:szCs w:val="24"/>
              </w:rPr>
              <w:t>15.000</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0584AE61">
            <w:pPr>
              <w:jc w:val="center"/>
              <w:textAlignment w:val="bottom"/>
              <w:rPr>
                <w:rFonts w:eastAsia="SimSun"/>
                <w:b/>
                <w:bCs/>
                <w:sz w:val="24"/>
                <w:szCs w:val="24"/>
                <w:lang w:eastAsia="zh-CN" w:bidi="ar"/>
              </w:rPr>
            </w:pPr>
            <w:r>
              <w:rPr>
                <w:rFonts w:eastAsia="SimSun"/>
                <w:b/>
                <w:bCs/>
                <w:sz w:val="24"/>
                <w:szCs w:val="24"/>
                <w:lang w:eastAsia="zh-CN" w:bidi="ar"/>
              </w:rPr>
              <w:t>434987</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4E226DFE">
            <w:pPr>
              <w:jc w:val="center"/>
              <w:textAlignment w:val="bottom"/>
              <w:rPr>
                <w:rFonts w:eastAsia="SimSun"/>
                <w:sz w:val="24"/>
                <w:szCs w:val="24"/>
                <w:lang w:eastAsia="zh-CN" w:bidi="ar"/>
              </w:rPr>
            </w:pPr>
            <w:r>
              <w:rPr>
                <w:rFonts w:eastAsia="SimSun"/>
                <w:sz w:val="24"/>
                <w:szCs w:val="24"/>
                <w:lang w:eastAsia="zh-CN" w:bidi="ar"/>
              </w:rPr>
              <w:t>R$5,50</w:t>
            </w:r>
          </w:p>
        </w:tc>
        <w:tc>
          <w:tcPr>
            <w:tcW w:w="170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19E2904D">
            <w:pPr>
              <w:jc w:val="center"/>
              <w:textAlignment w:val="bottom"/>
              <w:rPr>
                <w:rFonts w:eastAsia="SimSun"/>
                <w:sz w:val="24"/>
                <w:szCs w:val="24"/>
                <w:lang w:eastAsia="zh-CN" w:bidi="ar"/>
              </w:rPr>
            </w:pPr>
            <w:r>
              <w:rPr>
                <w:rFonts w:eastAsia="SimSun"/>
                <w:sz w:val="24"/>
                <w:szCs w:val="24"/>
                <w:lang w:eastAsia="zh-CN" w:bidi="ar"/>
              </w:rPr>
              <w:t>R$82.500,00</w:t>
            </w:r>
          </w:p>
        </w:tc>
      </w:tr>
      <w:tr w14:paraId="2F64BE07">
        <w:tblPrEx>
          <w:tblCellMar>
            <w:top w:w="0" w:type="dxa"/>
            <w:left w:w="10" w:type="dxa"/>
            <w:bottom w:w="0" w:type="dxa"/>
            <w:right w:w="10" w:type="dxa"/>
          </w:tblCellMar>
        </w:tblPrEx>
        <w:trPr>
          <w:trHeight w:val="376"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1785B467">
            <w:pPr>
              <w:jc w:val="center"/>
              <w:textAlignment w:val="bottom"/>
              <w:rPr>
                <w:rFonts w:eastAsia="SimSun"/>
                <w:b/>
                <w:bCs/>
                <w:sz w:val="24"/>
                <w:szCs w:val="24"/>
                <w:lang w:eastAsia="hi-IN" w:bidi="ar"/>
              </w:rPr>
            </w:pPr>
            <w:r>
              <w:rPr>
                <w:rFonts w:eastAsia="SimSun"/>
                <w:b/>
                <w:bCs/>
                <w:sz w:val="24"/>
                <w:szCs w:val="24"/>
                <w:lang w:eastAsia="zh-CN" w:bidi="ar"/>
              </w:rPr>
              <w:t>2</w:t>
            </w:r>
          </w:p>
        </w:tc>
        <w:tc>
          <w:tcPr>
            <w:tcW w:w="524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7F6696DA">
            <w:pPr>
              <w:jc w:val="both"/>
              <w:rPr>
                <w:b/>
                <w:bCs/>
                <w:sz w:val="24"/>
                <w:szCs w:val="24"/>
                <w:lang w:eastAsia="hi-IN"/>
              </w:rPr>
            </w:pPr>
            <w:r>
              <w:rPr>
                <w:sz w:val="24"/>
                <w:szCs w:val="24"/>
              </w:rPr>
              <w:t>Escova Dental Eletrica, sistema de limpeza 2D: oscila e rotaciona, remoção de placa bacteriana com movimentos oscilantes e rotativos, temporizador de 2 minutos, uso de pilhas, troca de refis e registro na Anvisa, garatia 3 meses.</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1DB61552">
            <w:pPr>
              <w:jc w:val="center"/>
              <w:textAlignment w:val="bottom"/>
              <w:rPr>
                <w:b/>
                <w:bCs/>
                <w:sz w:val="24"/>
                <w:szCs w:val="24"/>
                <w:lang w:eastAsia="hi-IN"/>
              </w:rPr>
            </w:pPr>
            <w:r>
              <w:rPr>
                <w:b/>
                <w:bCs/>
                <w:sz w:val="24"/>
                <w:szCs w:val="24"/>
              </w:rPr>
              <w:t>200</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6D5CA275">
            <w:pPr>
              <w:jc w:val="center"/>
              <w:textAlignment w:val="bottom"/>
              <w:rPr>
                <w:rFonts w:eastAsia="SimSun"/>
                <w:b/>
                <w:bCs/>
                <w:sz w:val="24"/>
                <w:szCs w:val="24"/>
                <w:lang w:eastAsia="zh-CN" w:bidi="ar"/>
              </w:rPr>
            </w:pPr>
            <w:r>
              <w:rPr>
                <w:rFonts w:eastAsia="SimSun"/>
                <w:b/>
                <w:bCs/>
                <w:sz w:val="24"/>
                <w:szCs w:val="24"/>
                <w:lang w:eastAsia="zh-CN" w:bidi="ar"/>
              </w:rPr>
              <w:t>627857</w:t>
            </w: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15D16123">
            <w:pPr>
              <w:jc w:val="center"/>
              <w:textAlignment w:val="bottom"/>
              <w:rPr>
                <w:rFonts w:eastAsia="SimSun"/>
                <w:sz w:val="24"/>
                <w:szCs w:val="24"/>
                <w:lang w:eastAsia="zh-CN" w:bidi="ar"/>
              </w:rPr>
            </w:pPr>
            <w:r>
              <w:rPr>
                <w:rFonts w:eastAsia="SimSun"/>
                <w:sz w:val="24"/>
                <w:szCs w:val="24"/>
                <w:lang w:eastAsia="zh-CN" w:bidi="ar"/>
              </w:rPr>
              <w:t>R$134,37</w:t>
            </w:r>
          </w:p>
        </w:tc>
        <w:tc>
          <w:tcPr>
            <w:tcW w:w="170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1C882E4B">
            <w:pPr>
              <w:jc w:val="center"/>
              <w:textAlignment w:val="bottom"/>
              <w:rPr>
                <w:rFonts w:eastAsia="SimSun"/>
                <w:sz w:val="24"/>
                <w:szCs w:val="24"/>
                <w:lang w:eastAsia="zh-CN" w:bidi="ar"/>
              </w:rPr>
            </w:pPr>
            <w:r>
              <w:rPr>
                <w:rFonts w:eastAsia="SimSun"/>
                <w:sz w:val="24"/>
                <w:szCs w:val="24"/>
                <w:lang w:eastAsia="zh-CN" w:bidi="ar"/>
              </w:rPr>
              <w:t>R$26.874,00</w:t>
            </w:r>
          </w:p>
        </w:tc>
      </w:tr>
      <w:tr w14:paraId="56BCD872">
        <w:tblPrEx>
          <w:tblCellMar>
            <w:top w:w="0" w:type="dxa"/>
            <w:left w:w="10" w:type="dxa"/>
            <w:bottom w:w="0" w:type="dxa"/>
            <w:right w:w="10" w:type="dxa"/>
          </w:tblCellMar>
        </w:tblPrEx>
        <w:trPr>
          <w:trHeight w:val="376"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46DAD0A9">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zCs w:val="24"/>
              </w:rPr>
            </w:pPr>
          </w:p>
        </w:tc>
        <w:tc>
          <w:tcPr>
            <w:tcW w:w="524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5383AD20">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rPr>
                <w:rFonts w:cs="Times New Roman"/>
                <w:szCs w:val="24"/>
              </w:rPr>
            </w:pPr>
            <w:r>
              <w:rPr>
                <w:rFonts w:ascii="Times New Roman" w:hAnsi="Times New Roman" w:cs="Times New Roman"/>
                <w:color w:val="auto"/>
                <w:szCs w:val="24"/>
              </w:rPr>
              <w:t>TOTAL:</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7D957445">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zCs w:val="24"/>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699A7E7D">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zCs w:val="24"/>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66F37253">
            <w:pPr>
              <w:jc w:val="center"/>
              <w:textAlignment w:val="bottom"/>
              <w:rPr>
                <w:rFonts w:eastAsia="SimSun"/>
                <w:sz w:val="24"/>
                <w:szCs w:val="24"/>
                <w:lang w:eastAsia="zh-CN" w:bidi="ar"/>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2475D017">
            <w:pPr>
              <w:jc w:val="center"/>
              <w:textAlignment w:val="bottom"/>
              <w:rPr>
                <w:rFonts w:eastAsia="SimSun"/>
                <w:b/>
                <w:sz w:val="24"/>
                <w:szCs w:val="24"/>
                <w:lang w:eastAsia="zh-CN" w:bidi="ar"/>
              </w:rPr>
            </w:pPr>
            <w:r>
              <w:rPr>
                <w:rFonts w:eastAsia="SimSun"/>
                <w:b/>
                <w:sz w:val="24"/>
                <w:szCs w:val="24"/>
                <w:lang w:eastAsia="zh-CN" w:bidi="ar"/>
              </w:rPr>
              <w:t>R$109.374,00</w:t>
            </w:r>
          </w:p>
        </w:tc>
      </w:tr>
    </w:tbl>
    <w:p w14:paraId="034B7A20">
      <w:pPr>
        <w:pStyle w:val="99"/>
        <w:spacing w:before="288" w:beforeLines="120" w:after="288" w:afterLines="120" w:line="288" w:lineRule="auto"/>
        <w:ind w:left="0" w:firstLine="0"/>
        <w:contextualSpacing/>
        <w:rPr>
          <w:rFonts w:ascii="Times New Roman" w:hAnsi="Times New Roman" w:cs="Times New Roman"/>
          <w:b/>
          <w:bCs/>
          <w:color w:val="auto"/>
          <w:sz w:val="24"/>
          <w:szCs w:val="24"/>
        </w:rPr>
      </w:pPr>
    </w:p>
    <w:p w14:paraId="195CD4CB">
      <w:pPr>
        <w:pStyle w:val="99"/>
        <w:spacing w:before="288" w:beforeLines="120" w:after="288" w:afterLines="120" w:line="288" w:lineRule="auto"/>
        <w:ind w:left="0" w:firstLine="0"/>
        <w:contextualSpacing/>
        <w:rPr>
          <w:rFonts w:ascii="Times New Roman" w:hAnsi="Times New Roman" w:cs="Times New Roman"/>
          <w:b/>
          <w:bCs/>
          <w:color w:val="auto"/>
          <w:sz w:val="24"/>
          <w:szCs w:val="24"/>
        </w:rPr>
      </w:pPr>
      <w:r>
        <w:rPr>
          <w:rFonts w:ascii="Times New Roman" w:hAnsi="Times New Roman" w:cs="Times New Roman"/>
          <w:b/>
          <w:bCs/>
          <w:color w:val="auto"/>
          <w:sz w:val="24"/>
          <w:szCs w:val="24"/>
        </w:rPr>
        <w:t>2. DO REGISTRO DE PREÇOS</w:t>
      </w:r>
    </w:p>
    <w:p w14:paraId="195C3A74">
      <w:pPr>
        <w:pStyle w:val="24"/>
        <w:spacing w:before="0" w:beforeAutospacing="0" w:after="0" w:afterAutospacing="0" w:line="288" w:lineRule="auto"/>
        <w:contextualSpacing/>
        <w:jc w:val="both"/>
        <w:rPr>
          <w:color w:val="000000"/>
        </w:rPr>
      </w:pPr>
      <w:r>
        <w:rPr>
          <w:color w:val="000000"/>
        </w:rPr>
        <w:t>2.1 O órgão/entidade gerenciador(a) e o(s) órgão(s)/entidade(s) participante(s), ora em diante, serão denominados gerenciador e participantes, respectivamente.</w:t>
      </w:r>
    </w:p>
    <w:p w14:paraId="023B2B4B">
      <w:pPr>
        <w:pStyle w:val="24"/>
        <w:spacing w:before="0" w:beforeAutospacing="0" w:after="0" w:afterAutospacing="0" w:line="288" w:lineRule="auto"/>
        <w:contextualSpacing/>
        <w:jc w:val="both"/>
        <w:rPr>
          <w:color w:val="000000"/>
        </w:rPr>
      </w:pPr>
      <w:r>
        <w:rPr>
          <w:color w:val="000000"/>
        </w:rPr>
        <w:t> </w:t>
      </w:r>
    </w:p>
    <w:p w14:paraId="32F883BC">
      <w:pPr>
        <w:pStyle w:val="24"/>
        <w:spacing w:before="0" w:beforeAutospacing="0" w:after="0" w:afterAutospacing="0" w:line="288" w:lineRule="auto"/>
        <w:contextualSpacing/>
        <w:jc w:val="both"/>
        <w:rPr>
          <w:color w:val="000000"/>
        </w:rPr>
      </w:pPr>
      <w:r>
        <w:rPr>
          <w:color w:val="000000"/>
        </w:rPr>
        <w:t>2.1.2 Aplicam-se ao gerenciador e aos participantes, quando houver, as regras estabelecidas no Termo de Referência, na Ata de Registro de Preços e nos demais anexos a este Edital, que devem ser observadas, também, no que se refere às quantidades, prazos e locais de entrega e demais obrigações. ​</w:t>
      </w:r>
    </w:p>
    <w:p w14:paraId="02E29294">
      <w:pPr>
        <w:autoSpaceDE w:val="0"/>
        <w:autoSpaceDN w:val="0"/>
        <w:adjustRightInd w:val="0"/>
        <w:spacing w:line="288" w:lineRule="auto"/>
        <w:contextualSpacing/>
        <w:jc w:val="both"/>
        <w:rPr>
          <w:b/>
          <w:color w:val="FF0000"/>
          <w:sz w:val="24"/>
          <w:szCs w:val="24"/>
        </w:rPr>
      </w:pPr>
    </w:p>
    <w:p w14:paraId="491DE2A0">
      <w:pPr>
        <w:autoSpaceDE w:val="0"/>
        <w:autoSpaceDN w:val="0"/>
        <w:adjustRightInd w:val="0"/>
        <w:spacing w:line="288" w:lineRule="auto"/>
        <w:contextualSpacing/>
        <w:jc w:val="both"/>
        <w:rPr>
          <w:bCs/>
          <w:sz w:val="24"/>
          <w:szCs w:val="24"/>
        </w:rPr>
      </w:pPr>
      <w:r>
        <w:rPr>
          <w:bCs/>
          <w:sz w:val="24"/>
          <w:szCs w:val="24"/>
        </w:rPr>
        <w:t xml:space="preserve">2.2 A Ata de Registro de Preços conforme Anexo VI, poderá ser aderida por quaisquer órgãos ou entidades do Município que não tenham participado do certame licitatório, ora denominados não-participantes.  </w:t>
      </w:r>
    </w:p>
    <w:p w14:paraId="1A8BEA13">
      <w:pPr>
        <w:autoSpaceDE w:val="0"/>
        <w:autoSpaceDN w:val="0"/>
        <w:adjustRightInd w:val="0"/>
        <w:spacing w:line="288" w:lineRule="auto"/>
        <w:contextualSpacing/>
        <w:jc w:val="both"/>
        <w:rPr>
          <w:bCs/>
          <w:sz w:val="24"/>
          <w:szCs w:val="24"/>
        </w:rPr>
      </w:pPr>
    </w:p>
    <w:p w14:paraId="049F8C22">
      <w:pPr>
        <w:autoSpaceDE w:val="0"/>
        <w:autoSpaceDN w:val="0"/>
        <w:adjustRightInd w:val="0"/>
        <w:spacing w:line="288" w:lineRule="auto"/>
        <w:contextualSpacing/>
        <w:jc w:val="both"/>
        <w:rPr>
          <w:bCs/>
          <w:sz w:val="24"/>
          <w:szCs w:val="24"/>
        </w:rPr>
      </w:pPr>
      <w:r>
        <w:rPr>
          <w:bCs/>
          <w:sz w:val="24"/>
          <w:szCs w:val="24"/>
        </w:rPr>
        <w:t xml:space="preserve">2.2.1 Podem também ser considerados não-participantes os órgãos ou entidades municipais, distritais, de outros Estados e federais, resguardadas as disposições de cada ente, desde que atendidas as condições do presente Edital e da Ata de Registro de Preços. </w:t>
      </w:r>
    </w:p>
    <w:p w14:paraId="77CFB4C9">
      <w:pPr>
        <w:autoSpaceDE w:val="0"/>
        <w:autoSpaceDN w:val="0"/>
        <w:adjustRightInd w:val="0"/>
        <w:spacing w:line="288" w:lineRule="auto"/>
        <w:contextualSpacing/>
        <w:jc w:val="both"/>
        <w:rPr>
          <w:bCs/>
          <w:color w:val="231F20"/>
          <w:sz w:val="24"/>
          <w:szCs w:val="24"/>
        </w:rPr>
      </w:pPr>
    </w:p>
    <w:p w14:paraId="76578B50">
      <w:pPr>
        <w:autoSpaceDE w:val="0"/>
        <w:autoSpaceDN w:val="0"/>
        <w:adjustRightInd w:val="0"/>
        <w:spacing w:line="288" w:lineRule="auto"/>
        <w:contextualSpacing/>
        <w:jc w:val="both"/>
        <w:rPr>
          <w:bCs/>
          <w:sz w:val="24"/>
          <w:szCs w:val="24"/>
        </w:rPr>
      </w:pPr>
      <w:r>
        <w:rPr>
          <w:bCs/>
          <w:color w:val="231F20"/>
          <w:sz w:val="24"/>
          <w:szCs w:val="24"/>
        </w:rPr>
        <w:t>2.3 S</w:t>
      </w:r>
      <w:r>
        <w:rPr>
          <w:bCs/>
          <w:sz w:val="24"/>
          <w:szCs w:val="24"/>
        </w:rPr>
        <w:t xml:space="preserve">ão as seguintes as quantidades estimadas para a contratação, conforme descrição no Termo de Referência:  </w:t>
      </w:r>
    </w:p>
    <w:p w14:paraId="1788657D">
      <w:pPr>
        <w:pStyle w:val="99"/>
        <w:spacing w:before="288" w:beforeLines="120" w:after="288" w:afterLines="120" w:line="288" w:lineRule="auto"/>
        <w:ind w:left="0" w:hanging="7"/>
        <w:contextualSpacing/>
        <w:rPr>
          <w:rFonts w:ascii="Times New Roman" w:hAnsi="Times New Roman" w:cs="Times New Roman"/>
          <w:bCs/>
          <w:color w:val="auto"/>
          <w:sz w:val="24"/>
          <w:szCs w:val="24"/>
        </w:rPr>
      </w:pPr>
      <w:r>
        <w:rPr>
          <w:rFonts w:ascii="Times New Roman" w:hAnsi="Times New Roman" w:cs="Times New Roman"/>
          <w:bCs/>
          <w:color w:val="auto"/>
          <w:sz w:val="24"/>
          <w:szCs w:val="24"/>
        </w:rPr>
        <w:t xml:space="preserve">2.3.2.1 As contratações adicionais pelos não-participantes não poderão exceder, por órgão ou entidade, a 200 % (duzentos por cento) dos quantitativos dos itens registrados na Ata de Registro de Preços para o gerenciador e para os participantes, quando houver. </w:t>
      </w:r>
    </w:p>
    <w:p w14:paraId="66AA35C3">
      <w:pPr>
        <w:pStyle w:val="99"/>
        <w:spacing w:before="288" w:beforeLines="120" w:after="288" w:afterLines="120" w:line="288" w:lineRule="auto"/>
        <w:ind w:left="0" w:hanging="7"/>
        <w:contextualSpacing/>
        <w:rPr>
          <w:rFonts w:ascii="Times New Roman" w:hAnsi="Times New Roman" w:cs="Times New Roman"/>
          <w:bCs/>
          <w:color w:val="auto"/>
          <w:sz w:val="24"/>
          <w:szCs w:val="24"/>
        </w:rPr>
      </w:pPr>
    </w:p>
    <w:p w14:paraId="2ADD7360">
      <w:pPr>
        <w:pStyle w:val="99"/>
        <w:spacing w:before="288" w:beforeLines="120" w:after="288" w:afterLines="120" w:line="288" w:lineRule="auto"/>
        <w:ind w:left="0" w:hanging="7"/>
        <w:contextualSpacing/>
        <w:rPr>
          <w:rFonts w:ascii="Times New Roman" w:hAnsi="Times New Roman" w:cs="Times New Roman"/>
          <w:bCs/>
          <w:color w:val="auto"/>
          <w:sz w:val="24"/>
          <w:szCs w:val="24"/>
        </w:rPr>
      </w:pPr>
      <w:r>
        <w:rPr>
          <w:rFonts w:ascii="Times New Roman" w:hAnsi="Times New Roman" w:cs="Times New Roman"/>
          <w:bCs/>
          <w:color w:val="auto"/>
          <w:sz w:val="24"/>
          <w:szCs w:val="24"/>
        </w:rPr>
        <w:t>2.3.2.2 O quantitativo decorrente das adesões à Ata de Registro de Preços não poderá exceder, na totalidade, ao limite de 200 % ( duzentos</w:t>
      </w:r>
      <w:r>
        <w:rPr>
          <w:rFonts w:ascii="Times New Roman" w:hAnsi="Times New Roman" w:cs="Times New Roman"/>
          <w:bCs/>
          <w:color w:val="FF0000"/>
          <w:sz w:val="24"/>
          <w:szCs w:val="24"/>
        </w:rPr>
        <w:t xml:space="preserve"> </w:t>
      </w:r>
      <w:r>
        <w:rPr>
          <w:rFonts w:ascii="Times New Roman" w:hAnsi="Times New Roman" w:cs="Times New Roman"/>
          <w:bCs/>
          <w:color w:val="auto"/>
          <w:sz w:val="24"/>
          <w:szCs w:val="24"/>
        </w:rPr>
        <w:t>por cento) do quantitativo de cada item registrado na Ata para o gerenciador e para os participantes, quando houver, independentemente do número de órgãos ou entidades não-participantes que aderirem.</w:t>
      </w:r>
    </w:p>
    <w:p w14:paraId="0C9FF52E">
      <w:pPr>
        <w:pStyle w:val="99"/>
        <w:spacing w:before="288" w:beforeLines="120" w:after="288" w:afterLines="120" w:line="288" w:lineRule="auto"/>
        <w:ind w:left="0" w:firstLine="0"/>
        <w:contextualSpacing/>
        <w:rPr>
          <w:rFonts w:ascii="Times New Roman" w:hAnsi="Times New Roman" w:cs="Times New Roman"/>
          <w:bCs/>
          <w:color w:val="auto"/>
          <w:sz w:val="24"/>
          <w:szCs w:val="24"/>
        </w:rPr>
      </w:pPr>
    </w:p>
    <w:p w14:paraId="6F8DAE3D">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2.4 É vedada a participação do órgão ou da entidade em mais de uma Ata de Registro de Preços com o mesmo objeto no prazo de validade daquela de que já tiver participado, salvo na ocorrência de ata que tenha registrado quantitativo inferior ao máximo previsto no edital da licitação.</w:t>
      </w:r>
    </w:p>
    <w:p w14:paraId="296253C5">
      <w:pPr>
        <w:pStyle w:val="99"/>
        <w:spacing w:before="288" w:beforeLines="120" w:after="288" w:afterLines="120" w:line="288" w:lineRule="auto"/>
        <w:ind w:left="0" w:firstLine="0"/>
        <w:contextualSpacing/>
        <w:rPr>
          <w:rFonts w:ascii="Times New Roman" w:hAnsi="Times New Roman" w:cs="Times New Roman"/>
          <w:sz w:val="24"/>
          <w:szCs w:val="24"/>
        </w:rPr>
      </w:pPr>
    </w:p>
    <w:p w14:paraId="3C347EEA">
      <w:pPr>
        <w:pStyle w:val="99"/>
        <w:spacing w:before="288" w:beforeLines="120" w:after="288" w:afterLines="120" w:line="288" w:lineRule="auto"/>
        <w:ind w:left="0" w:firstLine="0"/>
        <w:contextualSpacing/>
        <w:rPr>
          <w:rFonts w:ascii="Times New Roman" w:hAnsi="Times New Roman" w:cs="Times New Roman"/>
          <w:b/>
          <w:bCs/>
          <w:color w:val="auto"/>
          <w:sz w:val="24"/>
          <w:szCs w:val="24"/>
        </w:rPr>
      </w:pPr>
      <w:r>
        <w:rPr>
          <w:rFonts w:ascii="Times New Roman" w:hAnsi="Times New Roman" w:cs="Times New Roman"/>
          <w:b/>
          <w:bCs/>
          <w:color w:val="auto"/>
          <w:sz w:val="24"/>
          <w:szCs w:val="24"/>
        </w:rPr>
        <w:t>3. DA PARTICIPAÇÃO NA LICITAÇÃO</w:t>
      </w:r>
    </w:p>
    <w:p w14:paraId="44F5A263">
      <w:pPr>
        <w:pStyle w:val="103"/>
        <w:spacing w:before="288" w:beforeLines="120" w:after="288" w:afterLines="120"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 Poderão participar deste Pregão os interessados que estiverem previamente credenciados no Sistema de Cadastramento Unificado de Fornecedores - SICAF e no sistema de compras do governo federal (</w:t>
      </w:r>
      <w:r>
        <w:fldChar w:fldCharType="begin"/>
      </w:r>
      <w:r>
        <w:instrText xml:space="preserve"> HYPERLINK "http://www.gov.br/compras" </w:instrText>
      </w:r>
      <w:r>
        <w:fldChar w:fldCharType="separate"/>
      </w:r>
      <w:r>
        <w:rPr>
          <w:rStyle w:val="16"/>
          <w:rFonts w:ascii="Times New Roman" w:hAnsi="Times New Roman" w:cs="Times New Roman" w:eastAsiaTheme="minorHAnsi"/>
          <w:color w:val="auto"/>
          <w:sz w:val="24"/>
          <w:szCs w:val="24"/>
        </w:rPr>
        <w:t>www.gov.br/compras</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por meio de Certificado Digital conferido pela Infraestrutura de Chaves Públicas Brasileira – ICP – Brasil.</w:t>
      </w:r>
    </w:p>
    <w:p w14:paraId="1E637F77">
      <w:pPr>
        <w:pStyle w:val="103"/>
        <w:spacing w:before="288" w:beforeLines="120" w:after="288" w:afterLines="120" w:line="288" w:lineRule="auto"/>
        <w:ind w:left="567" w:right="565" w:firstLine="0"/>
        <w:contextualSpacing/>
        <w:rPr>
          <w:rFonts w:ascii="Times New Roman" w:hAnsi="Times New Roman" w:cs="Times New Roman"/>
          <w:color w:val="auto"/>
          <w:sz w:val="24"/>
          <w:szCs w:val="24"/>
        </w:rPr>
      </w:pPr>
    </w:p>
    <w:p w14:paraId="6A1DC75A">
      <w:pPr>
        <w:pStyle w:val="103"/>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3.1.1 Os interessados deverão atender às condições exigidas no cadastramento no SICAF até o terceiro dia útil anterior à data prevista para recebimento das propostas.</w:t>
      </w:r>
    </w:p>
    <w:p w14:paraId="1375C0B5">
      <w:pPr>
        <w:pStyle w:val="103"/>
        <w:spacing w:before="288" w:beforeLines="120" w:after="288" w:afterLines="120" w:line="288" w:lineRule="auto"/>
        <w:ind w:left="567" w:right="565" w:firstLine="0"/>
        <w:contextualSpacing/>
        <w:rPr>
          <w:rFonts w:ascii="Times New Roman" w:hAnsi="Times New Roman" w:eastAsia="Calibri" w:cs="Times New Roman"/>
          <w:sz w:val="24"/>
          <w:szCs w:val="24"/>
          <w:lang w:eastAsia="en-US"/>
        </w:rPr>
      </w:pPr>
    </w:p>
    <w:p w14:paraId="276EA0A5">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eastAsia="Calibri" w:cs="Times New Roman"/>
          <w:sz w:val="24"/>
          <w:szCs w:val="24"/>
          <w:lang w:eastAsia="en-US"/>
        </w:rPr>
        <w:t xml:space="preserve">3.1.2 </w:t>
      </w:r>
      <w:r>
        <w:rPr>
          <w:rFonts w:ascii="Times New Roman" w:hAnsi="Times New Roman" w:cs="Times New Roman"/>
          <w:sz w:val="24"/>
          <w:szCs w:val="24"/>
        </w:rPr>
        <w:t xml:space="preserve">O procedimento será divulgado </w:t>
      </w:r>
      <w:r>
        <w:rPr>
          <w:rFonts w:ascii="Times New Roman" w:hAnsi="Times New Roman" w:cs="Times New Roman"/>
          <w:color w:val="auto"/>
          <w:sz w:val="24"/>
          <w:szCs w:val="24"/>
        </w:rPr>
        <w:t>no sítio eletrônico mencionado no item 3.1</w:t>
      </w:r>
      <w:r>
        <w:rPr>
          <w:rFonts w:ascii="Times New Roman" w:hAnsi="Times New Roman" w:cs="Times New Roman"/>
          <w:color w:val="FF0000"/>
          <w:sz w:val="24"/>
          <w:szCs w:val="24"/>
        </w:rPr>
        <w:t xml:space="preserve"> </w:t>
      </w:r>
      <w:r>
        <w:rPr>
          <w:rFonts w:ascii="Times New Roman" w:hAnsi="Times New Roman" w:cs="Times New Roman"/>
          <w:sz w:val="24"/>
          <w:szCs w:val="24"/>
        </w:rPr>
        <w:t>e no Portal Nacional de Contratações Públicas – PNCP.</w:t>
      </w:r>
      <w:r>
        <w:rPr>
          <w:rFonts w:ascii="Times New Roman" w:hAnsi="Times New Roman" w:cs="Times New Roman"/>
          <w:strike/>
          <w:sz w:val="24"/>
          <w:szCs w:val="24"/>
        </w:rPr>
        <w:t xml:space="preserve"> </w:t>
      </w:r>
    </w:p>
    <w:p w14:paraId="5A1598F4">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999BFA1">
      <w:pPr>
        <w:pStyle w:val="99"/>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6A59480C">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sz w:val="24"/>
          <w:szCs w:val="24"/>
          <w:lang w:eastAsia="en-US"/>
        </w:rPr>
        <w:t xml:space="preserve">3.3 </w:t>
      </w:r>
      <w:r>
        <w:rPr>
          <w:rFonts w:ascii="Times New Roman" w:hAnsi="Times New Roman" w:cs="Times New Roman"/>
          <w:color w:val="auto"/>
          <w:sz w:val="24"/>
          <w:szCs w:val="24"/>
        </w:rPr>
        <w:t>É de responsabilidade do cadastrado conferir a exatidão dos seus dados cadastrais nos Sistemas relacionados neste item 3 e mantê-los atualizados junto aos órgãos responsáveis pela informação, devendo proceder, imediatamente, à correção ou à alteração dos registros tão logo identifique incorreção ou aqueles se tornem desatualizados.</w:t>
      </w:r>
    </w:p>
    <w:p w14:paraId="7E2DD5EA">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3F745EE1">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3.4 A não observância do disposto no item anterior poderá ensejar desclassificação no momento da habilitação.</w:t>
      </w:r>
    </w:p>
    <w:p w14:paraId="6E68B4BA">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41EA3F5A">
      <w:pPr>
        <w:pStyle w:val="99"/>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color w:val="auto"/>
          <w:sz w:val="24"/>
          <w:szCs w:val="24"/>
          <w:lang w:eastAsia="en-US"/>
        </w:rPr>
        <w:t>3.5 Será reservada cota de 25% (vinte e cinco por cento) para microempresas e empresas de pequeno porte, na forma do art. 48, III, da Lei Complementar n° 123/2006, e do art. 8º do Decreto n.º 42.063, de 06 de outubro de 2009.</w:t>
      </w:r>
    </w:p>
    <w:p w14:paraId="528D3C3B">
      <w:pPr>
        <w:pStyle w:val="99"/>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0F4C89CA">
      <w:pPr>
        <w:pStyle w:val="99"/>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r>
        <w:rPr>
          <w:rFonts w:ascii="Times New Roman" w:hAnsi="Times New Roman" w:eastAsia="Calibri" w:cs="Times New Roman"/>
          <w:color w:val="000000" w:themeColor="text1"/>
          <w:sz w:val="24"/>
          <w:szCs w:val="24"/>
          <w:lang w:eastAsia="en-US"/>
          <w14:textFill>
            <w14:solidFill>
              <w14:schemeClr w14:val="tx1"/>
            </w14:solidFill>
          </w14:textFill>
        </w:rPr>
        <w:t>3.5.1 Na hipótese de não haver vencedor para a cota reservada, esta poderá ser adjudicada ao vencedor da cota principal ou, diante de sua recusa, aos licitantes remanescentes, desde que pratiquem o preço do primeiro colocado da cota principal.</w:t>
      </w:r>
    </w:p>
    <w:p w14:paraId="064EC282">
      <w:pPr>
        <w:pStyle w:val="99"/>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1688AA94">
      <w:pPr>
        <w:pStyle w:val="99"/>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r>
        <w:rPr>
          <w:rFonts w:ascii="Times New Roman" w:hAnsi="Times New Roman" w:eastAsia="Calibri" w:cs="Times New Roman"/>
          <w:color w:val="000000" w:themeColor="text1"/>
          <w:sz w:val="24"/>
          <w:szCs w:val="24"/>
          <w:lang w:eastAsia="en-US"/>
          <w14:textFill>
            <w14:solidFill>
              <w14:schemeClr w14:val="tx1"/>
            </w14:solidFill>
          </w14:textFill>
        </w:rPr>
        <w:t>3.5.2 Se a mesma empresa vencer a cota reservada e a cota principal, a contratação das cotas deverá ocorrer pelo menor preço.</w:t>
      </w:r>
    </w:p>
    <w:p w14:paraId="1404AFD5">
      <w:pPr>
        <w:pStyle w:val="99"/>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12DA3D79">
      <w:pPr>
        <w:pStyle w:val="99"/>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color w:val="auto"/>
          <w:sz w:val="24"/>
          <w:szCs w:val="24"/>
          <w:lang w:eastAsia="en-US"/>
        </w:rPr>
        <w:t xml:space="preserve">3.5.3 </w:t>
      </w:r>
      <w:r>
        <w:rPr>
          <w:rFonts w:ascii="Times New Roman" w:hAnsi="Times New Roman" w:eastAsia="Calibri" w:cs="Times New Roman"/>
          <w:color w:val="auto"/>
          <w:sz w:val="24"/>
          <w:szCs w:val="24"/>
          <w:lang w:eastAsia="en-US"/>
        </w:rPr>
        <w:tab/>
      </w:r>
      <w:r>
        <w:rPr>
          <w:rFonts w:ascii="Times New Roman" w:hAnsi="Times New Roman" w:eastAsia="Calibri" w:cs="Times New Roman"/>
          <w:color w:val="auto"/>
          <w:sz w:val="24"/>
          <w:szCs w:val="24"/>
          <w:lang w:eastAsia="en-US"/>
        </w:rPr>
        <w:t>Será dada prioridade de aquisição aos produtos das cotas reservadas quando forem adjudicados aos licitantes qualificados como microempresas ou empresas de pequeno porte, ressalvados os casos em que a cota reservada for inadequada para atender as quantidades ou as condições do pedido, nos termos Lei Municipal nº 2367 /2007 e Lei complementar Municipal nº 122/2009.</w:t>
      </w:r>
    </w:p>
    <w:p w14:paraId="5974FC2F">
      <w:pPr>
        <w:pStyle w:val="99"/>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77FB7DDF">
      <w:pPr>
        <w:pStyle w:val="99"/>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sz w:val="24"/>
          <w:szCs w:val="24"/>
          <w:lang w:eastAsia="en-US"/>
        </w:rPr>
        <w:t xml:space="preserve">3.6 </w:t>
      </w:r>
      <w:r>
        <w:rPr>
          <w:rFonts w:ascii="Times New Roman" w:hAnsi="Times New Roman" w:cs="Times New Roman"/>
          <w:color w:val="auto"/>
          <w:sz w:val="24"/>
          <w:szCs w:val="24"/>
        </w:rPr>
        <w:t xml:space="preserve">Será concedido o tratamento favorecido previsto nos arts. 42 a 49 da </w:t>
      </w:r>
      <w:r>
        <w:fldChar w:fldCharType="begin"/>
      </w:r>
      <w:r>
        <w:instrText xml:space="preserve"> HYPERLINK "https://www.planalto.gov.br/ccivil_03/leis/lcp/lcp123.htm" </w:instrText>
      </w:r>
      <w:r>
        <w:fldChar w:fldCharType="separate"/>
      </w:r>
      <w:r>
        <w:rPr>
          <w:rStyle w:val="16"/>
          <w:rFonts w:ascii="Times New Roman" w:hAnsi="Times New Roman" w:cs="Times New Roman" w:eastAsiaTheme="minorHAnsi"/>
          <w:color w:val="auto"/>
          <w:sz w:val="24"/>
          <w:szCs w:val="24"/>
        </w:rPr>
        <w:t>Lei Complementar nº 123/2006</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  Lei Municipal n° 2367/2027</w:t>
      </w:r>
      <w:r>
        <w:rPr>
          <w:rFonts w:ascii="Times New Roman" w:hAnsi="Times New Roman" w:eastAsia="Calibri" w:cs="Times New Roman"/>
          <w:color w:val="auto"/>
          <w:sz w:val="24"/>
          <w:szCs w:val="24"/>
          <w:lang w:eastAsia="en-US"/>
        </w:rPr>
        <w:t xml:space="preserve"> e Lei complementar Municipal nº 122/2009.</w:t>
      </w:r>
    </w:p>
    <w:p w14:paraId="0618DC4F">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para as microempresas e empresas de pequeno porte, para o agricultor familiar, o produtor rural pessoa física e para o microempreendedor individual - MEI.</w:t>
      </w:r>
      <w:bookmarkStart w:id="0" w:name="_Ref117015508"/>
    </w:p>
    <w:p w14:paraId="02C885C4">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61C0531E">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3.6.1 A 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p>
    <w:p w14:paraId="2A419878">
      <w:pPr>
        <w:tabs>
          <w:tab w:val="left" w:pos="1440"/>
        </w:tabs>
        <w:autoSpaceDE w:val="0"/>
        <w:snapToGrid w:val="0"/>
        <w:spacing w:before="288" w:beforeLines="120" w:after="288" w:afterLines="120" w:line="288" w:lineRule="auto"/>
        <w:contextualSpacing/>
        <w:jc w:val="both"/>
        <w:rPr>
          <w:sz w:val="24"/>
          <w:szCs w:val="24"/>
        </w:rPr>
      </w:pPr>
      <w:r>
        <w:rPr>
          <w:sz w:val="24"/>
          <w:szCs w:val="24"/>
        </w:rPr>
        <w:t>3.6.2 Nas contratações com prazo de vigência superior a 1 (um) ano, será considerado o valor anual do contrato.</w:t>
      </w:r>
    </w:p>
    <w:p w14:paraId="3182F3A9">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1" w:name="_Ref117000692"/>
      <w:r>
        <w:rPr>
          <w:rFonts w:ascii="Times New Roman" w:hAnsi="Times New Roman" w:cs="Times New Roman"/>
          <w:color w:val="auto"/>
          <w:sz w:val="24"/>
          <w:szCs w:val="24"/>
        </w:rPr>
        <w:t>3.7 Não poderão disputar esta licitação:</w:t>
      </w:r>
      <w:bookmarkEnd w:id="1"/>
    </w:p>
    <w:p w14:paraId="07CA597D">
      <w:pPr>
        <w:tabs>
          <w:tab w:val="left" w:pos="1440"/>
        </w:tabs>
        <w:autoSpaceDE w:val="0"/>
        <w:snapToGrid w:val="0"/>
        <w:spacing w:before="288" w:beforeLines="120" w:after="288" w:afterLines="120" w:line="288" w:lineRule="auto"/>
        <w:contextualSpacing/>
        <w:jc w:val="both"/>
        <w:rPr>
          <w:sz w:val="24"/>
          <w:szCs w:val="24"/>
        </w:rPr>
      </w:pPr>
      <w:bookmarkStart w:id="2" w:name="_Ref113883338"/>
      <w:r>
        <w:rPr>
          <w:sz w:val="24"/>
          <w:szCs w:val="24"/>
        </w:rPr>
        <w:t>3.7.1 aquele que não atenda às condições deste Edital e seu(s) anexo(s);</w:t>
      </w:r>
    </w:p>
    <w:p w14:paraId="78D7C1A3">
      <w:pPr>
        <w:pStyle w:val="103"/>
        <w:spacing w:before="288" w:beforeLines="120" w:after="288" w:afterLines="120" w:line="288" w:lineRule="auto"/>
        <w:ind w:left="0" w:firstLine="0"/>
        <w:contextualSpacing/>
        <w:rPr>
          <w:rFonts w:ascii="Times New Roman" w:hAnsi="Times New Roman" w:cs="Times New Roman"/>
          <w:color w:val="auto"/>
          <w:sz w:val="24"/>
          <w:szCs w:val="24"/>
        </w:rPr>
      </w:pPr>
      <w:bookmarkStart w:id="3" w:name="_Ref113883003"/>
      <w:bookmarkStart w:id="4" w:name="_Ref114659912"/>
      <w:r>
        <w:rPr>
          <w:rFonts w:ascii="Times New Roman" w:hAnsi="Times New Roman" w:cs="Times New Roman"/>
          <w:color w:val="auto"/>
          <w:sz w:val="24"/>
          <w:szCs w:val="24"/>
        </w:rPr>
        <w:t>3.</w:t>
      </w:r>
      <w:r>
        <w:rPr>
          <w:rFonts w:ascii="Times New Roman" w:hAnsi="Times New Roman" w:cs="Times New Roman"/>
          <w:sz w:val="24"/>
          <w:szCs w:val="24"/>
        </w:rPr>
        <w:t>7</w:t>
      </w:r>
      <w:r>
        <w:rPr>
          <w:rFonts w:ascii="Times New Roman" w:hAnsi="Times New Roman" w:cs="Times New Roman"/>
          <w:color w:val="auto"/>
          <w:sz w:val="24"/>
          <w:szCs w:val="24"/>
        </w:rPr>
        <w:t>.2 pessoa física ou jurídica que se encontre, ao tempo da licitação, impossibilitada de participar da licitação em decorrência de sanção que lhe foi imposta;</w:t>
      </w:r>
      <w:bookmarkEnd w:id="3"/>
    </w:p>
    <w:p w14:paraId="082C7105">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2BF88863">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3.7.3 autor do anteprojeto, do projeto básico ou do projeto executivo, pessoa física ou jurídica, quando a licitação versar sobre serviços ou fornecimento de bens a ele relacionados;</w:t>
      </w:r>
      <w:bookmarkEnd w:id="2"/>
      <w:bookmarkEnd w:id="4"/>
    </w:p>
    <w:p w14:paraId="789500F3">
      <w:pPr>
        <w:pStyle w:val="103"/>
        <w:spacing w:before="288" w:beforeLines="120" w:after="288" w:afterLines="120" w:line="288" w:lineRule="auto"/>
        <w:ind w:left="0" w:firstLine="0"/>
        <w:contextualSpacing/>
        <w:rPr>
          <w:rFonts w:ascii="Times New Roman" w:hAnsi="Times New Roman" w:cs="Times New Roman"/>
          <w:color w:val="auto"/>
          <w:sz w:val="24"/>
          <w:szCs w:val="24"/>
        </w:rPr>
      </w:pPr>
      <w:bookmarkStart w:id="5" w:name="_Ref114659913"/>
      <w:bookmarkStart w:id="6" w:name="_Ref113883339"/>
    </w:p>
    <w:p w14:paraId="075252F5">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3.7.4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Pr>
          <w:rFonts w:ascii="Times New Roman" w:hAnsi="Times New Roman" w:cs="Times New Roman"/>
          <w:color w:val="auto"/>
          <w:sz w:val="24"/>
          <w:szCs w:val="24"/>
        </w:rPr>
        <w:t xml:space="preserve"> </w:t>
      </w:r>
      <w:bookmarkEnd w:id="6"/>
    </w:p>
    <w:p w14:paraId="7C452B09">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0490F4A8">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067239">
      <w:pPr>
        <w:pStyle w:val="103"/>
        <w:spacing w:before="288" w:beforeLines="120" w:after="288" w:afterLines="120" w:line="288" w:lineRule="auto"/>
        <w:ind w:left="0" w:firstLine="0"/>
        <w:contextualSpacing/>
        <w:rPr>
          <w:rFonts w:ascii="Times New Roman" w:hAnsi="Times New Roman" w:cs="Times New Roman"/>
          <w:color w:val="auto"/>
          <w:sz w:val="24"/>
          <w:szCs w:val="24"/>
        </w:rPr>
      </w:pPr>
      <w:bookmarkStart w:id="7" w:name="_Ref113883579"/>
    </w:p>
    <w:p w14:paraId="3A58E074">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3.7.6 empresas controladoras, controladas ou coligadas, nos termos da Lei nº 6.404, de 15 de dezembro de 1976, concorrendo entre si;</w:t>
      </w:r>
      <w:bookmarkEnd w:id="7"/>
    </w:p>
    <w:p w14:paraId="7EA7A39E">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003CF0AB">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CE984CC">
      <w:pPr>
        <w:pStyle w:val="103"/>
        <w:spacing w:before="288" w:beforeLines="120" w:after="288" w:afterLines="120" w:line="288" w:lineRule="auto"/>
        <w:ind w:left="0" w:firstLine="0"/>
        <w:contextualSpacing/>
        <w:rPr>
          <w:rFonts w:ascii="Times New Roman" w:hAnsi="Times New Roman" w:cs="Times New Roman"/>
          <w:color w:val="auto"/>
          <w:sz w:val="24"/>
          <w:szCs w:val="24"/>
        </w:rPr>
      </w:pPr>
      <w:bookmarkStart w:id="8" w:name="_Ref113962336"/>
    </w:p>
    <w:p w14:paraId="6598542F">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3.7.8 agente público do órgão ou entidade licitante, na qualidade de pessoa física ou de representante de pessoa jurídica;</w:t>
      </w:r>
      <w:bookmarkEnd w:id="8"/>
    </w:p>
    <w:p w14:paraId="1FE281A4">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4F944000">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3.7.9 </w:t>
      </w:r>
      <w:r>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6"/>
          <w:rFonts w:ascii="Times New Roman" w:hAnsi="Times New Roman" w:cs="Times New Roman" w:eastAsiaTheme="minorHAnsi"/>
          <w:color w:val="auto"/>
          <w:sz w:val="24"/>
          <w:szCs w:val="24"/>
        </w:rPr>
        <w:t>§ 1º do art. 9º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05682E86">
      <w:pPr>
        <w:pStyle w:val="103"/>
        <w:spacing w:before="288" w:beforeLines="120" w:after="288" w:afterLines="120" w:line="288" w:lineRule="auto"/>
        <w:ind w:left="567" w:right="565" w:firstLine="0"/>
        <w:contextualSpacing/>
        <w:rPr>
          <w:rFonts w:ascii="Times New Roman" w:hAnsi="Times New Roman" w:cs="Times New Roman"/>
          <w:color w:val="FF0000"/>
          <w:sz w:val="24"/>
          <w:szCs w:val="24"/>
        </w:rPr>
      </w:pPr>
      <w:bookmarkStart w:id="9" w:name="_Hlk154223269"/>
    </w:p>
    <w:bookmarkEnd w:id="9"/>
    <w:p w14:paraId="08CD7B16">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3.8 </w:t>
      </w:r>
      <w:r>
        <w:rPr>
          <w:rFonts w:ascii="Times New Roman" w:hAnsi="Times New Roman" w:cs="Times New Roman"/>
          <w:sz w:val="24"/>
          <w:szCs w:val="24"/>
        </w:rPr>
        <w:t>O impedimento de que trata o item 3.7.2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F7BB81">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10" w:name="art14§2"/>
      <w:bookmarkEnd w:id="10"/>
    </w:p>
    <w:p w14:paraId="33E12CC4">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3.9 A critério da Administração e exclusivamente a seu serviço, o autor dos projetos e a empresa a que se referem os itens 3.7.3 e 3.7.4 poderão participar no apoio das atividades de planejamento da contratação, de execução da licitação ou de gestão do contrato, desde que sob supervisão exclusiva de agentes públicos do órgão ou entidade.</w:t>
      </w:r>
    </w:p>
    <w:p w14:paraId="607F1A11">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11" w:name="art14§3"/>
      <w:bookmarkEnd w:id="11"/>
    </w:p>
    <w:p w14:paraId="0717E73B">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3.9.1 Equiparam-se aos autores do projeto as empresas integrantes do mesmo grupo econômico.</w:t>
      </w:r>
    </w:p>
    <w:p w14:paraId="3B0E68DF">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12" w:name="art14§4"/>
      <w:bookmarkEnd w:id="12"/>
    </w:p>
    <w:p w14:paraId="32DA13D2">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3.9.2 O disposto nos itens 3.7.3 e 3.7.4 não impede a licitação ou a contratação de serviço que inclua como encargo do contratado a elaboração do projeto básico e do projeto executivo, nas contratações integradas, e do projeto executivo, nos demais regimes de execução.</w:t>
      </w:r>
    </w:p>
    <w:p w14:paraId="73372CD6">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13" w:name="art14§5"/>
      <w:bookmarkEnd w:id="13"/>
    </w:p>
    <w:p w14:paraId="26C00DDF">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3.10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30E0EEDE">
      <w:pPr>
        <w:pStyle w:val="99"/>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40387FBC">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3.11 A vedação de que trata o item </w:t>
      </w:r>
      <w:r>
        <w:rPr>
          <w:rFonts w:ascii="Times New Roman" w:hAnsi="Times New Roman" w:cs="Times New Roman"/>
          <w:color w:val="auto"/>
          <w:sz w:val="24"/>
          <w:szCs w:val="24"/>
        </w:rPr>
        <w:t xml:space="preserve">3.7.8 </w:t>
      </w:r>
      <w:r>
        <w:rPr>
          <w:rFonts w:ascii="Times New Roman" w:hAnsi="Times New Roman" w:cs="Times New Roman"/>
          <w:sz w:val="24"/>
          <w:szCs w:val="24"/>
        </w:rPr>
        <w:t>estende-se a terceiro que auxilie a condução da contratação na qualidade de integrante de equipe de apoio, profissional especializado ou funcionário ou representante de empresa que preste assessoria técnica.</w:t>
      </w:r>
    </w:p>
    <w:p w14:paraId="528914E8">
      <w:pPr>
        <w:pStyle w:val="99"/>
        <w:spacing w:before="288" w:beforeLines="120" w:after="288" w:afterLines="120" w:line="288" w:lineRule="auto"/>
        <w:ind w:left="0" w:firstLine="0"/>
        <w:contextualSpacing/>
        <w:rPr>
          <w:rFonts w:ascii="Times New Roman" w:hAnsi="Times New Roman" w:cs="Times New Roman"/>
          <w:sz w:val="24"/>
          <w:szCs w:val="24"/>
        </w:rPr>
      </w:pPr>
    </w:p>
    <w:p w14:paraId="6FF3D84D">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3.12 Será permitida a participação de pessoas jurídicas reunidas em consórcio, observadas as seguintes regras:</w:t>
      </w:r>
    </w:p>
    <w:p w14:paraId="78BE01DF">
      <w:pPr>
        <w:pStyle w:val="99"/>
        <w:spacing w:before="288" w:beforeLines="120" w:after="288" w:afterLines="120" w:line="288" w:lineRule="auto"/>
        <w:ind w:left="0" w:firstLine="0"/>
        <w:contextualSpacing/>
        <w:rPr>
          <w:rFonts w:ascii="Times New Roman" w:hAnsi="Times New Roman" w:cs="Times New Roman"/>
          <w:sz w:val="24"/>
          <w:szCs w:val="24"/>
        </w:rPr>
      </w:pPr>
    </w:p>
    <w:p w14:paraId="2C5ACA9D">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3.12.1 as empresas consorciadas apresentarão compromisso público ou particular de constituição do consórcio, subscrito por todas, onde deverá estar indicada a empresa líder como responsável principal perante o órgão licitante pelos atos praticados pelo consórcio, devendo constar expressamente do instrumento os poderes específicos para requerer, assumir compromissos, transigir, discordar, desistir, renunciar, receber e dar quitação, como também receber citação em Juízo;</w:t>
      </w:r>
    </w:p>
    <w:p w14:paraId="321BB397">
      <w:pPr>
        <w:tabs>
          <w:tab w:val="left" w:pos="1440"/>
        </w:tabs>
        <w:autoSpaceDE w:val="0"/>
        <w:snapToGrid w:val="0"/>
        <w:spacing w:before="288" w:beforeLines="120" w:after="288" w:afterLines="120" w:line="288" w:lineRule="auto"/>
        <w:contextualSpacing/>
        <w:jc w:val="both"/>
        <w:rPr>
          <w:sz w:val="24"/>
          <w:szCs w:val="24"/>
        </w:rPr>
      </w:pPr>
      <w:r>
        <w:rPr>
          <w:sz w:val="24"/>
          <w:szCs w:val="24"/>
        </w:rPr>
        <w:t>3.12.2 impedimento de a empresa consorciada participar, na mesma licitação, de mais de um consórcio ou de forma isolada;</w:t>
      </w:r>
    </w:p>
    <w:p w14:paraId="6BC5776D">
      <w:pPr>
        <w:tabs>
          <w:tab w:val="left" w:pos="1440"/>
        </w:tabs>
        <w:autoSpaceDE w:val="0"/>
        <w:snapToGrid w:val="0"/>
        <w:spacing w:before="288" w:beforeLines="120" w:after="288" w:afterLines="120" w:line="288" w:lineRule="auto"/>
        <w:contextualSpacing/>
        <w:jc w:val="both"/>
        <w:rPr>
          <w:sz w:val="24"/>
          <w:szCs w:val="24"/>
        </w:rPr>
      </w:pPr>
    </w:p>
    <w:p w14:paraId="11838D0F">
      <w:pPr>
        <w:tabs>
          <w:tab w:val="left" w:pos="1440"/>
        </w:tabs>
        <w:autoSpaceDE w:val="0"/>
        <w:snapToGrid w:val="0"/>
        <w:spacing w:before="288" w:beforeLines="120" w:after="288" w:afterLines="120" w:line="288" w:lineRule="auto"/>
        <w:contextualSpacing/>
        <w:jc w:val="both"/>
        <w:rPr>
          <w:sz w:val="24"/>
          <w:szCs w:val="24"/>
        </w:rPr>
      </w:pPr>
      <w:r>
        <w:rPr>
          <w:sz w:val="24"/>
          <w:szCs w:val="24"/>
        </w:rPr>
        <w:t>3.12.3 o consórcio vencedor, quando for o caso, ficará obrigado a promover a sua constituição e registro antes da celebração do Contrato, nos termos do compromisso firmado conforme item 3.12.1;</w:t>
      </w:r>
    </w:p>
    <w:p w14:paraId="7EC720AF">
      <w:pPr>
        <w:tabs>
          <w:tab w:val="left" w:pos="1440"/>
        </w:tabs>
        <w:autoSpaceDE w:val="0"/>
        <w:snapToGrid w:val="0"/>
        <w:spacing w:before="288" w:beforeLines="120" w:after="288" w:afterLines="120" w:line="288" w:lineRule="auto"/>
        <w:contextualSpacing/>
        <w:jc w:val="both"/>
        <w:rPr>
          <w:sz w:val="24"/>
          <w:szCs w:val="24"/>
        </w:rPr>
      </w:pPr>
    </w:p>
    <w:p w14:paraId="383DC82B">
      <w:pPr>
        <w:tabs>
          <w:tab w:val="left" w:pos="1440"/>
        </w:tabs>
        <w:autoSpaceDE w:val="0"/>
        <w:snapToGrid w:val="0"/>
        <w:spacing w:before="288" w:beforeLines="120" w:after="288" w:afterLines="120" w:line="288" w:lineRule="auto"/>
        <w:contextualSpacing/>
        <w:jc w:val="both"/>
        <w:rPr>
          <w:sz w:val="24"/>
          <w:szCs w:val="24"/>
        </w:rPr>
      </w:pPr>
      <w:r>
        <w:rPr>
          <w:sz w:val="24"/>
          <w:szCs w:val="24"/>
        </w:rPr>
        <w:t>3.12.4 as empresas consorciadas responderão solidariamente pelos atos praticados em consórcio, tanto na fase da licitação quanto na da execução do Contrato;</w:t>
      </w:r>
    </w:p>
    <w:p w14:paraId="3534F75B">
      <w:pPr>
        <w:tabs>
          <w:tab w:val="left" w:pos="1440"/>
        </w:tabs>
        <w:autoSpaceDE w:val="0"/>
        <w:snapToGrid w:val="0"/>
        <w:spacing w:before="288" w:beforeLines="120" w:after="288" w:afterLines="120" w:line="288" w:lineRule="auto"/>
        <w:contextualSpacing/>
        <w:jc w:val="both"/>
        <w:rPr>
          <w:sz w:val="24"/>
          <w:szCs w:val="24"/>
        </w:rPr>
      </w:pPr>
    </w:p>
    <w:p w14:paraId="4C0240D0">
      <w:pPr>
        <w:tabs>
          <w:tab w:val="left" w:pos="1440"/>
        </w:tabs>
        <w:autoSpaceDE w:val="0"/>
        <w:snapToGrid w:val="0"/>
        <w:spacing w:before="288" w:beforeLines="120" w:after="288" w:afterLines="120" w:line="288" w:lineRule="auto"/>
        <w:contextualSpacing/>
        <w:jc w:val="both"/>
        <w:rPr>
          <w:sz w:val="24"/>
          <w:szCs w:val="24"/>
        </w:rPr>
      </w:pPr>
      <w:r>
        <w:rPr>
          <w:sz w:val="24"/>
          <w:szCs w:val="24"/>
        </w:rPr>
        <w:t>3.12.5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0D7D54D7">
      <w:pPr>
        <w:pStyle w:val="97"/>
        <w:spacing w:before="0" w:beforeAutospacing="0" w:after="0" w:afterAutospacing="0" w:line="288" w:lineRule="auto"/>
        <w:contextualSpacing/>
        <w:jc w:val="both"/>
        <w:rPr>
          <w:rFonts w:eastAsia="Calibri"/>
          <w:b/>
          <w:bCs/>
          <w:lang w:eastAsia="en-US"/>
        </w:rPr>
      </w:pPr>
      <w:r>
        <w:rPr>
          <w:rFonts w:eastAsia="Calibri"/>
          <w:b/>
          <w:bCs/>
          <w:lang w:eastAsia="en-US"/>
        </w:rPr>
        <w:t>4. DAS DECLARAÇÕES E DA APRESENTAÇÃO DA PROPOSTA</w:t>
      </w:r>
    </w:p>
    <w:p w14:paraId="1C2C7774">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 Na presente licitação, a fase de habilitação será realizada após as fases de apresentação de propostas e lances e de julgamento.</w:t>
      </w:r>
    </w:p>
    <w:p w14:paraId="70EF4B38">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14" w:name="_Ref113886867"/>
    </w:p>
    <w:p w14:paraId="27259862">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4.2 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bookmarkStart w:id="15" w:name="_Ref113968921"/>
    </w:p>
    <w:p w14:paraId="6853B6F3">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6E9E6FD3">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4.3 No cadastramento da proposta inicial, o licitante declarará, em campo próprio do sistema, que:</w:t>
      </w:r>
      <w:bookmarkEnd w:id="15"/>
    </w:p>
    <w:p w14:paraId="4F34F2E7">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4.3.1 está ciente e concorda com as condições contidas no Edital e seus anexos</w:t>
      </w:r>
      <w:bookmarkStart w:id="16" w:name="_Hlk154224613"/>
      <w:r>
        <w:rPr>
          <w:rFonts w:ascii="Times New Roman" w:hAnsi="Times New Roman" w:cs="Times New Roman"/>
          <w:color w:val="auto"/>
          <w:sz w:val="24"/>
          <w:szCs w:val="24"/>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bookmarkEnd w:id="16"/>
    <w:p w14:paraId="3D576E7F">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5E36CB29">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4.3.2 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6"/>
          <w:rFonts w:ascii="Times New Roman" w:hAnsi="Times New Roman" w:cs="Times New Roman" w:eastAsiaTheme="minorHAnsi"/>
          <w:color w:val="auto"/>
          <w:sz w:val="24"/>
          <w:szCs w:val="24"/>
        </w:rPr>
        <w:t>art. 7°, XXXIII, da Constituição</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771CD99B">
      <w:pPr>
        <w:pStyle w:val="103"/>
        <w:spacing w:before="288" w:beforeLines="120" w:after="288" w:afterLines="120" w:line="288" w:lineRule="auto"/>
        <w:ind w:left="0" w:firstLine="0"/>
        <w:contextualSpacing/>
        <w:rPr>
          <w:rFonts w:ascii="Times New Roman" w:hAnsi="Times New Roman" w:cs="Times New Roman"/>
          <w:sz w:val="24"/>
          <w:szCs w:val="24"/>
        </w:rPr>
      </w:pPr>
      <w:bookmarkStart w:id="17" w:name="_Hlk154224321"/>
    </w:p>
    <w:p w14:paraId="28D4F6DC">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4.3.3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6"/>
          <w:rFonts w:ascii="Times New Roman" w:hAnsi="Times New Roman" w:cs="Times New Roman" w:eastAsiaTheme="minorHAnsi"/>
          <w:color w:val="auto"/>
          <w:sz w:val="24"/>
          <w:szCs w:val="24"/>
        </w:rPr>
        <w:t>incisos III e IV do art. 1º e no inciso III do art. 5º da Constituição Federal</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bookmarkEnd w:id="17"/>
    <w:p w14:paraId="0D0F30F7">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1AD61B72">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4.3.4 cumpre as exigências de reserva de cargos para pessoa com deficiência e para reabilitado da Previdência Social, previstas em lei e em outras normas específicas;</w:t>
      </w:r>
    </w:p>
    <w:p w14:paraId="22E7A23B">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2B4785A8">
      <w:pPr>
        <w:pStyle w:val="103"/>
        <w:spacing w:before="288" w:beforeLines="120" w:after="288" w:afterLines="120" w:line="288" w:lineRule="auto"/>
        <w:ind w:left="0" w:firstLine="0"/>
        <w:contextualSpacing/>
        <w:rPr>
          <w:rFonts w:ascii="Times New Roman" w:hAnsi="Times New Roman" w:cs="Times New Roman"/>
          <w:color w:val="auto"/>
          <w:sz w:val="24"/>
          <w:szCs w:val="24"/>
        </w:rPr>
      </w:pPr>
      <w:bookmarkStart w:id="18" w:name="_Hlk154224365"/>
      <w:r>
        <w:rPr>
          <w:rFonts w:ascii="Times New Roman" w:hAnsi="Times New Roman" w:cs="Times New Roman"/>
          <w:color w:val="auto"/>
          <w:sz w:val="24"/>
          <w:szCs w:val="24"/>
        </w:rPr>
        <w:t>4.3.5 está ciente da obrigação de cumprimento de cota de aprendiz, na forma dos artigos 429 e seguintes da Consolidação das Leis do Trabalho, e da necessidade de comprovar o cumprimento dessa exigência, por meio de certidão, no momento de assinatura do contrato;</w:t>
      </w:r>
    </w:p>
    <w:bookmarkEnd w:id="18"/>
    <w:p w14:paraId="71DF37CC">
      <w:pPr>
        <w:pStyle w:val="103"/>
        <w:spacing w:before="288" w:beforeLines="120" w:after="288" w:afterLines="120" w:line="288" w:lineRule="auto"/>
        <w:ind w:left="0" w:firstLine="0"/>
        <w:contextualSpacing/>
        <w:rPr>
          <w:rFonts w:ascii="Times New Roman" w:hAnsi="Times New Roman" w:cs="Times New Roman"/>
          <w:color w:val="auto"/>
          <w:sz w:val="24"/>
          <w:szCs w:val="24"/>
        </w:rPr>
      </w:pPr>
      <w:bookmarkStart w:id="19" w:name="_Hlk154224840"/>
    </w:p>
    <w:p w14:paraId="1B6C8F0A">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4.3.6 não foram aplicadas penalidades de suspensão temporária da participação em licitação, impedimento de contratar ou declaração de inidoneidade para licitar e contratar cujos efeitos ainda vigorem e sejam aplicáveis no âmbito do Município de Valença RJ.</w:t>
      </w:r>
    </w:p>
    <w:bookmarkEnd w:id="19"/>
    <w:p w14:paraId="2EB824E9">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4.4 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w:instrText>
      </w:r>
      <w:r>
        <w:fldChar w:fldCharType="separate"/>
      </w:r>
      <w:r>
        <w:rPr>
          <w:rStyle w:val="16"/>
          <w:rFonts w:ascii="Times New Roman" w:hAnsi="Times New Roman" w:cs="Times New Roman" w:eastAsiaTheme="minorHAnsi"/>
          <w:color w:val="auto"/>
          <w:sz w:val="24"/>
          <w:szCs w:val="24"/>
        </w:rPr>
        <w:t>art. 16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696CD3E9">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20" w:name="_Ref117000019"/>
    </w:p>
    <w:p w14:paraId="0F0A869C">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4.5 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w:instrText>
      </w:r>
      <w:r>
        <w:fldChar w:fldCharType="separate"/>
      </w:r>
      <w:r>
        <w:rPr>
          <w:rStyle w:val="16"/>
          <w:rFonts w:ascii="Times New Roman" w:hAnsi="Times New Roman" w:cs="Times New Roman" w:eastAsiaTheme="minorHAnsi"/>
          <w:color w:val="auto"/>
          <w:sz w:val="24"/>
          <w:szCs w:val="24"/>
        </w:rPr>
        <w:t>art. 3° da Lei Complementar nº 123/2006</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estando apto a usufruir do tratamento favorecido estabelecido em seus </w:t>
      </w:r>
      <w:bookmarkEnd w:id="20"/>
      <w:r>
        <w:fldChar w:fldCharType="begin"/>
      </w:r>
      <w:r>
        <w:rPr>
          <w:rFonts w:ascii="Times New Roman" w:hAnsi="Times New Roman" w:cs="Times New Roman"/>
          <w:color w:val="auto"/>
          <w:sz w:val="24"/>
          <w:szCs w:val="24"/>
        </w:rPr>
        <w:instrText xml:space="preserve">HYPERLINK "https://www.planalto.gov.br/ccivil_03/leis/lcp/lcp123.htm" \l "art42"</w:instrText>
      </w:r>
      <w:r>
        <w:fldChar w:fldCharType="separate"/>
      </w:r>
      <w:r>
        <w:rPr>
          <w:rStyle w:val="16"/>
          <w:rFonts w:ascii="Times New Roman" w:hAnsi="Times New Roman" w:cs="Times New Roman" w:eastAsiaTheme="minorHAnsi"/>
          <w:color w:val="auto"/>
          <w:sz w:val="24"/>
          <w:szCs w:val="24"/>
        </w:rPr>
        <w:t>arts. 42 a 49</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observado o disposto nos </w:t>
      </w:r>
      <w:r>
        <w:fldChar w:fldCharType="begin"/>
      </w:r>
      <w:r>
        <w:instrText xml:space="preserve"> HYPERLINK "http://www.planalto.gov.br/ccivil_03/_ato2019-2022/2021/lei/L14133.htm" \l "art4§1" </w:instrText>
      </w:r>
      <w:r>
        <w:fldChar w:fldCharType="separate"/>
      </w:r>
      <w:r>
        <w:rPr>
          <w:rStyle w:val="16"/>
          <w:rFonts w:ascii="Times New Roman" w:hAnsi="Times New Roman" w:cs="Times New Roman" w:eastAsiaTheme="minorHAnsi"/>
          <w:color w:val="auto"/>
          <w:sz w:val="24"/>
          <w:szCs w:val="24"/>
        </w:rPr>
        <w:t>§§ 1º ao 3º do art. 4º da Lei n.º 14.133/2021.</w:t>
      </w:r>
      <w:r>
        <w:rPr>
          <w:rStyle w:val="16"/>
          <w:rFonts w:ascii="Times New Roman" w:hAnsi="Times New Roman" w:cs="Times New Roman" w:eastAsiaTheme="minorHAnsi"/>
          <w:color w:val="auto"/>
          <w:sz w:val="24"/>
          <w:szCs w:val="24"/>
        </w:rPr>
        <w:fldChar w:fldCharType="end"/>
      </w:r>
    </w:p>
    <w:p w14:paraId="21DAD6E8">
      <w:pPr>
        <w:pStyle w:val="103"/>
        <w:spacing w:before="288" w:beforeLines="120" w:after="288" w:afterLines="120" w:line="288" w:lineRule="auto"/>
        <w:ind w:left="0" w:firstLine="0"/>
        <w:contextualSpacing/>
        <w:rPr>
          <w:rFonts w:ascii="Times New Roman" w:hAnsi="Times New Roman" w:cs="Times New Roman"/>
          <w:sz w:val="24"/>
          <w:szCs w:val="24"/>
        </w:rPr>
      </w:pPr>
      <w:bookmarkStart w:id="21" w:name="_Hlk154225179"/>
      <w:r>
        <w:rPr>
          <w:rFonts w:ascii="Times New Roman" w:hAnsi="Times New Roman" w:cs="Times New Roman"/>
          <w:sz w:val="24"/>
          <w:szCs w:val="24"/>
        </w:rPr>
        <w:t>4.5.1 no item exclusivo para participação de microempresas e empresas de pequeno porte, a ausência de declaração na forma do item anterior impedirá o prosseguimento no certame, para aquele item;</w:t>
      </w:r>
    </w:p>
    <w:p w14:paraId="637339A7">
      <w:pPr>
        <w:pStyle w:val="103"/>
        <w:spacing w:before="288" w:beforeLines="120" w:after="288" w:afterLines="120" w:line="288" w:lineRule="auto"/>
        <w:ind w:left="0" w:firstLine="0"/>
        <w:contextualSpacing/>
        <w:rPr>
          <w:rFonts w:ascii="Times New Roman" w:hAnsi="Times New Roman" w:cs="Times New Roman"/>
          <w:sz w:val="24"/>
          <w:szCs w:val="24"/>
        </w:rPr>
      </w:pPr>
    </w:p>
    <w:p w14:paraId="56779E6C">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4.5.2 nos itens em que a participação não for exclusiva para microempresas e empresas de pequeno porte, a ausência de declaração na forma do item 4.5 apenas produzirá o efeito de o licitante não ter direito ao tratamento favorecido previsto </w:t>
      </w:r>
      <w:r>
        <w:rPr>
          <w:rFonts w:ascii="Times New Roman" w:hAnsi="Times New Roman" w:cs="Times New Roman"/>
          <w:color w:val="auto"/>
          <w:sz w:val="24"/>
          <w:szCs w:val="24"/>
        </w:rPr>
        <w:t xml:space="preserve">na </w:t>
      </w:r>
      <w:r>
        <w:fldChar w:fldCharType="begin"/>
      </w:r>
      <w:r>
        <w:instrText xml:space="preserve"> HYPERLINK "https://www.planalto.gov.br/ccivil_03/leis/lcp/lcp123.htm" </w:instrText>
      </w:r>
      <w:r>
        <w:fldChar w:fldCharType="separate"/>
      </w:r>
      <w:r>
        <w:rPr>
          <w:rStyle w:val="16"/>
          <w:rFonts w:ascii="Times New Roman" w:hAnsi="Times New Roman" w:cs="Times New Roman" w:eastAsiaTheme="minorHAnsi"/>
          <w:color w:val="auto"/>
          <w:sz w:val="24"/>
          <w:szCs w:val="24"/>
        </w:rPr>
        <w:t>Lei Complementar nº 123/2006</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mesmo que microempresa, empresa de pequeno porte ou sociedade cooperativa.</w:t>
      </w:r>
    </w:p>
    <w:p w14:paraId="46057E82">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4.6 A falsidade das declarações de que tratam os itens 4.3 a 4.5 sujeitará o licitante às sanções previstas na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 neste Edital.</w:t>
      </w:r>
    </w:p>
    <w:bookmarkEnd w:id="21"/>
    <w:p w14:paraId="5BD322EF">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4DEFFF45">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4.7 Os licitantes poderão retirar ou substituir a proposta ou, </w:t>
      </w:r>
      <w:r>
        <w:rPr>
          <w:rFonts w:ascii="Times New Roman" w:hAnsi="Times New Roman" w:cs="Times New Roman"/>
          <w:sz w:val="24"/>
          <w:szCs w:val="24"/>
        </w:rPr>
        <w:t xml:space="preserve">na hipótese de a fase de habilitação anteceder as fases de apresentação de propostas e lances e de julgamento, </w:t>
      </w:r>
      <w:r>
        <w:rPr>
          <w:rFonts w:ascii="Times New Roman" w:hAnsi="Times New Roman" w:cs="Times New Roman"/>
          <w:color w:val="auto"/>
          <w:sz w:val="24"/>
          <w:szCs w:val="24"/>
        </w:rPr>
        <w:t>os documentos de habilitação anteriormente inseridos no sistema, até a abertura da sessão pública.</w:t>
      </w:r>
    </w:p>
    <w:p w14:paraId="0B20C8BF">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03C1F03A">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4.8 Não haverá ordem de classificação na etapa de apresentação da proposta e das declarações pelo licitante, o que ocorrerá somente após os procedimentos de abertura da sessão pública e da fase de envio de lances.</w:t>
      </w:r>
    </w:p>
    <w:p w14:paraId="42299452">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502BF0EB">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4.9 Após a fase de envio de lances, serão disponibilizados para acesso público os documentos que compõem a proposta dos licitantes convocados para apresentação de propostas.</w:t>
      </w:r>
    </w:p>
    <w:p w14:paraId="40C64D20">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128991BB">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2A862E3">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50E681E5">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4.11 O licitante deverá comunicar imediatamente ao provedor do sistema qualquer acontecimento que possa comprometer o sigilo ou a segurança, para imediato bloqueio de acesso.</w:t>
      </w:r>
    </w:p>
    <w:p w14:paraId="36120974">
      <w:pPr>
        <w:pStyle w:val="99"/>
        <w:spacing w:before="288" w:beforeLines="120" w:after="288" w:afterLines="120" w:line="288" w:lineRule="auto"/>
        <w:ind w:left="567" w:right="565" w:firstLine="0"/>
        <w:contextualSpacing/>
        <w:rPr>
          <w:rFonts w:ascii="Times New Roman" w:hAnsi="Times New Roman" w:cs="Times New Roman"/>
          <w:color w:val="FF0000"/>
          <w:sz w:val="24"/>
          <w:szCs w:val="24"/>
        </w:rPr>
      </w:pPr>
    </w:p>
    <w:p w14:paraId="6D018A1E">
      <w:pPr>
        <w:pStyle w:val="99"/>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4.12 Desde que disponibilizada a funcionalidade no sistema, o licitante poderá parametrizar o seu valor final mínimo ou o seu percentual de desconto máximo quando do cadastramento da proposta e obedecerá às seguintes regras:</w:t>
      </w:r>
    </w:p>
    <w:p w14:paraId="6F1C9F13">
      <w:pPr>
        <w:pStyle w:val="103"/>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4.12.1 a aplicação do intervalo mínimo de diferença de valores ou de percentuais entre os lances, conforme disposto no item 6.8, que incidirá tanto em relação aos lances intermediários quanto em relação ao lance que cobrir a melhor oferta;  </w:t>
      </w:r>
    </w:p>
    <w:p w14:paraId="380F979C">
      <w:pPr>
        <w:pStyle w:val="103"/>
        <w:spacing w:before="288" w:beforeLines="120" w:after="288" w:afterLines="120" w:line="288" w:lineRule="auto"/>
        <w:ind w:left="0" w:right="-2" w:firstLine="0"/>
        <w:contextualSpacing/>
        <w:rPr>
          <w:rFonts w:ascii="Times New Roman" w:hAnsi="Times New Roman" w:cs="Times New Roman"/>
          <w:color w:val="auto"/>
          <w:sz w:val="24"/>
          <w:szCs w:val="24"/>
        </w:rPr>
      </w:pPr>
    </w:p>
    <w:p w14:paraId="49381151">
      <w:pPr>
        <w:pStyle w:val="103"/>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4.12.2 os lances serão de envio automático pelo sistema, respeitado o valor final mínimo, caso estabelecido, e o intervalo de que trata o subitem acima.</w:t>
      </w:r>
    </w:p>
    <w:p w14:paraId="06FD1B82">
      <w:pPr>
        <w:pStyle w:val="99"/>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4.13 O valor final mínimo ou o percentual de desconto final máximo parametrizado no sistema poderá ser alterado pelo fornecedor durante a fase de disputa, sendo vedado:</w:t>
      </w:r>
    </w:p>
    <w:p w14:paraId="3714FDDA">
      <w:pPr>
        <w:pStyle w:val="103"/>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4.13.1 valor superior a lance já registrado pelo fornecedor no sistema, quando adotado o critério de julgamento por menor preço; e</w:t>
      </w:r>
    </w:p>
    <w:p w14:paraId="3B5B73CE">
      <w:pPr>
        <w:pStyle w:val="103"/>
        <w:spacing w:before="288" w:beforeLines="120" w:after="288" w:afterLines="120" w:line="288" w:lineRule="auto"/>
        <w:ind w:left="0" w:right="565" w:firstLine="0"/>
        <w:contextualSpacing/>
        <w:rPr>
          <w:rFonts w:ascii="Times New Roman" w:hAnsi="Times New Roman" w:cs="Times New Roman"/>
          <w:color w:val="auto"/>
          <w:sz w:val="24"/>
          <w:szCs w:val="24"/>
        </w:rPr>
      </w:pPr>
    </w:p>
    <w:p w14:paraId="3E7676FC">
      <w:pPr>
        <w:pStyle w:val="103"/>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4.13.2 percentual de desconto inferior a lance já registrado pelo fornecedor no sistema, quando adotado o critério de julgamento por maior desconto.</w:t>
      </w:r>
    </w:p>
    <w:p w14:paraId="61BF7085">
      <w:pPr>
        <w:pStyle w:val="99"/>
        <w:spacing w:before="288" w:beforeLines="120" w:after="288" w:afterLines="120" w:line="288" w:lineRule="auto"/>
        <w:ind w:left="0" w:right="-2"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4.14 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w:t>
      </w:r>
    </w:p>
    <w:p w14:paraId="084C8965">
      <w:pPr>
        <w:pStyle w:val="97"/>
        <w:spacing w:before="0" w:beforeAutospacing="0" w:after="0" w:afterAutospacing="0" w:line="288" w:lineRule="auto"/>
        <w:contextualSpacing/>
        <w:jc w:val="both"/>
        <w:rPr>
          <w:rFonts w:eastAsia="Calibri"/>
          <w:b/>
          <w:bCs/>
          <w:lang w:eastAsia="en-US"/>
        </w:rPr>
      </w:pPr>
      <w:r>
        <w:rPr>
          <w:rFonts w:eastAsia="Calibri"/>
          <w:b/>
          <w:bCs/>
          <w:lang w:eastAsia="en-US"/>
        </w:rPr>
        <w:t>5. DO PREENCHIMENTO DA PROPOSTA</w:t>
      </w:r>
    </w:p>
    <w:p w14:paraId="7B3F8A74">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 O licitante deverá enviar sua proposta mediante o preenchimento, no sistema eletrônico, dos seguintes campos:</w:t>
      </w:r>
    </w:p>
    <w:p w14:paraId="4FAF8F22">
      <w:pPr>
        <w:pStyle w:val="103"/>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 Valor unitário do item;</w:t>
      </w:r>
    </w:p>
    <w:p w14:paraId="1D12E318">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789EDE17">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5.1.2 </w:t>
      </w:r>
      <w:r>
        <w:rPr>
          <w:rFonts w:ascii="Times New Roman" w:hAnsi="Times New Roman" w:cs="Times New Roman"/>
          <w:sz w:val="24"/>
          <w:szCs w:val="24"/>
        </w:rPr>
        <w:t xml:space="preserve">Serão aceitos marcas e fabricantes que comprovem o atendimento a essas especificações. A apresentação de ficha técnica e certificados de qualidade é obrigatória. </w:t>
      </w:r>
    </w:p>
    <w:p w14:paraId="01BB1869">
      <w:pPr>
        <w:pStyle w:val="103"/>
        <w:spacing w:before="288" w:beforeLines="120" w:after="288" w:afterLines="120" w:line="288" w:lineRule="auto"/>
        <w:ind w:left="0" w:firstLine="0"/>
        <w:contextualSpacing/>
        <w:rPr>
          <w:rFonts w:ascii="Times New Roman" w:hAnsi="Times New Roman" w:cs="Times New Roman"/>
          <w:color w:val="auto"/>
          <w:sz w:val="24"/>
          <w:szCs w:val="24"/>
        </w:rPr>
      </w:pPr>
    </w:p>
    <w:p w14:paraId="01A437F5">
      <w:pPr>
        <w:pStyle w:val="103"/>
        <w:spacing w:before="288" w:beforeLines="120" w:after="288" w:afterLines="120" w:line="288" w:lineRule="auto"/>
        <w:ind w:left="0" w:firstLine="0"/>
        <w:contextualSpacing/>
        <w:rPr>
          <w:rFonts w:ascii="Times New Roman" w:hAnsi="Times New Roman" w:cs="Times New Roman"/>
          <w:iCs/>
          <w:color w:val="auto"/>
          <w:sz w:val="24"/>
          <w:szCs w:val="24"/>
        </w:rPr>
      </w:pPr>
      <w:r>
        <w:rPr>
          <w:rFonts w:ascii="Times New Roman" w:hAnsi="Times New Roman" w:cs="Times New Roman"/>
          <w:color w:val="auto"/>
          <w:sz w:val="24"/>
          <w:szCs w:val="24"/>
        </w:rPr>
        <w:t xml:space="preserve">5.1.3 </w:t>
      </w:r>
      <w:r>
        <w:rPr>
          <w:rFonts w:ascii="Times New Roman" w:hAnsi="Times New Roman" w:cs="Times New Roman"/>
          <w:sz w:val="24"/>
          <w:szCs w:val="24"/>
        </w:rPr>
        <w:t>Descrição do objeto, contendo as informações similares à especificação do Termo de Referência</w:t>
      </w:r>
      <w:r>
        <w:rPr>
          <w:rFonts w:ascii="Times New Roman" w:hAnsi="Times New Roman" w:cs="Times New Roman"/>
          <w:iCs/>
          <w:color w:val="auto"/>
          <w:sz w:val="24"/>
          <w:szCs w:val="24"/>
        </w:rPr>
        <w:t xml:space="preserve">; </w:t>
      </w:r>
    </w:p>
    <w:p w14:paraId="1403743F">
      <w:pPr>
        <w:pStyle w:val="103"/>
        <w:spacing w:before="288" w:beforeLines="120" w:after="288" w:afterLines="120" w:line="288" w:lineRule="auto"/>
        <w:ind w:left="0" w:right="565" w:firstLine="0"/>
        <w:contextualSpacing/>
        <w:rPr>
          <w:rFonts w:ascii="Times New Roman" w:hAnsi="Times New Roman" w:cs="Times New Roman"/>
          <w:color w:val="auto"/>
          <w:sz w:val="24"/>
          <w:szCs w:val="24"/>
        </w:rPr>
      </w:pPr>
    </w:p>
    <w:p w14:paraId="638F4EE0">
      <w:pPr>
        <w:pStyle w:val="103"/>
        <w:spacing w:before="288" w:beforeLines="120" w:after="288" w:afterLines="120" w:line="288" w:lineRule="auto"/>
        <w:ind w:left="0" w:right="565" w:firstLine="0"/>
        <w:contextualSpacing/>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5.1.4 Quantidade cotada, que não poderá ser inferior ao quantitativo máximo de cada item que poderá ser adquirido.</w:t>
      </w:r>
    </w:p>
    <w:p w14:paraId="0BD1C4B8">
      <w:pPr>
        <w:pStyle w:val="99"/>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5.2 Todas as especificações do objeto contidas na proposta vinculam o licitante.</w:t>
      </w:r>
    </w:p>
    <w:p w14:paraId="09748EA1">
      <w:pPr>
        <w:pStyle w:val="103"/>
        <w:spacing w:line="288" w:lineRule="auto"/>
        <w:ind w:left="0" w:right="565"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5.2.1 O licitante não poderá oferecer proposta em quantitativo inferior ao máximo previsto para contratação.</w:t>
      </w:r>
    </w:p>
    <w:p w14:paraId="57906A6A">
      <w:pPr>
        <w:pStyle w:val="103"/>
        <w:spacing w:line="288" w:lineRule="auto"/>
        <w:ind w:left="0" w:firstLine="0"/>
        <w:contextualSpacing/>
        <w:rPr>
          <w:rFonts w:ascii="Times New Roman" w:hAnsi="Times New Roman" w:cs="Times New Roman"/>
          <w:color w:val="auto"/>
          <w:sz w:val="24"/>
          <w:szCs w:val="24"/>
        </w:rPr>
      </w:pPr>
    </w:p>
    <w:p w14:paraId="5A4F39A0">
      <w:pPr>
        <w:pStyle w:val="103"/>
        <w:spacing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5.3 Nos valores propostos estarão inclusos todos os custos operacionais, encargos previdenciários, trabalhistas, tributários, comerciais e quaisquer outros que incidam direta ou indiretamente na execução do objeto.</w:t>
      </w:r>
    </w:p>
    <w:p w14:paraId="2C629627">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5.4 Os preços ofertados, tanto na proposta inicial, quanto na etapa de lances, serão de exclusiva responsabilidade do licitante, não lhe assistindo o direito de pleitear qualquer alteração, sob alegação de erro, omissão ou qualquer outro pretexto.</w:t>
      </w:r>
    </w:p>
    <w:p w14:paraId="5D2726A4">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42023E90">
      <w:pPr>
        <w:pStyle w:val="99"/>
        <w:spacing w:before="288" w:beforeLines="120" w:after="288" w:afterLines="120" w:line="288" w:lineRule="auto"/>
        <w:ind w:left="0" w:firstLine="0"/>
        <w:contextualSpacing/>
        <w:rPr>
          <w:rFonts w:ascii="Times New Roman" w:hAnsi="Times New Roman" w:cs="Times New Roman"/>
          <w:color w:val="FF66FF"/>
          <w:sz w:val="24"/>
          <w:szCs w:val="24"/>
        </w:rPr>
      </w:pPr>
      <w:r>
        <w:rPr>
          <w:rFonts w:ascii="Times New Roman" w:hAnsi="Times New Roman" w:cs="Times New Roman"/>
          <w:color w:val="auto"/>
          <w:sz w:val="24"/>
          <w:szCs w:val="24"/>
        </w:rPr>
        <w:t xml:space="preserve">5.5 Se o regime tributário da empresa implicar o recolhimento de tributos em percentuais variáveis, a cotação adequada será a que corresponde à média dos efetivos recolhimentos da empresa nos últimos doze meses. </w:t>
      </w:r>
    </w:p>
    <w:p w14:paraId="6B27041C">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52D5924B">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5.6 Independentemente do percentual de tributo inserido na planilha, no pagamento serão retidos na fonte os percentuais estabelecidos na legislação vigente.</w:t>
      </w:r>
    </w:p>
    <w:p w14:paraId="665A2547">
      <w:pPr>
        <w:pStyle w:val="99"/>
        <w:spacing w:before="288" w:beforeLines="120" w:after="288" w:afterLines="120" w:line="288" w:lineRule="auto"/>
        <w:ind w:left="0" w:firstLine="0"/>
        <w:contextualSpacing/>
        <w:rPr>
          <w:rFonts w:ascii="Times New Roman" w:hAnsi="Times New Roman" w:cs="Times New Roman"/>
          <w:i/>
          <w:iCs/>
          <w:color w:val="FF0000"/>
          <w:sz w:val="24"/>
          <w:szCs w:val="24"/>
        </w:rPr>
      </w:pPr>
      <w:bookmarkStart w:id="22" w:name="_Hlk154227498"/>
    </w:p>
    <w:p w14:paraId="2B55136C">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5.7</w:t>
      </w:r>
      <w:r>
        <w:rPr>
          <w:rFonts w:ascii="Times New Roman" w:hAnsi="Times New Roman" w:cs="Times New Roman"/>
          <w:color w:val="FF0000"/>
          <w:sz w:val="24"/>
          <w:szCs w:val="24"/>
        </w:rPr>
        <w:t xml:space="preserve"> </w:t>
      </w:r>
      <w:r>
        <w:rPr>
          <w:rFonts w:ascii="Times New Roman" w:hAnsi="Times New Roman" w:cs="Times New Roman"/>
          <w:color w:val="auto"/>
          <w:sz w:val="24"/>
          <w:szCs w:val="24"/>
        </w:rPr>
        <w:t>Na presente licitação, a Microempresa e a Empresa de Pequeno Porte poderão se beneficiar do regime de tributação pelo Simples Nacional.</w:t>
      </w:r>
    </w:p>
    <w:p w14:paraId="79D6EF05">
      <w:pPr>
        <w:pStyle w:val="99"/>
        <w:spacing w:before="288" w:beforeLines="120" w:after="288" w:afterLines="120" w:line="288" w:lineRule="auto"/>
        <w:ind w:left="0" w:firstLine="0"/>
        <w:contextualSpacing/>
        <w:rPr>
          <w:rFonts w:ascii="Times New Roman" w:hAnsi="Times New Roman" w:cs="Times New Roman"/>
          <w:i/>
          <w:iCs/>
          <w:color w:val="FF0000"/>
          <w:sz w:val="24"/>
          <w:szCs w:val="24"/>
        </w:rPr>
      </w:pPr>
      <w:r>
        <w:rPr>
          <w:rFonts w:ascii="Times New Roman" w:hAnsi="Times New Roman" w:cs="Times New Roman"/>
          <w:sz w:val="24"/>
          <w:szCs w:val="24"/>
        </w:rPr>
        <w:t>5.8 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bookmarkEnd w:id="22"/>
    </w:p>
    <w:p w14:paraId="459C9C62">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24284853">
      <w:pPr>
        <w:pStyle w:val="99"/>
        <w:spacing w:before="288" w:beforeLines="120" w:after="288" w:afterLines="120" w:line="288" w:lineRule="auto"/>
        <w:ind w:left="0" w:firstLine="0"/>
        <w:contextualSpacing/>
        <w:rPr>
          <w:rFonts w:ascii="Times New Roman" w:hAnsi="Times New Roman" w:cs="Times New Roman"/>
          <w:i/>
          <w:iCs/>
          <w:color w:val="FF0000"/>
          <w:sz w:val="24"/>
          <w:szCs w:val="24"/>
        </w:rPr>
      </w:pPr>
      <w:r>
        <w:rPr>
          <w:rFonts w:ascii="Times New Roman" w:hAnsi="Times New Roman" w:cs="Times New Roman"/>
          <w:color w:val="auto"/>
          <w:sz w:val="24"/>
          <w:szCs w:val="24"/>
        </w:rPr>
        <w:t>5.9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86B6122">
      <w:pPr>
        <w:pStyle w:val="99"/>
        <w:spacing w:before="288" w:beforeLines="120" w:after="288" w:afterLines="120" w:line="288" w:lineRule="auto"/>
        <w:ind w:left="0" w:firstLine="0"/>
        <w:contextualSpacing/>
        <w:rPr>
          <w:rFonts w:ascii="Times New Roman" w:hAnsi="Times New Roman" w:cs="Times New Roman"/>
          <w:sz w:val="24"/>
          <w:szCs w:val="24"/>
        </w:rPr>
      </w:pPr>
    </w:p>
    <w:p w14:paraId="0A7A2C0C">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5.10 O prazo de validade da proposta não será inferior </w:t>
      </w:r>
      <w:r>
        <w:rPr>
          <w:rFonts w:ascii="Times New Roman" w:hAnsi="Times New Roman" w:cs="Times New Roman"/>
          <w:color w:val="000000" w:themeColor="text1"/>
          <w:sz w:val="24"/>
          <w:szCs w:val="24"/>
          <w14:textFill>
            <w14:solidFill>
              <w14:schemeClr w14:val="tx1"/>
            </w14:solidFill>
          </w14:textFill>
        </w:rPr>
        <w:t>a 60 (sessenta) dias corridos</w:t>
      </w:r>
      <w:r>
        <w:rPr>
          <w:rFonts w:ascii="Times New Roman" w:hAnsi="Times New Roman" w:cs="Times New Roman"/>
          <w:b/>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sz w:val="24"/>
          <w:szCs w:val="24"/>
        </w:rPr>
        <w:t>a contar da data de sua apresentação, podendo ser prorrogado, por igual período, salvo se houver justificativa para prazo diverso aceita pela Administração.</w:t>
      </w:r>
    </w:p>
    <w:p w14:paraId="0BF881E8">
      <w:pPr>
        <w:pStyle w:val="99"/>
        <w:spacing w:before="288" w:beforeLines="120" w:after="288" w:afterLines="120" w:line="288" w:lineRule="auto"/>
        <w:ind w:left="0" w:firstLine="0"/>
        <w:contextualSpacing/>
        <w:rPr>
          <w:rFonts w:ascii="Times New Roman" w:hAnsi="Times New Roman" w:cs="Times New Roman"/>
          <w:sz w:val="24"/>
          <w:szCs w:val="24"/>
        </w:rPr>
      </w:pPr>
      <w:bookmarkStart w:id="23" w:name="_Hlk154229074"/>
    </w:p>
    <w:p w14:paraId="579C67F0">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5.11 Os licitantes devem respeitar os preços máximos estabelecidos no Anexo deste Edital referente ao orçamento estimado (art. 59, III, da Lei nº 14.133/2021).</w:t>
      </w:r>
    </w:p>
    <w:p w14:paraId="264C470B">
      <w:pPr>
        <w:pStyle w:val="99"/>
        <w:spacing w:before="288" w:beforeLines="120" w:after="288" w:afterLines="120" w:line="288" w:lineRule="auto"/>
        <w:ind w:left="0" w:firstLine="0"/>
        <w:contextualSpacing/>
        <w:rPr>
          <w:rFonts w:ascii="Times New Roman" w:hAnsi="Times New Roman" w:cs="Times New Roman"/>
          <w:sz w:val="24"/>
          <w:szCs w:val="24"/>
        </w:rPr>
      </w:pPr>
    </w:p>
    <w:p w14:paraId="574E3734">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5.11.1  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Style w:val="16"/>
          <w:rFonts w:ascii="Times New Roman" w:hAnsi="Times New Roman" w:cs="Times New Roman" w:eastAsiaTheme="minorHAnsi"/>
          <w:color w:val="auto"/>
          <w:sz w:val="24"/>
          <w:szCs w:val="24"/>
        </w:rPr>
        <w:t>art. 71, inciso IX, da Constituição</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bookmarkEnd w:id="23"/>
    <w:p w14:paraId="6EA8A74B">
      <w:pPr>
        <w:pStyle w:val="97"/>
        <w:spacing w:before="0" w:beforeAutospacing="0" w:after="0" w:afterAutospacing="0" w:line="288" w:lineRule="auto"/>
        <w:contextualSpacing/>
        <w:jc w:val="both"/>
        <w:rPr>
          <w:rFonts w:eastAsia="Calibri"/>
          <w:b/>
          <w:bCs/>
          <w:lang w:eastAsia="en-US"/>
        </w:rPr>
      </w:pPr>
      <w:r>
        <w:rPr>
          <w:rFonts w:eastAsia="Calibri"/>
          <w:b/>
          <w:bCs/>
          <w:lang w:eastAsia="en-US"/>
        </w:rPr>
        <w:t>6. DA ABERTURA DA SESSÃO, CLASSIFICAÇÃO DAS PROPOSTAS E FORMULAÇÃO DE LANCES</w:t>
      </w:r>
    </w:p>
    <w:p w14:paraId="5726ED8B">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 A abertura da presente licitação dar-se-á em sessão pública, por meio de sistema eletrônico, na data, horário e local indicados neste Edital.</w:t>
      </w:r>
    </w:p>
    <w:p w14:paraId="0B73CCBC">
      <w:pPr>
        <w:pStyle w:val="99"/>
        <w:spacing w:before="288" w:beforeLines="120" w:after="288" w:afterLines="120" w:line="288" w:lineRule="auto"/>
        <w:ind w:left="0" w:firstLine="0"/>
        <w:contextualSpacing/>
        <w:rPr>
          <w:rFonts w:ascii="Times New Roman" w:hAnsi="Times New Roman" w:cs="Times New Roman"/>
          <w:sz w:val="24"/>
          <w:szCs w:val="24"/>
        </w:rPr>
      </w:pPr>
    </w:p>
    <w:p w14:paraId="7481F69A">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6.2 Os licitantes poderão retirar ou substituir a proposta </w:t>
      </w:r>
      <w:r>
        <w:rPr>
          <w:rFonts w:ascii="Times New Roman" w:hAnsi="Times New Roman" w:cs="Times New Roman"/>
          <w:color w:val="auto"/>
          <w:sz w:val="24"/>
          <w:szCs w:val="24"/>
        </w:rPr>
        <w:t>ou os documentos de habilitação</w:t>
      </w:r>
      <w:r>
        <w:rPr>
          <w:rFonts w:ascii="Times New Roman" w:hAnsi="Times New Roman" w:cs="Times New Roman"/>
          <w:sz w:val="24"/>
          <w:szCs w:val="24"/>
        </w:rPr>
        <w:t>, quando for o caso, anteriormente inseridos no sistema, até a abertura da sessão pública.</w:t>
      </w:r>
    </w:p>
    <w:p w14:paraId="38DE5587">
      <w:pPr>
        <w:pStyle w:val="99"/>
        <w:spacing w:before="288" w:beforeLines="120" w:after="288" w:afterLines="120" w:line="288" w:lineRule="auto"/>
        <w:ind w:left="0" w:firstLine="0"/>
        <w:contextualSpacing/>
        <w:rPr>
          <w:rFonts w:ascii="Times New Roman" w:hAnsi="Times New Roman" w:cs="Times New Roman"/>
          <w:sz w:val="24"/>
          <w:szCs w:val="24"/>
        </w:rPr>
      </w:pPr>
    </w:p>
    <w:p w14:paraId="4483DEF4">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6.3 O sistema disponibilizará campo próprio para troca de mensagens entre o Pregoeiro e os licitantes.</w:t>
      </w:r>
    </w:p>
    <w:p w14:paraId="120D185A">
      <w:pPr>
        <w:pStyle w:val="99"/>
        <w:spacing w:before="288" w:beforeLines="120" w:after="288" w:afterLines="120" w:line="288" w:lineRule="auto"/>
        <w:ind w:left="0" w:firstLine="0"/>
        <w:contextualSpacing/>
        <w:rPr>
          <w:rFonts w:ascii="Times New Roman" w:hAnsi="Times New Roman" w:cs="Times New Roman"/>
          <w:sz w:val="24"/>
          <w:szCs w:val="24"/>
        </w:rPr>
      </w:pPr>
    </w:p>
    <w:p w14:paraId="1B6BE2C7">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6.4 Iniciada a etapa competitiva, os licitantes deverão encaminhar lances exclusivamente por meio de sistema eletrônico, sendo imediatamente informados do seu recebimento e do valor consignado no registro. </w:t>
      </w:r>
    </w:p>
    <w:p w14:paraId="14E7BAF8">
      <w:pPr>
        <w:pStyle w:val="99"/>
        <w:spacing w:before="288" w:beforeLines="120" w:after="288" w:afterLines="120" w:line="288" w:lineRule="auto"/>
        <w:ind w:left="0" w:firstLine="0"/>
        <w:contextualSpacing/>
        <w:rPr>
          <w:rFonts w:ascii="Times New Roman" w:hAnsi="Times New Roman" w:cs="Times New Roman"/>
          <w:color w:val="FF0000"/>
          <w:sz w:val="24"/>
          <w:szCs w:val="24"/>
        </w:rPr>
      </w:pPr>
    </w:p>
    <w:p w14:paraId="18FC8B4C">
      <w:pPr>
        <w:pStyle w:val="99"/>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6.5 O lance deverá ser ofertado pelo valor unitário do item.</w:t>
      </w:r>
    </w:p>
    <w:p w14:paraId="2B7895DD">
      <w:pPr>
        <w:pStyle w:val="99"/>
        <w:spacing w:before="288" w:beforeLines="120" w:after="288" w:afterLines="120" w:line="288" w:lineRule="auto"/>
        <w:ind w:left="0" w:firstLine="0"/>
        <w:contextualSpacing/>
        <w:rPr>
          <w:rFonts w:ascii="Times New Roman" w:hAnsi="Times New Roman" w:cs="Times New Roman"/>
          <w:sz w:val="24"/>
          <w:szCs w:val="24"/>
        </w:rPr>
      </w:pPr>
    </w:p>
    <w:p w14:paraId="4C19FC0D">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6.6 Os licitantes poderão oferecer lances sucessivos, observando o horário fixado para abertura da sessão e as regras estabelecidas no Edital.</w:t>
      </w:r>
    </w:p>
    <w:p w14:paraId="1BE7647A">
      <w:pPr>
        <w:pStyle w:val="99"/>
        <w:spacing w:before="288" w:beforeLines="120" w:after="288" w:afterLines="120" w:line="288" w:lineRule="auto"/>
        <w:ind w:left="0" w:firstLine="0"/>
        <w:contextualSpacing/>
        <w:rPr>
          <w:rFonts w:ascii="Times New Roman" w:hAnsi="Times New Roman" w:cs="Times New Roman"/>
          <w:sz w:val="24"/>
          <w:szCs w:val="24"/>
        </w:rPr>
      </w:pPr>
    </w:p>
    <w:p w14:paraId="1706696D">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6.7 O licitante somente poderá oferecer lance </w:t>
      </w:r>
      <w:r>
        <w:rPr>
          <w:rFonts w:ascii="Times New Roman" w:hAnsi="Times New Roman" w:cs="Times New Roman"/>
          <w:iCs/>
          <w:color w:val="auto"/>
          <w:sz w:val="24"/>
          <w:szCs w:val="24"/>
        </w:rPr>
        <w:t>de valor inferior ou percentual de desconto superior</w:t>
      </w:r>
      <w:r>
        <w:rPr>
          <w:rFonts w:ascii="Times New Roman" w:hAnsi="Times New Roman" w:cs="Times New Roman"/>
          <w:color w:val="auto"/>
          <w:sz w:val="24"/>
          <w:szCs w:val="24"/>
        </w:rPr>
        <w:t xml:space="preserve"> </w:t>
      </w:r>
      <w:r>
        <w:rPr>
          <w:rFonts w:ascii="Times New Roman" w:hAnsi="Times New Roman" w:cs="Times New Roman"/>
          <w:sz w:val="24"/>
          <w:szCs w:val="24"/>
        </w:rPr>
        <w:t xml:space="preserve">ao último por ele ofertado e registrado pelo sistema. </w:t>
      </w:r>
    </w:p>
    <w:p w14:paraId="6C072A8D">
      <w:pPr>
        <w:pStyle w:val="99"/>
        <w:spacing w:before="288" w:beforeLines="120" w:after="288" w:afterLines="120" w:line="288" w:lineRule="auto"/>
        <w:ind w:left="0" w:firstLine="0"/>
        <w:contextualSpacing/>
        <w:rPr>
          <w:rFonts w:ascii="Times New Roman" w:hAnsi="Times New Roman" w:cs="Times New Roman"/>
          <w:sz w:val="24"/>
          <w:szCs w:val="24"/>
        </w:rPr>
      </w:pPr>
    </w:p>
    <w:p w14:paraId="69F846A6">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6.8 O intervalo mínimo de diferença de valores ou percentuais entre os lances, que incidirá tanto em relação aos lances intermediários quanto em relação à proposta que cobrir a melhor oferta, deverá </w:t>
      </w:r>
      <w:r>
        <w:rPr>
          <w:rFonts w:ascii="Times New Roman" w:hAnsi="Times New Roman" w:cs="Times New Roman"/>
          <w:color w:val="auto"/>
          <w:sz w:val="24"/>
          <w:szCs w:val="24"/>
        </w:rPr>
        <w:t>ser de 0,01(um centavo)</w:t>
      </w:r>
      <w:r>
        <w:rPr>
          <w:rFonts w:ascii="Times New Roman" w:hAnsi="Times New Roman" w:cs="Times New Roman"/>
          <w:i/>
          <w:iCs/>
          <w:sz w:val="24"/>
          <w:szCs w:val="24"/>
        </w:rPr>
        <w:t>.</w:t>
      </w:r>
    </w:p>
    <w:p w14:paraId="74BB5001">
      <w:pPr>
        <w:pStyle w:val="99"/>
        <w:spacing w:before="288" w:beforeLines="120" w:after="288" w:afterLines="120" w:line="288" w:lineRule="auto"/>
        <w:ind w:left="0" w:firstLine="0"/>
        <w:contextualSpacing/>
        <w:rPr>
          <w:rFonts w:ascii="Times New Roman" w:hAnsi="Times New Roman" w:cs="Times New Roman"/>
          <w:color w:val="FF0000"/>
          <w:sz w:val="24"/>
          <w:szCs w:val="24"/>
        </w:rPr>
      </w:pPr>
    </w:p>
    <w:p w14:paraId="50F92050">
      <w:pPr>
        <w:pStyle w:val="99"/>
        <w:spacing w:before="288" w:beforeLines="120" w:after="288" w:afterLines="120" w:line="288" w:lineRule="auto"/>
        <w:ind w:left="0"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6.9</w:t>
      </w:r>
      <w:r>
        <w:rPr>
          <w:rFonts w:ascii="Times New Roman" w:hAnsi="Times New Roman" w:cs="Times New Roman"/>
          <w:color w:val="FF0000"/>
          <w:sz w:val="24"/>
          <w:szCs w:val="24"/>
        </w:rPr>
        <w:t xml:space="preserve"> </w:t>
      </w:r>
      <w:r>
        <w:rPr>
          <w:rFonts w:ascii="Times New Roman" w:hAnsi="Times New Roman" w:cs="Times New Roman"/>
          <w:color w:val="auto"/>
          <w:sz w:val="24"/>
          <w:szCs w:val="24"/>
        </w:rPr>
        <w:t xml:space="preserve">Em caso de erro material, ao licitante será concedida a possibilidade de enviar solicitação de cancelamento do seu lance durante a realização da etapa de lances da sessão pública, que poderá ser aceita ou não pelo Pregoeiro. </w:t>
      </w:r>
    </w:p>
    <w:p w14:paraId="005970E9">
      <w:pPr>
        <w:pStyle w:val="99"/>
        <w:spacing w:before="288" w:beforeLines="120" w:after="288" w:afterLines="120" w:line="288" w:lineRule="auto"/>
        <w:ind w:left="0" w:firstLine="0"/>
        <w:contextualSpacing/>
        <w:rPr>
          <w:rFonts w:ascii="Times New Roman" w:hAnsi="Times New Roman" w:cs="Times New Roman"/>
          <w:color w:val="FF0000"/>
          <w:sz w:val="24"/>
          <w:szCs w:val="24"/>
        </w:rPr>
      </w:pPr>
    </w:p>
    <w:p w14:paraId="024D57F1">
      <w:pPr>
        <w:pStyle w:val="99"/>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6.9.1 O licitante poderá, uma única vez, excluir seu último lance ofertado, no intervalo de quinze segundos após o registro no sistema, na hipótese de lance inconsistente ou inexequível.</w:t>
      </w:r>
    </w:p>
    <w:p w14:paraId="6C335BFE">
      <w:pPr>
        <w:pStyle w:val="99"/>
        <w:spacing w:before="288" w:beforeLines="120" w:after="288" w:afterLines="120" w:line="288" w:lineRule="auto"/>
        <w:ind w:left="567" w:right="565" w:firstLine="0"/>
        <w:contextualSpacing/>
        <w:rPr>
          <w:rFonts w:ascii="Times New Roman" w:hAnsi="Times New Roman" w:cs="Times New Roman"/>
          <w:sz w:val="24"/>
          <w:szCs w:val="24"/>
        </w:rPr>
      </w:pPr>
    </w:p>
    <w:p w14:paraId="095D0445">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6.10 O procedimento seguirá de acordo com o modo de disputa adotado.</w:t>
      </w:r>
    </w:p>
    <w:p w14:paraId="507978FF">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bookmarkStart w:id="24" w:name="_Hlk113631522"/>
      <w:r>
        <w:rPr>
          <w:rFonts w:ascii="Times New Roman" w:hAnsi="Times New Roman" w:cs="Times New Roman"/>
          <w:color w:val="000000" w:themeColor="text1"/>
          <w:sz w:val="24"/>
          <w:szCs w:val="24"/>
          <w14:textFill>
            <w14:solidFill>
              <w14:schemeClr w14:val="tx1"/>
            </w14:solidFill>
          </w14:textFill>
        </w:rPr>
        <w:t>6.11 O envio de lances no pregão eletrônico se dará pelo modo de disputa “aberto e fechado”, devendo os licitantes apresentar lances públicos e sucessivos, com lance final e fechado.</w:t>
      </w:r>
    </w:p>
    <w:p w14:paraId="5F23B5BD">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77FFEB19">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FEB1D50">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69D04A05">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6B4985A">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09459C2D">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6.11.3 No procedimento de que trata o subitem supra, o licitante poderá optar por manter o seu último lance da etapa aberta, ou por ofertar melhor lance.</w:t>
      </w:r>
    </w:p>
    <w:p w14:paraId="4E8517FA">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62F5C369">
      <w:pPr>
        <w:pStyle w:val="120"/>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9567B13">
      <w:pPr>
        <w:pStyle w:val="120"/>
        <w:tabs>
          <w:tab w:val="left" w:pos="8080"/>
        </w:tabs>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55BC38E8">
      <w:pPr>
        <w:pStyle w:val="120"/>
        <w:tabs>
          <w:tab w:val="left" w:pos="8080"/>
        </w:tabs>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6.11.5 Após o término dos prazos estabelecidos nos itens anteriores, o sistema ordenará e divulgará os lances segundo a ordem crescente de valores.</w:t>
      </w:r>
    </w:p>
    <w:p w14:paraId="30DFEE2E">
      <w:pPr>
        <w:pStyle w:val="120"/>
        <w:spacing w:line="288" w:lineRule="auto"/>
        <w:ind w:left="567" w:right="565"/>
        <w:contextualSpacing/>
        <w:rPr>
          <w:rFonts w:ascii="Times New Roman" w:hAnsi="Times New Roman" w:cs="Times New Roman"/>
          <w:color w:val="FF0000"/>
          <w:sz w:val="24"/>
          <w:szCs w:val="24"/>
        </w:rPr>
      </w:pPr>
    </w:p>
    <w:bookmarkEnd w:id="24"/>
    <w:p w14:paraId="19C122A5">
      <w:pPr>
        <w:pStyle w:val="120"/>
        <w:spacing w:line="288" w:lineRule="auto"/>
        <w:ind w:left="0"/>
        <w:contextualSpacing/>
        <w:rPr>
          <w:rFonts w:ascii="Times New Roman" w:hAnsi="Times New Roman" w:cs="Times New Roman"/>
          <w:i/>
          <w:sz w:val="24"/>
          <w:szCs w:val="24"/>
        </w:rPr>
      </w:pPr>
      <w:r>
        <w:rPr>
          <w:rFonts w:ascii="Times New Roman" w:hAnsi="Times New Roman" w:cs="Times New Roman"/>
          <w:sz w:val="24"/>
          <w:szCs w:val="24"/>
        </w:rPr>
        <w:t>6.12 Após o término dos prazos estabelecidos nos subitens anteriores, o sistema ordenará e divulgará os lances segundo a ordem crescente de valores</w:t>
      </w:r>
      <w:r>
        <w:rPr>
          <w:rFonts w:ascii="Times New Roman" w:hAnsi="Times New Roman" w:cs="Times New Roman"/>
          <w:i/>
          <w:iCs/>
          <w:sz w:val="24"/>
          <w:szCs w:val="24"/>
        </w:rPr>
        <w:t>.</w:t>
      </w:r>
    </w:p>
    <w:p w14:paraId="215AD5C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6.13 Não serão aceitos dois ou mais lances de mesmo valor, prevalecendo aquele que for recebido e registrado em primeiro lugar. </w:t>
      </w:r>
    </w:p>
    <w:p w14:paraId="34C90CB7">
      <w:pPr>
        <w:pStyle w:val="99"/>
        <w:spacing w:before="288" w:beforeLines="120" w:after="288" w:afterLines="120" w:line="288" w:lineRule="auto"/>
        <w:ind w:left="0" w:firstLine="0"/>
        <w:contextualSpacing/>
        <w:rPr>
          <w:rFonts w:ascii="Times New Roman" w:hAnsi="Times New Roman" w:cs="Times New Roman"/>
          <w:sz w:val="24"/>
          <w:szCs w:val="24"/>
        </w:rPr>
      </w:pPr>
    </w:p>
    <w:p w14:paraId="1FF989E5">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6.14 Durante o transcurso da sessão pública, os licitantes serão informados, em tempo real, do valor do menor lance registrado, vedada a identificação do licitante. </w:t>
      </w:r>
    </w:p>
    <w:p w14:paraId="432BDF9F">
      <w:pPr>
        <w:pStyle w:val="99"/>
        <w:spacing w:before="288" w:beforeLines="120" w:after="288" w:afterLines="120" w:line="288" w:lineRule="auto"/>
        <w:ind w:left="0" w:firstLine="0"/>
        <w:contextualSpacing/>
        <w:rPr>
          <w:rFonts w:ascii="Times New Roman" w:hAnsi="Times New Roman" w:cs="Times New Roman"/>
          <w:sz w:val="24"/>
          <w:szCs w:val="24"/>
        </w:rPr>
      </w:pPr>
    </w:p>
    <w:p w14:paraId="052EB0E8">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6.15 No caso de desconexão com o Pregoeiro, no decorrer da etapa competitiva do Pregão, o sistema eletrônico poderá permanecer acessível aos licitantes para a recepção dos lances. </w:t>
      </w:r>
    </w:p>
    <w:p w14:paraId="6B455519">
      <w:pPr>
        <w:pStyle w:val="99"/>
        <w:spacing w:before="288" w:beforeLines="120" w:after="288" w:afterLines="120" w:line="288" w:lineRule="auto"/>
        <w:ind w:left="0" w:firstLine="0"/>
        <w:contextualSpacing/>
        <w:rPr>
          <w:rFonts w:ascii="Times New Roman" w:hAnsi="Times New Roman" w:cs="Times New Roman"/>
          <w:sz w:val="24"/>
          <w:szCs w:val="24"/>
        </w:rPr>
      </w:pPr>
    </w:p>
    <w:p w14:paraId="5DDE8F59">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6.16 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14:paraId="3E2E3F7F">
      <w:pPr>
        <w:pStyle w:val="99"/>
        <w:spacing w:before="288" w:beforeLines="120" w:after="288" w:afterLines="120" w:line="288" w:lineRule="auto"/>
        <w:ind w:left="0" w:firstLine="0"/>
        <w:contextualSpacing/>
        <w:rPr>
          <w:rFonts w:ascii="Times New Roman" w:hAnsi="Times New Roman" w:cs="Times New Roman"/>
          <w:sz w:val="24"/>
          <w:szCs w:val="24"/>
        </w:rPr>
      </w:pPr>
    </w:p>
    <w:p w14:paraId="0F46AFC6">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6.17 Caso o licitante não apresente lances, concorrerá com o valor de sua proposta.</w:t>
      </w:r>
    </w:p>
    <w:p w14:paraId="25D20118">
      <w:pPr>
        <w:pStyle w:val="99"/>
        <w:spacing w:before="288" w:beforeLines="120" w:after="288" w:afterLines="120" w:line="288" w:lineRule="auto"/>
        <w:ind w:left="0" w:firstLine="0"/>
        <w:contextualSpacing/>
        <w:rPr>
          <w:rFonts w:ascii="Times New Roman" w:hAnsi="Times New Roman" w:cs="Times New Roman"/>
          <w:color w:val="FF0000"/>
          <w:sz w:val="24"/>
          <w:szCs w:val="24"/>
        </w:rPr>
      </w:pPr>
    </w:p>
    <w:p w14:paraId="0480B81C">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6.18 Em relação a itens não exclusivos para participação de microempresas e empresas de pequeno porte, uma vez encerrada a etapa de lances</w:t>
      </w:r>
      <w:r>
        <w:rPr>
          <w:rFonts w:ascii="Times New Roman" w:hAnsi="Times New Roman" w:eastAsia="Zurich BT" w:cs="Times New Roman"/>
          <w:color w:val="auto"/>
          <w:sz w:val="24"/>
          <w:szCs w:val="24"/>
        </w:rPr>
        <w:t xml:space="preserve">, será efetivada a verificação das microempresas e empresas de pequeno porte participantes, procedendo à comparação com os valores da primeira colocada, se esta for empresa de maior porte, assim como das demais classificadas, para o fim de aplicar-se o disposto nos </w:t>
      </w:r>
      <w:r>
        <w:fldChar w:fldCharType="begin"/>
      </w:r>
      <w:r>
        <w:instrText xml:space="preserve"> HYPERLINK "https://www.planalto.gov.br/ccivil_03/leis/lcp/lcp123.htm" \l "art44" </w:instrText>
      </w:r>
      <w:r>
        <w:fldChar w:fldCharType="separate"/>
      </w:r>
      <w:r>
        <w:rPr>
          <w:rStyle w:val="16"/>
          <w:rFonts w:ascii="Times New Roman" w:hAnsi="Times New Roman" w:eastAsia="Zurich BT" w:cs="Times New Roman"/>
          <w:color w:val="auto"/>
          <w:sz w:val="24"/>
          <w:szCs w:val="24"/>
        </w:rPr>
        <w:t>arts. 44 e 45 da Lei Complementar nº 123/2006</w:t>
      </w:r>
      <w:r>
        <w:rPr>
          <w:rStyle w:val="16"/>
          <w:rFonts w:ascii="Times New Roman" w:hAnsi="Times New Roman" w:eastAsia="Zurich BT" w:cs="Times New Roman"/>
          <w:color w:val="auto"/>
          <w:sz w:val="24"/>
          <w:szCs w:val="24"/>
        </w:rPr>
        <w:fldChar w:fldCharType="end"/>
      </w:r>
      <w:r>
        <w:rPr>
          <w:rFonts w:ascii="Times New Roman" w:hAnsi="Times New Roman" w:eastAsia="Zurich BT" w:cs="Times New Roman"/>
          <w:color w:val="auto"/>
          <w:sz w:val="24"/>
          <w:szCs w:val="24"/>
        </w:rPr>
        <w:t xml:space="preserve">, regulamentada pelo </w:t>
      </w:r>
      <w:r>
        <w:rPr>
          <w:rFonts w:ascii="Times New Roman" w:hAnsi="Times New Roman" w:cs="Times New Roman"/>
          <w:sz w:val="24"/>
          <w:szCs w:val="24"/>
        </w:rPr>
        <w:t>Lei Municipal nº 2367/2007.</w:t>
      </w:r>
    </w:p>
    <w:p w14:paraId="5923BB19">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4ACD9F60">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6.18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 </w:t>
      </w:r>
      <w:r>
        <w:rPr>
          <w:rFonts w:ascii="Times New Roman" w:hAnsi="Times New Roman" w:eastAsia="Zurich BT" w:cs="Times New Roman"/>
          <w:color w:val="auto"/>
          <w:sz w:val="24"/>
          <w:szCs w:val="24"/>
        </w:rPr>
        <w:t xml:space="preserve">regulamentada pelo </w:t>
      </w:r>
      <w:r>
        <w:rPr>
          <w:rFonts w:ascii="Times New Roman" w:hAnsi="Times New Roman" w:cs="Times New Roman"/>
          <w:sz w:val="24"/>
          <w:szCs w:val="24"/>
        </w:rPr>
        <w:t>Lei Municipal nº 2367/2007.</w:t>
      </w:r>
    </w:p>
    <w:p w14:paraId="4D67F1ED">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27B8F8F3">
      <w:pPr>
        <w:pStyle w:val="99"/>
        <w:spacing w:before="288" w:beforeLines="120" w:after="288" w:afterLines="120" w:line="288" w:lineRule="auto"/>
        <w:ind w:left="0" w:right="-2" w:firstLine="0"/>
        <w:contextualSpacing/>
        <w:rPr>
          <w:rFonts w:ascii="Times New Roman" w:hAnsi="Times New Roman" w:cs="Times New Roman"/>
          <w:sz w:val="24"/>
          <w:szCs w:val="24"/>
        </w:rPr>
      </w:pPr>
    </w:p>
    <w:p w14:paraId="7E3352AC">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6.18.1 Nessas condições, as propostas de </w:t>
      </w:r>
      <w:r>
        <w:rPr>
          <w:rFonts w:ascii="Times New Roman" w:hAnsi="Times New Roman" w:eastAsia="Zurich BT" w:cs="Times New Roman"/>
          <w:sz w:val="24"/>
          <w:szCs w:val="24"/>
        </w:rPr>
        <w:t xml:space="preserve">microempresas e empresas de pequeno porte </w:t>
      </w:r>
      <w:r>
        <w:rPr>
          <w:rFonts w:ascii="Times New Roman" w:hAnsi="Times New Roman" w:cs="Times New Roman"/>
          <w:sz w:val="24"/>
          <w:szCs w:val="24"/>
        </w:rPr>
        <w:t>que se encontrarem na faixa de até 5% (cinco por cento) acima da melhor proposta ou melhor lance serão consideradas empatadas com a primeira colocada.</w:t>
      </w:r>
    </w:p>
    <w:p w14:paraId="11F78CDE">
      <w:pPr>
        <w:pStyle w:val="103"/>
        <w:spacing w:before="288" w:beforeLines="120" w:after="288" w:afterLines="120" w:line="288" w:lineRule="auto"/>
        <w:ind w:left="0" w:firstLine="0"/>
        <w:contextualSpacing/>
        <w:rPr>
          <w:rFonts w:ascii="Times New Roman" w:hAnsi="Times New Roman" w:cs="Times New Roman"/>
          <w:sz w:val="24"/>
          <w:szCs w:val="24"/>
        </w:rPr>
      </w:pPr>
    </w:p>
    <w:p w14:paraId="60E3E834">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24FFEA4">
      <w:pPr>
        <w:pStyle w:val="103"/>
        <w:spacing w:before="288" w:beforeLines="120" w:after="288" w:afterLines="120" w:line="288" w:lineRule="auto"/>
        <w:ind w:left="0" w:firstLine="0"/>
        <w:contextualSpacing/>
        <w:rPr>
          <w:rFonts w:ascii="Times New Roman" w:hAnsi="Times New Roman" w:cs="Times New Roman"/>
          <w:sz w:val="24"/>
          <w:szCs w:val="24"/>
        </w:rPr>
      </w:pPr>
    </w:p>
    <w:p w14:paraId="71E894B2">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6.18.3 Caso a </w:t>
      </w:r>
      <w:r>
        <w:rPr>
          <w:rFonts w:ascii="Times New Roman" w:hAnsi="Times New Roman" w:eastAsia="Zurich BT" w:cs="Times New Roman"/>
          <w:sz w:val="24"/>
          <w:szCs w:val="24"/>
        </w:rPr>
        <w:t>microempresa ou a empresa de pequeno porte</w:t>
      </w:r>
      <w:r>
        <w:rPr>
          <w:rFonts w:ascii="Times New Roman" w:hAnsi="Times New Roman" w:cs="Times New Roman"/>
          <w:sz w:val="24"/>
          <w:szCs w:val="24"/>
        </w:rPr>
        <w:t xml:space="preserve"> melhor classificada desista ou não se manifeste no prazo estabelecido, serão convocadas as demais licitantes </w:t>
      </w:r>
      <w:r>
        <w:rPr>
          <w:rFonts w:ascii="Times New Roman" w:hAnsi="Times New Roman" w:eastAsia="Zurich BT" w:cs="Times New Roman"/>
          <w:sz w:val="24"/>
          <w:szCs w:val="24"/>
        </w:rPr>
        <w:t>microempresa e empresa de pequeno porte</w:t>
      </w:r>
      <w:r>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029D5692">
      <w:pPr>
        <w:pStyle w:val="99"/>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90ED3B6">
      <w:pPr>
        <w:pStyle w:val="99"/>
        <w:spacing w:before="288" w:beforeLines="120" w:after="288" w:afterLines="120" w:line="288" w:lineRule="auto"/>
        <w:ind w:left="0" w:firstLine="0"/>
        <w:contextualSpacing/>
        <w:rPr>
          <w:rFonts w:ascii="Times New Roman" w:hAnsi="Times New Roman" w:cs="Times New Roman"/>
          <w:sz w:val="24"/>
          <w:szCs w:val="24"/>
        </w:rPr>
      </w:pPr>
    </w:p>
    <w:p w14:paraId="78DCE18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6.19 Só poderá haver empate entre propostas iguais (não seguidas de lances) ou entre lances finais da fase fechada do modo de disputa aberto e fechado. </w:t>
      </w:r>
    </w:p>
    <w:p w14:paraId="4CC5FFC5">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6.19.1 Havendo eventual empate entre propostas ou lances, o critério de desempate será o abaixo previsto, nesta ordem:</w:t>
      </w:r>
    </w:p>
    <w:p w14:paraId="62F1F3B8">
      <w:pPr>
        <w:pStyle w:val="103"/>
        <w:spacing w:before="288" w:beforeLines="120" w:after="288" w:afterLines="120" w:line="288" w:lineRule="auto"/>
        <w:ind w:left="0" w:firstLine="0"/>
        <w:contextualSpacing/>
        <w:jc w:val="left"/>
        <w:rPr>
          <w:rFonts w:ascii="Times New Roman" w:hAnsi="Times New Roman" w:cs="Times New Roman"/>
          <w:color w:val="auto"/>
          <w:sz w:val="24"/>
          <w:szCs w:val="24"/>
        </w:rPr>
      </w:pPr>
      <w:r>
        <w:rPr>
          <w:rFonts w:ascii="Times New Roman" w:hAnsi="Times New Roman" w:cs="Times New Roman"/>
          <w:color w:val="333333"/>
          <w:sz w:val="24"/>
          <w:szCs w:val="24"/>
        </w:rPr>
        <w:br w:type="textWrapping"/>
      </w:r>
      <w:r>
        <w:rPr>
          <w:rFonts w:ascii="Times New Roman" w:hAnsi="Times New Roman" w:cs="Times New Roman"/>
          <w:color w:val="auto"/>
          <w:sz w:val="24"/>
          <w:szCs w:val="24"/>
          <w:shd w:val="clear" w:color="auto" w:fill="F5F5F5"/>
        </w:rPr>
        <w:t>I - contratação de microempresas e empresas de pequeno porte, nos termos dos arts. 44 e 45 da Lei Complementar nº </w:t>
      </w:r>
      <w:r>
        <w:fldChar w:fldCharType="begin"/>
      </w:r>
      <w:r>
        <w:instrText xml:space="preserve"> HYPERLINK "http://www.planalto.gov.br/ccivil_03/leis/lcp/lcp123.htm" </w:instrText>
      </w:r>
      <w:r>
        <w:fldChar w:fldCharType="separate"/>
      </w:r>
      <w:r>
        <w:rPr>
          <w:rStyle w:val="16"/>
          <w:rFonts w:ascii="Times New Roman" w:hAnsi="Times New Roman" w:cs="Times New Roman" w:eastAsiaTheme="minorHAnsi"/>
          <w:color w:val="auto"/>
          <w:sz w:val="24"/>
          <w:szCs w:val="24"/>
          <w:shd w:val="clear" w:color="auto" w:fill="F5F5F5"/>
        </w:rPr>
        <w:t>123</w:t>
      </w:r>
      <w:r>
        <w:rPr>
          <w:rStyle w:val="16"/>
          <w:rFonts w:ascii="Times New Roman" w:hAnsi="Times New Roman" w:cs="Times New Roman" w:eastAsiaTheme="minorHAnsi"/>
          <w:color w:val="auto"/>
          <w:sz w:val="24"/>
          <w:szCs w:val="24"/>
          <w:shd w:val="clear" w:color="auto" w:fill="F5F5F5"/>
        </w:rPr>
        <w:fldChar w:fldCharType="end"/>
      </w:r>
      <w:r>
        <w:rPr>
          <w:rFonts w:ascii="Times New Roman" w:hAnsi="Times New Roman" w:cs="Times New Roman"/>
          <w:color w:val="auto"/>
          <w:sz w:val="24"/>
          <w:szCs w:val="24"/>
          <w:shd w:val="clear" w:color="auto" w:fill="F5F5F5"/>
        </w:rPr>
        <w:t>, de 14 de dezembro de 2006, observado o disposto no art. 4º da Lei nº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shd w:val="clear" w:color="auto" w:fill="F5F5F5"/>
        </w:rPr>
        <w:t>14.133</w:t>
      </w:r>
      <w:r>
        <w:rPr>
          <w:rStyle w:val="16"/>
          <w:rFonts w:ascii="Times New Roman" w:hAnsi="Times New Roman" w:cs="Times New Roman" w:eastAsiaTheme="minorHAnsi"/>
          <w:color w:val="auto"/>
          <w:sz w:val="24"/>
          <w:szCs w:val="24"/>
          <w:shd w:val="clear" w:color="auto" w:fill="F5F5F5"/>
        </w:rPr>
        <w:fldChar w:fldCharType="end"/>
      </w:r>
      <w:r>
        <w:rPr>
          <w:rFonts w:ascii="Times New Roman" w:hAnsi="Times New Roman" w:cs="Times New Roman"/>
          <w:color w:val="auto"/>
          <w:sz w:val="24"/>
          <w:szCs w:val="24"/>
          <w:shd w:val="clear" w:color="auto" w:fill="F5F5F5"/>
        </w:rPr>
        <w:t>, de 2021;</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II - disputa final, hipótese em que os licitantes empatados poderão apresentar nova proposta em ato contínuo à classificação;</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III - avaliação do desempenho contratual prévio dos licitantes;</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IV - desenvolvimento pelo licitante de ações de equidade entre homens e mulheres no ambiente de trabalho, conforme regulamento; e</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V - desenvolvimento pelo licitante de programa de integridade, conforme orientações dos órgãos de controle.</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Parágrafo único. Os critérios de desempate previstos nos incisos II, III, IV e V deste artigo serão aplicados nas hipóteses em que não haja envio de lances após o início da fase competitiva.</w:t>
      </w:r>
    </w:p>
    <w:p w14:paraId="771FBACC">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6.19.1.1 contratação de microempresas e empresas de pequeno porte, nos termos dos arts. 44 e 45 da Lei Complementar nº 123/2006, observado o disposto no art. 4º da Lei nº 14.133/2021;</w:t>
      </w:r>
    </w:p>
    <w:p w14:paraId="174E25F7">
      <w:pPr>
        <w:pStyle w:val="120"/>
        <w:spacing w:before="288" w:beforeLines="120" w:after="288" w:afterLines="120" w:line="288" w:lineRule="auto"/>
        <w:ind w:left="0"/>
        <w:contextualSpacing/>
        <w:rPr>
          <w:rFonts w:ascii="Times New Roman" w:hAnsi="Times New Roman" w:cs="Times New Roman"/>
          <w:sz w:val="24"/>
          <w:szCs w:val="24"/>
        </w:rPr>
      </w:pPr>
    </w:p>
    <w:p w14:paraId="2C131FF7">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6.19.1.2 disputa final, hipótese em que os licitantes empatados poderão apresentar nova proposta em ato contínuo à classificação;</w:t>
      </w:r>
    </w:p>
    <w:p w14:paraId="74BE1926">
      <w:pPr>
        <w:pStyle w:val="120"/>
        <w:spacing w:before="288" w:beforeLines="120" w:after="288" w:afterLines="120" w:line="288" w:lineRule="auto"/>
        <w:ind w:left="0"/>
        <w:contextualSpacing/>
        <w:rPr>
          <w:rFonts w:ascii="Times New Roman" w:hAnsi="Times New Roman" w:cs="Times New Roman"/>
          <w:sz w:val="24"/>
          <w:szCs w:val="24"/>
        </w:rPr>
      </w:pPr>
    </w:p>
    <w:p w14:paraId="3BD7BF84">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6.19.1.3 avaliação do desempenho contratual prévio dos licitantes, para a qual deverão preferencialmente ser utilizados registros cadastrais para efeito de atesto de cumprimento de obrigações previstos na Lei;</w:t>
      </w:r>
    </w:p>
    <w:p w14:paraId="5EDAF668">
      <w:pPr>
        <w:pStyle w:val="120"/>
        <w:spacing w:before="288" w:beforeLines="120" w:after="288" w:afterLines="120" w:line="288" w:lineRule="auto"/>
        <w:ind w:left="0"/>
        <w:contextualSpacing/>
        <w:rPr>
          <w:rFonts w:ascii="Times New Roman" w:hAnsi="Times New Roman" w:cs="Times New Roman"/>
          <w:sz w:val="24"/>
          <w:szCs w:val="24"/>
        </w:rPr>
      </w:pPr>
    </w:p>
    <w:p w14:paraId="112BCA40">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6.19.1.4 desenvolvimento pelo licitante de ações de equidade entre homens e mulheres no ambiente de trabalho;</w:t>
      </w:r>
    </w:p>
    <w:p w14:paraId="57FAC441">
      <w:pPr>
        <w:pStyle w:val="120"/>
        <w:spacing w:before="288" w:beforeLines="120" w:after="288" w:afterLines="120" w:line="288" w:lineRule="auto"/>
        <w:ind w:left="0"/>
        <w:contextualSpacing/>
        <w:rPr>
          <w:rFonts w:ascii="Times New Roman" w:hAnsi="Times New Roman" w:cs="Times New Roman"/>
          <w:sz w:val="24"/>
          <w:szCs w:val="24"/>
        </w:rPr>
      </w:pPr>
    </w:p>
    <w:p w14:paraId="4A47C4A2">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6.19.1.5 desenvolvimento pelo licitante de programa de integridade, conforme orientações dos órgãos de controle.</w:t>
      </w:r>
    </w:p>
    <w:p w14:paraId="3E4F5E95">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6.19.2 Persistindo o empate, será assegurada preferência, sucessivamente, aos bens e serviços produzidos ou prestados por:</w:t>
      </w:r>
    </w:p>
    <w:p w14:paraId="05EC4AE8">
      <w:pPr>
        <w:pStyle w:val="120"/>
        <w:spacing w:before="288" w:beforeLines="120" w:after="288" w:afterLines="120" w:line="288" w:lineRule="auto"/>
        <w:ind w:left="0"/>
        <w:contextualSpacing/>
        <w:rPr>
          <w:rFonts w:ascii="Times New Roman" w:hAnsi="Times New Roman" w:cs="Times New Roman"/>
          <w:sz w:val="24"/>
          <w:szCs w:val="24"/>
        </w:rPr>
      </w:pPr>
      <w:bookmarkStart w:id="25" w:name="art60§1i"/>
      <w:bookmarkEnd w:id="25"/>
      <w:r>
        <w:rPr>
          <w:rFonts w:ascii="Times New Roman" w:hAnsi="Times New Roman" w:cs="Times New Roman"/>
          <w:sz w:val="24"/>
          <w:szCs w:val="24"/>
        </w:rPr>
        <w:t>6.19.2.1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502526A">
      <w:pPr>
        <w:pStyle w:val="120"/>
        <w:spacing w:before="288" w:beforeLines="120" w:after="288" w:afterLines="120" w:line="288" w:lineRule="auto"/>
        <w:ind w:left="0"/>
        <w:contextualSpacing/>
        <w:rPr>
          <w:rFonts w:ascii="Times New Roman" w:hAnsi="Times New Roman" w:cs="Times New Roman"/>
          <w:sz w:val="24"/>
          <w:szCs w:val="24"/>
        </w:rPr>
      </w:pPr>
      <w:bookmarkStart w:id="26" w:name="art60§1ii"/>
      <w:bookmarkEnd w:id="26"/>
    </w:p>
    <w:p w14:paraId="552085D2">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6.19.2.2 empresas brasileiras;</w:t>
      </w:r>
    </w:p>
    <w:p w14:paraId="5BBAB6E8">
      <w:pPr>
        <w:pStyle w:val="120"/>
        <w:spacing w:before="288" w:beforeLines="120" w:after="288" w:afterLines="120" w:line="288" w:lineRule="auto"/>
        <w:ind w:left="0"/>
        <w:contextualSpacing/>
        <w:rPr>
          <w:rFonts w:ascii="Times New Roman" w:hAnsi="Times New Roman" w:cs="Times New Roman"/>
          <w:sz w:val="24"/>
          <w:szCs w:val="24"/>
        </w:rPr>
      </w:pPr>
      <w:bookmarkStart w:id="27" w:name="art60§1iii"/>
      <w:bookmarkEnd w:id="27"/>
    </w:p>
    <w:p w14:paraId="2507D885">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6.19.2.3 empresas que invistam em pesquisa e no desenvolvimento de tecnologia no País;</w:t>
      </w:r>
    </w:p>
    <w:p w14:paraId="390A31EB">
      <w:pPr>
        <w:pStyle w:val="120"/>
        <w:spacing w:before="288" w:beforeLines="120" w:after="288" w:afterLines="120" w:line="288" w:lineRule="auto"/>
        <w:ind w:left="0"/>
        <w:contextualSpacing/>
        <w:rPr>
          <w:rFonts w:ascii="Times New Roman" w:hAnsi="Times New Roman" w:cs="Times New Roman"/>
          <w:sz w:val="24"/>
          <w:szCs w:val="24"/>
        </w:rPr>
      </w:pPr>
      <w:bookmarkStart w:id="28" w:name="art60§1iv"/>
      <w:bookmarkEnd w:id="28"/>
    </w:p>
    <w:p w14:paraId="5729E8C6">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6.19.2.4 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Style w:val="16"/>
          <w:rFonts w:ascii="Times New Roman" w:hAnsi="Times New Roman" w:cs="Times New Roman"/>
          <w:sz w:val="24"/>
          <w:szCs w:val="24"/>
        </w:rPr>
        <w:t>Lei nº 12.187, de 29 de dezembro de 2009</w:t>
      </w:r>
      <w:r>
        <w:rPr>
          <w:rStyle w:val="16"/>
          <w:rFonts w:ascii="Times New Roman" w:hAnsi="Times New Roman" w:cs="Times New Roman"/>
          <w:sz w:val="24"/>
          <w:szCs w:val="24"/>
        </w:rPr>
        <w:fldChar w:fldCharType="end"/>
      </w:r>
      <w:r>
        <w:rPr>
          <w:rFonts w:ascii="Times New Roman" w:hAnsi="Times New Roman" w:cs="Times New Roman"/>
          <w:sz w:val="24"/>
          <w:szCs w:val="24"/>
        </w:rPr>
        <w:t>.</w:t>
      </w:r>
    </w:p>
    <w:p w14:paraId="7DD3DD0D">
      <w:pPr>
        <w:pStyle w:val="97"/>
        <w:spacing w:before="0" w:beforeAutospacing="0" w:after="0" w:afterAutospacing="0" w:line="288" w:lineRule="auto"/>
        <w:contextualSpacing/>
        <w:jc w:val="both"/>
        <w:rPr>
          <w:rFonts w:eastAsia="Calibri"/>
          <w:b/>
          <w:bCs/>
          <w:lang w:eastAsia="en-US"/>
        </w:rPr>
      </w:pPr>
      <w:r>
        <w:rPr>
          <w:rFonts w:eastAsia="Calibri"/>
          <w:b/>
          <w:bCs/>
          <w:lang w:eastAsia="en-US"/>
        </w:rPr>
        <w:t>7. DA FASE DE JULGAMENTO</w:t>
      </w:r>
    </w:p>
    <w:p w14:paraId="43D435DB">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 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14:paraId="3F22EF65">
      <w:pPr>
        <w:pStyle w:val="99"/>
        <w:spacing w:before="288" w:beforeLines="120" w:after="288" w:afterLines="120" w:line="288" w:lineRule="auto"/>
        <w:ind w:left="0" w:firstLine="0"/>
        <w:contextualSpacing/>
        <w:rPr>
          <w:rFonts w:ascii="Times New Roman" w:hAnsi="Times New Roman" w:cs="Times New Roman"/>
          <w:sz w:val="24"/>
          <w:szCs w:val="24"/>
        </w:rPr>
      </w:pPr>
    </w:p>
    <w:p w14:paraId="3A46D18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49E20296">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7.1.2 A negociação será realizada por meio do sistema, podendo ser acompanhada pelos demais licitantes.</w:t>
      </w:r>
    </w:p>
    <w:p w14:paraId="7E8A11B3">
      <w:pPr>
        <w:pStyle w:val="103"/>
        <w:spacing w:before="288" w:beforeLines="120" w:after="288" w:afterLines="120" w:line="288" w:lineRule="auto"/>
        <w:ind w:left="0" w:firstLine="0"/>
        <w:contextualSpacing/>
        <w:rPr>
          <w:rFonts w:ascii="Times New Roman" w:hAnsi="Times New Roman" w:cs="Times New Roman"/>
          <w:sz w:val="24"/>
          <w:szCs w:val="24"/>
        </w:rPr>
      </w:pPr>
    </w:p>
    <w:p w14:paraId="11D5FEBC">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7.1.3 O resultado da negociação será divulgado a todos os licitantes e anexado aos autos do processo licitatório.</w:t>
      </w:r>
    </w:p>
    <w:p w14:paraId="599A2BC4">
      <w:pPr>
        <w:pStyle w:val="103"/>
        <w:spacing w:before="288" w:beforeLines="120" w:after="288" w:afterLines="120" w:line="288" w:lineRule="auto"/>
        <w:ind w:left="0" w:firstLine="0"/>
        <w:contextualSpacing/>
        <w:rPr>
          <w:rFonts w:ascii="Times New Roman" w:hAnsi="Times New Roman" w:cs="Times New Roman"/>
          <w:sz w:val="24"/>
          <w:szCs w:val="24"/>
        </w:rPr>
      </w:pPr>
    </w:p>
    <w:p w14:paraId="0A8DE442">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7.1.4 O Pregoeiro solicitará ao licitante mais bem classificado que, no </w:t>
      </w:r>
      <w:bookmarkStart w:id="29" w:name="_Hlk178773510"/>
      <w:r>
        <w:rPr>
          <w:rFonts w:ascii="Times New Roman" w:hAnsi="Times New Roman" w:cs="Times New Roman"/>
          <w:color w:val="auto"/>
          <w:sz w:val="24"/>
          <w:szCs w:val="24"/>
        </w:rPr>
        <w:t xml:space="preserve">prazo mínimo </w:t>
      </w:r>
      <w:r>
        <w:rPr>
          <w:rFonts w:ascii="Times New Roman" w:hAnsi="Times New Roman" w:cs="Times New Roman"/>
          <w:color w:val="000000" w:themeColor="text1"/>
          <w:sz w:val="24"/>
          <w:szCs w:val="24"/>
          <w14:textFill>
            <w14:solidFill>
              <w14:schemeClr w14:val="tx1"/>
            </w14:solidFill>
          </w14:textFill>
        </w:rPr>
        <w:t>de 2 (duas) horas</w:t>
      </w:r>
      <w:bookmarkEnd w:id="29"/>
      <w:r>
        <w:rPr>
          <w:rFonts w:ascii="Times New Roman" w:hAnsi="Times New Roman" w:cs="Times New Roman"/>
          <w:color w:val="000000" w:themeColor="text1"/>
          <w:sz w:val="24"/>
          <w:szCs w:val="24"/>
          <w14:textFill>
            <w14:solidFill>
              <w14:schemeClr w14:val="tx1"/>
            </w14:solidFill>
          </w14:textFill>
        </w:rPr>
        <w:t xml:space="preserve">, envie </w:t>
      </w:r>
      <w:r>
        <w:rPr>
          <w:rFonts w:ascii="Times New Roman" w:hAnsi="Times New Roman" w:cs="Times New Roman"/>
          <w:sz w:val="24"/>
          <w:szCs w:val="24"/>
        </w:rPr>
        <w:t>a proposta adequada ao último lance ofertado após a negociação realizada, acompanhada, se for o caso, dos documentos complementares, quando necessários à confirmação daqueles exigidos neste Edital e já apresentados.</w:t>
      </w:r>
    </w:p>
    <w:p w14:paraId="007A7A98">
      <w:pPr>
        <w:pStyle w:val="103"/>
        <w:spacing w:before="288" w:beforeLines="120" w:after="288" w:afterLines="120" w:line="288" w:lineRule="auto"/>
        <w:ind w:left="0" w:firstLine="0"/>
        <w:contextualSpacing/>
        <w:rPr>
          <w:rFonts w:ascii="Times New Roman" w:hAnsi="Times New Roman" w:cs="Times New Roman"/>
          <w:sz w:val="24"/>
          <w:szCs w:val="24"/>
        </w:rPr>
      </w:pPr>
    </w:p>
    <w:p w14:paraId="75BDB8B0">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7.1.5 É facultado ao Pregoeiro prorrogar o prazo estabelecido, por igual período, de ofício ou a partir de solicitação fundamentada feita no chat pelo licitante, antes de findo o prazo.</w:t>
      </w:r>
    </w:p>
    <w:p w14:paraId="0A631CDF">
      <w:pPr>
        <w:pStyle w:val="99"/>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7.2 Encerrada a negociação, o Pregoeiro examinará a proposta classificada em primeiro lugar quanto à adequação ao objeto e à compatibilidade do preço em relação ao máximo estipulado para contratação neste Edital e em seus anexos.</w:t>
      </w:r>
    </w:p>
    <w:p w14:paraId="17574971">
      <w:pPr>
        <w:pStyle w:val="99"/>
        <w:spacing w:before="288" w:beforeLines="120" w:after="288" w:afterLines="120" w:line="288" w:lineRule="auto"/>
        <w:ind w:left="0" w:firstLine="0"/>
        <w:contextualSpacing/>
        <w:rPr>
          <w:rFonts w:ascii="Times New Roman" w:hAnsi="Times New Roman" w:cs="Times New Roman"/>
          <w:sz w:val="24"/>
          <w:szCs w:val="24"/>
        </w:rPr>
      </w:pPr>
    </w:p>
    <w:p w14:paraId="0AA930E5">
      <w:pPr>
        <w:pStyle w:val="99"/>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 xml:space="preserve">7.3 Será desclassificada a proposta vencedora que: </w:t>
      </w:r>
    </w:p>
    <w:p w14:paraId="17C5878D">
      <w:pPr>
        <w:pStyle w:val="10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7.3.1 contiver vícios insanáveis;</w:t>
      </w:r>
    </w:p>
    <w:p w14:paraId="0FEDF535">
      <w:pPr>
        <w:pStyle w:val="103"/>
        <w:spacing w:before="288" w:beforeLines="120" w:after="288" w:afterLines="120" w:line="288" w:lineRule="auto"/>
        <w:ind w:left="0" w:firstLine="0"/>
        <w:contextualSpacing/>
        <w:rPr>
          <w:rFonts w:ascii="Times New Roman" w:hAnsi="Times New Roman" w:cs="Times New Roman"/>
          <w:sz w:val="24"/>
          <w:szCs w:val="24"/>
        </w:rPr>
      </w:pPr>
    </w:p>
    <w:p w14:paraId="36E4A295">
      <w:pPr>
        <w:pStyle w:val="10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7.3.2 não obedecer às especificações técnicas contidas no Termo de Referência;</w:t>
      </w:r>
    </w:p>
    <w:p w14:paraId="7C3E0E09">
      <w:pPr>
        <w:pStyle w:val="103"/>
        <w:spacing w:before="288" w:beforeLines="120" w:after="288" w:afterLines="120" w:line="288" w:lineRule="auto"/>
        <w:ind w:left="0" w:firstLine="0"/>
        <w:contextualSpacing/>
        <w:rPr>
          <w:rFonts w:ascii="Times New Roman" w:hAnsi="Times New Roman" w:cs="Times New Roman"/>
          <w:sz w:val="24"/>
          <w:szCs w:val="24"/>
        </w:rPr>
      </w:pPr>
    </w:p>
    <w:p w14:paraId="73AD5C4A">
      <w:pPr>
        <w:pStyle w:val="10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7.3.3 apresentar preços inexequíveis ou permanecerem acima do preço máximo definido para a contratação;</w:t>
      </w:r>
    </w:p>
    <w:p w14:paraId="5CBA67CF">
      <w:pPr>
        <w:pStyle w:val="103"/>
        <w:spacing w:before="288" w:beforeLines="120" w:after="288" w:afterLines="120" w:line="288" w:lineRule="auto"/>
        <w:ind w:left="0" w:firstLine="0"/>
        <w:contextualSpacing/>
        <w:rPr>
          <w:rFonts w:ascii="Times New Roman" w:hAnsi="Times New Roman" w:cs="Times New Roman"/>
          <w:sz w:val="24"/>
          <w:szCs w:val="24"/>
        </w:rPr>
      </w:pPr>
    </w:p>
    <w:p w14:paraId="762D63D0">
      <w:pPr>
        <w:pStyle w:val="10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7.3.4 não tiverem sua exequibilidade demonstrada, quando exigido pela Administração;</w:t>
      </w:r>
    </w:p>
    <w:p w14:paraId="465B06D1">
      <w:pPr>
        <w:pStyle w:val="103"/>
        <w:spacing w:before="288" w:beforeLines="120" w:after="288" w:afterLines="120" w:line="288" w:lineRule="auto"/>
        <w:ind w:left="0" w:firstLine="0"/>
        <w:contextualSpacing/>
        <w:rPr>
          <w:rFonts w:ascii="Times New Roman" w:hAnsi="Times New Roman" w:cs="Times New Roman"/>
          <w:sz w:val="24"/>
          <w:szCs w:val="24"/>
        </w:rPr>
      </w:pPr>
    </w:p>
    <w:p w14:paraId="2D215B44">
      <w:pPr>
        <w:pStyle w:val="10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7.3.5 apresentar desconformidade com quaisquer outras exigências deste Edital ou seus anexos, desde que insanável.</w:t>
      </w:r>
    </w:p>
    <w:p w14:paraId="73B70349">
      <w:pPr>
        <w:pStyle w:val="99"/>
        <w:spacing w:before="288" w:beforeLines="120" w:after="288" w:afterLines="120" w:line="288" w:lineRule="auto"/>
        <w:ind w:left="0" w:firstLine="0"/>
        <w:contextualSpacing/>
        <w:rPr>
          <w:rFonts w:ascii="Times New Roman" w:hAnsi="Times New Roman" w:cs="Times New Roman"/>
          <w:b/>
          <w:bCs/>
          <w:sz w:val="24"/>
          <w:szCs w:val="24"/>
        </w:rPr>
      </w:pPr>
      <w:r>
        <w:rPr>
          <w:rFonts w:ascii="Times New Roman" w:hAnsi="Times New Roman" w:cs="Times New Roman"/>
          <w:sz w:val="24"/>
          <w:szCs w:val="24"/>
        </w:rPr>
        <w:t>7.4 A desclassificação será sempre fundamentada e registrada no sistema, com acompanhamento por todos os participantes.</w:t>
      </w:r>
    </w:p>
    <w:p w14:paraId="4F060194">
      <w:pPr>
        <w:pStyle w:val="99"/>
        <w:spacing w:before="288" w:beforeLines="120" w:after="288" w:afterLines="120" w:line="288" w:lineRule="auto"/>
        <w:ind w:left="0" w:firstLine="0"/>
        <w:contextualSpacing/>
        <w:rPr>
          <w:rFonts w:ascii="Times New Roman" w:hAnsi="Times New Roman" w:cs="Times New Roman"/>
          <w:sz w:val="24"/>
          <w:szCs w:val="24"/>
        </w:rPr>
      </w:pPr>
    </w:p>
    <w:p w14:paraId="3477608F">
      <w:pPr>
        <w:pStyle w:val="99"/>
        <w:spacing w:before="288" w:beforeLines="120" w:after="288" w:afterLines="120" w:line="288" w:lineRule="auto"/>
        <w:ind w:left="0" w:firstLine="0"/>
        <w:contextualSpacing/>
        <w:rPr>
          <w:rFonts w:ascii="Times New Roman" w:hAnsi="Times New Roman" w:cs="Times New Roman"/>
          <w:b/>
          <w:bCs/>
          <w:sz w:val="24"/>
          <w:szCs w:val="24"/>
        </w:rPr>
      </w:pPr>
      <w:r>
        <w:rPr>
          <w:rFonts w:ascii="Times New Roman" w:hAnsi="Times New Roman" w:cs="Times New Roman"/>
          <w:sz w:val="24"/>
          <w:szCs w:val="24"/>
        </w:rPr>
        <w:t xml:space="preserve">7.5 É indício de inexequibilidade das propostas valores inferiores a 50% (cinquenta por cento) do valor orçado pela Administração, conforme art. 59 da Lei 14.133/2021 e Instrução Normativa/ME 73/2022. </w:t>
      </w:r>
    </w:p>
    <w:p w14:paraId="62C026F6">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7.5.1 A inexequibilidade, na hipótese de que trata o </w:t>
      </w:r>
      <w:r>
        <w:rPr>
          <w:rFonts w:ascii="Times New Roman" w:hAnsi="Times New Roman" w:cs="Times New Roman"/>
          <w:i/>
          <w:iCs/>
          <w:sz w:val="24"/>
          <w:szCs w:val="24"/>
        </w:rPr>
        <w:t>caput</w:t>
      </w:r>
      <w:r>
        <w:rPr>
          <w:rFonts w:ascii="Times New Roman" w:hAnsi="Times New Roman" w:cs="Times New Roman"/>
          <w:sz w:val="24"/>
          <w:szCs w:val="24"/>
        </w:rPr>
        <w:t>, só será considerada após diligência do Pregoeiro, que comprove:</w:t>
      </w:r>
    </w:p>
    <w:p w14:paraId="00A3A37B">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7.5.1.1 que o custo do licitante ultrapassa o valor da proposta; e</w:t>
      </w:r>
    </w:p>
    <w:p w14:paraId="20C35FAE">
      <w:pPr>
        <w:pStyle w:val="120"/>
        <w:spacing w:before="288" w:beforeLines="120" w:after="288" w:afterLines="120" w:line="288" w:lineRule="auto"/>
        <w:ind w:left="0"/>
        <w:contextualSpacing/>
        <w:rPr>
          <w:rFonts w:ascii="Times New Roman" w:hAnsi="Times New Roman" w:cs="Times New Roman"/>
          <w:sz w:val="24"/>
          <w:szCs w:val="24"/>
        </w:rPr>
      </w:pPr>
    </w:p>
    <w:p w14:paraId="023A6052">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7.5.1.2 inexistirem custos de oportunidade capazes de justificar o vulto da oferta.</w:t>
      </w:r>
    </w:p>
    <w:p w14:paraId="148DDB0F">
      <w:pPr>
        <w:pStyle w:val="99"/>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7.6 Se houver indícios de inexequibilidade da proposta de preço, ou em caso da necessidade de esclarecimentos complementares, poderão ser efetuadas diligências, para que a empresa comprove a exequibilidade da proposta.</w:t>
      </w:r>
    </w:p>
    <w:p w14:paraId="21197F32">
      <w:pPr>
        <w:pStyle w:val="99"/>
        <w:spacing w:before="288" w:beforeLines="120" w:after="288" w:afterLines="120" w:line="288" w:lineRule="auto"/>
        <w:ind w:left="0" w:firstLine="0"/>
        <w:contextualSpacing/>
        <w:rPr>
          <w:rFonts w:ascii="Times New Roman" w:hAnsi="Times New Roman" w:cs="Times New Roman"/>
          <w:sz w:val="24"/>
          <w:szCs w:val="24"/>
        </w:rPr>
      </w:pPr>
    </w:p>
    <w:p w14:paraId="6A315E7E">
      <w:pPr>
        <w:pStyle w:val="99"/>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302E83F">
      <w:pPr>
        <w:pStyle w:val="99"/>
        <w:spacing w:before="288" w:beforeLines="120" w:after="288" w:afterLines="120" w:line="288" w:lineRule="auto"/>
        <w:ind w:left="0" w:firstLine="0"/>
        <w:contextualSpacing/>
        <w:rPr>
          <w:rFonts w:ascii="Times New Roman" w:hAnsi="Times New Roman" w:cs="Times New Roman"/>
          <w:sz w:val="24"/>
          <w:szCs w:val="24"/>
        </w:rPr>
      </w:pPr>
    </w:p>
    <w:p w14:paraId="21947A3A">
      <w:pPr>
        <w:pStyle w:val="99"/>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821C588">
      <w:pPr>
        <w:pStyle w:val="10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7.8.1 O ajuste de que trata este dispositivo se limita a sanar erros ou falhas que não alterem a substância das propostas.</w:t>
      </w:r>
    </w:p>
    <w:p w14:paraId="22A3E7AC">
      <w:pPr>
        <w:pStyle w:val="103"/>
        <w:spacing w:before="288" w:beforeLines="120" w:after="288" w:afterLines="120" w:line="288" w:lineRule="auto"/>
        <w:ind w:left="0" w:firstLine="0"/>
        <w:contextualSpacing/>
        <w:rPr>
          <w:rFonts w:ascii="Times New Roman" w:hAnsi="Times New Roman" w:cs="Times New Roman"/>
          <w:sz w:val="24"/>
          <w:szCs w:val="24"/>
        </w:rPr>
      </w:pPr>
    </w:p>
    <w:p w14:paraId="04FB6F3B">
      <w:pPr>
        <w:pStyle w:val="10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7.8.2 Considera-se erro no preenchimento da planilha passível de correção a indicação de recolhimento de impostos e contribuições na forma do Simples Nacional, quando não cabível esse regime.</w:t>
      </w:r>
    </w:p>
    <w:p w14:paraId="3CE6D152">
      <w:pPr>
        <w:pStyle w:val="99"/>
        <w:spacing w:before="288" w:beforeLines="120" w:after="288" w:afterLines="120" w:line="288" w:lineRule="auto"/>
        <w:ind w:left="0" w:firstLine="0"/>
        <w:contextualSpacing/>
        <w:rPr>
          <w:rFonts w:ascii="Times New Roman" w:hAnsi="Times New Roman" w:cs="Times New Roman"/>
          <w:sz w:val="24"/>
          <w:szCs w:val="24"/>
          <w:lang w:eastAsia="en-US"/>
        </w:rPr>
      </w:pPr>
      <w:r>
        <w:rPr>
          <w:rFonts w:ascii="Times New Roman" w:hAnsi="Times New Roman" w:cs="Times New Roman"/>
          <w:sz w:val="24"/>
          <w:szCs w:val="24"/>
          <w:lang w:eastAsia="en-US"/>
        </w:rPr>
        <w:t xml:space="preserve">7.9 Para fins de análise da proposta quanto ao cumprimento </w:t>
      </w:r>
      <w:r>
        <w:rPr>
          <w:rFonts w:ascii="Times New Roman" w:hAnsi="Times New Roman" w:cs="Times New Roman"/>
          <w:sz w:val="24"/>
          <w:szCs w:val="24"/>
        </w:rPr>
        <w:t>das</w:t>
      </w:r>
      <w:r>
        <w:rPr>
          <w:rFonts w:ascii="Times New Roman" w:hAnsi="Times New Roman" w:cs="Times New Roman"/>
          <w:sz w:val="24"/>
          <w:szCs w:val="24"/>
          <w:lang w:eastAsia="en-US"/>
        </w:rPr>
        <w:t xml:space="preserve"> especificações do objeto, poderá ser colhida a </w:t>
      </w:r>
      <w:r>
        <w:rPr>
          <w:rFonts w:ascii="Times New Roman" w:hAnsi="Times New Roman" w:cs="Times New Roman"/>
          <w:sz w:val="24"/>
          <w:szCs w:val="24"/>
        </w:rPr>
        <w:t>manifestação</w:t>
      </w:r>
      <w:r>
        <w:rPr>
          <w:rFonts w:ascii="Times New Roman" w:hAnsi="Times New Roman" w:cs="Times New Roman"/>
          <w:sz w:val="24"/>
          <w:szCs w:val="24"/>
          <w:lang w:eastAsia="en-US"/>
        </w:rPr>
        <w:t xml:space="preserve"> escrita do setor requisitante da área especializada no objeto.</w:t>
      </w:r>
    </w:p>
    <w:p w14:paraId="7DF91B0A">
      <w:pPr>
        <w:pStyle w:val="99"/>
        <w:spacing w:before="288" w:beforeLines="120" w:after="288" w:afterLines="120" w:line="288" w:lineRule="auto"/>
        <w:ind w:left="0" w:firstLine="0"/>
        <w:contextualSpacing/>
        <w:rPr>
          <w:rFonts w:ascii="Times New Roman" w:hAnsi="Times New Roman" w:cs="Times New Roman"/>
          <w:sz w:val="24"/>
          <w:szCs w:val="24"/>
        </w:rPr>
      </w:pPr>
    </w:p>
    <w:p w14:paraId="588F502F">
      <w:pPr>
        <w:pStyle w:val="99"/>
        <w:spacing w:before="288" w:beforeLines="120" w:after="288" w:afterLines="120" w:line="288" w:lineRule="auto"/>
        <w:ind w:left="0" w:firstLine="0"/>
        <w:contextualSpacing/>
        <w:rPr>
          <w:rFonts w:ascii="Times New Roman" w:hAnsi="Times New Roman" w:cs="Times New Roman"/>
          <w:b/>
          <w:bCs/>
          <w:sz w:val="24"/>
          <w:szCs w:val="24"/>
          <w:lang w:eastAsia="ar-SA"/>
        </w:rPr>
      </w:pPr>
      <w:r>
        <w:rPr>
          <w:rFonts w:ascii="Times New Roman" w:hAnsi="Times New Roman" w:cs="Times New Roman"/>
          <w:sz w:val="24"/>
          <w:szCs w:val="24"/>
        </w:rPr>
        <w:t xml:space="preserve">7.10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 \l "art14" </w:instrText>
      </w:r>
      <w:r>
        <w:fldChar w:fldCharType="separate"/>
      </w:r>
      <w:r>
        <w:rPr>
          <w:rStyle w:val="16"/>
          <w:rFonts w:ascii="Times New Roman" w:hAnsi="Times New Roman" w:cs="Times New Roman" w:eastAsiaTheme="minorHAnsi"/>
          <w:color w:val="auto"/>
          <w:sz w:val="24"/>
          <w:szCs w:val="24"/>
        </w:rPr>
        <w:t>art. 14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r>
        <w:rPr>
          <w:rFonts w:ascii="Times New Roman" w:hAnsi="Times New Roman" w:cs="Times New Roman"/>
          <w:sz w:val="24"/>
          <w:szCs w:val="24"/>
        </w:rPr>
        <w:t xml:space="preserve"> legislação correlata e no item 3.9 do Edital, </w:t>
      </w:r>
      <w:r>
        <w:rPr>
          <w:rFonts w:ascii="Times New Roman" w:hAnsi="Times New Roman" w:cs="Times New Roman"/>
          <w:color w:val="auto"/>
          <w:sz w:val="24"/>
          <w:szCs w:val="24"/>
          <w:lang w:eastAsia="ar-SA"/>
        </w:rPr>
        <w:t>especialmente quanto à existência de sanção que impeça a participação no certame ou a futura contratação,</w:t>
      </w:r>
      <w:r>
        <w:rPr>
          <w:rFonts w:ascii="Times New Roman" w:hAnsi="Times New Roman" w:cs="Times New Roman"/>
          <w:sz w:val="24"/>
          <w:szCs w:val="24"/>
          <w:lang w:eastAsia="ar-SA"/>
        </w:rPr>
        <w:t xml:space="preserve"> mediante a consulta aos seguintes cadastros:</w:t>
      </w:r>
    </w:p>
    <w:p w14:paraId="0D03F72A">
      <w:pPr>
        <w:pStyle w:val="61"/>
        <w:spacing w:before="288" w:beforeLines="120" w:after="288" w:afterLines="120" w:line="288" w:lineRule="auto"/>
        <w:ind w:left="0"/>
        <w:jc w:val="both"/>
        <w:rPr>
          <w:sz w:val="24"/>
          <w:szCs w:val="24"/>
          <w:lang w:eastAsia="ar-SA"/>
        </w:rPr>
      </w:pPr>
      <w:r>
        <w:rPr>
          <w:sz w:val="24"/>
          <w:szCs w:val="24"/>
          <w:lang w:eastAsia="ar-SA"/>
        </w:rPr>
        <w:t xml:space="preserve">a) SICAF;  </w:t>
      </w:r>
    </w:p>
    <w:p w14:paraId="6C2DC2CC">
      <w:pPr>
        <w:pStyle w:val="61"/>
        <w:spacing w:before="288" w:beforeLines="120" w:after="288" w:afterLines="120" w:line="288" w:lineRule="auto"/>
        <w:ind w:left="0"/>
        <w:jc w:val="both"/>
        <w:rPr>
          <w:sz w:val="24"/>
          <w:szCs w:val="24"/>
          <w:lang w:eastAsia="ar-SA"/>
        </w:rPr>
      </w:pPr>
    </w:p>
    <w:p w14:paraId="32970352">
      <w:pPr>
        <w:pStyle w:val="61"/>
        <w:spacing w:before="288" w:beforeLines="120" w:after="288" w:afterLines="120" w:line="288" w:lineRule="auto"/>
        <w:ind w:left="0"/>
        <w:jc w:val="both"/>
        <w:rPr>
          <w:sz w:val="24"/>
          <w:szCs w:val="24"/>
          <w:lang w:eastAsia="ar-SA"/>
        </w:rPr>
      </w:pPr>
      <w:r>
        <w:rPr>
          <w:sz w:val="24"/>
          <w:szCs w:val="24"/>
          <w:lang w:eastAsia="ar-SA"/>
        </w:rPr>
        <w:t>b) 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Style w:val="16"/>
          <w:rFonts w:eastAsiaTheme="minorHAnsi"/>
          <w:sz w:val="24"/>
          <w:szCs w:val="24"/>
          <w:lang w:eastAsia="ar-SA"/>
        </w:rPr>
        <w:t>https://www.portaltransparencia.gov.br/sancoes/ceis</w:t>
      </w:r>
      <w:r>
        <w:rPr>
          <w:rStyle w:val="16"/>
          <w:rFonts w:eastAsiaTheme="minorHAnsi"/>
          <w:sz w:val="24"/>
          <w:szCs w:val="24"/>
          <w:lang w:eastAsia="ar-SA"/>
        </w:rPr>
        <w:fldChar w:fldCharType="end"/>
      </w:r>
      <w:r>
        <w:rPr>
          <w:sz w:val="24"/>
          <w:szCs w:val="24"/>
          <w:lang w:eastAsia="ar-SA"/>
        </w:rPr>
        <w:t xml:space="preserve">); </w:t>
      </w:r>
    </w:p>
    <w:p w14:paraId="66673A54">
      <w:pPr>
        <w:pStyle w:val="61"/>
        <w:spacing w:before="288" w:beforeLines="120" w:after="288" w:afterLines="120" w:line="288" w:lineRule="auto"/>
        <w:ind w:left="0"/>
        <w:jc w:val="both"/>
        <w:rPr>
          <w:sz w:val="24"/>
          <w:szCs w:val="24"/>
          <w:lang w:eastAsia="ar-SA"/>
        </w:rPr>
      </w:pPr>
    </w:p>
    <w:p w14:paraId="213584AE">
      <w:pPr>
        <w:pStyle w:val="61"/>
        <w:spacing w:before="288" w:beforeLines="120" w:after="288" w:afterLines="120" w:line="288" w:lineRule="auto"/>
        <w:ind w:left="0"/>
        <w:jc w:val="both"/>
        <w:rPr>
          <w:sz w:val="24"/>
          <w:szCs w:val="24"/>
          <w:lang w:eastAsia="ar-SA"/>
        </w:rPr>
      </w:pPr>
      <w:r>
        <w:rPr>
          <w:sz w:val="24"/>
          <w:szCs w:val="24"/>
          <w:lang w:eastAsia="ar-SA"/>
        </w:rPr>
        <w:t>c) Cadastro Nacional de Condenações Cíveis por Atos de Improbidade Administrativa, mantido pelo Conselho Nacional de Justiça (www.cnj.jus.br/improbidade_adm/consultar_requerido.php);</w:t>
      </w:r>
    </w:p>
    <w:p w14:paraId="1D2FCAB9">
      <w:pPr>
        <w:pStyle w:val="61"/>
        <w:spacing w:before="288" w:beforeLines="120" w:after="288" w:afterLines="120" w:line="288" w:lineRule="auto"/>
        <w:ind w:left="0"/>
        <w:jc w:val="both"/>
        <w:rPr>
          <w:sz w:val="24"/>
          <w:szCs w:val="24"/>
          <w:lang w:eastAsia="ar-SA"/>
        </w:rPr>
      </w:pPr>
    </w:p>
    <w:p w14:paraId="4D80E7EF">
      <w:pPr>
        <w:pStyle w:val="61"/>
        <w:spacing w:before="288" w:beforeLines="120" w:after="288" w:afterLines="120" w:line="288" w:lineRule="auto"/>
        <w:ind w:left="0"/>
        <w:jc w:val="both"/>
        <w:rPr>
          <w:sz w:val="24"/>
          <w:szCs w:val="24"/>
          <w:lang w:eastAsia="ar-SA"/>
        </w:rPr>
      </w:pPr>
      <w:r>
        <w:rPr>
          <w:sz w:val="24"/>
          <w:szCs w:val="24"/>
          <w:lang w:eastAsia="ar-SA"/>
        </w:rPr>
        <w:t>d) 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6"/>
          <w:rFonts w:eastAsiaTheme="minorHAnsi"/>
          <w:sz w:val="24"/>
          <w:szCs w:val="24"/>
          <w:lang w:eastAsia="ar-SA"/>
        </w:rPr>
        <w:t>https://www.portaltransparencia.gov.br/sancoes/cnep</w:t>
      </w:r>
      <w:r>
        <w:rPr>
          <w:rStyle w:val="16"/>
          <w:rFonts w:eastAsiaTheme="minorHAnsi"/>
          <w:sz w:val="24"/>
          <w:szCs w:val="24"/>
          <w:lang w:eastAsia="ar-SA"/>
        </w:rPr>
        <w:fldChar w:fldCharType="end"/>
      </w:r>
      <w:r>
        <w:rPr>
          <w:sz w:val="24"/>
          <w:szCs w:val="24"/>
          <w:lang w:eastAsia="ar-SA"/>
        </w:rPr>
        <w:t>);</w:t>
      </w:r>
    </w:p>
    <w:p w14:paraId="654E95A9">
      <w:pPr>
        <w:pStyle w:val="61"/>
        <w:spacing w:before="288" w:beforeLines="120" w:after="288" w:afterLines="120" w:line="288" w:lineRule="auto"/>
        <w:ind w:left="0"/>
        <w:jc w:val="both"/>
        <w:rPr>
          <w:sz w:val="24"/>
          <w:szCs w:val="24"/>
          <w:lang w:eastAsia="ar-SA"/>
        </w:rPr>
      </w:pPr>
    </w:p>
    <w:p w14:paraId="12D06C6F">
      <w:pPr>
        <w:pStyle w:val="61"/>
        <w:spacing w:before="288" w:beforeLines="120" w:after="288" w:afterLines="120" w:line="288" w:lineRule="auto"/>
        <w:ind w:left="0"/>
        <w:jc w:val="both"/>
        <w:rPr>
          <w:sz w:val="24"/>
          <w:szCs w:val="24"/>
          <w:lang w:eastAsia="ar-SA"/>
        </w:rPr>
      </w:pPr>
      <w:r>
        <w:rPr>
          <w:sz w:val="24"/>
          <w:szCs w:val="24"/>
          <w:lang w:eastAsia="ar-SA"/>
        </w:rPr>
        <w:t>e) Lista de inidôneos mantida pelo Tribunal de Contas da União; e</w:t>
      </w:r>
    </w:p>
    <w:p w14:paraId="60DC9159">
      <w:pPr>
        <w:pStyle w:val="61"/>
        <w:spacing w:before="288" w:beforeLines="120" w:after="288" w:afterLines="120" w:line="288" w:lineRule="auto"/>
        <w:ind w:left="0"/>
        <w:jc w:val="both"/>
        <w:rPr>
          <w:sz w:val="24"/>
          <w:szCs w:val="24"/>
          <w:lang w:eastAsia="ar-SA"/>
        </w:rPr>
      </w:pPr>
    </w:p>
    <w:p w14:paraId="08C0F7ED">
      <w:pPr>
        <w:pStyle w:val="61"/>
        <w:spacing w:before="288" w:beforeLines="120" w:after="288" w:afterLines="120" w:line="288" w:lineRule="auto"/>
        <w:ind w:left="0"/>
        <w:jc w:val="both"/>
        <w:rPr>
          <w:sz w:val="24"/>
          <w:szCs w:val="24"/>
          <w:lang w:eastAsia="ar-SA"/>
        </w:rPr>
      </w:pPr>
      <w:r>
        <w:rPr>
          <w:sz w:val="24"/>
          <w:szCs w:val="24"/>
          <w:lang w:eastAsia="ar-SA"/>
        </w:rPr>
        <w:t>f) módulo Registro de Ocorrências do Comprasnet.</w:t>
      </w:r>
    </w:p>
    <w:p w14:paraId="6DF3E47C">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7.11 Caso o licitante provisoriamente classificado em primeiro lugar tenha se utilizado de algum tratamento favorecido às ME/EPPs, o Pregoeiro verificará se faz jus ao benefício, em conformidade com os itens 3.8 e 4.5 deste Edital.</w:t>
      </w:r>
    </w:p>
    <w:p w14:paraId="40915B63">
      <w:pPr>
        <w:pStyle w:val="97"/>
        <w:spacing w:before="0" w:beforeAutospacing="0" w:after="0" w:afterAutospacing="0" w:line="288" w:lineRule="auto"/>
        <w:contextualSpacing/>
        <w:jc w:val="both"/>
        <w:rPr>
          <w:rFonts w:eastAsia="Calibri"/>
          <w:b/>
          <w:bCs/>
          <w:lang w:eastAsia="en-US"/>
        </w:rPr>
      </w:pPr>
      <w:r>
        <w:rPr>
          <w:rFonts w:eastAsia="Calibri"/>
          <w:b/>
          <w:bCs/>
          <w:lang w:eastAsia="en-US"/>
        </w:rPr>
        <w:t>8. DA FASE DE HABILITAÇÃO</w:t>
      </w:r>
    </w:p>
    <w:p w14:paraId="236BC600">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 A consulta aos cadastros será realizada em nome da empresa licitante e também de seu sócio majoritário, por força da vedação de que trata o </w:t>
      </w:r>
      <w:r>
        <w:fldChar w:fldCharType="begin"/>
      </w:r>
      <w:r>
        <w:instrText xml:space="preserve"> HYPERLINK "https://www.planalto.gov.br/ccivil_03/leis/l8429.htm" \l ":~:text=%C3%A0s%20seguintes%20comina%C3%A7%C3%B5es%3A-,Art.,n%C2%BA%2012.120%2C%20de%202009)." </w:instrText>
      </w:r>
      <w:r>
        <w:fldChar w:fldCharType="separate"/>
      </w:r>
      <w:r>
        <w:rPr>
          <w:rStyle w:val="16"/>
          <w:rFonts w:ascii="Times New Roman" w:hAnsi="Times New Roman" w:cs="Times New Roman" w:eastAsiaTheme="minorHAnsi"/>
          <w:color w:val="auto"/>
          <w:sz w:val="24"/>
          <w:szCs w:val="24"/>
        </w:rPr>
        <w:t>art. 12 da Lei nº 8.429/1992</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7897AA17">
      <w:pPr>
        <w:pStyle w:val="99"/>
        <w:spacing w:before="288" w:beforeLines="120" w:after="288" w:afterLines="120" w:line="288" w:lineRule="auto"/>
        <w:ind w:left="0" w:firstLine="0"/>
        <w:contextualSpacing/>
        <w:rPr>
          <w:rFonts w:ascii="Times New Roman" w:hAnsi="Times New Roman" w:cs="Times New Roman"/>
          <w:sz w:val="24"/>
          <w:szCs w:val="24"/>
        </w:rPr>
      </w:pPr>
    </w:p>
    <w:p w14:paraId="6D65281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 Caso conste na Consulta de Situação do l</w:t>
      </w:r>
      <w:r>
        <w:rPr>
          <w:rFonts w:ascii="Times New Roman" w:hAnsi="Times New Roman" w:cs="Times New Roman"/>
          <w:color w:val="auto"/>
          <w:sz w:val="24"/>
          <w:szCs w:val="24"/>
        </w:rPr>
        <w:t xml:space="preserve">icitante </w:t>
      </w:r>
      <w:r>
        <w:rPr>
          <w:rFonts w:ascii="Times New Roman" w:hAnsi="Times New Roman" w:cs="Times New Roman"/>
          <w:sz w:val="24"/>
          <w:szCs w:val="24"/>
        </w:rPr>
        <w:t xml:space="preserve">a existência de Ocorrências Impeditivas Indiretas, o </w:t>
      </w:r>
      <w:r>
        <w:rPr>
          <w:rFonts w:ascii="Times New Roman" w:hAnsi="Times New Roman" w:cs="Times New Roman"/>
          <w:color w:val="auto"/>
          <w:sz w:val="24"/>
          <w:szCs w:val="24"/>
        </w:rPr>
        <w:t>Pregoeiro diligenciará para v</w:t>
      </w:r>
      <w:r>
        <w:rPr>
          <w:rFonts w:ascii="Times New Roman" w:hAnsi="Times New Roman" w:cs="Times New Roman"/>
          <w:sz w:val="24"/>
          <w:szCs w:val="24"/>
        </w:rPr>
        <w:t xml:space="preserve">erificar se houve fraude por parte das empresas apontadas no Relatório de Ocorrências Impeditivas Indiretas. </w:t>
      </w:r>
    </w:p>
    <w:p w14:paraId="5CC0F92A">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8.3.1 A tentativa de burla será verificada por meio dos vínculos societários, linhas de fornecimento similares, dentre outros. </w:t>
      </w:r>
    </w:p>
    <w:p w14:paraId="72239A3E">
      <w:pPr>
        <w:pStyle w:val="103"/>
        <w:spacing w:before="288" w:beforeLines="120" w:after="288" w:afterLines="120" w:line="288" w:lineRule="auto"/>
        <w:ind w:left="0" w:firstLine="0"/>
        <w:contextualSpacing/>
        <w:rPr>
          <w:rFonts w:ascii="Times New Roman" w:hAnsi="Times New Roman" w:cs="Times New Roman"/>
          <w:sz w:val="24"/>
          <w:szCs w:val="24"/>
        </w:rPr>
      </w:pPr>
    </w:p>
    <w:p w14:paraId="5AE1427E">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8.3.2 O licitante será convocado para manifestação previamente a uma eventual desclassificação. </w:t>
      </w:r>
    </w:p>
    <w:p w14:paraId="0EC0D34A">
      <w:pPr>
        <w:pStyle w:val="103"/>
        <w:spacing w:before="288" w:beforeLines="120" w:after="288" w:afterLines="120" w:line="288" w:lineRule="auto"/>
        <w:ind w:left="0" w:firstLine="0"/>
        <w:contextualSpacing/>
        <w:rPr>
          <w:rFonts w:ascii="Times New Roman" w:hAnsi="Times New Roman" w:cs="Times New Roman"/>
          <w:sz w:val="24"/>
          <w:szCs w:val="24"/>
        </w:rPr>
      </w:pPr>
    </w:p>
    <w:p w14:paraId="1676667F">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8.3.3 Constatada a existência de sanção, o licitante será reputado inabilitado, por falta de condição de participação.</w:t>
      </w:r>
    </w:p>
    <w:p w14:paraId="5746DAD8">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8.5 Será exigida a apresentação dos documentos de habilitação que trata o </w:t>
      </w:r>
      <w:r>
        <w:rPr>
          <w:rFonts w:ascii="Times New Roman" w:hAnsi="Times New Roman" w:cs="Times New Roman"/>
          <w:color w:val="auto"/>
          <w:sz w:val="24"/>
          <w:szCs w:val="24"/>
        </w:rPr>
        <w:t xml:space="preserve">Anexo referente aos requisitos de habilitação </w:t>
      </w:r>
      <w:r>
        <w:rPr>
          <w:rFonts w:ascii="Times New Roman" w:hAnsi="Times New Roman" w:cs="Times New Roman"/>
          <w:sz w:val="24"/>
          <w:szCs w:val="24"/>
        </w:rPr>
        <w:t>deste Edital apenas ao licitante vencedor.</w:t>
      </w:r>
    </w:p>
    <w:p w14:paraId="54467FF6">
      <w:pPr>
        <w:pStyle w:val="99"/>
        <w:spacing w:before="57" w:beforeLines="24" w:after="57" w:afterLines="24" w:line="288" w:lineRule="auto"/>
        <w:ind w:left="0" w:right="-2" w:firstLine="0"/>
        <w:contextualSpacing/>
        <w:rPr>
          <w:rFonts w:ascii="Times New Roman" w:hAnsi="Times New Roman" w:cs="Times New Roman"/>
          <w:color w:val="auto"/>
          <w:sz w:val="24"/>
          <w:szCs w:val="24"/>
        </w:rPr>
      </w:pPr>
      <w:bookmarkStart w:id="30" w:name="_Hlk178688754"/>
    </w:p>
    <w:p w14:paraId="2FA7E4FF">
      <w:pPr>
        <w:pStyle w:val="99"/>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8.6 Caso atendidas as condições de participação, a habilitação do licitante provisoriamente classificado em primeiro lugar será verificada pelo Pregoeiro por meio do registro cadastral no SICAF, quanto aos documentos por este abrangidos.</w:t>
      </w:r>
    </w:p>
    <w:p w14:paraId="5708E24D">
      <w:pPr>
        <w:pStyle w:val="103"/>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8.6.1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ADE91BF">
      <w:pPr>
        <w:pStyle w:val="103"/>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8.6.2 A não observância do disposto no item anterior poderá ensejar desclassificação no momento da habilitação, exceto se o Pregoeiro, em consulta aos sítios eletrônicos oficiais de órgãos e entidades emissores de certidões, lograr êxito em encontrar a(s) certidão(ões) válida(s).</w:t>
      </w:r>
    </w:p>
    <w:p w14:paraId="178A03D6">
      <w:pPr>
        <w:pStyle w:val="103"/>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8.6.3 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sob pena de inabilitação.</w:t>
      </w:r>
    </w:p>
    <w:p w14:paraId="24C1EC1B">
      <w:pPr>
        <w:pStyle w:val="103"/>
        <w:spacing w:before="57" w:beforeLines="24" w:after="57" w:afterLines="24" w:line="288" w:lineRule="auto"/>
        <w:ind w:left="0" w:right="-2"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8.6.4 Somente haverá a necessidade de comprovação do preenchimento de requisitos mediante apresentação dos documentos originais não-digitais quando houver dúvida em relação à integridade do documento digital ou quando a lei expressamente o exigir.</w:t>
      </w:r>
    </w:p>
    <w:bookmarkEnd w:id="30"/>
    <w:p w14:paraId="3E8B8699">
      <w:pPr>
        <w:pStyle w:val="99"/>
        <w:spacing w:before="57" w:beforeLines="24" w:after="57" w:afterLines="24" w:line="288" w:lineRule="auto"/>
        <w:ind w:left="0" w:firstLine="0"/>
        <w:contextualSpacing/>
        <w:rPr>
          <w:rFonts w:ascii="Times New Roman" w:hAnsi="Times New Roman" w:cs="Times New Roman"/>
          <w:sz w:val="24"/>
          <w:szCs w:val="24"/>
        </w:rPr>
      </w:pPr>
    </w:p>
    <w:p w14:paraId="09B77DAB">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8.7 Após a apresentação dos documentos de habilitação, fica vedada a substituição ou a apresentação de novos documentos, salvo em sede de diligência, para:</w:t>
      </w:r>
    </w:p>
    <w:p w14:paraId="5F5CB3AE">
      <w:pPr>
        <w:pStyle w:val="99"/>
        <w:spacing w:before="57" w:beforeLines="24" w:after="57" w:afterLines="24" w:line="288" w:lineRule="auto"/>
        <w:ind w:left="0" w:firstLine="0"/>
        <w:contextualSpacing/>
        <w:rPr>
          <w:rFonts w:ascii="Times New Roman" w:hAnsi="Times New Roman" w:cs="Times New Roman"/>
          <w:sz w:val="24"/>
          <w:szCs w:val="24"/>
        </w:rPr>
      </w:pPr>
    </w:p>
    <w:p w14:paraId="0265FAA6">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complementação de informações acerca dos documentos já apresentados pelos licitantes e desde que necessária para apurar fatos existentes à época da abertura do certame; e</w:t>
      </w:r>
    </w:p>
    <w:p w14:paraId="1D4D5D04">
      <w:pPr>
        <w:pStyle w:val="99"/>
        <w:spacing w:before="57" w:beforeLines="24" w:after="57" w:afterLines="24" w:line="288" w:lineRule="auto"/>
        <w:ind w:left="0" w:firstLine="0"/>
        <w:contextualSpacing/>
        <w:rPr>
          <w:rFonts w:ascii="Times New Roman" w:hAnsi="Times New Roman" w:cs="Times New Roman"/>
          <w:sz w:val="24"/>
          <w:szCs w:val="24"/>
        </w:rPr>
      </w:pPr>
    </w:p>
    <w:p w14:paraId="3BF62A76">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atualização de documentos cuja validade tenha expirado após a data de recebimento das propostas.</w:t>
      </w:r>
    </w:p>
    <w:p w14:paraId="6DC7D0B3">
      <w:pPr>
        <w:pStyle w:val="99"/>
        <w:spacing w:before="57" w:beforeLines="24" w:after="57" w:afterLines="24" w:line="288" w:lineRule="auto"/>
        <w:ind w:left="0" w:firstLine="0"/>
        <w:contextualSpacing/>
        <w:rPr>
          <w:rFonts w:ascii="Times New Roman" w:hAnsi="Times New Roman" w:cs="Times New Roman"/>
          <w:sz w:val="24"/>
          <w:szCs w:val="24"/>
        </w:rPr>
      </w:pPr>
    </w:p>
    <w:p w14:paraId="259E4915">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8.8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44666D64">
      <w:pPr>
        <w:pStyle w:val="99"/>
        <w:spacing w:before="57" w:beforeLines="24" w:after="57" w:afterLines="24" w:line="288" w:lineRule="auto"/>
        <w:ind w:left="0" w:firstLine="0"/>
        <w:contextualSpacing/>
        <w:rPr>
          <w:rFonts w:ascii="Times New Roman" w:hAnsi="Times New Roman" w:cs="Times New Roman"/>
          <w:sz w:val="24"/>
          <w:szCs w:val="24"/>
        </w:rPr>
      </w:pPr>
    </w:p>
    <w:p w14:paraId="287F691A">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3AEFC0C5">
      <w:pPr>
        <w:pStyle w:val="103"/>
        <w:spacing w:before="57" w:beforeLines="24" w:after="57" w:afterLines="24" w:line="288" w:lineRule="auto"/>
        <w:ind w:left="0" w:firstLine="0"/>
        <w:contextualSpacing/>
        <w:rPr>
          <w:rFonts w:ascii="Times New Roman" w:hAnsi="Times New Roman" w:cs="Times New Roman"/>
          <w:sz w:val="24"/>
          <w:szCs w:val="24"/>
        </w:rPr>
      </w:pPr>
    </w:p>
    <w:p w14:paraId="1AC3137F">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8CF9F04">
      <w:pPr>
        <w:pStyle w:val="99"/>
        <w:spacing w:before="57" w:beforeLines="24" w:after="57" w:afterLines="24" w:line="288" w:lineRule="auto"/>
        <w:ind w:left="0" w:firstLine="0"/>
        <w:contextualSpacing/>
        <w:rPr>
          <w:rFonts w:ascii="Times New Roman" w:hAnsi="Times New Roman" w:cs="Times New Roman"/>
          <w:sz w:val="24"/>
          <w:szCs w:val="24"/>
        </w:rPr>
      </w:pPr>
    </w:p>
    <w:p w14:paraId="601438EA">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8.10 Constatado o atendimento às exigências de habilitação, o licitante será habilitado.</w:t>
      </w:r>
    </w:p>
    <w:p w14:paraId="02D84865">
      <w:pPr>
        <w:pStyle w:val="99"/>
        <w:spacing w:before="57" w:beforeLines="24" w:after="57" w:afterLines="24" w:line="288" w:lineRule="auto"/>
        <w:ind w:left="0" w:firstLine="0"/>
        <w:contextualSpacing/>
        <w:rPr>
          <w:rFonts w:ascii="Times New Roman" w:hAnsi="Times New Roman" w:cs="Times New Roman"/>
          <w:sz w:val="24"/>
          <w:szCs w:val="24"/>
        </w:rPr>
      </w:pPr>
    </w:p>
    <w:p w14:paraId="3E5E06EF">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8.11 Somente serão disponibilizados para acesso público os documentos de habilitação do licitante cuja proposta atenda ao edital de licitação, após declarada sua habilitação. </w:t>
      </w:r>
    </w:p>
    <w:p w14:paraId="383CDA2A">
      <w:pPr>
        <w:pStyle w:val="99"/>
        <w:spacing w:before="57" w:beforeLines="24" w:after="57" w:afterLines="24" w:line="288" w:lineRule="auto"/>
        <w:ind w:left="0" w:firstLine="0"/>
        <w:contextualSpacing/>
        <w:rPr>
          <w:rFonts w:ascii="Times New Roman" w:hAnsi="Times New Roman" w:cs="Times New Roman"/>
          <w:sz w:val="24"/>
          <w:szCs w:val="24"/>
        </w:rPr>
      </w:pPr>
    </w:p>
    <w:p w14:paraId="118A57D9">
      <w:pPr>
        <w:pStyle w:val="99"/>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8.12 Não serão aceitos documentos de habilitação com indicação de CNPJ/CPF diferentes, salvo aqueles legalmente permitidos.</w:t>
      </w:r>
    </w:p>
    <w:p w14:paraId="0358EA77">
      <w:pPr>
        <w:pStyle w:val="99"/>
        <w:spacing w:before="57" w:beforeLines="24" w:after="57" w:afterLines="24" w:line="288" w:lineRule="auto"/>
        <w:ind w:left="0" w:firstLine="0"/>
        <w:contextualSpacing/>
        <w:rPr>
          <w:rFonts w:ascii="Times New Roman" w:hAnsi="Times New Roman" w:cs="Times New Roman"/>
          <w:color w:val="auto"/>
          <w:sz w:val="24"/>
          <w:szCs w:val="24"/>
        </w:rPr>
      </w:pPr>
    </w:p>
    <w:p w14:paraId="0527876A">
      <w:pPr>
        <w:pStyle w:val="103"/>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5882991D">
      <w:pPr>
        <w:pStyle w:val="103"/>
        <w:spacing w:before="57" w:beforeLines="24" w:after="57" w:afterLines="24" w:line="288" w:lineRule="auto"/>
        <w:ind w:left="0" w:firstLine="0"/>
        <w:contextualSpacing/>
        <w:rPr>
          <w:rFonts w:ascii="Times New Roman" w:hAnsi="Times New Roman" w:cs="Times New Roman"/>
          <w:color w:val="auto"/>
          <w:sz w:val="24"/>
          <w:szCs w:val="24"/>
        </w:rPr>
      </w:pPr>
    </w:p>
    <w:p w14:paraId="2538E2CD">
      <w:pPr>
        <w:pStyle w:val="103"/>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8.12.2 Serão aceitos registros de CNPJ de licitante matriz e filial com diferenças de números de documentos pertinentes ao CND e ao CRF/FGTS, quando for comprovada a centralização do recolhimento dessas contribuições.</w:t>
      </w:r>
    </w:p>
    <w:p w14:paraId="12619037">
      <w:pPr>
        <w:pStyle w:val="103"/>
        <w:spacing w:before="57" w:beforeLines="24" w:after="57" w:afterLines="24" w:line="288" w:lineRule="auto"/>
        <w:ind w:left="0" w:firstLine="0"/>
        <w:contextualSpacing/>
        <w:rPr>
          <w:rFonts w:ascii="Times New Roman" w:hAnsi="Times New Roman" w:cs="Times New Roman"/>
          <w:sz w:val="24"/>
          <w:szCs w:val="24"/>
        </w:rPr>
      </w:pPr>
    </w:p>
    <w:p w14:paraId="43E65B3B">
      <w:pPr>
        <w:pStyle w:val="99"/>
        <w:spacing w:before="288" w:beforeLines="120" w:after="288" w:afterLines="120" w:line="288" w:lineRule="auto"/>
        <w:ind w:left="0" w:firstLine="0"/>
        <w:contextualSpacing/>
        <w:rPr>
          <w:rFonts w:ascii="Times New Roman" w:hAnsi="Times New Roman" w:cs="Times New Roman"/>
          <w:color w:val="auto"/>
          <w:sz w:val="24"/>
          <w:szCs w:val="24"/>
        </w:rPr>
      </w:pPr>
      <w:bookmarkStart w:id="31" w:name="_Hlk154307107"/>
      <w:r>
        <w:rPr>
          <w:rFonts w:ascii="Times New Roman" w:hAnsi="Times New Roman" w:cs="Times New Roman"/>
          <w:sz w:val="24"/>
          <w:szCs w:val="24"/>
        </w:rPr>
        <w:t xml:space="preserve">8.13 A comprovação de regularidade fiscal e trabalhista das microempresas e das empresas de pequeno porte será exigida nos termos </w:t>
      </w:r>
      <w:r>
        <w:rPr>
          <w:rFonts w:ascii="Times New Roman" w:hAnsi="Times New Roman" w:eastAsia="Zurich BT" w:cs="Times New Roman"/>
          <w:color w:val="auto"/>
          <w:sz w:val="24"/>
          <w:szCs w:val="24"/>
        </w:rPr>
        <w:t xml:space="preserve">regulamentada pelo </w:t>
      </w:r>
      <w:r>
        <w:rPr>
          <w:rFonts w:ascii="Times New Roman" w:hAnsi="Times New Roman" w:cs="Times New Roman"/>
          <w:sz w:val="24"/>
          <w:szCs w:val="24"/>
        </w:rPr>
        <w:t>Lei Municipal nº 2367/2007.</w:t>
      </w:r>
    </w:p>
    <w:p w14:paraId="7746CAAF">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71DA9D1F">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8.14 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14:paraId="6ACAB0B6">
      <w:pPr>
        <w:pStyle w:val="99"/>
        <w:spacing w:before="57" w:beforeLines="24" w:after="57" w:afterLines="24" w:line="288" w:lineRule="auto"/>
        <w:ind w:left="0" w:firstLine="0"/>
        <w:contextualSpacing/>
        <w:rPr>
          <w:rFonts w:ascii="Times New Roman" w:hAnsi="Times New Roman" w:cs="Times New Roman"/>
          <w:sz w:val="24"/>
          <w:szCs w:val="24"/>
        </w:rPr>
      </w:pPr>
    </w:p>
    <w:p w14:paraId="7CEA1918">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das pessoas jurídicas, a comprovação relativa à habilitação jurídica, regularidade fiscal estadual, à Seguridade Social e ao FGTS e a regularidade perante a Justiça do Trabalho; e</w:t>
      </w:r>
    </w:p>
    <w:p w14:paraId="3BD1ABF9">
      <w:pPr>
        <w:pStyle w:val="99"/>
        <w:spacing w:before="57" w:beforeLines="24" w:after="57" w:afterLines="24" w:line="288" w:lineRule="auto"/>
        <w:ind w:left="0" w:firstLine="0"/>
        <w:contextualSpacing/>
        <w:rPr>
          <w:rFonts w:ascii="Times New Roman" w:hAnsi="Times New Roman" w:cs="Times New Roman"/>
          <w:sz w:val="24"/>
          <w:szCs w:val="24"/>
        </w:rPr>
      </w:pPr>
    </w:p>
    <w:p w14:paraId="75BF4BD7">
      <w:pPr>
        <w:pStyle w:val="99"/>
        <w:spacing w:before="57" w:beforeLines="24" w:after="57" w:afterLines="24" w:line="288" w:lineRule="auto"/>
        <w:ind w:left="0" w:firstLine="0"/>
        <w:contextualSpacing/>
        <w:rPr>
          <w:rFonts w:ascii="Times New Roman" w:hAnsi="Times New Roman" w:cs="Times New Roman"/>
          <w:color w:val="FF0000"/>
          <w:sz w:val="24"/>
          <w:szCs w:val="24"/>
        </w:rPr>
      </w:pPr>
      <w:r>
        <w:rPr>
          <w:rFonts w:ascii="Times New Roman" w:hAnsi="Times New Roman" w:cs="Times New Roman"/>
          <w:sz w:val="24"/>
          <w:szCs w:val="24"/>
        </w:rPr>
        <w:t xml:space="preserve">b) das pessoas físicas, a comprovação da regularidade fiscal com a Fazenda </w:t>
      </w:r>
      <w:r>
        <w:rPr>
          <w:rFonts w:ascii="Times New Roman" w:hAnsi="Times New Roman" w:cs="Times New Roman"/>
          <w:color w:val="000000" w:themeColor="text1"/>
          <w:sz w:val="24"/>
          <w:szCs w:val="24"/>
          <w14:textFill>
            <w14:solidFill>
              <w14:schemeClr w14:val="tx1"/>
            </w14:solidFill>
          </w14:textFill>
        </w:rPr>
        <w:t>Estadual, c</w:t>
      </w:r>
      <w:r>
        <w:rPr>
          <w:rFonts w:ascii="Times New Roman" w:hAnsi="Times New Roman" w:cs="Times New Roman"/>
          <w:color w:val="000000" w:themeColor="text1"/>
          <w:sz w:val="24"/>
          <w:szCs w:val="24"/>
          <w:lang w:eastAsia="en-US"/>
          <w14:textFill>
            <w14:solidFill>
              <w14:schemeClr w14:val="tx1"/>
            </w14:solidFill>
          </w14:textFill>
        </w:rPr>
        <w:t>onforme art. 17, §2º, do Decreto nº 45/2025.</w:t>
      </w:r>
    </w:p>
    <w:p w14:paraId="46CD75E2">
      <w:pPr>
        <w:pStyle w:val="99"/>
        <w:spacing w:before="57" w:beforeLines="24" w:after="57" w:afterLines="24" w:line="288" w:lineRule="auto"/>
        <w:ind w:left="0" w:firstLine="0"/>
        <w:contextualSpacing/>
        <w:rPr>
          <w:rFonts w:ascii="Times New Roman" w:hAnsi="Times New Roman" w:cs="Times New Roman"/>
          <w:sz w:val="24"/>
          <w:szCs w:val="24"/>
        </w:rPr>
      </w:pPr>
    </w:p>
    <w:bookmarkEnd w:id="31"/>
    <w:p w14:paraId="533045D4">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8.15 Quando permitida a participação de empresas estrangeiras que não funcionem no País, as exigências de habilitação serão atendidas mediante documentos equivalentes, inicialmente apresentados em tradução livre.</w:t>
      </w:r>
    </w:p>
    <w:p w14:paraId="7DF3B0FA">
      <w:pPr>
        <w:pStyle w:val="99"/>
        <w:spacing w:before="57" w:beforeLines="24" w:after="57" w:afterLines="24" w:line="288" w:lineRule="auto"/>
        <w:ind w:left="0" w:firstLine="0"/>
        <w:contextualSpacing/>
        <w:rPr>
          <w:rFonts w:ascii="Times New Roman" w:hAnsi="Times New Roman" w:cs="Times New Roman"/>
          <w:sz w:val="24"/>
          <w:szCs w:val="24"/>
        </w:rPr>
      </w:pPr>
    </w:p>
    <w:p w14:paraId="08D9544B">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8.15.1 O licitante deverá ter procurador residente e domiciliado no Brasil, com poderes para receber citação, intimação e responder administrativa e judicialmente por seus atos, juntando o instrumento de mandato com os documentos de habilitação.</w:t>
      </w:r>
    </w:p>
    <w:p w14:paraId="14838343">
      <w:pPr>
        <w:pStyle w:val="103"/>
        <w:spacing w:before="57" w:beforeLines="24" w:after="57" w:afterLines="24" w:line="288" w:lineRule="auto"/>
        <w:ind w:left="0" w:firstLine="0"/>
        <w:contextualSpacing/>
        <w:rPr>
          <w:rFonts w:ascii="Times New Roman" w:hAnsi="Times New Roman" w:cs="Times New Roman"/>
          <w:sz w:val="24"/>
          <w:szCs w:val="24"/>
        </w:rPr>
      </w:pPr>
    </w:p>
    <w:p w14:paraId="144F55CB">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8.15.2 Na hipótese de o licitante vencedor ser empresa estrangeira que não funcione no País, para fins de assinatura do contrato ou da ata de registro de preços, os documentos exigidos para a habilitação serão traduzidos por tradutor juramentado no País e apostilados, ou consularizados pelos respectivos consulados ou embaixadas.</w:t>
      </w:r>
    </w:p>
    <w:p w14:paraId="429B05EB">
      <w:pPr>
        <w:pStyle w:val="103"/>
        <w:spacing w:before="57" w:beforeLines="24" w:after="57" w:afterLines="24" w:line="288" w:lineRule="auto"/>
        <w:ind w:left="0" w:firstLine="0"/>
        <w:contextualSpacing/>
        <w:rPr>
          <w:rFonts w:ascii="Times New Roman" w:hAnsi="Times New Roman" w:cs="Times New Roman"/>
          <w:sz w:val="24"/>
          <w:szCs w:val="24"/>
        </w:rPr>
      </w:pPr>
    </w:p>
    <w:p w14:paraId="503ED28D">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8.16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5203E52">
      <w:pPr>
        <w:pStyle w:val="99"/>
        <w:spacing w:before="57" w:beforeLines="24" w:after="57" w:afterLines="24" w:line="288" w:lineRule="auto"/>
        <w:ind w:left="0" w:firstLine="0"/>
        <w:contextualSpacing/>
        <w:rPr>
          <w:rFonts w:ascii="Times New Roman" w:hAnsi="Times New Roman" w:cs="Times New Roman"/>
          <w:sz w:val="24"/>
          <w:szCs w:val="24"/>
        </w:rPr>
      </w:pPr>
    </w:p>
    <w:p w14:paraId="11039420">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8.16.1 Se o consórcio não for formado integralmente por microempresas ou empresas de pequeno porte e forem exigidos neste Edital requisitos de habilitação econômico-financeira, haverá um acréscimo </w:t>
      </w:r>
      <w:r>
        <w:rPr>
          <w:rFonts w:ascii="Times New Roman" w:hAnsi="Times New Roman" w:cs="Times New Roman"/>
          <w:color w:val="000000" w:themeColor="text1"/>
          <w:sz w:val="24"/>
          <w:szCs w:val="24"/>
          <w14:textFill>
            <w14:solidFill>
              <w14:schemeClr w14:val="tx1"/>
            </w14:solidFill>
          </w14:textFill>
        </w:rPr>
        <w:t xml:space="preserve">de 10% A 30 % </w:t>
      </w:r>
      <w:r>
        <w:rPr>
          <w:rFonts w:ascii="Times New Roman" w:hAnsi="Times New Roman" w:cs="Times New Roman"/>
          <w:sz w:val="24"/>
          <w:szCs w:val="24"/>
        </w:rPr>
        <w:t>para o consórcio em relação ao valor exigido para os licitantes individuais.</w:t>
      </w:r>
    </w:p>
    <w:p w14:paraId="51565C47">
      <w:pPr>
        <w:pStyle w:val="103"/>
        <w:spacing w:before="57" w:beforeLines="24" w:after="57" w:afterLines="24" w:line="288" w:lineRule="auto"/>
        <w:ind w:left="0" w:firstLine="0"/>
        <w:contextualSpacing/>
        <w:rPr>
          <w:rFonts w:ascii="Times New Roman" w:hAnsi="Times New Roman" w:cs="Times New Roman"/>
          <w:sz w:val="24"/>
          <w:szCs w:val="24"/>
        </w:rPr>
      </w:pPr>
    </w:p>
    <w:p w14:paraId="791EE2A9">
      <w:pPr>
        <w:spacing w:line="288" w:lineRule="auto"/>
        <w:contextualSpacing/>
        <w:jc w:val="both"/>
        <w:rPr>
          <w:color w:val="000000"/>
          <w:sz w:val="24"/>
          <w:szCs w:val="24"/>
        </w:rPr>
      </w:pPr>
      <w:r>
        <w:rPr>
          <w:color w:val="000000"/>
          <w:sz w:val="24"/>
          <w:szCs w:val="24"/>
        </w:rPr>
        <w:t>8.17 As certidões valerão nos prazos que lhes são próprios. Inexistindo esse prazo, reputar-se-ão válidas por 90 (noventa) dias, contados de sua expedição.</w:t>
      </w:r>
    </w:p>
    <w:p w14:paraId="30EA698D">
      <w:pPr>
        <w:spacing w:line="288" w:lineRule="auto"/>
        <w:contextualSpacing/>
        <w:jc w:val="both"/>
        <w:rPr>
          <w:color w:val="000000"/>
          <w:sz w:val="24"/>
          <w:szCs w:val="24"/>
        </w:rPr>
      </w:pPr>
    </w:p>
    <w:p w14:paraId="2BE01F50">
      <w:pPr>
        <w:spacing w:line="288" w:lineRule="auto"/>
        <w:contextualSpacing/>
        <w:jc w:val="both"/>
        <w:rPr>
          <w:color w:val="000000"/>
          <w:sz w:val="24"/>
          <w:szCs w:val="24"/>
        </w:rPr>
      </w:pPr>
      <w:r>
        <w:rPr>
          <w:color w:val="000000"/>
          <w:sz w:val="24"/>
          <w:szCs w:val="24"/>
        </w:rPr>
        <w:t>8.17.1 Caso seja feita a opção pela opção da certidão referida no item 8.6.2, esta seguirá, como prazo de validade, a sistemática própria estabelecida em âmbito federal constante do SICAF.</w:t>
      </w:r>
    </w:p>
    <w:p w14:paraId="501E18C7">
      <w:pPr>
        <w:pStyle w:val="101"/>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 DA IMPUGNAÇÃO AO EDITAL, DO PEDIDO DE ESCLARECIMENTO E DOS RECURSOS</w:t>
      </w:r>
    </w:p>
    <w:p w14:paraId="2DA96688">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 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devendo protocolar o pedido até 3 (três) dias úteis antes da data da abertura do certame.</w:t>
      </w:r>
    </w:p>
    <w:p w14:paraId="56CF39E2">
      <w:pPr>
        <w:pStyle w:val="99"/>
        <w:spacing w:before="288" w:beforeLines="120" w:after="288" w:afterLines="120" w:line="288" w:lineRule="auto"/>
        <w:ind w:left="0" w:firstLine="0"/>
        <w:contextualSpacing/>
        <w:rPr>
          <w:rFonts w:ascii="Times New Roman" w:hAnsi="Times New Roman" w:cs="Times New Roman"/>
          <w:sz w:val="24"/>
          <w:szCs w:val="24"/>
        </w:rPr>
      </w:pPr>
    </w:p>
    <w:p w14:paraId="66EC8211">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9.1.1 A impugnação e o pedido de esclarecimento poderão ser realizados por forma eletrônica, através do e-mail funcional </w:t>
      </w:r>
      <w:r>
        <w:rPr>
          <w:rFonts w:ascii="Times New Roman" w:hAnsi="Times New Roman" w:cs="Times New Roman"/>
          <w:b/>
          <w:bCs/>
          <w:i/>
          <w:iCs/>
          <w:sz w:val="24"/>
          <w:szCs w:val="24"/>
          <w:u w:val="single"/>
        </w:rPr>
        <w:t>licitacoespmvrj@gmail.com</w:t>
      </w:r>
      <w:r>
        <w:rPr>
          <w:rFonts w:ascii="Times New Roman" w:hAnsi="Times New Roman" w:cs="Times New Roman"/>
          <w:color w:val="auto"/>
          <w:sz w:val="24"/>
          <w:szCs w:val="24"/>
        </w:rPr>
        <w:t xml:space="preserve">, </w:t>
      </w:r>
      <w:r>
        <w:rPr>
          <w:rFonts w:ascii="Times New Roman" w:hAnsi="Times New Roman" w:cs="Times New Roman"/>
          <w:sz w:val="24"/>
          <w:szCs w:val="24"/>
        </w:rPr>
        <w:t>mediante confirmação de recebimento.</w:t>
      </w:r>
    </w:p>
    <w:p w14:paraId="1A46C6C1">
      <w:pPr>
        <w:pStyle w:val="99"/>
        <w:spacing w:before="288" w:beforeLines="120" w:after="288" w:afterLines="120" w:line="288" w:lineRule="auto"/>
        <w:ind w:left="0" w:firstLine="0"/>
        <w:contextualSpacing/>
        <w:rPr>
          <w:rFonts w:ascii="Times New Roman" w:hAnsi="Times New Roman" w:cs="Times New Roman"/>
          <w:sz w:val="24"/>
          <w:szCs w:val="24"/>
        </w:rPr>
      </w:pPr>
    </w:p>
    <w:p w14:paraId="2843A844">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9.1.2 A resposta à impugnação ou ao pedido de esclarecimento será divulgado em sítio eletrônico oficial no prazo de até 3 (três) dias úteis, limitado ao último dia útil anterior à data da abertura do certame.</w:t>
      </w:r>
    </w:p>
    <w:p w14:paraId="469AFD7D">
      <w:pPr>
        <w:pStyle w:val="99"/>
        <w:spacing w:before="288" w:beforeLines="120" w:after="288" w:afterLines="120" w:line="288" w:lineRule="auto"/>
        <w:ind w:left="0" w:firstLine="0"/>
        <w:contextualSpacing/>
        <w:rPr>
          <w:rFonts w:ascii="Times New Roman" w:hAnsi="Times New Roman" w:cs="Times New Roman"/>
          <w:sz w:val="24"/>
          <w:szCs w:val="24"/>
        </w:rPr>
      </w:pPr>
    </w:p>
    <w:p w14:paraId="42FB7482">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9.1.3 As impugnações e pedidos de esclarecimentos não suspendem os prazos previstos no certame.</w:t>
      </w:r>
    </w:p>
    <w:p w14:paraId="43B17FBC">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9.1.4 A concessão de efeito suspensivo à impugnação é medida excepcional e deverá ser motivada pela autoridade competente, nos autos do processo de licitação.</w:t>
      </w:r>
    </w:p>
    <w:p w14:paraId="0B7E2757">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9.1.5 Modificado substancialmente o edital como resultado da resposta à impugnação ou ao pedido de esclarecimento, será definida e publicada nova data para a realização do certame.</w:t>
      </w:r>
    </w:p>
    <w:p w14:paraId="01B7F87F">
      <w:pPr>
        <w:pStyle w:val="99"/>
        <w:spacing w:before="57" w:beforeLines="24" w:after="57" w:afterLines="24" w:line="288" w:lineRule="auto"/>
        <w:ind w:left="0" w:firstLine="0"/>
        <w:contextualSpacing/>
        <w:rPr>
          <w:rFonts w:ascii="Times New Roman" w:hAnsi="Times New Roman" w:cs="Times New Roman"/>
          <w:sz w:val="24"/>
          <w:szCs w:val="24"/>
        </w:rPr>
      </w:pPr>
    </w:p>
    <w:p w14:paraId="09C4C2FB">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9.2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5C78DC6B">
      <w:pPr>
        <w:pStyle w:val="103"/>
        <w:spacing w:before="57" w:beforeLines="24" w:after="57" w:afterLines="24" w:line="288" w:lineRule="auto"/>
        <w:ind w:left="0" w:firstLine="0"/>
        <w:contextualSpacing/>
        <w:rPr>
          <w:rFonts w:ascii="Times New Roman" w:hAnsi="Times New Roman" w:cs="Times New Roman"/>
          <w:sz w:val="24"/>
          <w:szCs w:val="24"/>
        </w:rPr>
      </w:pPr>
    </w:p>
    <w:p w14:paraId="23ACDF69">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9.2.1 As razões do recurso deverão ser apresentadas em momento único, no prazo de três dias úteis, em campo próprio do sistema eletrônico de contratações ou, em sua indisponibilidade, para o e-mail funcional </w:t>
      </w:r>
      <w:r>
        <w:rPr>
          <w:rFonts w:ascii="Times New Roman" w:hAnsi="Times New Roman" w:cs="Times New Roman"/>
          <w:b/>
          <w:i/>
          <w:sz w:val="24"/>
          <w:szCs w:val="24"/>
          <w:u w:val="single"/>
        </w:rPr>
        <w:t>licitacoespmvrj@gmail.com</w:t>
      </w:r>
      <w:r>
        <w:rPr>
          <w:rFonts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sz w:val="24"/>
          <w:szCs w:val="24"/>
        </w:rPr>
        <w:t xml:space="preserve"> mediante confirmação de recebimento, contados:</w:t>
      </w:r>
    </w:p>
    <w:p w14:paraId="3A0394F0">
      <w:pPr>
        <w:pStyle w:val="103"/>
        <w:spacing w:before="57" w:beforeLines="24" w:after="57" w:afterLines="24" w:line="288" w:lineRule="auto"/>
        <w:ind w:left="0" w:firstLine="0"/>
        <w:contextualSpacing/>
        <w:rPr>
          <w:rFonts w:ascii="Times New Roman" w:hAnsi="Times New Roman" w:cs="Times New Roman"/>
          <w:sz w:val="24"/>
          <w:szCs w:val="24"/>
        </w:rPr>
      </w:pPr>
    </w:p>
    <w:p w14:paraId="36759434">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a partir da data de intimação ou de lavratura da ata de habilitação ou inabilitação;</w:t>
      </w:r>
    </w:p>
    <w:p w14:paraId="57C360A3">
      <w:pPr>
        <w:pStyle w:val="103"/>
        <w:spacing w:before="57" w:beforeLines="24" w:after="57" w:afterLines="24" w:line="288" w:lineRule="auto"/>
        <w:ind w:left="0" w:firstLine="0"/>
        <w:contextualSpacing/>
        <w:rPr>
          <w:rFonts w:ascii="Times New Roman" w:hAnsi="Times New Roman" w:cs="Times New Roman"/>
          <w:sz w:val="24"/>
          <w:szCs w:val="24"/>
        </w:rPr>
      </w:pPr>
    </w:p>
    <w:p w14:paraId="7D5F2D92">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 partir da ata de julgamento, nas licitações com inversão de fases.</w:t>
      </w:r>
    </w:p>
    <w:p w14:paraId="47642A82">
      <w:pPr>
        <w:pStyle w:val="103"/>
        <w:spacing w:before="57" w:beforeLines="24" w:after="57" w:afterLines="24" w:line="288" w:lineRule="auto"/>
        <w:ind w:left="0" w:firstLine="0"/>
        <w:contextualSpacing/>
        <w:rPr>
          <w:rFonts w:ascii="Times New Roman" w:hAnsi="Times New Roman" w:cs="Times New Roman"/>
          <w:sz w:val="24"/>
          <w:szCs w:val="24"/>
        </w:rPr>
      </w:pPr>
    </w:p>
    <w:p w14:paraId="68BF896D">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9.2.2 Os demais licitantes ficarão intimados para, se desejarem, apresentar suas contrarrazões, no prazo de três dias úteis, contado da data de intimação pessoal ou de divulgação da interposição do recurso.</w:t>
      </w:r>
    </w:p>
    <w:p w14:paraId="17081063">
      <w:pPr>
        <w:pStyle w:val="103"/>
        <w:spacing w:before="57" w:beforeLines="24" w:after="57" w:afterLines="24" w:line="288" w:lineRule="auto"/>
        <w:ind w:left="0" w:firstLine="0"/>
        <w:contextualSpacing/>
        <w:rPr>
          <w:rFonts w:ascii="Times New Roman" w:hAnsi="Times New Roman" w:cs="Times New Roman"/>
          <w:sz w:val="24"/>
          <w:szCs w:val="24"/>
        </w:rPr>
      </w:pPr>
    </w:p>
    <w:p w14:paraId="2B696E1F">
      <w:pPr>
        <w:pStyle w:val="10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9.2.3 Os recursos interpostos fora do prazo não serão conhecidos.</w:t>
      </w:r>
    </w:p>
    <w:p w14:paraId="06B27208">
      <w:pPr>
        <w:pStyle w:val="103"/>
        <w:spacing w:before="57" w:beforeLines="24" w:after="57" w:afterLines="24" w:line="288" w:lineRule="auto"/>
        <w:ind w:left="0" w:firstLine="0"/>
        <w:contextualSpacing/>
        <w:rPr>
          <w:rFonts w:ascii="Times New Roman" w:hAnsi="Times New Roman" w:cs="Times New Roman"/>
          <w:sz w:val="24"/>
          <w:szCs w:val="24"/>
        </w:rPr>
      </w:pPr>
    </w:p>
    <w:p w14:paraId="06CD5D6C">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9.2.4 Caberá ao Pregoeiro, no prazo de 3 (três) dias úteis, receber, examinar e decidir os recursos e encaminhá-los à autoridade superior quando mantiver sua decisão, a qual deverá proferir sua decisão no prazo de 10 (dez) dias úteis, contado do recebimento dos autos.</w:t>
      </w:r>
    </w:p>
    <w:p w14:paraId="0F85BAC6">
      <w:pPr>
        <w:pStyle w:val="99"/>
        <w:spacing w:before="57" w:beforeLines="24" w:after="57" w:afterLines="24" w:line="288" w:lineRule="auto"/>
        <w:ind w:left="0" w:firstLine="0"/>
        <w:contextualSpacing/>
        <w:rPr>
          <w:rFonts w:ascii="Times New Roman" w:hAnsi="Times New Roman" w:cs="Times New Roman"/>
          <w:sz w:val="24"/>
          <w:szCs w:val="24"/>
        </w:rPr>
      </w:pPr>
    </w:p>
    <w:p w14:paraId="185AFCCC">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9.2.5 Será assegurado ao licitante vista dos elementos indispensáveis à defesa de seus interesses.</w:t>
      </w:r>
    </w:p>
    <w:p w14:paraId="75A0E0CB">
      <w:pPr>
        <w:pStyle w:val="99"/>
        <w:spacing w:before="57" w:beforeLines="24" w:after="57" w:afterLines="24" w:line="288" w:lineRule="auto"/>
        <w:ind w:left="0" w:firstLine="0"/>
        <w:contextualSpacing/>
        <w:rPr>
          <w:rFonts w:ascii="Times New Roman" w:hAnsi="Times New Roman" w:cs="Times New Roman"/>
          <w:sz w:val="24"/>
          <w:szCs w:val="24"/>
        </w:rPr>
      </w:pPr>
    </w:p>
    <w:p w14:paraId="37DCBEE9">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9.2.6 O recurso e o pedido de reconsideração terão efeito suspensivo do ato ou da decisão recorrida até que sobrevenha decisão final da autoridade competente.</w:t>
      </w:r>
    </w:p>
    <w:p w14:paraId="2A94D187">
      <w:pPr>
        <w:pStyle w:val="99"/>
        <w:spacing w:before="57" w:beforeLines="24" w:after="57" w:afterLines="24" w:line="288" w:lineRule="auto"/>
        <w:ind w:left="0" w:firstLine="0"/>
        <w:contextualSpacing/>
        <w:rPr>
          <w:rFonts w:ascii="Times New Roman" w:hAnsi="Times New Roman" w:cs="Times New Roman"/>
          <w:sz w:val="24"/>
          <w:szCs w:val="24"/>
        </w:rPr>
      </w:pPr>
    </w:p>
    <w:p w14:paraId="2A36FC90">
      <w:pPr>
        <w:pStyle w:val="99"/>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9.2.7 O acolhimento do recurso invalida tão somente os atos insuscetíveis de aproveitamento. </w:t>
      </w:r>
    </w:p>
    <w:p w14:paraId="1A83F5F5">
      <w:pPr>
        <w:pStyle w:val="97"/>
        <w:spacing w:before="0" w:beforeAutospacing="0" w:after="0" w:afterAutospacing="0" w:line="288" w:lineRule="auto"/>
        <w:contextualSpacing/>
        <w:jc w:val="both"/>
        <w:rPr>
          <w:rFonts w:eastAsia="Calibri"/>
          <w:b/>
          <w:bCs/>
          <w:lang w:eastAsia="en-US"/>
        </w:rPr>
      </w:pPr>
    </w:p>
    <w:p w14:paraId="537F8315">
      <w:pPr>
        <w:spacing w:line="288" w:lineRule="auto"/>
        <w:contextualSpacing/>
        <w:jc w:val="both"/>
        <w:rPr>
          <w:b/>
          <w:bCs/>
          <w:sz w:val="24"/>
          <w:szCs w:val="24"/>
        </w:rPr>
      </w:pPr>
      <w:r>
        <w:rPr>
          <w:b/>
          <w:bCs/>
          <w:sz w:val="24"/>
          <w:szCs w:val="24"/>
        </w:rPr>
        <w:t>10. DO ENCERRAMENTO DA LICITAÇÃO</w:t>
      </w:r>
    </w:p>
    <w:p w14:paraId="5DD4969E">
      <w:pPr>
        <w:spacing w:line="288" w:lineRule="auto"/>
        <w:contextualSpacing/>
        <w:jc w:val="both"/>
        <w:rPr>
          <w:sz w:val="24"/>
          <w:szCs w:val="24"/>
        </w:rPr>
      </w:pPr>
    </w:p>
    <w:p w14:paraId="3FA30B02">
      <w:pPr>
        <w:spacing w:line="288" w:lineRule="auto"/>
        <w:contextualSpacing/>
        <w:jc w:val="both"/>
        <w:rPr>
          <w:sz w:val="24"/>
          <w:szCs w:val="24"/>
        </w:rPr>
      </w:pPr>
      <w:r>
        <w:rPr>
          <w:sz w:val="24"/>
          <w:szCs w:val="24"/>
        </w:rPr>
        <w:t>10.1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6CEA1CDF">
      <w:pPr>
        <w:pStyle w:val="97"/>
        <w:spacing w:before="0" w:beforeAutospacing="0" w:after="0" w:afterAutospacing="0" w:line="288" w:lineRule="auto"/>
        <w:contextualSpacing/>
        <w:jc w:val="both"/>
        <w:rPr>
          <w:rFonts w:eastAsia="Calibri"/>
          <w:b/>
          <w:bCs/>
          <w:lang w:eastAsia="en-US"/>
        </w:rPr>
      </w:pPr>
    </w:p>
    <w:p w14:paraId="6C628C59">
      <w:pPr>
        <w:pStyle w:val="97"/>
        <w:spacing w:before="0" w:beforeAutospacing="0" w:after="0" w:afterAutospacing="0" w:line="288" w:lineRule="auto"/>
        <w:contextualSpacing/>
        <w:jc w:val="both"/>
        <w:rPr>
          <w:rFonts w:eastAsia="Calibri"/>
          <w:b/>
          <w:bCs/>
          <w:lang w:eastAsia="en-US"/>
        </w:rPr>
      </w:pPr>
      <w:r>
        <w:rPr>
          <w:rFonts w:eastAsia="Calibri"/>
          <w:b/>
          <w:bCs/>
          <w:lang w:eastAsia="en-US"/>
        </w:rPr>
        <w:t>11. DA ATA DE REGISTRO DE PREÇOS</w:t>
      </w:r>
    </w:p>
    <w:p w14:paraId="1BAF1D8F">
      <w:pPr>
        <w:pStyle w:val="97"/>
        <w:spacing w:before="0" w:beforeAutospacing="0" w:after="0" w:afterAutospacing="0" w:line="288" w:lineRule="auto"/>
        <w:contextualSpacing/>
        <w:jc w:val="both"/>
        <w:rPr>
          <w:rFonts w:eastAsia="Calibri"/>
          <w:lang w:eastAsia="en-US"/>
        </w:rPr>
      </w:pPr>
    </w:p>
    <w:p w14:paraId="280DA7BB">
      <w:pPr>
        <w:pStyle w:val="97"/>
        <w:spacing w:before="0" w:beforeAutospacing="0" w:after="0" w:afterAutospacing="0" w:line="288" w:lineRule="auto"/>
        <w:contextualSpacing/>
        <w:jc w:val="both"/>
      </w:pPr>
      <w:r>
        <w:rPr>
          <w:rFonts w:eastAsia="Calibri"/>
          <w:lang w:eastAsia="en-US"/>
        </w:rPr>
        <w:t xml:space="preserve">11.1 </w:t>
      </w:r>
      <w:r>
        <w:t>Homologado o resultado do processo licitatório, o(s) licitante(s) melhor classificado(s), deverá(ão) ser convocado(s) para assinar a Ata de Registro de Preços, no prazo de 5 (cinco) dias úteis, sob pena de decair o direito, sem prejuízo das sanções previstas na Lei nº 14.133/2021 e neste Edital.</w:t>
      </w:r>
    </w:p>
    <w:p w14:paraId="2EE86DED">
      <w:pPr>
        <w:pStyle w:val="97"/>
        <w:spacing w:before="0" w:beforeAutospacing="0" w:after="0" w:afterAutospacing="0" w:line="288" w:lineRule="auto"/>
        <w:contextualSpacing/>
        <w:jc w:val="both"/>
      </w:pPr>
    </w:p>
    <w:p w14:paraId="25CDF165">
      <w:pPr>
        <w:pStyle w:val="97"/>
        <w:spacing w:before="0" w:beforeAutospacing="0" w:after="0" w:afterAutospacing="0" w:line="288" w:lineRule="auto"/>
        <w:contextualSpacing/>
        <w:jc w:val="both"/>
      </w:pPr>
      <w:r>
        <w:t>11.1.1 O prazo para assinatura da Ata poderá ser prorrogado uma vez, por igual período, desde que:</w:t>
      </w:r>
    </w:p>
    <w:p w14:paraId="68B2706D">
      <w:pPr>
        <w:pStyle w:val="97"/>
        <w:spacing w:before="0" w:beforeAutospacing="0" w:after="0" w:afterAutospacing="0" w:line="288" w:lineRule="auto"/>
        <w:contextualSpacing/>
        <w:jc w:val="both"/>
      </w:pPr>
    </w:p>
    <w:p w14:paraId="20900368">
      <w:pPr>
        <w:pStyle w:val="97"/>
        <w:spacing w:before="0" w:beforeAutospacing="0" w:after="0" w:afterAutospacing="0" w:line="288" w:lineRule="auto"/>
        <w:contextualSpacing/>
        <w:jc w:val="both"/>
      </w:pPr>
      <w:r>
        <w:t>a) a solicitação seja justificada pelo licitante melhor classificado e apresentada dentro do prazo; e</w:t>
      </w:r>
    </w:p>
    <w:p w14:paraId="4FDF5F48">
      <w:pPr>
        <w:pStyle w:val="97"/>
        <w:spacing w:before="0" w:beforeAutospacing="0" w:after="0" w:afterAutospacing="0" w:line="288" w:lineRule="auto"/>
        <w:contextualSpacing/>
        <w:jc w:val="both"/>
      </w:pPr>
    </w:p>
    <w:p w14:paraId="47573754">
      <w:pPr>
        <w:pStyle w:val="97"/>
        <w:spacing w:before="0" w:beforeAutospacing="0" w:after="0" w:afterAutospacing="0" w:line="288" w:lineRule="auto"/>
        <w:contextualSpacing/>
        <w:jc w:val="both"/>
      </w:pPr>
      <w:r>
        <w:t>b) a justificativa apresentada seja aceita pela Administração.</w:t>
      </w:r>
    </w:p>
    <w:p w14:paraId="77F27A1D">
      <w:pPr>
        <w:pStyle w:val="97"/>
        <w:spacing w:before="0" w:beforeAutospacing="0" w:after="0" w:afterAutospacing="0" w:line="288" w:lineRule="auto"/>
        <w:contextualSpacing/>
        <w:jc w:val="both"/>
      </w:pPr>
    </w:p>
    <w:p w14:paraId="2C439A41">
      <w:pPr>
        <w:pStyle w:val="97"/>
        <w:spacing w:before="0" w:beforeAutospacing="0" w:after="0" w:afterAutospacing="0" w:line="288" w:lineRule="auto"/>
        <w:contextualSpacing/>
        <w:jc w:val="both"/>
      </w:pPr>
      <w:r>
        <w:t xml:space="preserve">11.2 Serão formalizadas tantas Atas de Registro de Preços quantas forem necessárias para o registro de todos os itens constantes no Termo de Referência, com a descrição do licitante vencedor, a descrição </w:t>
      </w:r>
      <w:r>
        <w:rPr>
          <w:color w:val="000000" w:themeColor="text1"/>
          <w14:textFill>
            <w14:solidFill>
              <w14:schemeClr w14:val="tx1"/>
            </w14:solidFill>
          </w14:textFill>
        </w:rPr>
        <w:t xml:space="preserve">dos itens, as </w:t>
      </w:r>
      <w:r>
        <w:t>respectivas quantidades, preços registrados e os demais requisitos estabelecidos no art. 19 do Decreto nº 46/2025.</w:t>
      </w:r>
    </w:p>
    <w:p w14:paraId="388182DC">
      <w:pPr>
        <w:pStyle w:val="97"/>
        <w:spacing w:before="0" w:beforeAutospacing="0" w:after="0" w:afterAutospacing="0" w:line="288" w:lineRule="auto"/>
        <w:contextualSpacing/>
        <w:jc w:val="both"/>
      </w:pPr>
    </w:p>
    <w:p w14:paraId="5B860431">
      <w:pPr>
        <w:pStyle w:val="97"/>
        <w:spacing w:before="0" w:beforeAutospacing="0" w:after="0" w:afterAutospacing="0" w:line="288" w:lineRule="auto"/>
        <w:contextualSpacing/>
        <w:jc w:val="both"/>
      </w:pPr>
      <w:r>
        <w:t>11.2.1 Quando a quantidade ofertada pelo primeiro colocado não for suficiente para suprir a demanda estimada, ao preço do primeiro colocado poderão ser registrados tantos fornecedores quantos necessários para que, em função das propostas apresentadas, seja atingida a quantidade total estimada para o item ou grupo de itens.</w:t>
      </w:r>
    </w:p>
    <w:p w14:paraId="3F5BB693">
      <w:pPr>
        <w:pStyle w:val="97"/>
        <w:spacing w:before="0" w:beforeAutospacing="0" w:after="0" w:afterAutospacing="0" w:line="288" w:lineRule="auto"/>
        <w:contextualSpacing/>
        <w:jc w:val="both"/>
      </w:pPr>
    </w:p>
    <w:p w14:paraId="3C77F906">
      <w:pPr>
        <w:pStyle w:val="97"/>
        <w:spacing w:before="0" w:beforeAutospacing="0" w:after="0" w:afterAutospacing="0" w:line="288" w:lineRule="auto"/>
        <w:contextualSpacing/>
        <w:jc w:val="both"/>
      </w:pPr>
      <w:r>
        <w:t>11.3 O registro de preços e as atas dele decorrentes deverão ser divulgados no Portal Nacional de Contratações Públicas - PNCP e no Portal do Município de Valença RJ.</w:t>
      </w:r>
    </w:p>
    <w:p w14:paraId="619929ED">
      <w:pPr>
        <w:pStyle w:val="97"/>
        <w:spacing w:before="0" w:beforeAutospacing="0" w:after="0" w:afterAutospacing="0" w:line="288" w:lineRule="auto"/>
        <w:contextualSpacing/>
        <w:jc w:val="both"/>
      </w:pPr>
    </w:p>
    <w:p w14:paraId="4BEA65A1">
      <w:pPr>
        <w:pStyle w:val="97"/>
        <w:spacing w:before="0" w:beforeAutospacing="0" w:after="0" w:afterAutospacing="0" w:line="288" w:lineRule="auto"/>
        <w:contextualSpacing/>
        <w:jc w:val="both"/>
      </w:pPr>
      <w:r>
        <w:t xml:space="preserve">11.4 A existência de preços registrados implicará compromisso de fornecimento nas condições estabelecidas, mas não obrigará a Administração a contratar, facultada a realização de licitação para a aquisição pretendida, desde que devidamente motivada. </w:t>
      </w:r>
    </w:p>
    <w:p w14:paraId="7A49A6FA">
      <w:pPr>
        <w:pStyle w:val="97"/>
        <w:spacing w:before="0" w:beforeAutospacing="0" w:after="0" w:afterAutospacing="0" w:line="288" w:lineRule="auto"/>
        <w:contextualSpacing/>
        <w:jc w:val="both"/>
      </w:pPr>
    </w:p>
    <w:p w14:paraId="7697CEAF">
      <w:pPr>
        <w:pStyle w:val="97"/>
        <w:spacing w:before="0" w:beforeAutospacing="0" w:after="0" w:afterAutospacing="0" w:line="288" w:lineRule="auto"/>
        <w:contextualSpacing/>
        <w:jc w:val="both"/>
      </w:pPr>
      <w:r>
        <w:t>11.5 É facultado à Administração, quando o(s) fornecedor(es) convocado(s) não assinar(em) a Ata de Registro de Preços no prazo e condições estabelecidas, convocar os proponentes do Cadastro de Reserva, na ordem de classificação, para fazê-lo em igual prazo e nas mesmas condições propostas pelo primeiro classificado, de modo a integrar a Ata na qualidade de fornecedor.</w:t>
      </w:r>
    </w:p>
    <w:p w14:paraId="38E1182B">
      <w:pPr>
        <w:pStyle w:val="97"/>
        <w:spacing w:before="0" w:beforeAutospacing="0" w:after="0" w:afterAutospacing="0" w:line="288" w:lineRule="auto"/>
        <w:contextualSpacing/>
        <w:jc w:val="both"/>
      </w:pPr>
    </w:p>
    <w:p w14:paraId="2E69088E">
      <w:pPr>
        <w:autoSpaceDE w:val="0"/>
        <w:autoSpaceDN w:val="0"/>
        <w:adjustRightInd w:val="0"/>
        <w:spacing w:line="288" w:lineRule="auto"/>
        <w:contextualSpacing/>
        <w:jc w:val="both"/>
        <w:rPr>
          <w:sz w:val="24"/>
          <w:szCs w:val="24"/>
        </w:rPr>
      </w:pPr>
      <w:r>
        <w:rPr>
          <w:sz w:val="24"/>
          <w:szCs w:val="24"/>
        </w:rPr>
        <w:t xml:space="preserve">11.6 O prazo de validade da Ata de Registro de Preços é de 1 (um) ano, contado a partir do 1º (primeiro) dia útil subsequente à data de divulgação no PNCP. </w:t>
      </w:r>
    </w:p>
    <w:p w14:paraId="0E7A0EC0">
      <w:pPr>
        <w:autoSpaceDE w:val="0"/>
        <w:autoSpaceDN w:val="0"/>
        <w:adjustRightInd w:val="0"/>
        <w:spacing w:line="288" w:lineRule="auto"/>
        <w:contextualSpacing/>
        <w:jc w:val="both"/>
        <w:rPr>
          <w:color w:val="231F20"/>
          <w:sz w:val="24"/>
          <w:szCs w:val="24"/>
        </w:rPr>
      </w:pPr>
    </w:p>
    <w:p w14:paraId="7B948316">
      <w:pPr>
        <w:autoSpaceDE w:val="0"/>
        <w:autoSpaceDN w:val="0"/>
        <w:adjustRightInd w:val="0"/>
        <w:spacing w:line="288" w:lineRule="auto"/>
        <w:contextualSpacing/>
        <w:jc w:val="both"/>
        <w:rPr>
          <w:sz w:val="24"/>
          <w:szCs w:val="24"/>
        </w:rPr>
      </w:pPr>
      <w:r>
        <w:rPr>
          <w:color w:val="231F20"/>
          <w:sz w:val="24"/>
          <w:szCs w:val="24"/>
        </w:rPr>
        <w:t xml:space="preserve">11.6.1 </w:t>
      </w:r>
      <w:r>
        <w:rPr>
          <w:sz w:val="24"/>
          <w:szCs w:val="24"/>
        </w:rPr>
        <w:t>O prazo de vigência da Ata de Registro de Preços poderá ser prorrogado, por igual período, mediante termo aditivo, desde que as condições e os preços permaneçam vantajosos, observados os requisitos estabelecidos no art. 20 do Decreto nº 46/2025 e na referida Ata.</w:t>
      </w:r>
    </w:p>
    <w:p w14:paraId="0B75CAB2">
      <w:pPr>
        <w:autoSpaceDE w:val="0"/>
        <w:autoSpaceDN w:val="0"/>
        <w:adjustRightInd w:val="0"/>
        <w:spacing w:line="288" w:lineRule="auto"/>
        <w:contextualSpacing/>
        <w:jc w:val="both"/>
        <w:rPr>
          <w:sz w:val="24"/>
          <w:szCs w:val="24"/>
        </w:rPr>
      </w:pPr>
    </w:p>
    <w:p w14:paraId="40EDD120">
      <w:pPr>
        <w:spacing w:line="288" w:lineRule="auto"/>
        <w:contextualSpacing/>
        <w:jc w:val="both"/>
        <w:rPr>
          <w:color w:val="231F20"/>
          <w:sz w:val="24"/>
          <w:szCs w:val="24"/>
        </w:rPr>
      </w:pPr>
      <w:r>
        <w:rPr>
          <w:sz w:val="24"/>
          <w:szCs w:val="24"/>
        </w:rPr>
        <w:t>11.7</w:t>
      </w:r>
      <w:r>
        <w:rPr>
          <w:bCs/>
          <w:sz w:val="24"/>
          <w:szCs w:val="24"/>
        </w:rPr>
        <w:t xml:space="preserve"> Na forma dos arts. 27 e 28 do Decreto nº 46/2025, o</w:t>
      </w:r>
      <w:r>
        <w:rPr>
          <w:sz w:val="24"/>
          <w:szCs w:val="24"/>
        </w:rPr>
        <w:t xml:space="preserve">s preços registrados poderão ser revistos e alterados em decorrência de eventual redução dos preços praticados no mercado ou de fato que eleve o custo dos bens, obras ou serviços registrados, em caso de força maior, caso fortuito ou fato do príncipe ou em decorrência de fatos imprevisíveis ou previsíveis de consequências incalculáveis, que inviabilizem a execução da Ata tal como pactuado, nos termos da alínea d do inciso II do </w:t>
      </w:r>
      <w:r>
        <w:rPr>
          <w:i/>
          <w:iCs/>
          <w:sz w:val="24"/>
          <w:szCs w:val="24"/>
        </w:rPr>
        <w:t>caput</w:t>
      </w:r>
      <w:r>
        <w:rPr>
          <w:sz w:val="24"/>
          <w:szCs w:val="24"/>
        </w:rPr>
        <w:t xml:space="preserve"> do art. 124 da Lei nº 14.133/2021</w:t>
      </w:r>
      <w:r>
        <w:rPr>
          <w:color w:val="231F20"/>
          <w:sz w:val="24"/>
          <w:szCs w:val="24"/>
        </w:rPr>
        <w:t>.</w:t>
      </w:r>
    </w:p>
    <w:p w14:paraId="7E7C96E2">
      <w:pPr>
        <w:autoSpaceDE w:val="0"/>
        <w:autoSpaceDN w:val="0"/>
        <w:adjustRightInd w:val="0"/>
        <w:spacing w:line="288" w:lineRule="auto"/>
        <w:contextualSpacing/>
        <w:jc w:val="both"/>
        <w:rPr>
          <w:sz w:val="24"/>
          <w:szCs w:val="24"/>
        </w:rPr>
      </w:pPr>
    </w:p>
    <w:p w14:paraId="0CB54947">
      <w:pPr>
        <w:autoSpaceDE w:val="0"/>
        <w:autoSpaceDN w:val="0"/>
        <w:adjustRightInd w:val="0"/>
        <w:spacing w:line="288" w:lineRule="auto"/>
        <w:contextualSpacing/>
        <w:jc w:val="both"/>
        <w:rPr>
          <w:sz w:val="24"/>
          <w:szCs w:val="24"/>
        </w:rPr>
      </w:pPr>
      <w:r>
        <w:rPr>
          <w:sz w:val="24"/>
          <w:szCs w:val="24"/>
        </w:rPr>
        <w:t>11.7.1 Os preços registrados poderão, ainda, ser reajustados ou repactuados, observando-se as regras estabelecidas no item 18 deste Edital, nos termos da Lei nº 14.133/2021.</w:t>
      </w:r>
    </w:p>
    <w:p w14:paraId="21C8CEEF">
      <w:pPr>
        <w:autoSpaceDE w:val="0"/>
        <w:autoSpaceDN w:val="0"/>
        <w:adjustRightInd w:val="0"/>
        <w:spacing w:line="288" w:lineRule="auto"/>
        <w:contextualSpacing/>
        <w:jc w:val="both"/>
        <w:rPr>
          <w:sz w:val="24"/>
          <w:szCs w:val="24"/>
        </w:rPr>
      </w:pPr>
    </w:p>
    <w:p w14:paraId="2FB76BC2">
      <w:pPr>
        <w:pStyle w:val="97"/>
        <w:spacing w:before="0" w:beforeAutospacing="0" w:after="0" w:afterAutospacing="0" w:line="288" w:lineRule="auto"/>
        <w:contextualSpacing/>
        <w:jc w:val="both"/>
      </w:pPr>
      <w:r>
        <w:t>11.7.2 As condições para alteração ou atualização dos preços registrados se encontram previstas na Ata de Registro de Preços.</w:t>
      </w:r>
    </w:p>
    <w:p w14:paraId="2AADCF83">
      <w:pPr>
        <w:pStyle w:val="97"/>
        <w:spacing w:before="0" w:beforeAutospacing="0" w:after="0" w:afterAutospacing="0" w:line="288" w:lineRule="auto"/>
        <w:contextualSpacing/>
        <w:jc w:val="both"/>
      </w:pPr>
    </w:p>
    <w:p w14:paraId="68FEACDA">
      <w:pPr>
        <w:spacing w:line="288" w:lineRule="auto"/>
        <w:contextualSpacing/>
        <w:jc w:val="both"/>
        <w:rPr>
          <w:sz w:val="24"/>
          <w:szCs w:val="24"/>
        </w:rPr>
      </w:pPr>
      <w:r>
        <w:rPr>
          <w:sz w:val="24"/>
          <w:szCs w:val="24"/>
        </w:rPr>
        <w:t xml:space="preserve">11.8 </w:t>
      </w:r>
      <w:r>
        <w:rPr>
          <w:color w:val="231F20"/>
          <w:sz w:val="24"/>
          <w:szCs w:val="24"/>
        </w:rPr>
        <w:t>O registro do fornecedor será cancelado, na forma do art. 31 do Decreto nº 46/2025 da Ata de Registro de Preços, quando:</w:t>
      </w:r>
    </w:p>
    <w:p w14:paraId="0D3A265A">
      <w:pPr>
        <w:autoSpaceDE w:val="0"/>
        <w:autoSpaceDN w:val="0"/>
        <w:adjustRightInd w:val="0"/>
        <w:spacing w:line="288" w:lineRule="auto"/>
        <w:contextualSpacing/>
        <w:jc w:val="both"/>
        <w:rPr>
          <w:b/>
          <w:bCs/>
          <w:color w:val="231F20"/>
          <w:sz w:val="24"/>
          <w:szCs w:val="24"/>
        </w:rPr>
      </w:pPr>
    </w:p>
    <w:p w14:paraId="0ADE078A">
      <w:pPr>
        <w:autoSpaceDE w:val="0"/>
        <w:autoSpaceDN w:val="0"/>
        <w:adjustRightInd w:val="0"/>
        <w:spacing w:line="288" w:lineRule="auto"/>
        <w:contextualSpacing/>
        <w:jc w:val="both"/>
        <w:rPr>
          <w:color w:val="231F20"/>
          <w:sz w:val="24"/>
          <w:szCs w:val="24"/>
        </w:rPr>
      </w:pPr>
      <w:r>
        <w:rPr>
          <w:color w:val="231F20"/>
          <w:sz w:val="24"/>
          <w:szCs w:val="24"/>
        </w:rPr>
        <w:t>a) forem descumpridas as condições da Ata de Registro de Preços, sem motivo justificado;</w:t>
      </w:r>
    </w:p>
    <w:p w14:paraId="02D3FF7F">
      <w:pPr>
        <w:autoSpaceDE w:val="0"/>
        <w:autoSpaceDN w:val="0"/>
        <w:adjustRightInd w:val="0"/>
        <w:spacing w:line="288" w:lineRule="auto"/>
        <w:contextualSpacing/>
        <w:jc w:val="both"/>
        <w:rPr>
          <w:color w:val="231F20"/>
          <w:sz w:val="24"/>
          <w:szCs w:val="24"/>
        </w:rPr>
      </w:pPr>
    </w:p>
    <w:p w14:paraId="19FD4DC2">
      <w:pPr>
        <w:autoSpaceDE w:val="0"/>
        <w:autoSpaceDN w:val="0"/>
        <w:adjustRightInd w:val="0"/>
        <w:spacing w:line="288" w:lineRule="auto"/>
        <w:contextualSpacing/>
        <w:jc w:val="both"/>
        <w:rPr>
          <w:color w:val="231F20"/>
          <w:sz w:val="24"/>
          <w:szCs w:val="24"/>
        </w:rPr>
      </w:pPr>
      <w:r>
        <w:rPr>
          <w:color w:val="231F20"/>
          <w:sz w:val="24"/>
          <w:szCs w:val="24"/>
        </w:rPr>
        <w:t xml:space="preserve">b) </w:t>
      </w:r>
      <w:r>
        <w:rPr>
          <w:sz w:val="24"/>
          <w:szCs w:val="24"/>
        </w:rPr>
        <w:t>não assinar o contrato ou não retirar a nota de empenho ou instrumento equivalente no prazo estabelecido pela Administração, sem justificativa aceitável;</w:t>
      </w:r>
    </w:p>
    <w:p w14:paraId="259CBBCF">
      <w:pPr>
        <w:autoSpaceDE w:val="0"/>
        <w:autoSpaceDN w:val="0"/>
        <w:adjustRightInd w:val="0"/>
        <w:spacing w:line="288" w:lineRule="auto"/>
        <w:contextualSpacing/>
        <w:jc w:val="both"/>
        <w:rPr>
          <w:color w:val="231F20"/>
          <w:sz w:val="24"/>
          <w:szCs w:val="24"/>
        </w:rPr>
      </w:pPr>
    </w:p>
    <w:p w14:paraId="08DDC4C0">
      <w:pPr>
        <w:autoSpaceDE w:val="0"/>
        <w:autoSpaceDN w:val="0"/>
        <w:adjustRightInd w:val="0"/>
        <w:spacing w:line="288" w:lineRule="auto"/>
        <w:contextualSpacing/>
        <w:jc w:val="both"/>
        <w:rPr>
          <w:color w:val="231F20"/>
          <w:sz w:val="24"/>
          <w:szCs w:val="24"/>
        </w:rPr>
      </w:pPr>
      <w:r>
        <w:rPr>
          <w:color w:val="231F20"/>
          <w:sz w:val="24"/>
          <w:szCs w:val="24"/>
        </w:rPr>
        <w:t>c) não aceitar reduzir o seu preço registrado, na hipótese deste se tornar superior àqueles praticados no mercado; ou</w:t>
      </w:r>
    </w:p>
    <w:p w14:paraId="3ED1B757">
      <w:pPr>
        <w:autoSpaceDE w:val="0"/>
        <w:autoSpaceDN w:val="0"/>
        <w:adjustRightInd w:val="0"/>
        <w:spacing w:line="288" w:lineRule="auto"/>
        <w:contextualSpacing/>
        <w:jc w:val="both"/>
        <w:rPr>
          <w:color w:val="231F20"/>
          <w:sz w:val="24"/>
          <w:szCs w:val="24"/>
        </w:rPr>
      </w:pPr>
    </w:p>
    <w:p w14:paraId="0E736A49">
      <w:pPr>
        <w:autoSpaceDE w:val="0"/>
        <w:autoSpaceDN w:val="0"/>
        <w:adjustRightInd w:val="0"/>
        <w:spacing w:line="288" w:lineRule="auto"/>
        <w:contextualSpacing/>
        <w:jc w:val="both"/>
        <w:rPr>
          <w:sz w:val="24"/>
          <w:szCs w:val="24"/>
        </w:rPr>
      </w:pPr>
      <w:r>
        <w:rPr>
          <w:color w:val="231F20"/>
          <w:sz w:val="24"/>
          <w:szCs w:val="24"/>
        </w:rPr>
        <w:t xml:space="preserve">d) </w:t>
      </w:r>
      <w:r>
        <w:rPr>
          <w:sz w:val="24"/>
          <w:szCs w:val="24"/>
        </w:rPr>
        <w:t xml:space="preserve">sofrer sanção prevista nos incisos III ou IV do </w:t>
      </w:r>
      <w:r>
        <w:rPr>
          <w:i/>
          <w:iCs/>
          <w:sz w:val="24"/>
          <w:szCs w:val="24"/>
        </w:rPr>
        <w:t>caput</w:t>
      </w:r>
      <w:r>
        <w:rPr>
          <w:sz w:val="24"/>
          <w:szCs w:val="24"/>
        </w:rPr>
        <w:t xml:space="preserve"> do art. 156 da Lei nº 14.133/2021, observado os §§ 4º e 5º do referido dispositivo. </w:t>
      </w:r>
    </w:p>
    <w:p w14:paraId="7CC138A6">
      <w:pPr>
        <w:autoSpaceDE w:val="0"/>
        <w:autoSpaceDN w:val="0"/>
        <w:adjustRightInd w:val="0"/>
        <w:spacing w:line="288" w:lineRule="auto"/>
        <w:contextualSpacing/>
        <w:jc w:val="both"/>
        <w:rPr>
          <w:sz w:val="24"/>
          <w:szCs w:val="24"/>
        </w:rPr>
      </w:pPr>
    </w:p>
    <w:p w14:paraId="1BA7391C">
      <w:pPr>
        <w:autoSpaceDE w:val="0"/>
        <w:autoSpaceDN w:val="0"/>
        <w:adjustRightInd w:val="0"/>
        <w:spacing w:line="288" w:lineRule="auto"/>
        <w:contextualSpacing/>
        <w:jc w:val="both"/>
        <w:rPr>
          <w:sz w:val="24"/>
          <w:szCs w:val="24"/>
        </w:rPr>
      </w:pPr>
      <w:r>
        <w:rPr>
          <w:color w:val="231F20"/>
          <w:sz w:val="24"/>
          <w:szCs w:val="24"/>
        </w:rPr>
        <w:t>11.9 O cancelamento do registro de preços poderá ocorrer</w:t>
      </w:r>
      <w:r>
        <w:rPr>
          <w:sz w:val="24"/>
          <w:szCs w:val="24"/>
        </w:rPr>
        <w:t xml:space="preserve">, total ou parcialmente, pelo gerenciador, </w:t>
      </w:r>
      <w:r>
        <w:rPr>
          <w:color w:val="231F20"/>
          <w:sz w:val="24"/>
          <w:szCs w:val="24"/>
        </w:rPr>
        <w:t>na forma do art. 32 do Decreto nº 46/2025 e da Ata de Registro de Preços,</w:t>
      </w:r>
      <w:r>
        <w:rPr>
          <w:sz w:val="24"/>
          <w:szCs w:val="24"/>
        </w:rPr>
        <w:t xml:space="preserve"> desde que devidamente comprovados e justificados: </w:t>
      </w:r>
    </w:p>
    <w:p w14:paraId="7946A3F0">
      <w:pPr>
        <w:autoSpaceDE w:val="0"/>
        <w:autoSpaceDN w:val="0"/>
        <w:adjustRightInd w:val="0"/>
        <w:spacing w:line="288" w:lineRule="auto"/>
        <w:contextualSpacing/>
        <w:jc w:val="both"/>
        <w:rPr>
          <w:sz w:val="24"/>
          <w:szCs w:val="24"/>
        </w:rPr>
      </w:pPr>
    </w:p>
    <w:p w14:paraId="260C13F1">
      <w:pPr>
        <w:autoSpaceDE w:val="0"/>
        <w:autoSpaceDN w:val="0"/>
        <w:adjustRightInd w:val="0"/>
        <w:spacing w:line="288" w:lineRule="auto"/>
        <w:contextualSpacing/>
        <w:jc w:val="both"/>
        <w:rPr>
          <w:sz w:val="24"/>
          <w:szCs w:val="24"/>
        </w:rPr>
      </w:pPr>
      <w:r>
        <w:rPr>
          <w:sz w:val="24"/>
          <w:szCs w:val="24"/>
        </w:rPr>
        <w:t xml:space="preserve">a)  por razão de interesse público; </w:t>
      </w:r>
    </w:p>
    <w:p w14:paraId="3865D1CD">
      <w:pPr>
        <w:autoSpaceDE w:val="0"/>
        <w:autoSpaceDN w:val="0"/>
        <w:adjustRightInd w:val="0"/>
        <w:spacing w:line="288" w:lineRule="auto"/>
        <w:contextualSpacing/>
        <w:jc w:val="both"/>
        <w:rPr>
          <w:sz w:val="24"/>
          <w:szCs w:val="24"/>
        </w:rPr>
      </w:pPr>
    </w:p>
    <w:p w14:paraId="352E89BA">
      <w:pPr>
        <w:autoSpaceDE w:val="0"/>
        <w:autoSpaceDN w:val="0"/>
        <w:adjustRightInd w:val="0"/>
        <w:spacing w:line="288" w:lineRule="auto"/>
        <w:contextualSpacing/>
        <w:jc w:val="both"/>
        <w:rPr>
          <w:sz w:val="24"/>
          <w:szCs w:val="24"/>
        </w:rPr>
      </w:pPr>
      <w:r>
        <w:rPr>
          <w:sz w:val="24"/>
          <w:szCs w:val="24"/>
        </w:rPr>
        <w:t xml:space="preserve">b) pelo cancelamento de todos os preços registrados; ou </w:t>
      </w:r>
    </w:p>
    <w:p w14:paraId="55667FC2">
      <w:pPr>
        <w:autoSpaceDE w:val="0"/>
        <w:autoSpaceDN w:val="0"/>
        <w:adjustRightInd w:val="0"/>
        <w:spacing w:line="288" w:lineRule="auto"/>
        <w:contextualSpacing/>
        <w:jc w:val="both"/>
        <w:rPr>
          <w:sz w:val="24"/>
          <w:szCs w:val="24"/>
        </w:rPr>
      </w:pPr>
    </w:p>
    <w:p w14:paraId="5840117D">
      <w:pPr>
        <w:autoSpaceDE w:val="0"/>
        <w:autoSpaceDN w:val="0"/>
        <w:adjustRightInd w:val="0"/>
        <w:spacing w:line="288" w:lineRule="auto"/>
        <w:contextualSpacing/>
        <w:jc w:val="both"/>
        <w:rPr>
          <w:sz w:val="24"/>
          <w:szCs w:val="24"/>
        </w:rPr>
      </w:pPr>
      <w:r>
        <w:rPr>
          <w:sz w:val="24"/>
          <w:szCs w:val="24"/>
        </w:rPr>
        <w:t xml:space="preserve">c) a pedido do </w:t>
      </w:r>
      <w:r>
        <w:rPr>
          <w:color w:val="231F20"/>
          <w:sz w:val="24"/>
          <w:szCs w:val="24"/>
        </w:rPr>
        <w:t>fornecedor</w:t>
      </w:r>
      <w:r>
        <w:rPr>
          <w:sz w:val="24"/>
          <w:szCs w:val="24"/>
        </w:rPr>
        <w:t>, decorrente de fato superveniente, de caso fortuito ou força maior, que prejudique o cumprimento da Ata.</w:t>
      </w:r>
    </w:p>
    <w:p w14:paraId="2CEBC459">
      <w:pPr>
        <w:pStyle w:val="97"/>
        <w:spacing w:before="0" w:beforeAutospacing="0" w:after="0" w:afterAutospacing="0" w:line="288" w:lineRule="auto"/>
        <w:contextualSpacing/>
        <w:jc w:val="both"/>
      </w:pPr>
      <w:r>
        <w:t xml:space="preserve"> </w:t>
      </w:r>
    </w:p>
    <w:p w14:paraId="6BD85F4C">
      <w:pPr>
        <w:spacing w:line="288" w:lineRule="auto"/>
        <w:contextualSpacing/>
        <w:jc w:val="both"/>
        <w:rPr>
          <w:sz w:val="24"/>
          <w:szCs w:val="24"/>
        </w:rPr>
      </w:pPr>
      <w:r>
        <w:rPr>
          <w:sz w:val="24"/>
          <w:szCs w:val="24"/>
        </w:rPr>
        <w:t>11.10 Compete ao gerenciador aplicar, garantida a ampla defesa e o contraditório, as penalidades decorrentes do descumprimento do pactuado neste Edital e na Ata de Registro de Preços ou do descumprimento das obrigações contratuais, em relação às suas próprias contratações, e promover as publicações, encaminhamentos e registros cabíveis.</w:t>
      </w:r>
    </w:p>
    <w:p w14:paraId="66CCE60F">
      <w:pPr>
        <w:spacing w:line="288" w:lineRule="auto"/>
        <w:contextualSpacing/>
        <w:jc w:val="both"/>
        <w:rPr>
          <w:sz w:val="24"/>
          <w:szCs w:val="24"/>
        </w:rPr>
      </w:pPr>
    </w:p>
    <w:p w14:paraId="5DA2CC9A">
      <w:pPr>
        <w:spacing w:line="288" w:lineRule="auto"/>
        <w:contextualSpacing/>
        <w:jc w:val="both"/>
        <w:rPr>
          <w:sz w:val="24"/>
          <w:szCs w:val="24"/>
        </w:rPr>
      </w:pPr>
      <w:r>
        <w:rPr>
          <w:sz w:val="24"/>
          <w:szCs w:val="24"/>
        </w:rPr>
        <w:t xml:space="preserve">11.11 Compete aos participantes e aos </w:t>
      </w:r>
      <w:r>
        <w:rPr>
          <w:bCs/>
          <w:color w:val="231F20"/>
          <w:sz w:val="24"/>
          <w:szCs w:val="24"/>
        </w:rPr>
        <w:t xml:space="preserve">não-participantes </w:t>
      </w:r>
      <w:r>
        <w:rPr>
          <w:sz w:val="24"/>
          <w:szCs w:val="24"/>
        </w:rPr>
        <w:t>aplicar, quando admitidos, garantida a ampla defesa e o contraditório, as penalidades decorrentes do descumprimento das obrigações contratuais, em relação às suas próprias contratações, e promover as publicações, encaminhamentos e registros cabíveis.</w:t>
      </w:r>
    </w:p>
    <w:p w14:paraId="49901326">
      <w:pPr>
        <w:pStyle w:val="97"/>
        <w:spacing w:before="0" w:beforeAutospacing="0" w:after="0" w:afterAutospacing="0" w:line="288" w:lineRule="auto"/>
        <w:contextualSpacing/>
        <w:jc w:val="both"/>
        <w:rPr>
          <w:rFonts w:asciiTheme="minorHAnsi" w:hAnsiTheme="minorHAnsi" w:cstheme="minorHAnsi"/>
        </w:rPr>
      </w:pPr>
    </w:p>
    <w:p w14:paraId="373B8587">
      <w:pPr>
        <w:pStyle w:val="97"/>
        <w:spacing w:before="0" w:beforeAutospacing="0" w:after="0" w:afterAutospacing="0" w:line="288" w:lineRule="auto"/>
        <w:contextualSpacing/>
        <w:jc w:val="both"/>
      </w:pPr>
      <w:r>
        <w:rPr>
          <w:b/>
          <w:bCs/>
        </w:rPr>
        <w:t>12. FORMAÇÃO DO CADASTRO DE RESERVA</w:t>
      </w:r>
    </w:p>
    <w:p w14:paraId="017E5507">
      <w:pPr>
        <w:pStyle w:val="97"/>
        <w:spacing w:before="0" w:beforeAutospacing="0" w:after="0" w:afterAutospacing="0" w:line="288" w:lineRule="auto"/>
        <w:contextualSpacing/>
        <w:jc w:val="both"/>
      </w:pPr>
    </w:p>
    <w:p w14:paraId="66909DDF">
      <w:pPr>
        <w:pStyle w:val="97"/>
        <w:spacing w:before="0" w:beforeAutospacing="0" w:after="0" w:afterAutospacing="0" w:line="288" w:lineRule="auto"/>
        <w:contextualSpacing/>
        <w:jc w:val="both"/>
      </w:pPr>
      <w:r>
        <w:t xml:space="preserve">12.1 Após a fase recursal, os licitantes serão convocados para reduzir seus preços ao valor da proposta do proponente melhor classificado, ocasião na qual será oportunizada a formação de eventual Cadastro de Reserva. </w:t>
      </w:r>
    </w:p>
    <w:p w14:paraId="550553EC">
      <w:pPr>
        <w:pStyle w:val="97"/>
        <w:spacing w:before="0" w:beforeAutospacing="0" w:after="0" w:afterAutospacing="0" w:line="288" w:lineRule="auto"/>
        <w:contextualSpacing/>
        <w:jc w:val="both"/>
      </w:pPr>
    </w:p>
    <w:p w14:paraId="487156DB">
      <w:pPr>
        <w:pStyle w:val="97"/>
        <w:spacing w:before="0" w:beforeAutospacing="0" w:after="0" w:afterAutospacing="0" w:line="288" w:lineRule="auto"/>
        <w:contextualSpacing/>
        <w:jc w:val="both"/>
      </w:pPr>
      <w:r>
        <w:t xml:space="preserve">12.1.1 A apresentação de novas propostas na forma do </w:t>
      </w:r>
      <w:r>
        <w:rPr>
          <w:i/>
          <w:iCs/>
        </w:rPr>
        <w:t>caput</w:t>
      </w:r>
      <w:r>
        <w:t xml:space="preserve"> deste item não prejudicará o resultado do certame, inclusive quanto à ordem de classificação das propostas.</w:t>
      </w:r>
    </w:p>
    <w:p w14:paraId="3F1DEC65">
      <w:pPr>
        <w:pStyle w:val="97"/>
        <w:spacing w:before="0" w:beforeAutospacing="0" w:after="0" w:afterAutospacing="0" w:line="288" w:lineRule="auto"/>
        <w:contextualSpacing/>
        <w:jc w:val="both"/>
      </w:pPr>
    </w:p>
    <w:p w14:paraId="7A02BA8D">
      <w:pPr>
        <w:pStyle w:val="97"/>
        <w:spacing w:before="0" w:beforeAutospacing="0" w:after="0" w:afterAutospacing="0" w:line="288" w:lineRule="auto"/>
        <w:contextualSpacing/>
        <w:jc w:val="both"/>
      </w:pPr>
      <w:r>
        <w:t xml:space="preserve">12.2 Homologada a licitação, deverão ser registrados na Ata de Registro de Preços, para fins de formação de Cadastro de Reserva: </w:t>
      </w:r>
    </w:p>
    <w:p w14:paraId="55BBA796">
      <w:pPr>
        <w:pStyle w:val="97"/>
        <w:spacing w:before="0" w:beforeAutospacing="0" w:after="0" w:afterAutospacing="0" w:line="288" w:lineRule="auto"/>
        <w:contextualSpacing/>
        <w:jc w:val="both"/>
      </w:pPr>
    </w:p>
    <w:p w14:paraId="1B1902C8">
      <w:pPr>
        <w:pStyle w:val="97"/>
        <w:spacing w:before="0" w:beforeAutospacing="0" w:after="0" w:afterAutospacing="0" w:line="288" w:lineRule="auto"/>
        <w:contextualSpacing/>
        <w:jc w:val="both"/>
      </w:pPr>
      <w:r>
        <w:t xml:space="preserve">12.2.1 os licitantes que aceitarem cotar os bens ou serviços com preços iguais aos do proponente vencedor do certame, observada a ordem de classificação; e </w:t>
      </w:r>
    </w:p>
    <w:p w14:paraId="298C6B9A">
      <w:pPr>
        <w:pStyle w:val="97"/>
        <w:spacing w:before="0" w:beforeAutospacing="0" w:after="0" w:afterAutospacing="0" w:line="288" w:lineRule="auto"/>
        <w:contextualSpacing/>
        <w:jc w:val="both"/>
      </w:pPr>
    </w:p>
    <w:p w14:paraId="0B08CE96">
      <w:pPr>
        <w:pStyle w:val="97"/>
        <w:spacing w:before="0" w:beforeAutospacing="0" w:after="0" w:afterAutospacing="0" w:line="288" w:lineRule="auto"/>
        <w:contextualSpacing/>
        <w:jc w:val="both"/>
      </w:pPr>
      <w:r>
        <w:t xml:space="preserve">12.2.2 os proponentes que mantiverem sua proposta original. </w:t>
      </w:r>
    </w:p>
    <w:p w14:paraId="6BEA0996">
      <w:pPr>
        <w:autoSpaceDE w:val="0"/>
        <w:autoSpaceDN w:val="0"/>
        <w:adjustRightInd w:val="0"/>
        <w:spacing w:line="288" w:lineRule="auto"/>
        <w:contextualSpacing/>
        <w:jc w:val="both"/>
        <w:rPr>
          <w:color w:val="231F20"/>
          <w:sz w:val="24"/>
          <w:szCs w:val="24"/>
        </w:rPr>
      </w:pPr>
    </w:p>
    <w:p w14:paraId="0C7EA912">
      <w:pPr>
        <w:autoSpaceDE w:val="0"/>
        <w:autoSpaceDN w:val="0"/>
        <w:adjustRightInd w:val="0"/>
        <w:spacing w:line="288" w:lineRule="auto"/>
        <w:contextualSpacing/>
        <w:jc w:val="both"/>
        <w:rPr>
          <w:color w:val="231F20"/>
          <w:sz w:val="24"/>
          <w:szCs w:val="24"/>
        </w:rPr>
      </w:pPr>
      <w:r>
        <w:rPr>
          <w:color w:val="231F20"/>
          <w:sz w:val="24"/>
          <w:szCs w:val="24"/>
        </w:rPr>
        <w:t>12.3 A ordem de classificação dos registrados na Ata deverá ser respeitada para as contratações, cabendo ao gerenciador realizar os devidos registros na Ata de Registro de Preços, para a sua atualização.</w:t>
      </w:r>
    </w:p>
    <w:p w14:paraId="7228C877">
      <w:pPr>
        <w:autoSpaceDE w:val="0"/>
        <w:autoSpaceDN w:val="0"/>
        <w:adjustRightInd w:val="0"/>
        <w:spacing w:line="288" w:lineRule="auto"/>
        <w:contextualSpacing/>
        <w:jc w:val="both"/>
        <w:rPr>
          <w:color w:val="231F20"/>
          <w:sz w:val="24"/>
          <w:szCs w:val="24"/>
        </w:rPr>
      </w:pPr>
    </w:p>
    <w:p w14:paraId="219F6E86">
      <w:pPr>
        <w:autoSpaceDE w:val="0"/>
        <w:autoSpaceDN w:val="0"/>
        <w:adjustRightInd w:val="0"/>
        <w:spacing w:line="288" w:lineRule="auto"/>
        <w:contextualSpacing/>
        <w:jc w:val="both"/>
        <w:rPr>
          <w:color w:val="231F20"/>
          <w:sz w:val="24"/>
          <w:szCs w:val="24"/>
        </w:rPr>
      </w:pPr>
      <w:r>
        <w:rPr>
          <w:color w:val="231F20"/>
          <w:sz w:val="24"/>
          <w:szCs w:val="24"/>
        </w:rPr>
        <w:t xml:space="preserve">12.4 </w:t>
      </w:r>
      <w:r>
        <w:rPr>
          <w:sz w:val="24"/>
          <w:szCs w:val="24"/>
        </w:rPr>
        <w:t>A habilitação dos proponentes que irão compor o Cadastro de Reserva somente será efetuada quando houver necessidade de contratação dos proponentes remanescentes.</w:t>
      </w:r>
    </w:p>
    <w:p w14:paraId="7C5FD6BB">
      <w:pPr>
        <w:autoSpaceDE w:val="0"/>
        <w:autoSpaceDN w:val="0"/>
        <w:adjustRightInd w:val="0"/>
        <w:spacing w:line="288" w:lineRule="auto"/>
        <w:contextualSpacing/>
        <w:jc w:val="both"/>
        <w:rPr>
          <w:color w:val="231F20"/>
          <w:sz w:val="24"/>
          <w:szCs w:val="24"/>
        </w:rPr>
      </w:pPr>
    </w:p>
    <w:p w14:paraId="03BDABCA">
      <w:pPr>
        <w:autoSpaceDE w:val="0"/>
        <w:autoSpaceDN w:val="0"/>
        <w:adjustRightInd w:val="0"/>
        <w:spacing w:line="288" w:lineRule="auto"/>
        <w:contextualSpacing/>
        <w:jc w:val="both"/>
        <w:rPr>
          <w:sz w:val="24"/>
          <w:szCs w:val="24"/>
        </w:rPr>
      </w:pPr>
      <w:r>
        <w:rPr>
          <w:color w:val="231F20"/>
          <w:sz w:val="24"/>
          <w:szCs w:val="24"/>
        </w:rPr>
        <w:t xml:space="preserve">12.5 O Cadastro de Reserva poderá ser empregado no caso do item 11.5, bem como de </w:t>
      </w:r>
      <w:r>
        <w:rPr>
          <w:sz w:val="24"/>
          <w:szCs w:val="24"/>
        </w:rPr>
        <w:t>cancelamento do registro do proponente ou dos preços, nas hipóteses previstas no § 4º do art. 28 e nos arts. 29 e 31 do Decreto nº 46/2025 e na Ata de Registro de Preços.</w:t>
      </w:r>
    </w:p>
    <w:p w14:paraId="1E740E92">
      <w:pPr>
        <w:pStyle w:val="97"/>
        <w:spacing w:before="0" w:beforeAutospacing="0" w:after="0" w:afterAutospacing="0" w:line="288" w:lineRule="auto"/>
        <w:contextualSpacing/>
        <w:jc w:val="both"/>
        <w:rPr>
          <w:rFonts w:eastAsia="Calibri"/>
          <w:lang w:eastAsia="en-US"/>
        </w:rPr>
      </w:pPr>
    </w:p>
    <w:p w14:paraId="655FB4A1">
      <w:pPr>
        <w:pStyle w:val="97"/>
        <w:spacing w:before="0" w:beforeAutospacing="0" w:after="0" w:afterAutospacing="0" w:line="288" w:lineRule="auto"/>
        <w:contextualSpacing/>
        <w:jc w:val="both"/>
        <w:rPr>
          <w:rFonts w:eastAsia="Calibri"/>
          <w:b/>
          <w:bCs/>
          <w:lang w:eastAsia="en-US"/>
        </w:rPr>
      </w:pPr>
      <w:r>
        <w:rPr>
          <w:rFonts w:eastAsia="Calibri"/>
          <w:b/>
          <w:bCs/>
          <w:lang w:eastAsia="en-US"/>
        </w:rPr>
        <w:t>13. DA FORMALIZAÇÃO DOS CONTRATOS ORIUNDOS DA ATA DE REGISTRO DE PREÇOS</w:t>
      </w:r>
    </w:p>
    <w:p w14:paraId="23A16A2B">
      <w:pPr>
        <w:pStyle w:val="97"/>
        <w:spacing w:before="0" w:beforeAutospacing="0" w:after="0" w:afterAutospacing="0" w:line="288" w:lineRule="auto"/>
        <w:contextualSpacing/>
        <w:jc w:val="both"/>
        <w:rPr>
          <w:rFonts w:eastAsia="Arial"/>
        </w:rPr>
      </w:pPr>
    </w:p>
    <w:p w14:paraId="0272B9C2">
      <w:pPr>
        <w:pStyle w:val="97"/>
        <w:spacing w:before="0" w:beforeAutospacing="0" w:after="0" w:afterAutospacing="0" w:line="288" w:lineRule="auto"/>
        <w:contextualSpacing/>
        <w:jc w:val="both"/>
        <w:rPr>
          <w:rFonts w:eastAsia="Calibri"/>
          <w:lang w:eastAsia="en-US"/>
        </w:rPr>
      </w:pPr>
      <w:r>
        <w:rPr>
          <w:rFonts w:eastAsia="Arial"/>
        </w:rPr>
        <w:t xml:space="preserve">13.1 Compete ao </w:t>
      </w:r>
      <w:r>
        <w:rPr>
          <w:bCs/>
        </w:rPr>
        <w:t xml:space="preserve">gerenciador, aos </w:t>
      </w:r>
      <w:r>
        <w:rPr>
          <w:rFonts w:eastAsia="Arial"/>
          <w:bCs/>
        </w:rPr>
        <w:t xml:space="preserve">participantes, quando houver, e aos eventuais não-participantes </w:t>
      </w:r>
      <w:r>
        <w:rPr>
          <w:rFonts w:eastAsia="Arial"/>
        </w:rPr>
        <w:t>promover as ações necessárias para as suas próprias contratações com o fornecedor registrado, durante o prazo de validade da Ata de Registro de Preços.</w:t>
      </w:r>
    </w:p>
    <w:p w14:paraId="064CFB8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13.2 A Administração convocará o fornecedor registrado para assinar o termo de contrato ou para aceitar ou retirar o instrumento equivalente, bem como para demonstrar o atendimento às exigências deste Edital e do Termo de Referência que devam ser apresentadas no momento de assinatura do contrato, </w:t>
      </w:r>
      <w:r>
        <w:rPr>
          <w:rFonts w:ascii="Times New Roman" w:hAnsi="Times New Roman" w:cs="Times New Roman"/>
          <w:color w:val="auto"/>
          <w:sz w:val="24"/>
          <w:szCs w:val="24"/>
        </w:rPr>
        <w:t>no prazo de 5 (cinco) dias úteis</w:t>
      </w:r>
      <w:r>
        <w:rPr>
          <w:rFonts w:ascii="Times New Roman" w:hAnsi="Times New Roman" w:cs="Times New Roman"/>
          <w:sz w:val="24"/>
          <w:szCs w:val="24"/>
        </w:rPr>
        <w:t>, sob pena de decair o direito à contratação, sem prejuízo das sanções previstas na Lei nº 14.133/2021, no Decreto nº 46/2025 e no Edital.</w:t>
      </w:r>
    </w:p>
    <w:p w14:paraId="525B3348">
      <w:pPr>
        <w:pStyle w:val="99"/>
        <w:spacing w:before="288" w:beforeLines="120" w:after="288" w:afterLines="120" w:line="288" w:lineRule="auto"/>
        <w:ind w:left="0" w:firstLine="0"/>
        <w:contextualSpacing/>
        <w:rPr>
          <w:rFonts w:ascii="Times New Roman" w:hAnsi="Times New Roman" w:cs="Times New Roman"/>
          <w:sz w:val="24"/>
          <w:szCs w:val="24"/>
        </w:rPr>
      </w:pPr>
    </w:p>
    <w:p w14:paraId="0FCB2093">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13.3 O prazo de convocação poderá ser prorrogado, 1 (uma) vez, por igual período, mediante solicitação da parte interessada durante seu transcurso, devidamente justificada, e desde que o motivo apresentado seja aceito pela Administração.</w:t>
      </w:r>
    </w:p>
    <w:p w14:paraId="7EAD6045">
      <w:pPr>
        <w:autoSpaceDE w:val="0"/>
        <w:autoSpaceDN w:val="0"/>
        <w:adjustRightInd w:val="0"/>
        <w:spacing w:line="288" w:lineRule="auto"/>
        <w:contextualSpacing/>
        <w:jc w:val="both"/>
        <w:rPr>
          <w:color w:val="231F20"/>
          <w:sz w:val="24"/>
          <w:szCs w:val="24"/>
        </w:rPr>
      </w:pPr>
      <w:r>
        <w:rPr>
          <w:sz w:val="24"/>
          <w:szCs w:val="24"/>
        </w:rPr>
        <w:t xml:space="preserve">13.4 Na hipótese de o fornecedor registrado não assinar o contrato, ou não aceitar ou não retirar o instrumento equivalente no prazo e nas condições estabelecidas, a Administração poderá convocar os proponentes do Cadastro de Reserva, na ordem de classificação, para fazê-lo em igual prazo e nas mesmas condições propostas pelo primeiro classificado. </w:t>
      </w:r>
    </w:p>
    <w:p w14:paraId="5C533219">
      <w:pPr>
        <w:pStyle w:val="99"/>
        <w:spacing w:before="288" w:beforeLines="120" w:after="288" w:afterLines="120" w:line="288" w:lineRule="auto"/>
        <w:ind w:left="0" w:firstLine="0"/>
        <w:contextualSpacing/>
        <w:rPr>
          <w:rFonts w:ascii="Times New Roman" w:hAnsi="Times New Roman" w:cs="Times New Roman"/>
          <w:sz w:val="24"/>
          <w:szCs w:val="24"/>
        </w:rPr>
      </w:pPr>
      <w:bookmarkStart w:id="32" w:name="_Hlk158798489"/>
      <w:r>
        <w:rPr>
          <w:rFonts w:ascii="Times New Roman" w:hAnsi="Times New Roman" w:cs="Times New Roman"/>
          <w:sz w:val="24"/>
          <w:szCs w:val="24"/>
        </w:rPr>
        <w:t>13.5 A recusa injustificada do fornecedor registrado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7EB5CCCF">
      <w:pPr>
        <w:pStyle w:val="99"/>
        <w:spacing w:before="288" w:beforeLines="120" w:after="288" w:afterLines="120" w:line="288" w:lineRule="auto"/>
        <w:ind w:left="0" w:firstLine="0"/>
        <w:contextualSpacing/>
        <w:rPr>
          <w:rFonts w:ascii="Times New Roman" w:hAnsi="Times New Roman" w:cs="Times New Roman"/>
          <w:sz w:val="24"/>
          <w:szCs w:val="24"/>
        </w:rPr>
      </w:pPr>
    </w:p>
    <w:p w14:paraId="1F7F1856">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13.6 As consequências de que trata o item anterior não serão aplicadas ao integrante do Cadastro de Reserva que, quando convocado, se recusar a compor a Ata de Registro de Preços. </w:t>
      </w:r>
    </w:p>
    <w:p w14:paraId="69D56DE3">
      <w:pPr>
        <w:pStyle w:val="99"/>
        <w:spacing w:before="288" w:beforeLines="120" w:after="288" w:afterLines="120" w:line="288" w:lineRule="auto"/>
        <w:ind w:left="0" w:firstLine="0"/>
        <w:contextualSpacing/>
        <w:rPr>
          <w:rFonts w:ascii="Times New Roman" w:hAnsi="Times New Roman" w:cs="Times New Roman"/>
          <w:sz w:val="24"/>
          <w:szCs w:val="24"/>
        </w:rPr>
      </w:pPr>
    </w:p>
    <w:p w14:paraId="3BE584B7">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13.7</w:t>
      </w:r>
      <w:r>
        <w:rPr>
          <w:rFonts w:ascii="Times New Roman" w:hAnsi="Times New Roman" w:cs="Times New Roman"/>
          <w:sz w:val="24"/>
          <w:szCs w:val="24"/>
        </w:rPr>
        <w:tab/>
      </w:r>
      <w:r>
        <w:rPr>
          <w:rFonts w:ascii="Times New Roman" w:hAnsi="Times New Roman" w:cs="Times New Roman"/>
          <w:sz w:val="24"/>
          <w:szCs w:val="24"/>
        </w:rPr>
        <w:t>No momento da assinatura do Contrato, o adjudicatário apresentará certidão de cumprimento de cota de aprendiz, expedida pelo Ministério do Trabalho e Emprego, para fins de atendimento aos arts. 429 e seguintes da Consolidação das Leis do Trabalho.</w:t>
      </w:r>
    </w:p>
    <w:p w14:paraId="6F2145DB">
      <w:pPr>
        <w:pStyle w:val="97"/>
        <w:spacing w:line="288" w:lineRule="auto"/>
        <w:contextualSpacing/>
        <w:jc w:val="both"/>
        <w:rPr>
          <w:rFonts w:eastAsia="Calibri"/>
          <w:lang w:eastAsia="en-US"/>
        </w:rPr>
      </w:pPr>
      <w:r>
        <w:rPr>
          <w:rFonts w:eastAsia="Calibri"/>
          <w:lang w:eastAsia="en-US"/>
        </w:rPr>
        <w:t>13.8</w:t>
      </w:r>
      <w:r>
        <w:rPr>
          <w:rFonts w:eastAsia="Calibri"/>
          <w:lang w:eastAsia="en-US"/>
        </w:rPr>
        <w:tab/>
      </w:r>
      <w:r>
        <w:rPr>
          <w:rFonts w:eastAsia="Calibri"/>
          <w:lang w:eastAsia="en-US"/>
        </w:rPr>
        <w:t>Caso o valor da contratação se enquadre no limite previsto na legislação vigente, o fornecedor registrado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6A81D98B">
      <w:pPr>
        <w:pStyle w:val="97"/>
        <w:spacing w:before="0" w:beforeAutospacing="0" w:after="0" w:afterAutospacing="0" w:line="288" w:lineRule="auto"/>
        <w:contextualSpacing/>
        <w:jc w:val="both"/>
        <w:rPr>
          <w:rFonts w:eastAsia="Calibri"/>
          <w:lang w:eastAsia="en-US"/>
        </w:rPr>
      </w:pPr>
    </w:p>
    <w:p w14:paraId="1283946C">
      <w:pPr>
        <w:pStyle w:val="97"/>
        <w:spacing w:before="0" w:beforeAutospacing="0" w:after="0" w:afterAutospacing="0" w:line="288" w:lineRule="auto"/>
        <w:contextualSpacing/>
        <w:jc w:val="both"/>
        <w:rPr>
          <w:rFonts w:eastAsia="Calibri"/>
          <w:lang w:eastAsia="en-US"/>
        </w:rPr>
      </w:pPr>
      <w:r>
        <w:rPr>
          <w:rFonts w:eastAsia="Calibri"/>
          <w:lang w:eastAsia="en-US"/>
        </w:rPr>
        <w:t>13.8.1</w:t>
      </w:r>
      <w:r>
        <w:rPr>
          <w:rFonts w:eastAsia="Calibri"/>
          <w:lang w:eastAsia="en-US"/>
        </w:rPr>
        <w:tab/>
      </w:r>
      <w:r>
        <w:rPr>
          <w:rFonts w:eastAsia="Calibri"/>
          <w:lang w:eastAsia="en-US"/>
        </w:rPr>
        <w:t>Caso o fornecedor registrado ainda não tenha programa de integridade instituído, deverá implantar o Programa de Integridade no prazo de até 180 (cento e oitenta) dias corridos, a partir da assinatura do Contrato, na forma da legislação vigente.</w:t>
      </w:r>
    </w:p>
    <w:bookmarkEnd w:id="32"/>
    <w:p w14:paraId="5CE1AE6D">
      <w:pPr>
        <w:pStyle w:val="97"/>
        <w:spacing w:before="0" w:beforeAutospacing="0" w:after="0" w:afterAutospacing="0" w:line="288" w:lineRule="auto"/>
        <w:contextualSpacing/>
        <w:jc w:val="both"/>
        <w:rPr>
          <w:rFonts w:eastAsia="Calibri" w:asciiTheme="minorHAnsi" w:hAnsiTheme="minorHAnsi" w:cstheme="minorHAnsi"/>
          <w:b/>
          <w:bCs/>
          <w:lang w:eastAsia="en-US"/>
        </w:rPr>
      </w:pPr>
    </w:p>
    <w:p w14:paraId="58ED7878">
      <w:pPr>
        <w:pStyle w:val="97"/>
        <w:spacing w:before="0" w:beforeAutospacing="0" w:after="0" w:afterAutospacing="0" w:line="288" w:lineRule="auto"/>
        <w:contextualSpacing/>
        <w:jc w:val="both"/>
        <w:rPr>
          <w:rFonts w:eastAsia="Calibri"/>
          <w:b/>
          <w:bCs/>
          <w:lang w:eastAsia="en-US"/>
        </w:rPr>
      </w:pPr>
      <w:r>
        <w:rPr>
          <w:rFonts w:eastAsia="Calibri"/>
          <w:b/>
          <w:bCs/>
          <w:lang w:eastAsia="en-US"/>
        </w:rPr>
        <w:t xml:space="preserve">14. DA SUBCONTRATAÇÃO </w:t>
      </w:r>
    </w:p>
    <w:p w14:paraId="29336A83">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14.1 Não será admitida a subcontratação do objeto contratual.</w:t>
      </w:r>
    </w:p>
    <w:p w14:paraId="3489F20A">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2B174A4B">
      <w:pPr>
        <w:pStyle w:val="99"/>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b/>
          <w:bCs/>
          <w:sz w:val="24"/>
          <w:szCs w:val="24"/>
          <w:lang w:eastAsia="en-US"/>
        </w:rPr>
        <w:t>15. DA GARANTIA</w:t>
      </w:r>
    </w:p>
    <w:p w14:paraId="3789DEDC">
      <w:pPr>
        <w:pStyle w:val="99"/>
        <w:spacing w:before="288" w:beforeLines="120" w:after="288" w:afterLines="120" w:line="288" w:lineRule="auto"/>
        <w:ind w:left="4537" w:right="565" w:firstLine="0"/>
        <w:contextualSpacing/>
        <w:rPr>
          <w:rFonts w:ascii="Times New Roman" w:hAnsi="Times New Roman" w:cs="Times New Roman"/>
          <w:sz w:val="24"/>
          <w:szCs w:val="24"/>
        </w:rPr>
      </w:pPr>
    </w:p>
    <w:p w14:paraId="3F377FEE">
      <w:pPr>
        <w:pStyle w:val="99"/>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 Haverá exigência de garantia contratual da execução.</w:t>
      </w:r>
    </w:p>
    <w:p w14:paraId="4F33976A">
      <w:pPr>
        <w:pStyle w:val="103"/>
        <w:spacing w:before="288" w:beforeLines="120" w:after="288" w:afterLines="120" w:line="288" w:lineRule="auto"/>
        <w:ind w:left="567" w:right="565" w:firstLine="0"/>
        <w:contextualSpacing/>
        <w:rPr>
          <w:rFonts w:ascii="Times New Roman" w:hAnsi="Times New Roman" w:cs="Times New Roman"/>
          <w:color w:val="auto"/>
          <w:sz w:val="24"/>
          <w:szCs w:val="24"/>
        </w:rPr>
      </w:pPr>
      <w:bookmarkStart w:id="33" w:name="_Hlk152767454"/>
      <w:r>
        <w:rPr>
          <w:rFonts w:ascii="Times New Roman" w:hAnsi="Times New Roman" w:cs="Times New Roman"/>
          <w:color w:val="auto"/>
          <w:sz w:val="24"/>
          <w:szCs w:val="24"/>
        </w:rPr>
        <w:t>15.1.1 Caso o prazo de vigência do contrato seja inferior a um ano</w:t>
      </w:r>
      <w:bookmarkEnd w:id="33"/>
      <w:r>
        <w:rPr>
          <w:rFonts w:ascii="Times New Roman" w:hAnsi="Times New Roman" w:cs="Times New Roman"/>
          <w:color w:val="auto"/>
          <w:sz w:val="24"/>
          <w:szCs w:val="24"/>
        </w:rPr>
        <w:t xml:space="preserve">, a garantia prevista no item 15.1 será calculada sobre o valor total do Contrato. </w:t>
      </w:r>
    </w:p>
    <w:p w14:paraId="0944A211">
      <w:pPr>
        <w:pStyle w:val="103"/>
        <w:spacing w:before="288" w:beforeLines="120" w:after="288" w:afterLines="120" w:line="288" w:lineRule="auto"/>
        <w:ind w:left="567" w:right="567"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15.1.2 Na forma do art. 101 da Lei nº 14.133/2021, nos casos de contratos que impliquem a entrega de bens pela Administração, dos quais o contratado ficará depositário, o valor desses bens deverá ser acrescido ao valor da garantia.</w:t>
      </w:r>
    </w:p>
    <w:p w14:paraId="290A1083">
      <w:pPr>
        <w:pStyle w:val="103"/>
        <w:spacing w:before="288" w:beforeLines="120" w:after="288" w:afterLines="120" w:line="288" w:lineRule="auto"/>
        <w:ind w:left="567" w:right="567"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15.2 O contratado poderá optar pelas seguintes modalidades de garantia:</w:t>
      </w:r>
    </w:p>
    <w:p w14:paraId="02283D1F">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15.2.1 caução em dinheiro ou em títulos da dívida pública;</w:t>
      </w:r>
    </w:p>
    <w:p w14:paraId="5CBD8555">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15.2.2 seguro-garantia; </w:t>
      </w:r>
    </w:p>
    <w:p w14:paraId="6DB0FB20">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15.2.3 fiança bancária; e</w:t>
      </w:r>
    </w:p>
    <w:p w14:paraId="399EE506">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15.2.4 título de capitalização custeado por pagamento único, com resgate pelo valor total.</w:t>
      </w:r>
    </w:p>
    <w:p w14:paraId="1FC4EE53">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15.3 Qualquer que seja a modalidade escolhida pelo contratado, a garantia assegurará o pagamento de:</w:t>
      </w:r>
    </w:p>
    <w:p w14:paraId="60F7A324">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15.3.1 prejuízos advindos do não cumprimento do objeto do Contrato e do não adimplemento das demais obrigações neste previstas;</w:t>
      </w:r>
    </w:p>
    <w:p w14:paraId="173A96BD">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15.3.2 multas moratórias, compensatórias e administrativas aplicadas pela Administração ao contratado; e</w:t>
      </w:r>
    </w:p>
    <w:p w14:paraId="3DB59166">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15.3.3 obrigações trabalhistas e previdenciárias de qualquer natureza, assim como as obrigações de regularidade perante o FGTS, não adimplidas pelo contratado, quando couber.</w:t>
      </w:r>
    </w:p>
    <w:p w14:paraId="7997CD7E">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15.4 A garantia, qualquer que seja a modalidade escolhida, terá validade durante a vigência do Contrato e por mais 90 (noventa) dias após o término deste prazo de vigência.  </w:t>
      </w:r>
    </w:p>
    <w:p w14:paraId="4FB35A00">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15.5 Na hipótese de suspensão do Contrato por ordem ou inadimplemento da Administração, o contratado ficará desobrigado de renovar a garantia ou de endossar a apólice de seguro até a ordem de reinício da execução ou o adimplemento pela Administração.</w:t>
      </w:r>
    </w:p>
    <w:p w14:paraId="2E909C53">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15.6 Ressalvada a hipótese de seguro-garantia, em que deverá ser observado o prazo do item 15.7, o contratado apresentará, no prazo máximo de 10 (dez) dias úteis, prorrogáveis por igual período, a critério do contratante, contado da assinatura do Contrato, o comprovante de prestação de garantia, na forma do item 15.2.</w:t>
      </w:r>
    </w:p>
    <w:p w14:paraId="7CC9EC52">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15.7 Caso oferecida a modalidade de seguro-garantia, sua apresentação deve ocorrer em 1 (um) mês, contado da data de homologação da licitação e anterior à assinatura do Contrato, e observar-se-ão as seguintes condições:</w:t>
      </w:r>
    </w:p>
    <w:p w14:paraId="697C13A0">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15.7.1 a apólice permanecerá em vigor mesmo que o contratado não pague o prêmio nas datas convencionadas;</w:t>
      </w:r>
    </w:p>
    <w:p w14:paraId="5809DB7B">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15.7.2 a apólice deverá acompanhar as modificações referentes à vigência do Contrato principal, mediante a emissão do respectivo endosso pela seguradora;</w:t>
      </w:r>
    </w:p>
    <w:p w14:paraId="0D35EF47">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15.7.3 será permitida a substituição da apólice na data de renovação ou de aniversário, desde que mantidas as condições e coberturas da apólice vigente e nenhum período fique descoberto, ressalvado o disposto no item 15.5 deste Edital; e</w:t>
      </w:r>
    </w:p>
    <w:p w14:paraId="6929385A">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15.7.4 a apólice somente será aceita se contemplar todos os eventos indicados no item 15.3, observada a legislação que rege a matéria.</w:t>
      </w:r>
    </w:p>
    <w:p w14:paraId="6D63D26C">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298C717F">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15.9 Caso a opção seja por fiança bancária, esta deverá ser emitida por banco ou instituição financeira devidamente autorizada a operar no País pelo Banco Central do Brasil, e deverá constar expressa renúncia do fiador aos benefícios do art. 827 do Código Civil.</w:t>
      </w:r>
    </w:p>
    <w:p w14:paraId="0BEADD25">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15.10 Caso a opção seja por garantia em dinheiro, deverá ser efetuada em favor do contratante, na conta corrente nº ......., da agência ....... da instituição financeira contratada pelo Município, cujo valor será corrigido monetariamente e restituído ao contratado, na forma do item 15.16.</w:t>
      </w:r>
    </w:p>
    <w:p w14:paraId="4C329D45">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15.11 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15.1 neste item. </w:t>
      </w:r>
    </w:p>
    <w:p w14:paraId="4CC84F2F">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15.12 A inobservância do prazo fixado para apresentação, reposição, suplementação ou renovação da garantia acarretará a aplicação de multa e/ou outras penalidades, na forma disposta no Contrato.</w:t>
      </w:r>
    </w:p>
    <w:p w14:paraId="3B92A63A">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15.12.1 O atraso superior a 25 (vinte e cinco) dias autoriza o contratante a promover a rescisão do contrato por descumprimento ou cumprimento irregular de suas cláusulas, com a aplicação das sanções cabíveis.</w:t>
      </w:r>
    </w:p>
    <w:p w14:paraId="03FFC4FB">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15.13 O contratante executará a garantia na forma prevista na legislação que rege a matéria.</w:t>
      </w:r>
    </w:p>
    <w:p w14:paraId="063496B9">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15.14 O emitente da garantia ofertada pelo contratado deverá ser notificado pelo contratante quanto ao início de processo administrativo para apuração de descumprimento de cláusulas contratuais.</w:t>
      </w:r>
    </w:p>
    <w:p w14:paraId="2A86D9E7">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15.14.1 O garantidor não é parte para figurar em processo administrativo instaurado pelo contratante com o objetivo de apurar prejuízos e/ou aplicar sanções ao contratado.</w:t>
      </w:r>
    </w:p>
    <w:p w14:paraId="12622A38">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5AFA5BC4">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15.16 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14:paraId="519F5B99">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15.16.1 A garantia somente será liberada ou restituída, após a fiel execução do Contrato ou pela sua extinção, por culpa exclusiva da Administração, ou quando assim convencionado, em se tratando de extinção consensual da contratação.</w:t>
      </w:r>
    </w:p>
    <w:p w14:paraId="6989DDE9">
      <w:pPr>
        <w:pStyle w:val="99"/>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15.17 O contratado autoriza o contratante a reter, a qualquer tempo, a garantia, na forma prevista no Edital e no Contrato. </w:t>
      </w:r>
    </w:p>
    <w:p w14:paraId="691331F9">
      <w:pPr>
        <w:pStyle w:val="97"/>
        <w:spacing w:before="0" w:beforeAutospacing="0" w:after="0" w:afterAutospacing="0" w:line="288" w:lineRule="auto"/>
        <w:contextualSpacing/>
        <w:jc w:val="both"/>
        <w:rPr>
          <w:rFonts w:eastAsia="Calibri" w:asciiTheme="minorHAnsi" w:hAnsiTheme="minorHAnsi" w:cstheme="minorHAnsi"/>
          <w:b/>
          <w:bCs/>
          <w:lang w:eastAsia="en-US"/>
        </w:rPr>
      </w:pPr>
    </w:p>
    <w:p w14:paraId="4CCB1264">
      <w:pPr>
        <w:pStyle w:val="97"/>
        <w:spacing w:before="0" w:beforeAutospacing="0" w:after="0" w:afterAutospacing="0" w:line="288" w:lineRule="auto"/>
        <w:contextualSpacing/>
        <w:jc w:val="both"/>
        <w:rPr>
          <w:rFonts w:eastAsia="Calibri"/>
          <w:b/>
          <w:bCs/>
          <w:lang w:eastAsia="en-US"/>
        </w:rPr>
      </w:pPr>
      <w:r>
        <w:rPr>
          <w:rFonts w:eastAsia="Calibri"/>
          <w:b/>
          <w:bCs/>
          <w:lang w:eastAsia="en-US"/>
        </w:rPr>
        <w:t>16. PAGAMENTO</w:t>
      </w:r>
    </w:p>
    <w:p w14:paraId="17D21D1A">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16.1 O contratante deverá pagar o preço ao contratado em 01 (uma) parcelas</w:t>
      </w:r>
      <w:r>
        <w:rPr>
          <w:rFonts w:ascii="Times New Roman" w:hAnsi="Times New Roman" w:cs="Times New Roman"/>
          <w:color w:val="auto"/>
          <w:sz w:val="24"/>
          <w:szCs w:val="24"/>
        </w:rPr>
        <w:t>,</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na conta corrente de titularidade do contratado a ser indicada. </w:t>
      </w:r>
    </w:p>
    <w:p w14:paraId="72B3334D">
      <w:pPr>
        <w:pStyle w:val="99"/>
        <w:spacing w:before="288" w:beforeLines="120" w:after="288" w:afterLines="120" w:line="288" w:lineRule="auto"/>
        <w:ind w:left="0" w:firstLine="0"/>
        <w:contextualSpacing/>
        <w:rPr>
          <w:rFonts w:ascii="Times New Roman" w:hAnsi="Times New Roman" w:cs="Times New Roman"/>
          <w:sz w:val="24"/>
          <w:szCs w:val="24"/>
        </w:rPr>
      </w:pPr>
    </w:p>
    <w:p w14:paraId="5FC40E67">
      <w:pPr>
        <w:pStyle w:val="99"/>
        <w:spacing w:before="288" w:beforeLines="120" w:after="288" w:afterLines="120" w:line="288" w:lineRule="auto"/>
        <w:ind w:left="0" w:firstLine="0"/>
        <w:contextualSpacing/>
        <w:rPr>
          <w:rFonts w:ascii="Times New Roman" w:hAnsi="Times New Roman" w:cs="Times New Roman"/>
          <w:color w:val="FF0000"/>
          <w:sz w:val="24"/>
          <w:szCs w:val="24"/>
        </w:rPr>
      </w:pPr>
      <w:r>
        <w:rPr>
          <w:rFonts w:ascii="Times New Roman" w:hAnsi="Times New Roman" w:cs="Times New Roman"/>
          <w:sz w:val="24"/>
          <w:szCs w:val="24"/>
        </w:rPr>
        <w:t xml:space="preserve">16.2 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Pr>
          <w:rFonts w:ascii="Times New Roman" w:hAnsi="Times New Roman" w:cs="Times New Roman"/>
          <w:b/>
          <w:sz w:val="24"/>
          <w:szCs w:val="24"/>
        </w:rPr>
        <w:t>Banco Itaú S.A</w:t>
      </w:r>
      <w:r>
        <w:rPr>
          <w:rFonts w:ascii="Times New Roman" w:hAnsi="Times New Roman" w:cs="Times New Roman"/>
          <w:sz w:val="24"/>
          <w:szCs w:val="24"/>
        </w:rPr>
        <w:t>, cujo número e agência deverão ser informados pelo adjudicatário.</w:t>
      </w:r>
    </w:p>
    <w:p w14:paraId="7F6961F3">
      <w:pPr>
        <w:pStyle w:val="99"/>
        <w:spacing w:before="288" w:beforeLines="120" w:after="288" w:afterLines="120" w:line="288" w:lineRule="auto"/>
        <w:ind w:left="0" w:firstLine="0"/>
        <w:contextualSpacing/>
        <w:rPr>
          <w:rFonts w:ascii="Times New Roman" w:hAnsi="Times New Roman" w:cs="Times New Roman"/>
          <w:sz w:val="24"/>
          <w:szCs w:val="24"/>
        </w:rPr>
      </w:pPr>
    </w:p>
    <w:p w14:paraId="08DFB3FF">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16.3 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40, de 25 de fevereiro de 2025.</w:t>
      </w:r>
    </w:p>
    <w:p w14:paraId="0908F5E9">
      <w:pPr>
        <w:pStyle w:val="101"/>
        <w:spacing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16.3.1 Quando houver glosa parcial do objeto, o contratante deverá comunicar ao contratado para que emita Nota Fiscal ou Fatura com o valor exato dimensionado.</w:t>
      </w:r>
    </w:p>
    <w:p w14:paraId="37CEAEEE">
      <w:pPr>
        <w:pStyle w:val="99"/>
        <w:spacing w:before="288" w:beforeLines="120" w:after="288" w:afterLines="120" w:line="288" w:lineRule="auto"/>
        <w:ind w:left="0" w:firstLine="0"/>
        <w:contextualSpacing/>
        <w:rPr>
          <w:rFonts w:ascii="Times New Roman" w:hAnsi="Times New Roman" w:cs="Times New Roman"/>
          <w:b/>
          <w:bCs/>
          <w:i/>
          <w:iCs/>
          <w:color w:val="558ED5" w:themeColor="text2" w:themeTint="99"/>
          <w:sz w:val="24"/>
          <w:szCs w:val="24"/>
          <w:u w:val="single"/>
          <w14:textFill>
            <w14:solidFill>
              <w14:schemeClr w14:val="tx2">
                <w14:lumMod w14:val="60000"/>
                <w14:lumOff w14:val="40000"/>
              </w14:schemeClr>
            </w14:solidFill>
          </w14:textFill>
        </w:rPr>
      </w:pPr>
      <w:r>
        <w:rPr>
          <w:rFonts w:ascii="Times New Roman" w:hAnsi="Times New Roman" w:cs="Times New Roman"/>
          <w:sz w:val="24"/>
          <w:szCs w:val="24"/>
        </w:rPr>
        <w:t>16.4 O contratado deverá encaminhar a Nota Fiscal ou Fatura para pagamento à Prefeitura Municipal de Valença, Secretaria Municipal de Saúde, situada na Rua Dr. Figueiredo, nº 320, na cidade do Valença, no Estado do Rio de Janeiro ou para o endereço eletrônico</w:t>
      </w:r>
      <w:r>
        <w:rPr>
          <w:rFonts w:ascii="Times New Roman" w:hAnsi="Times New Roman" w:cs="Times New Roman"/>
          <w:sz w:val="24"/>
          <w:szCs w:val="24"/>
          <w:u w:val="single"/>
        </w:rPr>
        <w:t xml:space="preserve"> </w:t>
      </w:r>
      <w:r>
        <w:rPr>
          <w:rFonts w:ascii="Times New Roman" w:hAnsi="Times New Roman" w:cs="Times New Roman"/>
          <w:b/>
          <w:bCs/>
          <w:i/>
          <w:iCs/>
          <w:color w:val="558ED5" w:themeColor="text2" w:themeTint="99"/>
          <w:sz w:val="24"/>
          <w:szCs w:val="24"/>
          <w:u w:val="single"/>
          <w14:textFill>
            <w14:solidFill>
              <w14:schemeClr w14:val="tx2">
                <w14:lumMod w14:val="60000"/>
                <w14:lumOff w14:val="40000"/>
              </w14:schemeClr>
            </w14:solidFill>
          </w14:textFill>
        </w:rPr>
        <w:t>smscompras@yahoo.com.br</w:t>
      </w:r>
    </w:p>
    <w:p w14:paraId="0F19BEA6">
      <w:pPr>
        <w:pStyle w:val="99"/>
        <w:spacing w:line="288" w:lineRule="auto"/>
        <w:ind w:left="0" w:firstLine="0"/>
        <w:contextualSpacing/>
        <w:rPr>
          <w:rFonts w:ascii="Times New Roman" w:hAnsi="Times New Roman" w:cs="Times New Roman"/>
          <w:sz w:val="24"/>
          <w:szCs w:val="24"/>
        </w:rPr>
      </w:pPr>
    </w:p>
    <w:p w14:paraId="69B3A624">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16.5 </w:t>
      </w:r>
      <w:bookmarkStart w:id="34" w:name="_Hlk178774483"/>
      <w:r>
        <w:rPr>
          <w:rFonts w:ascii="Times New Roman" w:hAnsi="Times New Roman" w:cs="Times New Roman"/>
          <w:sz w:val="24"/>
          <w:szCs w:val="24"/>
        </w:rPr>
        <w:t xml:space="preserve">Uma vez recebidos os documentos mencionados no item 16.4, o órgão competente deverá verificar: </w:t>
      </w:r>
      <w:bookmarkEnd w:id="34"/>
    </w:p>
    <w:p w14:paraId="2BF9A9FE">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 </w:t>
      </w:r>
    </w:p>
    <w:p w14:paraId="23FB32DE">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a) a manutenção das condições de habilitação exigidas pelo instrumento convocatório; </w:t>
      </w:r>
    </w:p>
    <w:p w14:paraId="76DB2DF6">
      <w:pPr>
        <w:pStyle w:val="99"/>
        <w:spacing w:line="288" w:lineRule="auto"/>
        <w:ind w:left="0" w:firstLine="0"/>
        <w:contextualSpacing/>
        <w:rPr>
          <w:rFonts w:ascii="Times New Roman" w:hAnsi="Times New Roman" w:cs="Times New Roman"/>
          <w:sz w:val="24"/>
          <w:szCs w:val="24"/>
        </w:rPr>
      </w:pPr>
    </w:p>
    <w:p w14:paraId="517F22DD">
      <w:pPr>
        <w:pStyle w:val="99"/>
        <w:spacing w:line="288" w:lineRule="auto"/>
        <w:ind w:left="0" w:firstLine="0"/>
        <w:contextualSpacing/>
        <w:rPr>
          <w:rFonts w:ascii="Times New Roman" w:hAnsi="Times New Roman" w:cs="Times New Roman"/>
          <w:sz w:val="24"/>
          <w:szCs w:val="24"/>
        </w:rPr>
      </w:pPr>
      <w:bookmarkStart w:id="35" w:name="_Hlk178774506"/>
      <w:r>
        <w:rPr>
          <w:rFonts w:ascii="Times New Roman" w:hAnsi="Times New Roman" w:cs="Times New Roman"/>
          <w:sz w:val="24"/>
          <w:szCs w:val="24"/>
        </w:rPr>
        <w:t>b) por consulta aos cadastros mencionados no item 8.1, se o contratado foi penalizado com as sanções de declaração de inidoneidade ou impedimento de licitar e contratar com o poder público, observadas as abrangências de aplicação; e</w:t>
      </w:r>
    </w:p>
    <w:p w14:paraId="156952BA">
      <w:pPr>
        <w:pStyle w:val="99"/>
        <w:spacing w:line="288" w:lineRule="auto"/>
        <w:ind w:left="0" w:firstLine="0"/>
        <w:contextualSpacing/>
        <w:rPr>
          <w:rFonts w:ascii="Times New Roman" w:hAnsi="Times New Roman" w:cs="Times New Roman"/>
          <w:sz w:val="24"/>
          <w:szCs w:val="24"/>
        </w:rPr>
      </w:pPr>
    </w:p>
    <w:p w14:paraId="04976644">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 por consulta ao SICAF, eventuais ocorrências impeditivas indiretas, hipótese na qual o gestor deverá verificar se houve fraude por parte das empresas apontadas no Relatório de Ocorrências Impeditivas Indiretas.</w:t>
      </w:r>
    </w:p>
    <w:bookmarkEnd w:id="35"/>
    <w:p w14:paraId="3F3AF720">
      <w:pPr>
        <w:pStyle w:val="99"/>
        <w:spacing w:line="288" w:lineRule="auto"/>
        <w:ind w:left="0" w:firstLine="0"/>
        <w:contextualSpacing/>
        <w:rPr>
          <w:rFonts w:ascii="Times New Roman" w:hAnsi="Times New Roman" w:cs="Times New Roman"/>
          <w:sz w:val="24"/>
          <w:szCs w:val="24"/>
        </w:rPr>
      </w:pPr>
    </w:p>
    <w:p w14:paraId="542757D9">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16.5.1 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14:paraId="0461F5C7">
      <w:pPr>
        <w:pStyle w:val="99"/>
        <w:spacing w:line="288" w:lineRule="auto"/>
        <w:ind w:left="0" w:firstLine="0"/>
        <w:contextualSpacing/>
        <w:rPr>
          <w:rFonts w:ascii="Times New Roman" w:hAnsi="Times New Roman" w:cs="Times New Roman"/>
          <w:sz w:val="24"/>
          <w:szCs w:val="24"/>
        </w:rPr>
      </w:pPr>
    </w:p>
    <w:p w14:paraId="3D1E93E2">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91C0E9B">
      <w:pPr>
        <w:pStyle w:val="99"/>
        <w:spacing w:line="288" w:lineRule="auto"/>
        <w:ind w:left="0" w:firstLine="0"/>
        <w:contextualSpacing/>
        <w:rPr>
          <w:rFonts w:ascii="Times New Roman" w:hAnsi="Times New Roman" w:cs="Times New Roman"/>
          <w:sz w:val="24"/>
          <w:szCs w:val="24"/>
        </w:rPr>
      </w:pPr>
    </w:p>
    <w:p w14:paraId="2469316B">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16.5.3 Persistindo a irregularidade, o contratante deverá adotar as medidas necessárias à rescisão do Contrato nos autos do processo administrativo correspondente, assegurada ao contratado a ampla defesa.</w:t>
      </w:r>
    </w:p>
    <w:p w14:paraId="729998EE">
      <w:pPr>
        <w:pStyle w:val="99"/>
        <w:spacing w:line="288" w:lineRule="auto"/>
        <w:ind w:left="0" w:firstLine="0"/>
        <w:contextualSpacing/>
        <w:rPr>
          <w:rFonts w:ascii="Times New Roman" w:hAnsi="Times New Roman" w:cs="Times New Roman"/>
          <w:sz w:val="24"/>
          <w:szCs w:val="24"/>
        </w:rPr>
      </w:pPr>
    </w:p>
    <w:p w14:paraId="098CD21C">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16.5.4 Havendo a efetiva execução do objeto, os pagamentos serão realizados normalmente, até que se decida pela rescisão do Contrato, caso o contratado não regularize sua situação.</w:t>
      </w:r>
    </w:p>
    <w:p w14:paraId="7A652228">
      <w:pPr>
        <w:pStyle w:val="99"/>
        <w:spacing w:line="288" w:lineRule="auto"/>
        <w:ind w:left="0" w:firstLine="0"/>
        <w:contextualSpacing/>
        <w:rPr>
          <w:rFonts w:ascii="Times New Roman" w:hAnsi="Times New Roman" w:cs="Times New Roman"/>
          <w:sz w:val="24"/>
          <w:szCs w:val="24"/>
        </w:rPr>
      </w:pPr>
    </w:p>
    <w:p w14:paraId="14DC5C42">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16.6 O pagamento será efetuado no prazo máximo de até </w:t>
      </w:r>
      <w:r>
        <w:rPr>
          <w:rFonts w:ascii="Times New Roman" w:hAnsi="Times New Roman" w:cs="Times New Roman"/>
          <w:color w:val="000000" w:themeColor="text1"/>
          <w:sz w:val="24"/>
          <w:szCs w:val="24"/>
          <w14:textFill>
            <w14:solidFill>
              <w14:schemeClr w14:val="tx1"/>
            </w14:solidFill>
          </w14:textFill>
        </w:rPr>
        <w:t>30 (trinta) dias</w:t>
      </w:r>
      <w:r>
        <w:rPr>
          <w:rFonts w:ascii="Times New Roman" w:hAnsi="Times New Roman" w:cs="Times New Roman"/>
          <w:sz w:val="24"/>
          <w:szCs w:val="24"/>
        </w:rPr>
        <w:t xml:space="preserve">, contados do recebimento da Nota Fiscal ou Fatura. </w:t>
      </w:r>
    </w:p>
    <w:p w14:paraId="64CC100A">
      <w:pPr>
        <w:pStyle w:val="99"/>
        <w:spacing w:line="288" w:lineRule="auto"/>
        <w:ind w:left="0" w:firstLine="0"/>
        <w:contextualSpacing/>
        <w:rPr>
          <w:rFonts w:ascii="Times New Roman" w:hAnsi="Times New Roman" w:cs="Times New Roman"/>
          <w:sz w:val="24"/>
          <w:szCs w:val="24"/>
        </w:rPr>
      </w:pPr>
    </w:p>
    <w:p w14:paraId="03903517">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4E516495">
      <w:pPr>
        <w:pStyle w:val="99"/>
        <w:spacing w:line="288" w:lineRule="auto"/>
        <w:ind w:left="0" w:firstLine="0"/>
        <w:contextualSpacing/>
        <w:rPr>
          <w:rFonts w:ascii="Times New Roman" w:hAnsi="Times New Roman" w:cs="Times New Roman"/>
          <w:sz w:val="24"/>
          <w:szCs w:val="24"/>
        </w:rPr>
      </w:pPr>
    </w:p>
    <w:p w14:paraId="238C8EEF">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16.7 Quando do pagamento, será efetuada a retenção tributária prevista na legislação aplicável.</w:t>
      </w:r>
    </w:p>
    <w:p w14:paraId="62542264">
      <w:pPr>
        <w:pStyle w:val="99"/>
        <w:spacing w:line="288" w:lineRule="auto"/>
        <w:ind w:left="0" w:firstLine="0"/>
        <w:contextualSpacing/>
        <w:rPr>
          <w:rFonts w:ascii="Times New Roman" w:hAnsi="Times New Roman" w:cs="Times New Roman"/>
          <w:sz w:val="24"/>
          <w:szCs w:val="24"/>
        </w:rPr>
      </w:pPr>
    </w:p>
    <w:p w14:paraId="50B83FAD">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16.7.1 Independentemente do percentual de tributo inserido na planilha, no pagamento serão retidos na fonte os percentuais estabelecidos na legislação vigente.</w:t>
      </w:r>
    </w:p>
    <w:p w14:paraId="476FB886">
      <w:pPr>
        <w:pStyle w:val="99"/>
        <w:spacing w:line="288" w:lineRule="auto"/>
        <w:ind w:left="0" w:firstLine="0"/>
        <w:contextualSpacing/>
        <w:rPr>
          <w:rFonts w:ascii="Times New Roman" w:hAnsi="Times New Roman" w:cs="Times New Roman"/>
          <w:sz w:val="24"/>
          <w:szCs w:val="24"/>
        </w:rPr>
      </w:pPr>
    </w:p>
    <w:p w14:paraId="2406BD01">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318D9E6A">
      <w:pPr>
        <w:pStyle w:val="99"/>
        <w:spacing w:line="288" w:lineRule="auto"/>
        <w:ind w:left="0" w:firstLine="0"/>
        <w:contextualSpacing/>
        <w:rPr>
          <w:rFonts w:ascii="Times New Roman" w:hAnsi="Times New Roman" w:cs="Times New Roman"/>
          <w:sz w:val="24"/>
          <w:szCs w:val="24"/>
        </w:rPr>
      </w:pPr>
    </w:p>
    <w:p w14:paraId="21031430">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16.8 Os pagamentos eventualmente realizados com atraso, desde que não decorram de ato ou fato atribuível ao contratado, sofrerão a incidência de atualização monetária e juros de mora pelo </w:t>
      </w:r>
      <w:r>
        <w:rPr>
          <w:rFonts w:ascii="Times New Roman" w:hAnsi="Times New Roman" w:cs="Times New Roman"/>
          <w:bCs/>
          <w:color w:val="auto"/>
          <w:sz w:val="24"/>
          <w:szCs w:val="24"/>
        </w:rPr>
        <w:t>IPCA-E</w:t>
      </w:r>
      <w:r>
        <w:rPr>
          <w:rFonts w:ascii="Times New Roman" w:hAnsi="Times New Roman" w:cs="Times New Roman"/>
          <w:sz w:val="24"/>
          <w:szCs w:val="24"/>
        </w:rPr>
        <w:t xml:space="preserve">, calculado </w:t>
      </w:r>
      <w:r>
        <w:rPr>
          <w:rFonts w:ascii="Times New Roman" w:hAnsi="Times New Roman" w:cs="Times New Roman"/>
          <w:i/>
          <w:sz w:val="24"/>
          <w:szCs w:val="24"/>
        </w:rPr>
        <w:t>pro rata die</w:t>
      </w:r>
      <w:r>
        <w:rPr>
          <w:rFonts w:ascii="Times New Roman" w:hAnsi="Times New Roman" w:cs="Times New Roman"/>
          <w:sz w:val="24"/>
          <w:szCs w:val="24"/>
        </w:rPr>
        <w:t xml:space="preserve">, e aqueles pagos em prazo inferior ao estabelecido no instrumento convocatório serão feitos mediante desconto de 0,5% (um meio por cento) ao mês, calculado </w:t>
      </w:r>
      <w:r>
        <w:rPr>
          <w:rFonts w:ascii="Times New Roman" w:hAnsi="Times New Roman" w:cs="Times New Roman"/>
          <w:i/>
          <w:sz w:val="24"/>
          <w:szCs w:val="24"/>
        </w:rPr>
        <w:t>pro rata die.</w:t>
      </w:r>
    </w:p>
    <w:p w14:paraId="0E2A3A73">
      <w:pPr>
        <w:pStyle w:val="99"/>
        <w:spacing w:line="288" w:lineRule="auto"/>
        <w:ind w:left="0" w:firstLine="0"/>
        <w:contextualSpacing/>
        <w:rPr>
          <w:rFonts w:ascii="Times New Roman" w:hAnsi="Times New Roman" w:cs="Times New Roman"/>
          <w:sz w:val="24"/>
          <w:szCs w:val="24"/>
        </w:rPr>
      </w:pPr>
    </w:p>
    <w:p w14:paraId="05110C6C">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16.9 O contratado deverá emitir a Nota Fiscal Eletrônica – NF-e, consoante o Protocolo ICMS nº 42/2009, com a redação conferida pelo Protocolo ICMS nº 85/2010, e caso seu estabelecimento esteja localizado no Estado do Rio de Janeiro, deverá observar a forma prescrita nas alíneas </w:t>
      </w:r>
      <w:r>
        <w:rPr>
          <w:rFonts w:ascii="Times New Roman" w:hAnsi="Times New Roman" w:cs="Times New Roman"/>
          <w:i/>
          <w:sz w:val="24"/>
          <w:szCs w:val="24"/>
        </w:rPr>
        <w:t xml:space="preserve">a, b, c, d </w:t>
      </w:r>
      <w:r>
        <w:rPr>
          <w:rFonts w:ascii="Times New Roman" w:hAnsi="Times New Roman" w:cs="Times New Roman"/>
          <w:sz w:val="24"/>
          <w:szCs w:val="24"/>
        </w:rPr>
        <w:t xml:space="preserve">e </w:t>
      </w:r>
      <w:r>
        <w:rPr>
          <w:rFonts w:ascii="Times New Roman" w:hAnsi="Times New Roman" w:cs="Times New Roman"/>
          <w:i/>
          <w:sz w:val="24"/>
          <w:szCs w:val="24"/>
        </w:rPr>
        <w:t xml:space="preserve">e, </w:t>
      </w:r>
      <w:r>
        <w:rPr>
          <w:rFonts w:ascii="Times New Roman" w:hAnsi="Times New Roman" w:cs="Times New Roman"/>
          <w:sz w:val="24"/>
          <w:szCs w:val="24"/>
        </w:rPr>
        <w:t>do §1º, do art. 2º da Resolução SEFAZ nº 971/2016.</w:t>
      </w:r>
    </w:p>
    <w:p w14:paraId="7A163903">
      <w:pPr>
        <w:pStyle w:val="99"/>
        <w:spacing w:line="288" w:lineRule="auto"/>
        <w:ind w:left="0" w:firstLine="0"/>
        <w:contextualSpacing/>
        <w:rPr>
          <w:rFonts w:ascii="Times New Roman" w:hAnsi="Times New Roman" w:cs="Times New Roman"/>
          <w:sz w:val="24"/>
          <w:szCs w:val="24"/>
        </w:rPr>
      </w:pPr>
    </w:p>
    <w:p w14:paraId="4196279E">
      <w:pPr>
        <w:pStyle w:val="99"/>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16.10 Caso o Edital admita a subcontratação, os pagamentos aos subcontratados serão realizados diretamente pelo contratado, ficando vedada a emissão de empenho do contratante diretamente aos subcontratados.</w:t>
      </w:r>
    </w:p>
    <w:p w14:paraId="387AB83C">
      <w:pPr>
        <w:pStyle w:val="99"/>
        <w:spacing w:line="288" w:lineRule="auto"/>
        <w:ind w:left="0" w:firstLine="0"/>
        <w:contextualSpacing/>
        <w:rPr>
          <w:rFonts w:ascii="Times New Roman" w:hAnsi="Times New Roman" w:cs="Times New Roman"/>
          <w:sz w:val="24"/>
          <w:szCs w:val="24"/>
        </w:rPr>
      </w:pPr>
    </w:p>
    <w:p w14:paraId="12079C62">
      <w:pPr>
        <w:pStyle w:val="99"/>
        <w:spacing w:before="288" w:beforeLines="120" w:after="288" w:afterLines="120" w:line="288" w:lineRule="auto"/>
        <w:ind w:left="0" w:firstLine="0"/>
        <w:contextualSpacing/>
        <w:rPr>
          <w:sz w:val="24"/>
          <w:szCs w:val="24"/>
        </w:rPr>
      </w:pPr>
      <w:r>
        <w:rPr>
          <w:rFonts w:ascii="Times New Roman" w:hAnsi="Times New Roman" w:cs="Times New Roman"/>
          <w:sz w:val="24"/>
          <w:szCs w:val="24"/>
        </w:rPr>
        <w:t>16.10.1 A subcontratação porventura realizada será integralmente custeada pelo contratado.</w:t>
      </w:r>
    </w:p>
    <w:p w14:paraId="70363E72">
      <w:pPr>
        <w:pStyle w:val="97"/>
        <w:spacing w:before="0" w:beforeAutospacing="0" w:after="0" w:afterAutospacing="0" w:line="288" w:lineRule="auto"/>
        <w:contextualSpacing/>
        <w:jc w:val="both"/>
        <w:rPr>
          <w:rFonts w:eastAsia="Calibri"/>
          <w:lang w:eastAsia="en-US"/>
        </w:rPr>
      </w:pPr>
    </w:p>
    <w:p w14:paraId="6C0695B2">
      <w:pPr>
        <w:pStyle w:val="97"/>
        <w:spacing w:before="0" w:beforeAutospacing="0" w:after="0" w:afterAutospacing="0" w:line="288" w:lineRule="auto"/>
        <w:contextualSpacing/>
        <w:jc w:val="both"/>
        <w:rPr>
          <w:rFonts w:eastAsia="Calibri"/>
          <w:b/>
          <w:bCs/>
          <w:lang w:eastAsia="en-US"/>
        </w:rPr>
      </w:pPr>
      <w:r>
        <w:rPr>
          <w:rFonts w:eastAsia="Calibri"/>
          <w:b/>
          <w:bCs/>
          <w:lang w:eastAsia="en-US"/>
        </w:rPr>
        <w:t xml:space="preserve">17. PRAZO CONTRATUAL </w:t>
      </w:r>
    </w:p>
    <w:p w14:paraId="53A9B849">
      <w:pPr>
        <w:pStyle w:val="99"/>
        <w:spacing w:before="0" w:after="0" w:line="288" w:lineRule="auto"/>
        <w:ind w:left="0" w:firstLine="0"/>
        <w:contextualSpacing/>
        <w:rPr>
          <w:rFonts w:ascii="Times New Roman" w:hAnsi="Times New Roman" w:cs="Times New Roman"/>
          <w:sz w:val="24"/>
          <w:szCs w:val="24"/>
        </w:rPr>
      </w:pPr>
    </w:p>
    <w:p w14:paraId="310FB4A4">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17.1 O prazo de vigência do Contrato é de </w:t>
      </w:r>
      <w:r>
        <w:rPr>
          <w:rFonts w:ascii="Times New Roman" w:hAnsi="Times New Roman" w:cs="Times New Roman"/>
          <w:color w:val="000000" w:themeColor="text1"/>
          <w:sz w:val="24"/>
          <w:szCs w:val="24"/>
          <w14:textFill>
            <w14:solidFill>
              <w14:schemeClr w14:val="tx1"/>
            </w14:solidFill>
          </w14:textFill>
        </w:rPr>
        <w:t>12 meses</w:t>
      </w:r>
      <w:r>
        <w:rPr>
          <w:rFonts w:ascii="Times New Roman" w:hAnsi="Times New Roman" w:cs="Times New Roman"/>
          <w:sz w:val="24"/>
          <w:szCs w:val="24"/>
        </w:rPr>
        <w:t xml:space="preserve">, contado da data da </w:t>
      </w:r>
      <w:r>
        <w:rPr>
          <w:rFonts w:ascii="Times New Roman" w:hAnsi="Times New Roman" w:cs="Times New Roman"/>
          <w:iCs/>
          <w:sz w:val="24"/>
          <w:szCs w:val="24"/>
        </w:rPr>
        <w:t>divulgação no Portal Nacional de Contratações Públicas</w:t>
      </w:r>
      <w:r>
        <w:rPr>
          <w:rFonts w:ascii="Times New Roman" w:hAnsi="Times New Roman" w:cs="Times New Roman"/>
          <w:sz w:val="24"/>
          <w:szCs w:val="24"/>
        </w:rPr>
        <w:t>.</w:t>
      </w:r>
    </w:p>
    <w:p w14:paraId="4291D58A">
      <w:pPr>
        <w:pStyle w:val="99"/>
        <w:spacing w:after="0" w:line="288" w:lineRule="auto"/>
        <w:ind w:left="0" w:firstLine="0"/>
        <w:contextualSpacing/>
        <w:rPr>
          <w:rFonts w:ascii="Times New Roman" w:hAnsi="Times New Roman" w:cs="Times New Roman"/>
          <w:color w:val="auto"/>
          <w:sz w:val="24"/>
          <w:szCs w:val="24"/>
        </w:rPr>
      </w:pPr>
    </w:p>
    <w:p w14:paraId="6FB9E06D">
      <w:pPr>
        <w:pStyle w:val="99"/>
        <w:spacing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17.2 O prazo de vigência será automaticamente prorrogado,</w:t>
      </w:r>
      <w:r>
        <w:rPr>
          <w:rFonts w:ascii="Times New Roman" w:hAnsi="Times New Roman" w:cs="Times New Roman"/>
          <w:bCs/>
          <w:iCs/>
          <w:color w:val="auto"/>
          <w:sz w:val="24"/>
          <w:szCs w:val="24"/>
        </w:rPr>
        <w:t xml:space="preserve"> sem prejuízo da formalização adequada,</w:t>
      </w:r>
      <w:r>
        <w:rPr>
          <w:rFonts w:ascii="Times New Roman" w:hAnsi="Times New Roman" w:cs="Times New Roman"/>
          <w:color w:val="auto"/>
          <w:sz w:val="24"/>
          <w:szCs w:val="24"/>
        </w:rPr>
        <w:t xml:space="preserve"> quando o objeto não for concluído no período firmado acima, ressalvadas as providências cabíveis no caso de culpa do contratado, previstas neste instrumento e no Contrato.</w:t>
      </w:r>
      <w:r>
        <w:rPr>
          <w:rFonts w:ascii="Times New Roman" w:hAnsi="Times New Roman" w:cs="Times New Roman"/>
          <w:sz w:val="24"/>
          <w:szCs w:val="24"/>
        </w:rPr>
        <w:t> </w:t>
      </w:r>
    </w:p>
    <w:p w14:paraId="48E3B8DF">
      <w:pPr>
        <w:pStyle w:val="99"/>
        <w:spacing w:after="0" w:line="288" w:lineRule="auto"/>
        <w:ind w:left="0" w:firstLine="0"/>
        <w:contextualSpacing/>
        <w:rPr>
          <w:rFonts w:ascii="Times New Roman" w:hAnsi="Times New Roman" w:cs="Times New Roman"/>
          <w:sz w:val="24"/>
          <w:szCs w:val="24"/>
        </w:rPr>
      </w:pPr>
    </w:p>
    <w:p w14:paraId="633825D7">
      <w:pPr>
        <w:pStyle w:val="97"/>
        <w:spacing w:before="0" w:beforeAutospacing="0" w:after="0" w:afterAutospacing="0" w:line="288" w:lineRule="auto"/>
        <w:contextualSpacing/>
        <w:jc w:val="both"/>
      </w:pPr>
      <w:r>
        <w:rPr>
          <w:rFonts w:eastAsia="Calibri"/>
          <w:b/>
          <w:bCs/>
          <w:lang w:eastAsia="en-US"/>
        </w:rPr>
        <w:t xml:space="preserve">18. REAJUSTE </w:t>
      </w:r>
    </w:p>
    <w:p w14:paraId="7C109958">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18.1 Os preços contratados serão reajustados após o interregno de 1 (um) ano, mediante solicitação do contratado.</w:t>
      </w:r>
    </w:p>
    <w:p w14:paraId="23D7C8EB">
      <w:pPr>
        <w:pStyle w:val="99"/>
        <w:spacing w:before="288" w:beforeLines="120" w:after="288" w:afterLines="120" w:line="288" w:lineRule="auto"/>
        <w:ind w:left="0" w:firstLine="0"/>
        <w:contextualSpacing/>
        <w:rPr>
          <w:rFonts w:ascii="Times New Roman" w:hAnsi="Times New Roman" w:cs="Times New Roman"/>
          <w:sz w:val="24"/>
          <w:szCs w:val="24"/>
        </w:rPr>
      </w:pPr>
    </w:p>
    <w:p w14:paraId="2843B444">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18.2 O interregno mínimo de 1 (um) ano para o primeiro reajuste será contado da data do orçamento estimado. </w:t>
      </w:r>
    </w:p>
    <w:p w14:paraId="486766D3">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41E0897D">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18.3 </w:t>
      </w:r>
      <w:r>
        <w:rPr>
          <w:rFonts w:ascii="Times New Roman" w:hAnsi="Times New Roman" w:cs="Times New Roman"/>
          <w:sz w:val="24"/>
          <w:szCs w:val="24"/>
        </w:rPr>
        <w:t>Nos reajustes subsequentes ao primeiro, o interregno mínimo de um ano será contado a partir do fato gerador que deu ensejo ao último reajuste.</w:t>
      </w:r>
    </w:p>
    <w:p w14:paraId="5E075C45">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5B6BB76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18.4 </w:t>
      </w:r>
      <w:r>
        <w:rPr>
          <w:rFonts w:ascii="Times New Roman" w:hAnsi="Times New Roman" w:cs="Times New Roman"/>
          <w:sz w:val="24"/>
          <w:szCs w:val="24"/>
        </w:rPr>
        <w:t>Os preços iniciais serão reajustados, mediante a aplicação, pelo contratante, do índice IPCA, exclusivamente para as obrigações que se iniciem após a anualidade.</w:t>
      </w:r>
    </w:p>
    <w:p w14:paraId="4E68D42C">
      <w:pPr>
        <w:pStyle w:val="99"/>
        <w:spacing w:before="288" w:beforeLines="120" w:after="288" w:afterLines="120" w:line="288" w:lineRule="auto"/>
        <w:ind w:left="0" w:firstLine="0"/>
        <w:contextualSpacing/>
        <w:rPr>
          <w:rFonts w:ascii="Times New Roman" w:hAnsi="Times New Roman" w:cs="Times New Roman"/>
          <w:color w:val="FF0000"/>
          <w:sz w:val="24"/>
          <w:szCs w:val="24"/>
        </w:rPr>
      </w:pPr>
      <w:bookmarkStart w:id="36" w:name="_Hlk153284733"/>
    </w:p>
    <w:bookmarkEnd w:id="36"/>
    <w:p w14:paraId="26A07454">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749B73E8">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18.5 </w:t>
      </w:r>
      <w:r>
        <w:rPr>
          <w:rFonts w:ascii="Times New Roman" w:hAnsi="Times New Roman" w:cs="Times New Roman"/>
          <w:sz w:val="24"/>
          <w:szCs w:val="24"/>
        </w:rPr>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0ABA90BB">
      <w:pPr>
        <w:pStyle w:val="99"/>
        <w:spacing w:before="288" w:beforeLines="120" w:after="288" w:afterLines="120" w:line="288" w:lineRule="auto"/>
        <w:ind w:left="0" w:firstLine="0"/>
        <w:contextualSpacing/>
        <w:rPr>
          <w:rFonts w:ascii="Times New Roman" w:hAnsi="Times New Roman" w:cs="Times New Roman"/>
          <w:sz w:val="24"/>
          <w:szCs w:val="24"/>
        </w:rPr>
      </w:pPr>
    </w:p>
    <w:p w14:paraId="324F1CB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18.5.1 Fica o contratado obrigado a apresentar memória de cálculo referente ao reajustamento de preços do valor remanescente, sempre que este ocorrer, sendo adotado na aferição final o índice definitivo.</w:t>
      </w:r>
    </w:p>
    <w:p w14:paraId="200E7174">
      <w:pPr>
        <w:pStyle w:val="99"/>
        <w:spacing w:before="288" w:beforeLines="120" w:after="288" w:afterLines="120" w:line="288" w:lineRule="auto"/>
        <w:ind w:left="0" w:firstLine="0"/>
        <w:contextualSpacing/>
        <w:rPr>
          <w:rFonts w:ascii="Times New Roman" w:hAnsi="Times New Roman" w:cs="Times New Roman"/>
          <w:sz w:val="24"/>
          <w:szCs w:val="24"/>
        </w:rPr>
      </w:pPr>
    </w:p>
    <w:p w14:paraId="65232D1B">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18.6 Caso o(s) índice(s) estabelecido(s) para reajustamento venha(m) a ser extinto(s) ou de qualquer forma não possa(m) mais ser utilizado(s), será(ão) adotado(s), em substituição, o(s) que vier(em) a ser determinado(s) pela legislação então em vigor.</w:t>
      </w:r>
    </w:p>
    <w:p w14:paraId="118646F8">
      <w:pPr>
        <w:pStyle w:val="99"/>
        <w:spacing w:before="288" w:beforeLines="120" w:after="288" w:afterLines="120" w:line="288" w:lineRule="auto"/>
        <w:ind w:left="0" w:firstLine="0"/>
        <w:contextualSpacing/>
        <w:rPr>
          <w:rFonts w:ascii="Times New Roman" w:hAnsi="Times New Roman" w:cs="Times New Roman"/>
          <w:sz w:val="24"/>
          <w:szCs w:val="24"/>
        </w:rPr>
      </w:pPr>
    </w:p>
    <w:p w14:paraId="675D499F">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18.7 Na ausência de previsão legal quanto ao índice substituto, as partes elegerão novo índice oficial, para reajustamento do preço do valor remanescente, por meio de termo aditivo.</w:t>
      </w:r>
    </w:p>
    <w:p w14:paraId="00DE3514">
      <w:pPr>
        <w:pStyle w:val="99"/>
        <w:spacing w:before="288" w:beforeLines="120" w:after="288" w:afterLines="120" w:line="288" w:lineRule="auto"/>
        <w:ind w:left="0" w:firstLine="0"/>
        <w:contextualSpacing/>
        <w:rPr>
          <w:rFonts w:ascii="Times New Roman" w:hAnsi="Times New Roman" w:cs="Times New Roman"/>
          <w:sz w:val="24"/>
          <w:szCs w:val="24"/>
        </w:rPr>
      </w:pPr>
    </w:p>
    <w:p w14:paraId="67A6EB59">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18.8 O pedido de reajuste deverá ser formulado durante a vigência do contrato e antes de eventual prorrogação contratual, sob pena de preclusão.</w:t>
      </w:r>
    </w:p>
    <w:p w14:paraId="099FA02F">
      <w:pPr>
        <w:pStyle w:val="99"/>
        <w:spacing w:before="288" w:beforeLines="120" w:after="288" w:afterLines="120" w:line="288" w:lineRule="auto"/>
        <w:ind w:left="0" w:firstLine="0"/>
        <w:contextualSpacing/>
        <w:rPr>
          <w:rFonts w:ascii="Times New Roman" w:hAnsi="Times New Roman" w:cs="Times New Roman"/>
          <w:sz w:val="24"/>
          <w:szCs w:val="24"/>
        </w:rPr>
      </w:pPr>
    </w:p>
    <w:p w14:paraId="4BD0EAC3">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18.8.1 Os efeitos financeiros do pedido de reajuste serão contados:</w:t>
      </w:r>
    </w:p>
    <w:p w14:paraId="28CB23D1">
      <w:pPr>
        <w:pStyle w:val="99"/>
        <w:spacing w:before="288" w:beforeLines="120" w:after="288" w:afterLines="120" w:line="288" w:lineRule="auto"/>
        <w:ind w:left="0" w:firstLine="0"/>
        <w:contextualSpacing/>
        <w:rPr>
          <w:rFonts w:ascii="Times New Roman" w:hAnsi="Times New Roman" w:cs="Times New Roman"/>
          <w:sz w:val="24"/>
          <w:szCs w:val="24"/>
        </w:rPr>
      </w:pPr>
    </w:p>
    <w:p w14:paraId="1429CEC3">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da data-base prevista no contrato, desde que requerido o reajuste no prazo de 60 (sessenta) dias da data de publicação do índice ajustado contratualmente;</w:t>
      </w:r>
    </w:p>
    <w:p w14:paraId="22EDCD68">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 partir da data do requerimento do contratado, caso o pedido seja formulado após o prazo fixado na alínea a, acima, o que não acarretará a alteração do marco para cômputo da anualidade do reajustamento, já adotado no edital e no contrato.</w:t>
      </w:r>
    </w:p>
    <w:p w14:paraId="17EDDBF6">
      <w:pPr>
        <w:pStyle w:val="99"/>
        <w:spacing w:before="288" w:beforeLines="120" w:after="288" w:afterLines="120" w:line="288" w:lineRule="auto"/>
        <w:ind w:left="0" w:firstLine="0"/>
        <w:contextualSpacing/>
        <w:rPr>
          <w:rFonts w:ascii="Times New Roman" w:hAnsi="Times New Roman" w:cs="Times New Roman"/>
          <w:color w:val="auto"/>
          <w:sz w:val="24"/>
          <w:szCs w:val="24"/>
        </w:rPr>
      </w:pPr>
    </w:p>
    <w:p w14:paraId="1B1C234B">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18.9 </w:t>
      </w:r>
      <w:r>
        <w:rPr>
          <w:rFonts w:ascii="Times New Roman" w:hAnsi="Times New Roman" w:cs="Times New Roman"/>
          <w:sz w:val="24"/>
          <w:szCs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2182AD32">
      <w:pPr>
        <w:pStyle w:val="99"/>
        <w:spacing w:before="288" w:beforeLines="120" w:after="288" w:afterLines="120" w:line="288" w:lineRule="auto"/>
        <w:ind w:left="0" w:firstLine="0"/>
        <w:contextualSpacing/>
        <w:rPr>
          <w:rFonts w:ascii="Times New Roman" w:hAnsi="Times New Roman" w:cs="Times New Roman"/>
          <w:sz w:val="24"/>
          <w:szCs w:val="24"/>
        </w:rPr>
      </w:pPr>
    </w:p>
    <w:p w14:paraId="2D3B0C71">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18.10 A extinção do contrato não configurará óbice para o deferimento do reajuste solicitado tempestivamente, hipótese em que será concedido por meio de termo indenizatório.</w:t>
      </w:r>
    </w:p>
    <w:p w14:paraId="4D590425">
      <w:pPr>
        <w:pStyle w:val="99"/>
        <w:spacing w:before="288" w:beforeLines="120" w:after="288" w:afterLines="120" w:line="288" w:lineRule="auto"/>
        <w:ind w:left="0" w:firstLine="0"/>
        <w:contextualSpacing/>
        <w:rPr>
          <w:rFonts w:ascii="Times New Roman" w:hAnsi="Times New Roman" w:cs="Times New Roman"/>
          <w:sz w:val="24"/>
          <w:szCs w:val="24"/>
        </w:rPr>
      </w:pPr>
    </w:p>
    <w:p w14:paraId="6B00E903">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18.11 O reajuste será realizado por apostilamento, se esta for a única alteração contratual a ser realizada.</w:t>
      </w:r>
    </w:p>
    <w:p w14:paraId="1CF815AC">
      <w:pPr>
        <w:pStyle w:val="99"/>
        <w:spacing w:before="288" w:beforeLines="120" w:after="288" w:afterLines="120" w:line="288" w:lineRule="auto"/>
        <w:ind w:left="0" w:firstLine="0"/>
        <w:contextualSpacing/>
        <w:rPr>
          <w:rFonts w:ascii="Times New Roman" w:hAnsi="Times New Roman" w:cs="Times New Roman"/>
          <w:sz w:val="24"/>
          <w:szCs w:val="24"/>
        </w:rPr>
      </w:pPr>
    </w:p>
    <w:p w14:paraId="74642B71">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18.12 O reajuste de preços não interfere no direito das partes de solicitar, a qualquer momento, a manutenção do equilíbrio econômico dos contratos com base no disposto no art. 124, inciso II, alínea “d”, da Lei n.º 14.133/2021.</w:t>
      </w:r>
    </w:p>
    <w:p w14:paraId="41E38496">
      <w:pPr>
        <w:pStyle w:val="97"/>
        <w:spacing w:before="0" w:beforeAutospacing="0" w:after="0" w:afterAutospacing="0" w:line="288" w:lineRule="auto"/>
        <w:contextualSpacing/>
        <w:jc w:val="both"/>
        <w:rPr>
          <w:rFonts w:eastAsia="Calibri"/>
          <w:b/>
          <w:bCs/>
          <w:lang w:eastAsia="en-US"/>
        </w:rPr>
      </w:pPr>
      <w:r>
        <w:rPr>
          <w:rFonts w:eastAsia="Calibri"/>
          <w:b/>
          <w:bCs/>
          <w:lang w:eastAsia="en-US"/>
        </w:rPr>
        <w:t>19. EXECUÇÃO, GESTÃO E FISCALIZAÇÃO CONTRATUAIS</w:t>
      </w:r>
    </w:p>
    <w:p w14:paraId="64CD68A1">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19.1 O regime de execução contratual, o modelo de gestão e a fiscalização, assim como os prazos e condições de conclusão, entrega, observação e recebimento se submetem ao disposto no Termo de Referência anexo a este Edital, na forma do Decreto nº 40/2025.</w:t>
      </w:r>
    </w:p>
    <w:p w14:paraId="678E9EC1">
      <w:pPr>
        <w:spacing w:line="288" w:lineRule="auto"/>
        <w:contextualSpacing/>
        <w:jc w:val="both"/>
        <w:rPr>
          <w:b/>
          <w:bCs/>
          <w:sz w:val="24"/>
          <w:szCs w:val="24"/>
        </w:rPr>
      </w:pPr>
      <w:r>
        <w:rPr>
          <w:b/>
          <w:bCs/>
          <w:sz w:val="24"/>
          <w:szCs w:val="24"/>
        </w:rPr>
        <w:t>20. DAS INFRAÇÕES ADMINISTRATIVAS E SANÇÕES</w:t>
      </w:r>
    </w:p>
    <w:p w14:paraId="656D347E">
      <w:pPr>
        <w:spacing w:line="288" w:lineRule="auto"/>
        <w:contextualSpacing/>
        <w:jc w:val="both"/>
        <w:rPr>
          <w:sz w:val="24"/>
          <w:szCs w:val="24"/>
        </w:rPr>
      </w:pPr>
    </w:p>
    <w:p w14:paraId="2983B292">
      <w:pPr>
        <w:spacing w:line="288" w:lineRule="auto"/>
        <w:contextualSpacing/>
        <w:jc w:val="both"/>
        <w:rPr>
          <w:color w:val="000000"/>
          <w:sz w:val="24"/>
          <w:szCs w:val="24"/>
        </w:rPr>
      </w:pPr>
      <w:r>
        <w:rPr>
          <w:color w:val="000000"/>
          <w:sz w:val="24"/>
          <w:szCs w:val="24"/>
        </w:rPr>
        <w:t>20.1 Constitui infração administrativa, a prática, pelo licitante ou contratado, das seguintes condutas previstas no art. 155 da Lei nº 14.133/2021:</w:t>
      </w:r>
    </w:p>
    <w:p w14:paraId="3C665AFD">
      <w:pPr>
        <w:spacing w:line="288" w:lineRule="auto"/>
        <w:contextualSpacing/>
        <w:jc w:val="both"/>
        <w:rPr>
          <w:color w:val="000000"/>
          <w:sz w:val="24"/>
          <w:szCs w:val="24"/>
        </w:rPr>
      </w:pPr>
    </w:p>
    <w:p w14:paraId="3DBD6E7B">
      <w:pPr>
        <w:spacing w:line="288" w:lineRule="auto"/>
        <w:contextualSpacing/>
        <w:jc w:val="both"/>
        <w:rPr>
          <w:sz w:val="24"/>
          <w:szCs w:val="24"/>
        </w:rPr>
      </w:pPr>
      <w:bookmarkStart w:id="37" w:name="_Hlk183789048"/>
      <w:r>
        <w:rPr>
          <w:color w:val="000000"/>
          <w:sz w:val="24"/>
          <w:szCs w:val="24"/>
        </w:rPr>
        <w:t>2</w:t>
      </w:r>
      <w:bookmarkEnd w:id="37"/>
      <w:r>
        <w:rPr>
          <w:color w:val="000000"/>
          <w:sz w:val="24"/>
          <w:szCs w:val="24"/>
        </w:rPr>
        <w:t>0.1.1 dar causa à inexecução parcial do contrato</w:t>
      </w:r>
      <w:r>
        <w:rPr>
          <w:sz w:val="24"/>
          <w:szCs w:val="24"/>
        </w:rPr>
        <w:t>;</w:t>
      </w:r>
    </w:p>
    <w:p w14:paraId="274444F8">
      <w:pPr>
        <w:spacing w:line="288" w:lineRule="auto"/>
        <w:contextualSpacing/>
        <w:jc w:val="both"/>
        <w:rPr>
          <w:sz w:val="24"/>
          <w:szCs w:val="24"/>
        </w:rPr>
      </w:pPr>
    </w:p>
    <w:p w14:paraId="0116A13C">
      <w:pPr>
        <w:spacing w:line="288" w:lineRule="auto"/>
        <w:contextualSpacing/>
        <w:jc w:val="both"/>
        <w:rPr>
          <w:sz w:val="24"/>
          <w:szCs w:val="24"/>
        </w:rPr>
      </w:pPr>
      <w:r>
        <w:rPr>
          <w:color w:val="000000"/>
          <w:sz w:val="24"/>
          <w:szCs w:val="24"/>
        </w:rPr>
        <w:t>20.1.2 dar causa à inexecução parcial do contrato que cause grave dano à Administração, ao funcionamento dos serviços públicos ou ao interesse coletivo;</w:t>
      </w:r>
    </w:p>
    <w:p w14:paraId="5C3424AE">
      <w:pPr>
        <w:spacing w:line="288" w:lineRule="auto"/>
        <w:contextualSpacing/>
        <w:jc w:val="both"/>
        <w:rPr>
          <w:color w:val="000000"/>
          <w:sz w:val="24"/>
          <w:szCs w:val="24"/>
        </w:rPr>
      </w:pPr>
    </w:p>
    <w:p w14:paraId="577015A8">
      <w:pPr>
        <w:spacing w:after="160" w:line="288" w:lineRule="auto"/>
        <w:contextualSpacing/>
        <w:jc w:val="both"/>
        <w:rPr>
          <w:sz w:val="24"/>
          <w:szCs w:val="24"/>
        </w:rPr>
      </w:pPr>
      <w:r>
        <w:rPr>
          <w:color w:val="000000"/>
          <w:sz w:val="24"/>
          <w:szCs w:val="24"/>
        </w:rPr>
        <w:t>20.1.3 dar causa à inexecução total do contrato;</w:t>
      </w:r>
    </w:p>
    <w:p w14:paraId="01FBA94C">
      <w:pPr>
        <w:spacing w:line="288" w:lineRule="auto"/>
        <w:contextualSpacing/>
        <w:jc w:val="both"/>
        <w:rPr>
          <w:color w:val="000000"/>
          <w:sz w:val="24"/>
          <w:szCs w:val="24"/>
        </w:rPr>
      </w:pPr>
    </w:p>
    <w:p w14:paraId="2E9A853A">
      <w:pPr>
        <w:spacing w:line="288" w:lineRule="auto"/>
        <w:contextualSpacing/>
        <w:jc w:val="both"/>
        <w:rPr>
          <w:sz w:val="24"/>
          <w:szCs w:val="24"/>
        </w:rPr>
      </w:pPr>
      <w:r>
        <w:rPr>
          <w:color w:val="000000"/>
          <w:sz w:val="24"/>
          <w:szCs w:val="24"/>
        </w:rPr>
        <w:t xml:space="preserve">20.1.4 deixar de entregar a documentação exigida para o certame ou não entregar qualquer documento que tenha sido solicitado pelo Pregoeiro durante o certame; </w:t>
      </w:r>
    </w:p>
    <w:p w14:paraId="78F5D9E3">
      <w:pPr>
        <w:spacing w:line="288" w:lineRule="auto"/>
        <w:contextualSpacing/>
        <w:jc w:val="both"/>
        <w:rPr>
          <w:color w:val="000000"/>
          <w:sz w:val="24"/>
          <w:szCs w:val="24"/>
        </w:rPr>
      </w:pPr>
    </w:p>
    <w:p w14:paraId="0AB4C5D1">
      <w:pPr>
        <w:spacing w:line="288" w:lineRule="auto"/>
        <w:contextualSpacing/>
        <w:jc w:val="both"/>
        <w:rPr>
          <w:color w:val="000000"/>
          <w:sz w:val="24"/>
          <w:szCs w:val="24"/>
        </w:rPr>
      </w:pPr>
      <w:r>
        <w:rPr>
          <w:color w:val="000000"/>
          <w:sz w:val="24"/>
          <w:szCs w:val="24"/>
        </w:rPr>
        <w:t>20.1.5 não manter a proposta, salvo em decorrência de fato superveniente devidamente justificado, em especial quando:</w:t>
      </w:r>
    </w:p>
    <w:p w14:paraId="54158937">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color w:val="000000"/>
          <w:sz w:val="24"/>
          <w:szCs w:val="24"/>
        </w:rPr>
        <w:t>20</w:t>
      </w:r>
      <w:r>
        <w:rPr>
          <w:rFonts w:ascii="Times New Roman" w:hAnsi="Times New Roman" w:cs="Times New Roman"/>
          <w:sz w:val="24"/>
          <w:szCs w:val="24"/>
        </w:rPr>
        <w:t xml:space="preserve">.1.5.1 não enviar a proposta adequada ao último lance ofertado ou após a negociação; </w:t>
      </w:r>
    </w:p>
    <w:p w14:paraId="593DD5DA">
      <w:pPr>
        <w:pStyle w:val="120"/>
        <w:spacing w:before="288" w:beforeLines="120" w:after="288" w:afterLines="120" w:line="288" w:lineRule="auto"/>
        <w:ind w:left="0"/>
        <w:contextualSpacing/>
        <w:rPr>
          <w:rFonts w:ascii="Times New Roman" w:hAnsi="Times New Roman" w:cs="Times New Roman"/>
          <w:sz w:val="24"/>
          <w:szCs w:val="24"/>
        </w:rPr>
      </w:pPr>
    </w:p>
    <w:p w14:paraId="3441E1FD">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color w:val="000000"/>
          <w:sz w:val="24"/>
          <w:szCs w:val="24"/>
        </w:rPr>
        <w:t>20</w:t>
      </w:r>
      <w:r>
        <w:rPr>
          <w:rFonts w:ascii="Times New Roman" w:hAnsi="Times New Roman" w:cs="Times New Roman"/>
          <w:sz w:val="24"/>
          <w:szCs w:val="24"/>
        </w:rPr>
        <w:t xml:space="preserve">.1.5.2 recusar-se a enviar o detalhamento da proposta quando exigível; </w:t>
      </w:r>
    </w:p>
    <w:p w14:paraId="5E877FEC">
      <w:pPr>
        <w:pStyle w:val="120"/>
        <w:spacing w:before="288" w:beforeLines="120" w:after="288" w:afterLines="120" w:line="288" w:lineRule="auto"/>
        <w:ind w:left="0"/>
        <w:contextualSpacing/>
        <w:rPr>
          <w:rFonts w:ascii="Times New Roman" w:hAnsi="Times New Roman" w:cs="Times New Roman"/>
          <w:sz w:val="24"/>
          <w:szCs w:val="24"/>
        </w:rPr>
      </w:pPr>
    </w:p>
    <w:p w14:paraId="0F4378D9">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20.1.5.3 pedir para ser desclassificado quando encerrada a etapa competitiva; </w:t>
      </w:r>
    </w:p>
    <w:p w14:paraId="2A7FD6D4">
      <w:pPr>
        <w:pStyle w:val="120"/>
        <w:spacing w:before="288" w:beforeLines="120" w:after="288" w:afterLines="120" w:line="288" w:lineRule="auto"/>
        <w:ind w:left="0"/>
        <w:contextualSpacing/>
        <w:rPr>
          <w:rFonts w:ascii="Times New Roman" w:hAnsi="Times New Roman" w:cs="Times New Roman"/>
          <w:sz w:val="24"/>
          <w:szCs w:val="24"/>
        </w:rPr>
      </w:pPr>
    </w:p>
    <w:p w14:paraId="05614D20">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20.1.5.4 deixar de apresentar amostra; ou</w:t>
      </w:r>
    </w:p>
    <w:p w14:paraId="00D86A65">
      <w:pPr>
        <w:pStyle w:val="120"/>
        <w:spacing w:before="288" w:beforeLines="120" w:after="288" w:afterLines="120" w:line="288" w:lineRule="auto"/>
        <w:ind w:left="0"/>
        <w:contextualSpacing/>
        <w:rPr>
          <w:rFonts w:ascii="Times New Roman" w:hAnsi="Times New Roman" w:cs="Times New Roman"/>
          <w:sz w:val="24"/>
          <w:szCs w:val="24"/>
        </w:rPr>
      </w:pPr>
    </w:p>
    <w:p w14:paraId="097646CA">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20.1.5.5 apresentar proposta ou amostra em desacordo com as especificações do instrumento convocatório; </w:t>
      </w:r>
    </w:p>
    <w:p w14:paraId="1986594D">
      <w:pPr>
        <w:spacing w:line="288" w:lineRule="auto"/>
        <w:contextualSpacing/>
        <w:jc w:val="both"/>
        <w:rPr>
          <w:color w:val="000000"/>
          <w:sz w:val="24"/>
          <w:szCs w:val="24"/>
        </w:rPr>
      </w:pPr>
      <w:r>
        <w:rPr>
          <w:color w:val="000000"/>
          <w:sz w:val="24"/>
          <w:szCs w:val="24"/>
        </w:rPr>
        <w:t>20.1.6 não celebrar o contrato ou não entregar a documentação exigida para a contratação, quando convocado dentro do prazo de validade de sua proposta;</w:t>
      </w:r>
    </w:p>
    <w:p w14:paraId="521C9A81">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20.1.6.1 recusar-se, sem justificativa, a assinar o contrato ou a ata de registro de preço, ou a aceitar ou retirar o instrumento equivalente no prazo estabelecido pela Administração;</w:t>
      </w:r>
    </w:p>
    <w:p w14:paraId="2E60198C">
      <w:pPr>
        <w:spacing w:line="288" w:lineRule="auto"/>
        <w:contextualSpacing/>
        <w:jc w:val="both"/>
        <w:rPr>
          <w:color w:val="000000"/>
          <w:sz w:val="24"/>
          <w:szCs w:val="24"/>
        </w:rPr>
      </w:pPr>
      <w:r>
        <w:rPr>
          <w:color w:val="000000"/>
          <w:sz w:val="24"/>
          <w:szCs w:val="24"/>
        </w:rPr>
        <w:t>20.1.7 ensejar o retardamento da execução ou da entrega do objeto da contratação sem motivo justificado;</w:t>
      </w:r>
    </w:p>
    <w:p w14:paraId="37C0E760">
      <w:pPr>
        <w:spacing w:line="288" w:lineRule="auto"/>
        <w:contextualSpacing/>
        <w:jc w:val="both"/>
        <w:rPr>
          <w:color w:val="000000"/>
          <w:sz w:val="24"/>
          <w:szCs w:val="24"/>
        </w:rPr>
      </w:pPr>
    </w:p>
    <w:p w14:paraId="7E792DB4">
      <w:pPr>
        <w:spacing w:line="288" w:lineRule="auto"/>
        <w:contextualSpacing/>
        <w:jc w:val="both"/>
        <w:rPr>
          <w:color w:val="000000"/>
          <w:sz w:val="24"/>
          <w:szCs w:val="24"/>
        </w:rPr>
      </w:pPr>
      <w:r>
        <w:rPr>
          <w:color w:val="000000"/>
          <w:sz w:val="24"/>
          <w:szCs w:val="24"/>
        </w:rPr>
        <w:t>20.1.8 apresentar declaração ou documentação falsa exigida para o certame ou prestar declaração falsa durante o certame ou a execução do contrato;</w:t>
      </w:r>
    </w:p>
    <w:p w14:paraId="09DB5ECF">
      <w:pPr>
        <w:spacing w:line="288" w:lineRule="auto"/>
        <w:contextualSpacing/>
        <w:jc w:val="both"/>
        <w:rPr>
          <w:rFonts w:eastAsia="Arial"/>
          <w:color w:val="000000"/>
          <w:sz w:val="24"/>
          <w:szCs w:val="24"/>
        </w:rPr>
      </w:pPr>
    </w:p>
    <w:p w14:paraId="3FD0EDF6">
      <w:pPr>
        <w:spacing w:line="288" w:lineRule="auto"/>
        <w:contextualSpacing/>
        <w:jc w:val="both"/>
        <w:rPr>
          <w:color w:val="000000"/>
          <w:sz w:val="24"/>
          <w:szCs w:val="24"/>
        </w:rPr>
      </w:pPr>
      <w:r>
        <w:rPr>
          <w:color w:val="000000"/>
          <w:sz w:val="24"/>
          <w:szCs w:val="24"/>
        </w:rPr>
        <w:t>20.1.9 fraudar o certame ou praticar ato fraudulento na execução do contrato;</w:t>
      </w:r>
    </w:p>
    <w:p w14:paraId="4D45CA23">
      <w:pPr>
        <w:spacing w:line="288" w:lineRule="auto"/>
        <w:contextualSpacing/>
        <w:jc w:val="both"/>
        <w:rPr>
          <w:color w:val="000000"/>
          <w:sz w:val="24"/>
          <w:szCs w:val="24"/>
        </w:rPr>
      </w:pPr>
      <w:r>
        <w:rPr>
          <w:color w:val="000000"/>
          <w:sz w:val="24"/>
          <w:szCs w:val="24"/>
        </w:rPr>
        <w:t> </w:t>
      </w:r>
    </w:p>
    <w:p w14:paraId="09687D68">
      <w:pPr>
        <w:spacing w:line="288" w:lineRule="auto"/>
        <w:contextualSpacing/>
        <w:jc w:val="both"/>
        <w:rPr>
          <w:color w:val="000000"/>
          <w:sz w:val="24"/>
          <w:szCs w:val="24"/>
        </w:rPr>
      </w:pPr>
      <w:r>
        <w:rPr>
          <w:color w:val="000000"/>
          <w:sz w:val="24"/>
          <w:szCs w:val="24"/>
        </w:rPr>
        <w:t>20.1.10 comportar-se de modo inidôneo ou cometer fraude de qualquer natureza, em especial quando:</w:t>
      </w:r>
    </w:p>
    <w:p w14:paraId="089FA659">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20.1.10.1 agir em conluio ou em desconformidade com a lei; </w:t>
      </w:r>
    </w:p>
    <w:p w14:paraId="6FBD5435">
      <w:pPr>
        <w:pStyle w:val="120"/>
        <w:spacing w:before="288" w:beforeLines="120" w:after="288" w:afterLines="120" w:line="288" w:lineRule="auto"/>
        <w:ind w:left="0"/>
        <w:contextualSpacing/>
        <w:rPr>
          <w:rFonts w:ascii="Times New Roman" w:hAnsi="Times New Roman" w:cs="Times New Roman"/>
          <w:sz w:val="24"/>
          <w:szCs w:val="24"/>
        </w:rPr>
      </w:pPr>
    </w:p>
    <w:p w14:paraId="4D547814">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20.1.10.2 induzir deliberadamente a erro no julgamento; </w:t>
      </w:r>
    </w:p>
    <w:p w14:paraId="3C8F76CD">
      <w:pPr>
        <w:pStyle w:val="120"/>
        <w:spacing w:before="288" w:beforeLines="120" w:after="288" w:afterLines="120" w:line="288" w:lineRule="auto"/>
        <w:ind w:left="0"/>
        <w:contextualSpacing/>
        <w:rPr>
          <w:rFonts w:ascii="Times New Roman" w:hAnsi="Times New Roman" w:cs="Times New Roman"/>
          <w:sz w:val="24"/>
          <w:szCs w:val="24"/>
        </w:rPr>
      </w:pPr>
    </w:p>
    <w:p w14:paraId="66CD60A6">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20.1.10.3 apresentar amostra falsificada ou deteriorada; </w:t>
      </w:r>
    </w:p>
    <w:p w14:paraId="7001B9C3">
      <w:pPr>
        <w:pStyle w:val="120"/>
        <w:spacing w:before="288" w:beforeLines="120" w:after="288" w:afterLines="120" w:line="288" w:lineRule="auto"/>
        <w:ind w:left="0"/>
        <w:contextualSpacing/>
        <w:rPr>
          <w:rFonts w:ascii="Times New Roman" w:hAnsi="Times New Roman" w:cs="Times New Roman"/>
          <w:sz w:val="24"/>
          <w:szCs w:val="24"/>
        </w:rPr>
      </w:pPr>
    </w:p>
    <w:p w14:paraId="0D40588B">
      <w:pPr>
        <w:pStyle w:val="120"/>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20.1.10.4 apresentar declaração falsa quanto às condições de participação ou quanto ao enquadramento como ME/EPP; </w:t>
      </w:r>
    </w:p>
    <w:p w14:paraId="789172C8">
      <w:pPr>
        <w:spacing w:line="288" w:lineRule="auto"/>
        <w:contextualSpacing/>
        <w:jc w:val="both"/>
        <w:rPr>
          <w:color w:val="000000"/>
          <w:sz w:val="24"/>
          <w:szCs w:val="24"/>
        </w:rPr>
      </w:pPr>
      <w:r>
        <w:rPr>
          <w:sz w:val="24"/>
          <w:szCs w:val="24"/>
        </w:rPr>
        <w:t>20</w:t>
      </w:r>
      <w:r>
        <w:rPr>
          <w:color w:val="000000"/>
          <w:sz w:val="24"/>
          <w:szCs w:val="24"/>
        </w:rPr>
        <w:t>.1.11 praticar atos ilícitos com vistas a frustrar os objetivos do certame;</w:t>
      </w:r>
    </w:p>
    <w:p w14:paraId="7EED5BE3">
      <w:pPr>
        <w:spacing w:line="288" w:lineRule="auto"/>
        <w:contextualSpacing/>
        <w:jc w:val="both"/>
        <w:rPr>
          <w:color w:val="000000"/>
          <w:sz w:val="24"/>
          <w:szCs w:val="24"/>
        </w:rPr>
      </w:pPr>
    </w:p>
    <w:p w14:paraId="72EB0FC5">
      <w:pPr>
        <w:spacing w:line="288" w:lineRule="auto"/>
        <w:contextualSpacing/>
        <w:jc w:val="both"/>
        <w:rPr>
          <w:rStyle w:val="16"/>
          <w:rFonts w:eastAsiaTheme="minorHAnsi"/>
          <w:color w:val="000000"/>
          <w:sz w:val="24"/>
          <w:szCs w:val="24"/>
        </w:rPr>
      </w:pPr>
      <w:r>
        <w:rPr>
          <w:sz w:val="24"/>
          <w:szCs w:val="24"/>
        </w:rPr>
        <w:t>20</w:t>
      </w:r>
      <w:r>
        <w:rPr>
          <w:color w:val="000000"/>
          <w:sz w:val="24"/>
          <w:szCs w:val="24"/>
        </w:rPr>
        <w:t>.1.12 praticar ato lesivo previsto no </w:t>
      </w:r>
      <w:r>
        <w:fldChar w:fldCharType="begin"/>
      </w:r>
      <w:r>
        <w:instrText xml:space="preserve"> HYPERLINK "http://www.planalto.gov.br/ccivil_03/_Ato2011-2014/2013/Lei/L12846.htm" \l "art5" </w:instrText>
      </w:r>
      <w:r>
        <w:fldChar w:fldCharType="separate"/>
      </w:r>
      <w:r>
        <w:rPr>
          <w:rStyle w:val="16"/>
          <w:rFonts w:eastAsiaTheme="minorHAnsi"/>
          <w:color w:val="000000"/>
          <w:sz w:val="24"/>
          <w:szCs w:val="24"/>
        </w:rPr>
        <w:t>art. 5º da Lei nº 12.846, de 1º de agosto de 2013.</w:t>
      </w:r>
      <w:r>
        <w:rPr>
          <w:rStyle w:val="16"/>
          <w:rFonts w:eastAsiaTheme="minorHAnsi"/>
          <w:color w:val="000000"/>
          <w:sz w:val="24"/>
          <w:szCs w:val="24"/>
        </w:rPr>
        <w:fldChar w:fldCharType="end"/>
      </w:r>
    </w:p>
    <w:p w14:paraId="3EC8DF98">
      <w:pPr>
        <w:spacing w:line="288" w:lineRule="auto"/>
        <w:contextualSpacing/>
        <w:jc w:val="both"/>
        <w:rPr>
          <w:sz w:val="24"/>
          <w:szCs w:val="24"/>
        </w:rPr>
      </w:pPr>
    </w:p>
    <w:p w14:paraId="3B369AC4">
      <w:pPr>
        <w:spacing w:line="288" w:lineRule="auto"/>
        <w:contextualSpacing/>
        <w:jc w:val="both"/>
        <w:rPr>
          <w:sz w:val="24"/>
          <w:szCs w:val="24"/>
        </w:rPr>
      </w:pPr>
      <w:r>
        <w:rPr>
          <w:sz w:val="24"/>
          <w:szCs w:val="24"/>
        </w:rPr>
        <w:t xml:space="preserve">20.2 O licitante ou </w:t>
      </w:r>
      <w:r>
        <w:rPr>
          <w:color w:val="000000"/>
          <w:sz w:val="24"/>
          <w:szCs w:val="24"/>
        </w:rPr>
        <w:t>contratado</w:t>
      </w:r>
      <w:r>
        <w:rPr>
          <w:sz w:val="24"/>
          <w:szCs w:val="24"/>
        </w:rPr>
        <w:t xml:space="preserve"> que cometer qualquer das condutas discriminadas nos subitens anteriores ficará sujeito, sem prejuízo da responsabilidade civil e criminal, às seguintes sanções:</w:t>
      </w:r>
    </w:p>
    <w:p w14:paraId="38DC3529">
      <w:pPr>
        <w:spacing w:line="288" w:lineRule="auto"/>
        <w:contextualSpacing/>
        <w:jc w:val="both"/>
        <w:rPr>
          <w:sz w:val="24"/>
          <w:szCs w:val="24"/>
        </w:rPr>
      </w:pPr>
    </w:p>
    <w:p w14:paraId="72F02535">
      <w:pPr>
        <w:spacing w:line="288" w:lineRule="auto"/>
        <w:contextualSpacing/>
        <w:jc w:val="both"/>
        <w:rPr>
          <w:sz w:val="24"/>
          <w:szCs w:val="24"/>
        </w:rPr>
      </w:pPr>
      <w:r>
        <w:rPr>
          <w:sz w:val="24"/>
          <w:szCs w:val="24"/>
        </w:rPr>
        <w:t>20.2.1 Advertência, prevista no art. 156, I, § 2º, da Lei nº 14.133/2021, pela infração descrita no item 21.1.1, de menor potencial ofensivo, quando não se justificar a imposição de penalidade mais grave.</w:t>
      </w:r>
    </w:p>
    <w:p w14:paraId="01D04EC1">
      <w:pPr>
        <w:spacing w:line="288" w:lineRule="auto"/>
        <w:contextualSpacing/>
        <w:jc w:val="both"/>
        <w:rPr>
          <w:sz w:val="24"/>
          <w:szCs w:val="24"/>
        </w:rPr>
      </w:pPr>
    </w:p>
    <w:p w14:paraId="2F69F631">
      <w:pPr>
        <w:spacing w:line="288" w:lineRule="auto"/>
        <w:contextualSpacing/>
        <w:jc w:val="both"/>
        <w:rPr>
          <w:sz w:val="24"/>
          <w:szCs w:val="24"/>
        </w:rPr>
      </w:pPr>
      <w:r>
        <w:rPr>
          <w:sz w:val="24"/>
          <w:szCs w:val="24"/>
        </w:rPr>
        <w:t xml:space="preserve">20.2.2 Multa administrativa, prevista no art. 156, II, § 3º, da Lei nº 14.133/2021, pela infração dos subitens 20.1.1 a 20.1.12, que não </w:t>
      </w:r>
      <w:r>
        <w:rPr>
          <w:color w:val="000000"/>
          <w:sz w:val="24"/>
          <w:szCs w:val="24"/>
        </w:rPr>
        <w:t>poderá ser inferior a 0,5% (cinco décimos por cento) nem superior a 30% (trinta por cento) do valor do Contrato</w:t>
      </w:r>
      <w:r>
        <w:rPr>
          <w:sz w:val="24"/>
          <w:szCs w:val="24"/>
        </w:rPr>
        <w:t>, devendo ser observados os seguintes parâmetros:</w:t>
      </w:r>
    </w:p>
    <w:p w14:paraId="0F167280">
      <w:pPr>
        <w:spacing w:line="288" w:lineRule="auto"/>
        <w:contextualSpacing/>
        <w:jc w:val="both"/>
        <w:rPr>
          <w:sz w:val="24"/>
          <w:szCs w:val="24"/>
        </w:rPr>
      </w:pPr>
      <w:r>
        <w:rPr>
          <w:sz w:val="24"/>
          <w:szCs w:val="24"/>
        </w:rPr>
        <w:t xml:space="preserve">a) multa de 0,5% a 1,5%, nos casos da infração prevista no subitem </w:t>
      </w:r>
      <w:r>
        <w:rPr>
          <w:color w:val="000000"/>
          <w:sz w:val="24"/>
          <w:szCs w:val="24"/>
        </w:rPr>
        <w:t>20</w:t>
      </w:r>
      <w:r>
        <w:rPr>
          <w:sz w:val="24"/>
          <w:szCs w:val="24"/>
        </w:rPr>
        <w:t xml:space="preserve">.1.1, incidente sobre o valor anual do Contrato; </w:t>
      </w:r>
    </w:p>
    <w:p w14:paraId="6B33418F">
      <w:pPr>
        <w:spacing w:line="288" w:lineRule="auto"/>
        <w:contextualSpacing/>
        <w:jc w:val="both"/>
        <w:rPr>
          <w:sz w:val="24"/>
          <w:szCs w:val="24"/>
        </w:rPr>
      </w:pPr>
      <w:r>
        <w:rPr>
          <w:sz w:val="24"/>
          <w:szCs w:val="24"/>
        </w:rPr>
        <w:t>b) multa de 0,5% a 15%, nos casos das infrações previstas nos subitens 20.1.2 a 20.1.7, incidente sobre o valor anual do Contrato;</w:t>
      </w:r>
    </w:p>
    <w:p w14:paraId="2866F978">
      <w:pPr>
        <w:spacing w:line="288" w:lineRule="auto"/>
        <w:contextualSpacing/>
        <w:jc w:val="both"/>
        <w:rPr>
          <w:sz w:val="24"/>
          <w:szCs w:val="24"/>
        </w:rPr>
      </w:pPr>
      <w:r>
        <w:rPr>
          <w:sz w:val="24"/>
          <w:szCs w:val="24"/>
        </w:rPr>
        <w:t>c) multa de 5% a 30%, nos casos das infrações previstas nos subitens 20.1.8 a 20.1.12, incidente sobre o valor anual do Contrato;</w:t>
      </w:r>
    </w:p>
    <w:p w14:paraId="117D4770">
      <w:pPr>
        <w:pStyle w:val="24"/>
        <w:spacing w:before="225" w:line="288" w:lineRule="auto"/>
        <w:contextualSpacing/>
        <w:jc w:val="both"/>
        <w:rPr>
          <w:color w:val="000000"/>
        </w:rPr>
      </w:pPr>
      <w:r>
        <w:t>20.2.2.1 Na hipótese de a infração ser cometida antes da celebração do Contrato, a base de cálculo da multa do item 20.2.2 será o valor anual estimado da contratação.</w:t>
      </w:r>
    </w:p>
    <w:p w14:paraId="0E2A5B2C">
      <w:pPr>
        <w:spacing w:line="288" w:lineRule="auto"/>
        <w:contextualSpacing/>
        <w:jc w:val="both"/>
        <w:rPr>
          <w:sz w:val="24"/>
          <w:szCs w:val="24"/>
        </w:rPr>
      </w:pPr>
      <w:r>
        <w:rPr>
          <w:sz w:val="24"/>
          <w:szCs w:val="24"/>
        </w:rPr>
        <w:t>20.2.2.2 Em caso de reincidência, o valor total das multas administrativas aplicadas não poderá exceder o limite de 30% (trinta por cento) sobre o valor total do Contrato.</w:t>
      </w:r>
    </w:p>
    <w:p w14:paraId="09F86567">
      <w:pPr>
        <w:spacing w:line="288" w:lineRule="auto"/>
        <w:contextualSpacing/>
        <w:jc w:val="both"/>
        <w:rPr>
          <w:sz w:val="24"/>
          <w:szCs w:val="24"/>
        </w:rPr>
      </w:pPr>
    </w:p>
    <w:p w14:paraId="1956DFA9">
      <w:pPr>
        <w:spacing w:line="288" w:lineRule="auto"/>
        <w:contextualSpacing/>
        <w:jc w:val="both"/>
        <w:rPr>
          <w:sz w:val="24"/>
          <w:szCs w:val="24"/>
        </w:rPr>
      </w:pPr>
      <w:r>
        <w:rPr>
          <w:sz w:val="24"/>
          <w:szCs w:val="24"/>
        </w:rPr>
        <w:t xml:space="preserve">20.2.2.3 Se a multa aplicada e as indenizações cabíveis forem superiores ao valor de pagamento eventualmente devido pela Administração ao </w:t>
      </w:r>
      <w:r>
        <w:rPr>
          <w:color w:val="000000"/>
          <w:sz w:val="24"/>
          <w:szCs w:val="24"/>
        </w:rPr>
        <w:t>contratado</w:t>
      </w:r>
      <w:r>
        <w:rPr>
          <w:sz w:val="24"/>
          <w:szCs w:val="24"/>
        </w:rPr>
        <w:t>, além da perda desse valor, a diferença será descontada da garantia prestada ou será cobrada judicialmente, na forma do art. 156, § 8º, da Lei nº 14.133/2021, e conforme o procedimento previsto no item 20.13.</w:t>
      </w:r>
    </w:p>
    <w:p w14:paraId="34CF158F">
      <w:pPr>
        <w:spacing w:line="288" w:lineRule="auto"/>
        <w:contextualSpacing/>
        <w:jc w:val="both"/>
        <w:rPr>
          <w:sz w:val="24"/>
          <w:szCs w:val="24"/>
        </w:rPr>
      </w:pPr>
    </w:p>
    <w:p w14:paraId="077AED83">
      <w:pPr>
        <w:spacing w:line="288" w:lineRule="auto"/>
        <w:contextualSpacing/>
        <w:jc w:val="both"/>
        <w:rPr>
          <w:sz w:val="24"/>
          <w:szCs w:val="24"/>
        </w:rPr>
      </w:pPr>
      <w:r>
        <w:rPr>
          <w:sz w:val="24"/>
          <w:szCs w:val="24"/>
        </w:rPr>
        <w:t>20.2.2.4 A penalidade de multa pode ser aplicada cumulativamente com as demais sanções, na forma do art. 156, § 7º, da Lei nº 14.133/2021.</w:t>
      </w:r>
    </w:p>
    <w:p w14:paraId="11F676E9">
      <w:pPr>
        <w:spacing w:line="288" w:lineRule="auto"/>
        <w:contextualSpacing/>
        <w:jc w:val="both"/>
        <w:rPr>
          <w:sz w:val="24"/>
          <w:szCs w:val="24"/>
        </w:rPr>
      </w:pPr>
    </w:p>
    <w:p w14:paraId="373C8497">
      <w:pPr>
        <w:spacing w:line="288" w:lineRule="auto"/>
        <w:contextualSpacing/>
        <w:jc w:val="both"/>
        <w:rPr>
          <w:color w:val="000000"/>
          <w:sz w:val="24"/>
          <w:szCs w:val="24"/>
        </w:rPr>
      </w:pPr>
      <w:r>
        <w:rPr>
          <w:sz w:val="24"/>
          <w:szCs w:val="24"/>
        </w:rPr>
        <w:t>20</w:t>
      </w:r>
      <w:r>
        <w:rPr>
          <w:color w:val="000000"/>
          <w:sz w:val="24"/>
          <w:szCs w:val="24"/>
        </w:rPr>
        <w:t xml:space="preserve">.2.3 Impedimento de licitar e contratar, prevista no </w:t>
      </w:r>
      <w:r>
        <w:rPr>
          <w:sz w:val="24"/>
          <w:szCs w:val="24"/>
        </w:rPr>
        <w:t xml:space="preserve">art. 156, III, § 4º, da Lei nº 14.133/2021, </w:t>
      </w:r>
      <w:r>
        <w:rPr>
          <w:color w:val="000000"/>
          <w:sz w:val="24"/>
          <w:szCs w:val="24"/>
        </w:rPr>
        <w:t xml:space="preserve">nos casos relacionados nos subitens </w:t>
      </w:r>
      <w:r>
        <w:rPr>
          <w:sz w:val="24"/>
          <w:szCs w:val="24"/>
        </w:rPr>
        <w:t>20</w:t>
      </w:r>
      <w:r>
        <w:rPr>
          <w:color w:val="000000"/>
          <w:sz w:val="24"/>
          <w:szCs w:val="24"/>
        </w:rPr>
        <w:t>.1.2 a 20.1.7, quando não se justificar a imposição de penalidade mais grave, e impedirá o responsável de licitar ou contratar no âmbito da Administração Pública direta e indireta do Estado, pelo prazo máximo de 3 (três) anos;</w:t>
      </w:r>
    </w:p>
    <w:p w14:paraId="27B75452">
      <w:pPr>
        <w:spacing w:line="288" w:lineRule="auto"/>
        <w:contextualSpacing/>
        <w:jc w:val="both"/>
        <w:rPr>
          <w:rFonts w:eastAsia="Arial"/>
          <w:color w:val="000000"/>
          <w:sz w:val="24"/>
          <w:szCs w:val="24"/>
        </w:rPr>
      </w:pPr>
    </w:p>
    <w:p w14:paraId="3F2AA1DC">
      <w:pPr>
        <w:spacing w:line="288" w:lineRule="auto"/>
        <w:contextualSpacing/>
        <w:jc w:val="both"/>
        <w:rPr>
          <w:sz w:val="24"/>
          <w:szCs w:val="24"/>
        </w:rPr>
      </w:pPr>
      <w:r>
        <w:rPr>
          <w:sz w:val="24"/>
          <w:szCs w:val="24"/>
        </w:rPr>
        <w:t>20</w:t>
      </w:r>
      <w:r>
        <w:rPr>
          <w:color w:val="000000"/>
          <w:sz w:val="24"/>
          <w:szCs w:val="24"/>
        </w:rPr>
        <w:t>.2.4 Declaração de inidoneidade para licitar ou contratar, prevista no a</w:t>
      </w:r>
      <w:r>
        <w:rPr>
          <w:rStyle w:val="118"/>
          <w:rFonts w:ascii="Times New Roman" w:hAnsi="Times New Roman" w:eastAsia="Calibri" w:cs="Times New Roman"/>
        </w:rPr>
        <w:t xml:space="preserve">rt. 156, IV, § 5º, da Lei nº 14.133/2021, </w:t>
      </w:r>
      <w:r>
        <w:rPr>
          <w:color w:val="000000"/>
          <w:sz w:val="24"/>
          <w:szCs w:val="24"/>
        </w:rPr>
        <w:t>nos casos relacionados nos subitens 20.1.8 a 20.1.12,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Pr>
          <w:sz w:val="24"/>
          <w:szCs w:val="24"/>
        </w:rPr>
        <w:t>.</w:t>
      </w:r>
    </w:p>
    <w:p w14:paraId="6190471E">
      <w:pPr>
        <w:spacing w:line="288" w:lineRule="auto"/>
        <w:contextualSpacing/>
        <w:jc w:val="both"/>
        <w:rPr>
          <w:sz w:val="24"/>
          <w:szCs w:val="24"/>
        </w:rPr>
      </w:pPr>
    </w:p>
    <w:p w14:paraId="77052DB3">
      <w:pPr>
        <w:spacing w:line="288" w:lineRule="auto"/>
        <w:contextualSpacing/>
        <w:jc w:val="both"/>
        <w:rPr>
          <w:sz w:val="24"/>
          <w:szCs w:val="24"/>
        </w:rPr>
      </w:pPr>
      <w:r>
        <w:rPr>
          <w:sz w:val="24"/>
          <w:szCs w:val="24"/>
        </w:rPr>
        <w:t>20.3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respeitado o limite de 30% (trinta por cento) do valor do Contrato.</w:t>
      </w:r>
    </w:p>
    <w:p w14:paraId="1CB72A22">
      <w:pPr>
        <w:spacing w:line="288" w:lineRule="auto"/>
        <w:contextualSpacing/>
        <w:jc w:val="both"/>
        <w:rPr>
          <w:sz w:val="24"/>
          <w:szCs w:val="24"/>
        </w:rPr>
      </w:pPr>
    </w:p>
    <w:p w14:paraId="39D828CD">
      <w:pPr>
        <w:spacing w:line="288" w:lineRule="auto"/>
        <w:contextualSpacing/>
        <w:jc w:val="both"/>
        <w:rPr>
          <w:sz w:val="24"/>
          <w:szCs w:val="24"/>
        </w:rPr>
      </w:pPr>
      <w:r>
        <w:rPr>
          <w:sz w:val="24"/>
          <w:szCs w:val="24"/>
        </w:rPr>
        <w:t>20.3.1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34A22122">
      <w:pPr>
        <w:spacing w:line="288" w:lineRule="auto"/>
        <w:contextualSpacing/>
        <w:jc w:val="both"/>
        <w:rPr>
          <w:sz w:val="24"/>
          <w:szCs w:val="24"/>
        </w:rPr>
      </w:pPr>
    </w:p>
    <w:p w14:paraId="4ADDD4F7">
      <w:pPr>
        <w:spacing w:line="288" w:lineRule="auto"/>
        <w:contextualSpacing/>
        <w:jc w:val="both"/>
        <w:rPr>
          <w:sz w:val="24"/>
          <w:szCs w:val="24"/>
        </w:rPr>
      </w:pPr>
      <w:r>
        <w:rPr>
          <w:sz w:val="24"/>
          <w:szCs w:val="24"/>
        </w:rPr>
        <w:t>20.3.2 O atraso superior a 25 (vinte e cinco) dias no cumprimento da obrigação prevista no item 20.3.1 autoriza a Administração a promover a rescisão contratual por descumprimento ou cumprimento irregular de suas cláusulas.</w:t>
      </w:r>
    </w:p>
    <w:p w14:paraId="3B3FE9BD">
      <w:pPr>
        <w:spacing w:line="288" w:lineRule="auto"/>
        <w:contextualSpacing/>
        <w:jc w:val="both"/>
        <w:rPr>
          <w:sz w:val="24"/>
          <w:szCs w:val="24"/>
        </w:rPr>
      </w:pPr>
    </w:p>
    <w:p w14:paraId="1DF6C19E">
      <w:pPr>
        <w:spacing w:line="288" w:lineRule="auto"/>
        <w:contextualSpacing/>
        <w:jc w:val="both"/>
        <w:rPr>
          <w:sz w:val="24"/>
          <w:szCs w:val="24"/>
        </w:rPr>
      </w:pPr>
      <w:r>
        <w:rPr>
          <w:sz w:val="24"/>
          <w:szCs w:val="24"/>
        </w:rPr>
        <w:t>20.3.3 A aplicação de multa de mora não impedirá que a Administração a converta em compensatória e promova a extinção unilateral do Contrato com a aplicação cumulada de outras sanções previstas no Contrato.</w:t>
      </w:r>
    </w:p>
    <w:p w14:paraId="1E6E8897">
      <w:pPr>
        <w:spacing w:line="288" w:lineRule="auto"/>
        <w:contextualSpacing/>
        <w:jc w:val="both"/>
        <w:rPr>
          <w:sz w:val="24"/>
          <w:szCs w:val="24"/>
        </w:rPr>
      </w:pPr>
    </w:p>
    <w:p w14:paraId="117AD98E">
      <w:pPr>
        <w:spacing w:line="288" w:lineRule="auto"/>
        <w:contextualSpacing/>
        <w:jc w:val="both"/>
        <w:rPr>
          <w:sz w:val="24"/>
          <w:szCs w:val="24"/>
        </w:rPr>
      </w:pPr>
      <w:r>
        <w:rPr>
          <w:sz w:val="24"/>
          <w:szCs w:val="24"/>
        </w:rPr>
        <w:t>20.4 No caso de inexecução total ou parcial do objeto, que acarrete a rescisão do Contrato, será automaticamente devida multa compensatória no valor de 5(cinco)</w:t>
      </w:r>
      <w:r>
        <w:rPr>
          <w:color w:val="FF0000"/>
          <w:sz w:val="24"/>
          <w:szCs w:val="24"/>
        </w:rPr>
        <w:t xml:space="preserve"> </w:t>
      </w:r>
      <w:r>
        <w:rPr>
          <w:sz w:val="24"/>
          <w:szCs w:val="24"/>
        </w:rPr>
        <w:t>% do valor do Contrato.</w:t>
      </w:r>
    </w:p>
    <w:p w14:paraId="30F8E81D">
      <w:pPr>
        <w:spacing w:line="288" w:lineRule="auto"/>
        <w:contextualSpacing/>
        <w:jc w:val="both"/>
        <w:rPr>
          <w:b/>
          <w:bCs/>
          <w:color w:val="FF0000"/>
          <w:sz w:val="24"/>
          <w:szCs w:val="24"/>
        </w:rPr>
      </w:pPr>
    </w:p>
    <w:p w14:paraId="57ED7DF8">
      <w:pPr>
        <w:spacing w:line="288" w:lineRule="auto"/>
        <w:contextualSpacing/>
        <w:jc w:val="both"/>
        <w:rPr>
          <w:sz w:val="24"/>
          <w:szCs w:val="24"/>
        </w:rPr>
      </w:pPr>
      <w:r>
        <w:rPr>
          <w:sz w:val="24"/>
          <w:szCs w:val="24"/>
        </w:rPr>
        <w:t>20.4.1 A multa compensatória, isoladamente aplicada ou quando somada ao valor da multa moratória convertida, não poderá exceder o limite previsto no art. 412 do Código Civil, ou seja, o valor da obrigação principal.</w:t>
      </w:r>
    </w:p>
    <w:p w14:paraId="4D068057">
      <w:pPr>
        <w:spacing w:line="288" w:lineRule="auto"/>
        <w:contextualSpacing/>
        <w:jc w:val="both"/>
        <w:rPr>
          <w:sz w:val="24"/>
          <w:szCs w:val="24"/>
        </w:rPr>
      </w:pPr>
    </w:p>
    <w:p w14:paraId="0D765D01">
      <w:pPr>
        <w:spacing w:line="288" w:lineRule="auto"/>
        <w:contextualSpacing/>
        <w:jc w:val="both"/>
        <w:rPr>
          <w:sz w:val="24"/>
          <w:szCs w:val="24"/>
        </w:rPr>
      </w:pPr>
      <w:r>
        <w:rPr>
          <w:sz w:val="24"/>
          <w:szCs w:val="24"/>
        </w:rPr>
        <w:t xml:space="preserve">20.5 Na aplicação das sanções serão considerados os seguintes requisitos, previstos no art. </w:t>
      </w:r>
      <w:r>
        <w:rPr>
          <w:rStyle w:val="118"/>
          <w:rFonts w:ascii="Times New Roman" w:hAnsi="Times New Roman" w:eastAsia="Calibri" w:cs="Times New Roman"/>
        </w:rPr>
        <w:t>156, § 1º, incisos I a V, da Lei nº 14.133/2021</w:t>
      </w:r>
      <w:r>
        <w:rPr>
          <w:sz w:val="24"/>
          <w:szCs w:val="24"/>
        </w:rPr>
        <w:t>:</w:t>
      </w:r>
    </w:p>
    <w:p w14:paraId="10DAA936">
      <w:pPr>
        <w:spacing w:line="288" w:lineRule="auto"/>
        <w:contextualSpacing/>
        <w:jc w:val="both"/>
        <w:rPr>
          <w:sz w:val="24"/>
          <w:szCs w:val="24"/>
        </w:rPr>
      </w:pPr>
      <w:r>
        <w:rPr>
          <w:sz w:val="24"/>
          <w:szCs w:val="24"/>
        </w:rPr>
        <w:t>20.5.1 a natureza e a gravidade da infração cometida;</w:t>
      </w:r>
    </w:p>
    <w:p w14:paraId="2F9A38C9">
      <w:pPr>
        <w:spacing w:line="288" w:lineRule="auto"/>
        <w:contextualSpacing/>
        <w:jc w:val="both"/>
        <w:rPr>
          <w:sz w:val="24"/>
          <w:szCs w:val="24"/>
        </w:rPr>
      </w:pPr>
      <w:r>
        <w:rPr>
          <w:sz w:val="24"/>
          <w:szCs w:val="24"/>
        </w:rPr>
        <w:t>20.5.2 as peculiaridades do caso concreto;</w:t>
      </w:r>
    </w:p>
    <w:p w14:paraId="4A814B63">
      <w:pPr>
        <w:spacing w:line="288" w:lineRule="auto"/>
        <w:contextualSpacing/>
        <w:jc w:val="both"/>
        <w:rPr>
          <w:sz w:val="24"/>
          <w:szCs w:val="24"/>
        </w:rPr>
      </w:pPr>
      <w:r>
        <w:rPr>
          <w:sz w:val="24"/>
          <w:szCs w:val="24"/>
        </w:rPr>
        <w:t>20.5.3 as circunstâncias agravantes ou atenuantes;</w:t>
      </w:r>
    </w:p>
    <w:p w14:paraId="5D360308">
      <w:pPr>
        <w:spacing w:line="288" w:lineRule="auto"/>
        <w:contextualSpacing/>
        <w:jc w:val="both"/>
        <w:rPr>
          <w:sz w:val="24"/>
          <w:szCs w:val="24"/>
        </w:rPr>
      </w:pPr>
      <w:r>
        <w:rPr>
          <w:sz w:val="24"/>
          <w:szCs w:val="24"/>
        </w:rPr>
        <w:t>20.5.4 os danos que dela provierem para a Administração Pública;</w:t>
      </w:r>
    </w:p>
    <w:p w14:paraId="7C1F4396">
      <w:pPr>
        <w:spacing w:line="288" w:lineRule="auto"/>
        <w:contextualSpacing/>
        <w:jc w:val="both"/>
        <w:rPr>
          <w:sz w:val="24"/>
          <w:szCs w:val="24"/>
        </w:rPr>
      </w:pPr>
      <w:r>
        <w:rPr>
          <w:sz w:val="24"/>
          <w:szCs w:val="24"/>
        </w:rPr>
        <w:t>20.5.5 a implantação ou o aperfeiçoamento de programa de integridade, conforme normas e orientações dos órgãos de controle.</w:t>
      </w:r>
    </w:p>
    <w:p w14:paraId="5670D118">
      <w:pPr>
        <w:spacing w:line="288" w:lineRule="auto"/>
        <w:contextualSpacing/>
        <w:jc w:val="both"/>
        <w:rPr>
          <w:sz w:val="24"/>
          <w:szCs w:val="24"/>
        </w:rPr>
      </w:pPr>
    </w:p>
    <w:p w14:paraId="41126C72">
      <w:pPr>
        <w:spacing w:line="288" w:lineRule="auto"/>
        <w:contextualSpacing/>
        <w:jc w:val="both"/>
        <w:rPr>
          <w:sz w:val="24"/>
          <w:szCs w:val="24"/>
        </w:rPr>
      </w:pPr>
      <w:r>
        <w:rPr>
          <w:sz w:val="24"/>
          <w:szCs w:val="24"/>
        </w:rPr>
        <w:t xml:space="preserve">20.6 A imposição das penalidades é de competência exclusiva do órgão ou entidade contratante, sendo competentes para sua aplicação: </w:t>
      </w:r>
    </w:p>
    <w:p w14:paraId="7AD72C60">
      <w:pPr>
        <w:spacing w:line="288" w:lineRule="auto"/>
        <w:contextualSpacing/>
        <w:jc w:val="both"/>
        <w:rPr>
          <w:sz w:val="24"/>
          <w:szCs w:val="24"/>
        </w:rPr>
      </w:pPr>
      <w:r>
        <w:rPr>
          <w:sz w:val="24"/>
          <w:szCs w:val="24"/>
        </w:rPr>
        <w:t>a) as sanções previstas nos itens 20.2.1, 20.2.2 e 20.2.3 serão impostas pelo Ordenador de Despesa;</w:t>
      </w:r>
    </w:p>
    <w:p w14:paraId="2BCE4C59">
      <w:pPr>
        <w:spacing w:line="288" w:lineRule="auto"/>
        <w:contextualSpacing/>
        <w:jc w:val="both"/>
        <w:rPr>
          <w:sz w:val="24"/>
          <w:szCs w:val="24"/>
        </w:rPr>
      </w:pPr>
      <w:r>
        <w:rPr>
          <w:sz w:val="24"/>
          <w:szCs w:val="24"/>
        </w:rPr>
        <w:t xml:space="preserve">b) a aplicação da sanção prevista no item 20.2.4, na forma do art. </w:t>
      </w:r>
      <w:r>
        <w:rPr>
          <w:rStyle w:val="118"/>
          <w:rFonts w:ascii="Times New Roman" w:hAnsi="Times New Roman" w:eastAsia="Calibri" w:cs="Times New Roman"/>
        </w:rPr>
        <w:t>156, § 6º, I, da Lei nº 14.133/2021,</w:t>
      </w:r>
      <w:r>
        <w:rPr>
          <w:sz w:val="24"/>
          <w:szCs w:val="24"/>
        </w:rPr>
        <w:t xml:space="preserve"> é de competência exclusiva:</w:t>
      </w:r>
    </w:p>
    <w:p w14:paraId="2453B459">
      <w:pPr>
        <w:spacing w:line="288" w:lineRule="auto"/>
        <w:contextualSpacing/>
        <w:jc w:val="both"/>
        <w:rPr>
          <w:sz w:val="24"/>
          <w:szCs w:val="24"/>
        </w:rPr>
      </w:pPr>
      <w:r>
        <w:rPr>
          <w:sz w:val="24"/>
          <w:szCs w:val="24"/>
        </w:rPr>
        <w:t>b.1) em se tratando de contratação realizada pela Administração Pública direta, do Secretário de Município; ou</w:t>
      </w:r>
    </w:p>
    <w:p w14:paraId="3A3A6EC8">
      <w:pPr>
        <w:spacing w:line="288" w:lineRule="auto"/>
        <w:contextualSpacing/>
        <w:jc w:val="both"/>
        <w:rPr>
          <w:sz w:val="24"/>
          <w:szCs w:val="24"/>
        </w:rPr>
      </w:pPr>
      <w:r>
        <w:rPr>
          <w:sz w:val="24"/>
          <w:szCs w:val="24"/>
        </w:rPr>
        <w:t>b.2) em se tratando de contratação realizada pela Administração Pública Indireta (fundação e autarquia), da autoridade máxima da entidade.</w:t>
      </w:r>
    </w:p>
    <w:p w14:paraId="6EB8CE30">
      <w:pPr>
        <w:spacing w:line="288" w:lineRule="auto"/>
        <w:contextualSpacing/>
        <w:jc w:val="both"/>
        <w:rPr>
          <w:sz w:val="24"/>
          <w:szCs w:val="24"/>
        </w:rPr>
      </w:pPr>
    </w:p>
    <w:p w14:paraId="42CAF7FB">
      <w:pPr>
        <w:spacing w:line="288" w:lineRule="auto"/>
        <w:contextualSpacing/>
        <w:jc w:val="both"/>
        <w:rPr>
          <w:sz w:val="24"/>
          <w:szCs w:val="24"/>
        </w:rPr>
      </w:pPr>
      <w:r>
        <w:rPr>
          <w:sz w:val="24"/>
          <w:szCs w:val="24"/>
        </w:rPr>
        <w:t>20.7 A aplicação de quaisquer das penalidades administrativas realizar-se-á em processo administrativo que assegurará o contraditório e a ampla defesa ao licitante ou contratado, devendo ser observado o procedimento previsto na Lei nº 14.133/2021.</w:t>
      </w:r>
    </w:p>
    <w:p w14:paraId="7F982B6D">
      <w:pPr>
        <w:spacing w:line="288" w:lineRule="auto"/>
        <w:contextualSpacing/>
        <w:jc w:val="both"/>
        <w:rPr>
          <w:sz w:val="24"/>
          <w:szCs w:val="24"/>
        </w:rPr>
      </w:pPr>
    </w:p>
    <w:p w14:paraId="0BC6ED3C">
      <w:pPr>
        <w:spacing w:line="288" w:lineRule="auto"/>
        <w:contextualSpacing/>
        <w:jc w:val="both"/>
        <w:rPr>
          <w:sz w:val="24"/>
          <w:szCs w:val="24"/>
        </w:rPr>
      </w:pPr>
      <w:r>
        <w:rPr>
          <w:sz w:val="24"/>
          <w:szCs w:val="24"/>
        </w:rPr>
        <w:t>20.7.1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6987DB5B">
      <w:pPr>
        <w:spacing w:line="288" w:lineRule="auto"/>
        <w:contextualSpacing/>
        <w:jc w:val="both"/>
        <w:rPr>
          <w:sz w:val="24"/>
          <w:szCs w:val="24"/>
        </w:rPr>
      </w:pPr>
    </w:p>
    <w:p w14:paraId="1BF7139E">
      <w:pPr>
        <w:spacing w:line="288" w:lineRule="auto"/>
        <w:contextualSpacing/>
        <w:jc w:val="both"/>
        <w:rPr>
          <w:sz w:val="24"/>
          <w:szCs w:val="24"/>
        </w:rPr>
      </w:pPr>
      <w:r>
        <w:rPr>
          <w:sz w:val="24"/>
          <w:szCs w:val="24"/>
        </w:rPr>
        <w:t>20.7.2 A defesa prévia do licitante ou contratado será exercida no prazo de:</w:t>
      </w:r>
    </w:p>
    <w:p w14:paraId="70B85AE7">
      <w:pPr>
        <w:spacing w:line="288" w:lineRule="auto"/>
        <w:contextualSpacing/>
        <w:jc w:val="both"/>
        <w:rPr>
          <w:sz w:val="24"/>
          <w:szCs w:val="24"/>
        </w:rPr>
      </w:pPr>
      <w:r>
        <w:rPr>
          <w:sz w:val="24"/>
          <w:szCs w:val="24"/>
        </w:rPr>
        <w:t>a) 15 (quinze) dias úteis, no caso da aplicação das sanções previstas nos itens 20.2.1 e 20.2.2, contado da data da intimação;</w:t>
      </w:r>
    </w:p>
    <w:p w14:paraId="6B844D32">
      <w:pPr>
        <w:spacing w:line="288" w:lineRule="auto"/>
        <w:contextualSpacing/>
        <w:jc w:val="both"/>
        <w:rPr>
          <w:color w:val="000000"/>
          <w:sz w:val="24"/>
          <w:szCs w:val="24"/>
        </w:rPr>
      </w:pPr>
      <w:r>
        <w:rPr>
          <w:sz w:val="24"/>
          <w:szCs w:val="24"/>
        </w:rPr>
        <w:t xml:space="preserve">b) 15 (quinze) dias úteis, no caso de aplicação das sanções previstas nos itens 20.2.3 e 20.2.4, </w:t>
      </w:r>
      <w:r>
        <w:rPr>
          <w:color w:val="000000"/>
          <w:sz w:val="24"/>
          <w:szCs w:val="24"/>
        </w:rPr>
        <w:t>contado da data da intimação, observado o procedimento estabelecido no art. 158 da Lei nº 14.133/2021.</w:t>
      </w:r>
    </w:p>
    <w:p w14:paraId="4D926BFA">
      <w:pPr>
        <w:pStyle w:val="24"/>
        <w:spacing w:line="288" w:lineRule="auto"/>
        <w:contextualSpacing/>
        <w:jc w:val="both"/>
      </w:pPr>
      <w:r>
        <w:t>20.7.3 Será emitida decisão conclusiva sobre a aplicação ou não da sanção, pela autoridade competente, devendo ser apresentada a devida motivação, com a demonstração dos fatos e dos respectivos fundamentos jurídicos.</w:t>
      </w:r>
    </w:p>
    <w:p w14:paraId="0545368F">
      <w:pPr>
        <w:spacing w:line="288" w:lineRule="auto"/>
        <w:contextualSpacing/>
        <w:jc w:val="both"/>
        <w:rPr>
          <w:sz w:val="24"/>
          <w:szCs w:val="24"/>
        </w:rPr>
      </w:pPr>
      <w:r>
        <w:rPr>
          <w:sz w:val="24"/>
          <w:szCs w:val="24"/>
        </w:rPr>
        <w:t>20.8 A aplicação das sanções previstas no Edital e no Contrato não exclui, em hipótese alguma:</w:t>
      </w:r>
    </w:p>
    <w:p w14:paraId="4B4AAC2B">
      <w:pPr>
        <w:spacing w:line="288" w:lineRule="auto"/>
        <w:contextualSpacing/>
        <w:jc w:val="both"/>
        <w:rPr>
          <w:sz w:val="24"/>
          <w:szCs w:val="24"/>
        </w:rPr>
      </w:pPr>
      <w:r>
        <w:rPr>
          <w:sz w:val="24"/>
          <w:szCs w:val="24"/>
        </w:rPr>
        <w:t>a) a obrigação de reparação integral do dano causado à Administração Pública, na forma do art. 156, § 9º, da Lei nº 14.133/2021 e do art. 416, parágrafo único, do Código Civil; e</w:t>
      </w:r>
    </w:p>
    <w:p w14:paraId="0ABBCB83">
      <w:pPr>
        <w:spacing w:line="288" w:lineRule="auto"/>
        <w:contextualSpacing/>
        <w:jc w:val="both"/>
        <w:rPr>
          <w:rFonts w:eastAsia="Arial"/>
          <w:color w:val="000000"/>
          <w:sz w:val="24"/>
          <w:szCs w:val="24"/>
        </w:rPr>
      </w:pPr>
      <w:r>
        <w:rPr>
          <w:rFonts w:eastAsia="Arial"/>
          <w:color w:val="000000"/>
          <w:sz w:val="24"/>
          <w:szCs w:val="24"/>
        </w:rPr>
        <w:t>b) a possibilidade de rescisão administrativa do Contrato, na forma dos arts. 138 e 139 da Lei nº 14.133/2021, garantido o contraditório e a ampla defesa.</w:t>
      </w:r>
    </w:p>
    <w:p w14:paraId="617B048E">
      <w:pPr>
        <w:spacing w:line="288" w:lineRule="auto"/>
        <w:contextualSpacing/>
        <w:jc w:val="both"/>
        <w:rPr>
          <w:rFonts w:eastAsia="Arial"/>
          <w:color w:val="000000"/>
          <w:sz w:val="24"/>
          <w:szCs w:val="24"/>
        </w:rPr>
      </w:pPr>
    </w:p>
    <w:p w14:paraId="476A9C9E">
      <w:pPr>
        <w:spacing w:line="288" w:lineRule="auto"/>
        <w:contextualSpacing/>
        <w:jc w:val="both"/>
        <w:rPr>
          <w:rFonts w:eastAsia="Arial"/>
          <w:color w:val="000000"/>
          <w:sz w:val="24"/>
          <w:szCs w:val="24"/>
        </w:rPr>
      </w:pPr>
      <w:r>
        <w:rPr>
          <w:rFonts w:eastAsia="Arial"/>
          <w:color w:val="000000"/>
          <w:sz w:val="24"/>
          <w:szCs w:val="24"/>
        </w:rPr>
        <w:t xml:space="preserve">20.8.1 Aplica-se o disposto na alínea a do item </w:t>
      </w:r>
      <w:r>
        <w:rPr>
          <w:sz w:val="24"/>
          <w:szCs w:val="24"/>
        </w:rPr>
        <w:t>20</w:t>
      </w:r>
      <w:r>
        <w:rPr>
          <w:rFonts w:eastAsia="Arial"/>
          <w:color w:val="000000"/>
          <w:sz w:val="24"/>
          <w:szCs w:val="24"/>
        </w:rPr>
        <w:t xml:space="preserve">.8 à multa compensatória, nos termos do parágrafo único do art. 416 do Código Civil. </w:t>
      </w:r>
    </w:p>
    <w:p w14:paraId="60073BDA">
      <w:pPr>
        <w:spacing w:line="288" w:lineRule="auto"/>
        <w:contextualSpacing/>
        <w:jc w:val="both"/>
        <w:rPr>
          <w:rFonts w:eastAsia="Arial"/>
          <w:color w:val="000000"/>
          <w:sz w:val="24"/>
          <w:szCs w:val="24"/>
        </w:rPr>
      </w:pPr>
    </w:p>
    <w:p w14:paraId="10900DF6">
      <w:pPr>
        <w:spacing w:line="288" w:lineRule="auto"/>
        <w:contextualSpacing/>
        <w:jc w:val="both"/>
        <w:rPr>
          <w:rFonts w:eastAsia="Arial"/>
          <w:color w:val="000000"/>
          <w:sz w:val="24"/>
          <w:szCs w:val="24"/>
        </w:rPr>
      </w:pPr>
      <w:r>
        <w:rPr>
          <w:sz w:val="24"/>
          <w:szCs w:val="24"/>
        </w:rPr>
        <w:t>20</w:t>
      </w:r>
      <w:r>
        <w:rPr>
          <w:rFonts w:eastAsia="Arial"/>
          <w:color w:val="000000"/>
          <w:sz w:val="24"/>
          <w:szCs w:val="24"/>
        </w:rPr>
        <w:t>.9 As sanções de impedimento de licitar e contratar e de declaração de inidoneidade para licitar ou contratar são passíveis de reabilitação, observados os requisitos estabelecidos no art. 163 da Lei nº 14.133/2021.</w:t>
      </w:r>
    </w:p>
    <w:p w14:paraId="01746233">
      <w:pPr>
        <w:spacing w:line="288" w:lineRule="auto"/>
        <w:contextualSpacing/>
        <w:jc w:val="both"/>
        <w:rPr>
          <w:rFonts w:eastAsia="Arial"/>
          <w:color w:val="000000"/>
          <w:sz w:val="24"/>
          <w:szCs w:val="24"/>
        </w:rPr>
      </w:pPr>
    </w:p>
    <w:p w14:paraId="68E7EB1C">
      <w:pPr>
        <w:spacing w:line="288" w:lineRule="auto"/>
        <w:contextualSpacing/>
        <w:jc w:val="both"/>
        <w:rPr>
          <w:sz w:val="24"/>
          <w:szCs w:val="24"/>
        </w:rPr>
      </w:pPr>
      <w:r>
        <w:rPr>
          <w:sz w:val="24"/>
          <w:szCs w:val="24"/>
        </w:rPr>
        <w:t xml:space="preserve">20.10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4336DF0">
      <w:pPr>
        <w:spacing w:line="288" w:lineRule="auto"/>
        <w:contextualSpacing/>
        <w:jc w:val="both"/>
        <w:rPr>
          <w:sz w:val="24"/>
          <w:szCs w:val="24"/>
        </w:rPr>
      </w:pPr>
    </w:p>
    <w:p w14:paraId="640D4A2E">
      <w:pPr>
        <w:spacing w:line="288" w:lineRule="auto"/>
        <w:contextualSpacing/>
        <w:jc w:val="both"/>
        <w:rPr>
          <w:sz w:val="24"/>
          <w:szCs w:val="24"/>
        </w:rPr>
      </w:pPr>
      <w:r>
        <w:rPr>
          <w:sz w:val="24"/>
          <w:szCs w:val="24"/>
        </w:rPr>
        <w:t>20.10.1 A apuração e o julgamento das demais infrações administrativas não consideradas como ato lesivo à Administração Pública nacional, nos termos da Lei nº 12.846/2013, seguirão seu rito normal na unidade administrativa.</w:t>
      </w:r>
    </w:p>
    <w:p w14:paraId="6CE3B72D">
      <w:pPr>
        <w:spacing w:line="288" w:lineRule="auto"/>
        <w:contextualSpacing/>
        <w:jc w:val="both"/>
        <w:rPr>
          <w:sz w:val="24"/>
          <w:szCs w:val="24"/>
        </w:rPr>
      </w:pPr>
    </w:p>
    <w:p w14:paraId="76F72BD6">
      <w:pPr>
        <w:spacing w:line="288" w:lineRule="auto"/>
        <w:contextualSpacing/>
        <w:jc w:val="both"/>
        <w:rPr>
          <w:sz w:val="24"/>
          <w:szCs w:val="24"/>
        </w:rPr>
      </w:pPr>
      <w:r>
        <w:rPr>
          <w:sz w:val="24"/>
          <w:szCs w:val="24"/>
        </w:rPr>
        <w:t xml:space="preserve">20.10.2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03599F91">
      <w:pPr>
        <w:spacing w:line="288" w:lineRule="auto"/>
        <w:contextualSpacing/>
        <w:jc w:val="both"/>
        <w:rPr>
          <w:sz w:val="24"/>
          <w:szCs w:val="24"/>
        </w:rPr>
      </w:pPr>
    </w:p>
    <w:p w14:paraId="204B23AB">
      <w:pPr>
        <w:spacing w:line="288" w:lineRule="auto"/>
        <w:contextualSpacing/>
        <w:jc w:val="both"/>
        <w:rPr>
          <w:sz w:val="24"/>
          <w:szCs w:val="24"/>
        </w:rPr>
      </w:pPr>
      <w:r>
        <w:rPr>
          <w:sz w:val="24"/>
          <w:szCs w:val="24"/>
        </w:rPr>
        <w:t>20.10.2.1 Caso seja possível, a apuração deverá ser promovida em conjunto no PAR.</w:t>
      </w:r>
    </w:p>
    <w:p w14:paraId="7DA40E1D">
      <w:pPr>
        <w:spacing w:line="288" w:lineRule="auto"/>
        <w:contextualSpacing/>
        <w:jc w:val="both"/>
        <w:rPr>
          <w:sz w:val="24"/>
          <w:szCs w:val="24"/>
        </w:rPr>
      </w:pPr>
    </w:p>
    <w:p w14:paraId="19BE7B2E">
      <w:pPr>
        <w:spacing w:line="288" w:lineRule="auto"/>
        <w:contextualSpacing/>
        <w:jc w:val="both"/>
        <w:rPr>
          <w:sz w:val="24"/>
          <w:szCs w:val="24"/>
        </w:rPr>
      </w:pPr>
      <w:r>
        <w:rPr>
          <w:sz w:val="24"/>
          <w:szCs w:val="24"/>
        </w:rPr>
        <w:t>20.11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Comprasnet.</w:t>
      </w:r>
    </w:p>
    <w:p w14:paraId="3B8844F0">
      <w:pPr>
        <w:spacing w:line="288" w:lineRule="auto"/>
        <w:contextualSpacing/>
        <w:jc w:val="both"/>
        <w:rPr>
          <w:sz w:val="24"/>
          <w:szCs w:val="24"/>
        </w:rPr>
      </w:pPr>
    </w:p>
    <w:p w14:paraId="75C991FC">
      <w:pPr>
        <w:autoSpaceDE w:val="0"/>
        <w:autoSpaceDN w:val="0"/>
        <w:adjustRightInd w:val="0"/>
        <w:spacing w:line="288" w:lineRule="auto"/>
        <w:contextualSpacing/>
        <w:jc w:val="both"/>
        <w:rPr>
          <w:sz w:val="24"/>
          <w:szCs w:val="24"/>
        </w:rPr>
      </w:pPr>
      <w:r>
        <w:rPr>
          <w:sz w:val="24"/>
          <w:szCs w:val="24"/>
        </w:rPr>
        <w:t>20.11.1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50F278D7">
      <w:pPr>
        <w:autoSpaceDE w:val="0"/>
        <w:autoSpaceDN w:val="0"/>
        <w:adjustRightInd w:val="0"/>
        <w:spacing w:line="288" w:lineRule="auto"/>
        <w:contextualSpacing/>
        <w:jc w:val="both"/>
        <w:rPr>
          <w:sz w:val="24"/>
          <w:szCs w:val="24"/>
        </w:rPr>
      </w:pPr>
    </w:p>
    <w:p w14:paraId="0112B989">
      <w:pPr>
        <w:pStyle w:val="74"/>
        <w:spacing w:line="288" w:lineRule="auto"/>
        <w:contextualSpacing/>
        <w:jc w:val="both"/>
        <w:rPr>
          <w:rFonts w:ascii="Times New Roman" w:hAnsi="Times New Roman" w:cs="Times New Roman"/>
        </w:rPr>
      </w:pPr>
      <w:r>
        <w:rPr>
          <w:rFonts w:ascii="Times New Roman" w:hAnsi="Times New Roman" w:cs="Times New Roman"/>
        </w:rPr>
        <w:t>20.12 O contratante deverá remeter para os órgãos competentes o extrato de publicação no Boletim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do Município de Valença.</w:t>
      </w:r>
    </w:p>
    <w:p w14:paraId="46645FB0">
      <w:pPr>
        <w:pStyle w:val="74"/>
        <w:spacing w:line="288" w:lineRule="auto"/>
        <w:contextualSpacing/>
        <w:jc w:val="both"/>
        <w:rPr>
          <w:rFonts w:ascii="Times New Roman" w:hAnsi="Times New Roman" w:cs="Times New Roman"/>
        </w:rPr>
      </w:pPr>
    </w:p>
    <w:p w14:paraId="13B7AF25">
      <w:pPr>
        <w:pStyle w:val="74"/>
        <w:spacing w:line="288" w:lineRule="auto"/>
        <w:contextualSpacing/>
        <w:jc w:val="both"/>
        <w:rPr>
          <w:rFonts w:ascii="Times New Roman" w:hAnsi="Times New Roman" w:cs="Times New Roman"/>
        </w:rPr>
      </w:pPr>
      <w:r>
        <w:rPr>
          <w:rFonts w:ascii="Times New Roman" w:hAnsi="Times New Roman" w:cs="Times New Roman"/>
        </w:rPr>
        <w:t>20.12.1 A aplicação das sanções de impedimento de licitar e contratar e de declaração de inidoneidade para licitar e contratar deverá ser comunicada à Secretaria Municipal de Controle Interno, no prazo de 15 (quinze) dias úteis, contado da sua aplicação, que informará, para fins de publicidade, ao Cadastro Nacional de Empresas Inidôneas e Suspensas – CEIS e ao Cadastro Nacional de Empresas Punidas (Cnep), na forma do art. 161 da Lei nº 14.133/2021.</w:t>
      </w:r>
    </w:p>
    <w:p w14:paraId="08C6D2F8">
      <w:pPr>
        <w:pStyle w:val="74"/>
        <w:spacing w:line="288" w:lineRule="auto"/>
        <w:contextualSpacing/>
        <w:jc w:val="both"/>
        <w:rPr>
          <w:rFonts w:ascii="Times New Roman" w:hAnsi="Times New Roman" w:cs="Times New Roman"/>
        </w:rPr>
      </w:pPr>
    </w:p>
    <w:p w14:paraId="4E98343B">
      <w:pPr>
        <w:spacing w:line="288" w:lineRule="auto"/>
        <w:contextualSpacing/>
        <w:jc w:val="both"/>
        <w:rPr>
          <w:sz w:val="24"/>
          <w:szCs w:val="24"/>
        </w:rPr>
      </w:pPr>
      <w:r>
        <w:rPr>
          <w:sz w:val="24"/>
          <w:szCs w:val="24"/>
        </w:rPr>
        <w:t xml:space="preserve">20.13 Caso não seja efetuado o pagamento da multa aplicada ou o valor seja superior ao </w:t>
      </w:r>
      <w:r>
        <w:rPr>
          <w:color w:val="000000"/>
          <w:sz w:val="24"/>
          <w:szCs w:val="24"/>
        </w:rPr>
        <w:t>do pagamento eventualmente devido pela Administração ao contratado e da garantia prestada</w:t>
      </w:r>
      <w:r>
        <w:rPr>
          <w:sz w:val="24"/>
          <w:szCs w:val="24"/>
        </w:rPr>
        <w:t>, deverá ser emitida nota de débito no valor total ou do saldo, no prazo de 30 (trinta) dias após a decisão final quanto à penalidade.</w:t>
      </w:r>
    </w:p>
    <w:p w14:paraId="4018A7DB">
      <w:pPr>
        <w:spacing w:line="288" w:lineRule="auto"/>
        <w:contextualSpacing/>
        <w:jc w:val="both"/>
        <w:rPr>
          <w:sz w:val="24"/>
          <w:szCs w:val="24"/>
        </w:rPr>
      </w:pPr>
    </w:p>
    <w:p w14:paraId="0CEC5008">
      <w:pPr>
        <w:spacing w:line="288" w:lineRule="auto"/>
        <w:contextualSpacing/>
        <w:jc w:val="both"/>
        <w:rPr>
          <w:sz w:val="24"/>
          <w:szCs w:val="24"/>
        </w:rPr>
      </w:pPr>
      <w:r>
        <w:rPr>
          <w:sz w:val="24"/>
          <w:szCs w:val="24"/>
        </w:rPr>
        <w:t>20.13.1 A nota de débito deverá ser encaminhada à Departamento de Cadastro Controle e Arrecadação para inscrição do débito em dívida ativa e propositura de execução fiscal, na forma do art. 39 da Lei nº 4.320, de 17 de março de 1964.</w:t>
      </w:r>
    </w:p>
    <w:p w14:paraId="60C703B8">
      <w:pPr>
        <w:spacing w:line="288" w:lineRule="auto"/>
        <w:contextualSpacing/>
        <w:jc w:val="both"/>
        <w:rPr>
          <w:sz w:val="24"/>
          <w:szCs w:val="24"/>
        </w:rPr>
      </w:pPr>
    </w:p>
    <w:p w14:paraId="69E4BCA1">
      <w:pPr>
        <w:spacing w:line="288" w:lineRule="auto"/>
        <w:contextualSpacing/>
        <w:jc w:val="both"/>
        <w:rPr>
          <w:sz w:val="24"/>
          <w:szCs w:val="24"/>
        </w:rPr>
      </w:pPr>
      <w:r>
        <w:rPr>
          <w:sz w:val="24"/>
          <w:szCs w:val="24"/>
        </w:rPr>
        <w:t xml:space="preserve">20.13.2 O procedimento para inscrição do débito em dívida ativa deverá observar o que dispõe a Lei Complementar nº: 279/2024. </w:t>
      </w:r>
    </w:p>
    <w:p w14:paraId="2005FA5C">
      <w:pPr>
        <w:spacing w:line="288" w:lineRule="auto"/>
        <w:contextualSpacing/>
        <w:jc w:val="both"/>
        <w:rPr>
          <w:sz w:val="24"/>
          <w:szCs w:val="24"/>
        </w:rPr>
      </w:pPr>
    </w:p>
    <w:p w14:paraId="42348B14">
      <w:pPr>
        <w:pStyle w:val="97"/>
        <w:spacing w:before="0" w:beforeAutospacing="0" w:after="0" w:afterAutospacing="0" w:line="288" w:lineRule="auto"/>
        <w:contextualSpacing/>
        <w:jc w:val="both"/>
        <w:rPr>
          <w:rFonts w:eastAsia="Calibri"/>
          <w:b/>
          <w:bCs/>
          <w:lang w:eastAsia="en-US"/>
        </w:rPr>
      </w:pPr>
      <w:r>
        <w:rPr>
          <w:rFonts w:eastAsia="Calibri"/>
          <w:b/>
          <w:bCs/>
          <w:lang w:eastAsia="en-US"/>
        </w:rPr>
        <w:t>21. DAS DISPOSIÇÕES GERAIS</w:t>
      </w:r>
    </w:p>
    <w:p w14:paraId="74C8534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21.1 Será divulgada ata da sessão pública no sistema eletrônico.</w:t>
      </w:r>
    </w:p>
    <w:p w14:paraId="4430DDC2">
      <w:pPr>
        <w:pStyle w:val="99"/>
        <w:spacing w:before="288" w:beforeLines="120" w:after="288" w:afterLines="120" w:line="288" w:lineRule="auto"/>
        <w:ind w:left="0" w:firstLine="0"/>
        <w:contextualSpacing/>
        <w:rPr>
          <w:rFonts w:ascii="Times New Roman" w:hAnsi="Times New Roman" w:cs="Times New Roman"/>
          <w:sz w:val="24"/>
          <w:szCs w:val="24"/>
        </w:rPr>
      </w:pPr>
    </w:p>
    <w:p w14:paraId="21B83039">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21EBEE5">
      <w:pPr>
        <w:pStyle w:val="99"/>
        <w:spacing w:before="288" w:beforeLines="120" w:after="288" w:afterLines="120" w:line="288" w:lineRule="auto"/>
        <w:ind w:left="0" w:firstLine="0"/>
        <w:contextualSpacing/>
        <w:rPr>
          <w:rFonts w:ascii="Times New Roman" w:hAnsi="Times New Roman" w:cs="Times New Roman"/>
          <w:sz w:val="24"/>
          <w:szCs w:val="24"/>
        </w:rPr>
      </w:pPr>
    </w:p>
    <w:p w14:paraId="608E15E8">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21.3 Todas as referências de tempo no Edital, no aviso e durante a sessão pública observarão o horário de Brasília - DF.</w:t>
      </w:r>
    </w:p>
    <w:p w14:paraId="45EB4065">
      <w:pPr>
        <w:pStyle w:val="99"/>
        <w:spacing w:before="288" w:beforeLines="120" w:after="288" w:afterLines="120" w:line="288" w:lineRule="auto"/>
        <w:ind w:left="0" w:firstLine="0"/>
        <w:contextualSpacing/>
        <w:rPr>
          <w:rFonts w:ascii="Times New Roman" w:hAnsi="Times New Roman" w:cs="Times New Roman"/>
          <w:sz w:val="24"/>
          <w:szCs w:val="24"/>
        </w:rPr>
      </w:pPr>
    </w:p>
    <w:p w14:paraId="6D1237BC">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21.4 A homologação do resultado desta licitação não implicará direito à contratação.</w:t>
      </w:r>
    </w:p>
    <w:p w14:paraId="6EF1075A">
      <w:pPr>
        <w:pStyle w:val="99"/>
        <w:spacing w:before="288" w:beforeLines="120" w:after="288" w:afterLines="120" w:line="288" w:lineRule="auto"/>
        <w:ind w:left="0" w:firstLine="0"/>
        <w:contextualSpacing/>
        <w:rPr>
          <w:rFonts w:ascii="Times New Roman" w:hAnsi="Times New Roman" w:cs="Times New Roman"/>
          <w:sz w:val="24"/>
          <w:szCs w:val="24"/>
        </w:rPr>
      </w:pPr>
    </w:p>
    <w:p w14:paraId="2FB402C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21.5 As normas disciplinadoras da licitação serão sempre interpretadas em favor da ampliação da disputa entre os interessados, desde que não comprometam o interesse da Administração, o princípio da isonomia, a finalidade e a segurança da contratação. </w:t>
      </w:r>
    </w:p>
    <w:p w14:paraId="27DC5D19">
      <w:pPr>
        <w:pStyle w:val="99"/>
        <w:spacing w:before="288" w:beforeLines="120" w:after="288" w:afterLines="120" w:line="288" w:lineRule="auto"/>
        <w:ind w:left="0" w:firstLine="0"/>
        <w:contextualSpacing/>
        <w:rPr>
          <w:rFonts w:ascii="Times New Roman" w:hAnsi="Times New Roman" w:cs="Times New Roman"/>
          <w:sz w:val="24"/>
          <w:szCs w:val="24"/>
        </w:rPr>
      </w:pPr>
    </w:p>
    <w:p w14:paraId="4BEC4DC4">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21.6 Os licitantes assumem todos os custos de preparação e apresentação de suas propostas e a Administração não será, em nenhum caso, responsável por esses custos, independentemente da condução ou do resultado do processo licitatório.</w:t>
      </w:r>
    </w:p>
    <w:p w14:paraId="43702F32">
      <w:pPr>
        <w:pStyle w:val="99"/>
        <w:spacing w:before="288" w:beforeLines="120" w:after="288" w:afterLines="120" w:line="288" w:lineRule="auto"/>
        <w:ind w:left="0" w:firstLine="0"/>
        <w:contextualSpacing/>
        <w:rPr>
          <w:rFonts w:ascii="Times New Roman" w:hAnsi="Times New Roman" w:cs="Times New Roman"/>
          <w:sz w:val="24"/>
          <w:szCs w:val="24"/>
        </w:rPr>
      </w:pPr>
    </w:p>
    <w:p w14:paraId="41CF6695">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21.7 Na contagem dos prazos estabelecidos neste Edital e seus Anexos, excluir-se-á o dia do início e incluir-se-á o do vencimento. Só se iniciam e vencem os prazos em dias de expediente na Administração.</w:t>
      </w:r>
    </w:p>
    <w:p w14:paraId="4C9F3EAA">
      <w:pPr>
        <w:pStyle w:val="99"/>
        <w:spacing w:before="288" w:beforeLines="120" w:after="288" w:afterLines="120" w:line="288" w:lineRule="auto"/>
        <w:ind w:left="0" w:firstLine="0"/>
        <w:contextualSpacing/>
        <w:rPr>
          <w:rFonts w:ascii="Times New Roman" w:hAnsi="Times New Roman" w:cs="Times New Roman"/>
          <w:sz w:val="24"/>
          <w:szCs w:val="24"/>
        </w:rPr>
      </w:pPr>
    </w:p>
    <w:p w14:paraId="1433E61D">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21.8 O desatendimento de exigências formais não essenciais não importará o afastamento do licitante, desde que seja possível o aproveitamento do ato, observados os princípios da isonomia e do interesse público.</w:t>
      </w:r>
    </w:p>
    <w:p w14:paraId="260F9EA9">
      <w:pPr>
        <w:pStyle w:val="99"/>
        <w:spacing w:before="288" w:beforeLines="120" w:after="288" w:afterLines="120" w:line="288" w:lineRule="auto"/>
        <w:ind w:left="0" w:firstLine="0"/>
        <w:contextualSpacing/>
        <w:rPr>
          <w:rFonts w:ascii="Times New Roman" w:hAnsi="Times New Roman" w:cs="Times New Roman"/>
          <w:sz w:val="24"/>
          <w:szCs w:val="24"/>
        </w:rPr>
      </w:pPr>
    </w:p>
    <w:p w14:paraId="40466EBE">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21.9 Em caso de divergência entre disposições deste Edital e de seus anexos ou demais peças que compõem o processo, prevalecerão as deste Edital.</w:t>
      </w:r>
    </w:p>
    <w:p w14:paraId="69135573">
      <w:pPr>
        <w:pStyle w:val="99"/>
        <w:spacing w:before="288" w:beforeLines="120" w:after="288" w:afterLines="120" w:line="288" w:lineRule="auto"/>
        <w:ind w:left="0" w:firstLine="0"/>
        <w:contextualSpacing/>
        <w:rPr>
          <w:rFonts w:ascii="Times New Roman" w:hAnsi="Times New Roman" w:cs="Times New Roman"/>
          <w:sz w:val="24"/>
          <w:szCs w:val="24"/>
        </w:rPr>
      </w:pPr>
    </w:p>
    <w:p w14:paraId="25C2023B">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21.10 O Edital e seus anexos </w:t>
      </w:r>
      <w:r>
        <w:rPr>
          <w:rFonts w:ascii="Times New Roman" w:hAnsi="Times New Roman" w:cs="Times New Roman"/>
          <w:color w:val="auto"/>
          <w:sz w:val="24"/>
          <w:szCs w:val="24"/>
        </w:rPr>
        <w:t>estão disponíveis, na íntegra, no Portal Nacional de Contratações Públicas (PNCP) e endereço eletrô</w:t>
      </w:r>
      <w:r>
        <w:rPr>
          <w:rFonts w:ascii="Times New Roman" w:hAnsi="Times New Roman" w:cs="Times New Roman"/>
          <w:sz w:val="24"/>
          <w:szCs w:val="24"/>
        </w:rPr>
        <w:t xml:space="preserve">nico </w:t>
      </w:r>
      <w:r>
        <w:rPr>
          <w:rFonts w:ascii="Times New Roman" w:hAnsi="Times New Roman" w:cs="Times New Roman"/>
          <w:color w:val="auto"/>
          <w:sz w:val="24"/>
          <w:szCs w:val="24"/>
        </w:rPr>
        <w:t>www.valenca.rj.gov.br</w:t>
      </w:r>
      <w:r>
        <w:rPr>
          <w:rFonts w:ascii="Times New Roman" w:hAnsi="Times New Roman" w:cs="Times New Roman"/>
          <w:sz w:val="24"/>
          <w:szCs w:val="24"/>
        </w:rPr>
        <w:t>.</w:t>
      </w:r>
    </w:p>
    <w:p w14:paraId="1EDC6907">
      <w:pPr>
        <w:pStyle w:val="99"/>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08B5F1FC">
      <w:pPr>
        <w:pStyle w:val="103"/>
        <w:spacing w:before="288" w:beforeLines="120" w:after="288" w:afterLines="120" w:line="288" w:lineRule="auto"/>
        <w:ind w:left="0" w:firstLine="0"/>
        <w:contextualSpacing/>
        <w:rPr>
          <w:rFonts w:ascii="Times New Roman" w:hAnsi="Times New Roman" w:cs="Times New Roman"/>
          <w:sz w:val="24"/>
          <w:szCs w:val="24"/>
        </w:rPr>
      </w:pPr>
      <w:bookmarkStart w:id="38" w:name="_Hlk154231260"/>
      <w:r>
        <w:rPr>
          <w:rFonts w:ascii="Times New Roman" w:hAnsi="Times New Roman" w:cs="Times New Roman"/>
          <w:sz w:val="24"/>
          <w:szCs w:val="24"/>
        </w:rPr>
        <w:t>Anexo I - Termo de Referência</w:t>
      </w:r>
    </w:p>
    <w:p w14:paraId="47110C1D">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cs="Times New Roman"/>
          <w:sz w:val="24"/>
          <w:szCs w:val="24"/>
        </w:rPr>
        <w:t>nexo</w:t>
      </w:r>
      <w:r>
        <w:rPr>
          <w:rFonts w:ascii="Times New Roman" w:hAnsi="Times New Roman" w:cs="Times New Roman"/>
          <w:color w:val="auto"/>
          <w:sz w:val="24"/>
          <w:szCs w:val="24"/>
        </w:rPr>
        <w:t xml:space="preserve"> II - </w:t>
      </w:r>
      <w:r>
        <w:rPr>
          <w:rFonts w:ascii="Times New Roman" w:hAnsi="Times New Roman" w:cs="Times New Roman"/>
          <w:sz w:val="24"/>
          <w:szCs w:val="24"/>
        </w:rPr>
        <w:t>Estudo Técnico Preliminar</w:t>
      </w:r>
    </w:p>
    <w:p w14:paraId="740A9DE2">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Anexo III - Modelo de apresentação da proposta</w:t>
      </w:r>
    </w:p>
    <w:p w14:paraId="5657CFC6">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Anexo IV - Documentação exigida para Habilitação</w:t>
      </w:r>
    </w:p>
    <w:p w14:paraId="01CAD5B2">
      <w:pPr>
        <w:pStyle w:val="10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cs="Times New Roman"/>
          <w:sz w:val="24"/>
          <w:szCs w:val="24"/>
        </w:rPr>
        <w:t>nexo</w:t>
      </w:r>
      <w:r>
        <w:rPr>
          <w:rFonts w:ascii="Times New Roman" w:hAnsi="Times New Roman" w:cs="Times New Roman"/>
          <w:color w:val="auto"/>
          <w:sz w:val="24"/>
          <w:szCs w:val="24"/>
        </w:rPr>
        <w:t xml:space="preserve"> V - Orçamento estimado/ Planilha de Custos</w:t>
      </w:r>
    </w:p>
    <w:p w14:paraId="5D74BD51">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Anexo VI - Ata de Registro de Preços</w:t>
      </w:r>
    </w:p>
    <w:p w14:paraId="628FBA59">
      <w:pPr>
        <w:pStyle w:val="10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Anexo VII - Minuta de Termo de Contrato</w:t>
      </w:r>
    </w:p>
    <w:p w14:paraId="3EECC4B8">
      <w:pPr>
        <w:pStyle w:val="103"/>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sz w:val="24"/>
          <w:szCs w:val="24"/>
        </w:rPr>
        <w:t xml:space="preserve">Anexo VIII - </w:t>
      </w:r>
      <w:r>
        <w:rPr>
          <w:rFonts w:ascii="Times New Roman" w:hAnsi="Times New Roman" w:cs="Times New Roman"/>
          <w:color w:val="000000" w:themeColor="text1"/>
          <w:sz w:val="24"/>
          <w:szCs w:val="24"/>
          <w14:textFill>
            <w14:solidFill>
              <w14:schemeClr w14:val="tx1"/>
            </w14:solidFill>
          </w14:textFill>
        </w:rPr>
        <w:t xml:space="preserve">Declarações </w:t>
      </w:r>
      <w:bookmarkEnd w:id="38"/>
    </w:p>
    <w:p w14:paraId="1C439F43">
      <w:pPr>
        <w:pStyle w:val="103"/>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p>
    <w:p w14:paraId="6EBED03D">
      <w:pPr>
        <w:pStyle w:val="103"/>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p>
    <w:p w14:paraId="69418DB3">
      <w:pPr>
        <w:pStyle w:val="103"/>
        <w:spacing w:before="288" w:beforeLines="120" w:after="288" w:afterLines="120" w:line="288" w:lineRule="auto"/>
        <w:ind w:left="0" w:firstLine="0"/>
        <w:contextualSpacing/>
        <w:rPr>
          <w:rFonts w:hint="default" w:ascii="Times New Roman" w:hAnsi="Times New Roman" w:eastAsia="MS Mincho" w:cs="Times New Roman"/>
          <w:color w:val="000000" w:themeColor="text1"/>
          <w:sz w:val="24"/>
          <w:szCs w:val="24"/>
          <w:lang w:val="pt-BR"/>
          <w14:textFill>
            <w14:solidFill>
              <w14:schemeClr w14:val="tx1"/>
            </w14:solidFill>
          </w14:textFill>
        </w:rPr>
      </w:pPr>
      <w:r>
        <w:rPr>
          <w:rFonts w:ascii="Times New Roman" w:hAnsi="Times New Roman" w:eastAsia="MS Mincho" w:cs="Times New Roman"/>
          <w:color w:val="000000" w:themeColor="text1"/>
          <w:sz w:val="24"/>
          <w:szCs w:val="24"/>
          <w14:textFill>
            <w14:solidFill>
              <w14:schemeClr w14:val="tx1"/>
            </w14:solidFill>
          </w14:textFill>
        </w:rPr>
        <w:t xml:space="preserve">                                              Valença , </w:t>
      </w:r>
      <w:r>
        <w:rPr>
          <w:rFonts w:hint="default" w:ascii="Times New Roman" w:hAnsi="Times New Roman" w:eastAsia="MS Mincho" w:cs="Times New Roman"/>
          <w:sz w:val="24"/>
          <w:szCs w:val="24"/>
          <w:lang w:val="pt-BR"/>
        </w:rPr>
        <w:t>04/09/2026</w:t>
      </w:r>
    </w:p>
    <w:p w14:paraId="12E60D5B">
      <w:pPr>
        <w:spacing w:before="288" w:beforeLines="120" w:after="288" w:afterLines="120" w:line="288" w:lineRule="auto"/>
        <w:contextualSpacing/>
        <w:jc w:val="center"/>
        <w:rPr>
          <w:rFonts w:eastAsia="MS Mincho"/>
          <w:b/>
          <w:color w:val="FF0000"/>
          <w:sz w:val="24"/>
          <w:szCs w:val="24"/>
        </w:rPr>
      </w:pPr>
    </w:p>
    <w:p w14:paraId="1E0E784A">
      <w:pPr>
        <w:spacing w:before="288" w:beforeLines="120" w:after="288" w:afterLines="120" w:line="288" w:lineRule="auto"/>
        <w:contextualSpacing/>
        <w:jc w:val="center"/>
        <w:rPr>
          <w:rFonts w:eastAsia="MS Mincho"/>
          <w:b/>
          <w:color w:val="000000" w:themeColor="text1"/>
          <w:sz w:val="24"/>
          <w:szCs w:val="24"/>
          <w14:textFill>
            <w14:solidFill>
              <w14:schemeClr w14:val="tx1"/>
            </w14:solidFill>
          </w14:textFill>
        </w:rPr>
      </w:pPr>
      <w:r>
        <w:rPr>
          <w:rFonts w:eastAsia="MS Mincho"/>
          <w:b/>
          <w:color w:val="000000" w:themeColor="text1"/>
          <w:sz w:val="24"/>
          <w:szCs w:val="24"/>
          <w14:textFill>
            <w14:solidFill>
              <w14:schemeClr w14:val="tx1"/>
            </w14:solidFill>
          </w14:textFill>
        </w:rPr>
        <w:t>Secretaria Municipal de Saúde</w:t>
      </w:r>
    </w:p>
    <w:p w14:paraId="70E964AE">
      <w:pPr>
        <w:spacing w:before="288" w:beforeLines="120" w:after="288" w:afterLines="120" w:line="288" w:lineRule="auto"/>
        <w:contextualSpacing/>
        <w:jc w:val="center"/>
        <w:rPr>
          <w:rFonts w:eastAsia="MS Mincho" w:asciiTheme="minorHAnsi" w:hAnsiTheme="minorHAnsi" w:cstheme="minorHAnsi"/>
          <w:b/>
          <w:color w:val="FF0000"/>
          <w:sz w:val="24"/>
          <w:szCs w:val="24"/>
        </w:rPr>
      </w:pPr>
    </w:p>
    <w:p w14:paraId="57E9D979">
      <w:pPr>
        <w:spacing w:before="288" w:beforeLines="120" w:after="288" w:afterLines="120" w:line="288" w:lineRule="auto"/>
        <w:contextualSpacing/>
        <w:rPr>
          <w:rFonts w:eastAsia="MS Mincho" w:asciiTheme="minorHAnsi" w:hAnsiTheme="minorHAnsi" w:cstheme="minorHAnsi"/>
          <w:b/>
          <w:color w:val="FF0000"/>
          <w:sz w:val="24"/>
          <w:szCs w:val="24"/>
        </w:rPr>
      </w:pPr>
    </w:p>
    <w:p w14:paraId="4148D465">
      <w:pPr>
        <w:spacing w:before="288" w:beforeLines="120" w:after="288" w:afterLines="120" w:line="288" w:lineRule="auto"/>
        <w:contextualSpacing/>
        <w:jc w:val="center"/>
        <w:rPr>
          <w:rFonts w:eastAsia="MS Mincho"/>
          <w:b/>
          <w:sz w:val="24"/>
          <w:szCs w:val="24"/>
        </w:rPr>
      </w:pPr>
      <w:r>
        <w:rPr>
          <w:rFonts w:eastAsia="MS Mincho"/>
          <w:b/>
          <w:sz w:val="24"/>
          <w:szCs w:val="24"/>
        </w:rPr>
        <w:t xml:space="preserve">ANEXO I </w:t>
      </w:r>
    </w:p>
    <w:p w14:paraId="6FBB2361">
      <w:pPr>
        <w:spacing w:before="288" w:beforeLines="120" w:after="288" w:afterLines="120" w:line="288" w:lineRule="auto"/>
        <w:contextualSpacing/>
        <w:jc w:val="center"/>
        <w:rPr>
          <w:rFonts w:eastAsia="MS Mincho" w:asciiTheme="minorHAnsi" w:hAnsiTheme="minorHAnsi" w:cstheme="minorHAnsi"/>
          <w:b/>
          <w:sz w:val="24"/>
          <w:szCs w:val="24"/>
        </w:rPr>
      </w:pPr>
    </w:p>
    <w:p w14:paraId="2208ED93">
      <w:pPr>
        <w:spacing w:line="368" w:lineRule="auto"/>
        <w:ind w:left="720" w:right="16"/>
        <w:rPr>
          <w:b/>
          <w:sz w:val="24"/>
          <w:szCs w:val="24"/>
          <w:u w:val="single"/>
        </w:rPr>
      </w:pPr>
      <w:r>
        <w:rPr>
          <w:b/>
          <w:sz w:val="24"/>
          <w:szCs w:val="24"/>
        </w:rPr>
        <w:t xml:space="preserve">                                     </w:t>
      </w:r>
      <w:r>
        <w:rPr>
          <w:b/>
          <w:sz w:val="24"/>
          <w:szCs w:val="24"/>
          <w:highlight w:val="yellow"/>
          <w:u w:val="single"/>
        </w:rPr>
        <w:t>TERMO DE REFERÊNCIA</w:t>
      </w:r>
    </w:p>
    <w:p w14:paraId="35C7D4F3">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b/>
          <w:bCs/>
          <w:color w:val="000000"/>
          <w:sz w:val="24"/>
          <w:szCs w:val="24"/>
        </w:rPr>
      </w:pPr>
    </w:p>
    <w:p w14:paraId="45177621">
      <w:pPr>
        <w:pStyle w:val="19"/>
        <w:tabs>
          <w:tab w:val="left" w:pos="555"/>
          <w:tab w:val="left" w:pos="840"/>
          <w:tab w:val="left" w:pos="1140"/>
          <w:tab w:val="left" w:pos="1395"/>
          <w:tab w:val="left" w:pos="1650"/>
          <w:tab w:val="left" w:pos="1965"/>
          <w:tab w:val="left" w:pos="2220"/>
          <w:tab w:val="left" w:leader="underscore" w:pos="7336"/>
        </w:tabs>
        <w:spacing w:line="360" w:lineRule="auto"/>
        <w:rPr>
          <w:rFonts w:eastAsia="Times New Roman" w:cs="Times New Roman"/>
        </w:rPr>
      </w:pPr>
      <w:r>
        <w:rPr>
          <w:rFonts w:ascii="Times New Roman" w:hAnsi="Times New Roman" w:eastAsia="Times New Roman" w:cs="Times New Roman"/>
          <w:color w:val="auto"/>
          <w:szCs w:val="24"/>
        </w:rPr>
        <w:t>ÓRGÃO: Secretaria Municipal de Saúde</w:t>
      </w:r>
    </w:p>
    <w:p w14:paraId="301B9A18">
      <w:pPr>
        <w:pStyle w:val="19"/>
        <w:tabs>
          <w:tab w:val="left" w:pos="555"/>
          <w:tab w:val="left" w:pos="840"/>
          <w:tab w:val="left" w:pos="1140"/>
          <w:tab w:val="left" w:pos="1395"/>
          <w:tab w:val="left" w:pos="1650"/>
          <w:tab w:val="left" w:pos="1965"/>
          <w:tab w:val="left" w:pos="2220"/>
          <w:tab w:val="left" w:leader="underscore" w:pos="7336"/>
        </w:tabs>
        <w:spacing w:line="360" w:lineRule="auto"/>
        <w:rPr>
          <w:rFonts w:eastAsia="Times New Roman" w:cs="Times New Roman"/>
        </w:rPr>
      </w:pPr>
      <w:r>
        <w:rPr>
          <w:rFonts w:ascii="Times New Roman" w:hAnsi="Times New Roman" w:eastAsia="Times New Roman" w:cs="Times New Roman"/>
          <w:color w:val="auto"/>
          <w:szCs w:val="24"/>
        </w:rPr>
        <w:t>SETOR REQUISITANTE: Centro de Especialidades Odontologicas</w:t>
      </w:r>
    </w:p>
    <w:p w14:paraId="2DF356D9">
      <w:pPr>
        <w:pStyle w:val="19"/>
        <w:tabs>
          <w:tab w:val="left" w:pos="555"/>
          <w:tab w:val="left" w:pos="840"/>
          <w:tab w:val="left" w:pos="1140"/>
          <w:tab w:val="left" w:pos="1395"/>
          <w:tab w:val="left" w:pos="1650"/>
          <w:tab w:val="left" w:pos="1965"/>
          <w:tab w:val="left" w:pos="2220"/>
          <w:tab w:val="left" w:leader="underscore" w:pos="7336"/>
        </w:tabs>
        <w:spacing w:line="360" w:lineRule="auto"/>
        <w:rPr>
          <w:rFonts w:cs="Times New Roman"/>
        </w:rPr>
      </w:pPr>
      <w:r>
        <w:rPr>
          <w:rFonts w:ascii="Times New Roman" w:hAnsi="Times New Roman" w:eastAsia="Times New Roman" w:cs="Times New Roman"/>
          <w:color w:val="auto"/>
          <w:szCs w:val="24"/>
        </w:rPr>
        <w:t xml:space="preserve">RESPONSÁVEL PELA DEMANDA: </w:t>
      </w:r>
      <w:r>
        <w:rPr>
          <w:rFonts w:ascii="Times New Roman" w:hAnsi="Times New Roman" w:cs="Times New Roman"/>
          <w:color w:val="auto"/>
          <w:kern w:val="3"/>
          <w:szCs w:val="24"/>
          <w:lang w:eastAsia="zh-CN" w:bidi="hi-IN"/>
        </w:rPr>
        <w:t>Carlos Andre Silvestre do Rego</w:t>
      </w:r>
    </w:p>
    <w:p w14:paraId="6B578B49">
      <w:pPr>
        <w:pStyle w:val="19"/>
        <w:tabs>
          <w:tab w:val="left" w:pos="555"/>
          <w:tab w:val="left" w:pos="840"/>
          <w:tab w:val="left" w:pos="1140"/>
          <w:tab w:val="left" w:pos="1395"/>
          <w:tab w:val="left" w:pos="1650"/>
          <w:tab w:val="left" w:pos="1965"/>
          <w:tab w:val="left" w:pos="2220"/>
          <w:tab w:val="left" w:leader="underscore" w:pos="7336"/>
        </w:tabs>
        <w:spacing w:line="360" w:lineRule="auto"/>
        <w:rPr>
          <w:rFonts w:cs="Times New Roman"/>
        </w:rPr>
      </w:pPr>
      <w:r>
        <w:rPr>
          <w:rFonts w:ascii="Times New Roman" w:hAnsi="Times New Roman" w:eastAsia="Times New Roman" w:cs="Times New Roman"/>
          <w:color w:val="auto"/>
          <w:szCs w:val="24"/>
        </w:rPr>
        <w:t xml:space="preserve">MATRÍCULA: </w:t>
      </w:r>
      <w:r>
        <w:rPr>
          <w:rFonts w:ascii="Times New Roman" w:hAnsi="Times New Roman" w:cs="Times New Roman"/>
          <w:color w:val="auto"/>
          <w:kern w:val="3"/>
          <w:szCs w:val="24"/>
          <w:lang w:eastAsia="zh-CN" w:bidi="hi-IN"/>
        </w:rPr>
        <w:t>100.269</w:t>
      </w:r>
    </w:p>
    <w:p w14:paraId="1887622A">
      <w:pPr>
        <w:pStyle w:val="19"/>
        <w:tabs>
          <w:tab w:val="left" w:pos="555"/>
          <w:tab w:val="left" w:pos="840"/>
          <w:tab w:val="left" w:pos="1140"/>
          <w:tab w:val="left" w:pos="1395"/>
          <w:tab w:val="left" w:pos="1650"/>
          <w:tab w:val="left" w:pos="1965"/>
          <w:tab w:val="left" w:pos="2220"/>
          <w:tab w:val="left" w:leader="underscore" w:pos="7336"/>
        </w:tabs>
        <w:spacing w:line="360" w:lineRule="auto"/>
        <w:rPr>
          <w:rFonts w:eastAsia="Times New Roman" w:cs="Times New Roman"/>
          <w:bCs/>
        </w:rPr>
      </w:pPr>
      <w:r>
        <w:rPr>
          <w:rFonts w:ascii="Times New Roman" w:hAnsi="Times New Roman" w:eastAsia="Times New Roman" w:cs="Times New Roman"/>
          <w:bCs/>
          <w:color w:val="auto"/>
          <w:szCs w:val="24"/>
        </w:rPr>
        <w:t>PROCESSO ADMINISTRATIVO: VLC-020508/00</w:t>
      </w:r>
      <w:r>
        <w:rPr>
          <w:rFonts w:eastAsia="Times New Roman" w:cs="Times New Roman"/>
          <w:bCs/>
          <w:color w:val="auto"/>
          <w:szCs w:val="24"/>
        </w:rPr>
        <w:t>1965/2026</w:t>
      </w:r>
    </w:p>
    <w:p w14:paraId="1CCD9570">
      <w:pPr>
        <w:pStyle w:val="19"/>
        <w:tabs>
          <w:tab w:val="left" w:pos="555"/>
          <w:tab w:val="left" w:pos="840"/>
          <w:tab w:val="left" w:pos="1140"/>
          <w:tab w:val="left" w:pos="1395"/>
          <w:tab w:val="left" w:pos="1650"/>
          <w:tab w:val="left" w:pos="1965"/>
          <w:tab w:val="left" w:pos="2220"/>
          <w:tab w:val="left" w:leader="underscore" w:pos="7336"/>
        </w:tabs>
        <w:spacing w:line="360" w:lineRule="auto"/>
        <w:rPr>
          <w:rFonts w:eastAsia="Times New Roman" w:cs="Times New Roman"/>
          <w:bCs/>
        </w:rPr>
      </w:pPr>
    </w:p>
    <w:p w14:paraId="15EABBA9">
      <w:pPr>
        <w:spacing w:line="360" w:lineRule="auto"/>
        <w:jc w:val="both"/>
        <w:rPr>
          <w:rFonts w:eastAsia="Cambria Math"/>
          <w:b/>
        </w:rPr>
      </w:pPr>
      <w:r>
        <w:rPr>
          <w:rFonts w:eastAsia="Cambria Math"/>
          <w:b/>
        </w:rPr>
        <w:t>1 – OBJETO</w:t>
      </w:r>
    </w:p>
    <w:p w14:paraId="6289FD88">
      <w:pPr>
        <w:spacing w:after="112" w:line="360" w:lineRule="auto"/>
        <w:jc w:val="both"/>
        <w:rPr>
          <w:rFonts w:eastAsia="SimSun"/>
          <w:sz w:val="24"/>
          <w:szCs w:val="24"/>
        </w:rPr>
      </w:pPr>
      <w:r>
        <w:rPr>
          <w:rFonts w:eastAsia="Cambria Math"/>
          <w:sz w:val="24"/>
          <w:szCs w:val="24"/>
        </w:rPr>
        <w:t>A</w:t>
      </w:r>
      <w:r>
        <w:rPr>
          <w:rFonts w:eastAsia="SimSun"/>
          <w:sz w:val="24"/>
          <w:szCs w:val="24"/>
        </w:rPr>
        <w:t>quisição de kits bucais e escovas elétricas, destinados ao atendimento das necessidades do Centro de Especialidades Odontológicas (CEO).</w:t>
      </w:r>
    </w:p>
    <w:p w14:paraId="52E2E877">
      <w:pPr>
        <w:spacing w:before="288" w:beforeLines="120" w:after="288" w:afterLines="120" w:line="288" w:lineRule="auto"/>
        <w:rPr>
          <w:sz w:val="24"/>
          <w:szCs w:val="24"/>
        </w:rPr>
      </w:pPr>
      <w:r>
        <w:rPr>
          <w:sz w:val="24"/>
          <w:szCs w:val="24"/>
          <w:highlight w:val="yellow"/>
        </w:rPr>
        <w:t>Havendo qualquer discordância entre a descrição e a unidade de medida do CATMAT e a do Edital, prevalecerá à descrição e a unidade de medida constante no Edital.</w:t>
      </w:r>
    </w:p>
    <w:p w14:paraId="2D2F3822">
      <w:pPr>
        <w:pStyle w:val="271"/>
        <w:spacing w:line="360" w:lineRule="auto"/>
        <w:jc w:val="both"/>
        <w:rPr>
          <w:rFonts w:ascii="Times New Roman" w:hAnsi="Times New Roman" w:eastAsia="Times New Roman" w:cs="Times New Roman"/>
          <w:b/>
          <w:sz w:val="24"/>
          <w:szCs w:val="24"/>
        </w:rPr>
      </w:pPr>
      <w:r>
        <w:rPr>
          <w:rFonts w:ascii="Times New Roman" w:hAnsi="Times New Roman" w:eastAsia="Cambria Math" w:cs="Times New Roman"/>
          <w:b/>
          <w:sz w:val="24"/>
          <w:szCs w:val="24"/>
        </w:rPr>
        <w:t>2</w:t>
      </w:r>
      <w:r>
        <w:rPr>
          <w:rFonts w:ascii="Times New Roman" w:hAnsi="Times New Roman" w:eastAsia="Cambria Math" w:cs="Times New Roman"/>
          <w:b/>
          <w:sz w:val="24"/>
          <w:szCs w:val="24"/>
          <w:lang w:val="en-US"/>
        </w:rPr>
        <w:t xml:space="preserve"> - </w:t>
      </w:r>
      <w:r>
        <w:rPr>
          <w:rFonts w:ascii="Times New Roman" w:hAnsi="Times New Roman" w:eastAsia="Times New Roman" w:cs="Times New Roman"/>
          <w:b/>
          <w:sz w:val="24"/>
          <w:szCs w:val="24"/>
        </w:rPr>
        <w:t>NECESSIDADE DA CONTRATAÇÃO</w:t>
      </w:r>
    </w:p>
    <w:p w14:paraId="078935F7">
      <w:pPr>
        <w:pStyle w:val="24"/>
        <w:spacing w:before="0" w:after="0" w:line="360" w:lineRule="auto"/>
        <w:jc w:val="both"/>
      </w:pPr>
      <w:r>
        <w:t xml:space="preserve">A presente contratação tem por finalidade a </w:t>
      </w:r>
      <w:r>
        <w:rPr>
          <w:rStyle w:val="11"/>
          <w:b w:val="0"/>
        </w:rPr>
        <w:t>aquisição de kits de higiene bucal e escovas elétricas</w:t>
      </w:r>
      <w:r>
        <w:t xml:space="preserve">, destinados ao atendimento das necessidades do </w:t>
      </w:r>
      <w:r>
        <w:rPr>
          <w:rStyle w:val="11"/>
          <w:b w:val="0"/>
        </w:rPr>
        <w:t>Centro de Especialidades Odontológicas (CEO)</w:t>
      </w:r>
      <w:r>
        <w:t>, visando garantir a disponibilidade de materiais necessários ao desenvolvimento das ações de promoção, prevenção e cuidados em saúde bucal.</w:t>
      </w:r>
    </w:p>
    <w:p w14:paraId="35E7EE64">
      <w:pPr>
        <w:pStyle w:val="24"/>
        <w:spacing w:before="0" w:after="0" w:line="360" w:lineRule="auto"/>
        <w:jc w:val="both"/>
      </w:pPr>
      <w:r>
        <w:t>A aquisição mostra-se necessária para assegurar a continuidade e a adequada execução dos serviços odontológicos ofertados pelo CEO, proporcionando aos usuários os insumos adequados à manutenção da higiene bucal e contribuindo para a prevenção de doenças e a melhoria da saúde bucal da população atendida.</w:t>
      </w:r>
    </w:p>
    <w:p w14:paraId="1DB14BDF">
      <w:pPr>
        <w:pStyle w:val="24"/>
        <w:spacing w:line="360" w:lineRule="auto"/>
        <w:jc w:val="both"/>
      </w:pPr>
      <w:r>
        <w:t>Dessa forma, a contratação busca atender à demanda existente, evitando a descontinuidade das ações e garantindo condições adequadas para o atendimento dos pacientes e o regular funcionamento do serviço.</w:t>
      </w:r>
    </w:p>
    <w:p w14:paraId="35B85FD0">
      <w:pPr>
        <w:pStyle w:val="74"/>
        <w:rPr>
          <w:rFonts w:ascii="Times New Roman" w:hAnsi="Times New Roman" w:cs="Times New Roman"/>
          <w:color w:val="auto"/>
          <w:lang w:eastAsia="pt-BR"/>
        </w:rPr>
      </w:pPr>
      <w:r>
        <w:rPr>
          <w:rFonts w:ascii="Times New Roman" w:hAnsi="Times New Roman" w:eastAsia="Cambria Math" w:cs="Times New Roman"/>
          <w:b/>
          <w:color w:val="auto"/>
          <w:lang w:eastAsia="pt-BR"/>
        </w:rPr>
        <w:t xml:space="preserve">3 - </w:t>
      </w:r>
      <w:r>
        <w:rPr>
          <w:rFonts w:ascii="Times New Roman" w:hAnsi="Times New Roman" w:cs="Times New Roman"/>
          <w:b/>
          <w:bCs/>
          <w:color w:val="auto"/>
          <w:lang w:eastAsia="pt-BR"/>
        </w:rPr>
        <w:t xml:space="preserve">ESPECIFICAÇÕES E QUANTIDADE </w:t>
      </w:r>
    </w:p>
    <w:p w14:paraId="7D407212">
      <w:pPr>
        <w:autoSpaceDE w:val="0"/>
        <w:autoSpaceDN w:val="0"/>
        <w:adjustRightInd w:val="0"/>
        <w:rPr>
          <w:sz w:val="24"/>
          <w:szCs w:val="24"/>
        </w:rPr>
      </w:pPr>
    </w:p>
    <w:p w14:paraId="2C650FA1">
      <w:pPr>
        <w:spacing w:line="360" w:lineRule="auto"/>
        <w:jc w:val="both"/>
        <w:rPr>
          <w:sz w:val="24"/>
          <w:szCs w:val="24"/>
        </w:rPr>
      </w:pPr>
      <w:r>
        <w:rPr>
          <w:sz w:val="24"/>
          <w:szCs w:val="24"/>
        </w:rPr>
        <w:t>Considerando que os padrões de desempenho e qualidade dos itens objeto deste Termo de Referência pode ser objetivamente definidos pelo edital, por meio de especificações usuais de mercado, classificamos os referidos itens como ‘bens comuns’</w:t>
      </w:r>
    </w:p>
    <w:p w14:paraId="0A0A67D5">
      <w:pPr>
        <w:spacing w:line="360" w:lineRule="auto"/>
        <w:jc w:val="both"/>
        <w:rPr>
          <w:sz w:val="24"/>
          <w:szCs w:val="24"/>
        </w:rPr>
      </w:pPr>
    </w:p>
    <w:p w14:paraId="4C3DFE3E">
      <w:pPr>
        <w:spacing w:line="360" w:lineRule="auto"/>
        <w:jc w:val="both"/>
        <w:rPr>
          <w:sz w:val="24"/>
          <w:szCs w:val="24"/>
        </w:rPr>
      </w:pPr>
    </w:p>
    <w:tbl>
      <w:tblPr>
        <w:tblStyle w:val="10"/>
        <w:tblW w:w="11057" w:type="dxa"/>
        <w:tblInd w:w="-1139" w:type="dxa"/>
        <w:tblLayout w:type="fixed"/>
        <w:tblCellMar>
          <w:top w:w="0" w:type="dxa"/>
          <w:left w:w="10" w:type="dxa"/>
          <w:bottom w:w="0" w:type="dxa"/>
          <w:right w:w="10" w:type="dxa"/>
        </w:tblCellMar>
      </w:tblPr>
      <w:tblGrid>
        <w:gridCol w:w="850"/>
        <w:gridCol w:w="5671"/>
        <w:gridCol w:w="850"/>
        <w:gridCol w:w="993"/>
        <w:gridCol w:w="1275"/>
        <w:gridCol w:w="1418"/>
      </w:tblGrid>
      <w:tr w14:paraId="46AFE451">
        <w:tblPrEx>
          <w:tblCellMar>
            <w:top w:w="0" w:type="dxa"/>
            <w:left w:w="10" w:type="dxa"/>
            <w:bottom w:w="0" w:type="dxa"/>
            <w:right w:w="10" w:type="dxa"/>
          </w:tblCellMar>
        </w:tblPrEx>
        <w:trPr>
          <w:trHeight w:val="370"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014F5C48">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Times New Roman" w:hAnsi="Times New Roman" w:cs="Times New Roman"/>
                <w:szCs w:val="24"/>
              </w:rPr>
            </w:pPr>
            <w:r>
              <w:rPr>
                <w:rFonts w:ascii="Times New Roman" w:hAnsi="Times New Roman" w:cs="Times New Roman"/>
                <w:color w:val="auto"/>
                <w:szCs w:val="24"/>
              </w:rPr>
              <w:t>Item</w:t>
            </w:r>
          </w:p>
        </w:tc>
        <w:tc>
          <w:tcPr>
            <w:tcW w:w="5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5C93DBC5">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Times New Roman" w:hAnsi="Times New Roman" w:cs="Times New Roman"/>
                <w:szCs w:val="24"/>
              </w:rPr>
            </w:pPr>
            <w:r>
              <w:rPr>
                <w:rFonts w:ascii="Times New Roman" w:hAnsi="Times New Roman" w:cs="Times New Roman"/>
                <w:color w:val="auto"/>
                <w:szCs w:val="24"/>
              </w:rPr>
              <w:t>Descrição</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2F62F574">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Times New Roman" w:hAnsi="Times New Roman" w:cs="Times New Roman"/>
                <w:szCs w:val="24"/>
              </w:rPr>
            </w:pPr>
            <w:r>
              <w:rPr>
                <w:rFonts w:ascii="Times New Roman" w:hAnsi="Times New Roman" w:cs="Times New Roman"/>
                <w:color w:val="auto"/>
                <w:szCs w:val="24"/>
              </w:rPr>
              <w:t>Qtde.</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026F1CC4">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Times New Roman" w:hAnsi="Times New Roman" w:cs="Times New Roman"/>
                <w:szCs w:val="24"/>
              </w:rPr>
            </w:pPr>
            <w:r>
              <w:rPr>
                <w:rFonts w:ascii="Times New Roman" w:hAnsi="Times New Roman" w:cs="Times New Roman"/>
                <w:color w:val="auto"/>
                <w:szCs w:val="24"/>
              </w:rPr>
              <w:t>Catmat</w:t>
            </w: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7BAF3276">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Times New Roman" w:hAnsi="Times New Roman" w:cs="Times New Roman"/>
                <w:szCs w:val="24"/>
              </w:rPr>
            </w:pPr>
            <w:r>
              <w:rPr>
                <w:rFonts w:ascii="Times New Roman" w:hAnsi="Times New Roman" w:cs="Times New Roman"/>
                <w:color w:val="auto"/>
                <w:szCs w:val="24"/>
              </w:rPr>
              <w:t>Valor Unit.</w:t>
            </w:r>
          </w:p>
        </w:tc>
        <w:tc>
          <w:tcPr>
            <w:tcW w:w="141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0B2FDFF8">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Times New Roman" w:hAnsi="Times New Roman" w:cs="Times New Roman"/>
                <w:szCs w:val="24"/>
              </w:rPr>
            </w:pPr>
            <w:r>
              <w:rPr>
                <w:rFonts w:ascii="Times New Roman" w:hAnsi="Times New Roman" w:cs="Times New Roman"/>
                <w:color w:val="auto"/>
                <w:szCs w:val="24"/>
              </w:rPr>
              <w:t>Valor total</w:t>
            </w:r>
          </w:p>
        </w:tc>
      </w:tr>
      <w:tr w14:paraId="3B526051">
        <w:tblPrEx>
          <w:tblCellMar>
            <w:top w:w="0" w:type="dxa"/>
            <w:left w:w="10" w:type="dxa"/>
            <w:bottom w:w="0" w:type="dxa"/>
            <w:right w:w="10" w:type="dxa"/>
          </w:tblCellMar>
        </w:tblPrEx>
        <w:trPr>
          <w:trHeight w:val="376"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64D6CC3E">
            <w:pPr>
              <w:jc w:val="center"/>
              <w:textAlignment w:val="bottom"/>
              <w:rPr>
                <w:rFonts w:eastAsia="SimSun"/>
                <w:b/>
                <w:bCs/>
                <w:sz w:val="24"/>
                <w:szCs w:val="24"/>
                <w:lang w:eastAsia="hi-IN" w:bidi="ar"/>
              </w:rPr>
            </w:pPr>
            <w:r>
              <w:rPr>
                <w:rFonts w:eastAsia="SimSun"/>
                <w:b/>
                <w:bCs/>
                <w:sz w:val="24"/>
                <w:szCs w:val="24"/>
                <w:lang w:eastAsia="zh-CN" w:bidi="ar"/>
              </w:rPr>
              <w:t>1</w:t>
            </w:r>
          </w:p>
        </w:tc>
        <w:tc>
          <w:tcPr>
            <w:tcW w:w="5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1F66580B">
            <w:pPr>
              <w:rPr>
                <w:sz w:val="24"/>
                <w:szCs w:val="24"/>
              </w:rPr>
            </w:pPr>
            <w:r>
              <w:rPr>
                <w:sz w:val="24"/>
                <w:szCs w:val="24"/>
              </w:rPr>
              <w:t>Kit Higiene Bucal - contendo</w:t>
            </w:r>
          </w:p>
          <w:p w14:paraId="344C5897">
            <w:pPr>
              <w:rPr>
                <w:sz w:val="24"/>
                <w:szCs w:val="24"/>
              </w:rPr>
            </w:pPr>
            <w:r>
              <w:rPr>
                <w:rFonts w:eastAsia="Symbol"/>
                <w:sz w:val="24"/>
                <w:szCs w:val="24"/>
              </w:rPr>
              <w:t>·</w:t>
            </w:r>
            <w:r>
              <w:rPr>
                <w:rFonts w:eastAsia="SimSun"/>
                <w:sz w:val="24"/>
                <w:szCs w:val="24"/>
              </w:rPr>
              <w:t xml:space="preserve">  </w:t>
            </w:r>
            <w:r>
              <w:rPr>
                <w:rStyle w:val="11"/>
                <w:b w:val="0"/>
                <w:sz w:val="24"/>
                <w:szCs w:val="24"/>
              </w:rPr>
              <w:t>01 escova dental</w:t>
            </w:r>
            <w:r>
              <w:rPr>
                <w:sz w:val="24"/>
                <w:szCs w:val="24"/>
              </w:rPr>
              <w:t xml:space="preserve">, com cerdas macias, cabo anatômico e adequado à higiene bucal; </w:t>
            </w:r>
          </w:p>
          <w:p w14:paraId="6FEF7457">
            <w:pPr>
              <w:rPr>
                <w:sz w:val="24"/>
                <w:szCs w:val="24"/>
              </w:rPr>
            </w:pPr>
            <w:r>
              <w:rPr>
                <w:rFonts w:eastAsia="Symbol"/>
                <w:sz w:val="24"/>
                <w:szCs w:val="24"/>
              </w:rPr>
              <w:t>·</w:t>
            </w:r>
            <w:r>
              <w:rPr>
                <w:rFonts w:eastAsia="SimSun"/>
                <w:sz w:val="24"/>
                <w:szCs w:val="24"/>
              </w:rPr>
              <w:t xml:space="preserve">  </w:t>
            </w:r>
            <w:r>
              <w:rPr>
                <w:rStyle w:val="11"/>
                <w:b w:val="0"/>
                <w:sz w:val="24"/>
                <w:szCs w:val="24"/>
              </w:rPr>
              <w:t>01 fio dental</w:t>
            </w:r>
            <w:r>
              <w:rPr>
                <w:sz w:val="24"/>
                <w:szCs w:val="24"/>
              </w:rPr>
              <w:t xml:space="preserve">, com comprimento mínimo de 25 metros; </w:t>
            </w:r>
          </w:p>
          <w:p w14:paraId="504F257D">
            <w:pPr>
              <w:rPr>
                <w:sz w:val="24"/>
                <w:szCs w:val="24"/>
              </w:rPr>
            </w:pPr>
            <w:r>
              <w:rPr>
                <w:rFonts w:eastAsia="Symbol"/>
                <w:sz w:val="24"/>
                <w:szCs w:val="24"/>
              </w:rPr>
              <w:t>·</w:t>
            </w:r>
            <w:r>
              <w:rPr>
                <w:rFonts w:eastAsia="SimSun"/>
                <w:sz w:val="24"/>
                <w:szCs w:val="24"/>
              </w:rPr>
              <w:t xml:space="preserve">  </w:t>
            </w:r>
            <w:r>
              <w:rPr>
                <w:rStyle w:val="11"/>
                <w:b w:val="0"/>
                <w:sz w:val="24"/>
                <w:szCs w:val="24"/>
              </w:rPr>
              <w:t>01 creme dental</w:t>
            </w:r>
            <w:r>
              <w:rPr>
                <w:sz w:val="24"/>
                <w:szCs w:val="24"/>
              </w:rPr>
              <w:t>, com flúor, embalagem com conteúdo mínimo de 50 g.</w:t>
            </w:r>
          </w:p>
          <w:p w14:paraId="075E1E3B">
            <w:pPr>
              <w:jc w:val="both"/>
              <w:rPr>
                <w:b/>
                <w:bCs/>
                <w:sz w:val="24"/>
                <w:szCs w:val="24"/>
                <w:lang w:eastAsia="hi-IN"/>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40BA6D8A">
            <w:pPr>
              <w:jc w:val="center"/>
              <w:textAlignment w:val="bottom"/>
              <w:rPr>
                <w:b/>
                <w:bCs/>
                <w:sz w:val="24"/>
                <w:szCs w:val="24"/>
                <w:lang w:eastAsia="hi-IN"/>
              </w:rPr>
            </w:pPr>
            <w:r>
              <w:rPr>
                <w:b/>
                <w:bCs/>
                <w:sz w:val="24"/>
                <w:szCs w:val="24"/>
              </w:rPr>
              <w:t>15.000</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4B091223">
            <w:pPr>
              <w:jc w:val="center"/>
              <w:textAlignment w:val="bottom"/>
              <w:rPr>
                <w:rFonts w:eastAsia="SimSun"/>
                <w:b/>
                <w:bCs/>
                <w:sz w:val="24"/>
                <w:szCs w:val="24"/>
                <w:lang w:eastAsia="zh-CN" w:bidi="ar"/>
              </w:rPr>
            </w:pPr>
            <w:r>
              <w:rPr>
                <w:rFonts w:eastAsia="SimSun"/>
                <w:b/>
                <w:bCs/>
                <w:sz w:val="24"/>
                <w:szCs w:val="24"/>
                <w:lang w:eastAsia="zh-CN" w:bidi="ar"/>
              </w:rPr>
              <w:t>434987</w:t>
            </w: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36099BBC">
            <w:pPr>
              <w:jc w:val="center"/>
              <w:textAlignment w:val="bottom"/>
              <w:rPr>
                <w:rFonts w:eastAsia="SimSun"/>
                <w:sz w:val="24"/>
                <w:szCs w:val="24"/>
                <w:lang w:eastAsia="zh-CN" w:bidi="ar"/>
              </w:rPr>
            </w:pPr>
            <w:r>
              <w:rPr>
                <w:rFonts w:eastAsia="SimSun"/>
                <w:sz w:val="24"/>
                <w:szCs w:val="24"/>
                <w:lang w:eastAsia="zh-CN" w:bidi="ar"/>
              </w:rPr>
              <w:t>5,50</w:t>
            </w:r>
          </w:p>
        </w:tc>
        <w:tc>
          <w:tcPr>
            <w:tcW w:w="141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29A85F07">
            <w:pPr>
              <w:jc w:val="center"/>
              <w:textAlignment w:val="bottom"/>
              <w:rPr>
                <w:rFonts w:eastAsia="SimSun"/>
                <w:sz w:val="24"/>
                <w:szCs w:val="24"/>
                <w:lang w:eastAsia="zh-CN" w:bidi="ar"/>
              </w:rPr>
            </w:pPr>
            <w:r>
              <w:rPr>
                <w:rFonts w:eastAsia="SimSun"/>
                <w:sz w:val="24"/>
                <w:szCs w:val="24"/>
                <w:lang w:eastAsia="zh-CN" w:bidi="ar"/>
              </w:rPr>
              <w:t>82.500,00</w:t>
            </w:r>
          </w:p>
        </w:tc>
      </w:tr>
      <w:tr w14:paraId="0ECF54C1">
        <w:tblPrEx>
          <w:tblCellMar>
            <w:top w:w="0" w:type="dxa"/>
            <w:left w:w="10" w:type="dxa"/>
            <w:bottom w:w="0" w:type="dxa"/>
            <w:right w:w="10" w:type="dxa"/>
          </w:tblCellMar>
        </w:tblPrEx>
        <w:trPr>
          <w:trHeight w:val="376"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6245D5EC">
            <w:pPr>
              <w:jc w:val="center"/>
              <w:textAlignment w:val="bottom"/>
              <w:rPr>
                <w:rFonts w:eastAsia="SimSun"/>
                <w:b/>
                <w:bCs/>
                <w:sz w:val="24"/>
                <w:szCs w:val="24"/>
                <w:lang w:eastAsia="hi-IN" w:bidi="ar"/>
              </w:rPr>
            </w:pPr>
            <w:r>
              <w:rPr>
                <w:rFonts w:eastAsia="SimSun"/>
                <w:b/>
                <w:bCs/>
                <w:sz w:val="24"/>
                <w:szCs w:val="24"/>
                <w:lang w:eastAsia="zh-CN" w:bidi="ar"/>
              </w:rPr>
              <w:t>2</w:t>
            </w:r>
          </w:p>
        </w:tc>
        <w:tc>
          <w:tcPr>
            <w:tcW w:w="5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2C2C980D">
            <w:pPr>
              <w:jc w:val="both"/>
              <w:rPr>
                <w:b/>
                <w:bCs/>
                <w:sz w:val="24"/>
                <w:szCs w:val="24"/>
                <w:lang w:eastAsia="hi-IN"/>
              </w:rPr>
            </w:pPr>
            <w:r>
              <w:rPr>
                <w:sz w:val="24"/>
                <w:szCs w:val="24"/>
              </w:rPr>
              <w:t>Escova Dental Elétrica, sistema de limpeza 2D: oscila e rotaciona, remoção de placa bacteriana com movimentos oscilantes e rotativos, temporizador de 2 minutos, uso de pilhas, troca de refis e registro na Anvisa, garantia 3 meses.</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45D1F1FB">
            <w:pPr>
              <w:jc w:val="center"/>
              <w:textAlignment w:val="bottom"/>
              <w:rPr>
                <w:b/>
                <w:bCs/>
                <w:sz w:val="24"/>
                <w:szCs w:val="24"/>
                <w:lang w:eastAsia="hi-IN"/>
              </w:rPr>
            </w:pPr>
            <w:r>
              <w:rPr>
                <w:b/>
                <w:bCs/>
                <w:sz w:val="24"/>
                <w:szCs w:val="24"/>
              </w:rPr>
              <w:t>200</w:t>
            </w: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223CFA0F">
            <w:pPr>
              <w:jc w:val="center"/>
              <w:textAlignment w:val="bottom"/>
              <w:rPr>
                <w:rFonts w:eastAsia="SimSun"/>
                <w:b/>
                <w:bCs/>
                <w:sz w:val="24"/>
                <w:szCs w:val="24"/>
                <w:lang w:eastAsia="zh-CN" w:bidi="ar"/>
              </w:rPr>
            </w:pPr>
            <w:r>
              <w:rPr>
                <w:rFonts w:eastAsia="SimSun"/>
                <w:b/>
                <w:bCs/>
                <w:sz w:val="24"/>
                <w:szCs w:val="24"/>
                <w:lang w:eastAsia="zh-CN" w:bidi="ar"/>
              </w:rPr>
              <w:t>627857</w:t>
            </w: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1851DD0E">
            <w:pPr>
              <w:jc w:val="center"/>
              <w:textAlignment w:val="bottom"/>
              <w:rPr>
                <w:rFonts w:eastAsia="SimSun"/>
                <w:sz w:val="24"/>
                <w:szCs w:val="24"/>
                <w:lang w:eastAsia="zh-CN" w:bidi="ar"/>
              </w:rPr>
            </w:pPr>
            <w:r>
              <w:rPr>
                <w:rFonts w:eastAsia="SimSun"/>
                <w:sz w:val="24"/>
                <w:szCs w:val="24"/>
                <w:lang w:eastAsia="zh-CN" w:bidi="ar"/>
              </w:rPr>
              <w:t>134,37</w:t>
            </w:r>
          </w:p>
        </w:tc>
        <w:tc>
          <w:tcPr>
            <w:tcW w:w="141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179A2021">
            <w:pPr>
              <w:jc w:val="center"/>
              <w:textAlignment w:val="bottom"/>
              <w:rPr>
                <w:rFonts w:eastAsia="SimSun"/>
                <w:sz w:val="24"/>
                <w:szCs w:val="24"/>
                <w:lang w:eastAsia="zh-CN" w:bidi="ar"/>
              </w:rPr>
            </w:pPr>
            <w:r>
              <w:rPr>
                <w:rFonts w:eastAsia="SimSun"/>
                <w:sz w:val="24"/>
                <w:szCs w:val="24"/>
                <w:lang w:eastAsia="zh-CN" w:bidi="ar"/>
              </w:rPr>
              <w:t>26.874,00</w:t>
            </w:r>
          </w:p>
        </w:tc>
      </w:tr>
      <w:tr w14:paraId="22642539">
        <w:tblPrEx>
          <w:tblCellMar>
            <w:top w:w="0" w:type="dxa"/>
            <w:left w:w="10" w:type="dxa"/>
            <w:bottom w:w="0" w:type="dxa"/>
            <w:right w:w="10" w:type="dxa"/>
          </w:tblCellMar>
        </w:tblPrEx>
        <w:trPr>
          <w:trHeight w:val="376"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42F31D85">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Times New Roman" w:hAnsi="Times New Roman" w:cs="Times New Roman"/>
                <w:szCs w:val="24"/>
              </w:rPr>
            </w:pPr>
          </w:p>
        </w:tc>
        <w:tc>
          <w:tcPr>
            <w:tcW w:w="5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03C05402">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rPr>
                <w:rFonts w:ascii="Times New Roman" w:hAnsi="Times New Roman" w:cs="Times New Roman"/>
                <w:szCs w:val="24"/>
              </w:rPr>
            </w:pPr>
            <w:r>
              <w:rPr>
                <w:rFonts w:ascii="Times New Roman" w:hAnsi="Times New Roman" w:cs="Times New Roman"/>
                <w:color w:val="auto"/>
                <w:szCs w:val="24"/>
              </w:rPr>
              <w:t>TOTAL</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0463784B">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Times New Roman" w:hAnsi="Times New Roman" w:cs="Times New Roman"/>
                <w:szCs w:val="24"/>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770A851F">
            <w:pPr>
              <w:pStyle w:val="19"/>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ascii="Times New Roman" w:hAnsi="Times New Roman" w:cs="Times New Roman"/>
                <w:szCs w:val="24"/>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69A1F916">
            <w:pPr>
              <w:jc w:val="center"/>
              <w:textAlignment w:val="bottom"/>
              <w:rPr>
                <w:rFonts w:eastAsia="SimSun"/>
                <w:sz w:val="24"/>
                <w:szCs w:val="24"/>
                <w:lang w:eastAsia="zh-CN" w:bidi="ar"/>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bottom"/>
          </w:tcPr>
          <w:p w14:paraId="05DDA088">
            <w:pPr>
              <w:jc w:val="center"/>
              <w:textAlignment w:val="bottom"/>
              <w:rPr>
                <w:rFonts w:eastAsia="SimSun"/>
                <w:sz w:val="24"/>
                <w:szCs w:val="24"/>
                <w:lang w:eastAsia="zh-CN" w:bidi="ar"/>
              </w:rPr>
            </w:pPr>
            <w:r>
              <w:rPr>
                <w:rFonts w:eastAsia="SimSun"/>
                <w:sz w:val="24"/>
                <w:szCs w:val="24"/>
                <w:lang w:eastAsia="zh-CN" w:bidi="ar"/>
              </w:rPr>
              <w:t>109.374,00</w:t>
            </w:r>
          </w:p>
        </w:tc>
      </w:tr>
    </w:tbl>
    <w:p w14:paraId="486B59A3">
      <w:pPr>
        <w:jc w:val="both"/>
        <w:rPr>
          <w:rFonts w:eastAsia="Cambria Math"/>
          <w:b/>
          <w:color w:val="0000FF"/>
          <w:sz w:val="24"/>
          <w:szCs w:val="24"/>
        </w:rPr>
      </w:pPr>
    </w:p>
    <w:p w14:paraId="595A9516">
      <w:pPr>
        <w:jc w:val="both"/>
        <w:rPr>
          <w:rFonts w:eastAsia="Cambria Math"/>
          <w:b/>
          <w:color w:val="0000FF"/>
          <w:sz w:val="24"/>
          <w:szCs w:val="24"/>
        </w:rPr>
      </w:pPr>
    </w:p>
    <w:p w14:paraId="031642CA">
      <w:pPr>
        <w:jc w:val="both"/>
        <w:rPr>
          <w:rFonts w:eastAsia="Cambria Math"/>
          <w:b/>
          <w:sz w:val="24"/>
          <w:szCs w:val="24"/>
        </w:rPr>
      </w:pPr>
      <w:r>
        <w:rPr>
          <w:rFonts w:eastAsia="Cambria Math"/>
          <w:b/>
          <w:sz w:val="24"/>
          <w:szCs w:val="24"/>
          <w:lang w:val="en-US"/>
        </w:rPr>
        <w:t>4</w:t>
      </w:r>
      <w:r>
        <w:rPr>
          <w:rFonts w:eastAsia="Cambria Math"/>
          <w:b/>
          <w:sz w:val="24"/>
          <w:szCs w:val="24"/>
        </w:rPr>
        <w:t xml:space="preserve"> – JUSTIFICATIVA</w:t>
      </w:r>
    </w:p>
    <w:p w14:paraId="080CF20A">
      <w:pPr>
        <w:jc w:val="both"/>
        <w:rPr>
          <w:rFonts w:eastAsia="Cambria Math"/>
          <w:b/>
          <w:sz w:val="24"/>
          <w:szCs w:val="24"/>
        </w:rPr>
      </w:pPr>
    </w:p>
    <w:p w14:paraId="73AE1504">
      <w:pPr>
        <w:pStyle w:val="24"/>
        <w:spacing w:before="0" w:after="0" w:line="360" w:lineRule="auto"/>
        <w:jc w:val="both"/>
      </w:pPr>
      <w:r>
        <w:rPr>
          <w:rFonts w:eastAsia="MontserratThin"/>
          <w:lang w:val="en-US" w:eastAsia="zh-CN" w:bidi="ar"/>
        </w:rPr>
        <w:t xml:space="preserve">A </w:t>
      </w:r>
      <w:r>
        <w:rPr>
          <w:rFonts w:eastAsia="MontserratThin"/>
          <w:lang w:eastAsia="zh-CN" w:bidi="ar"/>
        </w:rPr>
        <w:t>a</w:t>
      </w:r>
      <w:r>
        <w:rPr>
          <w:rFonts w:eastAsia="Helvetica"/>
          <w:shd w:val="clear" w:color="auto" w:fill="FFFFFF"/>
          <w:lang w:eastAsia="zh-CN" w:bidi="ar"/>
        </w:rPr>
        <w:t xml:space="preserve">quisição </w:t>
      </w:r>
      <w:r>
        <w:rPr>
          <w:rFonts w:eastAsia="SimSun"/>
        </w:rPr>
        <w:t>de kits bucais e escovas elétricas, destinados ao atendimento das necessidades do Centro de Especialidades Odontológicas (CEO)</w:t>
      </w:r>
      <w:r>
        <w:t>, ocorrerá por meio de pregão eletrônico para registro de preços, visando garantir a disponibilidade de materiais necessários ao desenvolvimento das ações de promoção, prevenção e cuidados em saúde bucal.</w:t>
      </w:r>
    </w:p>
    <w:p w14:paraId="39DDD271">
      <w:pPr>
        <w:pStyle w:val="274"/>
        <w:spacing w:line="360" w:lineRule="auto"/>
        <w:jc w:val="both"/>
        <w:rPr>
          <w:rFonts w:ascii="Times New Roman" w:hAnsi="Times New Roman" w:eastAsia="SimSun" w:cs="Times New Roman"/>
          <w:sz w:val="24"/>
          <w:szCs w:val="24"/>
        </w:rPr>
      </w:pPr>
      <w:r>
        <w:rPr>
          <w:rFonts w:ascii="Times New Roman" w:hAnsi="Times New Roman" w:eastAsia="SimSun" w:cs="Times New Roman"/>
          <w:sz w:val="24"/>
          <w:szCs w:val="24"/>
        </w:rPr>
        <w:t xml:space="preserve">O objeto foi estruturado por itens, contemplando a aquisição de </w:t>
      </w:r>
      <w:r>
        <w:rPr>
          <w:rStyle w:val="11"/>
          <w:rFonts w:ascii="Times New Roman" w:hAnsi="Times New Roman" w:eastAsia="SimSun" w:cs="Times New Roman"/>
          <w:b w:val="0"/>
          <w:sz w:val="24"/>
          <w:szCs w:val="24"/>
        </w:rPr>
        <w:t>escovas elétricas e kits de higiene bucal</w:t>
      </w:r>
      <w:r>
        <w:rPr>
          <w:rFonts w:ascii="Times New Roman" w:hAnsi="Times New Roman" w:eastAsia="SimSun" w:cs="Times New Roman"/>
          <w:sz w:val="24"/>
          <w:szCs w:val="24"/>
        </w:rPr>
        <w:t>, considerando que se tratam de produtos com características, especificações e finalidades distintas. A divisão por itens visa ampliar a competitividade do certame, possibilitando a participação de diferentes fornecedores que comercializem cada produto, sem restringir a disputa àqueles capazes de fornecer a totalidade dos itens. Tal estruturação também favorece a obtenção de condições mais vantajosas para a Administração, observando-se os princípios da competitividade, economicidade e isonomia previstos na Lei nº 14.133/2021.</w:t>
      </w:r>
    </w:p>
    <w:p w14:paraId="0DDF010F">
      <w:pPr>
        <w:pStyle w:val="274"/>
        <w:spacing w:line="360" w:lineRule="auto"/>
        <w:jc w:val="both"/>
        <w:rPr>
          <w:rFonts w:ascii="Times New Roman" w:hAnsi="Times New Roman" w:eastAsia="SimSun" w:cs="Times New Roman"/>
          <w:sz w:val="24"/>
          <w:szCs w:val="24"/>
        </w:rPr>
      </w:pPr>
    </w:p>
    <w:p w14:paraId="3F386548">
      <w:pPr>
        <w:pStyle w:val="274"/>
        <w:spacing w:line="360" w:lineRule="auto"/>
        <w:jc w:val="both"/>
        <w:rPr>
          <w:rFonts w:ascii="Times New Roman" w:hAnsi="Times New Roman" w:eastAsia="Times New Roman" w:cs="Times New Roman"/>
          <w:b/>
          <w:sz w:val="24"/>
          <w:szCs w:val="24"/>
        </w:rPr>
      </w:pPr>
      <w:r>
        <w:rPr>
          <w:rFonts w:ascii="Times New Roman" w:hAnsi="Times New Roman" w:eastAsia="Cambria Math" w:cs="Times New Roman"/>
          <w:b/>
          <w:sz w:val="24"/>
          <w:szCs w:val="24"/>
        </w:rPr>
        <w:t xml:space="preserve">5 - </w:t>
      </w:r>
      <w:r>
        <w:rPr>
          <w:rFonts w:ascii="Times New Roman" w:hAnsi="Times New Roman" w:eastAsia="Times New Roman" w:cs="Times New Roman"/>
          <w:b/>
          <w:sz w:val="24"/>
          <w:szCs w:val="24"/>
        </w:rPr>
        <w:t xml:space="preserve">REQUISITOS DA CONTRATAÇÃO  </w:t>
      </w:r>
    </w:p>
    <w:p w14:paraId="719243E9">
      <w:pPr>
        <w:pStyle w:val="24"/>
        <w:spacing w:before="0" w:after="0" w:line="360" w:lineRule="auto"/>
        <w:jc w:val="both"/>
      </w:pPr>
      <w:r>
        <w:t xml:space="preserve">A contratação deverá contemplar a aquisição de </w:t>
      </w:r>
      <w:r>
        <w:rPr>
          <w:rStyle w:val="11"/>
          <w:b w:val="0"/>
        </w:rPr>
        <w:t>kits bucais e escovas elétricas</w:t>
      </w:r>
      <w:r>
        <w:t xml:space="preserve">, destinados ao atendimento das necessidades do </w:t>
      </w:r>
      <w:r>
        <w:rPr>
          <w:rStyle w:val="11"/>
          <w:b w:val="0"/>
        </w:rPr>
        <w:t>Centro de Especialidades Odontológicas (CEO)</w:t>
      </w:r>
      <w:r>
        <w:t>, observando-se, no mínimo, os seguintes requisitos:</w:t>
      </w:r>
    </w:p>
    <w:p w14:paraId="134429CC">
      <w:pPr>
        <w:spacing w:beforeAutospacing="1" w:afterAutospacing="1" w:line="360" w:lineRule="auto"/>
        <w:jc w:val="both"/>
        <w:rPr>
          <w:sz w:val="24"/>
          <w:szCs w:val="24"/>
        </w:rPr>
      </w:pPr>
      <w:r>
        <w:rPr>
          <w:sz w:val="24"/>
          <w:szCs w:val="24"/>
        </w:rPr>
        <w:t>Os produtos deverão atender integralmente às especificações, características, quantidades e padrões de qualidade definidos pela Administração;</w:t>
      </w:r>
    </w:p>
    <w:p w14:paraId="39043D2B">
      <w:pPr>
        <w:spacing w:beforeAutospacing="1" w:afterAutospacing="1" w:line="360" w:lineRule="auto"/>
        <w:jc w:val="both"/>
        <w:rPr>
          <w:sz w:val="24"/>
          <w:szCs w:val="24"/>
        </w:rPr>
      </w:pPr>
      <w:r>
        <w:rPr>
          <w:sz w:val="24"/>
          <w:szCs w:val="24"/>
        </w:rPr>
        <w:t>Os kits bucais deverão ser compostos pelos itens previstos na especificação do objeto, em condições adequadas de uso e acondicionados de forma a preservar sua integridade;</w:t>
      </w:r>
    </w:p>
    <w:p w14:paraId="72AB6E17">
      <w:pPr>
        <w:spacing w:beforeAutospacing="1" w:afterAutospacing="1" w:line="360" w:lineRule="auto"/>
        <w:jc w:val="both"/>
        <w:rPr>
          <w:sz w:val="24"/>
          <w:szCs w:val="24"/>
        </w:rPr>
      </w:pPr>
      <w:r>
        <w:rPr>
          <w:sz w:val="24"/>
          <w:szCs w:val="24"/>
        </w:rPr>
        <w:t>As escovas elétricas deverão ser novas, sem uso anterior, de fabricação regular e compatíveis com as especificações técnicas estabelecidas no Termo de Referência;</w:t>
      </w:r>
    </w:p>
    <w:p w14:paraId="35AB4F88">
      <w:pPr>
        <w:spacing w:beforeAutospacing="1" w:afterAutospacing="1" w:line="360" w:lineRule="auto"/>
        <w:jc w:val="both"/>
        <w:rPr>
          <w:sz w:val="24"/>
          <w:szCs w:val="24"/>
        </w:rPr>
      </w:pPr>
      <w:r>
        <w:rPr>
          <w:sz w:val="24"/>
          <w:szCs w:val="24"/>
        </w:rPr>
        <w:t>Os produtos deverão apresentar qualidade, segurança, durabilidade e desempenho compatíveis com sua finalidade;</w:t>
      </w:r>
    </w:p>
    <w:p w14:paraId="0816F2E5">
      <w:pPr>
        <w:spacing w:beforeAutospacing="1" w:afterAutospacing="1" w:line="360" w:lineRule="auto"/>
        <w:jc w:val="both"/>
        <w:rPr>
          <w:sz w:val="24"/>
          <w:szCs w:val="24"/>
        </w:rPr>
      </w:pPr>
      <w:r>
        <w:rPr>
          <w:sz w:val="24"/>
          <w:szCs w:val="24"/>
        </w:rPr>
        <w:t>Os materiais deverão ser entregues em embalagens adequadas, devidamente identificadas, íntegras e sem sinais de violação, avarias ou deterioração;</w:t>
      </w:r>
    </w:p>
    <w:p w14:paraId="7370F08A">
      <w:pPr>
        <w:spacing w:beforeAutospacing="1" w:afterAutospacing="1" w:line="360" w:lineRule="auto"/>
        <w:jc w:val="both"/>
        <w:rPr>
          <w:sz w:val="24"/>
          <w:szCs w:val="24"/>
        </w:rPr>
      </w:pPr>
      <w:r>
        <w:rPr>
          <w:sz w:val="24"/>
          <w:szCs w:val="24"/>
        </w:rPr>
        <w:t>Quando aplicável, os produtos deverão possuir registro, regularização ou certificação perante os órgãos competentes, conforme a legislação sanitária e técnica pertinente;</w:t>
      </w:r>
    </w:p>
    <w:p w14:paraId="4EC8C48F">
      <w:pPr>
        <w:spacing w:beforeAutospacing="1" w:afterAutospacing="1" w:line="360" w:lineRule="auto"/>
        <w:jc w:val="both"/>
        <w:rPr>
          <w:sz w:val="24"/>
          <w:szCs w:val="24"/>
        </w:rPr>
      </w:pPr>
      <w:r>
        <w:rPr>
          <w:sz w:val="24"/>
          <w:szCs w:val="24"/>
        </w:rPr>
        <w:t>Os produtos deverão ser entregues dentro do prazo estabelecido pela Administração, no local indicado , acompanhados da respectiva nota fiscal;</w:t>
      </w:r>
    </w:p>
    <w:p w14:paraId="0729877B">
      <w:pPr>
        <w:spacing w:beforeAutospacing="1" w:afterAutospacing="1" w:line="360" w:lineRule="auto"/>
        <w:jc w:val="both"/>
        <w:rPr>
          <w:sz w:val="24"/>
          <w:szCs w:val="24"/>
        </w:rPr>
      </w:pPr>
      <w:r>
        <w:rPr>
          <w:sz w:val="24"/>
          <w:szCs w:val="24"/>
        </w:rPr>
        <w:t>Não serão aceitos produtos em desacordo com as especificações, danificados, vencidos ou que apresentem qualquer condição que comprometa sua utilização;</w:t>
      </w:r>
    </w:p>
    <w:p w14:paraId="5F3F31E1">
      <w:pPr>
        <w:spacing w:beforeAutospacing="1" w:afterAutospacing="1" w:line="360" w:lineRule="auto"/>
        <w:jc w:val="both"/>
        <w:rPr>
          <w:sz w:val="24"/>
          <w:szCs w:val="24"/>
        </w:rPr>
      </w:pPr>
      <w:r>
        <w:rPr>
          <w:sz w:val="24"/>
          <w:szCs w:val="24"/>
        </w:rPr>
        <w:t>A contratada deverá realizar a substituição, sem ônus adicional para a Administração, dos produtos que forem entregues em desconformidade com as especificações ou que apresentem defeitos ou avarias;</w:t>
      </w:r>
    </w:p>
    <w:p w14:paraId="1669676C">
      <w:pPr>
        <w:spacing w:beforeAutospacing="1" w:afterAutospacing="1" w:line="360" w:lineRule="auto"/>
        <w:jc w:val="both"/>
        <w:rPr>
          <w:sz w:val="24"/>
          <w:szCs w:val="24"/>
        </w:rPr>
      </w:pPr>
      <w:r>
        <w:rPr>
          <w:sz w:val="24"/>
          <w:szCs w:val="24"/>
        </w:rPr>
        <w:t>Deverão ser observadas, quando aplicáveis, as normas sanitárias, de segurança, qualidade e demais regulamentações pertinentes ao fornecimento dos produtos;</w:t>
      </w:r>
    </w:p>
    <w:p w14:paraId="64B1562D">
      <w:pPr>
        <w:spacing w:beforeAutospacing="1" w:afterAutospacing="1" w:line="360" w:lineRule="auto"/>
        <w:jc w:val="both"/>
        <w:rPr>
          <w:sz w:val="24"/>
          <w:szCs w:val="24"/>
        </w:rPr>
      </w:pPr>
      <w:r>
        <w:rPr>
          <w:sz w:val="24"/>
          <w:szCs w:val="24"/>
        </w:rPr>
        <w:t>A contratação deverá observar critérios de sustentabilidade, sempre que compatíveis com o objeto, especialmente quanto à redução de embalagens excessivas e à destinação ambientalmente adequada dos resíduos.</w:t>
      </w:r>
    </w:p>
    <w:p w14:paraId="0243E22E">
      <w:pPr>
        <w:pStyle w:val="24"/>
        <w:spacing w:line="360" w:lineRule="auto"/>
        <w:jc w:val="both"/>
      </w:pPr>
      <w:r>
        <w:t xml:space="preserve">Os requisitos estabelecidos são necessários para assegurar que os materiais adquiridos apresentem condições adequadas de </w:t>
      </w:r>
      <w:r>
        <w:rPr>
          <w:rStyle w:val="11"/>
          <w:b w:val="0"/>
        </w:rPr>
        <w:t>qualidade, segurança, funcionalidade e durabilidade</w:t>
      </w:r>
      <w:r>
        <w:t>, garantindo o atendimento regular das atividades desenvolvidas pelo Centro de Especialidades Odontológicas (CEO).</w:t>
      </w:r>
    </w:p>
    <w:p w14:paraId="0148AC6C">
      <w:pPr>
        <w:spacing w:line="360" w:lineRule="auto"/>
        <w:jc w:val="both"/>
        <w:rPr>
          <w:rFonts w:eastAsia="SimSun"/>
          <w:sz w:val="24"/>
          <w:szCs w:val="24"/>
        </w:rPr>
      </w:pPr>
      <w:r>
        <w:rPr>
          <w:rFonts w:eastAsia="SimSun"/>
          <w:sz w:val="24"/>
          <w:szCs w:val="24"/>
        </w:rPr>
        <w:t>. Fornecer garantia dos produtos</w:t>
      </w:r>
    </w:p>
    <w:p w14:paraId="31E0B485">
      <w:pPr>
        <w:spacing w:line="360" w:lineRule="auto"/>
        <w:jc w:val="both"/>
        <w:rPr>
          <w:rFonts w:eastAsia="SimSun"/>
          <w:sz w:val="24"/>
          <w:szCs w:val="24"/>
        </w:rPr>
      </w:pPr>
    </w:p>
    <w:p w14:paraId="5C0B5712">
      <w:pPr>
        <w:spacing w:line="360" w:lineRule="auto"/>
        <w:jc w:val="both"/>
        <w:rPr>
          <w:rFonts w:eastAsia="SimSun"/>
          <w:b/>
          <w:sz w:val="24"/>
          <w:szCs w:val="24"/>
          <w:lang w:eastAsia="zh-CN" w:bidi="ar"/>
        </w:rPr>
      </w:pPr>
      <w:r>
        <w:rPr>
          <w:rFonts w:eastAsia="Cambria Math"/>
          <w:b/>
          <w:sz w:val="24"/>
          <w:szCs w:val="24"/>
          <w:lang w:val="en-US"/>
        </w:rPr>
        <w:t>6</w:t>
      </w:r>
      <w:r>
        <w:rPr>
          <w:rFonts w:eastAsia="Cambria Math"/>
          <w:b/>
          <w:sz w:val="24"/>
          <w:szCs w:val="24"/>
        </w:rPr>
        <w:t xml:space="preserve"> - </w:t>
      </w:r>
      <w:r>
        <w:rPr>
          <w:rFonts w:eastAsia="Cambria Math"/>
          <w:b/>
          <w:sz w:val="24"/>
          <w:szCs w:val="24"/>
          <w:lang w:val="en-US"/>
        </w:rPr>
        <w:t>DA</w:t>
      </w:r>
      <w:r>
        <w:rPr>
          <w:rFonts w:eastAsia="SimSun"/>
          <w:b/>
          <w:sz w:val="24"/>
          <w:szCs w:val="24"/>
          <w:lang w:eastAsia="zh-CN" w:bidi="ar"/>
        </w:rPr>
        <w:t xml:space="preserve"> SUBCONTRATAÇÃO</w:t>
      </w:r>
    </w:p>
    <w:p w14:paraId="3A1821FA">
      <w:pPr>
        <w:pStyle w:val="24"/>
        <w:spacing w:line="360" w:lineRule="auto"/>
        <w:jc w:val="both"/>
      </w:pPr>
      <w:r>
        <w:rPr>
          <w:rStyle w:val="11"/>
          <w:b w:val="0"/>
        </w:rPr>
        <w:t>Não será permitida a subcontratação total ou parcial do objeto contratado</w:t>
      </w:r>
      <w:r>
        <w:t>, não sendo possível à contratada transferir a terceiros qualquer parcela das obrigações assumidas.</w:t>
      </w:r>
    </w:p>
    <w:p w14:paraId="4ADC55C0">
      <w:pPr>
        <w:pStyle w:val="24"/>
        <w:spacing w:line="360" w:lineRule="auto"/>
        <w:jc w:val="both"/>
      </w:pPr>
      <w:r>
        <w:t xml:space="preserve">O descumprimento desta cláusula acarretará sanções previstas na legislação aplicável e poderá ensejar </w:t>
      </w:r>
      <w:r>
        <w:rPr>
          <w:rStyle w:val="11"/>
          <w:b w:val="0"/>
        </w:rPr>
        <w:t>rescisão contratual imediata</w:t>
      </w:r>
      <w:r>
        <w:t>, sem prejuízo das demais penalidades cabíveis e da responsabilidade por perdas e danos.</w:t>
      </w:r>
    </w:p>
    <w:p w14:paraId="01D2901A">
      <w:pPr>
        <w:jc w:val="both"/>
        <w:rPr>
          <w:rFonts w:eastAsia="Cambria Math"/>
          <w:b/>
          <w:sz w:val="24"/>
          <w:szCs w:val="24"/>
        </w:rPr>
      </w:pPr>
      <w:r>
        <w:rPr>
          <w:rFonts w:eastAsia="SimSun"/>
          <w:sz w:val="24"/>
          <w:szCs w:val="24"/>
        </w:rPr>
        <w:t xml:space="preserve"> </w:t>
      </w:r>
      <w:r>
        <w:rPr>
          <w:rFonts w:eastAsia="SimSun"/>
          <w:b/>
          <w:sz w:val="24"/>
          <w:szCs w:val="24"/>
        </w:rPr>
        <w:t>7</w:t>
      </w:r>
      <w:r>
        <w:rPr>
          <w:rFonts w:eastAsia="Cambria Math"/>
          <w:b/>
          <w:sz w:val="24"/>
          <w:szCs w:val="24"/>
        </w:rPr>
        <w:t xml:space="preserve"> - RECEBIMENTO E CRITÉRIO DE ACEITAÇÃO</w:t>
      </w:r>
    </w:p>
    <w:p w14:paraId="05EEF7C3">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O licitante deve proporcionar entrega dos produtos, para atender as necessidades da Secretaria Municipal de Saúde, conforme condições, quantidades, exigências e estimativas a serem estabelecidas neste instrumento e também estabelecidas no Termo de Referência. </w:t>
      </w:r>
    </w:p>
    <w:p w14:paraId="3BA39DCD">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O contratado deverá assumir a responsabilidade por todas as providências e obrigações estabelecidas na legislação específica sobre a qualidade e especificação dos itens que serão entregues. </w:t>
      </w:r>
    </w:p>
    <w:p w14:paraId="0EE9A785">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O contratado deverá fornecer diretamente o objeto, não podendo transferir a responsabilidade pelo objeto demandado para nenhuma outra empresa ou instituição de qualquer natureza. </w:t>
      </w:r>
    </w:p>
    <w:p w14:paraId="34CC4CA5">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O contratado deverá fornecer os produtos de acordo com as normas vigentes, de boa qualidade e de excelente aceitação no mercado.  Os itens deverão possuir garantia contra não conformidades de fabricação, a contar do recebimento definitivo dos mesmos, sendo esta garantia de sua total responsabilidade, inclusive os custos no que tange o transporte da CONTRATANTE à CONTRATADA e seu devido retorno a CONTRATANTE. </w:t>
      </w:r>
    </w:p>
    <w:p w14:paraId="1CA519AE">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O contratado deverá prestar todos os esclarecimentos técnicos que lhe forem solicitados, relacionados com as características dos itens fornecidos. </w:t>
      </w:r>
    </w:p>
    <w:p w14:paraId="04D6E37C">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O contratado deverá arcar com todas as despesas, diretas ou indiretas, decorrentes do fornecimento dos produtos, sem qualquer ônus para a municipalidade. </w:t>
      </w:r>
    </w:p>
    <w:p w14:paraId="42E1B329">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O contratado deverá repetir procedimentos às suas próprias custas para correção de falhas verificadas, principalmente na hipótese de aquisição do objeto em desacordo com as condições pactuadas. </w:t>
      </w:r>
    </w:p>
    <w:p w14:paraId="67A2FEB0">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Os riscos de impactos ocasionados devido a produção nas indústrias, as empresas deverão atentar para as práticas de mitigação dos impactos na produção, em como as lei e Resoluções que orientam a produção sustentável dessas atividades. </w:t>
      </w:r>
    </w:p>
    <w:p w14:paraId="73119B1F">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A aquisição deve considerar as consequências ambientais, sociais e econômicos de: projeto; uso de materiais não renováveis; fabricação e métodos de produção, logística, prestação de serviços; uso, operação, manutenção, reutilização; opções de reciclagem; disposição, e as capacidades dos fornecedores para resolver essas consequências em toda a cadeia de abastecimento. </w:t>
      </w:r>
    </w:p>
    <w:p w14:paraId="0578F7C4">
      <w:pPr>
        <w:spacing w:line="360" w:lineRule="auto"/>
        <w:jc w:val="both"/>
        <w:rPr>
          <w:sz w:val="24"/>
          <w:szCs w:val="24"/>
        </w:rPr>
      </w:pPr>
      <w:r>
        <w:rPr>
          <w:sz w:val="24"/>
          <w:szCs w:val="24"/>
        </w:rPr>
        <w:t>As entregas serão realizadas no Almoxarifado/FMS, localizada na Rua Dom Rodolfo Pena, nº 156, Bairro de Fatima, nesta cidade;</w:t>
      </w:r>
    </w:p>
    <w:p w14:paraId="0CC5C54A">
      <w:pPr>
        <w:jc w:val="both"/>
        <w:rPr>
          <w:rFonts w:eastAsia="Cambria Math"/>
          <w:b/>
          <w:sz w:val="24"/>
          <w:szCs w:val="24"/>
          <w:lang w:val="en-US"/>
        </w:rPr>
      </w:pPr>
      <w:r>
        <w:rPr>
          <w:rFonts w:eastAsia="Cambria Math"/>
          <w:b/>
          <w:sz w:val="24"/>
          <w:szCs w:val="24"/>
          <w:lang w:val="en-US"/>
        </w:rPr>
        <w:t>8</w:t>
      </w:r>
      <w:r>
        <w:rPr>
          <w:rFonts w:eastAsia="Cambria Math"/>
          <w:b/>
          <w:sz w:val="24"/>
          <w:szCs w:val="24"/>
        </w:rPr>
        <w:t xml:space="preserve"> - OBRIGAÇÕES DA </w:t>
      </w:r>
      <w:r>
        <w:rPr>
          <w:rFonts w:eastAsia="Cambria Math"/>
          <w:b/>
          <w:sz w:val="24"/>
          <w:szCs w:val="24"/>
          <w:lang w:val="en-US"/>
        </w:rPr>
        <w:t>CONTRATADA</w:t>
      </w:r>
    </w:p>
    <w:p w14:paraId="1A2E6C5F">
      <w:pPr>
        <w:rPr>
          <w:sz w:val="24"/>
          <w:szCs w:val="24"/>
        </w:rPr>
      </w:pPr>
    </w:p>
    <w:p w14:paraId="02002CBE">
      <w:pPr>
        <w:pStyle w:val="74"/>
        <w:spacing w:after="160" w:line="360" w:lineRule="auto"/>
        <w:jc w:val="both"/>
        <w:rPr>
          <w:rFonts w:ascii="Times New Roman" w:hAnsi="Times New Roman" w:cs="Times New Roman"/>
          <w:color w:val="auto"/>
        </w:rPr>
      </w:pPr>
      <w:r>
        <w:rPr>
          <w:rFonts w:ascii="Times New Roman" w:hAnsi="Times New Roman" w:cs="Times New Roman"/>
          <w:color w:val="auto"/>
        </w:rPr>
        <w:t xml:space="preserve">A Contratada deve cumprir todas as obrigações e executar objeto nas condições previstas, seus anexos e sua proposta, assumindo como exclusivamente seus riscos e as despesas decorrentes da boa e perfeita execução do objeto e, ainda: </w:t>
      </w:r>
    </w:p>
    <w:p w14:paraId="5BC1194A">
      <w:pPr>
        <w:pStyle w:val="74"/>
        <w:spacing w:line="360" w:lineRule="auto"/>
        <w:jc w:val="both"/>
        <w:rPr>
          <w:rFonts w:ascii="Times New Roman" w:hAnsi="Times New Roman" w:cs="Times New Roman"/>
          <w:color w:val="auto"/>
        </w:rPr>
      </w:pPr>
      <w:r>
        <w:rPr>
          <w:rFonts w:ascii="Times New Roman" w:hAnsi="Times New Roman" w:cs="Times New Roman"/>
          <w:color w:val="auto"/>
        </w:rPr>
        <w:t>Executar o serviço contratado, conforme especificações, prazo e local constantes no Termo de Referência, acompanhado da  respectiva nota fiscal;</w:t>
      </w:r>
    </w:p>
    <w:p w14:paraId="19F4026E">
      <w:pPr>
        <w:pStyle w:val="74"/>
        <w:spacing w:after="157" w:line="360" w:lineRule="auto"/>
        <w:jc w:val="both"/>
        <w:rPr>
          <w:rFonts w:ascii="Times New Roman" w:hAnsi="Times New Roman" w:cs="Times New Roman"/>
          <w:color w:val="auto"/>
        </w:rPr>
      </w:pPr>
      <w:r>
        <w:rPr>
          <w:rFonts w:ascii="Times New Roman" w:hAnsi="Times New Roman" w:cs="Times New Roman"/>
          <w:color w:val="auto"/>
        </w:rPr>
        <w:t xml:space="preserve">Responsabilizar-se pelos vícios e danos decorrentes do objeto, de acordo com os artigos 12, 13 e 17 a 27, do Código de Defesa do Consumidor (Lei nº 8.078, de 1990); </w:t>
      </w:r>
    </w:p>
    <w:p w14:paraId="410DF893">
      <w:pPr>
        <w:pStyle w:val="74"/>
        <w:spacing w:after="157" w:line="360" w:lineRule="auto"/>
        <w:jc w:val="both"/>
        <w:rPr>
          <w:rFonts w:ascii="Times New Roman" w:hAnsi="Times New Roman" w:cs="Times New Roman"/>
          <w:color w:val="auto"/>
        </w:rPr>
      </w:pPr>
      <w:r>
        <w:rPr>
          <w:rFonts w:ascii="Times New Roman" w:hAnsi="Times New Roman" w:cs="Times New Roman"/>
          <w:color w:val="auto"/>
        </w:rPr>
        <w:t xml:space="preserve">Responsabilizar-se pelos danos causados diretamente à Administração ou a terceiros, decorrentes de sua culpa ou dolo na execução do contrato, não excluindo ou reduzindo essa responsabilidade à fiscalização ou o acompanhamento; </w:t>
      </w:r>
    </w:p>
    <w:p w14:paraId="5005E53C">
      <w:pPr>
        <w:pStyle w:val="74"/>
        <w:spacing w:after="157" w:line="360" w:lineRule="auto"/>
        <w:jc w:val="both"/>
        <w:rPr>
          <w:rFonts w:ascii="Times New Roman" w:hAnsi="Times New Roman" w:cs="Times New Roman"/>
          <w:color w:val="auto"/>
        </w:rPr>
      </w:pPr>
      <w:r>
        <w:rPr>
          <w:rFonts w:ascii="Times New Roman" w:hAnsi="Times New Roman" w:cs="Times New Roman"/>
          <w:color w:val="auto"/>
        </w:rPr>
        <w:t xml:space="preserve">Manter durante toda a execução do contrato, todas as condições de habilitação e qualificação exigidas para a licitação; </w:t>
      </w:r>
    </w:p>
    <w:p w14:paraId="0D3813BB">
      <w:pPr>
        <w:pStyle w:val="74"/>
        <w:spacing w:line="360" w:lineRule="auto"/>
        <w:jc w:val="both"/>
        <w:rPr>
          <w:rFonts w:ascii="Times New Roman" w:hAnsi="Times New Roman" w:cs="Times New Roman"/>
          <w:color w:val="auto"/>
        </w:rPr>
      </w:pPr>
      <w:r>
        <w:rPr>
          <w:rFonts w:ascii="Times New Roman" w:hAnsi="Times New Roman" w:cs="Times New Roman"/>
          <w:color w:val="auto"/>
        </w:rPr>
        <w:t>Responder pelos encargos trabalhistas, previdenciários, fiscais e comerciais.</w:t>
      </w:r>
    </w:p>
    <w:p w14:paraId="3B5993BF">
      <w:pPr>
        <w:pStyle w:val="74"/>
        <w:spacing w:line="360" w:lineRule="auto"/>
        <w:jc w:val="both"/>
        <w:rPr>
          <w:rFonts w:ascii="Times New Roman" w:hAnsi="Times New Roman" w:cs="Times New Roman"/>
          <w:color w:val="auto"/>
        </w:rPr>
      </w:pPr>
    </w:p>
    <w:p w14:paraId="7685E3AB">
      <w:pPr>
        <w:jc w:val="both"/>
        <w:rPr>
          <w:rFonts w:eastAsia="Cambria Math"/>
          <w:b/>
          <w:sz w:val="24"/>
          <w:szCs w:val="24"/>
        </w:rPr>
      </w:pPr>
      <w:r>
        <w:rPr>
          <w:rFonts w:eastAsia="Cambria Math"/>
          <w:b/>
          <w:sz w:val="24"/>
          <w:szCs w:val="24"/>
          <w:lang w:val="en-US"/>
        </w:rPr>
        <w:t>9</w:t>
      </w:r>
      <w:r>
        <w:rPr>
          <w:rFonts w:eastAsia="Cambria Math"/>
          <w:b/>
          <w:sz w:val="24"/>
          <w:szCs w:val="24"/>
        </w:rPr>
        <w:t xml:space="preserve"> - OBRIGAÇÕES DA CONTRATANTE</w:t>
      </w:r>
    </w:p>
    <w:p w14:paraId="097C1CCC">
      <w:pPr>
        <w:jc w:val="both"/>
        <w:rPr>
          <w:sz w:val="24"/>
          <w:szCs w:val="24"/>
        </w:rPr>
      </w:pPr>
    </w:p>
    <w:p w14:paraId="79697361">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Disponibilizar profissional específico, para acompanhar a execução do objeto licitado; </w:t>
      </w:r>
    </w:p>
    <w:p w14:paraId="5D7C560F">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Encaminhar formalmente a demanda, de acordo com os critérios estabelecidos no Termo de Referência; </w:t>
      </w:r>
    </w:p>
    <w:p w14:paraId="05FE672D">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Verificar se o objeto contratado se encontra em conformidade com a proposta, conforme inspeções realizadas no prazo e condições estabelecidas no Edital e seus anexos; </w:t>
      </w:r>
    </w:p>
    <w:p w14:paraId="0BC8E824">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Comunicar à contratada, por escrito, sobre imperfeições, falhas ou irregularidades verificadas; </w:t>
      </w:r>
    </w:p>
    <w:p w14:paraId="357E68CC">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Acompanhar e fiscalizar o cumprimento das obrigações servidor especialmente designado; </w:t>
      </w:r>
    </w:p>
    <w:p w14:paraId="4D872B08">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Aplicar as sanções administrativas regulamentares e contratuais cabíveis; </w:t>
      </w:r>
    </w:p>
    <w:p w14:paraId="558AB257">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Efetuar o pagamento do objeto, no prazo e forma estabelecidos no Edital e seus anexos; </w:t>
      </w:r>
    </w:p>
    <w:p w14:paraId="44E884AE">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A Administração não responderá por quaisquer compromissos assumidos pela com terceiros, ainda que vinculados à execução do presente Termo de Contrato, bem como por qualquer dano causado a terceiros em decorrência de ato da Contratada, de seus empregados, prepostos ou subordinados; </w:t>
      </w:r>
    </w:p>
    <w:p w14:paraId="2736CF38">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Nos termos do art. 117 Lei nº 14.133/21,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 </w:t>
      </w:r>
    </w:p>
    <w:p w14:paraId="7CB8602C">
      <w:pPr>
        <w:pStyle w:val="74"/>
        <w:spacing w:line="360" w:lineRule="auto"/>
        <w:jc w:val="both"/>
        <w:rPr>
          <w:rFonts w:ascii="Times New Roman" w:hAnsi="Times New Roman" w:cs="Times New Roman"/>
          <w:color w:val="auto"/>
        </w:rPr>
      </w:pPr>
      <w:r>
        <w:rPr>
          <w:rFonts w:ascii="Times New Roman" w:hAnsi="Times New Roman" w:cs="Times New Roman"/>
          <w:color w:val="auto"/>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484E671A">
      <w:pPr>
        <w:pStyle w:val="74"/>
        <w:ind w:firstLine="708"/>
        <w:jc w:val="both"/>
        <w:rPr>
          <w:rFonts w:ascii="Times New Roman" w:hAnsi="Times New Roman" w:cs="Times New Roman"/>
          <w:color w:val="0000FF"/>
        </w:rPr>
      </w:pPr>
    </w:p>
    <w:p w14:paraId="02D638AD">
      <w:pPr>
        <w:pStyle w:val="74"/>
        <w:rPr>
          <w:rFonts w:ascii="Times New Roman" w:hAnsi="Times New Roman" w:cs="Times New Roman"/>
          <w:color w:val="auto"/>
        </w:rPr>
      </w:pPr>
      <w:r>
        <w:rPr>
          <w:rFonts w:ascii="Times New Roman" w:hAnsi="Times New Roman" w:eastAsia="Cambria Math" w:cs="Times New Roman"/>
          <w:b/>
          <w:color w:val="auto"/>
          <w:lang w:val="en-US" w:eastAsia="pt-BR"/>
        </w:rPr>
        <w:t>10</w:t>
      </w:r>
      <w:r>
        <w:rPr>
          <w:rFonts w:ascii="Times New Roman" w:hAnsi="Times New Roman" w:eastAsia="Cambria Math" w:cs="Times New Roman"/>
          <w:b/>
          <w:color w:val="auto"/>
          <w:lang w:eastAsia="pt-BR"/>
        </w:rPr>
        <w:t xml:space="preserve"> - </w:t>
      </w:r>
      <w:r>
        <w:rPr>
          <w:rFonts w:ascii="Times New Roman" w:hAnsi="Times New Roman" w:cs="Times New Roman"/>
          <w:b/>
          <w:bCs/>
          <w:color w:val="auto"/>
        </w:rPr>
        <w:t xml:space="preserve">FORMA E CRITÉRIO DE SELEÇÃO DO FORNECEDOR </w:t>
      </w:r>
    </w:p>
    <w:p w14:paraId="6F48EB5C">
      <w:pPr>
        <w:pStyle w:val="74"/>
        <w:rPr>
          <w:rFonts w:ascii="Times New Roman" w:hAnsi="Times New Roman" w:cs="Times New Roman"/>
          <w:color w:val="auto"/>
        </w:rPr>
      </w:pPr>
    </w:p>
    <w:p w14:paraId="5B7A1033">
      <w:pPr>
        <w:spacing w:line="360" w:lineRule="auto"/>
        <w:jc w:val="both"/>
        <w:rPr>
          <w:sz w:val="24"/>
          <w:szCs w:val="24"/>
        </w:rPr>
      </w:pPr>
      <w:r>
        <w:rPr>
          <w:sz w:val="24"/>
          <w:szCs w:val="24"/>
        </w:rPr>
        <w:t xml:space="preserve">Forma de seleção e critério de julgamento da </w:t>
      </w:r>
      <w:r>
        <w:rPr>
          <w:spacing w:val="-2"/>
          <w:sz w:val="24"/>
          <w:szCs w:val="24"/>
        </w:rPr>
        <w:t>proposta</w:t>
      </w:r>
    </w:p>
    <w:p w14:paraId="74CC54F5">
      <w:pPr>
        <w:spacing w:line="360" w:lineRule="auto"/>
        <w:jc w:val="both"/>
        <w:rPr>
          <w:sz w:val="24"/>
          <w:szCs w:val="24"/>
        </w:rPr>
      </w:pPr>
      <w:r>
        <w:rPr>
          <w:sz w:val="24"/>
          <w:szCs w:val="24"/>
        </w:rPr>
        <w:t>O fornecedor será selecionado por meio de Pregão Eletrônico para Registro de Preços.</w:t>
      </w:r>
    </w:p>
    <w:p w14:paraId="5DE43270">
      <w:pPr>
        <w:spacing w:line="360" w:lineRule="auto"/>
        <w:jc w:val="both"/>
        <w:rPr>
          <w:sz w:val="24"/>
          <w:szCs w:val="24"/>
        </w:rPr>
      </w:pPr>
      <w:r>
        <w:rPr>
          <w:sz w:val="24"/>
          <w:szCs w:val="24"/>
        </w:rPr>
        <w:t xml:space="preserve">A aquisição será mediante a assinatura do contrato e emissão da nota de empenho, conforme necessidade desta </w:t>
      </w:r>
      <w:r>
        <w:rPr>
          <w:spacing w:val="-2"/>
          <w:sz w:val="24"/>
          <w:szCs w:val="24"/>
        </w:rPr>
        <w:t>secretaria</w:t>
      </w:r>
    </w:p>
    <w:p w14:paraId="166FE136">
      <w:pPr>
        <w:spacing w:line="360" w:lineRule="auto"/>
        <w:jc w:val="both"/>
        <w:rPr>
          <w:sz w:val="24"/>
          <w:szCs w:val="24"/>
        </w:rPr>
      </w:pPr>
      <w:r>
        <w:rPr>
          <w:sz w:val="24"/>
          <w:szCs w:val="24"/>
        </w:rPr>
        <w:t xml:space="preserve">Exigências de </w:t>
      </w:r>
      <w:r>
        <w:rPr>
          <w:spacing w:val="-2"/>
          <w:sz w:val="24"/>
          <w:szCs w:val="24"/>
        </w:rPr>
        <w:t>habilitação</w:t>
      </w:r>
    </w:p>
    <w:p w14:paraId="5D1F8505">
      <w:pPr>
        <w:spacing w:line="360" w:lineRule="auto"/>
        <w:jc w:val="both"/>
        <w:rPr>
          <w:sz w:val="24"/>
          <w:szCs w:val="24"/>
        </w:rPr>
      </w:pPr>
      <w:r>
        <w:rPr>
          <w:sz w:val="24"/>
          <w:szCs w:val="24"/>
        </w:rPr>
        <w:t xml:space="preserve">Para fins de habilitação, deverá o licitante comprovar os seguintes </w:t>
      </w:r>
      <w:r>
        <w:rPr>
          <w:spacing w:val="-2"/>
          <w:sz w:val="24"/>
          <w:szCs w:val="24"/>
        </w:rPr>
        <w:t>requisitos:</w:t>
      </w:r>
    </w:p>
    <w:p w14:paraId="1D3EF7B2">
      <w:pPr>
        <w:spacing w:line="360" w:lineRule="auto"/>
        <w:jc w:val="both"/>
        <w:rPr>
          <w:sz w:val="24"/>
          <w:szCs w:val="24"/>
        </w:rPr>
      </w:pPr>
      <w:r>
        <w:rPr>
          <w:sz w:val="24"/>
          <w:szCs w:val="24"/>
        </w:rPr>
        <w:t xml:space="preserve">Habilitação </w:t>
      </w:r>
      <w:r>
        <w:rPr>
          <w:spacing w:val="-2"/>
          <w:sz w:val="24"/>
          <w:szCs w:val="24"/>
        </w:rPr>
        <w:t>jurídica</w:t>
      </w:r>
    </w:p>
    <w:p w14:paraId="13B12A34">
      <w:pPr>
        <w:spacing w:line="360" w:lineRule="auto"/>
        <w:jc w:val="both"/>
        <w:rPr>
          <w:sz w:val="24"/>
          <w:szCs w:val="24"/>
        </w:rPr>
      </w:pPr>
      <w:r>
        <w:rPr>
          <w:b/>
          <w:sz w:val="24"/>
          <w:szCs w:val="24"/>
        </w:rPr>
        <w:t xml:space="preserve">Microempreendedor Individual - MEI: </w:t>
      </w:r>
      <w:r>
        <w:rPr>
          <w:sz w:val="24"/>
          <w:szCs w:val="24"/>
        </w:rPr>
        <w:t xml:space="preserve">Certificado da Condição de Microempreendedor Individual - CCMEI, cuja aceitação ficará condicionada à verificação da autenticidade no sítio </w:t>
      </w:r>
      <w:r>
        <w:fldChar w:fldCharType="begin"/>
      </w:r>
      <w:r>
        <w:instrText xml:space="preserve"> HYPERLINK "http://www.gov.br/empresas-e-negocios/pt-br/empreendedor%3B" \h </w:instrText>
      </w:r>
      <w:r>
        <w:fldChar w:fldCharType="separate"/>
      </w:r>
      <w:r>
        <w:rPr>
          <w:sz w:val="24"/>
          <w:szCs w:val="24"/>
        </w:rPr>
        <w:t>https://www.gov.br/empresas-e-negocios/pt-br/empreendedor;</w:t>
      </w:r>
      <w:r>
        <w:rPr>
          <w:sz w:val="24"/>
          <w:szCs w:val="24"/>
        </w:rPr>
        <w:fldChar w:fldCharType="end"/>
      </w:r>
    </w:p>
    <w:p w14:paraId="0EACCBC2">
      <w:pPr>
        <w:spacing w:line="360" w:lineRule="auto"/>
        <w:jc w:val="both"/>
        <w:rPr>
          <w:sz w:val="24"/>
          <w:szCs w:val="24"/>
        </w:rPr>
      </w:pPr>
      <w:r>
        <w:rPr>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w:t>
      </w:r>
      <w:r>
        <w:rPr>
          <w:spacing w:val="-2"/>
          <w:sz w:val="24"/>
          <w:szCs w:val="24"/>
        </w:rPr>
        <w:t>administradores;</w:t>
      </w:r>
    </w:p>
    <w:p w14:paraId="1611942A">
      <w:pPr>
        <w:spacing w:line="360" w:lineRule="auto"/>
        <w:jc w:val="both"/>
        <w:rPr>
          <w:sz w:val="24"/>
          <w:szCs w:val="24"/>
        </w:rPr>
      </w:pPr>
      <w:r>
        <w:rPr>
          <w:b/>
          <w:sz w:val="24"/>
          <w:szCs w:val="24"/>
        </w:rPr>
        <w:t xml:space="preserve">Sociedade empresária estrangeira: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B6DDC0F">
      <w:pPr>
        <w:spacing w:line="360" w:lineRule="auto"/>
        <w:jc w:val="both"/>
        <w:rPr>
          <w:sz w:val="24"/>
          <w:szCs w:val="24"/>
        </w:rPr>
      </w:pPr>
      <w:r>
        <w:rPr>
          <w:b/>
          <w:sz w:val="24"/>
          <w:szCs w:val="24"/>
        </w:rPr>
        <w:t xml:space="preserve">Sociedade simples: </w:t>
      </w:r>
      <w:r>
        <w:rPr>
          <w:sz w:val="24"/>
          <w:szCs w:val="24"/>
        </w:rPr>
        <w:t>inscrição do ato constitutivo no Registro Civil de Pessoas Jurídicas do local de sua sede, acompanhada de documento comprobatório de seus administradores;</w:t>
      </w:r>
    </w:p>
    <w:p w14:paraId="00A00C43">
      <w:pPr>
        <w:spacing w:line="360" w:lineRule="auto"/>
        <w:jc w:val="both"/>
        <w:rPr>
          <w:sz w:val="24"/>
          <w:szCs w:val="24"/>
        </w:rPr>
      </w:pPr>
      <w:r>
        <w:rPr>
          <w:b/>
          <w:sz w:val="24"/>
          <w:szCs w:val="24"/>
        </w:rPr>
        <w:t xml:space="preserve">Filial, sucursal ou agência de sociedade simples ou empresária: </w:t>
      </w:r>
      <w:r>
        <w:rPr>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7030D88">
      <w:pPr>
        <w:spacing w:line="360" w:lineRule="auto"/>
        <w:jc w:val="both"/>
        <w:rPr>
          <w:sz w:val="24"/>
          <w:szCs w:val="24"/>
        </w:rPr>
      </w:pPr>
      <w:r>
        <w:rPr>
          <w:b/>
          <w:sz w:val="24"/>
          <w:szCs w:val="24"/>
        </w:rPr>
        <w:t xml:space="preserve">Sociedade cooperativa: </w:t>
      </w:r>
      <w:r>
        <w:rPr>
          <w:sz w:val="24"/>
          <w:szCs w:val="24"/>
        </w:rPr>
        <w:t>ata de fundação e estatuto social, com a ata da assembleia que o aprovou, devidamente arquivado na Junta Comercial ou inscrito no Registro Civil das Pessoas Jurídicas da respectiva sede além doregistrodequetrataoart.107daLeinº5.764, de 16 de dezembro 1971.</w:t>
      </w:r>
    </w:p>
    <w:p w14:paraId="6B2ACDCE">
      <w:pPr>
        <w:spacing w:line="360" w:lineRule="auto"/>
        <w:jc w:val="both"/>
        <w:rPr>
          <w:b/>
          <w:spacing w:val="-2"/>
          <w:sz w:val="24"/>
          <w:szCs w:val="24"/>
        </w:rPr>
      </w:pPr>
      <w:r>
        <w:rPr>
          <w:b/>
          <w:sz w:val="24"/>
          <w:szCs w:val="24"/>
        </w:rPr>
        <w:t xml:space="preserve">Habilitação fiscal, social e </w:t>
      </w:r>
      <w:r>
        <w:rPr>
          <w:b/>
          <w:spacing w:val="-2"/>
          <w:sz w:val="24"/>
          <w:szCs w:val="24"/>
        </w:rPr>
        <w:t xml:space="preserve">trabalhista   </w:t>
      </w:r>
    </w:p>
    <w:p w14:paraId="64265467">
      <w:pPr>
        <w:spacing w:line="360" w:lineRule="auto"/>
        <w:jc w:val="both"/>
        <w:rPr>
          <w:sz w:val="24"/>
          <w:szCs w:val="24"/>
        </w:rPr>
      </w:pPr>
      <w:r>
        <w:rPr>
          <w:sz w:val="24"/>
          <w:szCs w:val="24"/>
        </w:rPr>
        <w:t xml:space="preserve">Prova de inscrição no Cadastro Nacional de Pessoas </w:t>
      </w:r>
      <w:r>
        <w:rPr>
          <w:spacing w:val="-2"/>
          <w:sz w:val="24"/>
          <w:szCs w:val="24"/>
        </w:rPr>
        <w:t>Jurídicas;</w:t>
      </w:r>
    </w:p>
    <w:p w14:paraId="2D80DFB1">
      <w:pPr>
        <w:spacing w:line="360" w:lineRule="auto"/>
        <w:jc w:val="both"/>
        <w:rPr>
          <w:spacing w:val="-2"/>
          <w:sz w:val="24"/>
          <w:szCs w:val="24"/>
        </w:rPr>
      </w:pPr>
      <w:r>
        <w:rPr>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nº1.751, de 02 de outubro de 2014, do Secretário da Receita Federal do Brasil e da Procuradora-Geral da Fazenda </w:t>
      </w:r>
      <w:r>
        <w:rPr>
          <w:spacing w:val="-2"/>
          <w:sz w:val="24"/>
          <w:szCs w:val="24"/>
        </w:rPr>
        <w:t>Nacional.</w:t>
      </w:r>
    </w:p>
    <w:p w14:paraId="44124ED6">
      <w:pPr>
        <w:spacing w:line="360" w:lineRule="auto"/>
        <w:jc w:val="both"/>
        <w:rPr>
          <w:sz w:val="24"/>
          <w:szCs w:val="24"/>
        </w:rPr>
      </w:pPr>
      <w:r>
        <w:rPr>
          <w:sz w:val="24"/>
          <w:szCs w:val="24"/>
        </w:rPr>
        <w:t xml:space="preserve">Prova de regularidade com o Fundo de Garantia do Tempo de Serviço </w:t>
      </w:r>
      <w:r>
        <w:rPr>
          <w:spacing w:val="-2"/>
          <w:sz w:val="24"/>
          <w:szCs w:val="24"/>
        </w:rPr>
        <w:t>(FGTS);</w:t>
      </w:r>
    </w:p>
    <w:p w14:paraId="0D6730CD">
      <w:pPr>
        <w:spacing w:line="360" w:lineRule="auto"/>
        <w:jc w:val="both"/>
        <w:rPr>
          <w:sz w:val="24"/>
          <w:szCs w:val="24"/>
        </w:rPr>
      </w:pPr>
      <w:r>
        <w:rPr>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de1ºde maio de 1943;</w:t>
      </w:r>
    </w:p>
    <w:p w14:paraId="4AC7DFC5">
      <w:pPr>
        <w:spacing w:line="360" w:lineRule="auto"/>
        <w:jc w:val="both"/>
        <w:rPr>
          <w:sz w:val="24"/>
          <w:szCs w:val="24"/>
        </w:rPr>
      </w:pPr>
      <w:r>
        <w:rPr>
          <w:sz w:val="24"/>
          <w:szCs w:val="24"/>
        </w:rPr>
        <w:t xml:space="preserve">Prova de inscrição no cadastro de contribuintes </w:t>
      </w:r>
      <w:r>
        <w:rPr>
          <w:i/>
          <w:sz w:val="24"/>
          <w:szCs w:val="24"/>
        </w:rPr>
        <w:t xml:space="preserve">[Estadual/Distrital] </w:t>
      </w:r>
      <w:r>
        <w:rPr>
          <w:sz w:val="24"/>
          <w:szCs w:val="24"/>
        </w:rPr>
        <w:t xml:space="preserve">e </w:t>
      </w:r>
      <w:r>
        <w:rPr>
          <w:i/>
          <w:spacing w:val="-2"/>
          <w:sz w:val="24"/>
          <w:szCs w:val="24"/>
        </w:rPr>
        <w:t>[Municipal/Distrital]</w:t>
      </w:r>
    </w:p>
    <w:p w14:paraId="70E0645A">
      <w:pPr>
        <w:spacing w:line="360" w:lineRule="auto"/>
        <w:jc w:val="both"/>
        <w:rPr>
          <w:sz w:val="24"/>
          <w:szCs w:val="24"/>
        </w:rPr>
      </w:pPr>
      <w:r>
        <w:rPr>
          <w:sz w:val="24"/>
          <w:szCs w:val="24"/>
        </w:rPr>
        <w:t>Relativo ao domicílio ou sede do fornecedor, pertinente ao seu ramo de atividade e compatível com o objeto contratual;</w:t>
      </w:r>
    </w:p>
    <w:p w14:paraId="6B76BE17">
      <w:pPr>
        <w:spacing w:line="360" w:lineRule="auto"/>
        <w:jc w:val="both"/>
        <w:rPr>
          <w:sz w:val="24"/>
          <w:szCs w:val="24"/>
        </w:rPr>
      </w:pPr>
      <w:r>
        <w:rPr>
          <w:sz w:val="24"/>
          <w:szCs w:val="24"/>
        </w:rPr>
        <w:t xml:space="preserve">Prova de regularidade com a Fazenda </w:t>
      </w:r>
      <w:r>
        <w:rPr>
          <w:i/>
          <w:sz w:val="24"/>
          <w:szCs w:val="24"/>
        </w:rPr>
        <w:t xml:space="preserve">Estadual/Distrital e Municipal/Distrital </w:t>
      </w:r>
      <w:r>
        <w:rPr>
          <w:sz w:val="24"/>
          <w:szCs w:val="24"/>
        </w:rPr>
        <w:t>do domicílio ou sede do fornecedor, relativa à atividade em cujo exercício contrata ou concorre;</w:t>
      </w:r>
    </w:p>
    <w:p w14:paraId="456759B0">
      <w:pPr>
        <w:spacing w:line="360" w:lineRule="auto"/>
        <w:jc w:val="both"/>
        <w:rPr>
          <w:sz w:val="24"/>
          <w:szCs w:val="24"/>
        </w:rPr>
      </w:pPr>
      <w:r>
        <w:rPr>
          <w:sz w:val="24"/>
          <w:szCs w:val="24"/>
        </w:rPr>
        <w:t xml:space="preserve">Caso o fornecedor seja considerado isento dos tributos </w:t>
      </w:r>
      <w:r>
        <w:rPr>
          <w:i/>
          <w:sz w:val="24"/>
          <w:szCs w:val="24"/>
        </w:rPr>
        <w:t xml:space="preserve">[Estadual/Distrital] e [Municipal/Distrital] </w:t>
      </w:r>
      <w:r>
        <w:rPr>
          <w:sz w:val="24"/>
          <w:szCs w:val="24"/>
        </w:rPr>
        <w:t>relacionados ao objeto contratual, deverá comprovar tal condição mediante a apresentação de declaração da Fazenda respectiva do seu domicílio ou sede, ou outra equivalente, na forma da lei.</w:t>
      </w:r>
    </w:p>
    <w:p w14:paraId="28E88CFB">
      <w:pPr>
        <w:spacing w:line="360" w:lineRule="auto"/>
        <w:jc w:val="both"/>
        <w:rPr>
          <w:sz w:val="24"/>
          <w:szCs w:val="24"/>
        </w:rPr>
      </w:pPr>
      <w:r>
        <w:rPr>
          <w:sz w:val="24"/>
          <w:szCs w:val="24"/>
        </w:rPr>
        <w:t>O fornecedor enquadrado como microempreendedor individual que pretenda auferir os benefícios do tratamento diferenciado previstos na Lei Complementar n.123, de 2006, estará dispensado da prova de inscrição nos cadastros de contribuintes estadual e municipal.</w:t>
      </w:r>
    </w:p>
    <w:p w14:paraId="7C753D11">
      <w:pPr>
        <w:spacing w:line="360" w:lineRule="auto"/>
        <w:jc w:val="both"/>
        <w:rPr>
          <w:sz w:val="24"/>
          <w:szCs w:val="24"/>
        </w:rPr>
      </w:pPr>
      <w:r>
        <w:rPr>
          <w:sz w:val="24"/>
          <w:szCs w:val="24"/>
        </w:rPr>
        <w:t>Qualificação Tecnica</w:t>
      </w:r>
    </w:p>
    <w:p w14:paraId="38B4A4BF">
      <w:pPr>
        <w:pStyle w:val="20"/>
        <w:rPr>
          <w:rFonts w:ascii="Times New Roman" w:hAnsi="Times New Roman" w:cs="Times New Roman"/>
        </w:rPr>
      </w:pPr>
      <w:r>
        <w:rPr>
          <w:rFonts w:ascii="Times New Roman" w:hAnsi="Times New Roman" w:cs="Times New Roman"/>
        </w:rPr>
        <w:t xml:space="preserve">Comprovação através da apresentação de atestado(s) fornecido(s) por pessoa jurídica de direito público ou privado de que atua no ramo de atividade do fornecimento do objeto desta licitação e de que cumpriu, ou vem cumprindo, integralmente e de modo satisfatório Contrato anteriormente mantido com o emitente do atestado; </w:t>
      </w:r>
    </w:p>
    <w:p w14:paraId="0520F8B3">
      <w:pPr>
        <w:pStyle w:val="20"/>
        <w:spacing w:line="360" w:lineRule="auto"/>
        <w:rPr>
          <w:rFonts w:ascii="Times New Roman" w:hAnsi="Times New Roman" w:cs="Times New Roman"/>
        </w:rPr>
      </w:pPr>
      <w:r>
        <w:rPr>
          <w:rFonts w:ascii="Times New Roman" w:hAnsi="Times New Roman" w:cs="Times New Roman"/>
        </w:rPr>
        <w:t>Alvará Sanitário atualizado emitido por Orgão de Vigilância Sanitária do Municipio da empresa licitante</w:t>
      </w:r>
      <w:r>
        <w:rPr>
          <w:rFonts w:ascii="Times New Roman" w:hAnsi="Times New Roman" w:cs="Times New Roman"/>
          <w:lang w:val="pt-BR"/>
        </w:rPr>
        <w:t>;</w:t>
      </w:r>
    </w:p>
    <w:p w14:paraId="5CF19F2D">
      <w:pPr>
        <w:rPr>
          <w:sz w:val="24"/>
          <w:szCs w:val="24"/>
        </w:rPr>
      </w:pPr>
      <w:r>
        <w:rPr>
          <w:rStyle w:val="11"/>
          <w:b w:val="0"/>
          <w:sz w:val="24"/>
          <w:szCs w:val="24"/>
        </w:rPr>
        <w:t xml:space="preserve">Registro ou cadastro do produto na ANVISA </w:t>
      </w:r>
      <w:r>
        <w:rPr>
          <w:sz w:val="24"/>
          <w:szCs w:val="24"/>
        </w:rPr>
        <w:t>ou comprovação de dispensa, se aplicável</w:t>
      </w:r>
    </w:p>
    <w:p w14:paraId="3C746B5F">
      <w:pPr>
        <w:rPr>
          <w:sz w:val="24"/>
          <w:szCs w:val="24"/>
        </w:rPr>
      </w:pPr>
      <w:r>
        <w:rPr>
          <w:rStyle w:val="11"/>
          <w:b w:val="0"/>
          <w:sz w:val="24"/>
          <w:szCs w:val="24"/>
        </w:rPr>
        <w:t>Autorização de Funcionamento de Empresa (AFE)</w:t>
      </w:r>
      <w:r>
        <w:rPr>
          <w:sz w:val="24"/>
          <w:szCs w:val="24"/>
        </w:rPr>
        <w:t xml:space="preserve"> emitida pela ANVISA, </w:t>
      </w:r>
      <w:r>
        <w:rPr>
          <w:rStyle w:val="11"/>
          <w:b w:val="0"/>
          <w:sz w:val="24"/>
          <w:szCs w:val="24"/>
        </w:rPr>
        <w:t>somente quando exigível pela legislação sanitária para os produtos objeto da contratação</w:t>
      </w:r>
      <w:r>
        <w:rPr>
          <w:sz w:val="24"/>
          <w:szCs w:val="24"/>
        </w:rPr>
        <w:t xml:space="preserve">. </w:t>
      </w:r>
    </w:p>
    <w:p w14:paraId="5947F62C">
      <w:pPr>
        <w:pStyle w:val="74"/>
        <w:ind w:firstLine="708"/>
        <w:jc w:val="both"/>
        <w:rPr>
          <w:rFonts w:ascii="Times New Roman" w:hAnsi="Times New Roman" w:cs="Times New Roman"/>
          <w:color w:val="0000FF"/>
        </w:rPr>
      </w:pPr>
    </w:p>
    <w:p w14:paraId="38BBEDF2">
      <w:pPr>
        <w:pStyle w:val="74"/>
        <w:rPr>
          <w:rFonts w:ascii="Times New Roman" w:hAnsi="Times New Roman" w:cs="Times New Roman"/>
          <w:b/>
          <w:color w:val="auto"/>
        </w:rPr>
      </w:pPr>
      <w:r>
        <w:rPr>
          <w:rFonts w:ascii="Times New Roman" w:hAnsi="Times New Roman" w:cs="Times New Roman"/>
          <w:b/>
          <w:color w:val="auto"/>
        </w:rPr>
        <w:t>11 - DOTAÇÃO ORÇAMENTÁRIA</w:t>
      </w:r>
    </w:p>
    <w:p w14:paraId="1CA42F56">
      <w:pPr>
        <w:pStyle w:val="74"/>
        <w:rPr>
          <w:rFonts w:ascii="Times New Roman" w:hAnsi="Times New Roman" w:cs="Times New Roman"/>
          <w:color w:val="0000FF"/>
        </w:rPr>
      </w:pPr>
      <w:r>
        <w:rPr>
          <w:rFonts w:ascii="Times New Roman" w:hAnsi="Times New Roman" w:cs="Times New Roman"/>
          <w:color w:val="0000FF"/>
        </w:rPr>
        <w:t xml:space="preserve"> </w:t>
      </w:r>
    </w:p>
    <w:p w14:paraId="61B8C896">
      <w:pPr>
        <w:jc w:val="both"/>
        <w:rPr>
          <w:rFonts w:eastAsia="SimSun"/>
          <w:sz w:val="24"/>
          <w:szCs w:val="24"/>
        </w:rPr>
      </w:pPr>
      <w:r>
        <w:rPr>
          <w:rFonts w:eastAsia="SimSun"/>
          <w:sz w:val="24"/>
          <w:szCs w:val="24"/>
        </w:rPr>
        <w:t>03.01.10.301.0030.2.170.3.3.90.30.00.00.00.1600</w:t>
      </w:r>
    </w:p>
    <w:p w14:paraId="4DF9719A">
      <w:pPr>
        <w:jc w:val="both"/>
        <w:rPr>
          <w:rFonts w:eastAsia="Cambria Math"/>
          <w:color w:val="0000FF"/>
          <w:sz w:val="24"/>
          <w:szCs w:val="24"/>
          <w:lang w:val="en-US"/>
        </w:rPr>
      </w:pPr>
    </w:p>
    <w:p w14:paraId="08F4143D">
      <w:pPr>
        <w:jc w:val="both"/>
        <w:rPr>
          <w:rFonts w:eastAsia="Cambria Math"/>
          <w:b/>
          <w:color w:val="0000FF"/>
          <w:sz w:val="24"/>
          <w:szCs w:val="24"/>
          <w:lang w:val="en-US"/>
        </w:rPr>
      </w:pPr>
    </w:p>
    <w:p w14:paraId="54D95FBC">
      <w:pPr>
        <w:spacing w:line="360" w:lineRule="auto"/>
        <w:jc w:val="both"/>
        <w:rPr>
          <w:rFonts w:eastAsia="Cambria Math"/>
          <w:b/>
          <w:sz w:val="24"/>
          <w:szCs w:val="24"/>
          <w:u w:val="single"/>
        </w:rPr>
      </w:pPr>
      <w:r>
        <w:rPr>
          <w:rFonts w:eastAsia="Cambria Math"/>
          <w:b/>
          <w:sz w:val="24"/>
          <w:szCs w:val="24"/>
          <w:lang w:val="en-US"/>
        </w:rPr>
        <w:t>12</w:t>
      </w:r>
      <w:r>
        <w:rPr>
          <w:rFonts w:eastAsia="Cambria Math"/>
          <w:b/>
          <w:sz w:val="24"/>
          <w:szCs w:val="24"/>
        </w:rPr>
        <w:t xml:space="preserve"> - DO PAGAMENTO</w:t>
      </w:r>
    </w:p>
    <w:p w14:paraId="323A81F2">
      <w:pPr>
        <w:spacing w:line="360" w:lineRule="auto"/>
        <w:jc w:val="both"/>
        <w:rPr>
          <w:sz w:val="24"/>
          <w:szCs w:val="24"/>
        </w:rPr>
      </w:pPr>
      <w:r>
        <w:rPr>
          <w:sz w:val="24"/>
          <w:szCs w:val="24"/>
        </w:rPr>
        <w:t xml:space="preserve">O pagamento será efetuado até o </w:t>
      </w:r>
      <w:r>
        <w:rPr>
          <w:sz w:val="24"/>
          <w:szCs w:val="24"/>
          <w:lang w:val="en-US"/>
        </w:rPr>
        <w:t>30</w:t>
      </w:r>
      <w:r>
        <w:rPr>
          <w:sz w:val="24"/>
          <w:szCs w:val="24"/>
        </w:rPr>
        <w:t>º (</w:t>
      </w:r>
      <w:r>
        <w:rPr>
          <w:sz w:val="24"/>
          <w:szCs w:val="24"/>
          <w:lang w:val="en-US"/>
        </w:rPr>
        <w:t>trigésimo)</w:t>
      </w:r>
      <w:r>
        <w:rPr>
          <w:sz w:val="24"/>
          <w:szCs w:val="24"/>
        </w:rPr>
        <w:t xml:space="preserve"> dia do mês subsequente ao da prestação do serviço, mediante crédito em conta corrente, após liberação da respectiva Nota Fiscal/Fatura, devidamente atestada pelo setor competente, que deverá vir acompanhada de ordem de serviço, relatório detalhado dos serviços efetuados e das peças substituídas. </w:t>
      </w:r>
    </w:p>
    <w:p w14:paraId="0997E1CE">
      <w:pPr>
        <w:jc w:val="both"/>
        <w:rPr>
          <w:color w:val="0000FF"/>
          <w:sz w:val="24"/>
          <w:szCs w:val="24"/>
        </w:rPr>
      </w:pPr>
    </w:p>
    <w:p w14:paraId="22BE5ADA">
      <w:pPr>
        <w:jc w:val="both"/>
        <w:rPr>
          <w:rFonts w:eastAsia="Cambria Math"/>
          <w:b/>
          <w:sz w:val="24"/>
          <w:szCs w:val="24"/>
        </w:rPr>
      </w:pPr>
      <w:r>
        <w:rPr>
          <w:b/>
          <w:sz w:val="24"/>
          <w:szCs w:val="24"/>
        </w:rPr>
        <w:t xml:space="preserve">13 - </w:t>
      </w:r>
      <w:r>
        <w:rPr>
          <w:rFonts w:eastAsia="Cambria Math"/>
          <w:b/>
          <w:sz w:val="24"/>
          <w:szCs w:val="24"/>
        </w:rPr>
        <w:t>VIGÊNCIA</w:t>
      </w:r>
    </w:p>
    <w:p w14:paraId="7BB02DD1">
      <w:pPr>
        <w:pStyle w:val="272"/>
        <w:spacing w:line="360" w:lineRule="auto"/>
        <w:jc w:val="both"/>
        <w:rPr>
          <w:rFonts w:ascii="Times New Roman" w:hAnsi="Times New Roman" w:cs="Times New Roman"/>
          <w:sz w:val="24"/>
          <w:szCs w:val="24"/>
        </w:rPr>
      </w:pPr>
    </w:p>
    <w:p w14:paraId="30DA95DA">
      <w:pPr>
        <w:pStyle w:val="272"/>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 contrato deverá ter vigência pelo </w:t>
      </w:r>
      <w:r>
        <w:rPr>
          <w:rFonts w:ascii="Times New Roman" w:hAnsi="Times New Roman" w:eastAsia="Cambria Math" w:cs="Times New Roman"/>
          <w:sz w:val="24"/>
          <w:szCs w:val="24"/>
        </w:rPr>
        <w:t>período de 12 meses podendo ser prorrogado por igual período</w:t>
      </w:r>
      <w:r>
        <w:rPr>
          <w:rFonts w:ascii="Times New Roman" w:hAnsi="Times New Roman" w:eastAsia="Times New Roman" w:cs="Times New Roman"/>
          <w:sz w:val="24"/>
          <w:szCs w:val="24"/>
        </w:rPr>
        <w:t>.</w:t>
      </w:r>
    </w:p>
    <w:p w14:paraId="4CB38777">
      <w:pPr>
        <w:jc w:val="both"/>
        <w:rPr>
          <w:color w:val="0000FF"/>
          <w:sz w:val="24"/>
          <w:szCs w:val="24"/>
        </w:rPr>
      </w:pPr>
    </w:p>
    <w:p w14:paraId="1E60ADB5">
      <w:pPr>
        <w:jc w:val="both"/>
        <w:rPr>
          <w:rFonts w:eastAsia="Cambria Math"/>
          <w:b/>
          <w:sz w:val="24"/>
          <w:szCs w:val="24"/>
        </w:rPr>
      </w:pPr>
      <w:r>
        <w:rPr>
          <w:rFonts w:eastAsia="Cambria Math"/>
          <w:b/>
          <w:sz w:val="24"/>
          <w:szCs w:val="24"/>
          <w:lang w:val="en-US"/>
        </w:rPr>
        <w:t>14</w:t>
      </w:r>
      <w:r>
        <w:rPr>
          <w:rFonts w:eastAsia="Cambria Math"/>
          <w:b/>
          <w:sz w:val="24"/>
          <w:szCs w:val="24"/>
        </w:rPr>
        <w:t xml:space="preserve"> - VALOR ESTIMADO DA CONTRATAÇÃO</w:t>
      </w:r>
    </w:p>
    <w:p w14:paraId="7DF4CB8C">
      <w:pPr>
        <w:jc w:val="both"/>
        <w:rPr>
          <w:rFonts w:eastAsia="Cambria Math"/>
          <w:b/>
          <w:sz w:val="24"/>
          <w:szCs w:val="24"/>
        </w:rPr>
      </w:pPr>
    </w:p>
    <w:p w14:paraId="3331AF0C">
      <w:pPr>
        <w:jc w:val="both"/>
        <w:rPr>
          <w:sz w:val="24"/>
          <w:szCs w:val="24"/>
        </w:rPr>
      </w:pPr>
      <w:r>
        <w:rPr>
          <w:sz w:val="24"/>
          <w:szCs w:val="24"/>
        </w:rPr>
        <w:t xml:space="preserve">O custo estimado total da contratação pelo menor preço é de </w:t>
      </w:r>
      <w:r>
        <w:rPr>
          <w:rFonts w:eastAsia="SimSun"/>
          <w:sz w:val="24"/>
          <w:szCs w:val="24"/>
          <w:lang w:val="en-US" w:eastAsia="zh-CN" w:bidi="ar"/>
        </w:rPr>
        <w:t xml:space="preserve">R$ </w:t>
      </w:r>
      <w:r>
        <w:rPr>
          <w:rFonts w:eastAsia="SimSun"/>
          <w:sz w:val="24"/>
          <w:szCs w:val="24"/>
          <w:lang w:eastAsia="zh-CN" w:bidi="ar"/>
        </w:rPr>
        <w:t>109.374,00 (cento e nove mil trezentos e setenta e quatro reais),</w:t>
      </w:r>
      <w:r>
        <w:rPr>
          <w:sz w:val="24"/>
          <w:szCs w:val="24"/>
        </w:rPr>
        <w:t xml:space="preserve"> conforme custos avaliados através de pesquisa de preço realizada.</w:t>
      </w:r>
    </w:p>
    <w:p w14:paraId="14153C80">
      <w:pPr>
        <w:jc w:val="both"/>
        <w:rPr>
          <w:color w:val="0000FF"/>
          <w:sz w:val="24"/>
          <w:szCs w:val="24"/>
        </w:rPr>
      </w:pPr>
    </w:p>
    <w:p w14:paraId="0DBEA583">
      <w:pPr>
        <w:jc w:val="both"/>
        <w:rPr>
          <w:rFonts w:eastAsia="Cambria Math"/>
          <w:b/>
          <w:sz w:val="24"/>
          <w:szCs w:val="24"/>
          <w:lang w:val="en-US"/>
        </w:rPr>
      </w:pPr>
      <w:r>
        <w:rPr>
          <w:rFonts w:eastAsia="Cambria Math"/>
          <w:b/>
          <w:sz w:val="24"/>
          <w:szCs w:val="24"/>
          <w:lang w:val="en-US"/>
        </w:rPr>
        <w:t>15</w:t>
      </w:r>
      <w:r>
        <w:rPr>
          <w:rFonts w:eastAsia="Cambria Math"/>
          <w:b/>
          <w:sz w:val="24"/>
          <w:szCs w:val="24"/>
        </w:rPr>
        <w:t xml:space="preserve"> - RESPONSÁVE</w:t>
      </w:r>
      <w:r>
        <w:rPr>
          <w:rFonts w:eastAsia="Cambria Math"/>
          <w:b/>
          <w:sz w:val="24"/>
          <w:szCs w:val="24"/>
          <w:lang w:val="en-US"/>
        </w:rPr>
        <w:t>L:</w:t>
      </w:r>
    </w:p>
    <w:p w14:paraId="65E0501B">
      <w:pPr>
        <w:jc w:val="both"/>
        <w:rPr>
          <w:rFonts w:eastAsia="Cambria Math"/>
          <w:b/>
          <w:sz w:val="24"/>
          <w:szCs w:val="24"/>
          <w:lang w:val="en-US"/>
        </w:rPr>
      </w:pPr>
    </w:p>
    <w:p w14:paraId="696DFA84">
      <w:pPr>
        <w:jc w:val="both"/>
        <w:rPr>
          <w:rFonts w:eastAsia="Cambria Math"/>
          <w:b/>
          <w:sz w:val="24"/>
          <w:szCs w:val="24"/>
          <w:lang w:val="en-US"/>
        </w:rPr>
      </w:pPr>
    </w:p>
    <w:p w14:paraId="3B308A92">
      <w:pPr>
        <w:jc w:val="both"/>
        <w:rPr>
          <w:rFonts w:eastAsia="Cambria Math"/>
          <w:b/>
          <w:sz w:val="24"/>
          <w:szCs w:val="24"/>
          <w:lang w:val="en-US"/>
        </w:rPr>
      </w:pPr>
    </w:p>
    <w:p w14:paraId="5040DD1A">
      <w:pPr>
        <w:shd w:val="clear" w:color="auto" w:fill="FFFFFF"/>
        <w:spacing w:line="360" w:lineRule="auto"/>
        <w:jc w:val="center"/>
        <w:rPr>
          <w:sz w:val="24"/>
          <w:szCs w:val="24"/>
        </w:rPr>
      </w:pPr>
      <w:r>
        <w:rPr>
          <w:sz w:val="24"/>
          <w:szCs w:val="24"/>
        </w:rPr>
        <w:t>Valença, 27 de agosto de 2026.</w:t>
      </w:r>
    </w:p>
    <w:p w14:paraId="636F1505">
      <w:pPr>
        <w:widowControl w:val="0"/>
        <w:shd w:val="clear" w:color="auto" w:fill="FFFFFF"/>
        <w:suppressAutoHyphens/>
        <w:spacing w:line="360" w:lineRule="auto"/>
        <w:jc w:val="center"/>
        <w:rPr>
          <w:b/>
          <w:sz w:val="24"/>
          <w:szCs w:val="24"/>
        </w:rPr>
      </w:pPr>
    </w:p>
    <w:p w14:paraId="37865435">
      <w:pPr>
        <w:spacing w:after="120"/>
        <w:jc w:val="center"/>
        <w:rPr>
          <w:rFonts w:eastAsia="Arial"/>
          <w:sz w:val="24"/>
          <w:szCs w:val="24"/>
        </w:rPr>
      </w:pPr>
      <w:r>
        <w:rPr>
          <w:rFonts w:eastAsia="Arial"/>
          <w:sz w:val="24"/>
          <w:szCs w:val="24"/>
        </w:rPr>
        <w:t>Carlos Andre Silvestre do Rego</w:t>
      </w:r>
    </w:p>
    <w:p w14:paraId="195F873F">
      <w:pPr>
        <w:spacing w:before="288" w:beforeLines="120" w:after="288" w:afterLines="120" w:line="288" w:lineRule="auto"/>
        <w:ind w:left="284"/>
        <w:contextualSpacing/>
        <w:jc w:val="center"/>
        <w:rPr>
          <w:rFonts w:eastAsia="MS Mincho"/>
          <w:b/>
          <w:sz w:val="24"/>
          <w:szCs w:val="24"/>
        </w:rPr>
      </w:pPr>
      <w:r>
        <w:rPr>
          <w:kern w:val="3"/>
          <w:sz w:val="24"/>
          <w:szCs w:val="24"/>
          <w:lang w:eastAsia="zh-CN" w:bidi="hi-IN"/>
        </w:rPr>
        <w:t>.</w:t>
      </w:r>
      <w:r>
        <w:rPr>
          <w:sz w:val="24"/>
          <w:szCs w:val="24"/>
        </w:rPr>
        <w:t>Matricula 100.269</w:t>
      </w:r>
    </w:p>
    <w:p w14:paraId="21E3FFA2">
      <w:pPr>
        <w:spacing w:before="288" w:beforeLines="120" w:after="288" w:afterLines="120" w:line="288" w:lineRule="auto"/>
        <w:contextualSpacing/>
        <w:rPr>
          <w:rFonts w:eastAsia="MS Mincho"/>
          <w:b/>
          <w:sz w:val="24"/>
          <w:szCs w:val="24"/>
        </w:rPr>
      </w:pPr>
    </w:p>
    <w:p w14:paraId="1CF19588">
      <w:pPr>
        <w:spacing w:before="288" w:beforeLines="120" w:after="288" w:afterLines="120" w:line="288" w:lineRule="auto"/>
        <w:ind w:left="284"/>
        <w:contextualSpacing/>
        <w:jc w:val="center"/>
        <w:rPr>
          <w:rFonts w:eastAsia="MS Mincho"/>
          <w:b/>
          <w:sz w:val="24"/>
          <w:szCs w:val="24"/>
        </w:rPr>
      </w:pPr>
    </w:p>
    <w:p w14:paraId="5C62A0E7">
      <w:pPr>
        <w:spacing w:before="288" w:beforeLines="120" w:after="288" w:afterLines="120" w:line="288" w:lineRule="auto"/>
        <w:ind w:left="284"/>
        <w:contextualSpacing/>
        <w:jc w:val="center"/>
        <w:rPr>
          <w:rFonts w:eastAsia="MS Mincho"/>
          <w:b/>
          <w:sz w:val="24"/>
          <w:szCs w:val="24"/>
        </w:rPr>
      </w:pPr>
      <w:r>
        <w:rPr>
          <w:rFonts w:eastAsia="MS Mincho"/>
          <w:b/>
          <w:sz w:val="24"/>
          <w:szCs w:val="24"/>
        </w:rPr>
        <w:t>ANEXO II</w:t>
      </w:r>
    </w:p>
    <w:p w14:paraId="7AE0F782">
      <w:pPr>
        <w:spacing w:before="288" w:beforeLines="120" w:after="288" w:afterLines="120" w:line="288" w:lineRule="auto"/>
        <w:ind w:left="284"/>
        <w:contextualSpacing/>
        <w:jc w:val="center"/>
        <w:rPr>
          <w:rFonts w:eastAsia="MS Mincho" w:asciiTheme="minorHAnsi" w:hAnsiTheme="minorHAnsi" w:cstheme="minorHAnsi"/>
          <w:b/>
          <w:sz w:val="24"/>
          <w:szCs w:val="24"/>
        </w:rPr>
      </w:pPr>
    </w:p>
    <w:p w14:paraId="4EC3A7CB">
      <w:pPr>
        <w:ind w:left="284"/>
        <w:jc w:val="center"/>
        <w:rPr>
          <w:b/>
          <w:color w:val="000000"/>
          <w:sz w:val="24"/>
          <w:szCs w:val="24"/>
          <w:u w:val="single"/>
        </w:rPr>
      </w:pPr>
      <w:r>
        <w:rPr>
          <w:b/>
          <w:color w:val="000000"/>
          <w:sz w:val="24"/>
          <w:szCs w:val="24"/>
        </w:rPr>
        <w:t xml:space="preserve">    </w:t>
      </w:r>
      <w:r>
        <w:rPr>
          <w:b/>
          <w:color w:val="000000"/>
          <w:sz w:val="24"/>
          <w:szCs w:val="24"/>
          <w:highlight w:val="yellow"/>
          <w:u w:val="single"/>
        </w:rPr>
        <w:t>ESTUDO TÉCNICO PRELIMINAR</w:t>
      </w:r>
    </w:p>
    <w:p w14:paraId="7432C3FE">
      <w:pPr>
        <w:spacing w:before="288" w:beforeLines="120" w:after="288" w:afterLines="120" w:line="288" w:lineRule="auto"/>
        <w:contextualSpacing/>
        <w:rPr>
          <w:sz w:val="24"/>
          <w:szCs w:val="24"/>
        </w:rPr>
      </w:pPr>
    </w:p>
    <w:p w14:paraId="05AD0BC9">
      <w:pPr>
        <w:spacing w:after="177" w:line="259" w:lineRule="auto"/>
        <w:ind w:left="-5"/>
        <w:rPr>
          <w:b/>
          <w:bCs/>
          <w:sz w:val="24"/>
          <w:szCs w:val="24"/>
        </w:rPr>
      </w:pPr>
    </w:p>
    <w:p w14:paraId="4B003075">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eastAsia="Times New Roman" w:cs="Times New Roman"/>
          <w:color w:val="auto"/>
          <w:szCs w:val="24"/>
        </w:rPr>
      </w:pPr>
      <w:r>
        <w:rPr>
          <w:rFonts w:ascii="Times New Roman" w:hAnsi="Times New Roman" w:eastAsia="Times New Roman" w:cs="Times New Roman"/>
          <w:color w:val="auto"/>
          <w:szCs w:val="24"/>
        </w:rPr>
        <w:t>ÓRGÃO: Secretaria Municipal de Saúde</w:t>
      </w:r>
    </w:p>
    <w:p w14:paraId="614FE573">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eastAsia="Times New Roman" w:cs="Times New Roman"/>
          <w:color w:val="auto"/>
          <w:szCs w:val="24"/>
        </w:rPr>
      </w:pPr>
      <w:r>
        <w:rPr>
          <w:rFonts w:ascii="Times New Roman" w:hAnsi="Times New Roman" w:eastAsia="Times New Roman" w:cs="Times New Roman"/>
          <w:color w:val="auto"/>
          <w:szCs w:val="24"/>
        </w:rPr>
        <w:t>SETOR REQUISITANTE: Centro de Especialidades Odontologicas</w:t>
      </w:r>
    </w:p>
    <w:p w14:paraId="51224AA9">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cs="Times New Roman"/>
          <w:color w:val="auto"/>
          <w:kern w:val="3"/>
          <w:szCs w:val="24"/>
          <w:lang w:eastAsia="zh-CN" w:bidi="hi-IN"/>
        </w:rPr>
      </w:pPr>
      <w:r>
        <w:rPr>
          <w:rFonts w:ascii="Times New Roman" w:hAnsi="Times New Roman" w:eastAsia="Times New Roman" w:cs="Times New Roman"/>
          <w:color w:val="auto"/>
          <w:szCs w:val="24"/>
        </w:rPr>
        <w:t xml:space="preserve">RESPONSÁVEL PELA DEMANDA: </w:t>
      </w:r>
      <w:r>
        <w:rPr>
          <w:rFonts w:ascii="Times New Roman" w:hAnsi="Times New Roman" w:cs="Times New Roman"/>
          <w:color w:val="auto"/>
          <w:kern w:val="3"/>
          <w:szCs w:val="24"/>
          <w:lang w:eastAsia="zh-CN" w:bidi="hi-IN"/>
        </w:rPr>
        <w:t>Carlos Andre Silvestre do Rego</w:t>
      </w:r>
    </w:p>
    <w:p w14:paraId="2B972617">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cs="Times New Roman"/>
          <w:color w:val="auto"/>
          <w:kern w:val="3"/>
          <w:szCs w:val="24"/>
          <w:lang w:eastAsia="zh-CN" w:bidi="hi-IN"/>
        </w:rPr>
      </w:pPr>
      <w:r>
        <w:rPr>
          <w:rFonts w:ascii="Times New Roman" w:hAnsi="Times New Roman" w:eastAsia="Times New Roman" w:cs="Times New Roman"/>
          <w:color w:val="auto"/>
          <w:szCs w:val="24"/>
        </w:rPr>
        <w:t xml:space="preserve">MATRÍCULA: </w:t>
      </w:r>
      <w:r>
        <w:rPr>
          <w:rFonts w:ascii="Times New Roman" w:hAnsi="Times New Roman" w:cs="Times New Roman"/>
          <w:color w:val="auto"/>
          <w:kern w:val="3"/>
          <w:szCs w:val="24"/>
          <w:lang w:eastAsia="zh-CN" w:bidi="hi-IN"/>
        </w:rPr>
        <w:t>100.269</w:t>
      </w:r>
    </w:p>
    <w:p w14:paraId="609CFB06">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cs="Times New Roman"/>
          <w:color w:val="auto"/>
          <w:kern w:val="3"/>
          <w:szCs w:val="24"/>
          <w:lang w:eastAsia="zh-CN" w:bidi="hi-IN"/>
        </w:rPr>
      </w:pPr>
    </w:p>
    <w:p w14:paraId="0156F7A4">
      <w:pPr>
        <w:spacing w:after="119" w:line="259" w:lineRule="auto"/>
        <w:rPr>
          <w:sz w:val="24"/>
          <w:szCs w:val="24"/>
        </w:rPr>
      </w:pPr>
      <w:r>
        <w:rPr>
          <w:rFonts w:eastAsia="Calibri"/>
          <w:color w:val="C00000"/>
          <w:sz w:val="24"/>
          <w:szCs w:val="24"/>
        </w:rPr>
        <w:t xml:space="preserve"> </w:t>
      </w:r>
      <w:r>
        <w:rPr>
          <w:sz w:val="24"/>
          <w:szCs w:val="24"/>
        </w:rPr>
        <w:t xml:space="preserve">INTRODUÇÃO </w:t>
      </w:r>
    </w:p>
    <w:p w14:paraId="0066F59F">
      <w:pPr>
        <w:ind w:left="-5"/>
        <w:rPr>
          <w:sz w:val="24"/>
          <w:szCs w:val="24"/>
        </w:rPr>
      </w:pPr>
      <w:r>
        <w:rPr>
          <w:sz w:val="24"/>
          <w:szCs w:val="24"/>
        </w:rPr>
        <w:t>O presente documento caracteriza a primeira etapa da fase de planejamento e apresenta os devidos estudos para a contratação de solução que atenderá à necessidade abaixo especificada. O objetivo principal é estudar detalhadamente a necessidade de identificar no mercado a melhor solução para supri-la, em observância às normas vigentes e aos princípios que regem a Administração Pública.</w:t>
      </w:r>
      <w:r>
        <w:rPr>
          <w:rFonts w:eastAsia="Calibri"/>
          <w:sz w:val="24"/>
          <w:szCs w:val="24"/>
        </w:rPr>
        <w:t xml:space="preserve"> </w:t>
      </w:r>
    </w:p>
    <w:p w14:paraId="08E97A3B">
      <w:pPr>
        <w:spacing w:line="259" w:lineRule="auto"/>
        <w:rPr>
          <w:sz w:val="24"/>
          <w:szCs w:val="24"/>
        </w:rPr>
      </w:pPr>
      <w:r>
        <w:rPr>
          <w:b/>
          <w:sz w:val="24"/>
          <w:szCs w:val="24"/>
        </w:rPr>
        <w:t xml:space="preserve"> </w:t>
      </w:r>
    </w:p>
    <w:p w14:paraId="0002E185">
      <w:pPr>
        <w:pStyle w:val="2"/>
        <w:ind w:left="-5"/>
        <w:rPr>
          <w:sz w:val="24"/>
          <w:szCs w:val="24"/>
        </w:rPr>
      </w:pPr>
      <w:r>
        <w:rPr>
          <w:sz w:val="24"/>
          <w:szCs w:val="24"/>
        </w:rPr>
        <w:t>1-</w:t>
      </w:r>
      <w:r>
        <w:rPr>
          <w:rFonts w:eastAsia="Arial"/>
          <w:sz w:val="24"/>
          <w:szCs w:val="24"/>
        </w:rPr>
        <w:t xml:space="preserve"> </w:t>
      </w:r>
      <w:r>
        <w:rPr>
          <w:sz w:val="24"/>
          <w:szCs w:val="24"/>
        </w:rPr>
        <w:t xml:space="preserve">OBJETO </w:t>
      </w:r>
    </w:p>
    <w:p w14:paraId="09925C40">
      <w:pPr>
        <w:spacing w:after="112" w:line="360" w:lineRule="auto"/>
        <w:rPr>
          <w:rFonts w:eastAsia="SimSun"/>
          <w:sz w:val="24"/>
          <w:szCs w:val="24"/>
        </w:rPr>
      </w:pPr>
      <w:r>
        <w:rPr>
          <w:rFonts w:eastAsia="Cambria Math"/>
          <w:sz w:val="24"/>
          <w:szCs w:val="24"/>
        </w:rPr>
        <w:t>A</w:t>
      </w:r>
      <w:r>
        <w:rPr>
          <w:rFonts w:eastAsia="SimSun"/>
          <w:sz w:val="24"/>
          <w:szCs w:val="24"/>
        </w:rPr>
        <w:t>quisição de kits bucais e escovas elétricas, destinados ao atendimento das necessidades do Centro de Especialidades Odontológicas (CEO).</w:t>
      </w:r>
    </w:p>
    <w:p w14:paraId="15A549B9">
      <w:pPr>
        <w:spacing w:after="112" w:line="360" w:lineRule="auto"/>
        <w:rPr>
          <w:rFonts w:eastAsia="SimSun"/>
          <w:sz w:val="24"/>
          <w:szCs w:val="24"/>
        </w:rPr>
      </w:pPr>
    </w:p>
    <w:p w14:paraId="4EE9A7D1">
      <w:pPr>
        <w:spacing w:after="112" w:line="360" w:lineRule="auto"/>
        <w:rPr>
          <w:b/>
          <w:bCs/>
          <w:sz w:val="24"/>
          <w:szCs w:val="24"/>
        </w:rPr>
      </w:pPr>
      <w:r>
        <w:rPr>
          <w:b/>
          <w:bCs/>
          <w:sz w:val="24"/>
          <w:szCs w:val="24"/>
        </w:rPr>
        <w:t xml:space="preserve">2 - DESCRIÇÃO DA NECESSIDADE </w:t>
      </w:r>
    </w:p>
    <w:p w14:paraId="74D7D6CF">
      <w:pPr>
        <w:pStyle w:val="24"/>
        <w:spacing w:line="360" w:lineRule="auto"/>
        <w:jc w:val="both"/>
      </w:pPr>
      <w:r>
        <w:t xml:space="preserve">A presente contratação tem por finalidade a </w:t>
      </w:r>
      <w:r>
        <w:rPr>
          <w:rStyle w:val="11"/>
          <w:b w:val="0"/>
        </w:rPr>
        <w:t>aquisição de kits de higiene bucal e escovas elétricas</w:t>
      </w:r>
      <w:r>
        <w:t xml:space="preserve">, destinados ao atendimento das necessidades do </w:t>
      </w:r>
      <w:r>
        <w:rPr>
          <w:rStyle w:val="11"/>
          <w:b w:val="0"/>
        </w:rPr>
        <w:t>Centro de Especialidades Odontológicas (CEO)</w:t>
      </w:r>
      <w:r>
        <w:t>, visando garantir a disponibilidade de materiais necessários ao desenvolvimento das ações de promoção, prevenção e cuidados em saúde bucal.</w:t>
      </w:r>
    </w:p>
    <w:p w14:paraId="1758BACA">
      <w:pPr>
        <w:pStyle w:val="24"/>
        <w:spacing w:line="360" w:lineRule="auto"/>
        <w:jc w:val="both"/>
      </w:pPr>
      <w:r>
        <w:t>A aquisição mostra-se necessária para assegurar a continuidade e a adequada execução dos serviços odontológicos ofertados pelo CEO, proporcionando aos usuários os insumos adequados à manutenção da higiene bucal e contribuindo para a prevenção de doenças e a melhoria da saúde bucal da população atendida.</w:t>
      </w:r>
    </w:p>
    <w:p w14:paraId="0A2E7D4C">
      <w:pPr>
        <w:pStyle w:val="24"/>
        <w:spacing w:line="360" w:lineRule="auto"/>
        <w:jc w:val="both"/>
      </w:pPr>
      <w:r>
        <w:t>Dessa forma, a contratação busca atender à demanda existente, evitando a descontinuidade das ações e garantindo condições adequadas para o atendimento dos pacientes e o regular funcionamento do serviço.</w:t>
      </w:r>
    </w:p>
    <w:p w14:paraId="3489876E">
      <w:pPr>
        <w:spacing w:after="172" w:line="259" w:lineRule="auto"/>
        <w:ind w:left="-5"/>
        <w:rPr>
          <w:sz w:val="24"/>
          <w:szCs w:val="24"/>
        </w:rPr>
      </w:pPr>
      <w:r>
        <w:rPr>
          <w:b/>
          <w:sz w:val="24"/>
          <w:szCs w:val="24"/>
        </w:rPr>
        <w:t xml:space="preserve">3 – PREVISÃO NO PLANO DE CONTRATAÇÕES ANUAL </w:t>
      </w:r>
    </w:p>
    <w:p w14:paraId="26469FE7">
      <w:pPr>
        <w:spacing w:line="259" w:lineRule="auto"/>
        <w:rPr>
          <w:sz w:val="24"/>
          <w:szCs w:val="24"/>
        </w:rPr>
      </w:pPr>
      <w:r>
        <w:rPr>
          <w:kern w:val="3"/>
          <w:sz w:val="24"/>
          <w:szCs w:val="24"/>
          <w:lang w:eastAsia="zh-CN" w:bidi="hi-IN"/>
        </w:rPr>
        <w:t>Previsto no Plano de Contratação Anual (PCA) 2026 -.item 11</w:t>
      </w:r>
    </w:p>
    <w:p w14:paraId="7E712CD1">
      <w:pPr>
        <w:pStyle w:val="2"/>
        <w:spacing w:after="0"/>
        <w:rPr>
          <w:sz w:val="24"/>
          <w:szCs w:val="24"/>
        </w:rPr>
      </w:pPr>
      <w:r>
        <w:rPr>
          <w:sz w:val="24"/>
          <w:szCs w:val="24"/>
        </w:rPr>
        <w:t xml:space="preserve">4 – ALINHAMENTO ENTRE A AQUISIÇÃO E O PLANO DE EXECUÇÃO </w:t>
      </w:r>
    </w:p>
    <w:p w14:paraId="56D14E34">
      <w:pPr>
        <w:pStyle w:val="24"/>
        <w:spacing w:line="360" w:lineRule="auto"/>
        <w:jc w:val="both"/>
      </w:pPr>
      <w:r>
        <w:t>A aquisição de kits bucais e escovas elétricas encontra-se alinhada ao plano de execução do Centro de Especialidades Odontológicas (CEO), tendo como finalidade assegurar a disponibilidade de materiais necessários ao desenvolvimento das ações de promoção, prevenção e assistência à saúde bucal.</w:t>
      </w:r>
    </w:p>
    <w:p w14:paraId="36B1F988">
      <w:pPr>
        <w:pStyle w:val="24"/>
        <w:spacing w:line="360" w:lineRule="auto"/>
        <w:jc w:val="both"/>
      </w:pPr>
      <w:r>
        <w:t>Os materiais serão disponibilizados conforme a demanda e a necessidade dos atendimentos realizados pelo CEO, contribuindo para a continuidade dos serviços, o adequado acompanhamento dos pacientes e o fortalecimento das ações de higiene e prevenção em saúde bucal.</w:t>
      </w:r>
    </w:p>
    <w:p w14:paraId="64BEABAC">
      <w:pPr>
        <w:spacing w:after="112" w:line="360" w:lineRule="auto"/>
        <w:rPr>
          <w:sz w:val="24"/>
          <w:szCs w:val="24"/>
        </w:rPr>
      </w:pPr>
      <w:r>
        <w:rPr>
          <w:sz w:val="24"/>
          <w:szCs w:val="24"/>
        </w:rPr>
        <w:t>O fornecimento dos</w:t>
      </w:r>
      <w:r>
        <w:rPr>
          <w:rFonts w:eastAsia="SimSun"/>
          <w:sz w:val="24"/>
          <w:szCs w:val="24"/>
        </w:rPr>
        <w:t xml:space="preserve"> kits bucais e escovas elétricas, </w:t>
      </w:r>
      <w:r>
        <w:rPr>
          <w:sz w:val="24"/>
          <w:szCs w:val="24"/>
        </w:rPr>
        <w:t>será efetuado de acordo com a necessidade e solicitação do Setor Demandante, com prazo de entrega não superior a 15 dias úteis , a contar da data de recebimento da Nota de Empenho;</w:t>
      </w:r>
    </w:p>
    <w:p w14:paraId="01CCDA74">
      <w:pPr>
        <w:spacing w:line="360" w:lineRule="auto"/>
        <w:rPr>
          <w:sz w:val="24"/>
          <w:szCs w:val="24"/>
        </w:rPr>
      </w:pPr>
      <w:r>
        <w:rPr>
          <w:sz w:val="24"/>
          <w:szCs w:val="24"/>
        </w:rPr>
        <w:t xml:space="preserve">Os </w:t>
      </w:r>
      <w:r>
        <w:rPr>
          <w:rFonts w:eastAsia="SimSun"/>
          <w:sz w:val="24"/>
          <w:szCs w:val="24"/>
        </w:rPr>
        <w:t>kits bucais e escovas elétrica</w:t>
      </w:r>
      <w:r>
        <w:rPr>
          <w:sz w:val="24"/>
          <w:szCs w:val="24"/>
        </w:rPr>
        <w:t>s deverão ser entregues no Almoxarifado/FMS, localizada na Rua Dom Rodolfo Pena, nº 156, Bairro de Fatima, nesta cidade;</w:t>
      </w:r>
    </w:p>
    <w:p w14:paraId="2AE53603">
      <w:pPr>
        <w:spacing w:line="360" w:lineRule="auto"/>
        <w:rPr>
          <w:sz w:val="24"/>
          <w:szCs w:val="24"/>
        </w:rPr>
      </w:pPr>
      <w:r>
        <w:rPr>
          <w:sz w:val="24"/>
          <w:szCs w:val="24"/>
        </w:rPr>
        <w:t xml:space="preserve">Os </w:t>
      </w:r>
      <w:r>
        <w:rPr>
          <w:rFonts w:eastAsia="SimSun"/>
          <w:sz w:val="24"/>
          <w:szCs w:val="24"/>
        </w:rPr>
        <w:t>kits bucais e escovas elétricas</w:t>
      </w:r>
      <w:r>
        <w:rPr>
          <w:sz w:val="24"/>
          <w:szCs w:val="24"/>
        </w:rPr>
        <w:t xml:space="preserve"> deverão ser fornecidos de acordo com o Termo de Referência.</w:t>
      </w:r>
    </w:p>
    <w:p w14:paraId="0E82F220">
      <w:pPr>
        <w:spacing w:line="360" w:lineRule="auto"/>
        <w:rPr>
          <w:b/>
          <w:sz w:val="24"/>
          <w:szCs w:val="24"/>
        </w:rPr>
      </w:pPr>
    </w:p>
    <w:p w14:paraId="3655C877">
      <w:pPr>
        <w:spacing w:after="93" w:line="259" w:lineRule="auto"/>
        <w:rPr>
          <w:b/>
          <w:sz w:val="24"/>
          <w:szCs w:val="24"/>
        </w:rPr>
      </w:pPr>
      <w:r>
        <w:rPr>
          <w:b/>
          <w:sz w:val="24"/>
          <w:szCs w:val="24"/>
        </w:rPr>
        <w:t xml:space="preserve"> 5 - JUSTIFICATIVA DA ESCOLHA DO TIPO DE SOLUÇÃO A CONTRATAÇÃO </w:t>
      </w:r>
    </w:p>
    <w:p w14:paraId="13F850A1">
      <w:pPr>
        <w:rPr>
          <w:color w:val="4F81BD" w:themeColor="accent1"/>
          <w:sz w:val="24"/>
          <w:szCs w:val="24"/>
          <w14:textFill>
            <w14:solidFill>
              <w14:schemeClr w14:val="accent1"/>
            </w14:solidFill>
          </w14:textFill>
        </w:rPr>
      </w:pPr>
    </w:p>
    <w:p w14:paraId="3839EA55">
      <w:pPr>
        <w:snapToGrid w:val="0"/>
        <w:spacing w:line="360" w:lineRule="auto"/>
        <w:rPr>
          <w:sz w:val="24"/>
          <w:szCs w:val="24"/>
        </w:rPr>
      </w:pPr>
      <w:r>
        <w:rPr>
          <w:sz w:val="24"/>
          <w:szCs w:val="24"/>
        </w:rPr>
        <w:t>Consiste na aquisição</w:t>
      </w:r>
      <w:r>
        <w:rPr>
          <w:rFonts w:eastAsia="SimSun"/>
          <w:sz w:val="24"/>
          <w:szCs w:val="24"/>
        </w:rPr>
        <w:t xml:space="preserve"> de kits bucais e escovas elétricas, destinados ao atendimento das necessidades do Centro de Especialidades Odontológicas</w:t>
      </w:r>
      <w:r>
        <w:rPr>
          <w:sz w:val="24"/>
          <w:szCs w:val="24"/>
        </w:rPr>
        <w:t>, através de Pregão Eletrônico para Registro de Preços.</w:t>
      </w:r>
    </w:p>
    <w:p w14:paraId="20DFA169">
      <w:pPr>
        <w:spacing w:line="360" w:lineRule="auto"/>
        <w:rPr>
          <w:sz w:val="24"/>
          <w:szCs w:val="24"/>
        </w:rPr>
      </w:pPr>
      <w:r>
        <w:rPr>
          <w:sz w:val="24"/>
          <w:szCs w:val="24"/>
        </w:rPr>
        <w:t xml:space="preserve">O fornecimento por grupo, permite maior flexibilidade na aquisição conforme a disponibilidade de mercado e as condições econômicas mais vantajosas para a Administração Pública. </w:t>
      </w:r>
    </w:p>
    <w:p w14:paraId="28174EB7">
      <w:pPr>
        <w:spacing w:line="360" w:lineRule="auto"/>
        <w:rPr>
          <w:sz w:val="24"/>
          <w:szCs w:val="24"/>
        </w:rPr>
      </w:pPr>
      <w:r>
        <w:rPr>
          <w:sz w:val="24"/>
          <w:szCs w:val="24"/>
        </w:rPr>
        <w:t>A solução proposta busca, além de atender à demanda, garantir a padronização da entrega, a economicidade e a previsibilidade logística.</w:t>
      </w:r>
    </w:p>
    <w:p w14:paraId="21339BB9">
      <w:pPr>
        <w:pStyle w:val="2"/>
        <w:ind w:left="-5"/>
        <w:rPr>
          <w:sz w:val="24"/>
          <w:szCs w:val="24"/>
        </w:rPr>
      </w:pPr>
      <w:r>
        <w:rPr>
          <w:sz w:val="24"/>
          <w:szCs w:val="24"/>
        </w:rPr>
        <w:t xml:space="preserve">6 - ESTIMATIVA DAS QUANTIDADES </w:t>
      </w:r>
    </w:p>
    <w:p w14:paraId="53E9C87F">
      <w:pPr>
        <w:spacing w:after="112" w:line="259" w:lineRule="auto"/>
        <w:ind w:left="-5"/>
        <w:rPr>
          <w:sz w:val="24"/>
          <w:szCs w:val="24"/>
        </w:rPr>
      </w:pPr>
      <w:r>
        <w:rPr>
          <w:sz w:val="24"/>
          <w:szCs w:val="24"/>
        </w:rPr>
        <w:t xml:space="preserve">Entendem-se necessária a contratação do seguinte item e quantitativo: </w:t>
      </w:r>
    </w:p>
    <w:p w14:paraId="4ABD8422">
      <w:pPr>
        <w:spacing w:after="216" w:line="259" w:lineRule="auto"/>
        <w:rPr>
          <w:sz w:val="24"/>
          <w:szCs w:val="24"/>
        </w:rPr>
      </w:pPr>
      <w:r>
        <w:rPr>
          <w:sz w:val="24"/>
          <w:szCs w:val="24"/>
        </w:rPr>
        <w:t xml:space="preserve">  </w:t>
      </w:r>
    </w:p>
    <w:tbl>
      <w:tblPr>
        <w:tblStyle w:val="10"/>
        <w:tblW w:w="11014" w:type="dxa"/>
        <w:tblInd w:w="-1107" w:type="dxa"/>
        <w:tblLayout w:type="fixed"/>
        <w:tblCellMar>
          <w:top w:w="0" w:type="dxa"/>
          <w:left w:w="108" w:type="dxa"/>
          <w:bottom w:w="0" w:type="dxa"/>
          <w:right w:w="108" w:type="dxa"/>
        </w:tblCellMar>
      </w:tblPr>
      <w:tblGrid>
        <w:gridCol w:w="900"/>
        <w:gridCol w:w="862"/>
        <w:gridCol w:w="862"/>
        <w:gridCol w:w="4286"/>
        <w:gridCol w:w="1368"/>
        <w:gridCol w:w="1368"/>
        <w:gridCol w:w="1368"/>
      </w:tblGrid>
      <w:tr w14:paraId="2D48564B">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382D794">
            <w:pPr>
              <w:jc w:val="center"/>
              <w:textAlignment w:val="bottom"/>
              <w:rPr>
                <w:rFonts w:eastAsia="SimSun"/>
                <w:sz w:val="24"/>
                <w:szCs w:val="24"/>
                <w:lang w:eastAsia="zh-CN" w:bidi="ar"/>
              </w:rPr>
            </w:pPr>
            <w:r>
              <w:rPr>
                <w:rFonts w:eastAsia="SimSun"/>
                <w:color w:val="000000"/>
                <w:sz w:val="24"/>
                <w:szCs w:val="24"/>
                <w:lang w:eastAsia="zh-CN" w:bidi="ar"/>
              </w:rPr>
              <w:t>Item</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D9530B1">
            <w:pPr>
              <w:jc w:val="center"/>
              <w:textAlignment w:val="bottom"/>
              <w:rPr>
                <w:rFonts w:eastAsia="SimSun"/>
                <w:sz w:val="24"/>
                <w:szCs w:val="24"/>
                <w:lang w:eastAsia="zh-CN" w:bidi="ar"/>
              </w:rPr>
            </w:pPr>
            <w:r>
              <w:rPr>
                <w:rFonts w:eastAsia="SimSun"/>
                <w:color w:val="000000"/>
                <w:sz w:val="24"/>
                <w:szCs w:val="24"/>
                <w:lang w:eastAsia="zh-CN" w:bidi="ar"/>
              </w:rPr>
              <w:t>|Unid</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F79CDAB">
            <w:pPr>
              <w:ind w:firstLine="120" w:firstLineChars="50"/>
              <w:textAlignment w:val="bottom"/>
              <w:rPr>
                <w:rFonts w:eastAsia="SimSun"/>
                <w:sz w:val="24"/>
                <w:szCs w:val="24"/>
                <w:lang w:eastAsia="zh-CN" w:bidi="ar"/>
              </w:rPr>
            </w:pPr>
            <w:r>
              <w:rPr>
                <w:rFonts w:eastAsia="SimSun"/>
                <w:color w:val="000000"/>
                <w:sz w:val="24"/>
                <w:szCs w:val="24"/>
                <w:lang w:eastAsia="zh-CN" w:bidi="ar"/>
              </w:rPr>
              <w:t>Quant</w:t>
            </w:r>
          </w:p>
        </w:tc>
        <w:tc>
          <w:tcPr>
            <w:tcW w:w="4286"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ED3EB05">
            <w:pPr>
              <w:jc w:val="center"/>
              <w:textAlignment w:val="bottom"/>
              <w:rPr>
                <w:rFonts w:eastAsia="SimSun"/>
                <w:sz w:val="24"/>
                <w:szCs w:val="24"/>
                <w:lang w:eastAsia="zh-CN" w:bidi="ar"/>
              </w:rPr>
            </w:pPr>
            <w:r>
              <w:rPr>
                <w:rFonts w:eastAsia="SimSun"/>
                <w:color w:val="000000"/>
                <w:sz w:val="24"/>
                <w:szCs w:val="24"/>
                <w:lang w:eastAsia="zh-CN" w:bidi="ar"/>
              </w:rPr>
              <w:t>Especificação</w:t>
            </w:r>
          </w:p>
        </w:tc>
        <w:tc>
          <w:tcPr>
            <w:tcW w:w="136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2EBE6BF">
            <w:pPr>
              <w:jc w:val="center"/>
              <w:textAlignment w:val="bottom"/>
              <w:rPr>
                <w:rFonts w:eastAsia="SimSun"/>
                <w:b/>
                <w:bCs/>
                <w:sz w:val="24"/>
                <w:szCs w:val="24"/>
                <w:lang w:eastAsia="zh-CN" w:bidi="ar"/>
              </w:rPr>
            </w:pPr>
            <w:r>
              <w:rPr>
                <w:rFonts w:eastAsia="SimSun"/>
                <w:b/>
                <w:bCs/>
                <w:color w:val="000000"/>
                <w:sz w:val="24"/>
                <w:szCs w:val="24"/>
                <w:lang w:eastAsia="zh-CN" w:bidi="ar"/>
              </w:rPr>
              <w:t>Catmat</w:t>
            </w:r>
          </w:p>
        </w:tc>
        <w:tc>
          <w:tcPr>
            <w:tcW w:w="136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F00159C">
            <w:pPr>
              <w:jc w:val="center"/>
              <w:textAlignment w:val="bottom"/>
              <w:rPr>
                <w:rFonts w:eastAsia="SimSun"/>
                <w:b/>
                <w:bCs/>
                <w:sz w:val="24"/>
                <w:szCs w:val="24"/>
                <w:lang w:eastAsia="zh-CN" w:bidi="ar"/>
              </w:rPr>
            </w:pPr>
            <w:r>
              <w:rPr>
                <w:rFonts w:eastAsia="SimSun"/>
                <w:b/>
                <w:bCs/>
                <w:color w:val="000000"/>
                <w:sz w:val="24"/>
                <w:szCs w:val="24"/>
                <w:lang w:eastAsia="zh-CN" w:bidi="ar"/>
              </w:rPr>
              <w:t>Valor unitario</w:t>
            </w:r>
          </w:p>
        </w:tc>
        <w:tc>
          <w:tcPr>
            <w:tcW w:w="136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149F4FD">
            <w:pPr>
              <w:jc w:val="center"/>
              <w:textAlignment w:val="bottom"/>
              <w:rPr>
                <w:rFonts w:eastAsia="SimSun"/>
                <w:b/>
                <w:bCs/>
                <w:sz w:val="24"/>
                <w:szCs w:val="24"/>
                <w:lang w:eastAsia="zh-CN" w:bidi="ar"/>
              </w:rPr>
            </w:pPr>
            <w:r>
              <w:rPr>
                <w:rFonts w:eastAsia="SimSun"/>
                <w:b/>
                <w:bCs/>
                <w:color w:val="000000"/>
                <w:sz w:val="24"/>
                <w:szCs w:val="24"/>
                <w:lang w:eastAsia="zh-CN" w:bidi="ar"/>
              </w:rPr>
              <w:t>Valor total</w:t>
            </w:r>
          </w:p>
        </w:tc>
      </w:tr>
      <w:tr w14:paraId="4DBBD899">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B23408E">
            <w:pPr>
              <w:jc w:val="center"/>
              <w:textAlignment w:val="bottom"/>
              <w:rPr>
                <w:rFonts w:eastAsia="SimSun"/>
                <w:b/>
                <w:bCs/>
                <w:sz w:val="24"/>
                <w:szCs w:val="24"/>
                <w:lang w:eastAsia="zh-CN" w:bidi="ar"/>
              </w:rPr>
            </w:pPr>
            <w:r>
              <w:rPr>
                <w:rFonts w:eastAsia="SimSun"/>
                <w:b/>
                <w:bCs/>
                <w:color w:val="000000"/>
                <w:sz w:val="24"/>
                <w:szCs w:val="24"/>
                <w:lang w:eastAsia="zh-CN" w:bidi="ar"/>
              </w:rPr>
              <w:t>1</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270621A">
            <w:pPr>
              <w:jc w:val="center"/>
              <w:textAlignment w:val="bottom"/>
              <w:rPr>
                <w:rFonts w:eastAsia="SimSun"/>
                <w:b/>
                <w:bCs/>
                <w:sz w:val="24"/>
                <w:szCs w:val="24"/>
                <w:lang w:eastAsia="zh-CN" w:bidi="ar"/>
              </w:rPr>
            </w:pPr>
            <w:r>
              <w:rPr>
                <w:rFonts w:eastAsia="SimSun"/>
                <w:b/>
                <w:bCs/>
                <w:color w:val="000000"/>
                <w:sz w:val="24"/>
                <w:szCs w:val="24"/>
                <w:lang w:eastAsia="zh-CN" w:bidi="ar"/>
              </w:rPr>
              <w:t>Kit</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C70431B">
            <w:pPr>
              <w:jc w:val="center"/>
              <w:textAlignment w:val="bottom"/>
              <w:rPr>
                <w:b/>
                <w:bCs/>
                <w:sz w:val="24"/>
                <w:szCs w:val="24"/>
              </w:rPr>
            </w:pPr>
            <w:r>
              <w:rPr>
                <w:b/>
                <w:bCs/>
                <w:color w:val="000000"/>
                <w:sz w:val="24"/>
                <w:szCs w:val="24"/>
              </w:rPr>
              <w:t>15.000</w:t>
            </w:r>
          </w:p>
        </w:tc>
        <w:tc>
          <w:tcPr>
            <w:tcW w:w="4286" w:type="dxa"/>
            <w:tcBorders>
              <w:top w:val="single" w:color="000000" w:sz="2" w:space="0"/>
              <w:left w:val="single" w:color="000000" w:sz="2" w:space="0"/>
              <w:bottom w:val="single" w:color="000000" w:sz="2" w:space="0"/>
              <w:right w:val="single" w:color="000000" w:sz="2" w:space="0"/>
            </w:tcBorders>
            <w:shd w:val="clear" w:color="auto" w:fill="auto"/>
            <w:noWrap/>
          </w:tcPr>
          <w:p w14:paraId="09CB3D7A">
            <w:pPr>
              <w:rPr>
                <w:sz w:val="24"/>
                <w:szCs w:val="24"/>
              </w:rPr>
            </w:pPr>
            <w:r>
              <w:rPr>
                <w:color w:val="000000"/>
                <w:sz w:val="24"/>
                <w:szCs w:val="24"/>
              </w:rPr>
              <w:t>Kit Higiene Bucal - contendo</w:t>
            </w:r>
          </w:p>
          <w:p w14:paraId="55021C8E">
            <w:pPr>
              <w:rPr>
                <w:sz w:val="24"/>
                <w:szCs w:val="24"/>
              </w:rPr>
            </w:pPr>
            <w:r>
              <w:rPr>
                <w:rFonts w:eastAsia="Symbol"/>
                <w:sz w:val="24"/>
                <w:szCs w:val="24"/>
              </w:rPr>
              <w:t>·</w:t>
            </w:r>
            <w:r>
              <w:rPr>
                <w:rFonts w:eastAsia="SimSun"/>
                <w:sz w:val="24"/>
                <w:szCs w:val="24"/>
              </w:rPr>
              <w:t xml:space="preserve">  </w:t>
            </w:r>
            <w:r>
              <w:rPr>
                <w:rStyle w:val="11"/>
                <w:b w:val="0"/>
                <w:sz w:val="24"/>
                <w:szCs w:val="24"/>
              </w:rPr>
              <w:t>01 escova dental</w:t>
            </w:r>
            <w:r>
              <w:rPr>
                <w:sz w:val="24"/>
                <w:szCs w:val="24"/>
              </w:rPr>
              <w:t xml:space="preserve">, com cerdas macias, cabo anatômico e adequado à higiene bucal; </w:t>
            </w:r>
          </w:p>
          <w:p w14:paraId="4D0E4602">
            <w:pPr>
              <w:rPr>
                <w:sz w:val="24"/>
                <w:szCs w:val="24"/>
              </w:rPr>
            </w:pPr>
            <w:r>
              <w:rPr>
                <w:rFonts w:eastAsia="Symbol"/>
                <w:sz w:val="24"/>
                <w:szCs w:val="24"/>
              </w:rPr>
              <w:t>·</w:t>
            </w:r>
            <w:r>
              <w:rPr>
                <w:rFonts w:eastAsia="SimSun"/>
                <w:sz w:val="24"/>
                <w:szCs w:val="24"/>
              </w:rPr>
              <w:t xml:space="preserve">  </w:t>
            </w:r>
            <w:r>
              <w:rPr>
                <w:rStyle w:val="11"/>
                <w:b w:val="0"/>
                <w:sz w:val="24"/>
                <w:szCs w:val="24"/>
              </w:rPr>
              <w:t>01 fio dental</w:t>
            </w:r>
            <w:r>
              <w:rPr>
                <w:sz w:val="24"/>
                <w:szCs w:val="24"/>
              </w:rPr>
              <w:t xml:space="preserve">, com comprimento mínimo de 25 metros; </w:t>
            </w:r>
          </w:p>
          <w:p w14:paraId="37A08D13">
            <w:pPr>
              <w:rPr>
                <w:sz w:val="24"/>
                <w:szCs w:val="24"/>
              </w:rPr>
            </w:pPr>
            <w:r>
              <w:rPr>
                <w:rFonts w:eastAsia="Symbol"/>
                <w:sz w:val="24"/>
                <w:szCs w:val="24"/>
              </w:rPr>
              <w:t>·</w:t>
            </w:r>
            <w:r>
              <w:rPr>
                <w:rFonts w:eastAsia="SimSun"/>
                <w:sz w:val="24"/>
                <w:szCs w:val="24"/>
              </w:rPr>
              <w:t xml:space="preserve">  </w:t>
            </w:r>
            <w:r>
              <w:rPr>
                <w:rStyle w:val="11"/>
                <w:b w:val="0"/>
                <w:sz w:val="24"/>
                <w:szCs w:val="24"/>
              </w:rPr>
              <w:t>01 creme dental</w:t>
            </w:r>
            <w:r>
              <w:rPr>
                <w:sz w:val="24"/>
                <w:szCs w:val="24"/>
              </w:rPr>
              <w:t>, com flúor, embalagem com conteúdo mínimo de 50 g.</w:t>
            </w:r>
          </w:p>
          <w:p w14:paraId="2550DD48">
            <w:pPr>
              <w:rPr>
                <w:b/>
                <w:bCs/>
                <w:sz w:val="24"/>
                <w:szCs w:val="24"/>
              </w:rPr>
            </w:pPr>
          </w:p>
        </w:tc>
        <w:tc>
          <w:tcPr>
            <w:tcW w:w="136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A45E2A8">
            <w:pPr>
              <w:jc w:val="center"/>
              <w:textAlignment w:val="bottom"/>
              <w:rPr>
                <w:rFonts w:eastAsia="SimSun"/>
                <w:b/>
                <w:bCs/>
                <w:sz w:val="24"/>
                <w:szCs w:val="24"/>
                <w:lang w:eastAsia="zh-CN" w:bidi="ar"/>
              </w:rPr>
            </w:pPr>
            <w:r>
              <w:rPr>
                <w:rFonts w:eastAsia="SimSun"/>
                <w:b/>
                <w:bCs/>
                <w:color w:val="000000"/>
                <w:sz w:val="24"/>
                <w:szCs w:val="24"/>
                <w:lang w:eastAsia="zh-CN" w:bidi="ar"/>
              </w:rPr>
              <w:t>434987</w:t>
            </w:r>
          </w:p>
        </w:tc>
        <w:tc>
          <w:tcPr>
            <w:tcW w:w="136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6151628">
            <w:pPr>
              <w:jc w:val="center"/>
              <w:textAlignment w:val="bottom"/>
              <w:rPr>
                <w:rFonts w:eastAsia="SimSun"/>
                <w:sz w:val="24"/>
                <w:szCs w:val="24"/>
                <w:lang w:eastAsia="zh-CN" w:bidi="ar"/>
              </w:rPr>
            </w:pPr>
            <w:r>
              <w:rPr>
                <w:rFonts w:eastAsia="SimSun"/>
                <w:color w:val="000000"/>
                <w:sz w:val="24"/>
                <w:szCs w:val="24"/>
                <w:lang w:eastAsia="zh-CN" w:bidi="ar"/>
              </w:rPr>
              <w:t>5,60</w:t>
            </w:r>
          </w:p>
        </w:tc>
        <w:tc>
          <w:tcPr>
            <w:tcW w:w="136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1FFCF2E">
            <w:pPr>
              <w:jc w:val="center"/>
              <w:textAlignment w:val="bottom"/>
              <w:rPr>
                <w:rFonts w:eastAsia="SimSun"/>
                <w:b/>
                <w:bCs/>
                <w:sz w:val="24"/>
                <w:szCs w:val="24"/>
                <w:lang w:eastAsia="zh-CN" w:bidi="ar"/>
              </w:rPr>
            </w:pPr>
            <w:r>
              <w:rPr>
                <w:rFonts w:eastAsia="SimSun"/>
                <w:b/>
                <w:bCs/>
                <w:color w:val="000000"/>
                <w:sz w:val="24"/>
                <w:szCs w:val="24"/>
                <w:lang w:eastAsia="zh-CN" w:bidi="ar"/>
              </w:rPr>
              <w:t>84.000,00</w:t>
            </w:r>
          </w:p>
        </w:tc>
      </w:tr>
      <w:tr w14:paraId="5B1D2AD7">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A714AF7">
            <w:pPr>
              <w:jc w:val="center"/>
              <w:textAlignment w:val="bottom"/>
              <w:rPr>
                <w:rFonts w:eastAsia="SimSun"/>
                <w:b/>
                <w:bCs/>
                <w:sz w:val="24"/>
                <w:szCs w:val="24"/>
                <w:lang w:eastAsia="zh-CN" w:bidi="ar"/>
              </w:rPr>
            </w:pPr>
            <w:r>
              <w:rPr>
                <w:rFonts w:eastAsia="SimSun"/>
                <w:b/>
                <w:bCs/>
                <w:color w:val="000000"/>
                <w:sz w:val="24"/>
                <w:szCs w:val="24"/>
                <w:lang w:eastAsia="zh-CN" w:bidi="ar"/>
              </w:rPr>
              <w:t>2</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755A6FF">
            <w:pPr>
              <w:jc w:val="center"/>
              <w:textAlignment w:val="bottom"/>
              <w:rPr>
                <w:rFonts w:eastAsia="SimSun"/>
                <w:b/>
                <w:bCs/>
                <w:sz w:val="24"/>
                <w:szCs w:val="24"/>
                <w:lang w:eastAsia="zh-CN" w:bidi="ar"/>
              </w:rPr>
            </w:pPr>
            <w:r>
              <w:rPr>
                <w:rFonts w:eastAsia="SimSun"/>
                <w:b/>
                <w:bCs/>
                <w:color w:val="000000"/>
                <w:sz w:val="24"/>
                <w:szCs w:val="24"/>
                <w:lang w:eastAsia="zh-CN" w:bidi="ar"/>
              </w:rPr>
              <w:t>Unid</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BF44022">
            <w:pPr>
              <w:jc w:val="center"/>
              <w:textAlignment w:val="bottom"/>
              <w:rPr>
                <w:b/>
                <w:bCs/>
                <w:sz w:val="24"/>
                <w:szCs w:val="24"/>
              </w:rPr>
            </w:pPr>
            <w:r>
              <w:rPr>
                <w:b/>
                <w:bCs/>
                <w:color w:val="000000"/>
                <w:sz w:val="24"/>
                <w:szCs w:val="24"/>
              </w:rPr>
              <w:t>200</w:t>
            </w:r>
          </w:p>
        </w:tc>
        <w:tc>
          <w:tcPr>
            <w:tcW w:w="4286" w:type="dxa"/>
            <w:tcBorders>
              <w:top w:val="single" w:color="000000" w:sz="2" w:space="0"/>
              <w:left w:val="single" w:color="000000" w:sz="2" w:space="0"/>
              <w:bottom w:val="single" w:color="000000" w:sz="2" w:space="0"/>
              <w:right w:val="single" w:color="000000" w:sz="2" w:space="0"/>
            </w:tcBorders>
            <w:shd w:val="clear" w:color="auto" w:fill="auto"/>
            <w:noWrap/>
          </w:tcPr>
          <w:p w14:paraId="044D1460">
            <w:pPr>
              <w:rPr>
                <w:b/>
                <w:bCs/>
                <w:sz w:val="24"/>
                <w:szCs w:val="24"/>
              </w:rPr>
            </w:pPr>
            <w:r>
              <w:rPr>
                <w:color w:val="000000"/>
                <w:sz w:val="24"/>
                <w:szCs w:val="24"/>
              </w:rPr>
              <w:t>Escova Dental Eletrica, sistema de limpeza 2D: oscila e rotaciona, remoção de placa bacteriana com movimentos oscilantes e rotativos, temporizador de 2 minutos, uso de pilhas, troca de refis e registro na Anvisa, garatia 3 meses.</w:t>
            </w:r>
          </w:p>
        </w:tc>
        <w:tc>
          <w:tcPr>
            <w:tcW w:w="136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C1346F2">
            <w:pPr>
              <w:jc w:val="center"/>
              <w:textAlignment w:val="bottom"/>
              <w:rPr>
                <w:rFonts w:eastAsia="SimSun"/>
                <w:b/>
                <w:bCs/>
                <w:sz w:val="24"/>
                <w:szCs w:val="24"/>
                <w:lang w:eastAsia="zh-CN" w:bidi="ar"/>
              </w:rPr>
            </w:pPr>
            <w:r>
              <w:rPr>
                <w:rFonts w:eastAsia="SimSun"/>
                <w:b/>
                <w:bCs/>
                <w:color w:val="000000"/>
                <w:sz w:val="24"/>
                <w:szCs w:val="24"/>
                <w:lang w:eastAsia="zh-CN" w:bidi="ar"/>
              </w:rPr>
              <w:t>627857</w:t>
            </w:r>
          </w:p>
        </w:tc>
        <w:tc>
          <w:tcPr>
            <w:tcW w:w="136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A9581DD">
            <w:pPr>
              <w:jc w:val="center"/>
              <w:textAlignment w:val="bottom"/>
              <w:rPr>
                <w:rFonts w:eastAsia="SimSun"/>
                <w:sz w:val="24"/>
                <w:szCs w:val="24"/>
                <w:lang w:eastAsia="zh-CN" w:bidi="ar"/>
              </w:rPr>
            </w:pPr>
            <w:r>
              <w:rPr>
                <w:rFonts w:eastAsia="SimSun"/>
                <w:color w:val="000000"/>
                <w:sz w:val="24"/>
                <w:szCs w:val="24"/>
                <w:lang w:eastAsia="zh-CN" w:bidi="ar"/>
              </w:rPr>
              <w:t>161,43</w:t>
            </w:r>
          </w:p>
        </w:tc>
        <w:tc>
          <w:tcPr>
            <w:tcW w:w="136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4A3CDDB">
            <w:pPr>
              <w:jc w:val="center"/>
              <w:textAlignment w:val="bottom"/>
              <w:rPr>
                <w:rFonts w:eastAsia="SimSun"/>
                <w:b/>
                <w:bCs/>
                <w:sz w:val="24"/>
                <w:szCs w:val="24"/>
                <w:lang w:eastAsia="zh-CN" w:bidi="ar"/>
              </w:rPr>
            </w:pPr>
            <w:r>
              <w:rPr>
                <w:rFonts w:eastAsia="SimSun"/>
                <w:b/>
                <w:bCs/>
                <w:color w:val="000000"/>
                <w:sz w:val="24"/>
                <w:szCs w:val="24"/>
                <w:lang w:eastAsia="zh-CN" w:bidi="ar"/>
              </w:rPr>
              <w:t>32.286,00</w:t>
            </w:r>
          </w:p>
        </w:tc>
      </w:tr>
      <w:tr w14:paraId="02BFEB31">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901639C">
            <w:pPr>
              <w:jc w:val="center"/>
              <w:textAlignment w:val="bottom"/>
              <w:rPr>
                <w:rFonts w:eastAsia="SimSun"/>
                <w:b/>
                <w:bCs/>
                <w:sz w:val="24"/>
                <w:szCs w:val="24"/>
                <w:lang w:eastAsia="zh-CN" w:bidi="ar"/>
              </w:rPr>
            </w:pP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557018F">
            <w:pPr>
              <w:jc w:val="center"/>
              <w:textAlignment w:val="bottom"/>
              <w:rPr>
                <w:rFonts w:eastAsia="SimSun"/>
                <w:b/>
                <w:bCs/>
                <w:sz w:val="24"/>
                <w:szCs w:val="24"/>
                <w:lang w:eastAsia="zh-CN" w:bidi="ar"/>
              </w:rPr>
            </w:pP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5E39308">
            <w:pPr>
              <w:jc w:val="center"/>
              <w:textAlignment w:val="bottom"/>
              <w:rPr>
                <w:b/>
                <w:bCs/>
                <w:sz w:val="24"/>
                <w:szCs w:val="24"/>
              </w:rPr>
            </w:pPr>
          </w:p>
        </w:tc>
        <w:tc>
          <w:tcPr>
            <w:tcW w:w="4286" w:type="dxa"/>
            <w:tcBorders>
              <w:top w:val="single" w:color="000000" w:sz="2" w:space="0"/>
              <w:left w:val="single" w:color="000000" w:sz="2" w:space="0"/>
              <w:bottom w:val="single" w:color="000000" w:sz="2" w:space="0"/>
              <w:right w:val="single" w:color="000000" w:sz="2" w:space="0"/>
            </w:tcBorders>
            <w:shd w:val="clear" w:color="auto" w:fill="auto"/>
            <w:noWrap/>
          </w:tcPr>
          <w:p w14:paraId="468C69B4">
            <w:pPr>
              <w:rPr>
                <w:b/>
                <w:bCs/>
                <w:sz w:val="24"/>
                <w:szCs w:val="24"/>
              </w:rPr>
            </w:pPr>
            <w:r>
              <w:rPr>
                <w:b/>
                <w:bCs/>
                <w:color w:val="000000"/>
                <w:sz w:val="24"/>
                <w:szCs w:val="24"/>
              </w:rPr>
              <w:t>Total</w:t>
            </w:r>
          </w:p>
        </w:tc>
        <w:tc>
          <w:tcPr>
            <w:tcW w:w="136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3C00964">
            <w:pPr>
              <w:jc w:val="center"/>
              <w:textAlignment w:val="bottom"/>
              <w:rPr>
                <w:rFonts w:eastAsia="SimSun"/>
                <w:b/>
                <w:bCs/>
                <w:sz w:val="24"/>
                <w:szCs w:val="24"/>
                <w:lang w:eastAsia="zh-CN" w:bidi="ar"/>
              </w:rPr>
            </w:pPr>
          </w:p>
        </w:tc>
        <w:tc>
          <w:tcPr>
            <w:tcW w:w="136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935037D">
            <w:pPr>
              <w:jc w:val="center"/>
              <w:textAlignment w:val="bottom"/>
              <w:rPr>
                <w:rFonts w:eastAsia="SimSun"/>
                <w:b/>
                <w:bCs/>
                <w:sz w:val="24"/>
                <w:szCs w:val="24"/>
                <w:lang w:eastAsia="zh-CN" w:bidi="ar"/>
              </w:rPr>
            </w:pPr>
          </w:p>
        </w:tc>
        <w:tc>
          <w:tcPr>
            <w:tcW w:w="136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1D3BB2A">
            <w:pPr>
              <w:jc w:val="center"/>
              <w:textAlignment w:val="bottom"/>
              <w:rPr>
                <w:rFonts w:eastAsia="SimSun"/>
                <w:b/>
                <w:bCs/>
                <w:sz w:val="24"/>
                <w:szCs w:val="24"/>
                <w:lang w:eastAsia="zh-CN" w:bidi="ar"/>
              </w:rPr>
            </w:pPr>
            <w:r>
              <w:rPr>
                <w:rFonts w:eastAsia="SimSun"/>
                <w:b/>
                <w:bCs/>
                <w:color w:val="000000"/>
                <w:sz w:val="24"/>
                <w:szCs w:val="24"/>
                <w:lang w:eastAsia="zh-CN" w:bidi="ar"/>
              </w:rPr>
              <w:t>116.286,00</w:t>
            </w:r>
          </w:p>
        </w:tc>
      </w:tr>
    </w:tbl>
    <w:p w14:paraId="16F3F135">
      <w:pPr>
        <w:spacing w:line="259" w:lineRule="auto"/>
        <w:rPr>
          <w:color w:val="4F81BD" w:themeColor="accent1"/>
          <w:sz w:val="24"/>
          <w:szCs w:val="24"/>
          <w14:textFill>
            <w14:solidFill>
              <w14:schemeClr w14:val="accent1"/>
            </w14:solidFill>
          </w14:textFill>
        </w:rPr>
      </w:pPr>
    </w:p>
    <w:p w14:paraId="27793062">
      <w:pPr>
        <w:pStyle w:val="2"/>
        <w:spacing w:after="0"/>
        <w:ind w:left="-5"/>
        <w:rPr>
          <w:sz w:val="24"/>
          <w:szCs w:val="24"/>
        </w:rPr>
      </w:pPr>
      <w:r>
        <w:rPr>
          <w:sz w:val="24"/>
          <w:szCs w:val="24"/>
        </w:rPr>
        <w:t xml:space="preserve">7 - ESTIMATIVAS DE PREÇOS OU PREÇOS REFERENCIAIS </w:t>
      </w:r>
    </w:p>
    <w:p w14:paraId="6F41E6EE">
      <w:pPr>
        <w:spacing w:line="259" w:lineRule="auto"/>
        <w:rPr>
          <w:sz w:val="24"/>
          <w:szCs w:val="24"/>
        </w:rPr>
      </w:pPr>
      <w:r>
        <w:rPr>
          <w:sz w:val="24"/>
          <w:szCs w:val="24"/>
        </w:rPr>
        <w:t xml:space="preserve"> </w:t>
      </w:r>
    </w:p>
    <w:p w14:paraId="4E4535AA">
      <w:pPr>
        <w:ind w:left="-5"/>
        <w:rPr>
          <w:sz w:val="24"/>
          <w:szCs w:val="24"/>
        </w:rPr>
      </w:pPr>
      <w:r>
        <w:rPr>
          <w:sz w:val="24"/>
          <w:szCs w:val="24"/>
        </w:rPr>
        <w:t xml:space="preserve">A estimativa de preços da contratação será compatível com valores praticados no mercado considerados os preços constantes de bancos de dados públicos e as quantidades a serem contratadas, observada a potencial economia de escala e as peculiaridades do local de execução do objeto </w:t>
      </w:r>
    </w:p>
    <w:p w14:paraId="5028A8AD">
      <w:pPr>
        <w:ind w:left="-5"/>
        <w:rPr>
          <w:sz w:val="24"/>
          <w:szCs w:val="24"/>
        </w:rPr>
      </w:pPr>
    </w:p>
    <w:p w14:paraId="42DBE098">
      <w:pPr>
        <w:ind w:left="-5"/>
        <w:rPr>
          <w:sz w:val="24"/>
          <w:szCs w:val="24"/>
        </w:rPr>
      </w:pPr>
      <w:r>
        <w:rPr>
          <w:sz w:val="24"/>
          <w:szCs w:val="24"/>
        </w:rPr>
        <w:t xml:space="preserve">O custo estimado total da contratação pelo menor preço é de R$ 116.286,00 (cento e dezesseis mil duzentos e oitenta e seis reais) conforme custos avaliados através de pesquisa de preço realizada. </w:t>
      </w:r>
    </w:p>
    <w:p w14:paraId="084408B4">
      <w:pPr>
        <w:spacing w:after="96" w:line="259" w:lineRule="auto"/>
        <w:ind w:left="662"/>
        <w:rPr>
          <w:color w:val="4F81BD" w:themeColor="accent1"/>
          <w:sz w:val="24"/>
          <w:szCs w:val="24"/>
          <w14:textFill>
            <w14:solidFill>
              <w14:schemeClr w14:val="accent1"/>
            </w14:solidFill>
          </w14:textFill>
        </w:rPr>
      </w:pPr>
      <w:r>
        <w:rPr>
          <w:color w:val="4F81BD" w:themeColor="accent1"/>
          <w:sz w:val="24"/>
          <w:szCs w:val="24"/>
          <w14:textFill>
            <w14:solidFill>
              <w14:schemeClr w14:val="accent1"/>
            </w14:solidFill>
          </w14:textFill>
        </w:rPr>
        <w:t xml:space="preserve"> </w:t>
      </w:r>
    </w:p>
    <w:p w14:paraId="350EA0EE">
      <w:pPr>
        <w:pStyle w:val="3"/>
        <w:ind w:left="-5"/>
        <w:rPr>
          <w:sz w:val="24"/>
          <w:szCs w:val="24"/>
        </w:rPr>
      </w:pPr>
      <w:r>
        <w:rPr>
          <w:sz w:val="24"/>
          <w:szCs w:val="24"/>
        </w:rPr>
        <w:t xml:space="preserve">8 - DESCRIÇÃO DA NECESSIDADE COMO UM TODO </w:t>
      </w:r>
    </w:p>
    <w:p w14:paraId="0D40A581">
      <w:pPr>
        <w:spacing w:line="259" w:lineRule="auto"/>
        <w:rPr>
          <w:b/>
          <w:color w:val="4F81BD" w:themeColor="accent1"/>
          <w:sz w:val="24"/>
          <w:szCs w:val="24"/>
          <w14:textFill>
            <w14:solidFill>
              <w14:schemeClr w14:val="accent1"/>
            </w14:solidFill>
          </w14:textFill>
        </w:rPr>
      </w:pPr>
      <w:r>
        <w:rPr>
          <w:b/>
          <w:color w:val="4F81BD" w:themeColor="accent1"/>
          <w:sz w:val="24"/>
          <w:szCs w:val="24"/>
          <w14:textFill>
            <w14:solidFill>
              <w14:schemeClr w14:val="accent1"/>
            </w14:solidFill>
          </w14:textFill>
        </w:rPr>
        <w:t xml:space="preserve"> </w:t>
      </w:r>
    </w:p>
    <w:p w14:paraId="0419ED94">
      <w:pPr>
        <w:spacing w:line="360" w:lineRule="auto"/>
        <w:rPr>
          <w:sz w:val="24"/>
          <w:szCs w:val="24"/>
        </w:rPr>
      </w:pPr>
      <w:r>
        <w:rPr>
          <w:sz w:val="24"/>
          <w:szCs w:val="24"/>
        </w:rPr>
        <w:t>Assegurar a continuidade e a adequada execução dos serviços odontológicos prestados aos usuários do Sistema Único de Saúde – SUS, contribuindo para a orientação e manutenção da higiene bucal, bem como para a melhoria da qualidade do atendimento oferecido pelo CEO.</w:t>
      </w:r>
    </w:p>
    <w:p w14:paraId="71BC0494">
      <w:pPr>
        <w:pStyle w:val="24"/>
        <w:spacing w:line="360" w:lineRule="auto"/>
        <w:jc w:val="both"/>
      </w:pPr>
      <w:r>
        <w:t>Dessa forma, a contratação mostra-se necessária para suprir a demanda do serviço, evitando a insuficiência de materiais e assegurando condições adequadas para o desenvolvimento das atividades odontológicas e das ações de prevenção em saúde bucal.</w:t>
      </w:r>
    </w:p>
    <w:p w14:paraId="55089C59">
      <w:pPr>
        <w:numPr>
          <w:ilvl w:val="0"/>
          <w:numId w:val="6"/>
        </w:numPr>
        <w:spacing w:after="114" w:line="259" w:lineRule="auto"/>
        <w:ind w:hanging="300"/>
        <w:rPr>
          <w:sz w:val="24"/>
          <w:szCs w:val="24"/>
        </w:rPr>
      </w:pPr>
      <w:r>
        <w:rPr>
          <w:b/>
          <w:sz w:val="24"/>
          <w:szCs w:val="24"/>
        </w:rPr>
        <w:t xml:space="preserve">- JUSTIFICATIVA PARA PARCELAMENTO </w:t>
      </w:r>
    </w:p>
    <w:p w14:paraId="4662E277">
      <w:pPr>
        <w:spacing w:after="115" w:line="259" w:lineRule="auto"/>
        <w:ind w:left="-5"/>
        <w:rPr>
          <w:sz w:val="24"/>
          <w:szCs w:val="24"/>
        </w:rPr>
      </w:pPr>
      <w:r>
        <w:rPr>
          <w:sz w:val="24"/>
          <w:szCs w:val="24"/>
        </w:rPr>
        <w:t xml:space="preserve">Não há. </w:t>
      </w:r>
    </w:p>
    <w:p w14:paraId="74EA2FAB">
      <w:pPr>
        <w:spacing w:after="115" w:line="259" w:lineRule="auto"/>
        <w:ind w:left="-5"/>
        <w:rPr>
          <w:sz w:val="24"/>
          <w:szCs w:val="24"/>
        </w:rPr>
      </w:pPr>
    </w:p>
    <w:p w14:paraId="5A96CACB">
      <w:pPr>
        <w:numPr>
          <w:ilvl w:val="0"/>
          <w:numId w:val="6"/>
        </w:numPr>
        <w:spacing w:after="114" w:line="259" w:lineRule="auto"/>
        <w:ind w:hanging="300"/>
        <w:rPr>
          <w:sz w:val="24"/>
          <w:szCs w:val="24"/>
        </w:rPr>
      </w:pPr>
      <w:r>
        <w:rPr>
          <w:b/>
          <w:sz w:val="24"/>
          <w:szCs w:val="24"/>
        </w:rPr>
        <w:t xml:space="preserve">- CONTRATAÇÕES CORRELATAS/INTERDEPENDENTES </w:t>
      </w:r>
    </w:p>
    <w:p w14:paraId="65EEA63C">
      <w:pPr>
        <w:spacing w:line="259" w:lineRule="auto"/>
        <w:ind w:left="-5"/>
        <w:rPr>
          <w:color w:val="4F81BD" w:themeColor="accent1"/>
          <w:sz w:val="24"/>
          <w:szCs w:val="24"/>
          <w14:textFill>
            <w14:solidFill>
              <w14:schemeClr w14:val="accent1"/>
            </w14:solidFill>
          </w14:textFill>
        </w:rPr>
      </w:pPr>
      <w:r>
        <w:rPr>
          <w:sz w:val="24"/>
          <w:szCs w:val="24"/>
        </w:rPr>
        <w:t>Não exist</w:t>
      </w:r>
      <w:r>
        <w:rPr>
          <w:color w:val="4F81BD" w:themeColor="accent1"/>
          <w:sz w:val="24"/>
          <w:szCs w:val="24"/>
          <w14:textFill>
            <w14:solidFill>
              <w14:schemeClr w14:val="accent1"/>
            </w14:solidFill>
          </w14:textFill>
        </w:rPr>
        <w:t xml:space="preserve">e. </w:t>
      </w:r>
    </w:p>
    <w:p w14:paraId="0F6C397F">
      <w:pPr>
        <w:spacing w:line="259" w:lineRule="auto"/>
        <w:ind w:left="-5"/>
        <w:rPr>
          <w:color w:val="4F81BD" w:themeColor="accent1"/>
          <w:sz w:val="24"/>
          <w:szCs w:val="24"/>
          <w14:textFill>
            <w14:solidFill>
              <w14:schemeClr w14:val="accent1"/>
            </w14:solidFill>
          </w14:textFill>
        </w:rPr>
      </w:pPr>
    </w:p>
    <w:p w14:paraId="45E66D9E">
      <w:pPr>
        <w:numPr>
          <w:ilvl w:val="0"/>
          <w:numId w:val="6"/>
        </w:numPr>
        <w:spacing w:after="114" w:line="259" w:lineRule="auto"/>
        <w:ind w:hanging="300"/>
        <w:rPr>
          <w:sz w:val="24"/>
          <w:szCs w:val="24"/>
        </w:rPr>
      </w:pPr>
      <w:r>
        <w:rPr>
          <w:b/>
          <w:sz w:val="24"/>
          <w:szCs w:val="24"/>
        </w:rPr>
        <w:t xml:space="preserve">– IMPACTOS AMBIENTAIS </w:t>
      </w:r>
    </w:p>
    <w:p w14:paraId="34080DE2">
      <w:pPr>
        <w:spacing w:after="115" w:line="259" w:lineRule="auto"/>
        <w:ind w:left="-5"/>
        <w:rPr>
          <w:sz w:val="24"/>
          <w:szCs w:val="24"/>
        </w:rPr>
      </w:pPr>
      <w:r>
        <w:rPr>
          <w:sz w:val="24"/>
          <w:szCs w:val="24"/>
        </w:rPr>
        <w:t xml:space="preserve">Não há. </w:t>
      </w:r>
    </w:p>
    <w:p w14:paraId="669EE2DB">
      <w:pPr>
        <w:spacing w:after="115" w:line="259" w:lineRule="auto"/>
        <w:ind w:left="-5"/>
        <w:rPr>
          <w:sz w:val="24"/>
          <w:szCs w:val="24"/>
        </w:rPr>
      </w:pPr>
    </w:p>
    <w:p w14:paraId="34095585">
      <w:pPr>
        <w:spacing w:after="112" w:line="259" w:lineRule="auto"/>
        <w:rPr>
          <w:b/>
          <w:bCs/>
          <w:sz w:val="24"/>
          <w:szCs w:val="24"/>
        </w:rPr>
      </w:pPr>
      <w:r>
        <w:rPr>
          <w:b/>
          <w:bCs/>
          <w:sz w:val="24"/>
          <w:szCs w:val="24"/>
        </w:rPr>
        <w:t xml:space="preserve"> 12 -RESULTADOS PRETENDIDOS </w:t>
      </w:r>
    </w:p>
    <w:p w14:paraId="65228E8E">
      <w:pPr>
        <w:pStyle w:val="24"/>
        <w:spacing w:line="360" w:lineRule="auto"/>
        <w:jc w:val="both"/>
      </w:pPr>
      <w:r>
        <w:t>Garantir o fornecimento regular e adequado de kits de higiene bucal e escovas elétricas para atendimento das necessidades do Centro de Especialidades Odontológicas (CEO), assegurando a disponibilidade dos materiais necessários à promoção, prevenção e manutenção da saúde bucal dos usuários.</w:t>
      </w:r>
    </w:p>
    <w:p w14:paraId="79C3C31C">
      <w:pPr>
        <w:pStyle w:val="24"/>
        <w:spacing w:line="360" w:lineRule="auto"/>
        <w:jc w:val="both"/>
      </w:pPr>
      <w:r>
        <w:t>Contribuir para a melhoria da qualidade do atendimento prestado, incentivar a adoção de hábitos adequados de higiene oral, prevenir agravos odontológicos e proporcionar maior efetividade às ações de assistência e educação em saúde desenvolvidas pelo CEO, observando-se os princípios da eficiência, economicidade e continuidade do serviço público.</w:t>
      </w:r>
    </w:p>
    <w:p w14:paraId="66210E18">
      <w:pPr>
        <w:pStyle w:val="2"/>
        <w:numPr>
          <w:ilvl w:val="0"/>
          <w:numId w:val="7"/>
        </w:numPr>
        <w:spacing w:before="0" w:after="114" w:line="259" w:lineRule="auto"/>
        <w:ind w:left="-5" w:hanging="10"/>
        <w:rPr>
          <w:sz w:val="24"/>
          <w:szCs w:val="24"/>
        </w:rPr>
      </w:pPr>
      <w:r>
        <w:rPr>
          <w:sz w:val="24"/>
          <w:szCs w:val="24"/>
        </w:rPr>
        <w:t xml:space="preserve">RESPONSÁVEL </w:t>
      </w:r>
    </w:p>
    <w:p w14:paraId="1D26918D">
      <w:pPr>
        <w:ind w:right="8969"/>
        <w:rPr>
          <w:sz w:val="24"/>
          <w:szCs w:val="24"/>
        </w:rPr>
      </w:pPr>
      <w:r>
        <w:rPr>
          <w:b/>
          <w:sz w:val="24"/>
          <w:szCs w:val="24"/>
        </w:rPr>
        <w:t xml:space="preserve">   </w:t>
      </w:r>
    </w:p>
    <w:p w14:paraId="6BAA981A">
      <w:pPr>
        <w:spacing w:after="115" w:line="259" w:lineRule="auto"/>
        <w:ind w:right="1"/>
        <w:jc w:val="center"/>
        <w:rPr>
          <w:sz w:val="24"/>
          <w:szCs w:val="24"/>
        </w:rPr>
      </w:pPr>
      <w:r>
        <w:rPr>
          <w:sz w:val="24"/>
          <w:szCs w:val="24"/>
        </w:rPr>
        <w:t xml:space="preserve">Valença, 12 de agosto de 2026. </w:t>
      </w:r>
    </w:p>
    <w:p w14:paraId="0A99FB09">
      <w:pPr>
        <w:spacing w:after="2" w:line="356" w:lineRule="auto"/>
        <w:ind w:left="4513" w:right="4456"/>
        <w:jc w:val="center"/>
        <w:rPr>
          <w:sz w:val="24"/>
          <w:szCs w:val="24"/>
        </w:rPr>
      </w:pPr>
      <w:r>
        <w:rPr>
          <w:b/>
          <w:sz w:val="24"/>
          <w:szCs w:val="24"/>
        </w:rPr>
        <w:t xml:space="preserve">  </w:t>
      </w:r>
    </w:p>
    <w:p w14:paraId="504036CD">
      <w:pPr>
        <w:spacing w:after="120"/>
        <w:jc w:val="center"/>
        <w:rPr>
          <w:rFonts w:eastAsia="Arial"/>
          <w:sz w:val="24"/>
          <w:szCs w:val="24"/>
        </w:rPr>
      </w:pPr>
      <w:r>
        <w:rPr>
          <w:rFonts w:eastAsia="Arial"/>
          <w:sz w:val="24"/>
          <w:szCs w:val="24"/>
        </w:rPr>
        <w:t>Carlos Andre Silvestre do Rego</w:t>
      </w:r>
    </w:p>
    <w:p w14:paraId="4A832898">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cs="Times New Roman"/>
          <w:color w:val="4F81BD" w:themeColor="accent1"/>
          <w:szCs w:val="24"/>
          <w14:textFill>
            <w14:solidFill>
              <w14:schemeClr w14:val="accent1"/>
            </w14:solidFill>
          </w14:textFill>
        </w:rPr>
      </w:pPr>
      <w:r>
        <w:rPr>
          <w:rFonts w:ascii="Times New Roman" w:hAnsi="Times New Roman" w:cs="Times New Roman"/>
          <w:color w:val="auto"/>
          <w:kern w:val="3"/>
          <w:szCs w:val="24"/>
          <w:lang w:eastAsia="zh-CN" w:bidi="hi-IN"/>
        </w:rPr>
        <w:t>.</w:t>
      </w:r>
      <w:r>
        <w:rPr>
          <w:rFonts w:ascii="Times New Roman" w:hAnsi="Times New Roman" w:cs="Times New Roman"/>
          <w:color w:val="auto"/>
          <w:szCs w:val="24"/>
        </w:rPr>
        <w:t>Matricula 100.269</w:t>
      </w:r>
    </w:p>
    <w:p w14:paraId="707B2BA1">
      <w:pPr>
        <w:spacing w:before="288" w:beforeLines="120" w:after="288" w:afterLines="120" w:line="288" w:lineRule="auto"/>
        <w:contextualSpacing/>
        <w:rPr>
          <w:rFonts w:eastAsia="MS Mincho"/>
          <w:b/>
          <w:sz w:val="24"/>
          <w:szCs w:val="24"/>
        </w:rPr>
      </w:pPr>
    </w:p>
    <w:p w14:paraId="5199D739">
      <w:pPr>
        <w:spacing w:before="288" w:beforeLines="120" w:after="288" w:afterLines="120" w:line="288" w:lineRule="auto"/>
        <w:contextualSpacing/>
        <w:rPr>
          <w:rFonts w:eastAsia="MS Mincho"/>
          <w:b/>
          <w:sz w:val="24"/>
          <w:szCs w:val="24"/>
        </w:rPr>
      </w:pPr>
    </w:p>
    <w:p w14:paraId="4C6398BD">
      <w:pPr>
        <w:spacing w:before="288" w:beforeLines="120" w:after="288" w:afterLines="120" w:line="288" w:lineRule="auto"/>
        <w:contextualSpacing/>
        <w:rPr>
          <w:rFonts w:eastAsia="MS Mincho"/>
          <w:b/>
          <w:sz w:val="24"/>
          <w:szCs w:val="24"/>
        </w:rPr>
      </w:pPr>
    </w:p>
    <w:p w14:paraId="39DA4476">
      <w:pPr>
        <w:spacing w:before="288" w:beforeLines="120" w:after="288" w:afterLines="120" w:line="288" w:lineRule="auto"/>
        <w:contextualSpacing/>
        <w:rPr>
          <w:rFonts w:eastAsia="MS Mincho"/>
          <w:b/>
          <w:sz w:val="24"/>
          <w:szCs w:val="24"/>
        </w:rPr>
      </w:pPr>
    </w:p>
    <w:p w14:paraId="47444F4E">
      <w:pPr>
        <w:spacing w:before="288" w:beforeLines="120" w:after="288" w:afterLines="120" w:line="288" w:lineRule="auto"/>
        <w:contextualSpacing/>
        <w:rPr>
          <w:rFonts w:eastAsia="MS Mincho"/>
          <w:b/>
          <w:sz w:val="24"/>
          <w:szCs w:val="24"/>
        </w:rPr>
      </w:pPr>
    </w:p>
    <w:p w14:paraId="723A601B">
      <w:pPr>
        <w:spacing w:before="288" w:beforeLines="120" w:after="288" w:afterLines="120" w:line="288" w:lineRule="auto"/>
        <w:contextualSpacing/>
        <w:rPr>
          <w:rFonts w:eastAsia="MS Mincho"/>
          <w:b/>
          <w:sz w:val="24"/>
          <w:szCs w:val="24"/>
        </w:rPr>
      </w:pPr>
    </w:p>
    <w:p w14:paraId="677BDCF4">
      <w:pPr>
        <w:spacing w:before="288" w:beforeLines="120" w:after="288" w:afterLines="120" w:line="288" w:lineRule="auto"/>
        <w:contextualSpacing/>
        <w:rPr>
          <w:rFonts w:eastAsia="MS Mincho"/>
          <w:b/>
          <w:sz w:val="24"/>
          <w:szCs w:val="24"/>
        </w:rPr>
      </w:pPr>
    </w:p>
    <w:p w14:paraId="6A36224A">
      <w:pPr>
        <w:spacing w:before="288" w:beforeLines="120" w:after="288" w:afterLines="120" w:line="288" w:lineRule="auto"/>
        <w:contextualSpacing/>
        <w:rPr>
          <w:rFonts w:eastAsia="MS Mincho"/>
          <w:b/>
          <w:sz w:val="24"/>
          <w:szCs w:val="24"/>
        </w:rPr>
      </w:pPr>
    </w:p>
    <w:p w14:paraId="652CB34E">
      <w:pPr>
        <w:spacing w:before="288" w:beforeLines="120" w:after="288" w:afterLines="120" w:line="288" w:lineRule="auto"/>
        <w:contextualSpacing/>
        <w:rPr>
          <w:rFonts w:eastAsia="MS Mincho"/>
          <w:b/>
          <w:sz w:val="24"/>
          <w:szCs w:val="24"/>
        </w:rPr>
      </w:pPr>
    </w:p>
    <w:p w14:paraId="5EE910D7">
      <w:pPr>
        <w:spacing w:before="288" w:beforeLines="120" w:after="288" w:afterLines="120" w:line="288" w:lineRule="auto"/>
        <w:contextualSpacing/>
        <w:rPr>
          <w:rFonts w:eastAsia="MS Mincho"/>
          <w:b/>
          <w:sz w:val="24"/>
          <w:szCs w:val="24"/>
        </w:rPr>
      </w:pPr>
    </w:p>
    <w:p w14:paraId="1BE05C11">
      <w:pPr>
        <w:spacing w:before="288" w:beforeLines="120" w:after="288" w:afterLines="120" w:line="288" w:lineRule="auto"/>
        <w:contextualSpacing/>
        <w:rPr>
          <w:rFonts w:eastAsia="MS Mincho"/>
          <w:b/>
          <w:sz w:val="24"/>
          <w:szCs w:val="24"/>
        </w:rPr>
      </w:pPr>
    </w:p>
    <w:p w14:paraId="50BF4D96">
      <w:pPr>
        <w:spacing w:before="288" w:beforeLines="120" w:after="288" w:afterLines="120" w:line="288" w:lineRule="auto"/>
        <w:contextualSpacing/>
        <w:rPr>
          <w:rFonts w:eastAsia="MS Mincho"/>
          <w:b/>
          <w:sz w:val="24"/>
          <w:szCs w:val="24"/>
        </w:rPr>
      </w:pPr>
    </w:p>
    <w:p w14:paraId="7D3208E2">
      <w:pPr>
        <w:spacing w:before="288" w:beforeLines="120" w:after="288" w:afterLines="120" w:line="288" w:lineRule="auto"/>
        <w:contextualSpacing/>
        <w:rPr>
          <w:rFonts w:eastAsia="MS Mincho"/>
          <w:b/>
          <w:sz w:val="24"/>
          <w:szCs w:val="24"/>
        </w:rPr>
      </w:pPr>
    </w:p>
    <w:p w14:paraId="2D2014D0">
      <w:pPr>
        <w:spacing w:before="288" w:beforeLines="120" w:after="288" w:afterLines="120" w:line="288" w:lineRule="auto"/>
        <w:contextualSpacing/>
        <w:rPr>
          <w:rFonts w:eastAsia="MS Mincho"/>
          <w:b/>
          <w:sz w:val="24"/>
          <w:szCs w:val="24"/>
        </w:rPr>
      </w:pPr>
    </w:p>
    <w:p w14:paraId="2532C1B2">
      <w:pPr>
        <w:spacing w:before="288" w:beforeLines="120" w:after="288" w:afterLines="120" w:line="288" w:lineRule="auto"/>
        <w:contextualSpacing/>
        <w:jc w:val="center"/>
        <w:rPr>
          <w:rFonts w:eastAsia="MS Mincho"/>
          <w:b/>
          <w:sz w:val="24"/>
          <w:szCs w:val="24"/>
          <w:u w:val="single"/>
        </w:rPr>
      </w:pPr>
      <w:r>
        <w:rPr>
          <w:rFonts w:eastAsia="MS Mincho"/>
          <w:b/>
          <w:sz w:val="24"/>
          <w:szCs w:val="24"/>
          <w:highlight w:val="yellow"/>
          <w:u w:val="single"/>
        </w:rPr>
        <w:t>ANEXO III – MODELO DE PROPOSTA</w:t>
      </w:r>
    </w:p>
    <w:p w14:paraId="273D83BC">
      <w:pPr>
        <w:spacing w:before="288" w:beforeLines="120" w:after="288" w:afterLines="120" w:line="288" w:lineRule="auto"/>
        <w:contextualSpacing/>
        <w:jc w:val="center"/>
        <w:rPr>
          <w:rFonts w:eastAsia="MS Mincho"/>
          <w:b/>
          <w:sz w:val="24"/>
          <w:szCs w:val="24"/>
        </w:rPr>
      </w:pPr>
    </w:p>
    <w:tbl>
      <w:tblPr>
        <w:tblStyle w:val="10"/>
        <w:tblW w:w="889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10"/>
        <w:gridCol w:w="1605"/>
        <w:gridCol w:w="1950"/>
        <w:gridCol w:w="585"/>
        <w:gridCol w:w="825"/>
        <w:gridCol w:w="615"/>
        <w:gridCol w:w="1245"/>
        <w:gridCol w:w="1260"/>
      </w:tblGrid>
      <w:tr w14:paraId="7CA3DE8E">
        <w:tblPrEx>
          <w:tblCellMar>
            <w:top w:w="0" w:type="dxa"/>
            <w:left w:w="108" w:type="dxa"/>
            <w:bottom w:w="0" w:type="dxa"/>
            <w:right w:w="108" w:type="dxa"/>
          </w:tblCellMar>
        </w:tblPrEx>
        <w:trPr>
          <w:cantSplit/>
          <w:trHeight w:val="420" w:hRule="atLeast"/>
          <w:tblHeader/>
        </w:trPr>
        <w:tc>
          <w:tcPr>
            <w:tcW w:w="4365" w:type="dxa"/>
            <w:gridSpan w:val="3"/>
            <w:shd w:val="clear" w:color="auto" w:fill="CCCCCC"/>
            <w:tcMar>
              <w:top w:w="100" w:type="dxa"/>
              <w:left w:w="100" w:type="dxa"/>
              <w:bottom w:w="100" w:type="dxa"/>
              <w:right w:w="100" w:type="dxa"/>
            </w:tcMar>
          </w:tcPr>
          <w:p w14:paraId="7DF3945E">
            <w:pPr>
              <w:spacing w:before="288" w:beforeLines="120" w:after="288" w:afterLines="120" w:line="288" w:lineRule="auto"/>
              <w:contextualSpacing/>
              <w:jc w:val="center"/>
              <w:rPr>
                <w:rFonts w:eastAsia="MS Mincho"/>
                <w:b/>
                <w:sz w:val="24"/>
                <w:szCs w:val="24"/>
              </w:rPr>
            </w:pPr>
            <w:r>
              <w:rPr>
                <w:rFonts w:eastAsia="MS Mincho"/>
                <w:b/>
                <w:sz w:val="24"/>
                <w:szCs w:val="24"/>
              </w:rPr>
              <w:t>ANEXO III – MODELO DE PROPOSTA</w:t>
            </w:r>
          </w:p>
          <w:p w14:paraId="048FC886">
            <w:pPr>
              <w:pStyle w:val="77"/>
              <w:widowControl w:val="0"/>
              <w:rPr>
                <w:rFonts w:ascii="Times New Roman" w:hAnsi="Times New Roman" w:cs="Times New Roman"/>
                <w:b/>
                <w:i/>
                <w:iCs/>
                <w:sz w:val="24"/>
                <w:szCs w:val="24"/>
              </w:rPr>
            </w:pPr>
          </w:p>
          <w:p w14:paraId="1B0C5F39">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PREFEITURA MUNICIPAL DE VALENÇA</w:t>
            </w:r>
          </w:p>
        </w:tc>
        <w:tc>
          <w:tcPr>
            <w:tcW w:w="2025" w:type="dxa"/>
            <w:gridSpan w:val="3"/>
            <w:shd w:val="clear" w:color="auto" w:fill="CCCCCC"/>
            <w:tcMar>
              <w:top w:w="100" w:type="dxa"/>
              <w:left w:w="100" w:type="dxa"/>
              <w:bottom w:w="100" w:type="dxa"/>
              <w:right w:w="100" w:type="dxa"/>
            </w:tcMar>
          </w:tcPr>
          <w:p w14:paraId="44ADDD6E">
            <w:pPr>
              <w:pStyle w:val="77"/>
              <w:widowControl w:val="0"/>
              <w:rPr>
                <w:rFonts w:ascii="Times New Roman" w:hAnsi="Times New Roman" w:cs="Times New Roman"/>
                <w:b/>
                <w:sz w:val="24"/>
                <w:szCs w:val="24"/>
              </w:rPr>
            </w:pPr>
            <w:r>
              <w:rPr>
                <w:rFonts w:ascii="Times New Roman" w:hAnsi="Times New Roman" w:cs="Times New Roman"/>
                <w:b/>
                <w:sz w:val="24"/>
                <w:szCs w:val="24"/>
              </w:rPr>
              <w:t>Pregão Eletrônico N° _____/____</w:t>
            </w:r>
          </w:p>
        </w:tc>
        <w:tc>
          <w:tcPr>
            <w:tcW w:w="2505" w:type="dxa"/>
            <w:gridSpan w:val="2"/>
            <w:shd w:val="clear" w:color="auto" w:fill="auto"/>
            <w:tcMar>
              <w:top w:w="100" w:type="dxa"/>
              <w:left w:w="100" w:type="dxa"/>
              <w:bottom w:w="100" w:type="dxa"/>
              <w:right w:w="100" w:type="dxa"/>
            </w:tcMar>
          </w:tcPr>
          <w:p w14:paraId="5D14A8FD">
            <w:pPr>
              <w:pStyle w:val="77"/>
              <w:widowControl w:val="0"/>
              <w:rPr>
                <w:rFonts w:ascii="Times New Roman" w:hAnsi="Times New Roman" w:cs="Times New Roman"/>
                <w:b/>
                <w:sz w:val="24"/>
                <w:szCs w:val="24"/>
              </w:rPr>
            </w:pPr>
            <w:r>
              <w:rPr>
                <w:rFonts w:ascii="Times New Roman" w:hAnsi="Times New Roman" w:cs="Times New Roman"/>
                <w:b/>
                <w:sz w:val="24"/>
                <w:szCs w:val="24"/>
              </w:rPr>
              <w:t>CNPJ:</w:t>
            </w:r>
          </w:p>
        </w:tc>
      </w:tr>
      <w:tr w14:paraId="67A3B9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4950" w:type="dxa"/>
            <w:gridSpan w:val="4"/>
            <w:shd w:val="clear" w:color="auto" w:fill="auto"/>
            <w:tcMar>
              <w:top w:w="100" w:type="dxa"/>
              <w:left w:w="100" w:type="dxa"/>
              <w:bottom w:w="100" w:type="dxa"/>
              <w:right w:w="100" w:type="dxa"/>
            </w:tcMar>
          </w:tcPr>
          <w:p w14:paraId="359DD5F6">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Razão Social:</w:t>
            </w:r>
          </w:p>
        </w:tc>
        <w:tc>
          <w:tcPr>
            <w:tcW w:w="3945" w:type="dxa"/>
            <w:gridSpan w:val="4"/>
            <w:shd w:val="clear" w:color="auto" w:fill="auto"/>
            <w:tcMar>
              <w:top w:w="100" w:type="dxa"/>
              <w:left w:w="100" w:type="dxa"/>
              <w:bottom w:w="100" w:type="dxa"/>
              <w:right w:w="100" w:type="dxa"/>
            </w:tcMar>
          </w:tcPr>
          <w:p w14:paraId="03261942">
            <w:pPr>
              <w:pStyle w:val="77"/>
              <w:widowControl w:val="0"/>
              <w:rPr>
                <w:rFonts w:ascii="Times New Roman" w:hAnsi="Times New Roman" w:cs="Times New Roman"/>
                <w:b/>
                <w:sz w:val="24"/>
                <w:szCs w:val="24"/>
              </w:rPr>
            </w:pPr>
            <w:r>
              <w:rPr>
                <w:rFonts w:ascii="Times New Roman" w:hAnsi="Times New Roman" w:cs="Times New Roman"/>
                <w:b/>
                <w:sz w:val="24"/>
                <w:szCs w:val="24"/>
              </w:rPr>
              <w:t>E-mail:</w:t>
            </w:r>
          </w:p>
        </w:tc>
      </w:tr>
      <w:tr w14:paraId="7F89A4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5775" w:type="dxa"/>
            <w:gridSpan w:val="5"/>
            <w:shd w:val="clear" w:color="auto" w:fill="auto"/>
            <w:tcMar>
              <w:top w:w="100" w:type="dxa"/>
              <w:left w:w="100" w:type="dxa"/>
              <w:bottom w:w="100" w:type="dxa"/>
              <w:right w:w="100" w:type="dxa"/>
            </w:tcMar>
          </w:tcPr>
          <w:p w14:paraId="0F0179F6">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Endereço:</w:t>
            </w:r>
          </w:p>
        </w:tc>
        <w:tc>
          <w:tcPr>
            <w:tcW w:w="3120" w:type="dxa"/>
            <w:gridSpan w:val="3"/>
            <w:shd w:val="clear" w:color="auto" w:fill="auto"/>
            <w:tcMar>
              <w:top w:w="100" w:type="dxa"/>
              <w:left w:w="100" w:type="dxa"/>
              <w:bottom w:w="100" w:type="dxa"/>
              <w:right w:w="100" w:type="dxa"/>
            </w:tcMar>
          </w:tcPr>
          <w:p w14:paraId="46B0967A">
            <w:pPr>
              <w:pStyle w:val="77"/>
              <w:widowControl w:val="0"/>
              <w:rPr>
                <w:rFonts w:ascii="Times New Roman" w:hAnsi="Times New Roman" w:cs="Times New Roman"/>
                <w:b/>
                <w:sz w:val="24"/>
                <w:szCs w:val="24"/>
              </w:rPr>
            </w:pPr>
            <w:r>
              <w:rPr>
                <w:rFonts w:ascii="Times New Roman" w:hAnsi="Times New Roman" w:cs="Times New Roman"/>
                <w:b/>
                <w:sz w:val="24"/>
                <w:szCs w:val="24"/>
              </w:rPr>
              <w:t>Tel.:</w:t>
            </w:r>
          </w:p>
        </w:tc>
      </w:tr>
      <w:tr w14:paraId="78D6ED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4365" w:type="dxa"/>
            <w:gridSpan w:val="3"/>
            <w:shd w:val="clear" w:color="auto" w:fill="auto"/>
            <w:tcMar>
              <w:top w:w="100" w:type="dxa"/>
              <w:left w:w="100" w:type="dxa"/>
              <w:bottom w:w="100" w:type="dxa"/>
              <w:right w:w="100" w:type="dxa"/>
            </w:tcMar>
          </w:tcPr>
          <w:p w14:paraId="5E75EF31">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Banco:</w:t>
            </w:r>
          </w:p>
        </w:tc>
        <w:tc>
          <w:tcPr>
            <w:tcW w:w="1410" w:type="dxa"/>
            <w:gridSpan w:val="2"/>
            <w:shd w:val="clear" w:color="auto" w:fill="auto"/>
            <w:tcMar>
              <w:top w:w="100" w:type="dxa"/>
              <w:left w:w="100" w:type="dxa"/>
              <w:bottom w:w="100" w:type="dxa"/>
              <w:right w:w="100" w:type="dxa"/>
            </w:tcMar>
          </w:tcPr>
          <w:p w14:paraId="6D6625E8">
            <w:pPr>
              <w:pStyle w:val="77"/>
              <w:widowControl w:val="0"/>
              <w:rPr>
                <w:rFonts w:ascii="Times New Roman" w:hAnsi="Times New Roman" w:cs="Times New Roman"/>
                <w:b/>
                <w:sz w:val="24"/>
                <w:szCs w:val="24"/>
              </w:rPr>
            </w:pPr>
            <w:r>
              <w:rPr>
                <w:rFonts w:ascii="Times New Roman" w:hAnsi="Times New Roman" w:cs="Times New Roman"/>
                <w:b/>
                <w:sz w:val="24"/>
                <w:szCs w:val="24"/>
              </w:rPr>
              <w:t>Agência:</w:t>
            </w:r>
          </w:p>
        </w:tc>
        <w:tc>
          <w:tcPr>
            <w:tcW w:w="3120" w:type="dxa"/>
            <w:gridSpan w:val="3"/>
            <w:shd w:val="clear" w:color="auto" w:fill="auto"/>
            <w:tcMar>
              <w:top w:w="100" w:type="dxa"/>
              <w:left w:w="100" w:type="dxa"/>
              <w:bottom w:w="100" w:type="dxa"/>
              <w:right w:w="100" w:type="dxa"/>
            </w:tcMar>
          </w:tcPr>
          <w:p w14:paraId="02C91FD5">
            <w:pPr>
              <w:pStyle w:val="77"/>
              <w:widowControl w:val="0"/>
              <w:rPr>
                <w:rFonts w:ascii="Times New Roman" w:hAnsi="Times New Roman" w:cs="Times New Roman"/>
                <w:b/>
                <w:sz w:val="24"/>
                <w:szCs w:val="24"/>
              </w:rPr>
            </w:pPr>
            <w:r>
              <w:rPr>
                <w:rFonts w:ascii="Times New Roman" w:hAnsi="Times New Roman" w:cs="Times New Roman"/>
                <w:b/>
                <w:sz w:val="24"/>
                <w:szCs w:val="24"/>
              </w:rPr>
              <w:t>Conta Corrente:</w:t>
            </w:r>
          </w:p>
        </w:tc>
      </w:tr>
      <w:tr w14:paraId="591ECE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CCCCCC"/>
            <w:tcMar>
              <w:top w:w="100" w:type="dxa"/>
              <w:left w:w="100" w:type="dxa"/>
              <w:bottom w:w="100" w:type="dxa"/>
              <w:right w:w="100" w:type="dxa"/>
            </w:tcMar>
          </w:tcPr>
          <w:p w14:paraId="68584C93">
            <w:pPr>
              <w:pStyle w:val="77"/>
              <w:widowControl w:val="0"/>
              <w:jc w:val="center"/>
              <w:rPr>
                <w:rFonts w:ascii="Times New Roman" w:hAnsi="Times New Roman" w:cs="Times New Roman"/>
                <w:b/>
                <w:i/>
                <w:iCs/>
                <w:sz w:val="24"/>
                <w:szCs w:val="24"/>
              </w:rPr>
            </w:pPr>
            <w:r>
              <w:rPr>
                <w:rFonts w:ascii="Times New Roman" w:hAnsi="Times New Roman" w:cs="Times New Roman"/>
                <w:b/>
                <w:i/>
                <w:iCs/>
                <w:sz w:val="24"/>
                <w:szCs w:val="24"/>
              </w:rPr>
              <w:t>LOTE/</w:t>
            </w:r>
          </w:p>
          <w:p w14:paraId="1E7E8749">
            <w:pPr>
              <w:pStyle w:val="77"/>
              <w:widowControl w:val="0"/>
              <w:jc w:val="center"/>
              <w:rPr>
                <w:rFonts w:ascii="Times New Roman" w:hAnsi="Times New Roman" w:cs="Times New Roman"/>
                <w:b/>
                <w:i/>
                <w:iCs/>
                <w:sz w:val="24"/>
                <w:szCs w:val="24"/>
              </w:rPr>
            </w:pPr>
            <w:r>
              <w:rPr>
                <w:rFonts w:ascii="Times New Roman" w:hAnsi="Times New Roman" w:cs="Times New Roman"/>
                <w:b/>
                <w:i/>
                <w:iCs/>
                <w:sz w:val="24"/>
                <w:szCs w:val="24"/>
              </w:rPr>
              <w:t>ITEM</w:t>
            </w:r>
          </w:p>
        </w:tc>
        <w:tc>
          <w:tcPr>
            <w:tcW w:w="1605" w:type="dxa"/>
            <w:shd w:val="clear" w:color="auto" w:fill="CCCCCC"/>
            <w:tcMar>
              <w:top w:w="100" w:type="dxa"/>
              <w:left w:w="100" w:type="dxa"/>
              <w:bottom w:w="100" w:type="dxa"/>
              <w:right w:w="100" w:type="dxa"/>
            </w:tcMar>
          </w:tcPr>
          <w:p w14:paraId="7718B3DD">
            <w:pPr>
              <w:pStyle w:val="77"/>
              <w:widowControl w:val="0"/>
              <w:jc w:val="center"/>
              <w:rPr>
                <w:rFonts w:ascii="Times New Roman" w:hAnsi="Times New Roman" w:cs="Times New Roman"/>
                <w:b/>
                <w:i/>
                <w:iCs/>
                <w:sz w:val="24"/>
                <w:szCs w:val="24"/>
              </w:rPr>
            </w:pPr>
            <w:r>
              <w:rPr>
                <w:rFonts w:ascii="Times New Roman" w:hAnsi="Times New Roman" w:cs="Times New Roman"/>
                <w:b/>
                <w:i/>
                <w:iCs/>
                <w:sz w:val="24"/>
                <w:szCs w:val="24"/>
              </w:rPr>
              <w:t>Código de Material / Código BR</w:t>
            </w:r>
          </w:p>
        </w:tc>
        <w:tc>
          <w:tcPr>
            <w:tcW w:w="1950" w:type="dxa"/>
            <w:shd w:val="clear" w:color="auto" w:fill="CCCCCC"/>
            <w:tcMar>
              <w:top w:w="100" w:type="dxa"/>
              <w:left w:w="100" w:type="dxa"/>
              <w:bottom w:w="100" w:type="dxa"/>
              <w:right w:w="100" w:type="dxa"/>
            </w:tcMar>
          </w:tcPr>
          <w:p w14:paraId="09B915E8">
            <w:pPr>
              <w:pStyle w:val="77"/>
              <w:widowControl w:val="0"/>
              <w:jc w:val="center"/>
              <w:rPr>
                <w:rFonts w:ascii="Times New Roman" w:hAnsi="Times New Roman" w:cs="Times New Roman"/>
                <w:b/>
                <w:i/>
                <w:iCs/>
                <w:sz w:val="24"/>
                <w:szCs w:val="24"/>
              </w:rPr>
            </w:pPr>
            <w:r>
              <w:rPr>
                <w:rFonts w:ascii="Times New Roman" w:hAnsi="Times New Roman" w:cs="Times New Roman"/>
                <w:b/>
                <w:i/>
                <w:iCs/>
                <w:sz w:val="24"/>
                <w:szCs w:val="24"/>
              </w:rPr>
              <w:t>Nome Padronizado</w:t>
            </w:r>
          </w:p>
        </w:tc>
        <w:tc>
          <w:tcPr>
            <w:tcW w:w="585" w:type="dxa"/>
            <w:shd w:val="clear" w:color="auto" w:fill="CCCCCC"/>
            <w:tcMar>
              <w:top w:w="100" w:type="dxa"/>
              <w:left w:w="100" w:type="dxa"/>
              <w:bottom w:w="100" w:type="dxa"/>
              <w:right w:w="100" w:type="dxa"/>
            </w:tcMar>
          </w:tcPr>
          <w:p w14:paraId="1C8A190F">
            <w:pPr>
              <w:pStyle w:val="77"/>
              <w:widowControl w:val="0"/>
              <w:jc w:val="center"/>
              <w:rPr>
                <w:rFonts w:ascii="Times New Roman" w:hAnsi="Times New Roman" w:cs="Times New Roman"/>
                <w:b/>
                <w:sz w:val="24"/>
                <w:szCs w:val="24"/>
              </w:rPr>
            </w:pPr>
            <w:r>
              <w:rPr>
                <w:rFonts w:ascii="Times New Roman" w:hAnsi="Times New Roman" w:cs="Times New Roman"/>
                <w:b/>
                <w:sz w:val="24"/>
                <w:szCs w:val="24"/>
              </w:rPr>
              <w:t>U/C</w:t>
            </w:r>
          </w:p>
        </w:tc>
        <w:tc>
          <w:tcPr>
            <w:tcW w:w="825" w:type="dxa"/>
            <w:shd w:val="clear" w:color="auto" w:fill="CCCCCC"/>
            <w:tcMar>
              <w:top w:w="100" w:type="dxa"/>
              <w:left w:w="100" w:type="dxa"/>
              <w:bottom w:w="100" w:type="dxa"/>
              <w:right w:w="100" w:type="dxa"/>
            </w:tcMar>
          </w:tcPr>
          <w:p w14:paraId="78F01BA1">
            <w:pPr>
              <w:pStyle w:val="77"/>
              <w:widowControl w:val="0"/>
              <w:jc w:val="center"/>
              <w:rPr>
                <w:rFonts w:ascii="Times New Roman" w:hAnsi="Times New Roman" w:cs="Times New Roman"/>
                <w:b/>
                <w:sz w:val="24"/>
                <w:szCs w:val="24"/>
              </w:rPr>
            </w:pPr>
            <w:r>
              <w:rPr>
                <w:rFonts w:ascii="Times New Roman" w:hAnsi="Times New Roman" w:cs="Times New Roman"/>
                <w:b/>
                <w:sz w:val="24"/>
                <w:szCs w:val="24"/>
              </w:rPr>
              <w:t>Marca</w:t>
            </w:r>
          </w:p>
        </w:tc>
        <w:tc>
          <w:tcPr>
            <w:tcW w:w="615" w:type="dxa"/>
            <w:shd w:val="clear" w:color="auto" w:fill="CCCCCC"/>
            <w:tcMar>
              <w:top w:w="100" w:type="dxa"/>
              <w:left w:w="100" w:type="dxa"/>
              <w:bottom w:w="100" w:type="dxa"/>
              <w:right w:w="100" w:type="dxa"/>
            </w:tcMar>
          </w:tcPr>
          <w:p w14:paraId="2E60DEC2">
            <w:pPr>
              <w:pStyle w:val="77"/>
              <w:widowControl w:val="0"/>
              <w:jc w:val="center"/>
              <w:rPr>
                <w:rFonts w:ascii="Times New Roman" w:hAnsi="Times New Roman" w:cs="Times New Roman"/>
                <w:b/>
                <w:sz w:val="24"/>
                <w:szCs w:val="24"/>
              </w:rPr>
            </w:pPr>
            <w:r>
              <w:rPr>
                <w:rFonts w:ascii="Times New Roman" w:hAnsi="Times New Roman" w:cs="Times New Roman"/>
                <w:b/>
                <w:sz w:val="24"/>
                <w:szCs w:val="24"/>
              </w:rPr>
              <w:t>Qtd</w:t>
            </w:r>
          </w:p>
        </w:tc>
        <w:tc>
          <w:tcPr>
            <w:tcW w:w="1245" w:type="dxa"/>
            <w:shd w:val="clear" w:color="auto" w:fill="CCCCCC"/>
            <w:tcMar>
              <w:top w:w="100" w:type="dxa"/>
              <w:left w:w="100" w:type="dxa"/>
              <w:bottom w:w="100" w:type="dxa"/>
              <w:right w:w="100" w:type="dxa"/>
            </w:tcMar>
          </w:tcPr>
          <w:p w14:paraId="554E8846">
            <w:pPr>
              <w:pStyle w:val="77"/>
              <w:widowControl w:val="0"/>
              <w:jc w:val="center"/>
              <w:rPr>
                <w:rFonts w:ascii="Times New Roman" w:hAnsi="Times New Roman" w:cs="Times New Roman"/>
                <w:b/>
                <w:sz w:val="24"/>
                <w:szCs w:val="24"/>
              </w:rPr>
            </w:pPr>
            <w:r>
              <w:rPr>
                <w:rFonts w:ascii="Times New Roman" w:hAnsi="Times New Roman" w:cs="Times New Roman"/>
                <w:b/>
                <w:sz w:val="24"/>
                <w:szCs w:val="24"/>
              </w:rPr>
              <w:t>Preço Unitário</w:t>
            </w:r>
          </w:p>
        </w:tc>
        <w:tc>
          <w:tcPr>
            <w:tcW w:w="1260" w:type="dxa"/>
            <w:shd w:val="clear" w:color="auto" w:fill="CCCCCC"/>
            <w:tcMar>
              <w:top w:w="100" w:type="dxa"/>
              <w:left w:w="100" w:type="dxa"/>
              <w:bottom w:w="100" w:type="dxa"/>
              <w:right w:w="100" w:type="dxa"/>
            </w:tcMar>
          </w:tcPr>
          <w:p w14:paraId="40CED06D">
            <w:pPr>
              <w:pStyle w:val="77"/>
              <w:widowControl w:val="0"/>
              <w:jc w:val="center"/>
              <w:rPr>
                <w:rFonts w:ascii="Times New Roman" w:hAnsi="Times New Roman" w:cs="Times New Roman"/>
                <w:b/>
                <w:sz w:val="24"/>
                <w:szCs w:val="24"/>
              </w:rPr>
            </w:pPr>
            <w:r>
              <w:rPr>
                <w:rFonts w:ascii="Times New Roman" w:hAnsi="Times New Roman" w:cs="Times New Roman"/>
                <w:b/>
                <w:sz w:val="24"/>
                <w:szCs w:val="24"/>
              </w:rPr>
              <w:t>Preço Total</w:t>
            </w:r>
          </w:p>
        </w:tc>
      </w:tr>
      <w:tr w14:paraId="1AC3E5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auto"/>
            <w:tcMar>
              <w:top w:w="100" w:type="dxa"/>
              <w:left w:w="100" w:type="dxa"/>
              <w:bottom w:w="100" w:type="dxa"/>
              <w:right w:w="100" w:type="dxa"/>
            </w:tcMar>
          </w:tcPr>
          <w:p w14:paraId="0DD66404">
            <w:pPr>
              <w:pStyle w:val="77"/>
              <w:widowControl w:val="0"/>
              <w:rPr>
                <w:rFonts w:ascii="Times New Roman" w:hAnsi="Times New Roman" w:cs="Times New Roman"/>
                <w:b/>
                <w:i/>
                <w:iCs/>
                <w:sz w:val="24"/>
                <w:szCs w:val="24"/>
              </w:rPr>
            </w:pPr>
          </w:p>
        </w:tc>
        <w:tc>
          <w:tcPr>
            <w:tcW w:w="1605" w:type="dxa"/>
            <w:shd w:val="clear" w:color="auto" w:fill="auto"/>
            <w:tcMar>
              <w:top w:w="100" w:type="dxa"/>
              <w:left w:w="100" w:type="dxa"/>
              <w:bottom w:w="100" w:type="dxa"/>
              <w:right w:w="100" w:type="dxa"/>
            </w:tcMar>
          </w:tcPr>
          <w:p w14:paraId="74C79E61">
            <w:pPr>
              <w:pStyle w:val="77"/>
              <w:widowControl w:val="0"/>
              <w:rPr>
                <w:rFonts w:ascii="Times New Roman" w:hAnsi="Times New Roman" w:cs="Times New Roman"/>
                <w:b/>
                <w:i/>
                <w:iCs/>
                <w:sz w:val="24"/>
                <w:szCs w:val="24"/>
              </w:rPr>
            </w:pPr>
          </w:p>
        </w:tc>
        <w:tc>
          <w:tcPr>
            <w:tcW w:w="1950" w:type="dxa"/>
            <w:shd w:val="clear" w:color="auto" w:fill="auto"/>
            <w:tcMar>
              <w:top w:w="100" w:type="dxa"/>
              <w:left w:w="100" w:type="dxa"/>
              <w:bottom w:w="100" w:type="dxa"/>
              <w:right w:w="100" w:type="dxa"/>
            </w:tcMar>
          </w:tcPr>
          <w:p w14:paraId="2913E088">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Preço Unitário: Por extenso</w:t>
            </w:r>
          </w:p>
        </w:tc>
        <w:tc>
          <w:tcPr>
            <w:tcW w:w="585" w:type="dxa"/>
            <w:shd w:val="clear" w:color="auto" w:fill="auto"/>
            <w:tcMar>
              <w:top w:w="100" w:type="dxa"/>
              <w:left w:w="100" w:type="dxa"/>
              <w:bottom w:w="100" w:type="dxa"/>
              <w:right w:w="100" w:type="dxa"/>
            </w:tcMar>
          </w:tcPr>
          <w:p w14:paraId="7A998D75">
            <w:pPr>
              <w:pStyle w:val="77"/>
              <w:widowControl w:val="0"/>
              <w:rPr>
                <w:rFonts w:ascii="Times New Roman" w:hAnsi="Times New Roman" w:cs="Times New Roman"/>
                <w:b/>
                <w:sz w:val="24"/>
                <w:szCs w:val="24"/>
              </w:rPr>
            </w:pPr>
          </w:p>
        </w:tc>
        <w:tc>
          <w:tcPr>
            <w:tcW w:w="825" w:type="dxa"/>
            <w:shd w:val="clear" w:color="auto" w:fill="auto"/>
            <w:tcMar>
              <w:top w:w="100" w:type="dxa"/>
              <w:left w:w="100" w:type="dxa"/>
              <w:bottom w:w="100" w:type="dxa"/>
              <w:right w:w="100" w:type="dxa"/>
            </w:tcMar>
          </w:tcPr>
          <w:p w14:paraId="6FD4A95A">
            <w:pPr>
              <w:pStyle w:val="77"/>
              <w:widowControl w:val="0"/>
              <w:rPr>
                <w:rFonts w:ascii="Times New Roman" w:hAnsi="Times New Roman" w:cs="Times New Roman"/>
                <w:b/>
                <w:sz w:val="24"/>
                <w:szCs w:val="24"/>
              </w:rPr>
            </w:pPr>
          </w:p>
        </w:tc>
        <w:tc>
          <w:tcPr>
            <w:tcW w:w="615" w:type="dxa"/>
            <w:shd w:val="clear" w:color="auto" w:fill="auto"/>
            <w:tcMar>
              <w:top w:w="100" w:type="dxa"/>
              <w:left w:w="100" w:type="dxa"/>
              <w:bottom w:w="100" w:type="dxa"/>
              <w:right w:w="100" w:type="dxa"/>
            </w:tcMar>
          </w:tcPr>
          <w:p w14:paraId="4C71D89B">
            <w:pPr>
              <w:pStyle w:val="77"/>
              <w:widowControl w:val="0"/>
              <w:rPr>
                <w:rFonts w:ascii="Times New Roman" w:hAnsi="Times New Roman" w:cs="Times New Roman"/>
                <w:b/>
                <w:sz w:val="24"/>
                <w:szCs w:val="24"/>
              </w:rPr>
            </w:pPr>
          </w:p>
        </w:tc>
        <w:tc>
          <w:tcPr>
            <w:tcW w:w="1245" w:type="dxa"/>
            <w:shd w:val="clear" w:color="auto" w:fill="auto"/>
            <w:tcMar>
              <w:top w:w="100" w:type="dxa"/>
              <w:left w:w="100" w:type="dxa"/>
              <w:bottom w:w="100" w:type="dxa"/>
              <w:right w:w="100" w:type="dxa"/>
            </w:tcMar>
          </w:tcPr>
          <w:p w14:paraId="468F9656">
            <w:pPr>
              <w:pStyle w:val="77"/>
              <w:widowControl w:val="0"/>
              <w:rPr>
                <w:rFonts w:ascii="Times New Roman" w:hAnsi="Times New Roman" w:cs="Times New Roman"/>
                <w:b/>
                <w:sz w:val="24"/>
                <w:szCs w:val="24"/>
              </w:rPr>
            </w:pPr>
          </w:p>
        </w:tc>
        <w:tc>
          <w:tcPr>
            <w:tcW w:w="1260" w:type="dxa"/>
            <w:shd w:val="clear" w:color="auto" w:fill="auto"/>
            <w:tcMar>
              <w:top w:w="100" w:type="dxa"/>
              <w:left w:w="100" w:type="dxa"/>
              <w:bottom w:w="100" w:type="dxa"/>
              <w:right w:w="100" w:type="dxa"/>
            </w:tcMar>
          </w:tcPr>
          <w:p w14:paraId="0D874DE4">
            <w:pPr>
              <w:pStyle w:val="77"/>
              <w:widowControl w:val="0"/>
              <w:rPr>
                <w:rFonts w:ascii="Times New Roman" w:hAnsi="Times New Roman" w:cs="Times New Roman"/>
                <w:b/>
                <w:sz w:val="24"/>
                <w:szCs w:val="24"/>
              </w:rPr>
            </w:pPr>
          </w:p>
        </w:tc>
      </w:tr>
      <w:tr w14:paraId="53A091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auto"/>
            <w:tcMar>
              <w:top w:w="100" w:type="dxa"/>
              <w:left w:w="100" w:type="dxa"/>
              <w:bottom w:w="100" w:type="dxa"/>
              <w:right w:w="100" w:type="dxa"/>
            </w:tcMar>
          </w:tcPr>
          <w:p w14:paraId="685543EB">
            <w:pPr>
              <w:pStyle w:val="77"/>
              <w:widowControl w:val="0"/>
              <w:rPr>
                <w:rFonts w:ascii="Times New Roman" w:hAnsi="Times New Roman" w:cs="Times New Roman"/>
                <w:b/>
                <w:i/>
                <w:iCs/>
                <w:sz w:val="24"/>
                <w:szCs w:val="24"/>
              </w:rPr>
            </w:pPr>
          </w:p>
        </w:tc>
        <w:tc>
          <w:tcPr>
            <w:tcW w:w="1605" w:type="dxa"/>
            <w:shd w:val="clear" w:color="auto" w:fill="auto"/>
            <w:tcMar>
              <w:top w:w="100" w:type="dxa"/>
              <w:left w:w="100" w:type="dxa"/>
              <w:bottom w:w="100" w:type="dxa"/>
              <w:right w:w="100" w:type="dxa"/>
            </w:tcMar>
          </w:tcPr>
          <w:p w14:paraId="2A1B6DE8">
            <w:pPr>
              <w:pStyle w:val="77"/>
              <w:widowControl w:val="0"/>
              <w:rPr>
                <w:rFonts w:ascii="Times New Roman" w:hAnsi="Times New Roman" w:cs="Times New Roman"/>
                <w:b/>
                <w:i/>
                <w:iCs/>
                <w:sz w:val="24"/>
                <w:szCs w:val="24"/>
              </w:rPr>
            </w:pPr>
          </w:p>
        </w:tc>
        <w:tc>
          <w:tcPr>
            <w:tcW w:w="1950" w:type="dxa"/>
            <w:shd w:val="clear" w:color="auto" w:fill="auto"/>
            <w:tcMar>
              <w:top w:w="100" w:type="dxa"/>
              <w:left w:w="100" w:type="dxa"/>
              <w:bottom w:w="100" w:type="dxa"/>
              <w:right w:w="100" w:type="dxa"/>
            </w:tcMar>
          </w:tcPr>
          <w:p w14:paraId="79542775">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Preço Unitário: Por extenso</w:t>
            </w:r>
          </w:p>
        </w:tc>
        <w:tc>
          <w:tcPr>
            <w:tcW w:w="585" w:type="dxa"/>
            <w:shd w:val="clear" w:color="auto" w:fill="auto"/>
            <w:tcMar>
              <w:top w:w="100" w:type="dxa"/>
              <w:left w:w="100" w:type="dxa"/>
              <w:bottom w:w="100" w:type="dxa"/>
              <w:right w:w="100" w:type="dxa"/>
            </w:tcMar>
          </w:tcPr>
          <w:p w14:paraId="2C7AACF7">
            <w:pPr>
              <w:pStyle w:val="77"/>
              <w:widowControl w:val="0"/>
              <w:rPr>
                <w:rFonts w:ascii="Times New Roman" w:hAnsi="Times New Roman" w:cs="Times New Roman"/>
                <w:b/>
                <w:sz w:val="24"/>
                <w:szCs w:val="24"/>
              </w:rPr>
            </w:pPr>
          </w:p>
        </w:tc>
        <w:tc>
          <w:tcPr>
            <w:tcW w:w="825" w:type="dxa"/>
            <w:shd w:val="clear" w:color="auto" w:fill="auto"/>
            <w:tcMar>
              <w:top w:w="100" w:type="dxa"/>
              <w:left w:w="100" w:type="dxa"/>
              <w:bottom w:w="100" w:type="dxa"/>
              <w:right w:w="100" w:type="dxa"/>
            </w:tcMar>
          </w:tcPr>
          <w:p w14:paraId="794A4423">
            <w:pPr>
              <w:pStyle w:val="77"/>
              <w:widowControl w:val="0"/>
              <w:rPr>
                <w:rFonts w:ascii="Times New Roman" w:hAnsi="Times New Roman" w:cs="Times New Roman"/>
                <w:b/>
                <w:sz w:val="24"/>
                <w:szCs w:val="24"/>
              </w:rPr>
            </w:pPr>
          </w:p>
        </w:tc>
        <w:tc>
          <w:tcPr>
            <w:tcW w:w="615" w:type="dxa"/>
            <w:shd w:val="clear" w:color="auto" w:fill="auto"/>
            <w:tcMar>
              <w:top w:w="100" w:type="dxa"/>
              <w:left w:w="100" w:type="dxa"/>
              <w:bottom w:w="100" w:type="dxa"/>
              <w:right w:w="100" w:type="dxa"/>
            </w:tcMar>
          </w:tcPr>
          <w:p w14:paraId="3124ECB3">
            <w:pPr>
              <w:pStyle w:val="77"/>
              <w:widowControl w:val="0"/>
              <w:rPr>
                <w:rFonts w:ascii="Times New Roman" w:hAnsi="Times New Roman" w:cs="Times New Roman"/>
                <w:b/>
                <w:sz w:val="24"/>
                <w:szCs w:val="24"/>
              </w:rPr>
            </w:pPr>
          </w:p>
        </w:tc>
        <w:tc>
          <w:tcPr>
            <w:tcW w:w="1245" w:type="dxa"/>
            <w:shd w:val="clear" w:color="auto" w:fill="auto"/>
            <w:tcMar>
              <w:top w:w="100" w:type="dxa"/>
              <w:left w:w="100" w:type="dxa"/>
              <w:bottom w:w="100" w:type="dxa"/>
              <w:right w:w="100" w:type="dxa"/>
            </w:tcMar>
          </w:tcPr>
          <w:p w14:paraId="70995DC6">
            <w:pPr>
              <w:pStyle w:val="77"/>
              <w:widowControl w:val="0"/>
              <w:rPr>
                <w:rFonts w:ascii="Times New Roman" w:hAnsi="Times New Roman" w:cs="Times New Roman"/>
                <w:b/>
                <w:sz w:val="24"/>
                <w:szCs w:val="24"/>
              </w:rPr>
            </w:pPr>
          </w:p>
        </w:tc>
        <w:tc>
          <w:tcPr>
            <w:tcW w:w="1260" w:type="dxa"/>
            <w:shd w:val="clear" w:color="auto" w:fill="auto"/>
            <w:tcMar>
              <w:top w:w="100" w:type="dxa"/>
              <w:left w:w="100" w:type="dxa"/>
              <w:bottom w:w="100" w:type="dxa"/>
              <w:right w:w="100" w:type="dxa"/>
            </w:tcMar>
          </w:tcPr>
          <w:p w14:paraId="46AF7176">
            <w:pPr>
              <w:pStyle w:val="77"/>
              <w:widowControl w:val="0"/>
              <w:rPr>
                <w:rFonts w:ascii="Times New Roman" w:hAnsi="Times New Roman" w:cs="Times New Roman"/>
                <w:b/>
                <w:sz w:val="24"/>
                <w:szCs w:val="24"/>
              </w:rPr>
            </w:pPr>
          </w:p>
        </w:tc>
      </w:tr>
      <w:tr w14:paraId="29148F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51FB19AB">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Preço total lote/item: Por extenso</w:t>
            </w:r>
          </w:p>
        </w:tc>
      </w:tr>
      <w:tr w14:paraId="189B3D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14C304C9">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Preço total: Por extenso</w:t>
            </w:r>
          </w:p>
        </w:tc>
      </w:tr>
      <w:tr w14:paraId="5CD3CB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169ED6D0">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Declaramos inteira submissão aos termos desta proposta, do Edital e à Legislação em vigor.</w:t>
            </w:r>
          </w:p>
          <w:p w14:paraId="66A3AE45">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Valença, _______ de __________________ de ________.</w:t>
            </w:r>
          </w:p>
          <w:p w14:paraId="30617C90">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_____________________________________</w:t>
            </w:r>
          </w:p>
          <w:p w14:paraId="26F45E94">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Representante legal (nome por extenso)</w:t>
            </w:r>
          </w:p>
          <w:p w14:paraId="07DD2B6F">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Cargo:</w:t>
            </w:r>
          </w:p>
          <w:p w14:paraId="4AD808BB">
            <w:pPr>
              <w:pStyle w:val="77"/>
              <w:widowControl w:val="0"/>
              <w:rPr>
                <w:rFonts w:ascii="Times New Roman" w:hAnsi="Times New Roman" w:cs="Times New Roman"/>
                <w:b/>
                <w:i/>
                <w:iCs/>
                <w:sz w:val="24"/>
                <w:szCs w:val="24"/>
              </w:rPr>
            </w:pPr>
            <w:r>
              <w:rPr>
                <w:rFonts w:ascii="Times New Roman" w:hAnsi="Times New Roman" w:cs="Times New Roman"/>
                <w:b/>
                <w:i/>
                <w:iCs/>
                <w:sz w:val="24"/>
                <w:szCs w:val="24"/>
              </w:rPr>
              <w:t>CPF:</w:t>
            </w:r>
          </w:p>
        </w:tc>
      </w:tr>
    </w:tbl>
    <w:p w14:paraId="443C21BF">
      <w:pPr>
        <w:pStyle w:val="77"/>
        <w:jc w:val="both"/>
        <w:rPr>
          <w:rFonts w:ascii="Times New Roman" w:hAnsi="Times New Roman" w:cs="Times New Roman"/>
          <w:b/>
          <w:sz w:val="24"/>
          <w:szCs w:val="24"/>
          <w:highlight w:val="yellow"/>
        </w:rPr>
      </w:pPr>
      <w:r>
        <w:rPr>
          <w:rFonts w:ascii="Times New Roman" w:hAnsi="Times New Roman" w:cs="Times New Roman"/>
          <w:b/>
          <w:sz w:val="24"/>
          <w:szCs w:val="24"/>
          <w:highlight w:val="yellow"/>
        </w:rPr>
        <w:t>Deverão ser atendidas as especificações constantes no Termo de Referência.</w:t>
      </w:r>
    </w:p>
    <w:p w14:paraId="51E7818A">
      <w:pPr>
        <w:pStyle w:val="77"/>
        <w:jc w:val="both"/>
        <w:rPr>
          <w:rFonts w:ascii="Times New Roman" w:hAnsi="Times New Roman" w:cs="Times New Roman"/>
          <w:b/>
          <w:sz w:val="24"/>
          <w:szCs w:val="24"/>
          <w:highlight w:val="yellow"/>
        </w:rPr>
      </w:pPr>
      <w:r>
        <w:rPr>
          <w:rFonts w:ascii="Times New Roman" w:hAnsi="Times New Roman" w:cs="Times New Roman"/>
          <w:b/>
          <w:sz w:val="24"/>
          <w:szCs w:val="24"/>
          <w:highlight w:val="yellow"/>
        </w:rPr>
        <w:t>Validade da proposta: 60 (sessenta) dias.</w:t>
      </w:r>
    </w:p>
    <w:p w14:paraId="39616D37">
      <w:pPr>
        <w:pStyle w:val="77"/>
        <w:jc w:val="both"/>
        <w:rPr>
          <w:rFonts w:ascii="Times New Roman" w:hAnsi="Times New Roman" w:cs="Times New Roman"/>
          <w:b/>
          <w:sz w:val="24"/>
          <w:szCs w:val="24"/>
          <w:highlight w:val="yellow"/>
        </w:rPr>
      </w:pPr>
      <w:r>
        <w:rPr>
          <w:rFonts w:ascii="Times New Roman" w:hAnsi="Times New Roman" w:cs="Times New Roman"/>
          <w:b/>
          <w:sz w:val="24"/>
          <w:szCs w:val="24"/>
          <w:highlight w:val="yellow"/>
        </w:rPr>
        <w:t>Local de Entrega dos materiais: Conforme Termo de Referência.</w:t>
      </w:r>
    </w:p>
    <w:p w14:paraId="69A7A7E7">
      <w:pPr>
        <w:pStyle w:val="77"/>
        <w:jc w:val="both"/>
        <w:rPr>
          <w:rFonts w:ascii="Times New Roman" w:hAnsi="Times New Roman" w:cs="Times New Roman"/>
          <w:b/>
          <w:sz w:val="24"/>
          <w:szCs w:val="24"/>
          <w:highlight w:val="yellow"/>
        </w:rPr>
      </w:pPr>
      <w:r>
        <w:rPr>
          <w:rFonts w:ascii="Times New Roman" w:hAnsi="Times New Roman" w:cs="Times New Roman"/>
          <w:b/>
          <w:sz w:val="24"/>
          <w:szCs w:val="24"/>
          <w:highlight w:val="yellow"/>
        </w:rPr>
        <w:t>Obs.1: A empresa adjudicatária deverá fornecer os materiais de acordo com estabelecido na Legislação específica vigente e no Código de Defesa do Consumidor.</w:t>
      </w:r>
    </w:p>
    <w:p w14:paraId="5FE12959">
      <w:pPr>
        <w:pStyle w:val="77"/>
        <w:jc w:val="both"/>
        <w:rPr>
          <w:rFonts w:ascii="Times New Roman" w:hAnsi="Times New Roman" w:cs="Times New Roman"/>
          <w:b/>
          <w:sz w:val="24"/>
          <w:szCs w:val="24"/>
          <w:highlight w:val="yellow"/>
        </w:rPr>
      </w:pPr>
      <w:r>
        <w:rPr>
          <w:rFonts w:ascii="Times New Roman" w:hAnsi="Times New Roman" w:cs="Times New Roman"/>
          <w:b/>
          <w:sz w:val="24"/>
          <w:szCs w:val="24"/>
          <w:highlight w:val="yellow"/>
        </w:rPr>
        <w:t>Obs. 2: A entrega dos materiais será aceita provisoriamente no local de entrega e após conferência de sua conformidade será o mesmo aceito definitivamente.</w:t>
      </w:r>
    </w:p>
    <w:p w14:paraId="5BFC32C4">
      <w:pPr>
        <w:pStyle w:val="77"/>
        <w:jc w:val="both"/>
        <w:rPr>
          <w:rFonts w:ascii="Times New Roman" w:hAnsi="Times New Roman" w:cs="Times New Roman"/>
          <w:b/>
          <w:sz w:val="24"/>
          <w:szCs w:val="24"/>
        </w:rPr>
      </w:pPr>
      <w:r>
        <w:rPr>
          <w:rFonts w:ascii="Times New Roman" w:hAnsi="Times New Roman" w:cs="Times New Roman"/>
          <w:b/>
          <w:sz w:val="24"/>
          <w:szCs w:val="24"/>
          <w:highlight w:val="yellow"/>
        </w:rPr>
        <w:t>Obs. 3: A proposta deverá ser elaborada em papel timbrado da empresa, com todos os dados da mesma.</w:t>
      </w:r>
    </w:p>
    <w:p w14:paraId="75347792">
      <w:pPr>
        <w:pStyle w:val="70"/>
        <w:rPr>
          <w:rFonts w:ascii="Times New Roman" w:hAnsi="Times New Roman" w:cs="Times New Roman"/>
        </w:rPr>
      </w:pPr>
    </w:p>
    <w:p w14:paraId="78DC0B3B">
      <w:pPr>
        <w:jc w:val="center"/>
        <w:rPr>
          <w:b/>
          <w:color w:val="000000"/>
          <w:sz w:val="24"/>
          <w:szCs w:val="24"/>
        </w:rPr>
      </w:pPr>
      <w:r>
        <w:rPr>
          <w:b/>
          <w:color w:val="000000"/>
          <w:sz w:val="24"/>
          <w:szCs w:val="24"/>
        </w:rPr>
        <w:t xml:space="preserve">   </w:t>
      </w:r>
    </w:p>
    <w:p w14:paraId="2CA7C58E">
      <w:pPr>
        <w:spacing w:before="288" w:beforeLines="120" w:after="288" w:afterLines="120" w:line="288" w:lineRule="auto"/>
        <w:contextualSpacing/>
        <w:jc w:val="center"/>
        <w:rPr>
          <w:rFonts w:eastAsia="MS Mincho"/>
          <w:b/>
          <w:color w:val="FF0000"/>
          <w:sz w:val="24"/>
          <w:szCs w:val="24"/>
          <w:u w:val="single"/>
        </w:rPr>
      </w:pPr>
      <w:r>
        <w:rPr>
          <w:rFonts w:eastAsia="MS Mincho"/>
          <w:b/>
          <w:sz w:val="24"/>
          <w:szCs w:val="24"/>
          <w:highlight w:val="yellow"/>
          <w:u w:val="single"/>
        </w:rPr>
        <w:t>ANEXO</w:t>
      </w:r>
      <w:r>
        <w:rPr>
          <w:rFonts w:eastAsia="MS Mincho"/>
          <w:b/>
          <w:color w:val="000000" w:themeColor="text1"/>
          <w:sz w:val="24"/>
          <w:szCs w:val="24"/>
          <w:highlight w:val="yellow"/>
          <w:u w:val="single"/>
          <w14:textFill>
            <w14:solidFill>
              <w14:schemeClr w14:val="tx1"/>
            </w14:solidFill>
          </w14:textFill>
        </w:rPr>
        <w:t xml:space="preserve"> IV </w:t>
      </w:r>
      <w:r>
        <w:rPr>
          <w:rFonts w:eastAsia="MS Mincho"/>
          <w:b/>
          <w:sz w:val="24"/>
          <w:szCs w:val="24"/>
          <w:highlight w:val="yellow"/>
          <w:u w:val="single"/>
        </w:rPr>
        <w:t>– DOCUMENTAÇÃO EXIGIDA PARA HABILITAÇÃO</w:t>
      </w:r>
    </w:p>
    <w:p w14:paraId="3B529A73">
      <w:pPr>
        <w:spacing w:before="288" w:beforeLines="120" w:after="288" w:afterLines="120" w:line="288" w:lineRule="auto"/>
        <w:contextualSpacing/>
        <w:jc w:val="center"/>
        <w:rPr>
          <w:rFonts w:eastAsia="MS Mincho"/>
          <w:b/>
          <w:color w:val="FF0000"/>
          <w:sz w:val="24"/>
          <w:szCs w:val="24"/>
        </w:rPr>
      </w:pPr>
    </w:p>
    <w:p w14:paraId="6AFBFAA7">
      <w:pPr>
        <w:spacing w:line="288" w:lineRule="auto"/>
        <w:contextualSpacing/>
        <w:rPr>
          <w:color w:val="FF0000"/>
          <w:sz w:val="24"/>
          <w:szCs w:val="24"/>
        </w:rPr>
      </w:pPr>
    </w:p>
    <w:p w14:paraId="5FCBC071">
      <w:pPr>
        <w:spacing w:line="288" w:lineRule="auto"/>
        <w:contextualSpacing/>
        <w:rPr>
          <w:b/>
          <w:bCs/>
          <w:sz w:val="24"/>
          <w:szCs w:val="24"/>
        </w:rPr>
      </w:pPr>
      <w:r>
        <w:rPr>
          <w:b/>
          <w:bCs/>
          <w:sz w:val="24"/>
          <w:szCs w:val="24"/>
        </w:rPr>
        <w:t>1. HABILITAÇÃO JURÍDICA</w:t>
      </w:r>
    </w:p>
    <w:p w14:paraId="26A29EEC">
      <w:pPr>
        <w:spacing w:line="288" w:lineRule="auto"/>
        <w:contextualSpacing/>
        <w:rPr>
          <w:sz w:val="24"/>
          <w:szCs w:val="24"/>
        </w:rPr>
      </w:pPr>
    </w:p>
    <w:p w14:paraId="47B77E7A">
      <w:pPr>
        <w:spacing w:before="240" w:after="240" w:line="288" w:lineRule="auto"/>
        <w:contextualSpacing/>
        <w:jc w:val="both"/>
        <w:rPr>
          <w:sz w:val="24"/>
          <w:szCs w:val="24"/>
        </w:rPr>
      </w:pPr>
      <w:r>
        <w:rPr>
          <w:bCs/>
          <w:sz w:val="24"/>
          <w:szCs w:val="24"/>
        </w:rPr>
        <w:t xml:space="preserve">1.1 </w:t>
      </w:r>
      <w:r>
        <w:rPr>
          <w:sz w:val="24"/>
          <w:szCs w:val="24"/>
        </w:rPr>
        <w:t>Pessoa física: cédula de identidade (RG) ou documento equivalente que, por força de lei, tenha validade para fins de identificação em todo o território nacional.</w:t>
      </w:r>
    </w:p>
    <w:p w14:paraId="657BF7BE">
      <w:pPr>
        <w:tabs>
          <w:tab w:val="left" w:pos="1440"/>
        </w:tabs>
        <w:autoSpaceDE w:val="0"/>
        <w:snapToGrid w:val="0"/>
        <w:spacing w:line="288" w:lineRule="auto"/>
        <w:contextualSpacing/>
        <w:jc w:val="both"/>
        <w:rPr>
          <w:sz w:val="24"/>
          <w:szCs w:val="24"/>
        </w:rPr>
      </w:pPr>
    </w:p>
    <w:p w14:paraId="5FDC23AA">
      <w:pPr>
        <w:tabs>
          <w:tab w:val="left" w:pos="1440"/>
        </w:tabs>
        <w:autoSpaceDE w:val="0"/>
        <w:snapToGrid w:val="0"/>
        <w:spacing w:line="288" w:lineRule="auto"/>
        <w:contextualSpacing/>
        <w:jc w:val="both"/>
        <w:rPr>
          <w:sz w:val="24"/>
          <w:szCs w:val="24"/>
        </w:rPr>
      </w:pPr>
      <w:r>
        <w:rPr>
          <w:sz w:val="24"/>
          <w:szCs w:val="24"/>
        </w:rPr>
        <w:t>1.2 Empresário individual: inscrição no Registro Público de Empresas Mercantis, a cargo da Junta Comercial da respectiva sede.</w:t>
      </w:r>
    </w:p>
    <w:p w14:paraId="1B512353">
      <w:pPr>
        <w:tabs>
          <w:tab w:val="left" w:pos="1440"/>
        </w:tabs>
        <w:autoSpaceDE w:val="0"/>
        <w:snapToGrid w:val="0"/>
        <w:spacing w:line="288" w:lineRule="auto"/>
        <w:contextualSpacing/>
        <w:jc w:val="both"/>
        <w:rPr>
          <w:sz w:val="24"/>
          <w:szCs w:val="24"/>
        </w:rPr>
      </w:pPr>
    </w:p>
    <w:p w14:paraId="12C4F694">
      <w:pPr>
        <w:tabs>
          <w:tab w:val="left" w:pos="1440"/>
        </w:tabs>
        <w:autoSpaceDE w:val="0"/>
        <w:snapToGrid w:val="0"/>
        <w:spacing w:line="288" w:lineRule="auto"/>
        <w:contextualSpacing/>
        <w:jc w:val="both"/>
        <w:rPr>
          <w:color w:val="000000"/>
          <w:sz w:val="24"/>
          <w:szCs w:val="24"/>
        </w:rPr>
      </w:pPr>
      <w:r>
        <w:rPr>
          <w:color w:val="000000"/>
          <w:sz w:val="24"/>
          <w:szCs w:val="24"/>
        </w:rPr>
        <w:t xml:space="preserve">1.3 Microempreendedor Individual - MEI: Certificado da Condição de Microempreendedor Individual - CCMEI, cuja aceitação ficará condicionada à verificação da autenticidade no sítio </w:t>
      </w:r>
      <w:r>
        <w:fldChar w:fldCharType="begin"/>
      </w:r>
      <w:r>
        <w:instrText xml:space="preserve"> HYPERLINK "http://www.portaldoempreendedor.gov.br" </w:instrText>
      </w:r>
      <w:r>
        <w:fldChar w:fldCharType="separate"/>
      </w:r>
      <w:r>
        <w:rPr>
          <w:rStyle w:val="16"/>
          <w:rFonts w:eastAsiaTheme="minorHAnsi"/>
          <w:sz w:val="24"/>
          <w:szCs w:val="24"/>
        </w:rPr>
        <w:t>www.portaldoempreendedor.gov.br</w:t>
      </w:r>
      <w:r>
        <w:rPr>
          <w:rStyle w:val="16"/>
          <w:rFonts w:eastAsiaTheme="minorHAnsi"/>
          <w:sz w:val="24"/>
          <w:szCs w:val="24"/>
        </w:rPr>
        <w:fldChar w:fldCharType="end"/>
      </w:r>
      <w:r>
        <w:rPr>
          <w:color w:val="000000"/>
          <w:sz w:val="24"/>
          <w:szCs w:val="24"/>
        </w:rPr>
        <w:t>.</w:t>
      </w:r>
    </w:p>
    <w:p w14:paraId="293453EC">
      <w:pPr>
        <w:tabs>
          <w:tab w:val="left" w:pos="1440"/>
        </w:tabs>
        <w:autoSpaceDE w:val="0"/>
        <w:snapToGrid w:val="0"/>
        <w:spacing w:line="288" w:lineRule="auto"/>
        <w:contextualSpacing/>
        <w:rPr>
          <w:color w:val="000000"/>
          <w:sz w:val="24"/>
          <w:szCs w:val="24"/>
        </w:rPr>
      </w:pPr>
    </w:p>
    <w:p w14:paraId="57845B80">
      <w:pPr>
        <w:tabs>
          <w:tab w:val="left" w:pos="1440"/>
        </w:tabs>
        <w:autoSpaceDE w:val="0"/>
        <w:snapToGrid w:val="0"/>
        <w:spacing w:line="288" w:lineRule="auto"/>
        <w:contextualSpacing/>
        <w:jc w:val="both"/>
        <w:rPr>
          <w:color w:val="000000"/>
          <w:sz w:val="24"/>
          <w:szCs w:val="24"/>
        </w:rPr>
      </w:pPr>
      <w:r>
        <w:rPr>
          <w:color w:val="000000"/>
          <w:sz w:val="24"/>
          <w:szCs w:val="24"/>
        </w:rPr>
        <w:t xml:space="preserve">1.4 Sociedade Limitada Unipessoal - SLU: ato constitutivo, estatuto ou contrato social em vigor inscrito </w:t>
      </w:r>
      <w:r>
        <w:rPr>
          <w:sz w:val="24"/>
          <w:szCs w:val="24"/>
        </w:rPr>
        <w:t>no Registro Público de Empresas Mercantis, a cargo</w:t>
      </w:r>
      <w:r>
        <w:rPr>
          <w:color w:val="000000"/>
          <w:sz w:val="24"/>
          <w:szCs w:val="24"/>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0BB72461">
      <w:pPr>
        <w:tabs>
          <w:tab w:val="left" w:pos="1440"/>
        </w:tabs>
        <w:autoSpaceDE w:val="0"/>
        <w:snapToGrid w:val="0"/>
        <w:spacing w:line="288" w:lineRule="auto"/>
        <w:contextualSpacing/>
        <w:rPr>
          <w:sz w:val="24"/>
          <w:szCs w:val="24"/>
        </w:rPr>
      </w:pPr>
    </w:p>
    <w:p w14:paraId="0BFB5FC7">
      <w:pPr>
        <w:spacing w:line="288" w:lineRule="auto"/>
        <w:contextualSpacing/>
        <w:jc w:val="both"/>
        <w:rPr>
          <w:color w:val="000000"/>
          <w:sz w:val="24"/>
          <w:szCs w:val="24"/>
        </w:rPr>
      </w:pPr>
      <w:r>
        <w:rPr>
          <w:color w:val="000000"/>
          <w:sz w:val="24"/>
          <w:szCs w:val="24"/>
        </w:rPr>
        <w:t xml:space="preserve">1.5 Sociedade Empresária Estrangeira em funcionamento no País: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45961428">
      <w:pPr>
        <w:tabs>
          <w:tab w:val="left" w:pos="1440"/>
        </w:tabs>
        <w:autoSpaceDE w:val="0"/>
        <w:snapToGrid w:val="0"/>
        <w:spacing w:line="288" w:lineRule="auto"/>
        <w:contextualSpacing/>
        <w:jc w:val="both"/>
        <w:rPr>
          <w:color w:val="000000"/>
          <w:sz w:val="24"/>
          <w:szCs w:val="24"/>
        </w:rPr>
      </w:pPr>
    </w:p>
    <w:p w14:paraId="29902B95">
      <w:pPr>
        <w:tabs>
          <w:tab w:val="left" w:pos="1440"/>
        </w:tabs>
        <w:autoSpaceDE w:val="0"/>
        <w:snapToGrid w:val="0"/>
        <w:spacing w:line="288" w:lineRule="auto"/>
        <w:contextualSpacing/>
        <w:jc w:val="both"/>
        <w:rPr>
          <w:color w:val="000000"/>
          <w:sz w:val="24"/>
          <w:szCs w:val="24"/>
        </w:rPr>
      </w:pPr>
      <w:r>
        <w:rPr>
          <w:color w:val="000000"/>
          <w:sz w:val="24"/>
          <w:szCs w:val="24"/>
        </w:rPr>
        <w:t>1.6 Sociedade Simples: inscrição do ato constitutivo no Registro Civil das Pessoas Jurídicas do local de sua sede, acompanhada de prova da indicação dos seus administradores.</w:t>
      </w:r>
    </w:p>
    <w:p w14:paraId="1AE4BFEF">
      <w:pPr>
        <w:tabs>
          <w:tab w:val="left" w:pos="1440"/>
        </w:tabs>
        <w:autoSpaceDE w:val="0"/>
        <w:snapToGrid w:val="0"/>
        <w:spacing w:line="288" w:lineRule="auto"/>
        <w:contextualSpacing/>
        <w:jc w:val="both"/>
        <w:rPr>
          <w:color w:val="000000"/>
          <w:sz w:val="24"/>
          <w:szCs w:val="24"/>
        </w:rPr>
      </w:pPr>
    </w:p>
    <w:p w14:paraId="54A3EE44">
      <w:pPr>
        <w:tabs>
          <w:tab w:val="left" w:pos="1440"/>
        </w:tabs>
        <w:autoSpaceDE w:val="0"/>
        <w:snapToGrid w:val="0"/>
        <w:spacing w:line="288" w:lineRule="auto"/>
        <w:contextualSpacing/>
        <w:jc w:val="both"/>
        <w:rPr>
          <w:color w:val="000000"/>
          <w:sz w:val="24"/>
          <w:szCs w:val="24"/>
        </w:rPr>
      </w:pPr>
      <w:r>
        <w:rPr>
          <w:color w:val="000000"/>
          <w:sz w:val="24"/>
          <w:szCs w:val="24"/>
        </w:rPr>
        <w:t xml:space="preserve">1.7 </w:t>
      </w:r>
      <w:r>
        <w:rPr>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14:paraId="2FF89A9E">
      <w:pPr>
        <w:tabs>
          <w:tab w:val="left" w:pos="1440"/>
        </w:tabs>
        <w:autoSpaceDE w:val="0"/>
        <w:snapToGrid w:val="0"/>
        <w:spacing w:line="288" w:lineRule="auto"/>
        <w:contextualSpacing/>
        <w:jc w:val="both"/>
        <w:rPr>
          <w:color w:val="000000"/>
          <w:sz w:val="24"/>
          <w:szCs w:val="24"/>
        </w:rPr>
      </w:pPr>
    </w:p>
    <w:p w14:paraId="6F507929">
      <w:pPr>
        <w:tabs>
          <w:tab w:val="left" w:pos="1440"/>
        </w:tabs>
        <w:autoSpaceDE w:val="0"/>
        <w:snapToGrid w:val="0"/>
        <w:spacing w:line="288" w:lineRule="auto"/>
        <w:contextualSpacing/>
        <w:jc w:val="both"/>
        <w:rPr>
          <w:sz w:val="24"/>
          <w:szCs w:val="24"/>
        </w:rPr>
      </w:pPr>
      <w:r>
        <w:rPr>
          <w:sz w:val="24"/>
          <w:szCs w:val="24"/>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7D450AF5">
      <w:pPr>
        <w:tabs>
          <w:tab w:val="left" w:pos="1440"/>
        </w:tabs>
        <w:autoSpaceDE w:val="0"/>
        <w:snapToGrid w:val="0"/>
        <w:spacing w:line="288" w:lineRule="auto"/>
        <w:contextualSpacing/>
        <w:jc w:val="both"/>
        <w:rPr>
          <w:sz w:val="24"/>
          <w:szCs w:val="24"/>
        </w:rPr>
      </w:pPr>
    </w:p>
    <w:p w14:paraId="5CC25CF4">
      <w:pPr>
        <w:spacing w:line="288" w:lineRule="auto"/>
        <w:contextualSpacing/>
        <w:rPr>
          <w:sz w:val="24"/>
          <w:szCs w:val="24"/>
        </w:rPr>
      </w:pPr>
      <w:r>
        <w:rPr>
          <w:bCs/>
          <w:sz w:val="24"/>
          <w:szCs w:val="24"/>
        </w:rPr>
        <w:t xml:space="preserve">1.9 </w:t>
      </w:r>
      <w:r>
        <w:rPr>
          <w:bCs/>
          <w:color w:val="000000"/>
          <w:sz w:val="24"/>
          <w:szCs w:val="24"/>
        </w:rPr>
        <w:t>Quando cabível, os documentos apresentados devem estar acompanhados de todas as alterações ou da consolidação respectiva.</w:t>
      </w:r>
    </w:p>
    <w:p w14:paraId="2774D189">
      <w:pPr>
        <w:spacing w:line="288" w:lineRule="auto"/>
        <w:contextualSpacing/>
        <w:rPr>
          <w:sz w:val="24"/>
          <w:szCs w:val="24"/>
        </w:rPr>
      </w:pPr>
    </w:p>
    <w:p w14:paraId="479746E4">
      <w:pPr>
        <w:spacing w:line="288" w:lineRule="auto"/>
        <w:contextualSpacing/>
        <w:rPr>
          <w:b/>
          <w:bCs/>
          <w:color w:val="000000"/>
          <w:sz w:val="24"/>
          <w:szCs w:val="24"/>
        </w:rPr>
      </w:pPr>
      <w:r>
        <w:rPr>
          <w:b/>
          <w:bCs/>
          <w:sz w:val="24"/>
          <w:szCs w:val="24"/>
        </w:rPr>
        <w:t xml:space="preserve">2. HABILITAÇÃO </w:t>
      </w:r>
      <w:r>
        <w:rPr>
          <w:b/>
          <w:bCs/>
          <w:color w:val="000000"/>
          <w:sz w:val="24"/>
          <w:szCs w:val="24"/>
        </w:rPr>
        <w:t>FISCAL, SOCIAL E TRABALHISTA:</w:t>
      </w:r>
    </w:p>
    <w:p w14:paraId="118775AB">
      <w:pPr>
        <w:spacing w:line="288" w:lineRule="auto"/>
        <w:contextualSpacing/>
        <w:rPr>
          <w:b/>
          <w:bCs/>
          <w:color w:val="000000"/>
          <w:sz w:val="24"/>
          <w:szCs w:val="24"/>
        </w:rPr>
      </w:pPr>
    </w:p>
    <w:p w14:paraId="14B9D69F">
      <w:pPr>
        <w:tabs>
          <w:tab w:val="left" w:pos="1440"/>
        </w:tabs>
        <w:autoSpaceDE w:val="0"/>
        <w:snapToGrid w:val="0"/>
        <w:spacing w:line="288" w:lineRule="auto"/>
        <w:contextualSpacing/>
        <w:jc w:val="both"/>
        <w:rPr>
          <w:sz w:val="24"/>
          <w:szCs w:val="24"/>
          <w:lang w:eastAsia="en-US"/>
        </w:rPr>
      </w:pPr>
      <w:r>
        <w:rPr>
          <w:sz w:val="24"/>
          <w:szCs w:val="24"/>
          <w:lang w:eastAsia="en-US"/>
        </w:rPr>
        <w:t>2.1 Inscrição no Cadastro Nacional de Pessoas Jurídicas ou no Cadastro de Pessoas Físicas, conforme o caso.</w:t>
      </w:r>
    </w:p>
    <w:p w14:paraId="386B5FC3">
      <w:pPr>
        <w:tabs>
          <w:tab w:val="left" w:pos="1440"/>
        </w:tabs>
        <w:autoSpaceDE w:val="0"/>
        <w:snapToGrid w:val="0"/>
        <w:spacing w:line="288" w:lineRule="auto"/>
        <w:contextualSpacing/>
        <w:jc w:val="both"/>
        <w:rPr>
          <w:sz w:val="24"/>
          <w:szCs w:val="24"/>
          <w:lang w:eastAsia="en-US"/>
        </w:rPr>
      </w:pPr>
    </w:p>
    <w:p w14:paraId="0A45990E">
      <w:pPr>
        <w:tabs>
          <w:tab w:val="left" w:pos="1440"/>
        </w:tabs>
        <w:autoSpaceDE w:val="0"/>
        <w:snapToGrid w:val="0"/>
        <w:spacing w:line="288" w:lineRule="auto"/>
        <w:contextualSpacing/>
        <w:jc w:val="both"/>
        <w:rPr>
          <w:sz w:val="24"/>
          <w:szCs w:val="24"/>
        </w:rPr>
      </w:pPr>
      <w:r>
        <w:rPr>
          <w:sz w:val="24"/>
          <w:szCs w:val="24"/>
        </w:rPr>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2B0D6011">
      <w:pPr>
        <w:tabs>
          <w:tab w:val="left" w:pos="1440"/>
        </w:tabs>
        <w:autoSpaceDE w:val="0"/>
        <w:snapToGrid w:val="0"/>
        <w:spacing w:line="288" w:lineRule="auto"/>
        <w:contextualSpacing/>
        <w:jc w:val="both"/>
        <w:rPr>
          <w:sz w:val="24"/>
          <w:szCs w:val="24"/>
        </w:rPr>
      </w:pPr>
    </w:p>
    <w:p w14:paraId="3B2B2592">
      <w:pPr>
        <w:tabs>
          <w:tab w:val="left" w:pos="1440"/>
        </w:tabs>
        <w:autoSpaceDE w:val="0"/>
        <w:snapToGrid w:val="0"/>
        <w:spacing w:line="288" w:lineRule="auto"/>
        <w:contextualSpacing/>
        <w:jc w:val="both"/>
        <w:rPr>
          <w:sz w:val="24"/>
          <w:szCs w:val="24"/>
        </w:rPr>
      </w:pPr>
      <w:r>
        <w:rPr>
          <w:color w:val="000000"/>
          <w:sz w:val="24"/>
          <w:szCs w:val="24"/>
          <w:lang w:eastAsia="en-US"/>
        </w:rPr>
        <w:t>2.3 Regularidade com o Fundo de Garantia do Tempo de Serviço (FGTS).</w:t>
      </w:r>
    </w:p>
    <w:p w14:paraId="014D3121">
      <w:pPr>
        <w:tabs>
          <w:tab w:val="left" w:pos="1440"/>
        </w:tabs>
        <w:autoSpaceDE w:val="0"/>
        <w:snapToGrid w:val="0"/>
        <w:spacing w:line="288" w:lineRule="auto"/>
        <w:contextualSpacing/>
        <w:jc w:val="both"/>
        <w:rPr>
          <w:sz w:val="24"/>
          <w:szCs w:val="24"/>
        </w:rPr>
      </w:pPr>
    </w:p>
    <w:p w14:paraId="09625F5C">
      <w:pPr>
        <w:tabs>
          <w:tab w:val="left" w:pos="1440"/>
        </w:tabs>
        <w:autoSpaceDE w:val="0"/>
        <w:snapToGrid w:val="0"/>
        <w:spacing w:line="288" w:lineRule="auto"/>
        <w:contextualSpacing/>
        <w:jc w:val="both"/>
        <w:rPr>
          <w:sz w:val="24"/>
          <w:szCs w:val="24"/>
        </w:rPr>
      </w:pPr>
      <w:r>
        <w:rPr>
          <w:color w:val="000000"/>
          <w:sz w:val="24"/>
          <w:szCs w:val="24"/>
        </w:rPr>
        <w:t>2.4 Declaração de que não emprega menor de 18 anos em trabalho noturno, perigoso ou insalubre e não emprega menor de 16 anos, salvo menor, a partir de 14 anos, na condição de aprendiz, nos termos do art. 7°, XXXIII, da Constituição.</w:t>
      </w:r>
    </w:p>
    <w:p w14:paraId="1DF111E2">
      <w:pPr>
        <w:tabs>
          <w:tab w:val="left" w:pos="1440"/>
        </w:tabs>
        <w:autoSpaceDE w:val="0"/>
        <w:snapToGrid w:val="0"/>
        <w:spacing w:line="288" w:lineRule="auto"/>
        <w:contextualSpacing/>
        <w:jc w:val="both"/>
        <w:rPr>
          <w:color w:val="000000"/>
          <w:sz w:val="24"/>
          <w:szCs w:val="24"/>
        </w:rPr>
      </w:pPr>
    </w:p>
    <w:p w14:paraId="4447D8B1">
      <w:pPr>
        <w:tabs>
          <w:tab w:val="left" w:pos="1440"/>
        </w:tabs>
        <w:autoSpaceDE w:val="0"/>
        <w:snapToGrid w:val="0"/>
        <w:spacing w:line="288" w:lineRule="auto"/>
        <w:contextualSpacing/>
        <w:jc w:val="both"/>
        <w:rPr>
          <w:sz w:val="24"/>
          <w:szCs w:val="24"/>
          <w:lang w:eastAsia="en-US"/>
        </w:rPr>
      </w:pPr>
      <w:r>
        <w:rPr>
          <w:sz w:val="24"/>
          <w:szCs w:val="24"/>
          <w:lang w:eastAsia="en-US"/>
        </w:rPr>
        <w:t>2.5 Prova de inexistência de débitos inadimplidos perante a Justiça do Trabalho, mediante a apresentação de certidão negativa ou positiva com efeito de negativa, nos termos do Título VII-A da Consolidação das Leis do Trabalho.</w:t>
      </w:r>
    </w:p>
    <w:p w14:paraId="1350C85F">
      <w:pPr>
        <w:tabs>
          <w:tab w:val="left" w:pos="1440"/>
        </w:tabs>
        <w:autoSpaceDE w:val="0"/>
        <w:snapToGrid w:val="0"/>
        <w:spacing w:line="288" w:lineRule="auto"/>
        <w:contextualSpacing/>
        <w:jc w:val="both"/>
        <w:rPr>
          <w:sz w:val="24"/>
          <w:szCs w:val="24"/>
          <w:lang w:eastAsia="en-US"/>
        </w:rPr>
      </w:pPr>
    </w:p>
    <w:p w14:paraId="1D239A03">
      <w:pPr>
        <w:tabs>
          <w:tab w:val="left" w:pos="1440"/>
        </w:tabs>
        <w:autoSpaceDE w:val="0"/>
        <w:snapToGrid w:val="0"/>
        <w:spacing w:line="288" w:lineRule="auto"/>
        <w:contextualSpacing/>
        <w:jc w:val="both"/>
        <w:rPr>
          <w:bCs/>
          <w:sz w:val="24"/>
          <w:szCs w:val="24"/>
        </w:rPr>
      </w:pPr>
      <w:r>
        <w:rPr>
          <w:bCs/>
          <w:sz w:val="24"/>
          <w:szCs w:val="24"/>
        </w:rPr>
        <w:t xml:space="preserve">2.6 Prova de </w:t>
      </w:r>
      <w:r>
        <w:rPr>
          <w:color w:val="000000"/>
          <w:sz w:val="24"/>
          <w:szCs w:val="24"/>
        </w:rPr>
        <w:t xml:space="preserve">inscrição no cadastro de contribuintes </w:t>
      </w:r>
      <w:r>
        <w:rPr>
          <w:sz w:val="24"/>
          <w:szCs w:val="24"/>
        </w:rPr>
        <w:t>estadual/distrital</w:t>
      </w:r>
      <w:r>
        <w:rPr>
          <w:color w:val="000000"/>
          <w:sz w:val="24"/>
          <w:szCs w:val="24"/>
        </w:rPr>
        <w:t>, relativo ao domicílio ou sede do fornecedor, pertinente ao seu ramo de atividade e compatível com o objeto contratual</w:t>
      </w:r>
      <w:r>
        <w:rPr>
          <w:bCs/>
          <w:sz w:val="24"/>
          <w:szCs w:val="24"/>
        </w:rPr>
        <w:t>.</w:t>
      </w:r>
    </w:p>
    <w:p w14:paraId="79D83316">
      <w:pPr>
        <w:tabs>
          <w:tab w:val="left" w:pos="1440"/>
        </w:tabs>
        <w:autoSpaceDE w:val="0"/>
        <w:snapToGrid w:val="0"/>
        <w:spacing w:line="288" w:lineRule="auto"/>
        <w:contextualSpacing/>
        <w:jc w:val="both"/>
        <w:rPr>
          <w:bCs/>
          <w:sz w:val="24"/>
          <w:szCs w:val="24"/>
        </w:rPr>
      </w:pPr>
    </w:p>
    <w:p w14:paraId="762CD690">
      <w:pPr>
        <w:tabs>
          <w:tab w:val="left" w:pos="1440"/>
        </w:tabs>
        <w:autoSpaceDE w:val="0"/>
        <w:snapToGrid w:val="0"/>
        <w:spacing w:line="288" w:lineRule="auto"/>
        <w:contextualSpacing/>
        <w:jc w:val="both"/>
        <w:rPr>
          <w:sz w:val="24"/>
          <w:szCs w:val="24"/>
          <w:lang w:eastAsia="en-US"/>
        </w:rPr>
      </w:pPr>
      <w:r>
        <w:rPr>
          <w:bCs/>
          <w:sz w:val="24"/>
          <w:szCs w:val="24"/>
        </w:rPr>
        <w:t xml:space="preserve">2.6.1 O fornecedor enquadrado como microempreendedor individual que pretenda auferir os benefícios do tratamento diferenciado previstos na </w:t>
      </w:r>
      <w:r>
        <w:fldChar w:fldCharType="begin"/>
      </w:r>
      <w:r>
        <w:instrText xml:space="preserve"> HYPERLINK "https://www.planalto.gov.br/ccivil_03/leis/lcp/lcp123.htm" </w:instrText>
      </w:r>
      <w:r>
        <w:fldChar w:fldCharType="separate"/>
      </w:r>
      <w:r>
        <w:rPr>
          <w:rStyle w:val="16"/>
          <w:rFonts w:eastAsiaTheme="minorHAnsi"/>
          <w:bCs/>
          <w:sz w:val="24"/>
          <w:szCs w:val="24"/>
        </w:rPr>
        <w:t>Lei Complementar nº 123/2006</w:t>
      </w:r>
      <w:r>
        <w:rPr>
          <w:rStyle w:val="16"/>
          <w:rFonts w:eastAsiaTheme="minorHAnsi"/>
          <w:bCs/>
          <w:sz w:val="24"/>
          <w:szCs w:val="24"/>
        </w:rPr>
        <w:fldChar w:fldCharType="end"/>
      </w:r>
      <w:r>
        <w:rPr>
          <w:bCs/>
          <w:sz w:val="24"/>
          <w:szCs w:val="24"/>
        </w:rPr>
        <w:t xml:space="preserve">, estará dispensado da prova de inscrição nos cadastros de contribuintes estadual e municipal, eis que a </w:t>
      </w:r>
      <w:r>
        <w:rPr>
          <w:sz w:val="24"/>
          <w:szCs w:val="24"/>
        </w:rPr>
        <w:t>apresentação do Certificado de Condição de Microempreendedor Individual – CCMEI supre tais requisitos.</w:t>
      </w:r>
    </w:p>
    <w:p w14:paraId="31305104">
      <w:pPr>
        <w:tabs>
          <w:tab w:val="left" w:pos="1440"/>
        </w:tabs>
        <w:autoSpaceDE w:val="0"/>
        <w:snapToGrid w:val="0"/>
        <w:spacing w:line="288" w:lineRule="auto"/>
        <w:contextualSpacing/>
        <w:jc w:val="both"/>
        <w:rPr>
          <w:sz w:val="24"/>
          <w:szCs w:val="24"/>
          <w:lang w:eastAsia="en-US"/>
        </w:rPr>
      </w:pPr>
    </w:p>
    <w:p w14:paraId="25A0E64A">
      <w:pPr>
        <w:tabs>
          <w:tab w:val="left" w:pos="1440"/>
        </w:tabs>
        <w:autoSpaceDE w:val="0"/>
        <w:snapToGrid w:val="0"/>
        <w:spacing w:line="288" w:lineRule="auto"/>
        <w:contextualSpacing/>
        <w:jc w:val="both"/>
        <w:rPr>
          <w:sz w:val="24"/>
          <w:szCs w:val="24"/>
        </w:rPr>
      </w:pPr>
      <w:r>
        <w:rPr>
          <w:sz w:val="24"/>
          <w:szCs w:val="24"/>
        </w:rPr>
        <w:t>2.7 Prova de regularidade com a Fazenda do Estado do Rio de Janeiro, mediante a apresentação de:</w:t>
      </w:r>
    </w:p>
    <w:p w14:paraId="28AF6493">
      <w:pPr>
        <w:tabs>
          <w:tab w:val="left" w:pos="1440"/>
        </w:tabs>
        <w:autoSpaceDE w:val="0"/>
        <w:snapToGrid w:val="0"/>
        <w:spacing w:line="288" w:lineRule="auto"/>
        <w:contextualSpacing/>
        <w:jc w:val="both"/>
        <w:rPr>
          <w:sz w:val="24"/>
          <w:szCs w:val="24"/>
        </w:rPr>
      </w:pPr>
    </w:p>
    <w:p w14:paraId="6BB21E03">
      <w:pPr>
        <w:tabs>
          <w:tab w:val="left" w:pos="1440"/>
        </w:tabs>
        <w:autoSpaceDE w:val="0"/>
        <w:snapToGrid w:val="0"/>
        <w:spacing w:line="288" w:lineRule="auto"/>
        <w:contextualSpacing/>
        <w:jc w:val="both"/>
        <w:rPr>
          <w:sz w:val="24"/>
          <w:szCs w:val="24"/>
          <w:lang w:eastAsia="en-US"/>
        </w:rPr>
      </w:pPr>
      <w:r>
        <w:rPr>
          <w:sz w:val="24"/>
          <w:szCs w:val="24"/>
        </w:rPr>
        <w:t xml:space="preserve">2.7.1 Certidão Negativa de Débitos, ou Certidão Positiva com efeito de Negativa, expedida pela Secretaria de Estado de Fazenda; e </w:t>
      </w:r>
    </w:p>
    <w:p w14:paraId="2B36454A">
      <w:pPr>
        <w:pStyle w:val="31"/>
        <w:spacing w:line="288" w:lineRule="auto"/>
        <w:ind w:firstLine="0"/>
        <w:contextualSpacing/>
        <w:rPr>
          <w:rFonts w:ascii="Times New Roman" w:hAnsi="Times New Roman"/>
          <w:szCs w:val="24"/>
        </w:rPr>
      </w:pPr>
    </w:p>
    <w:p w14:paraId="5C0CE672">
      <w:pPr>
        <w:pStyle w:val="31"/>
        <w:spacing w:line="288" w:lineRule="auto"/>
        <w:ind w:firstLine="0"/>
        <w:contextualSpacing/>
        <w:rPr>
          <w:rFonts w:ascii="Times New Roman" w:hAnsi="Times New Roman"/>
          <w:szCs w:val="24"/>
        </w:rPr>
      </w:pPr>
      <w:r>
        <w:rPr>
          <w:rFonts w:ascii="Times New Roman" w:hAnsi="Times New Roman"/>
          <w:szCs w:val="24"/>
        </w:rPr>
        <w:t>2.7.2 Certidão Negativa de Débitos em Dívida Ativa, ou Certidão Positiva com efeito de Negativa, para fins de participação em licitação, expedida pela Procuradoria Geral do Estado.</w:t>
      </w:r>
    </w:p>
    <w:p w14:paraId="75F196F3">
      <w:pPr>
        <w:tabs>
          <w:tab w:val="left" w:pos="1440"/>
        </w:tabs>
        <w:autoSpaceDE w:val="0"/>
        <w:snapToGrid w:val="0"/>
        <w:spacing w:line="288" w:lineRule="auto"/>
        <w:contextualSpacing/>
        <w:jc w:val="both"/>
        <w:rPr>
          <w:sz w:val="24"/>
          <w:szCs w:val="24"/>
        </w:rPr>
      </w:pPr>
    </w:p>
    <w:p w14:paraId="5038EBED">
      <w:pPr>
        <w:tabs>
          <w:tab w:val="left" w:pos="1440"/>
        </w:tabs>
        <w:autoSpaceDE w:val="0"/>
        <w:snapToGrid w:val="0"/>
        <w:spacing w:line="288" w:lineRule="auto"/>
        <w:contextualSpacing/>
        <w:jc w:val="both"/>
        <w:rPr>
          <w:sz w:val="24"/>
          <w:szCs w:val="24"/>
        </w:rPr>
      </w:pPr>
      <w:r>
        <w:rPr>
          <w:sz w:val="24"/>
          <w:szCs w:val="24"/>
        </w:rPr>
        <w:t>2.8 Regularidade com a Fazenda Estadual</w:t>
      </w:r>
      <w:r>
        <w:rPr>
          <w:color w:val="FF0000"/>
          <w:sz w:val="24"/>
          <w:szCs w:val="24"/>
        </w:rPr>
        <w:t xml:space="preserve"> </w:t>
      </w:r>
      <w:r>
        <w:rPr>
          <w:sz w:val="24"/>
          <w:szCs w:val="24"/>
        </w:rPr>
        <w:t xml:space="preserve">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 </w:t>
      </w:r>
    </w:p>
    <w:p w14:paraId="32BFC27C">
      <w:pPr>
        <w:tabs>
          <w:tab w:val="left" w:pos="1440"/>
        </w:tabs>
        <w:autoSpaceDE w:val="0"/>
        <w:snapToGrid w:val="0"/>
        <w:spacing w:line="288" w:lineRule="auto"/>
        <w:contextualSpacing/>
        <w:jc w:val="both"/>
        <w:rPr>
          <w:sz w:val="24"/>
          <w:szCs w:val="24"/>
        </w:rPr>
      </w:pPr>
    </w:p>
    <w:p w14:paraId="0194CB4B">
      <w:pPr>
        <w:spacing w:line="288" w:lineRule="auto"/>
        <w:contextualSpacing/>
        <w:jc w:val="both"/>
        <w:rPr>
          <w:sz w:val="24"/>
          <w:szCs w:val="24"/>
        </w:rPr>
      </w:pPr>
      <w:r>
        <w:rPr>
          <w:sz w:val="24"/>
          <w:szCs w:val="24"/>
        </w:rPr>
        <w:t xml:space="preserve">2.9 Caso o fornecedor seja considerado isento dos tributos </w:t>
      </w:r>
      <w:r>
        <w:rPr>
          <w:iCs/>
          <w:sz w:val="24"/>
          <w:szCs w:val="24"/>
        </w:rPr>
        <w:t>estaduais</w:t>
      </w:r>
      <w:r>
        <w:rPr>
          <w:color w:val="FF0000"/>
          <w:sz w:val="24"/>
          <w:szCs w:val="24"/>
        </w:rPr>
        <w:t xml:space="preserve"> </w:t>
      </w:r>
      <w:r>
        <w:rPr>
          <w:sz w:val="24"/>
          <w:szCs w:val="24"/>
        </w:rPr>
        <w:t>relacionados ao objeto contratual, deverá comprovar tal condição mediante a apresentação de declaração da Fazenda respectiva do seu domicílio ou sede, ou outra equivalente, na forma da lei.</w:t>
      </w:r>
    </w:p>
    <w:p w14:paraId="4447B138">
      <w:pPr>
        <w:spacing w:line="288" w:lineRule="auto"/>
        <w:contextualSpacing/>
        <w:rPr>
          <w:sz w:val="24"/>
          <w:szCs w:val="24"/>
        </w:rPr>
      </w:pPr>
    </w:p>
    <w:p w14:paraId="0D669B4C">
      <w:pPr>
        <w:pStyle w:val="36"/>
        <w:spacing w:after="0" w:line="288" w:lineRule="auto"/>
        <w:ind w:left="0"/>
        <w:contextualSpacing/>
        <w:jc w:val="both"/>
        <w:rPr>
          <w:rFonts w:ascii="Times New Roman" w:hAnsi="Times New Roman" w:cs="Times New Roman"/>
          <w:sz w:val="24"/>
          <w:szCs w:val="24"/>
        </w:rPr>
      </w:pPr>
      <w:bookmarkStart w:id="39" w:name="_Hlk178775808"/>
      <w:r>
        <w:rPr>
          <w:rFonts w:ascii="Times New Roman" w:hAnsi="Times New Roman" w:cs="Times New Roman"/>
          <w:bCs/>
          <w:sz w:val="24"/>
          <w:szCs w:val="24"/>
        </w:rPr>
        <w:t>2.10</w:t>
      </w:r>
      <w:r>
        <w:rPr>
          <w:rFonts w:ascii="Times New Roman" w:hAnsi="Times New Roman" w:cs="Times New Roman"/>
          <w:b/>
          <w:sz w:val="24"/>
          <w:szCs w:val="24"/>
        </w:rPr>
        <w:t xml:space="preserve"> </w:t>
      </w:r>
      <w:r>
        <w:rPr>
          <w:rFonts w:ascii="Times New Roman" w:hAnsi="Times New Roman" w:cs="Times New Roman"/>
          <w:sz w:val="24"/>
          <w:szCs w:val="24"/>
        </w:rPr>
        <w:t>Na hipótese de cuidar-se de microempresa ou de empresa de pequeno porte, na forma do art. 42 da Lei Complementar nº 123/2006, a documentação somente será exigida para efeito de assinatura do contrato, caso se sagre vencedora no certame.</w:t>
      </w:r>
    </w:p>
    <w:p w14:paraId="34606B68">
      <w:pPr>
        <w:spacing w:line="288" w:lineRule="auto"/>
        <w:contextualSpacing/>
        <w:jc w:val="both"/>
        <w:rPr>
          <w:sz w:val="24"/>
          <w:szCs w:val="24"/>
        </w:rPr>
      </w:pPr>
    </w:p>
    <w:p w14:paraId="7205427B">
      <w:pPr>
        <w:spacing w:line="288" w:lineRule="auto"/>
        <w:contextualSpacing/>
        <w:jc w:val="both"/>
        <w:rPr>
          <w:sz w:val="24"/>
          <w:szCs w:val="24"/>
        </w:rPr>
      </w:pPr>
      <w:r>
        <w:rPr>
          <w:sz w:val="24"/>
          <w:szCs w:val="24"/>
        </w:rPr>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 </w:t>
      </w:r>
    </w:p>
    <w:bookmarkEnd w:id="39"/>
    <w:p w14:paraId="4ED45062">
      <w:pPr>
        <w:spacing w:line="288" w:lineRule="auto"/>
        <w:contextualSpacing/>
        <w:jc w:val="both"/>
        <w:rPr>
          <w:sz w:val="24"/>
          <w:szCs w:val="24"/>
        </w:rPr>
      </w:pPr>
    </w:p>
    <w:p w14:paraId="421CA86D">
      <w:pPr>
        <w:spacing w:line="288" w:lineRule="auto"/>
        <w:contextualSpacing/>
        <w:jc w:val="both"/>
        <w:rPr>
          <w:sz w:val="24"/>
          <w:szCs w:val="24"/>
        </w:rPr>
      </w:pPr>
      <w:r>
        <w:rPr>
          <w:sz w:val="24"/>
          <w:szCs w:val="24"/>
        </w:rPr>
        <w:t>2.10.2 O prazo acima poderá ser prorrogado por igual período, a critério exclusivo da Administração Pública.</w:t>
      </w:r>
    </w:p>
    <w:p w14:paraId="60763BDB">
      <w:pPr>
        <w:spacing w:line="288" w:lineRule="auto"/>
        <w:contextualSpacing/>
        <w:jc w:val="both"/>
        <w:rPr>
          <w:bCs/>
          <w:sz w:val="24"/>
          <w:szCs w:val="24"/>
        </w:rPr>
      </w:pPr>
    </w:p>
    <w:p w14:paraId="32E32DBB">
      <w:pPr>
        <w:spacing w:line="288" w:lineRule="auto"/>
        <w:contextualSpacing/>
        <w:jc w:val="both"/>
        <w:rPr>
          <w:sz w:val="24"/>
          <w:szCs w:val="24"/>
        </w:rPr>
      </w:pPr>
      <w:bookmarkStart w:id="40" w:name="_Hlk178775828"/>
      <w:r>
        <w:rPr>
          <w:bCs/>
          <w:sz w:val="24"/>
          <w:szCs w:val="24"/>
        </w:rPr>
        <w:t xml:space="preserve">2.10.3 </w:t>
      </w:r>
      <w:r>
        <w:rPr>
          <w:sz w:val="24"/>
          <w:szCs w:val="24"/>
        </w:rPr>
        <w:t xml:space="preserve">A não regularização da documentação no prazo estipulado implicará a decadência do direito à contratação, na forma do § 2º do art. 43 da Lei Complementar nº 123/2006, sem prejuízo da aplicação das sanções previstas neste Edital. </w:t>
      </w:r>
    </w:p>
    <w:bookmarkEnd w:id="40"/>
    <w:p w14:paraId="505E2B5C">
      <w:pPr>
        <w:spacing w:before="288" w:beforeLines="120" w:after="288" w:afterLines="120" w:line="288" w:lineRule="auto"/>
        <w:contextualSpacing/>
        <w:jc w:val="center"/>
        <w:rPr>
          <w:rFonts w:eastAsia="MS Mincho"/>
          <w:b/>
          <w:color w:val="FF0000"/>
          <w:sz w:val="24"/>
          <w:szCs w:val="24"/>
        </w:rPr>
      </w:pPr>
    </w:p>
    <w:p w14:paraId="47B24CC0">
      <w:pPr>
        <w:spacing w:line="288" w:lineRule="auto"/>
        <w:jc w:val="both"/>
        <w:rPr>
          <w:sz w:val="24"/>
          <w:szCs w:val="24"/>
        </w:rPr>
      </w:pPr>
      <w:r>
        <w:rPr>
          <w:b/>
          <w:bCs/>
          <w:sz w:val="24"/>
          <w:szCs w:val="24"/>
        </w:rPr>
        <w:t xml:space="preserve">3. HABILITAÇÃO </w:t>
      </w:r>
      <w:r>
        <w:rPr>
          <w:b/>
          <w:bCs/>
          <w:color w:val="000000"/>
          <w:sz w:val="24"/>
          <w:szCs w:val="24"/>
        </w:rPr>
        <w:t xml:space="preserve">ECONÔMICO-FINANCEIRA: </w:t>
      </w:r>
    </w:p>
    <w:p w14:paraId="1E3743E9">
      <w:pPr>
        <w:spacing w:line="288" w:lineRule="auto"/>
        <w:jc w:val="both"/>
        <w:rPr>
          <w:sz w:val="24"/>
          <w:szCs w:val="24"/>
        </w:rPr>
      </w:pPr>
    </w:p>
    <w:p w14:paraId="4934F32C">
      <w:pPr>
        <w:spacing w:line="288" w:lineRule="auto"/>
        <w:jc w:val="both"/>
        <w:rPr>
          <w:sz w:val="24"/>
          <w:szCs w:val="24"/>
        </w:rPr>
      </w:pPr>
      <w:r>
        <w:rPr>
          <w:sz w:val="24"/>
          <w:szCs w:val="24"/>
        </w:rPr>
        <w:t>3.1 Certidão negativa de falência expedida pelo distribuidor da sede do fornecedor, caso se trate de pessoa jurídica, ou certidão negativa de insolvência civil expedida pelo distribuidor do domicílio ou sede do fornecedor, caso se trate de pessoa física</w:t>
      </w:r>
      <w:r>
        <w:fldChar w:fldCharType="begin"/>
      </w:r>
      <w:r>
        <w:instrText xml:space="preserve"> HYPERLINK "https://in.gov.br/en/web/dou/-/instrucao-normativa-seges/me-n-116-de-21-de-dezembro-de-2021-370926958" \l "art5" \h </w:instrText>
      </w:r>
      <w:r>
        <w:fldChar w:fldCharType="separate"/>
      </w:r>
      <w:r>
        <w:rPr>
          <w:sz w:val="24"/>
          <w:szCs w:val="24"/>
        </w:rPr>
        <w:t xml:space="preserve"> </w:t>
      </w:r>
      <w:r>
        <w:rPr>
          <w:sz w:val="24"/>
          <w:szCs w:val="24"/>
        </w:rPr>
        <w:fldChar w:fldCharType="end"/>
      </w:r>
      <w:r>
        <w:rPr>
          <w:sz w:val="24"/>
          <w:szCs w:val="24"/>
        </w:rPr>
        <w:t xml:space="preserve"> ou de sociedade simples.</w:t>
      </w:r>
    </w:p>
    <w:p w14:paraId="0F61BB4D">
      <w:pPr>
        <w:spacing w:line="288" w:lineRule="auto"/>
        <w:jc w:val="both"/>
        <w:rPr>
          <w:sz w:val="24"/>
          <w:szCs w:val="24"/>
        </w:rPr>
      </w:pPr>
    </w:p>
    <w:p w14:paraId="335B240F">
      <w:pPr>
        <w:spacing w:line="288" w:lineRule="auto"/>
        <w:jc w:val="both"/>
        <w:rPr>
          <w:sz w:val="24"/>
          <w:szCs w:val="24"/>
        </w:rPr>
      </w:pPr>
      <w:bookmarkStart w:id="41" w:name="_Hlk154232471"/>
      <w:r>
        <w:rPr>
          <w:sz w:val="24"/>
          <w:szCs w:val="24"/>
        </w:rPr>
        <w:t>3.1.1 Não será causa de inabilitação do licitante a anotação de distribuição de processo de recuperação judicial ou de pedido de homologação de recuperação extrajudicial.</w:t>
      </w:r>
    </w:p>
    <w:p w14:paraId="4A8317EF">
      <w:pPr>
        <w:spacing w:line="288" w:lineRule="auto"/>
        <w:jc w:val="both"/>
        <w:rPr>
          <w:sz w:val="24"/>
          <w:szCs w:val="24"/>
        </w:rPr>
      </w:pPr>
    </w:p>
    <w:bookmarkEnd w:id="41"/>
    <w:p w14:paraId="223A066A">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2714DB23">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 Balanço patrimonial, demonstração de resultado de exercício e demais demonstrações contábeis dos 2 (dois) últimos exercícios sociais, vedada a sua substituição por balancetes ou balanços provisórios.</w:t>
      </w:r>
    </w:p>
    <w:p w14:paraId="6627A441">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19D549F3">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3.2.1 Os documentos referidos acima limitar-se-ão ao último exercício social no caso de a pessoa jurídica ter sido constituída há menos de 2 (dois) anos.</w:t>
      </w:r>
    </w:p>
    <w:p w14:paraId="2682BE2E">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00C6A875">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3.2.2 Os fornecedores criados no exercício financeiro da contratação deverão atender a todas as exigências da habilitação e ficam autorizados a substituir os demonstrativos contábeis pelo balanço de abertura;</w:t>
      </w:r>
    </w:p>
    <w:p w14:paraId="60393764">
      <w:pPr>
        <w:spacing w:line="288" w:lineRule="auto"/>
        <w:ind w:right="565"/>
        <w:jc w:val="both"/>
        <w:rPr>
          <w:color w:val="000000" w:themeColor="text1"/>
          <w:sz w:val="24"/>
          <w:szCs w:val="24"/>
          <w14:textFill>
            <w14:solidFill>
              <w14:schemeClr w14:val="tx1"/>
            </w14:solidFill>
          </w14:textFill>
        </w:rPr>
      </w:pPr>
    </w:p>
    <w:p w14:paraId="0E0EDB96">
      <w:pPr>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3.2.2.1</w:t>
      </w:r>
      <w:r>
        <w:rPr>
          <w:rFonts w:eastAsia="Arial"/>
          <w:color w:val="000000" w:themeColor="text1"/>
          <w:sz w:val="24"/>
          <w:szCs w:val="24"/>
          <w14:textFill>
            <w14:solidFill>
              <w14:schemeClr w14:val="tx1"/>
            </w14:solidFill>
          </w14:textFill>
        </w:rPr>
        <w:t xml:space="preserve"> Poderá ser apresentado o balanço intermediário, caso autorizado por lei ou pelo contrato/estatuto social.</w:t>
      </w:r>
    </w:p>
    <w:p w14:paraId="6B0AC9C7">
      <w:pPr>
        <w:spacing w:line="288" w:lineRule="auto"/>
        <w:ind w:right="565"/>
        <w:jc w:val="both"/>
        <w:rPr>
          <w:color w:val="000000" w:themeColor="text1"/>
          <w:sz w:val="24"/>
          <w:szCs w:val="24"/>
          <w14:textFill>
            <w14:solidFill>
              <w14:schemeClr w14:val="tx1"/>
            </w14:solidFill>
          </w14:textFill>
        </w:rPr>
      </w:pPr>
    </w:p>
    <w:p w14:paraId="17EBD1A7">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3.2.3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4CD6BEF8">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65691EFC">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3.3 Comprovação da boa situação financeira da empresa mediante obtenção de índices de Liquidez Geral (LG), Solvência Geral (SG) e Liquidez Corrente (LC), iguais ou superiores a 1 (um), obtidos pela aplicação das seguintes fórmulas: </w:t>
      </w:r>
    </w:p>
    <w:p w14:paraId="0CD6A329">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10"/>
        <w:tblW w:w="0" w:type="auto"/>
        <w:tblInd w:w="1134" w:type="dxa"/>
        <w:tblLayout w:type="autofit"/>
        <w:tblCellMar>
          <w:top w:w="0" w:type="dxa"/>
          <w:left w:w="108" w:type="dxa"/>
          <w:bottom w:w="0" w:type="dxa"/>
          <w:right w:w="108" w:type="dxa"/>
        </w:tblCellMar>
      </w:tblPr>
      <w:tblGrid>
        <w:gridCol w:w="2235"/>
        <w:gridCol w:w="4252"/>
      </w:tblGrid>
      <w:tr w14:paraId="1200FA83">
        <w:tc>
          <w:tcPr>
            <w:tcW w:w="2235" w:type="dxa"/>
            <w:vMerge w:val="restart"/>
            <w:shd w:val="clear" w:color="auto" w:fill="auto"/>
            <w:vAlign w:val="center"/>
          </w:tcPr>
          <w:p w14:paraId="213E07CE">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LG =</w:t>
            </w:r>
          </w:p>
        </w:tc>
        <w:tc>
          <w:tcPr>
            <w:tcW w:w="4252" w:type="dxa"/>
            <w:tcBorders>
              <w:bottom w:val="single" w:color="auto" w:sz="4" w:space="0"/>
            </w:tcBorders>
            <w:shd w:val="clear" w:color="auto" w:fill="auto"/>
            <w:vAlign w:val="bottom"/>
          </w:tcPr>
          <w:p w14:paraId="63BE2E3E">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Circulante + Realizável a Longo Prazo</w:t>
            </w:r>
          </w:p>
        </w:tc>
      </w:tr>
      <w:tr w14:paraId="38538E67">
        <w:tblPrEx>
          <w:tblCellMar>
            <w:top w:w="0" w:type="dxa"/>
            <w:left w:w="108" w:type="dxa"/>
            <w:bottom w:w="0" w:type="dxa"/>
            <w:right w:w="108" w:type="dxa"/>
          </w:tblCellMar>
        </w:tblPrEx>
        <w:tc>
          <w:tcPr>
            <w:tcW w:w="2235" w:type="dxa"/>
            <w:vMerge w:val="continue"/>
            <w:shd w:val="clear" w:color="auto" w:fill="auto"/>
          </w:tcPr>
          <w:p w14:paraId="4A971BFA">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4252" w:type="dxa"/>
            <w:tcBorders>
              <w:top w:val="single" w:color="auto" w:sz="4" w:space="0"/>
            </w:tcBorders>
            <w:shd w:val="clear" w:color="auto" w:fill="auto"/>
          </w:tcPr>
          <w:p w14:paraId="22191BFD">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 + Passivo Não Circulante</w:t>
            </w:r>
          </w:p>
        </w:tc>
      </w:tr>
    </w:tbl>
    <w:p w14:paraId="788AE8EB">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10"/>
        <w:tblW w:w="0" w:type="auto"/>
        <w:tblInd w:w="1134" w:type="dxa"/>
        <w:tblLayout w:type="autofit"/>
        <w:tblCellMar>
          <w:top w:w="0" w:type="dxa"/>
          <w:left w:w="108" w:type="dxa"/>
          <w:bottom w:w="0" w:type="dxa"/>
          <w:right w:w="108" w:type="dxa"/>
        </w:tblCellMar>
      </w:tblPr>
      <w:tblGrid>
        <w:gridCol w:w="2235"/>
        <w:gridCol w:w="4394"/>
      </w:tblGrid>
      <w:tr w14:paraId="742C71EA">
        <w:tblPrEx>
          <w:tblCellMar>
            <w:top w:w="0" w:type="dxa"/>
            <w:left w:w="108" w:type="dxa"/>
            <w:bottom w:w="0" w:type="dxa"/>
            <w:right w:w="108" w:type="dxa"/>
          </w:tblCellMar>
        </w:tblPrEx>
        <w:trPr>
          <w:cantSplit/>
        </w:trPr>
        <w:tc>
          <w:tcPr>
            <w:tcW w:w="2235" w:type="dxa"/>
            <w:vMerge w:val="restart"/>
            <w:shd w:val="clear" w:color="auto" w:fill="auto"/>
            <w:vAlign w:val="center"/>
          </w:tcPr>
          <w:p w14:paraId="041687F8">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SG =</w:t>
            </w:r>
          </w:p>
        </w:tc>
        <w:tc>
          <w:tcPr>
            <w:tcW w:w="4394" w:type="dxa"/>
            <w:tcBorders>
              <w:bottom w:val="single" w:color="auto" w:sz="4" w:space="0"/>
            </w:tcBorders>
            <w:shd w:val="clear" w:color="auto" w:fill="auto"/>
            <w:vAlign w:val="bottom"/>
          </w:tcPr>
          <w:p w14:paraId="6F6AEDA9">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Total</w:t>
            </w:r>
          </w:p>
        </w:tc>
      </w:tr>
      <w:tr w14:paraId="44B7D4A3">
        <w:tblPrEx>
          <w:tblCellMar>
            <w:top w:w="0" w:type="dxa"/>
            <w:left w:w="108" w:type="dxa"/>
            <w:bottom w:w="0" w:type="dxa"/>
            <w:right w:w="108" w:type="dxa"/>
          </w:tblCellMar>
        </w:tblPrEx>
        <w:trPr>
          <w:cantSplit/>
        </w:trPr>
        <w:tc>
          <w:tcPr>
            <w:tcW w:w="2235" w:type="dxa"/>
            <w:vMerge w:val="continue"/>
            <w:shd w:val="clear" w:color="auto" w:fill="auto"/>
          </w:tcPr>
          <w:p w14:paraId="681B1238">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4394" w:type="dxa"/>
            <w:tcBorders>
              <w:top w:val="single" w:color="auto" w:sz="4" w:space="0"/>
            </w:tcBorders>
            <w:shd w:val="clear" w:color="auto" w:fill="auto"/>
          </w:tcPr>
          <w:p w14:paraId="7196E40E">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 + Passivo Não Circulante</w:t>
            </w:r>
          </w:p>
        </w:tc>
      </w:tr>
    </w:tbl>
    <w:p w14:paraId="5B654C40">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10"/>
        <w:tblW w:w="0" w:type="auto"/>
        <w:tblInd w:w="1134" w:type="dxa"/>
        <w:tblLayout w:type="autofit"/>
        <w:tblCellMar>
          <w:top w:w="0" w:type="dxa"/>
          <w:left w:w="108" w:type="dxa"/>
          <w:bottom w:w="0" w:type="dxa"/>
          <w:right w:w="108" w:type="dxa"/>
        </w:tblCellMar>
      </w:tblPr>
      <w:tblGrid>
        <w:gridCol w:w="2235"/>
        <w:gridCol w:w="2551"/>
      </w:tblGrid>
      <w:tr w14:paraId="7B19A61D">
        <w:tblPrEx>
          <w:tblCellMar>
            <w:top w:w="0" w:type="dxa"/>
            <w:left w:w="108" w:type="dxa"/>
            <w:bottom w:w="0" w:type="dxa"/>
            <w:right w:w="108" w:type="dxa"/>
          </w:tblCellMar>
        </w:tblPrEx>
        <w:tc>
          <w:tcPr>
            <w:tcW w:w="2235" w:type="dxa"/>
            <w:vMerge w:val="restart"/>
            <w:shd w:val="clear" w:color="auto" w:fill="auto"/>
            <w:vAlign w:val="center"/>
          </w:tcPr>
          <w:p w14:paraId="582B27B0">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LC =</w:t>
            </w:r>
          </w:p>
        </w:tc>
        <w:tc>
          <w:tcPr>
            <w:tcW w:w="2551" w:type="dxa"/>
            <w:tcBorders>
              <w:bottom w:val="single" w:color="auto" w:sz="4" w:space="0"/>
            </w:tcBorders>
            <w:shd w:val="clear" w:color="auto" w:fill="auto"/>
            <w:vAlign w:val="bottom"/>
          </w:tcPr>
          <w:p w14:paraId="0A9E6F1F">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Circulante</w:t>
            </w:r>
          </w:p>
        </w:tc>
      </w:tr>
      <w:tr w14:paraId="3D479EF5">
        <w:tblPrEx>
          <w:tblCellMar>
            <w:top w:w="0" w:type="dxa"/>
            <w:left w:w="108" w:type="dxa"/>
            <w:bottom w:w="0" w:type="dxa"/>
            <w:right w:w="108" w:type="dxa"/>
          </w:tblCellMar>
        </w:tblPrEx>
        <w:tc>
          <w:tcPr>
            <w:tcW w:w="2235" w:type="dxa"/>
            <w:vMerge w:val="continue"/>
            <w:shd w:val="clear" w:color="auto" w:fill="auto"/>
          </w:tcPr>
          <w:p w14:paraId="2206AD09">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2551" w:type="dxa"/>
            <w:tcBorders>
              <w:top w:val="single" w:color="auto" w:sz="4" w:space="0"/>
            </w:tcBorders>
            <w:shd w:val="clear" w:color="auto" w:fill="auto"/>
          </w:tcPr>
          <w:p w14:paraId="7528E78A">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w:t>
            </w:r>
          </w:p>
        </w:tc>
      </w:tr>
    </w:tbl>
    <w:p w14:paraId="7FA9E05C">
      <w:pPr>
        <w:pStyle w:val="119"/>
        <w:spacing w:before="0" w:beforeAutospacing="0" w:after="0" w:afterAutospacing="0" w:line="288" w:lineRule="auto"/>
        <w:ind w:right="565"/>
        <w:jc w:val="both"/>
        <w:rPr>
          <w:color w:val="000000" w:themeColor="text1"/>
          <w14:textFill>
            <w14:solidFill>
              <w14:schemeClr w14:val="tx1"/>
            </w14:solidFill>
          </w14:textFill>
        </w:rPr>
      </w:pPr>
    </w:p>
    <w:p w14:paraId="331134F1">
      <w:pPr>
        <w:pStyle w:val="119"/>
        <w:spacing w:before="0" w:beforeAutospacing="0" w:after="0" w:afterAutospacing="0" w:line="288" w:lineRule="auto"/>
        <w:ind w:right="565"/>
        <w:jc w:val="both"/>
        <w:rPr>
          <w:color w:val="000000" w:themeColor="text1"/>
          <w14:textFill>
            <w14:solidFill>
              <w14:schemeClr w14:val="tx1"/>
            </w14:solidFill>
          </w14:textFill>
        </w:rPr>
      </w:pPr>
      <w:r>
        <w:rPr>
          <w:color w:val="000000" w:themeColor="text1"/>
          <w14:textFill>
            <w14:solidFill>
              <w14:schemeClr w14:val="tx1"/>
            </w14:solidFill>
          </w14:textFill>
        </w:rPr>
        <w:t>3.3.1 Caso seja apresentado resultado inferior ou igual a 1(um) em qualquer dos índices de Liquidez Geral (LG), Solvência Geral (SG) e Liquidez Corrente (LC), deverá ser comprovado capital ou patrimônio líquido mínimo de ... (....) do valor total estimado da contratação ou do item pertinente.</w:t>
      </w:r>
    </w:p>
    <w:p w14:paraId="3628BD6B">
      <w:pPr>
        <w:pStyle w:val="119"/>
        <w:spacing w:before="0" w:beforeAutospacing="0" w:after="0" w:afterAutospacing="0" w:line="288" w:lineRule="auto"/>
        <w:ind w:right="565"/>
        <w:jc w:val="both"/>
        <w:rPr>
          <w:color w:val="000000" w:themeColor="text1"/>
          <w14:textFill>
            <w14:solidFill>
              <w14:schemeClr w14:val="tx1"/>
            </w14:solidFill>
          </w14:textFill>
        </w:rPr>
      </w:pPr>
    </w:p>
    <w:p w14:paraId="53F790BB">
      <w:pPr>
        <w:pStyle w:val="119"/>
        <w:spacing w:before="0" w:beforeAutospacing="0" w:after="0" w:afterAutospacing="0" w:line="288" w:lineRule="auto"/>
        <w:ind w:right="565"/>
        <w:jc w:val="both"/>
        <w:rPr>
          <w:rStyle w:val="124"/>
          <w:rFonts w:ascii="Times New Roman" w:hAnsi="Times New Roman" w:cs="Times New Roman"/>
          <w:b/>
          <w:bCs/>
          <w:i w:val="0"/>
          <w:iCs w:val="0"/>
          <w:color w:val="000000" w:themeColor="text1"/>
          <w:sz w:val="24"/>
          <w:szCs w:val="24"/>
          <w14:textFill>
            <w14:solidFill>
              <w14:schemeClr w14:val="tx1"/>
            </w14:solidFill>
          </w14:textFill>
        </w:rPr>
      </w:pPr>
      <w:r>
        <w:rPr>
          <w:rStyle w:val="118"/>
          <w:rFonts w:ascii="Times New Roman" w:hAnsi="Times New Roman" w:cs="Times New Roman"/>
          <w:b/>
          <w:bCs/>
          <w:color w:val="000000" w:themeColor="text1"/>
          <w:sz w:val="24"/>
          <w:szCs w:val="24"/>
          <w14:textFill>
            <w14:solidFill>
              <w14:schemeClr w14:val="tx1"/>
            </w14:solidFill>
          </w14:textFill>
        </w:rPr>
        <w:t>NOTA EXPLICATIVA:</w:t>
      </w:r>
      <w:r>
        <w:rPr>
          <w:rStyle w:val="124"/>
          <w:rFonts w:ascii="Times New Roman" w:hAnsi="Times New Roman" w:cs="Times New Roman"/>
          <w:b/>
          <w:bCs/>
          <w:i w:val="0"/>
          <w:iCs w:val="0"/>
          <w:color w:val="000000" w:themeColor="text1"/>
          <w:sz w:val="24"/>
          <w:szCs w:val="24"/>
          <w14:textFill>
            <w14:solidFill>
              <w14:schemeClr w14:val="tx1"/>
            </w14:solidFill>
          </w14:textFill>
        </w:rPr>
        <w:t xml:space="preserve"> </w:t>
      </w:r>
    </w:p>
    <w:p w14:paraId="5B782E1F">
      <w:pPr>
        <w:pStyle w:val="119"/>
        <w:spacing w:before="0" w:beforeAutospacing="0" w:after="0" w:afterAutospacing="0" w:line="288" w:lineRule="auto"/>
        <w:ind w:right="565"/>
        <w:jc w:val="both"/>
        <w:rPr>
          <w:rStyle w:val="124"/>
          <w:rFonts w:ascii="Times New Roman" w:hAnsi="Times New Roman" w:cs="Times New Roman"/>
          <w:i w:val="0"/>
          <w:iCs w:val="0"/>
          <w:color w:val="000000" w:themeColor="text1"/>
          <w:sz w:val="24"/>
          <w:szCs w:val="24"/>
          <w14:textFill>
            <w14:solidFill>
              <w14:schemeClr w14:val="tx1"/>
            </w14:solidFill>
          </w14:textFill>
        </w:rPr>
      </w:pPr>
      <w:r>
        <w:rPr>
          <w:rStyle w:val="124"/>
          <w:rFonts w:ascii="Times New Roman" w:hAnsi="Times New Roman" w:cs="Times New Roman"/>
          <w:i w:val="0"/>
          <w:iCs w:val="0"/>
          <w:color w:val="000000" w:themeColor="text1"/>
          <w:sz w:val="24"/>
          <w:szCs w:val="24"/>
          <w14:textFill>
            <w14:solidFill>
              <w14:schemeClr w14:val="tx1"/>
            </w14:solidFill>
          </w14:textFill>
        </w:rPr>
        <w:t xml:space="preserve">A fixação do percentual referente ao patrimônio líquido se insere na esfera de atuação discricionária da Administração, podendo ser exigido até 10% (dez por cento) do valor estimado da contratação (art. 69, § 4º, da Lei nº 14.133/2021), exceto na hipótese de orçamento sigiloso, para evitar que o parâmetro do preço estimado seja revelado por outros meios. </w:t>
      </w:r>
    </w:p>
    <w:p w14:paraId="2C8E5373">
      <w:pPr>
        <w:pStyle w:val="119"/>
        <w:spacing w:before="0" w:beforeAutospacing="0" w:after="0" w:afterAutospacing="0" w:line="288" w:lineRule="auto"/>
        <w:ind w:right="565"/>
        <w:jc w:val="both"/>
        <w:rPr>
          <w:rStyle w:val="124"/>
          <w:rFonts w:ascii="Times New Roman" w:hAnsi="Times New Roman" w:cs="Times New Roman"/>
          <w:i w:val="0"/>
          <w:iCs w:val="0"/>
          <w:color w:val="000000" w:themeColor="text1"/>
          <w:sz w:val="24"/>
          <w:szCs w:val="24"/>
          <w14:textFill>
            <w14:solidFill>
              <w14:schemeClr w14:val="tx1"/>
            </w14:solidFill>
          </w14:textFill>
        </w:rPr>
      </w:pPr>
    </w:p>
    <w:p w14:paraId="6B2423BD">
      <w:pPr>
        <w:pStyle w:val="119"/>
        <w:spacing w:before="0" w:beforeAutospacing="0" w:after="0" w:afterAutospacing="0" w:line="288" w:lineRule="auto"/>
        <w:ind w:right="565"/>
        <w:contextualSpacing/>
        <w:jc w:val="both"/>
        <w:rPr>
          <w:color w:val="000000" w:themeColor="text1"/>
          <w:lang w:eastAsia="en-US"/>
          <w14:textFill>
            <w14:solidFill>
              <w14:schemeClr w14:val="tx1"/>
            </w14:solidFill>
          </w14:textFill>
        </w:rPr>
      </w:pPr>
      <w:r>
        <w:rPr>
          <w:color w:val="000000" w:themeColor="text1"/>
          <w:lang w:eastAsia="en-US"/>
          <w14:textFill>
            <w14:solidFill>
              <w14:schemeClr w14:val="tx1"/>
            </w14:solidFill>
          </w14:textFill>
        </w:rPr>
        <w:t>3.3.2 O atendimento dos índices econômicos previstos neste item deverá ser atestado mediante declaração assinada por profissional habilitado da área contábil, apresentada pelo fornecedor.</w:t>
      </w:r>
    </w:p>
    <w:p w14:paraId="647BF601">
      <w:pPr>
        <w:pStyle w:val="119"/>
        <w:spacing w:before="0" w:beforeAutospacing="0" w:after="0" w:afterAutospacing="0" w:line="288" w:lineRule="auto"/>
        <w:ind w:left="567" w:right="565"/>
        <w:jc w:val="both"/>
        <w:rPr>
          <w:lang w:eastAsia="en-US"/>
        </w:rPr>
      </w:pPr>
    </w:p>
    <w:p w14:paraId="02997762">
      <w:pPr>
        <w:pStyle w:val="119"/>
        <w:spacing w:before="0" w:beforeAutospacing="0" w:after="0" w:afterAutospacing="0" w:line="288" w:lineRule="auto"/>
        <w:contextualSpacing/>
        <w:jc w:val="both"/>
        <w:rPr>
          <w:iCs/>
          <w:color w:val="FF0000"/>
        </w:rPr>
      </w:pPr>
    </w:p>
    <w:p w14:paraId="5485971C">
      <w:pPr>
        <w:pStyle w:val="119"/>
        <w:spacing w:before="0" w:beforeAutospacing="0" w:after="0" w:afterAutospacing="0" w:line="288" w:lineRule="auto"/>
        <w:contextualSpacing/>
        <w:jc w:val="both"/>
        <w:rPr>
          <w:b/>
          <w:bCs/>
        </w:rPr>
      </w:pPr>
      <w:r>
        <w:rPr>
          <w:b/>
          <w:bCs/>
        </w:rPr>
        <w:t>4. HABILITAÇÃO TÉCNICA</w:t>
      </w:r>
    </w:p>
    <w:p w14:paraId="2402E2F8">
      <w:pPr>
        <w:pStyle w:val="119"/>
        <w:spacing w:before="0" w:beforeAutospacing="0" w:after="0" w:afterAutospacing="0" w:line="288" w:lineRule="auto"/>
        <w:contextualSpacing/>
        <w:jc w:val="both"/>
        <w:rPr>
          <w:b/>
          <w:bCs/>
        </w:rPr>
      </w:pPr>
    </w:p>
    <w:p w14:paraId="1DCA0DC0">
      <w:pPr>
        <w:pStyle w:val="125"/>
        <w:keepNext w:val="0"/>
        <w:widowControl/>
        <w:spacing w:before="0" w:after="0" w:line="288" w:lineRule="auto"/>
        <w:ind w:firstLine="0"/>
        <w:contextualSpacing/>
        <w:rPr>
          <w:rFonts w:ascii="Times New Roman" w:hAnsi="Times New Roman" w:cs="Times New Roman"/>
          <w:color w:val="000000" w:themeColor="text1"/>
          <w:sz w:val="24"/>
          <w14:textFill>
            <w14:solidFill>
              <w14:schemeClr w14:val="tx1"/>
            </w14:solidFill>
          </w14:textFill>
        </w:rPr>
      </w:pPr>
      <w:bookmarkStart w:id="42" w:name="_Hlk154233180"/>
      <w:r>
        <w:rPr>
          <w:rFonts w:ascii="Times New Roman" w:hAnsi="Times New Roman" w:cs="Times New Roman"/>
          <w:color w:val="000000" w:themeColor="text1"/>
          <w:sz w:val="24"/>
          <w14:textFill>
            <w14:solidFill>
              <w14:schemeClr w14:val="tx1"/>
            </w14:solidFill>
          </w14:textFill>
        </w:rPr>
        <w:t xml:space="preserve">4.1 </w:t>
      </w:r>
      <w:bookmarkEnd w:id="42"/>
      <w:r>
        <w:rPr>
          <w:rFonts w:ascii="Times New Roman" w:hAnsi="Times New Roman" w:cs="Times New Roman"/>
          <w:color w:val="000000" w:themeColor="text1"/>
          <w:sz w:val="24"/>
          <w14:textFill>
            <w14:solidFill>
              <w14:schemeClr w14:val="tx1"/>
            </w14:solidFill>
          </w14:textFill>
        </w:rPr>
        <w:t>Comprovação de aptidão para o fornecimento de bens, de acordo com as características, quantidades e prazos compatíveis com o objeto, mediante a apresentação de atestado(s) fornecido(s) por pessoas jurídicas de direito público ou privado, na seguinte forma:</w:t>
      </w:r>
    </w:p>
    <w:p w14:paraId="6B7E476E">
      <w:pPr>
        <w:spacing w:line="288" w:lineRule="auto"/>
        <w:ind w:right="565"/>
        <w:contextualSpacing/>
        <w:jc w:val="both"/>
        <w:rPr>
          <w:color w:val="000000" w:themeColor="text1"/>
          <w:sz w:val="24"/>
          <w:szCs w:val="24"/>
          <w14:textFill>
            <w14:solidFill>
              <w14:schemeClr w14:val="tx1"/>
            </w14:solidFill>
          </w14:textFill>
        </w:rPr>
      </w:pPr>
    </w:p>
    <w:p w14:paraId="66872824">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4.2._ Os atestados deverão referir-se a fornecimento no âmbito de sua atividade econômica principal ou secundária especificadas no contrato social vigente.</w:t>
      </w:r>
    </w:p>
    <w:p w14:paraId="6A1BDD8B">
      <w:pPr>
        <w:spacing w:line="288" w:lineRule="auto"/>
        <w:ind w:right="565"/>
        <w:contextualSpacing/>
        <w:jc w:val="both"/>
        <w:rPr>
          <w:color w:val="000000" w:themeColor="text1"/>
          <w:sz w:val="24"/>
          <w:szCs w:val="24"/>
          <w14:textFill>
            <w14:solidFill>
              <w14:schemeClr w14:val="tx1"/>
            </w14:solidFill>
          </w14:textFill>
        </w:rPr>
      </w:pPr>
    </w:p>
    <w:p w14:paraId="4A0F0FFC">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4.3._ Poderá ser admitida, para fins de comprovação de quantitativo mínimo do fornecimento, a apresentação de diferentes atestados de objetos executados de forma concomitante, resultando na comprovação de capacidade técnico-operacional de uma única contratação.</w:t>
      </w:r>
    </w:p>
    <w:p w14:paraId="3EE5255E">
      <w:pPr>
        <w:spacing w:line="288" w:lineRule="auto"/>
        <w:ind w:right="565"/>
        <w:contextualSpacing/>
        <w:jc w:val="both"/>
        <w:rPr>
          <w:color w:val="000000" w:themeColor="text1"/>
          <w:sz w:val="24"/>
          <w:szCs w:val="24"/>
          <w14:textFill>
            <w14:solidFill>
              <w14:schemeClr w14:val="tx1"/>
            </w14:solidFill>
          </w14:textFill>
        </w:rPr>
      </w:pPr>
    </w:p>
    <w:p w14:paraId="77D7536C">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4.4._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14:paraId="1AA852FE">
      <w:pPr>
        <w:pStyle w:val="119"/>
        <w:spacing w:before="0" w:beforeAutospacing="0" w:after="0" w:afterAutospacing="0" w:line="288" w:lineRule="auto"/>
        <w:contextualSpacing/>
        <w:jc w:val="both"/>
        <w:rPr>
          <w:rStyle w:val="118"/>
          <w:rFonts w:asciiTheme="minorHAnsi" w:hAnsiTheme="minorHAnsi" w:cstheme="minorHAnsi"/>
          <w:color w:val="000000" w:themeColor="text1"/>
          <w:sz w:val="24"/>
          <w:szCs w:val="24"/>
          <w14:textFill>
            <w14:solidFill>
              <w14:schemeClr w14:val="tx1"/>
            </w14:solidFill>
          </w14:textFill>
        </w:rPr>
      </w:pPr>
    </w:p>
    <w:p w14:paraId="46849E62">
      <w:pPr>
        <w:spacing w:line="288" w:lineRule="auto"/>
        <w:contextualSpacing/>
        <w:jc w:val="center"/>
        <w:rPr>
          <w:b/>
          <w:bCs/>
          <w:sz w:val="24"/>
          <w:szCs w:val="24"/>
        </w:rPr>
      </w:pPr>
      <w:r>
        <w:rPr>
          <w:b/>
          <w:bCs/>
          <w:sz w:val="24"/>
          <w:szCs w:val="24"/>
        </w:rPr>
        <w:t>ANEXO V</w:t>
      </w:r>
    </w:p>
    <w:p w14:paraId="68BCF3B6">
      <w:pPr>
        <w:spacing w:line="368" w:lineRule="auto"/>
        <w:ind w:left="720" w:right="16"/>
        <w:jc w:val="center"/>
        <w:rPr>
          <w:b/>
          <w:u w:val="single"/>
        </w:rPr>
      </w:pPr>
    </w:p>
    <w:p w14:paraId="33DE6C5A">
      <w:pPr>
        <w:tabs>
          <w:tab w:val="left" w:pos="709"/>
        </w:tabs>
        <w:spacing w:before="120" w:after="120"/>
        <w:ind w:left="142"/>
        <w:jc w:val="center"/>
        <w:rPr>
          <w:b/>
          <w:sz w:val="24"/>
          <w:szCs w:val="24"/>
          <w:u w:val="single"/>
        </w:rPr>
      </w:pPr>
      <w:r>
        <w:rPr>
          <w:b/>
          <w:sz w:val="24"/>
          <w:szCs w:val="24"/>
          <w:highlight w:val="yellow"/>
          <w:u w:val="single"/>
        </w:rPr>
        <w:t>PLANILHA DE CUSTOS</w:t>
      </w:r>
    </w:p>
    <w:p w14:paraId="72E953B8">
      <w:pPr>
        <w:pStyle w:val="77"/>
        <w:jc w:val="both"/>
        <w:rPr>
          <w:rFonts w:ascii="Times New Roman" w:hAnsi="Times New Roman" w:eastAsia="SimSun" w:cs="Times New Roman"/>
          <w:sz w:val="24"/>
          <w:szCs w:val="24"/>
        </w:rPr>
      </w:pPr>
    </w:p>
    <w:p w14:paraId="31F677D9">
      <w:pPr>
        <w:ind w:left="1534" w:firstLine="1539"/>
      </w:pPr>
    </w:p>
    <w:p w14:paraId="371591D8">
      <w:pPr>
        <w:spacing w:line="259" w:lineRule="auto"/>
        <w:ind w:left="851"/>
      </w:pPr>
    </w:p>
    <w:p w14:paraId="128F0045">
      <w:pPr>
        <w:pStyle w:val="77"/>
        <w:jc w:val="both"/>
        <w:rPr>
          <w:rFonts w:ascii="Times New Roman" w:hAnsi="Times New Roman" w:eastAsia="SimSun" w:cs="Times New Roman"/>
          <w:sz w:val="24"/>
          <w:szCs w:val="24"/>
        </w:rPr>
      </w:pPr>
      <w:r>
        <w:rPr>
          <w:rFonts w:ascii="Times New Roman" w:hAnsi="Times New Roman" w:eastAsia="SimSun" w:cs="Times New Roman"/>
          <w:sz w:val="24"/>
          <w:szCs w:val="24"/>
        </w:rPr>
        <w:t>O presente relatório é resultado da pesquisa de preços a seguir discriminada, em cumprimento ao determinado na Lei n ̊ 14.133/2021</w:t>
      </w:r>
    </w:p>
    <w:p w14:paraId="130A24D8">
      <w:pPr>
        <w:pStyle w:val="77"/>
        <w:jc w:val="center"/>
        <w:rPr>
          <w:rFonts w:ascii="Times New Roman" w:hAnsi="Times New Roman" w:eastAsia="SimSun" w:cs="Times New Roman"/>
          <w:sz w:val="24"/>
          <w:szCs w:val="24"/>
        </w:rPr>
      </w:pPr>
    </w:p>
    <w:p w14:paraId="07343AC7">
      <w:pPr>
        <w:pStyle w:val="77"/>
        <w:spacing w:line="360" w:lineRule="auto"/>
        <w:jc w:val="both"/>
        <w:rPr>
          <w:rFonts w:ascii="Times New Roman" w:hAnsi="Times New Roman" w:eastAsia="SimSun" w:cs="Times New Roman"/>
          <w:sz w:val="24"/>
          <w:szCs w:val="24"/>
        </w:rPr>
      </w:pPr>
      <w:r>
        <w:rPr>
          <w:rFonts w:ascii="Times New Roman" w:hAnsi="Times New Roman" w:eastAsia="SimSun" w:cs="Times New Roman"/>
          <w:sz w:val="24"/>
          <w:szCs w:val="24"/>
        </w:rPr>
        <w:t xml:space="preserve"> OBJETO: </w:t>
      </w:r>
      <w:r>
        <w:rPr>
          <w:rFonts w:ascii="Times New Roman" w:hAnsi="Times New Roman" w:eastAsia="Cambria Math" w:cs="Times New Roman"/>
          <w:sz w:val="24"/>
          <w:szCs w:val="24"/>
        </w:rPr>
        <w:t>A</w:t>
      </w:r>
      <w:r>
        <w:rPr>
          <w:rFonts w:ascii="Times New Roman" w:hAnsi="Times New Roman" w:eastAsia="SimSun" w:cs="Times New Roman"/>
          <w:sz w:val="24"/>
          <w:szCs w:val="24"/>
        </w:rPr>
        <w:t>quisição de kits bucais e escovas elétricas, destinados ao atendimento das necessidades do Centro de Especialidades Odontológicas (CEO).</w:t>
      </w:r>
    </w:p>
    <w:p w14:paraId="79BFA2A1">
      <w:pPr>
        <w:shd w:val="clear" w:color="auto" w:fill="FFFFFF"/>
        <w:spacing w:line="15" w:lineRule="atLeast"/>
        <w:rPr>
          <w:rFonts w:eastAsia="SimSun"/>
          <w:sz w:val="24"/>
          <w:szCs w:val="24"/>
        </w:rPr>
      </w:pPr>
      <w:r>
        <w:rPr>
          <w:rFonts w:eastAsia="SimSun"/>
          <w:sz w:val="24"/>
          <w:szCs w:val="24"/>
        </w:rPr>
        <w:t>PERÍODO DE REALIZAÇÃO DA PESQUISA: 15/07/2026 a 12/08/2026</w:t>
      </w:r>
    </w:p>
    <w:p w14:paraId="47CEFF7C">
      <w:pPr>
        <w:pStyle w:val="77"/>
        <w:jc w:val="both"/>
        <w:rPr>
          <w:rFonts w:ascii="Times New Roman" w:hAnsi="Times New Roman" w:eastAsia="SimSun" w:cs="Times New Roman"/>
          <w:sz w:val="24"/>
          <w:szCs w:val="24"/>
        </w:rPr>
      </w:pPr>
      <w:r>
        <w:rPr>
          <w:rFonts w:ascii="Times New Roman" w:hAnsi="Times New Roman" w:eastAsia="SimSun" w:cs="Times New Roman"/>
          <w:sz w:val="24"/>
          <w:szCs w:val="24"/>
        </w:rPr>
        <w:t xml:space="preserve">METODOLOGIA APLICADA: o valor de referência foi aferido por meio de: (  ) Média ( X  ) Mediana (  ) Menor Preço </w:t>
      </w:r>
    </w:p>
    <w:p w14:paraId="6B2C21C5">
      <w:pPr>
        <w:pStyle w:val="77"/>
        <w:jc w:val="both"/>
        <w:rPr>
          <w:rFonts w:ascii="Times New Roman" w:hAnsi="Times New Roman" w:eastAsia="SimSun" w:cs="Times New Roman"/>
          <w:sz w:val="24"/>
          <w:szCs w:val="24"/>
        </w:rPr>
      </w:pPr>
    </w:p>
    <w:p w14:paraId="171867B9">
      <w:pPr>
        <w:pStyle w:val="77"/>
        <w:jc w:val="both"/>
        <w:rPr>
          <w:rFonts w:ascii="Times New Roman" w:hAnsi="Times New Roman" w:eastAsia="SimSun" w:cs="Times New Roman"/>
          <w:sz w:val="24"/>
          <w:szCs w:val="24"/>
        </w:rPr>
      </w:pPr>
      <w:r>
        <w:rPr>
          <w:rFonts w:ascii="Times New Roman" w:hAnsi="Times New Roman" w:eastAsia="SimSun" w:cs="Times New Roman"/>
          <w:sz w:val="24"/>
          <w:szCs w:val="24"/>
        </w:rPr>
        <w:t>FONTES DE PESQUISA DE PREÇOS:</w:t>
      </w:r>
    </w:p>
    <w:p w14:paraId="1E4FE014">
      <w:pPr>
        <w:pStyle w:val="77"/>
        <w:jc w:val="both"/>
        <w:rPr>
          <w:rFonts w:ascii="Times New Roman" w:hAnsi="Times New Roman" w:eastAsia="SimSun" w:cs="Times New Roman"/>
          <w:sz w:val="24"/>
          <w:szCs w:val="24"/>
        </w:rPr>
      </w:pPr>
    </w:p>
    <w:p w14:paraId="795417C2">
      <w:pPr>
        <w:pStyle w:val="77"/>
        <w:jc w:val="both"/>
        <w:rPr>
          <w:rFonts w:ascii="Times New Roman" w:hAnsi="Times New Roman" w:eastAsia="SimSun" w:cs="Times New Roman"/>
          <w:sz w:val="24"/>
          <w:szCs w:val="24"/>
        </w:rPr>
      </w:pPr>
      <w:r>
        <w:rPr>
          <w:rFonts w:ascii="Times New Roman" w:hAnsi="Times New Roman" w:eastAsia="SimSun" w:cs="Times New Roman"/>
          <w:sz w:val="24"/>
          <w:szCs w:val="24"/>
        </w:rPr>
        <w:t>- COMPRAS.GOV;</w:t>
      </w:r>
    </w:p>
    <w:p w14:paraId="2A206C08">
      <w:pPr>
        <w:pStyle w:val="77"/>
        <w:jc w:val="both"/>
        <w:rPr>
          <w:rFonts w:ascii="Times New Roman" w:hAnsi="Times New Roman" w:eastAsia="SimSun" w:cs="Times New Roman"/>
          <w:sz w:val="24"/>
          <w:szCs w:val="24"/>
        </w:rPr>
      </w:pPr>
      <w:r>
        <w:rPr>
          <w:rFonts w:ascii="Times New Roman" w:hAnsi="Times New Roman" w:eastAsia="SimSun" w:cs="Times New Roman"/>
          <w:sz w:val="24"/>
          <w:szCs w:val="24"/>
        </w:rPr>
        <w:t>-- PNCP;</w:t>
      </w:r>
    </w:p>
    <w:p w14:paraId="38DD40CE">
      <w:pPr>
        <w:pStyle w:val="77"/>
        <w:jc w:val="both"/>
        <w:rPr>
          <w:rFonts w:ascii="Times New Roman" w:hAnsi="Times New Roman" w:eastAsia="SimSun" w:cs="Times New Roman"/>
          <w:sz w:val="24"/>
          <w:szCs w:val="24"/>
        </w:rPr>
      </w:pPr>
      <w:r>
        <w:rPr>
          <w:rFonts w:ascii="Times New Roman" w:hAnsi="Times New Roman" w:eastAsia="SimSun" w:cs="Times New Roman"/>
          <w:sz w:val="24"/>
          <w:szCs w:val="24"/>
        </w:rPr>
        <w:t>- INTERNET;</w:t>
      </w:r>
    </w:p>
    <w:p w14:paraId="1B0BE6C5">
      <w:pPr>
        <w:pStyle w:val="77"/>
        <w:jc w:val="both"/>
        <w:rPr>
          <w:rFonts w:ascii="Times New Roman" w:hAnsi="Times New Roman" w:eastAsia="SimSun" w:cs="Times New Roman"/>
          <w:sz w:val="24"/>
          <w:szCs w:val="24"/>
        </w:rPr>
      </w:pPr>
      <w:r>
        <w:rPr>
          <w:rFonts w:ascii="Times New Roman" w:hAnsi="Times New Roman" w:eastAsia="SimSun" w:cs="Times New Roman"/>
          <w:sz w:val="24"/>
          <w:szCs w:val="24"/>
        </w:rPr>
        <w:t>- BANCO DE PREÇOS</w:t>
      </w:r>
    </w:p>
    <w:p w14:paraId="32A0D56E">
      <w:pPr>
        <w:pStyle w:val="77"/>
        <w:jc w:val="both"/>
        <w:rPr>
          <w:rFonts w:ascii="Times New Roman" w:hAnsi="Times New Roman" w:eastAsia="SimSun" w:cs="Times New Roman"/>
          <w:color w:val="C00000"/>
          <w:sz w:val="24"/>
          <w:szCs w:val="24"/>
        </w:rPr>
      </w:pPr>
    </w:p>
    <w:p w14:paraId="5F28A9D6">
      <w:pPr>
        <w:pStyle w:val="77"/>
        <w:jc w:val="both"/>
        <w:rPr>
          <w:rFonts w:ascii="Times New Roman" w:hAnsi="Times New Roman" w:eastAsia="SimSun" w:cs="Times New Roman"/>
          <w:color w:val="C00000"/>
          <w:sz w:val="24"/>
          <w:szCs w:val="24"/>
        </w:rPr>
      </w:pPr>
    </w:p>
    <w:p w14:paraId="36085E85">
      <w:pPr>
        <w:pStyle w:val="77"/>
        <w:jc w:val="both"/>
        <w:rPr>
          <w:rFonts w:eastAsia="SimSun"/>
          <w:color w:val="C00000"/>
          <w:sz w:val="24"/>
          <w:szCs w:val="24"/>
        </w:rPr>
      </w:pPr>
    </w:p>
    <w:p w14:paraId="7A1EDDBE">
      <w:pPr>
        <w:pStyle w:val="77"/>
        <w:jc w:val="both"/>
        <w:rPr>
          <w:rFonts w:eastAsia="SimSun"/>
          <w:color w:val="C00000"/>
          <w:sz w:val="24"/>
          <w:szCs w:val="24"/>
        </w:rPr>
      </w:pPr>
    </w:p>
    <w:p w14:paraId="0D2DC287">
      <w:pPr>
        <w:pStyle w:val="77"/>
        <w:jc w:val="both"/>
        <w:rPr>
          <w:rFonts w:eastAsia="SimSun"/>
          <w:color w:val="C00000"/>
          <w:sz w:val="24"/>
          <w:szCs w:val="24"/>
        </w:rPr>
      </w:pPr>
    </w:p>
    <w:p w14:paraId="2F8C7C4D">
      <w:pPr>
        <w:pStyle w:val="77"/>
        <w:jc w:val="both"/>
        <w:rPr>
          <w:rFonts w:eastAsia="SimSun"/>
          <w:color w:val="C00000"/>
          <w:sz w:val="24"/>
          <w:szCs w:val="24"/>
        </w:rPr>
      </w:pPr>
    </w:p>
    <w:p w14:paraId="3B8965D9">
      <w:pPr>
        <w:pStyle w:val="77"/>
        <w:jc w:val="both"/>
        <w:rPr>
          <w:rFonts w:eastAsia="SimSun"/>
          <w:color w:val="C00000"/>
          <w:sz w:val="24"/>
          <w:szCs w:val="24"/>
        </w:rPr>
      </w:pPr>
    </w:p>
    <w:p w14:paraId="21150170">
      <w:pPr>
        <w:pStyle w:val="77"/>
        <w:jc w:val="both"/>
        <w:rPr>
          <w:rFonts w:eastAsia="SimSun"/>
          <w:color w:val="C00000"/>
          <w:sz w:val="24"/>
          <w:szCs w:val="24"/>
        </w:rPr>
      </w:pPr>
    </w:p>
    <w:p w14:paraId="3DE4E3BB">
      <w:pPr>
        <w:pStyle w:val="77"/>
        <w:jc w:val="both"/>
        <w:rPr>
          <w:rFonts w:eastAsia="SimSun"/>
          <w:color w:val="C00000"/>
          <w:sz w:val="24"/>
          <w:szCs w:val="24"/>
        </w:rPr>
      </w:pPr>
    </w:p>
    <w:tbl>
      <w:tblPr>
        <w:tblStyle w:val="10"/>
        <w:tblW w:w="11169" w:type="dxa"/>
        <w:tblInd w:w="-1107" w:type="dxa"/>
        <w:tblLayout w:type="fixed"/>
        <w:tblCellMar>
          <w:top w:w="0" w:type="dxa"/>
          <w:left w:w="108" w:type="dxa"/>
          <w:bottom w:w="0" w:type="dxa"/>
          <w:right w:w="108" w:type="dxa"/>
        </w:tblCellMar>
      </w:tblPr>
      <w:tblGrid>
        <w:gridCol w:w="900"/>
        <w:gridCol w:w="862"/>
        <w:gridCol w:w="862"/>
        <w:gridCol w:w="2733"/>
        <w:gridCol w:w="850"/>
        <w:gridCol w:w="993"/>
        <w:gridCol w:w="850"/>
        <w:gridCol w:w="567"/>
        <w:gridCol w:w="851"/>
        <w:gridCol w:w="567"/>
        <w:gridCol w:w="1134"/>
      </w:tblGrid>
      <w:tr w14:paraId="29E659C8">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1013FB3">
            <w:pPr>
              <w:jc w:val="center"/>
              <w:textAlignment w:val="bottom"/>
              <w:rPr>
                <w:rFonts w:eastAsia="SimSun"/>
                <w:color w:val="000000"/>
                <w:lang w:eastAsia="zh-CN" w:bidi="ar"/>
              </w:rPr>
            </w:pPr>
            <w:r>
              <w:rPr>
                <w:rFonts w:eastAsia="SimSun"/>
                <w:color w:val="000000"/>
                <w:lang w:eastAsia="zh-CN" w:bidi="ar"/>
              </w:rPr>
              <w:t>Item</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7F5636E">
            <w:pPr>
              <w:jc w:val="center"/>
              <w:textAlignment w:val="bottom"/>
              <w:rPr>
                <w:rFonts w:eastAsia="SimSun"/>
                <w:color w:val="000000"/>
                <w:lang w:eastAsia="zh-CN" w:bidi="ar"/>
              </w:rPr>
            </w:pPr>
            <w:r>
              <w:rPr>
                <w:rFonts w:eastAsia="SimSun"/>
                <w:color w:val="000000"/>
                <w:lang w:eastAsia="zh-CN" w:bidi="ar"/>
              </w:rPr>
              <w:t>|Unid</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BF47603">
            <w:pPr>
              <w:ind w:firstLine="100" w:firstLineChars="50"/>
              <w:jc w:val="both"/>
              <w:textAlignment w:val="bottom"/>
              <w:rPr>
                <w:rFonts w:eastAsia="SimSun"/>
                <w:color w:val="000000"/>
                <w:lang w:eastAsia="zh-CN" w:bidi="ar"/>
              </w:rPr>
            </w:pPr>
            <w:r>
              <w:rPr>
                <w:rFonts w:eastAsia="SimSun"/>
                <w:color w:val="000000"/>
                <w:lang w:eastAsia="zh-CN" w:bidi="ar"/>
              </w:rPr>
              <w:t>Quant</w:t>
            </w:r>
          </w:p>
        </w:tc>
        <w:tc>
          <w:tcPr>
            <w:tcW w:w="2733"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C601F18">
            <w:pPr>
              <w:jc w:val="center"/>
              <w:textAlignment w:val="bottom"/>
              <w:rPr>
                <w:rFonts w:eastAsia="SimSun"/>
                <w:color w:val="000000"/>
                <w:lang w:eastAsia="zh-CN" w:bidi="ar"/>
              </w:rPr>
            </w:pPr>
            <w:r>
              <w:rPr>
                <w:rFonts w:eastAsia="SimSun"/>
                <w:color w:val="000000"/>
                <w:lang w:eastAsia="zh-CN" w:bidi="ar"/>
              </w:rPr>
              <w:t>Especificação</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E959291">
            <w:pPr>
              <w:jc w:val="center"/>
              <w:textAlignment w:val="bottom"/>
              <w:rPr>
                <w:rFonts w:eastAsia="SimSun"/>
                <w:b/>
                <w:bCs/>
                <w:color w:val="000000"/>
                <w:lang w:eastAsia="zh-CN" w:bidi="ar"/>
              </w:rPr>
            </w:pPr>
            <w:r>
              <w:rPr>
                <w:rFonts w:eastAsia="SimSun"/>
                <w:b/>
                <w:bCs/>
                <w:color w:val="000000"/>
                <w:lang w:eastAsia="zh-CN" w:bidi="ar"/>
              </w:rPr>
              <w:t>Catmat</w:t>
            </w:r>
          </w:p>
        </w:tc>
        <w:tc>
          <w:tcPr>
            <w:tcW w:w="993"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B249D05">
            <w:pPr>
              <w:jc w:val="center"/>
              <w:textAlignment w:val="bottom"/>
              <w:rPr>
                <w:rFonts w:eastAsia="SimSun"/>
                <w:b/>
                <w:bCs/>
                <w:color w:val="000000"/>
                <w:lang w:eastAsia="zh-CN" w:bidi="ar"/>
              </w:rPr>
            </w:pPr>
            <w:r>
              <w:rPr>
                <w:rFonts w:eastAsia="SimSun"/>
                <w:b/>
                <w:bCs/>
                <w:color w:val="000000"/>
                <w:lang w:eastAsia="zh-CN" w:bidi="ar"/>
              </w:rPr>
              <w:t>Compras Gov</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6A88236">
            <w:pPr>
              <w:jc w:val="center"/>
              <w:textAlignment w:val="bottom"/>
              <w:rPr>
                <w:rFonts w:eastAsia="SimSun"/>
                <w:b/>
                <w:bCs/>
                <w:color w:val="000000"/>
                <w:lang w:eastAsia="zh-CN" w:bidi="ar"/>
              </w:rPr>
            </w:pPr>
            <w:r>
              <w:rPr>
                <w:rFonts w:eastAsia="SimSun"/>
                <w:b/>
                <w:bCs/>
                <w:color w:val="000000"/>
                <w:lang w:eastAsia="zh-CN" w:bidi="ar"/>
              </w:rPr>
              <w:t>Banco de Preços</w:t>
            </w:r>
          </w:p>
        </w:tc>
        <w:tc>
          <w:tcPr>
            <w:tcW w:w="56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99830B3">
            <w:pPr>
              <w:jc w:val="center"/>
              <w:textAlignment w:val="bottom"/>
              <w:rPr>
                <w:rFonts w:eastAsia="SimSun"/>
                <w:b/>
                <w:bCs/>
                <w:color w:val="000000"/>
                <w:lang w:eastAsia="zh-CN" w:bidi="ar"/>
              </w:rPr>
            </w:pPr>
            <w:r>
              <w:rPr>
                <w:rFonts w:eastAsia="SimSun"/>
                <w:b/>
                <w:bCs/>
                <w:color w:val="000000"/>
                <w:lang w:eastAsia="zh-CN" w:bidi="ar"/>
              </w:rPr>
              <w:t>PNCP</w:t>
            </w:r>
          </w:p>
        </w:tc>
        <w:tc>
          <w:tcPr>
            <w:tcW w:w="851"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E91301F">
            <w:pPr>
              <w:jc w:val="center"/>
              <w:textAlignment w:val="bottom"/>
              <w:rPr>
                <w:rFonts w:eastAsia="SimSun"/>
                <w:b/>
                <w:bCs/>
                <w:color w:val="000000"/>
                <w:lang w:eastAsia="zh-CN" w:bidi="ar"/>
              </w:rPr>
            </w:pPr>
            <w:r>
              <w:rPr>
                <w:rFonts w:eastAsia="SimSun"/>
                <w:b/>
                <w:bCs/>
                <w:color w:val="000000"/>
                <w:lang w:eastAsia="zh-CN" w:bidi="ar"/>
              </w:rPr>
              <w:t>Internet</w:t>
            </w:r>
          </w:p>
          <w:p w14:paraId="02F00116">
            <w:pPr>
              <w:jc w:val="center"/>
              <w:textAlignment w:val="bottom"/>
              <w:rPr>
                <w:rFonts w:eastAsia="SimSun"/>
                <w:b/>
                <w:bCs/>
                <w:color w:val="000000"/>
                <w:lang w:eastAsia="zh-CN" w:bidi="ar"/>
              </w:rPr>
            </w:pPr>
            <w:r>
              <w:rPr>
                <w:rFonts w:eastAsia="SimSun"/>
                <w:b/>
                <w:bCs/>
                <w:color w:val="000000"/>
                <w:lang w:eastAsia="zh-CN" w:bidi="ar"/>
              </w:rPr>
              <w:t>(média)</w:t>
            </w:r>
          </w:p>
          <w:p w14:paraId="4C666B14">
            <w:pPr>
              <w:jc w:val="center"/>
              <w:textAlignment w:val="bottom"/>
              <w:rPr>
                <w:rFonts w:eastAsia="SimSun"/>
                <w:b/>
                <w:bCs/>
                <w:color w:val="000000"/>
                <w:lang w:eastAsia="zh-CN" w:bidi="ar"/>
              </w:rPr>
            </w:pPr>
          </w:p>
        </w:tc>
        <w:tc>
          <w:tcPr>
            <w:tcW w:w="56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026C00D">
            <w:pPr>
              <w:jc w:val="center"/>
              <w:textAlignment w:val="bottom"/>
              <w:rPr>
                <w:rFonts w:eastAsia="SimSun"/>
                <w:b/>
                <w:bCs/>
                <w:color w:val="000000"/>
                <w:lang w:eastAsia="zh-CN" w:bidi="ar"/>
              </w:rPr>
            </w:pPr>
            <w:r>
              <w:rPr>
                <w:rFonts w:eastAsia="SimSun"/>
                <w:b/>
                <w:bCs/>
                <w:color w:val="000000"/>
                <w:lang w:eastAsia="zh-CN" w:bidi="ar"/>
              </w:rPr>
              <w:t>Mediana</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9A27EC7">
            <w:pPr>
              <w:jc w:val="center"/>
              <w:textAlignment w:val="bottom"/>
              <w:rPr>
                <w:rFonts w:eastAsia="SimSun"/>
                <w:b/>
                <w:bCs/>
                <w:color w:val="000000"/>
                <w:lang w:eastAsia="zh-CN" w:bidi="ar"/>
              </w:rPr>
            </w:pPr>
            <w:r>
              <w:rPr>
                <w:rFonts w:eastAsia="SimSun"/>
                <w:b/>
                <w:bCs/>
                <w:color w:val="000000"/>
                <w:lang w:eastAsia="zh-CN" w:bidi="ar"/>
              </w:rPr>
              <w:t>Valor Total</w:t>
            </w:r>
          </w:p>
        </w:tc>
      </w:tr>
      <w:tr w14:paraId="4E2355E4">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50F1E0F">
            <w:pPr>
              <w:jc w:val="center"/>
              <w:textAlignment w:val="bottom"/>
              <w:rPr>
                <w:rFonts w:eastAsia="SimSun"/>
                <w:b/>
                <w:bCs/>
                <w:color w:val="000000"/>
                <w:lang w:eastAsia="zh-CN" w:bidi="ar"/>
              </w:rPr>
            </w:pPr>
            <w:r>
              <w:rPr>
                <w:rFonts w:eastAsia="SimSun"/>
                <w:b/>
                <w:bCs/>
                <w:color w:val="000000"/>
                <w:lang w:eastAsia="zh-CN" w:bidi="ar"/>
              </w:rPr>
              <w:t>1</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000D51B">
            <w:pPr>
              <w:jc w:val="center"/>
              <w:textAlignment w:val="bottom"/>
              <w:rPr>
                <w:rFonts w:eastAsia="SimSun"/>
                <w:b/>
                <w:bCs/>
                <w:color w:val="000000"/>
                <w:lang w:eastAsia="zh-CN" w:bidi="ar"/>
              </w:rPr>
            </w:pPr>
            <w:r>
              <w:rPr>
                <w:rFonts w:eastAsia="SimSun"/>
                <w:b/>
                <w:bCs/>
                <w:color w:val="000000"/>
                <w:lang w:eastAsia="zh-CN" w:bidi="ar"/>
              </w:rPr>
              <w:t>Kit</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AFC345E">
            <w:pPr>
              <w:jc w:val="center"/>
              <w:textAlignment w:val="bottom"/>
              <w:rPr>
                <w:b/>
                <w:bCs/>
                <w:color w:val="000000"/>
              </w:rPr>
            </w:pPr>
            <w:r>
              <w:rPr>
                <w:b/>
                <w:bCs/>
                <w:color w:val="000000"/>
              </w:rPr>
              <w:t>15.000</w:t>
            </w:r>
          </w:p>
        </w:tc>
        <w:tc>
          <w:tcPr>
            <w:tcW w:w="2733" w:type="dxa"/>
            <w:tcBorders>
              <w:top w:val="single" w:color="000000" w:sz="2" w:space="0"/>
              <w:left w:val="single" w:color="000000" w:sz="2" w:space="0"/>
              <w:bottom w:val="single" w:color="000000" w:sz="2" w:space="0"/>
              <w:right w:val="single" w:color="000000" w:sz="2" w:space="0"/>
            </w:tcBorders>
            <w:shd w:val="clear" w:color="auto" w:fill="auto"/>
            <w:noWrap/>
          </w:tcPr>
          <w:p w14:paraId="2871BF89">
            <w:pPr>
              <w:rPr>
                <w:color w:val="000000"/>
                <w:sz w:val="24"/>
                <w:szCs w:val="24"/>
              </w:rPr>
            </w:pPr>
            <w:r>
              <w:rPr>
                <w:color w:val="000000"/>
                <w:sz w:val="24"/>
                <w:szCs w:val="24"/>
              </w:rPr>
              <w:t>Kit Higiene Bucal - contendo</w:t>
            </w:r>
          </w:p>
          <w:p w14:paraId="2ECDA5E4">
            <w:pPr>
              <w:rPr>
                <w:sz w:val="24"/>
                <w:szCs w:val="24"/>
              </w:rPr>
            </w:pPr>
            <w:r>
              <w:rPr>
                <w:rFonts w:eastAsia="Symbol"/>
                <w:sz w:val="24"/>
                <w:szCs w:val="24"/>
              </w:rPr>
              <w:t>·</w:t>
            </w:r>
            <w:r>
              <w:rPr>
                <w:rFonts w:eastAsia="SimSun"/>
                <w:sz w:val="24"/>
                <w:szCs w:val="24"/>
              </w:rPr>
              <w:t xml:space="preserve">  </w:t>
            </w:r>
            <w:r>
              <w:rPr>
                <w:rStyle w:val="11"/>
                <w:b w:val="0"/>
                <w:sz w:val="24"/>
                <w:szCs w:val="24"/>
              </w:rPr>
              <w:t>01 escova dental</w:t>
            </w:r>
            <w:r>
              <w:rPr>
                <w:sz w:val="24"/>
                <w:szCs w:val="24"/>
              </w:rPr>
              <w:t xml:space="preserve">, com cerdas macias, cabo anatômico e adequado à higiene bucal; </w:t>
            </w:r>
          </w:p>
          <w:p w14:paraId="2261DB5F">
            <w:pPr>
              <w:rPr>
                <w:sz w:val="24"/>
                <w:szCs w:val="24"/>
              </w:rPr>
            </w:pPr>
            <w:r>
              <w:rPr>
                <w:rFonts w:eastAsia="Symbol"/>
                <w:sz w:val="24"/>
                <w:szCs w:val="24"/>
              </w:rPr>
              <w:t>·</w:t>
            </w:r>
            <w:r>
              <w:rPr>
                <w:rFonts w:eastAsia="SimSun"/>
                <w:sz w:val="24"/>
                <w:szCs w:val="24"/>
              </w:rPr>
              <w:t xml:space="preserve">  </w:t>
            </w:r>
            <w:r>
              <w:rPr>
                <w:rStyle w:val="11"/>
                <w:b w:val="0"/>
                <w:sz w:val="24"/>
                <w:szCs w:val="24"/>
              </w:rPr>
              <w:t>01 fio dental</w:t>
            </w:r>
            <w:r>
              <w:rPr>
                <w:sz w:val="24"/>
                <w:szCs w:val="24"/>
              </w:rPr>
              <w:t xml:space="preserve">, com comprimento mínimo de 25 metros; </w:t>
            </w:r>
          </w:p>
          <w:p w14:paraId="1F298030">
            <w:pPr>
              <w:rPr>
                <w:sz w:val="24"/>
                <w:szCs w:val="24"/>
              </w:rPr>
            </w:pPr>
            <w:r>
              <w:rPr>
                <w:rFonts w:eastAsia="Symbol"/>
                <w:sz w:val="24"/>
                <w:szCs w:val="24"/>
              </w:rPr>
              <w:t>·</w:t>
            </w:r>
            <w:r>
              <w:rPr>
                <w:rFonts w:eastAsia="SimSun"/>
                <w:sz w:val="24"/>
                <w:szCs w:val="24"/>
              </w:rPr>
              <w:t xml:space="preserve">  </w:t>
            </w:r>
            <w:r>
              <w:rPr>
                <w:rStyle w:val="11"/>
                <w:b w:val="0"/>
                <w:sz w:val="24"/>
                <w:szCs w:val="24"/>
              </w:rPr>
              <w:t>01 creme dental</w:t>
            </w:r>
            <w:r>
              <w:rPr>
                <w:sz w:val="24"/>
                <w:szCs w:val="24"/>
              </w:rPr>
              <w:t>, com flúor, embalagem com conteúdo mínimo de 50 g.</w:t>
            </w:r>
          </w:p>
          <w:p w14:paraId="16277F84">
            <w:pPr>
              <w:jc w:val="both"/>
              <w:rPr>
                <w:b/>
                <w:bCs/>
                <w:color w:val="000000"/>
                <w:sz w:val="16"/>
                <w:szCs w:val="16"/>
              </w:rPr>
            </w:pP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453A8C6">
            <w:pPr>
              <w:jc w:val="center"/>
              <w:textAlignment w:val="bottom"/>
              <w:rPr>
                <w:rFonts w:eastAsia="SimSun"/>
                <w:b/>
                <w:bCs/>
                <w:color w:val="000000"/>
                <w:lang w:eastAsia="zh-CN" w:bidi="ar"/>
              </w:rPr>
            </w:pPr>
            <w:r>
              <w:rPr>
                <w:rFonts w:eastAsia="SimSun"/>
                <w:b/>
                <w:bCs/>
                <w:color w:val="000000"/>
                <w:lang w:eastAsia="zh-CN" w:bidi="ar"/>
              </w:rPr>
              <w:t>434987</w:t>
            </w:r>
          </w:p>
        </w:tc>
        <w:tc>
          <w:tcPr>
            <w:tcW w:w="993"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87E61CA">
            <w:pPr>
              <w:jc w:val="center"/>
              <w:textAlignment w:val="bottom"/>
              <w:rPr>
                <w:rFonts w:eastAsia="SimSun"/>
                <w:color w:val="000000"/>
                <w:lang w:eastAsia="zh-CN" w:bidi="ar"/>
              </w:rPr>
            </w:pPr>
            <w:r>
              <w:rPr>
                <w:rFonts w:eastAsia="SimSun"/>
                <w:color w:val="000000"/>
                <w:lang w:eastAsia="zh-CN" w:bidi="ar"/>
              </w:rPr>
              <w:t>4,26</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37A3C27">
            <w:pPr>
              <w:jc w:val="center"/>
              <w:textAlignment w:val="bottom"/>
              <w:rPr>
                <w:rFonts w:eastAsia="SimSun"/>
                <w:color w:val="000000"/>
                <w:lang w:eastAsia="zh-CN" w:bidi="ar"/>
              </w:rPr>
            </w:pPr>
            <w:r>
              <w:rPr>
                <w:rFonts w:eastAsia="SimSun"/>
                <w:color w:val="000000"/>
                <w:lang w:eastAsia="zh-CN" w:bidi="ar"/>
              </w:rPr>
              <w:t>5,60</w:t>
            </w:r>
          </w:p>
        </w:tc>
        <w:tc>
          <w:tcPr>
            <w:tcW w:w="56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3627FBB">
            <w:pPr>
              <w:jc w:val="center"/>
              <w:textAlignment w:val="bottom"/>
              <w:rPr>
                <w:rFonts w:eastAsia="SimSun"/>
                <w:color w:val="000000"/>
                <w:lang w:eastAsia="zh-CN" w:bidi="ar"/>
              </w:rPr>
            </w:pPr>
            <w:r>
              <w:rPr>
                <w:rFonts w:eastAsia="SimSun"/>
                <w:color w:val="000000"/>
                <w:lang w:eastAsia="zh-CN" w:bidi="ar"/>
              </w:rPr>
              <w:t>5,41</w:t>
            </w:r>
          </w:p>
        </w:tc>
        <w:tc>
          <w:tcPr>
            <w:tcW w:w="851"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4CB016D">
            <w:pPr>
              <w:jc w:val="center"/>
              <w:textAlignment w:val="bottom"/>
              <w:rPr>
                <w:rFonts w:eastAsia="SimSun"/>
                <w:color w:val="000000"/>
                <w:lang w:eastAsia="zh-CN" w:bidi="ar"/>
              </w:rPr>
            </w:pPr>
            <w:r>
              <w:rPr>
                <w:rFonts w:eastAsia="SimSun"/>
                <w:color w:val="000000"/>
                <w:lang w:eastAsia="zh-CN" w:bidi="ar"/>
              </w:rPr>
              <w:t>9,39</w:t>
            </w:r>
          </w:p>
        </w:tc>
        <w:tc>
          <w:tcPr>
            <w:tcW w:w="56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B0279ED">
            <w:pPr>
              <w:jc w:val="center"/>
              <w:textAlignment w:val="bottom"/>
              <w:rPr>
                <w:rFonts w:eastAsia="SimSun"/>
                <w:color w:val="000000"/>
                <w:lang w:eastAsia="zh-CN" w:bidi="ar"/>
              </w:rPr>
            </w:pPr>
            <w:r>
              <w:rPr>
                <w:rFonts w:eastAsia="SimSun"/>
                <w:color w:val="000000"/>
                <w:lang w:eastAsia="zh-CN" w:bidi="ar"/>
              </w:rPr>
              <w:t>5,50</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90C764D">
            <w:pPr>
              <w:jc w:val="center"/>
              <w:textAlignment w:val="bottom"/>
              <w:rPr>
                <w:rFonts w:eastAsia="SimSun"/>
                <w:color w:val="000000"/>
                <w:lang w:eastAsia="zh-CN" w:bidi="ar"/>
              </w:rPr>
            </w:pPr>
            <w:r>
              <w:rPr>
                <w:rFonts w:eastAsia="SimSun"/>
                <w:color w:val="000000"/>
                <w:lang w:eastAsia="zh-CN" w:bidi="ar"/>
              </w:rPr>
              <w:t>82.500,00</w:t>
            </w:r>
          </w:p>
        </w:tc>
      </w:tr>
      <w:tr w14:paraId="79DDF3CC">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CA2F793">
            <w:pPr>
              <w:jc w:val="center"/>
              <w:textAlignment w:val="bottom"/>
              <w:rPr>
                <w:rFonts w:eastAsia="SimSun"/>
                <w:b/>
                <w:bCs/>
                <w:color w:val="000000"/>
                <w:lang w:eastAsia="zh-CN" w:bidi="ar"/>
              </w:rPr>
            </w:pPr>
            <w:r>
              <w:rPr>
                <w:rFonts w:eastAsia="SimSun"/>
                <w:b/>
                <w:bCs/>
                <w:color w:val="000000"/>
                <w:lang w:eastAsia="zh-CN" w:bidi="ar"/>
              </w:rPr>
              <w:t>2</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300A3E2">
            <w:pPr>
              <w:jc w:val="center"/>
              <w:textAlignment w:val="bottom"/>
              <w:rPr>
                <w:rFonts w:eastAsia="SimSun"/>
                <w:b/>
                <w:bCs/>
                <w:color w:val="000000"/>
                <w:lang w:eastAsia="zh-CN" w:bidi="ar"/>
              </w:rPr>
            </w:pPr>
            <w:r>
              <w:rPr>
                <w:rFonts w:eastAsia="SimSun"/>
                <w:b/>
                <w:bCs/>
                <w:color w:val="000000"/>
                <w:lang w:eastAsia="zh-CN" w:bidi="ar"/>
              </w:rPr>
              <w:t>Unid</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A9BFB01">
            <w:pPr>
              <w:jc w:val="center"/>
              <w:textAlignment w:val="bottom"/>
              <w:rPr>
                <w:b/>
                <w:bCs/>
                <w:color w:val="000000"/>
              </w:rPr>
            </w:pPr>
            <w:r>
              <w:rPr>
                <w:b/>
                <w:bCs/>
                <w:color w:val="000000"/>
              </w:rPr>
              <w:t>200</w:t>
            </w:r>
          </w:p>
        </w:tc>
        <w:tc>
          <w:tcPr>
            <w:tcW w:w="2733" w:type="dxa"/>
            <w:tcBorders>
              <w:top w:val="single" w:color="000000" w:sz="2" w:space="0"/>
              <w:left w:val="single" w:color="000000" w:sz="2" w:space="0"/>
              <w:bottom w:val="single" w:color="000000" w:sz="2" w:space="0"/>
              <w:right w:val="single" w:color="000000" w:sz="2" w:space="0"/>
            </w:tcBorders>
            <w:shd w:val="clear" w:color="auto" w:fill="auto"/>
            <w:noWrap/>
          </w:tcPr>
          <w:p w14:paraId="2CF93067">
            <w:pPr>
              <w:jc w:val="both"/>
              <w:rPr>
                <w:b/>
                <w:bCs/>
                <w:color w:val="000000"/>
                <w:sz w:val="24"/>
                <w:szCs w:val="24"/>
              </w:rPr>
            </w:pPr>
            <w:r>
              <w:rPr>
                <w:color w:val="000000"/>
                <w:sz w:val="24"/>
                <w:szCs w:val="24"/>
              </w:rPr>
              <w:t>Escova Dental Eletrica, sistema de limpeza 2D: oscila e rotaciona, remoção de placa bacteriana com movimentos oscilantes e rotativos, temporizador de 2 minutos, uso de pilhas, troca de refis e registro na Anvisa, garatia 3 meses.</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EC2AD7E">
            <w:pPr>
              <w:jc w:val="center"/>
              <w:textAlignment w:val="bottom"/>
              <w:rPr>
                <w:rFonts w:eastAsia="SimSun"/>
                <w:b/>
                <w:bCs/>
                <w:color w:val="000000"/>
                <w:lang w:eastAsia="zh-CN" w:bidi="ar"/>
              </w:rPr>
            </w:pPr>
            <w:r>
              <w:rPr>
                <w:rFonts w:eastAsia="SimSun"/>
                <w:b/>
                <w:bCs/>
                <w:color w:val="000000"/>
                <w:lang w:eastAsia="zh-CN" w:bidi="ar"/>
              </w:rPr>
              <w:t>627857</w:t>
            </w:r>
          </w:p>
        </w:tc>
        <w:tc>
          <w:tcPr>
            <w:tcW w:w="993"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D869EF4">
            <w:pPr>
              <w:jc w:val="center"/>
              <w:textAlignment w:val="bottom"/>
              <w:rPr>
                <w:rFonts w:eastAsia="SimSun"/>
                <w:color w:val="000000"/>
                <w:lang w:eastAsia="zh-CN" w:bidi="ar"/>
              </w:rPr>
            </w:pPr>
            <w:r>
              <w:rPr>
                <w:rFonts w:eastAsia="SimSun"/>
                <w:color w:val="000000"/>
                <w:lang w:eastAsia="zh-CN" w:bidi="ar"/>
              </w:rPr>
              <w:t>55,75</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08CCAEF">
            <w:pPr>
              <w:jc w:val="center"/>
              <w:textAlignment w:val="bottom"/>
              <w:rPr>
                <w:rFonts w:eastAsia="SimSun"/>
                <w:color w:val="000000"/>
                <w:lang w:eastAsia="zh-CN" w:bidi="ar"/>
              </w:rPr>
            </w:pPr>
            <w:r>
              <w:rPr>
                <w:rFonts w:eastAsia="SimSun"/>
                <w:color w:val="000000"/>
                <w:lang w:eastAsia="zh-CN" w:bidi="ar"/>
              </w:rPr>
              <w:t>161,43</w:t>
            </w:r>
          </w:p>
        </w:tc>
        <w:tc>
          <w:tcPr>
            <w:tcW w:w="56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45219EC">
            <w:pPr>
              <w:jc w:val="center"/>
              <w:textAlignment w:val="bottom"/>
              <w:rPr>
                <w:rFonts w:eastAsia="SimSun"/>
                <w:color w:val="000000"/>
                <w:lang w:eastAsia="zh-CN" w:bidi="ar"/>
              </w:rPr>
            </w:pPr>
          </w:p>
        </w:tc>
        <w:tc>
          <w:tcPr>
            <w:tcW w:w="851"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CB9708A">
            <w:pPr>
              <w:jc w:val="center"/>
              <w:textAlignment w:val="bottom"/>
              <w:rPr>
                <w:rFonts w:eastAsia="SimSun"/>
                <w:color w:val="000000"/>
                <w:lang w:eastAsia="zh-CN" w:bidi="ar"/>
              </w:rPr>
            </w:pPr>
            <w:r>
              <w:rPr>
                <w:rFonts w:eastAsia="SimSun"/>
                <w:color w:val="000000"/>
                <w:lang w:eastAsia="zh-CN" w:bidi="ar"/>
              </w:rPr>
              <w:t>134,37</w:t>
            </w:r>
          </w:p>
        </w:tc>
        <w:tc>
          <w:tcPr>
            <w:tcW w:w="56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11F3700">
            <w:pPr>
              <w:jc w:val="center"/>
              <w:textAlignment w:val="bottom"/>
              <w:rPr>
                <w:rFonts w:eastAsia="SimSun"/>
                <w:color w:val="000000"/>
                <w:lang w:eastAsia="zh-CN" w:bidi="ar"/>
              </w:rPr>
            </w:pPr>
            <w:r>
              <w:rPr>
                <w:rFonts w:eastAsia="SimSun"/>
                <w:color w:val="000000"/>
                <w:lang w:eastAsia="zh-CN" w:bidi="ar"/>
              </w:rPr>
              <w:t>134,37</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58DBED0">
            <w:pPr>
              <w:jc w:val="center"/>
              <w:textAlignment w:val="bottom"/>
              <w:rPr>
                <w:rFonts w:eastAsia="SimSun"/>
                <w:color w:val="000000"/>
                <w:lang w:eastAsia="zh-CN" w:bidi="ar"/>
              </w:rPr>
            </w:pPr>
            <w:r>
              <w:rPr>
                <w:rFonts w:eastAsia="SimSun"/>
                <w:color w:val="000000"/>
                <w:lang w:eastAsia="zh-CN" w:bidi="ar"/>
              </w:rPr>
              <w:t>26.874,00</w:t>
            </w:r>
          </w:p>
        </w:tc>
      </w:tr>
      <w:tr w14:paraId="6BF2F352">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2DEC8D4">
            <w:pPr>
              <w:jc w:val="center"/>
              <w:textAlignment w:val="bottom"/>
              <w:rPr>
                <w:rFonts w:eastAsia="SimSun"/>
                <w:b/>
                <w:bCs/>
                <w:color w:val="000000"/>
                <w:lang w:eastAsia="zh-CN" w:bidi="ar"/>
              </w:rPr>
            </w:pP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7CB4043">
            <w:pPr>
              <w:jc w:val="center"/>
              <w:textAlignment w:val="bottom"/>
              <w:rPr>
                <w:rFonts w:eastAsia="SimSun"/>
                <w:b/>
                <w:bCs/>
                <w:color w:val="000000"/>
                <w:lang w:eastAsia="zh-CN" w:bidi="ar"/>
              </w:rPr>
            </w:pP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B6D1C9C">
            <w:pPr>
              <w:jc w:val="center"/>
              <w:textAlignment w:val="bottom"/>
              <w:rPr>
                <w:b/>
                <w:bCs/>
                <w:color w:val="000000"/>
              </w:rPr>
            </w:pPr>
          </w:p>
        </w:tc>
        <w:tc>
          <w:tcPr>
            <w:tcW w:w="2733" w:type="dxa"/>
            <w:tcBorders>
              <w:top w:val="single" w:color="000000" w:sz="2" w:space="0"/>
              <w:left w:val="single" w:color="000000" w:sz="2" w:space="0"/>
              <w:bottom w:val="single" w:color="000000" w:sz="2" w:space="0"/>
              <w:right w:val="single" w:color="000000" w:sz="2" w:space="0"/>
            </w:tcBorders>
            <w:shd w:val="clear" w:color="auto" w:fill="auto"/>
            <w:noWrap/>
          </w:tcPr>
          <w:p w14:paraId="03EF7773">
            <w:pPr>
              <w:jc w:val="both"/>
              <w:rPr>
                <w:b/>
                <w:bCs/>
                <w:color w:val="000000"/>
                <w:sz w:val="16"/>
                <w:szCs w:val="16"/>
              </w:rPr>
            </w:pPr>
            <w:r>
              <w:rPr>
                <w:b/>
                <w:bCs/>
                <w:color w:val="000000"/>
                <w:sz w:val="16"/>
                <w:szCs w:val="16"/>
              </w:rPr>
              <w:t>Total</w:t>
            </w: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4C62409">
            <w:pPr>
              <w:jc w:val="center"/>
              <w:textAlignment w:val="bottom"/>
              <w:rPr>
                <w:rFonts w:eastAsia="SimSun"/>
                <w:b/>
                <w:bCs/>
                <w:color w:val="000000"/>
                <w:lang w:eastAsia="zh-CN" w:bidi="ar"/>
              </w:rPr>
            </w:pPr>
          </w:p>
        </w:tc>
        <w:tc>
          <w:tcPr>
            <w:tcW w:w="993"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0613C06">
            <w:pPr>
              <w:jc w:val="center"/>
              <w:textAlignment w:val="bottom"/>
              <w:rPr>
                <w:rFonts w:eastAsia="SimSun"/>
                <w:color w:val="000000"/>
                <w:lang w:eastAsia="zh-CN" w:bidi="ar"/>
              </w:rPr>
            </w:pPr>
          </w:p>
        </w:tc>
        <w:tc>
          <w:tcPr>
            <w:tcW w:w="85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D4861FB">
            <w:pPr>
              <w:jc w:val="center"/>
              <w:textAlignment w:val="bottom"/>
              <w:rPr>
                <w:rFonts w:eastAsia="SimSun"/>
                <w:color w:val="000000"/>
                <w:lang w:eastAsia="zh-CN" w:bidi="ar"/>
              </w:rPr>
            </w:pPr>
          </w:p>
        </w:tc>
        <w:tc>
          <w:tcPr>
            <w:tcW w:w="56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CE3D60A">
            <w:pPr>
              <w:jc w:val="center"/>
              <w:textAlignment w:val="bottom"/>
              <w:rPr>
                <w:rFonts w:eastAsia="SimSun"/>
                <w:color w:val="000000"/>
                <w:lang w:eastAsia="zh-CN" w:bidi="ar"/>
              </w:rPr>
            </w:pPr>
          </w:p>
        </w:tc>
        <w:tc>
          <w:tcPr>
            <w:tcW w:w="851"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B972137">
            <w:pPr>
              <w:jc w:val="center"/>
              <w:textAlignment w:val="bottom"/>
              <w:rPr>
                <w:rFonts w:eastAsia="SimSun"/>
                <w:color w:val="000000"/>
                <w:lang w:eastAsia="zh-CN" w:bidi="ar"/>
              </w:rPr>
            </w:pPr>
          </w:p>
        </w:tc>
        <w:tc>
          <w:tcPr>
            <w:tcW w:w="567"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FE1FDD1">
            <w:pPr>
              <w:jc w:val="center"/>
              <w:textAlignment w:val="bottom"/>
              <w:rPr>
                <w:rFonts w:eastAsia="SimSun"/>
                <w:color w:val="000000"/>
                <w:lang w:eastAsia="zh-CN" w:bidi="ar"/>
              </w:rPr>
            </w:pP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BD315A9">
            <w:pPr>
              <w:jc w:val="center"/>
              <w:textAlignment w:val="bottom"/>
              <w:rPr>
                <w:rFonts w:eastAsia="SimSun"/>
                <w:color w:val="000000"/>
                <w:lang w:eastAsia="zh-CN" w:bidi="ar"/>
              </w:rPr>
            </w:pPr>
            <w:r>
              <w:rPr>
                <w:rFonts w:eastAsia="SimSun"/>
                <w:color w:val="000000"/>
                <w:lang w:eastAsia="zh-CN" w:bidi="ar"/>
              </w:rPr>
              <w:t>109.374,00</w:t>
            </w:r>
          </w:p>
        </w:tc>
      </w:tr>
    </w:tbl>
    <w:p w14:paraId="73D4F687">
      <w:pPr>
        <w:pStyle w:val="77"/>
        <w:jc w:val="both"/>
        <w:rPr>
          <w:rFonts w:ascii="Times New Roman" w:hAnsi="Times New Roman" w:eastAsia="SimSun" w:cs="Times New Roman"/>
          <w:sz w:val="24"/>
          <w:szCs w:val="24"/>
        </w:rPr>
      </w:pPr>
    </w:p>
    <w:p w14:paraId="2F992440">
      <w:pPr>
        <w:rPr>
          <w:rFonts w:ascii="Arial" w:hAnsi="Arial" w:cs="Arial"/>
        </w:rPr>
      </w:pPr>
    </w:p>
    <w:p w14:paraId="4242B9B4">
      <w:pPr>
        <w:rPr>
          <w:rFonts w:ascii="Arial" w:hAnsi="Arial" w:cs="Arial"/>
        </w:rPr>
      </w:pPr>
    </w:p>
    <w:p w14:paraId="70C59478">
      <w:pPr>
        <w:rPr>
          <w:rFonts w:ascii="Arial" w:hAnsi="Arial" w:cs="Arial"/>
        </w:rPr>
      </w:pPr>
    </w:p>
    <w:p w14:paraId="25CE74D4">
      <w:pPr>
        <w:rPr>
          <w:rFonts w:ascii="Arial" w:hAnsi="Arial" w:cs="Arial"/>
        </w:rPr>
      </w:pPr>
    </w:p>
    <w:p w14:paraId="2110695E">
      <w:pPr>
        <w:rPr>
          <w:rFonts w:ascii="Arial" w:hAnsi="Arial" w:cs="Arial"/>
        </w:rPr>
      </w:pPr>
    </w:p>
    <w:p w14:paraId="0DA704E2">
      <w:pPr>
        <w:spacing w:line="288" w:lineRule="auto"/>
        <w:contextualSpacing/>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ANEXO VI</w:t>
      </w:r>
    </w:p>
    <w:p w14:paraId="5B72FB63">
      <w:pPr>
        <w:spacing w:line="288" w:lineRule="auto"/>
        <w:contextualSpacing/>
        <w:jc w:val="center"/>
        <w:rPr>
          <w:b/>
          <w:color w:val="000000" w:themeColor="text1"/>
          <w:sz w:val="24"/>
          <w:szCs w:val="24"/>
          <w:u w:val="single"/>
          <w14:textFill>
            <w14:solidFill>
              <w14:schemeClr w14:val="tx1"/>
            </w14:solidFill>
          </w14:textFill>
        </w:rPr>
      </w:pPr>
      <w:r>
        <w:rPr>
          <w:b/>
          <w:bCs/>
          <w:color w:val="000000" w:themeColor="text1"/>
          <w:sz w:val="24"/>
          <w:szCs w:val="24"/>
          <w:highlight w:val="yellow"/>
          <w:u w:val="single"/>
          <w14:textFill>
            <w14:solidFill>
              <w14:schemeClr w14:val="tx1"/>
            </w14:solidFill>
          </w14:textFill>
        </w:rPr>
        <w:t xml:space="preserve">MINUTA - ATA DE REGISTRO DE PREÇOS N° </w:t>
      </w:r>
      <w:r>
        <w:rPr>
          <w:b/>
          <w:color w:val="000000" w:themeColor="text1"/>
          <w:sz w:val="24"/>
          <w:szCs w:val="24"/>
          <w:highlight w:val="yellow"/>
          <w:u w:val="single"/>
          <w14:textFill>
            <w14:solidFill>
              <w14:schemeClr w14:val="tx1"/>
            </w14:solidFill>
          </w14:textFill>
        </w:rPr>
        <w:t>XXX/XXX</w:t>
      </w:r>
    </w:p>
    <w:p w14:paraId="6522E206">
      <w:pPr>
        <w:contextualSpacing/>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MUNICÍPIO DE VALENÇA</w:t>
      </w:r>
    </w:p>
    <w:p w14:paraId="0645F0F3">
      <w:pPr>
        <w:contextualSpacing/>
        <w:jc w:val="center"/>
        <w:rPr>
          <w:b/>
          <w:bCs/>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SECRETARIA MUNICIPAL DE SAÚDE</w:t>
      </w:r>
    </w:p>
    <w:p w14:paraId="44395BEA">
      <w:pPr>
        <w:spacing w:after="120"/>
        <w:ind w:left="3969" w:right="-15"/>
        <w:contextualSpacing/>
        <w:jc w:val="both"/>
        <w:rPr>
          <w:b/>
          <w:color w:val="000000" w:themeColor="text1"/>
          <w:sz w:val="24"/>
          <w:szCs w:val="24"/>
          <w14:textFill>
            <w14:solidFill>
              <w14:schemeClr w14:val="tx1"/>
            </w14:solidFill>
          </w14:textFill>
        </w:rPr>
      </w:pPr>
    </w:p>
    <w:p w14:paraId="6787FE57">
      <w:pPr>
        <w:spacing w:after="120"/>
        <w:ind w:left="3969" w:right="-15"/>
        <w:contextualSpacing/>
        <w:jc w:val="both"/>
        <w:rPr>
          <w:b/>
          <w:color w:val="000000" w:themeColor="text1"/>
          <w:sz w:val="24"/>
          <w:szCs w:val="24"/>
          <w14:textFill>
            <w14:solidFill>
              <w14:schemeClr w14:val="tx1"/>
            </w14:solidFill>
          </w14:textFill>
        </w:rPr>
      </w:pPr>
    </w:p>
    <w:p w14:paraId="673543BE">
      <w:pPr>
        <w:widowControl w:val="0"/>
        <w:tabs>
          <w:tab w:val="center" w:pos="4779"/>
          <w:tab w:val="right" w:pos="9198"/>
        </w:tabs>
        <w:autoSpaceDE w:val="0"/>
        <w:autoSpaceDN w:val="0"/>
        <w:adjustRightInd w:val="0"/>
        <w:spacing w:before="120" w:after="120" w:line="288" w:lineRule="auto"/>
        <w:ind w:right="-28"/>
        <w:contextualSpacing/>
        <w:jc w:val="both"/>
        <w:rPr>
          <w:color w:val="000000" w:themeColor="text1"/>
          <w:sz w:val="24"/>
          <w:szCs w:val="24"/>
          <w14:textFill>
            <w14:solidFill>
              <w14:schemeClr w14:val="tx1"/>
            </w14:solidFill>
          </w14:textFill>
        </w:rPr>
      </w:pPr>
      <w:r>
        <w:rPr>
          <w:rFonts w:eastAsia="Arial"/>
          <w:b/>
          <w:bCs/>
          <w:color w:val="000000" w:themeColor="text1"/>
          <w:sz w:val="24"/>
          <w:szCs w:val="24"/>
          <w14:textFill>
            <w14:solidFill>
              <w14:schemeClr w14:val="tx1"/>
            </w14:solidFill>
          </w14:textFill>
        </w:rPr>
        <w:t xml:space="preserve">O MUNICÍPIO DE VALENÇA, </w:t>
      </w:r>
      <w:r>
        <w:rPr>
          <w:b/>
          <w:bCs/>
          <w:color w:val="000000" w:themeColor="text1"/>
          <w:sz w:val="24"/>
          <w:szCs w:val="24"/>
          <w14:textFill>
            <w14:solidFill>
              <w14:schemeClr w14:val="tx1"/>
            </w14:solidFill>
          </w14:textFill>
        </w:rPr>
        <w:t>pela SECRETARIA MUNICIPAL DE SAÚDE</w:t>
      </w:r>
      <w:r>
        <w:rPr>
          <w:color w:val="000000" w:themeColor="text1"/>
          <w:sz w:val="24"/>
          <w:szCs w:val="24"/>
          <w14:textFill>
            <w14:solidFill>
              <w14:schemeClr w14:val="tx1"/>
            </w14:solidFill>
          </w14:textFill>
        </w:rPr>
        <w:t xml:space="preserve">, com sede na Rua Dr. Figueiredo, nº 320 , na cidade de Valença, no Estado do Rio de Janeiro, inscrita no CNPJ sob o nº 29.076.130/0001-90, neste ato representada por Rafael de Oliveira Tavares, portador do CPF nº </w:t>
      </w:r>
      <w:r>
        <w:rPr>
          <w:sz w:val="24"/>
          <w:szCs w:val="24"/>
        </w:rPr>
        <w:t>105.832.167-65</w:t>
      </w:r>
      <w:r>
        <w:rPr>
          <w:color w:val="000000" w:themeColor="text1"/>
          <w:sz w:val="24"/>
          <w:szCs w:val="24"/>
          <w14:textFill>
            <w14:solidFill>
              <w14:schemeClr w14:val="tx1"/>
            </w14:solidFill>
          </w14:textFill>
        </w:rPr>
        <w:t xml:space="preserve">, considerando o resultado do Pregão Eletrônico nº xxx/2026, publicada no ...... de ...../...../202... para REGISTRO DE PREÇOS, processo administrativo nº ......, RESOLVE registrar os preços da  empresa indicada e qualificada nesta ATA, de acordo com a classificação por ela alcançada e na quantidade  cotada, atendendo as condições previstas no </w:t>
      </w:r>
      <w:bookmarkStart w:id="43" w:name="_Hlk158816343"/>
      <w:r>
        <w:rPr>
          <w:color w:val="000000" w:themeColor="text1"/>
          <w:sz w:val="24"/>
          <w:szCs w:val="24"/>
          <w14:textFill>
            <w14:solidFill>
              <w14:schemeClr w14:val="tx1"/>
            </w14:solidFill>
          </w14:textFill>
        </w:rPr>
        <w:t xml:space="preserve">Edital de licitação </w:t>
      </w:r>
      <w:bookmarkStart w:id="44" w:name="_Hlk155800648"/>
      <w:r>
        <w:rPr>
          <w:color w:val="000000" w:themeColor="text1"/>
          <w:sz w:val="24"/>
          <w:szCs w:val="24"/>
          <w14:textFill>
            <w14:solidFill>
              <w14:schemeClr w14:val="tx1"/>
            </w14:solidFill>
          </w14:textFill>
        </w:rPr>
        <w:t>nº xxx/202</w:t>
      </w:r>
      <w:bookmarkEnd w:id="44"/>
      <w:r>
        <w:rPr>
          <w:color w:val="000000" w:themeColor="text1"/>
          <w:sz w:val="24"/>
          <w:szCs w:val="24"/>
          <w14:textFill>
            <w14:solidFill>
              <w14:schemeClr w14:val="tx1"/>
            </w14:solidFill>
          </w14:textFill>
        </w:rPr>
        <w:t>6 Termo de Referência</w:t>
      </w:r>
      <w:bookmarkEnd w:id="43"/>
      <w:r>
        <w:rPr>
          <w:color w:val="000000" w:themeColor="text1"/>
          <w:sz w:val="24"/>
          <w:szCs w:val="24"/>
          <w14:textFill>
            <w14:solidFill>
              <w14:schemeClr w14:val="tx1"/>
            </w14:solidFill>
          </w14:textFill>
        </w:rPr>
        <w:t xml:space="preserve">, sujeitando-se as partes às normas constantes na Lei nº 14.133, de 1º de abril de 2021, no Decreto nº 46, de 25 de fevereiro de 2025 </w:t>
      </w:r>
      <w:r>
        <w:rPr>
          <w:rFonts w:eastAsia="Arial"/>
          <w:color w:val="000000" w:themeColor="text1"/>
          <w:sz w:val="24"/>
          <w:szCs w:val="24"/>
          <w14:textFill>
            <w14:solidFill>
              <w14:schemeClr w14:val="tx1"/>
            </w14:solidFill>
          </w14:textFill>
        </w:rPr>
        <w:t xml:space="preserve">e nos demais normativos municipais aplicáveis, todos disponíveis </w:t>
      </w:r>
      <w:r>
        <w:rPr>
          <w:color w:val="000000" w:themeColor="text1"/>
          <w:sz w:val="24"/>
          <w:szCs w:val="24"/>
          <w14:textFill>
            <w14:solidFill>
              <w14:schemeClr w14:val="tx1"/>
            </w14:solidFill>
          </w14:textFill>
        </w:rPr>
        <w:t>no endereço eletrônico xxx, e em conformidade com as disposições a seguir:</w:t>
      </w:r>
    </w:p>
    <w:p w14:paraId="0174BEB2">
      <w:pPr>
        <w:pStyle w:val="97"/>
        <w:spacing w:before="0" w:beforeAutospacing="0" w:after="0" w:afterAutospacing="0" w:line="288" w:lineRule="auto"/>
        <w:ind w:right="-1"/>
        <w:contextualSpacing/>
        <w:jc w:val="both"/>
        <w:rPr>
          <w:color w:val="000000" w:themeColor="text1"/>
          <w14:textFill>
            <w14:solidFill>
              <w14:schemeClr w14:val="tx1"/>
            </w14:solidFill>
          </w14:textFill>
        </w:rPr>
      </w:pPr>
    </w:p>
    <w:p w14:paraId="04A6C3D3">
      <w:pPr>
        <w:pStyle w:val="97"/>
        <w:spacing w:before="0" w:beforeAutospacing="0" w:after="0" w:afterAutospacing="0" w:line="288" w:lineRule="auto"/>
        <w:ind w:right="-1"/>
        <w:contextualSpacing/>
        <w:jc w:val="both"/>
        <w:rPr>
          <w:b/>
          <w:bCs/>
        </w:rPr>
      </w:pPr>
      <w:r>
        <w:rPr>
          <w:b/>
          <w:bCs/>
        </w:rPr>
        <w:t xml:space="preserve">CLÁUSULA PRIMEIRA: OBJETO </w:t>
      </w:r>
    </w:p>
    <w:p w14:paraId="641AB554">
      <w:pPr>
        <w:pStyle w:val="97"/>
        <w:spacing w:before="0" w:beforeAutospacing="0" w:after="0" w:afterAutospacing="0" w:line="288" w:lineRule="auto"/>
        <w:ind w:right="-1"/>
        <w:contextualSpacing/>
        <w:jc w:val="both"/>
        <w:rPr>
          <w:b/>
          <w:bCs/>
        </w:rPr>
      </w:pPr>
    </w:p>
    <w:p w14:paraId="202B2C7B">
      <w:pPr>
        <w:pStyle w:val="61"/>
        <w:numPr>
          <w:ilvl w:val="1"/>
          <w:numId w:val="8"/>
        </w:numPr>
        <w:spacing w:after="112" w:line="360" w:lineRule="auto"/>
        <w:rPr>
          <w:rFonts w:eastAsia="SimSun"/>
        </w:rPr>
      </w:pPr>
      <w:r>
        <w:rPr>
          <w:rFonts w:eastAsia="Cambria Math"/>
          <w:sz w:val="24"/>
          <w:szCs w:val="24"/>
        </w:rPr>
        <w:t>A</w:t>
      </w:r>
      <w:r>
        <w:rPr>
          <w:rFonts w:eastAsia="SimSun"/>
          <w:sz w:val="24"/>
          <w:szCs w:val="24"/>
        </w:rPr>
        <w:t>quisição de kits bucais e escovas elétricas, destinados ao atendimento das necessidades do Centro de Especialidades Odontológicas (CEO).</w:t>
      </w:r>
    </w:p>
    <w:p w14:paraId="317EDF29">
      <w:pPr>
        <w:spacing w:after="112" w:line="360" w:lineRule="auto"/>
        <w:rPr>
          <w:rFonts w:eastAsia="SimSun"/>
        </w:rPr>
      </w:pPr>
    </w:p>
    <w:p w14:paraId="742F58E6">
      <w:pPr>
        <w:pStyle w:val="99"/>
        <w:numPr>
          <w:ilvl w:val="1"/>
          <w:numId w:val="0"/>
        </w:numPr>
        <w:autoSpaceDE w:val="0"/>
        <w:autoSpaceDN w:val="0"/>
        <w:adjustRightInd w:val="0"/>
        <w:spacing w:line="288" w:lineRule="auto"/>
        <w:contextualSpacing/>
        <w:rPr>
          <w:rFonts w:ascii="Times New Roman" w:hAnsi="Times New Roman" w:cs="Times New Roman"/>
          <w:b/>
          <w:bCs/>
          <w:sz w:val="24"/>
          <w:szCs w:val="24"/>
        </w:rPr>
      </w:pPr>
      <w:r>
        <w:rPr>
          <w:rFonts w:ascii="Times New Roman" w:hAnsi="Times New Roman" w:cs="Times New Roman"/>
          <w:b/>
          <w:bCs/>
          <w:sz w:val="24"/>
          <w:szCs w:val="24"/>
        </w:rPr>
        <w:t xml:space="preserve">CLÁUSULA SEGUNDA: DA ATA DE REGISTRO DE PREÇOS   </w:t>
      </w:r>
    </w:p>
    <w:p w14:paraId="577253A8">
      <w:pPr>
        <w:pStyle w:val="99"/>
        <w:numPr>
          <w:ilvl w:val="1"/>
          <w:numId w:val="0"/>
        </w:numPr>
        <w:autoSpaceDE w:val="0"/>
        <w:autoSpaceDN w:val="0"/>
        <w:adjustRightInd w:val="0"/>
        <w:spacing w:line="288" w:lineRule="auto"/>
        <w:contextualSpacing/>
        <w:rPr>
          <w:rFonts w:ascii="Times New Roman" w:hAnsi="Times New Roman" w:cs="Times New Roman"/>
          <w:sz w:val="24"/>
          <w:szCs w:val="24"/>
        </w:rPr>
      </w:pPr>
    </w:p>
    <w:p w14:paraId="1AAF5693">
      <w:pPr>
        <w:spacing w:after="112" w:line="360" w:lineRule="auto"/>
        <w:rPr>
          <w:rFonts w:eastAsia="SimSun"/>
        </w:rPr>
      </w:pPr>
      <w:r>
        <w:rPr>
          <w:sz w:val="24"/>
          <w:szCs w:val="24"/>
        </w:rPr>
        <w:t xml:space="preserve">2.1 </w:t>
      </w:r>
      <w:r>
        <w:rPr>
          <w:rFonts w:eastAsia="Cambria Math"/>
          <w:sz w:val="24"/>
          <w:szCs w:val="24"/>
        </w:rPr>
        <w:t>A</w:t>
      </w:r>
      <w:r>
        <w:rPr>
          <w:rFonts w:eastAsia="SimSun"/>
          <w:sz w:val="24"/>
          <w:szCs w:val="24"/>
        </w:rPr>
        <w:t>quisição de kits bucais e escovas elétricas, destinados ao atendimento das necessidades do Centro de Especialidades Odontológicas (CEO).</w:t>
      </w:r>
    </w:p>
    <w:p w14:paraId="3AC0B7CD">
      <w:pPr>
        <w:pStyle w:val="77"/>
        <w:spacing w:line="360" w:lineRule="auto"/>
        <w:jc w:val="both"/>
        <w:rPr>
          <w:rFonts w:ascii="Times New Roman" w:hAnsi="Times New Roman" w:eastAsia="SimSun" w:cs="Times New Roman"/>
          <w:sz w:val="24"/>
          <w:szCs w:val="24"/>
        </w:rPr>
      </w:pPr>
    </w:p>
    <w:p w14:paraId="52D57E5A">
      <w:pPr>
        <w:spacing w:line="288" w:lineRule="auto"/>
        <w:contextualSpacing/>
        <w:jc w:val="both"/>
        <w:rPr>
          <w:b/>
          <w:sz w:val="24"/>
          <w:szCs w:val="24"/>
        </w:rPr>
      </w:pPr>
      <w:r>
        <w:rPr>
          <w:sz w:val="24"/>
          <w:szCs w:val="24"/>
        </w:rPr>
        <w:t xml:space="preserve">2.2 A contratação com o fornecedor registrado não é obrigatória e será realizada de acordo com a necessidade do </w:t>
      </w:r>
      <w:r>
        <w:rPr>
          <w:bCs/>
          <w:sz w:val="24"/>
          <w:szCs w:val="24"/>
        </w:rPr>
        <w:t>gerenciador e dos participantes, quando houver,</w:t>
      </w:r>
      <w:r>
        <w:rPr>
          <w:b/>
          <w:sz w:val="24"/>
          <w:szCs w:val="24"/>
        </w:rPr>
        <w:t xml:space="preserve"> </w:t>
      </w:r>
      <w:r>
        <w:rPr>
          <w:sz w:val="24"/>
          <w:szCs w:val="24"/>
        </w:rPr>
        <w:t>e de acordo com o quantitativo indicado na cláusula quinta</w:t>
      </w:r>
      <w:r>
        <w:rPr>
          <w:b/>
          <w:sz w:val="24"/>
          <w:szCs w:val="24"/>
        </w:rPr>
        <w:t>.</w:t>
      </w:r>
    </w:p>
    <w:p w14:paraId="635D1EB5">
      <w:pPr>
        <w:spacing w:line="288" w:lineRule="auto"/>
        <w:contextualSpacing/>
        <w:jc w:val="both"/>
        <w:rPr>
          <w:b/>
          <w:sz w:val="24"/>
          <w:szCs w:val="24"/>
        </w:rPr>
      </w:pPr>
    </w:p>
    <w:p w14:paraId="066FE1B2">
      <w:pPr>
        <w:autoSpaceDE w:val="0"/>
        <w:autoSpaceDN w:val="0"/>
        <w:adjustRightInd w:val="0"/>
        <w:spacing w:line="288" w:lineRule="auto"/>
        <w:contextualSpacing/>
        <w:jc w:val="both"/>
        <w:rPr>
          <w:sz w:val="24"/>
          <w:szCs w:val="24"/>
        </w:rPr>
      </w:pPr>
      <w:r>
        <w:rPr>
          <w:bCs/>
          <w:sz w:val="24"/>
          <w:szCs w:val="24"/>
        </w:rPr>
        <w:t xml:space="preserve">2.3 </w:t>
      </w:r>
      <w:r>
        <w:rPr>
          <w:sz w:val="24"/>
          <w:szCs w:val="24"/>
        </w:rPr>
        <w:t xml:space="preserve">A Administração poderá realizar </w:t>
      </w:r>
      <w:r>
        <w:rPr>
          <w:color w:val="231F20"/>
          <w:sz w:val="24"/>
          <w:szCs w:val="24"/>
        </w:rPr>
        <w:t xml:space="preserve">licitação ou contratação direta </w:t>
      </w:r>
      <w:r>
        <w:rPr>
          <w:sz w:val="24"/>
          <w:szCs w:val="24"/>
        </w:rPr>
        <w:t>para</w:t>
      </w:r>
      <w:r>
        <w:rPr>
          <w:color w:val="231F20"/>
          <w:sz w:val="24"/>
          <w:szCs w:val="24"/>
        </w:rPr>
        <w:t xml:space="preserve"> a aquisição de mesmo objeto da presente Ata,</w:t>
      </w:r>
      <w:r>
        <w:rPr>
          <w:sz w:val="24"/>
          <w:szCs w:val="24"/>
        </w:rPr>
        <w:t xml:space="preserve"> desde que devidamente motivada, observado o disposto no art. 26, parágrafo único, do Decreto nº 46/2025</w:t>
      </w:r>
      <w:r>
        <w:rPr>
          <w:color w:val="231F20"/>
          <w:sz w:val="24"/>
          <w:szCs w:val="24"/>
        </w:rPr>
        <w:t>.</w:t>
      </w:r>
      <w:r>
        <w:rPr>
          <w:sz w:val="24"/>
          <w:szCs w:val="24"/>
        </w:rPr>
        <w:t xml:space="preserve"> </w:t>
      </w:r>
    </w:p>
    <w:p w14:paraId="0D321846">
      <w:pPr>
        <w:spacing w:line="288" w:lineRule="auto"/>
        <w:contextualSpacing/>
        <w:jc w:val="both"/>
        <w:rPr>
          <w:sz w:val="24"/>
          <w:szCs w:val="24"/>
        </w:rPr>
      </w:pPr>
    </w:p>
    <w:p w14:paraId="55D9E828">
      <w:pPr>
        <w:spacing w:line="288" w:lineRule="auto"/>
        <w:contextualSpacing/>
        <w:jc w:val="both"/>
        <w:rPr>
          <w:color w:val="231F20"/>
          <w:sz w:val="24"/>
          <w:szCs w:val="24"/>
        </w:rPr>
      </w:pPr>
      <w:r>
        <w:rPr>
          <w:rFonts w:eastAsia="Arial"/>
          <w:bCs/>
          <w:sz w:val="24"/>
          <w:szCs w:val="24"/>
        </w:rPr>
        <w:t>2.4 Esta</w:t>
      </w:r>
      <w:r>
        <w:rPr>
          <w:bCs/>
          <w:sz w:val="24"/>
          <w:szCs w:val="24"/>
        </w:rPr>
        <w:t xml:space="preserve"> </w:t>
      </w:r>
      <w:r>
        <w:rPr>
          <w:sz w:val="24"/>
          <w:szCs w:val="24"/>
        </w:rPr>
        <w:t xml:space="preserve">Ata de Registro de Preços, com a indicação do </w:t>
      </w:r>
      <w:r>
        <w:rPr>
          <w:color w:val="231F20"/>
          <w:sz w:val="24"/>
          <w:szCs w:val="24"/>
        </w:rPr>
        <w:t xml:space="preserve">preço registrado e dos fornecedores, será divulgada no </w:t>
      </w:r>
      <w:r>
        <w:rPr>
          <w:sz w:val="24"/>
          <w:szCs w:val="24"/>
        </w:rPr>
        <w:t xml:space="preserve">Portal Nacional de Contratações Públicas – PNCP e no </w:t>
      </w:r>
      <w:r>
        <w:rPr>
          <w:color w:val="231F20"/>
          <w:sz w:val="24"/>
          <w:szCs w:val="24"/>
        </w:rPr>
        <w:t>Site da Prefeitura de Valença.</w:t>
      </w:r>
    </w:p>
    <w:p w14:paraId="23AC1F40">
      <w:pPr>
        <w:spacing w:line="288" w:lineRule="auto"/>
        <w:contextualSpacing/>
        <w:jc w:val="both"/>
        <w:rPr>
          <w:color w:val="231F20"/>
          <w:sz w:val="24"/>
          <w:szCs w:val="24"/>
        </w:rPr>
      </w:pPr>
    </w:p>
    <w:p w14:paraId="1D379020">
      <w:pPr>
        <w:spacing w:line="288" w:lineRule="auto"/>
        <w:contextualSpacing/>
        <w:jc w:val="both"/>
        <w:rPr>
          <w:rFonts w:eastAsia="Arial"/>
          <w:b/>
          <w:sz w:val="24"/>
          <w:szCs w:val="24"/>
        </w:rPr>
      </w:pPr>
      <w:r>
        <w:rPr>
          <w:b/>
          <w:bCs/>
          <w:sz w:val="24"/>
          <w:szCs w:val="24"/>
        </w:rPr>
        <w:t>CLÁUSULA TERCEIRA:</w:t>
      </w:r>
      <w:r>
        <w:rPr>
          <w:sz w:val="24"/>
          <w:szCs w:val="24"/>
        </w:rPr>
        <w:t xml:space="preserve"> </w:t>
      </w:r>
      <w:r>
        <w:rPr>
          <w:b/>
          <w:bCs/>
          <w:sz w:val="24"/>
          <w:szCs w:val="24"/>
        </w:rPr>
        <w:t>DO FORNECEDOR,</w:t>
      </w:r>
      <w:r>
        <w:rPr>
          <w:sz w:val="24"/>
          <w:szCs w:val="24"/>
        </w:rPr>
        <w:t xml:space="preserve"> </w:t>
      </w:r>
      <w:r>
        <w:rPr>
          <w:rFonts w:eastAsia="Arial"/>
          <w:b/>
          <w:sz w:val="24"/>
          <w:szCs w:val="24"/>
        </w:rPr>
        <w:t xml:space="preserve">DO GERENCIADOR, DOS PARTICIPANTES E DAS ATRIBUIÇÕES  </w:t>
      </w:r>
    </w:p>
    <w:p w14:paraId="77A0E61A">
      <w:pPr>
        <w:spacing w:line="288" w:lineRule="auto"/>
        <w:contextualSpacing/>
        <w:jc w:val="both"/>
        <w:rPr>
          <w:rFonts w:eastAsia="Arial"/>
          <w:sz w:val="24"/>
          <w:szCs w:val="24"/>
        </w:rPr>
      </w:pPr>
    </w:p>
    <w:p w14:paraId="72A86269">
      <w:pPr>
        <w:spacing w:line="288" w:lineRule="auto"/>
        <w:contextualSpacing/>
        <w:jc w:val="both"/>
        <w:rPr>
          <w:rFonts w:eastAsia="Arial"/>
          <w:sz w:val="24"/>
          <w:szCs w:val="24"/>
        </w:rPr>
      </w:pPr>
      <w:r>
        <w:rPr>
          <w:rFonts w:eastAsia="Arial"/>
          <w:sz w:val="24"/>
          <w:szCs w:val="24"/>
        </w:rPr>
        <w:t xml:space="preserve">3.1 O fornecedor desta Ata de Registro de Preços é </w:t>
      </w:r>
      <w:r>
        <w:rPr>
          <w:rFonts w:eastAsia="Arial"/>
          <w:color w:val="FF0000"/>
          <w:sz w:val="24"/>
          <w:szCs w:val="24"/>
        </w:rPr>
        <w:t>...................</w:t>
      </w:r>
      <w:r>
        <w:rPr>
          <w:sz w:val="24"/>
          <w:szCs w:val="24"/>
        </w:rPr>
        <w:t>, na forma do Anexo I – Consolidação das Informações da Ata de Registro de Preços.</w:t>
      </w:r>
    </w:p>
    <w:p w14:paraId="40D456CC">
      <w:pPr>
        <w:spacing w:line="288" w:lineRule="auto"/>
        <w:contextualSpacing/>
        <w:jc w:val="both"/>
        <w:rPr>
          <w:rFonts w:eastAsia="Arial"/>
          <w:sz w:val="24"/>
          <w:szCs w:val="24"/>
        </w:rPr>
      </w:pPr>
    </w:p>
    <w:p w14:paraId="2D12A54E">
      <w:pPr>
        <w:spacing w:line="288" w:lineRule="auto"/>
        <w:contextualSpacing/>
        <w:jc w:val="both"/>
        <w:rPr>
          <w:sz w:val="24"/>
          <w:szCs w:val="24"/>
          <w:highlight w:val="yellow"/>
        </w:rPr>
      </w:pPr>
      <w:r>
        <w:rPr>
          <w:rFonts w:eastAsia="Arial"/>
          <w:sz w:val="24"/>
          <w:szCs w:val="24"/>
        </w:rPr>
        <w:t xml:space="preserve">3.1.1 </w:t>
      </w:r>
      <w:r>
        <w:rPr>
          <w:sz w:val="24"/>
          <w:szCs w:val="24"/>
        </w:rPr>
        <w:t xml:space="preserve">O fornecedor registrado deverá manter durante toda a vigência da Ata de Registro de Preços a compatibilidade com as obrigações assumidas, assim como todas as condições exigidas </w:t>
      </w:r>
      <w:r>
        <w:rPr>
          <w:rFonts w:eastAsia="Arial"/>
          <w:sz w:val="24"/>
          <w:szCs w:val="24"/>
        </w:rPr>
        <w:t xml:space="preserve">no </w:t>
      </w:r>
      <w:r>
        <w:rPr>
          <w:sz w:val="24"/>
          <w:szCs w:val="24"/>
        </w:rPr>
        <w:t>instrumento convocatório, quando houver,</w:t>
      </w:r>
      <w:r>
        <w:rPr>
          <w:rFonts w:eastAsia="Arial"/>
          <w:sz w:val="24"/>
          <w:szCs w:val="24"/>
        </w:rPr>
        <w:t xml:space="preserve"> e no Termo de Referência</w:t>
      </w:r>
      <w:r>
        <w:rPr>
          <w:sz w:val="24"/>
          <w:szCs w:val="24"/>
        </w:rPr>
        <w:t>, inclusive as referentes à habilitação e às condições de participação.</w:t>
      </w:r>
      <w:r>
        <w:rPr>
          <w:sz w:val="24"/>
          <w:szCs w:val="24"/>
          <w:highlight w:val="yellow"/>
        </w:rPr>
        <w:t xml:space="preserve"> </w:t>
      </w:r>
    </w:p>
    <w:p w14:paraId="3F5C68F8">
      <w:pPr>
        <w:spacing w:line="288" w:lineRule="auto"/>
        <w:contextualSpacing/>
        <w:jc w:val="both"/>
        <w:rPr>
          <w:rFonts w:eastAsia="Arial"/>
          <w:sz w:val="24"/>
          <w:szCs w:val="24"/>
        </w:rPr>
      </w:pPr>
    </w:p>
    <w:p w14:paraId="5733BE72">
      <w:pPr>
        <w:spacing w:line="288" w:lineRule="auto"/>
        <w:contextualSpacing/>
        <w:jc w:val="both"/>
        <w:rPr>
          <w:rFonts w:eastAsia="Arial"/>
          <w:sz w:val="24"/>
          <w:szCs w:val="24"/>
        </w:rPr>
      </w:pPr>
      <w:r>
        <w:rPr>
          <w:rFonts w:eastAsia="Arial"/>
          <w:sz w:val="24"/>
          <w:szCs w:val="24"/>
        </w:rPr>
        <w:t xml:space="preserve">3.2 O </w:t>
      </w:r>
      <w:r>
        <w:rPr>
          <w:rFonts w:eastAsia="Arial"/>
          <w:bCs/>
          <w:sz w:val="24"/>
          <w:szCs w:val="24"/>
        </w:rPr>
        <w:t>gerenciador</w:t>
      </w:r>
      <w:r>
        <w:rPr>
          <w:rFonts w:eastAsia="Arial"/>
          <w:b/>
          <w:sz w:val="24"/>
          <w:szCs w:val="24"/>
        </w:rPr>
        <w:t xml:space="preserve"> </w:t>
      </w:r>
      <w:r>
        <w:rPr>
          <w:rFonts w:eastAsia="Arial"/>
          <w:sz w:val="24"/>
          <w:szCs w:val="24"/>
        </w:rPr>
        <w:t>desta Ata de Registro de Preços é a Secretaria Municipal de Saúde</w:t>
      </w:r>
      <w:r>
        <w:rPr>
          <w:sz w:val="24"/>
          <w:szCs w:val="24"/>
        </w:rPr>
        <w:t>.</w:t>
      </w:r>
    </w:p>
    <w:p w14:paraId="771DF8C6">
      <w:pPr>
        <w:spacing w:line="288" w:lineRule="auto"/>
        <w:contextualSpacing/>
        <w:jc w:val="both"/>
        <w:rPr>
          <w:rFonts w:eastAsia="Arial"/>
          <w:bCs/>
          <w:sz w:val="24"/>
          <w:szCs w:val="24"/>
        </w:rPr>
      </w:pPr>
    </w:p>
    <w:p w14:paraId="53DDAA35">
      <w:pPr>
        <w:spacing w:line="288" w:lineRule="auto"/>
        <w:contextualSpacing/>
        <w:jc w:val="both"/>
        <w:rPr>
          <w:rFonts w:eastAsia="Arial"/>
          <w:bCs/>
          <w:sz w:val="24"/>
          <w:szCs w:val="24"/>
        </w:rPr>
      </w:pPr>
      <w:r>
        <w:rPr>
          <w:rFonts w:eastAsia="Arial"/>
          <w:bCs/>
          <w:sz w:val="24"/>
          <w:szCs w:val="24"/>
        </w:rPr>
        <w:t>3.2.1 São atribuições do gerenciador:</w:t>
      </w:r>
    </w:p>
    <w:p w14:paraId="79D78AD8">
      <w:pPr>
        <w:spacing w:line="288" w:lineRule="auto"/>
        <w:contextualSpacing/>
        <w:jc w:val="both"/>
        <w:rPr>
          <w:rFonts w:eastAsia="Arial"/>
          <w:bCs/>
          <w:sz w:val="24"/>
          <w:szCs w:val="24"/>
        </w:rPr>
      </w:pPr>
    </w:p>
    <w:p w14:paraId="5CF66745">
      <w:pPr>
        <w:spacing w:line="288" w:lineRule="auto"/>
        <w:contextualSpacing/>
        <w:jc w:val="both"/>
        <w:rPr>
          <w:sz w:val="24"/>
          <w:szCs w:val="24"/>
        </w:rPr>
      </w:pPr>
      <w:r>
        <w:rPr>
          <w:sz w:val="24"/>
          <w:szCs w:val="24"/>
        </w:rPr>
        <w:t>a) aferir, semestralmente, a compatibilidade dos preços registrados com os efetivamente praticados;</w:t>
      </w:r>
    </w:p>
    <w:p w14:paraId="73E4A3FF">
      <w:pPr>
        <w:spacing w:line="288" w:lineRule="auto"/>
        <w:contextualSpacing/>
        <w:jc w:val="both"/>
        <w:rPr>
          <w:sz w:val="24"/>
          <w:szCs w:val="24"/>
        </w:rPr>
      </w:pPr>
    </w:p>
    <w:p w14:paraId="257456FD">
      <w:pPr>
        <w:spacing w:line="288" w:lineRule="auto"/>
        <w:contextualSpacing/>
        <w:jc w:val="both"/>
        <w:rPr>
          <w:sz w:val="24"/>
          <w:szCs w:val="24"/>
        </w:rPr>
      </w:pPr>
      <w:r>
        <w:rPr>
          <w:sz w:val="24"/>
          <w:szCs w:val="24"/>
        </w:rPr>
        <w:t xml:space="preserve">b) divulgar os preços registrados e suas atualizações no Portal da Prefeitura Municipal de Valença; </w:t>
      </w:r>
    </w:p>
    <w:p w14:paraId="7B39EA5E">
      <w:pPr>
        <w:spacing w:line="288" w:lineRule="auto"/>
        <w:contextualSpacing/>
        <w:jc w:val="both"/>
        <w:rPr>
          <w:sz w:val="24"/>
          <w:szCs w:val="24"/>
        </w:rPr>
      </w:pPr>
    </w:p>
    <w:p w14:paraId="77E11CC5">
      <w:pPr>
        <w:spacing w:line="288" w:lineRule="auto"/>
        <w:contextualSpacing/>
        <w:jc w:val="both"/>
        <w:rPr>
          <w:sz w:val="24"/>
          <w:szCs w:val="24"/>
        </w:rPr>
      </w:pPr>
      <w:r>
        <w:rPr>
          <w:sz w:val="24"/>
          <w:szCs w:val="24"/>
        </w:rPr>
        <w:t xml:space="preserve">c) praticar todos os atos de controle e gerenciamento dos quantitativos das Atas de Registro de Preços e de seus saldos, das solicitações de adesão e do remanejamento das quantidades; </w:t>
      </w:r>
    </w:p>
    <w:p w14:paraId="12199EE4">
      <w:pPr>
        <w:spacing w:line="288" w:lineRule="auto"/>
        <w:contextualSpacing/>
        <w:jc w:val="both"/>
        <w:rPr>
          <w:sz w:val="24"/>
          <w:szCs w:val="24"/>
        </w:rPr>
      </w:pPr>
    </w:p>
    <w:p w14:paraId="7BF144E6">
      <w:pPr>
        <w:spacing w:line="288" w:lineRule="auto"/>
        <w:contextualSpacing/>
        <w:jc w:val="both"/>
        <w:rPr>
          <w:sz w:val="24"/>
          <w:szCs w:val="24"/>
        </w:rPr>
      </w:pPr>
      <w:r>
        <w:rPr>
          <w:sz w:val="24"/>
          <w:szCs w:val="24"/>
        </w:rPr>
        <w:t xml:space="preserve">d) gerenciar a Ata de Registro de Preços, providenciando a indicação, sempre que solicitado, dos fornecedores registrados para atendimento às necessidades do órgão ou entidade, obedecendo à ordem de classificação do certame e os quantitativos de contratação definidos pelos participantes da respectiva ata; </w:t>
      </w:r>
    </w:p>
    <w:p w14:paraId="71ED34F8">
      <w:pPr>
        <w:spacing w:line="288" w:lineRule="auto"/>
        <w:contextualSpacing/>
        <w:jc w:val="both"/>
        <w:rPr>
          <w:sz w:val="24"/>
          <w:szCs w:val="24"/>
        </w:rPr>
      </w:pPr>
    </w:p>
    <w:p w14:paraId="34161364">
      <w:pPr>
        <w:spacing w:line="288" w:lineRule="auto"/>
        <w:contextualSpacing/>
        <w:jc w:val="both"/>
        <w:rPr>
          <w:sz w:val="24"/>
          <w:szCs w:val="24"/>
        </w:rPr>
      </w:pPr>
      <w:r>
        <w:rPr>
          <w:sz w:val="24"/>
          <w:szCs w:val="24"/>
        </w:rPr>
        <w:t xml:space="preserve">e) deliberar quanto à adesão posterior de órgãos e entidades que não manifestaram interesse em participar do registro de preços durante o período de divulgação da Intenção de Registro de Preços; </w:t>
      </w:r>
    </w:p>
    <w:p w14:paraId="4DF2C290">
      <w:pPr>
        <w:spacing w:line="288" w:lineRule="auto"/>
        <w:contextualSpacing/>
        <w:jc w:val="both"/>
        <w:rPr>
          <w:sz w:val="24"/>
          <w:szCs w:val="24"/>
        </w:rPr>
      </w:pPr>
    </w:p>
    <w:p w14:paraId="751EE2FB">
      <w:pPr>
        <w:spacing w:line="288" w:lineRule="auto"/>
        <w:contextualSpacing/>
        <w:jc w:val="both"/>
        <w:rPr>
          <w:sz w:val="24"/>
          <w:szCs w:val="24"/>
        </w:rPr>
      </w:pPr>
      <w:r>
        <w:rPr>
          <w:sz w:val="24"/>
          <w:szCs w:val="24"/>
        </w:rPr>
        <w:t xml:space="preserve">f) convocar os proponentes remanescentes, nas hipóteses autorizadas por esta Ata e pelo Decreto nº 46/2025, observada a ordem de classificação; </w:t>
      </w:r>
    </w:p>
    <w:p w14:paraId="3CF69AC4">
      <w:pPr>
        <w:spacing w:line="288" w:lineRule="auto"/>
        <w:contextualSpacing/>
        <w:jc w:val="both"/>
        <w:rPr>
          <w:sz w:val="24"/>
          <w:szCs w:val="24"/>
        </w:rPr>
      </w:pPr>
    </w:p>
    <w:p w14:paraId="5B9C141D">
      <w:pPr>
        <w:spacing w:line="288" w:lineRule="auto"/>
        <w:contextualSpacing/>
        <w:jc w:val="both"/>
        <w:rPr>
          <w:rFonts w:eastAsia="Arial"/>
          <w:bCs/>
          <w:sz w:val="24"/>
          <w:szCs w:val="24"/>
        </w:rPr>
      </w:pPr>
      <w:r>
        <w:rPr>
          <w:sz w:val="24"/>
          <w:szCs w:val="24"/>
        </w:rPr>
        <w:t>g) conduzir as alterações ou as atualizações dos preços registrados; e</w:t>
      </w:r>
    </w:p>
    <w:p w14:paraId="0DBC7E3F">
      <w:pPr>
        <w:spacing w:line="288" w:lineRule="auto"/>
        <w:contextualSpacing/>
        <w:jc w:val="both"/>
        <w:rPr>
          <w:sz w:val="24"/>
          <w:szCs w:val="24"/>
        </w:rPr>
      </w:pPr>
    </w:p>
    <w:p w14:paraId="1343E4F8">
      <w:pPr>
        <w:spacing w:line="288" w:lineRule="auto"/>
        <w:contextualSpacing/>
        <w:jc w:val="both"/>
        <w:rPr>
          <w:rFonts w:eastAsia="Arial"/>
          <w:bCs/>
          <w:sz w:val="24"/>
          <w:szCs w:val="24"/>
        </w:rPr>
      </w:pPr>
      <w:r>
        <w:rPr>
          <w:sz w:val="24"/>
          <w:szCs w:val="24"/>
        </w:rPr>
        <w:t>h) promover a correta gestão, fiscalização e execução contratual, nos termos do Capítulo VI do Título III da Lei nº 14.133, de 1º de abril de 2021, do disposto no Decreto nº 40, de 25 de fevereiro de 2025, no Termo de Referência e no contrato, com relação às suas próprias contratações.</w:t>
      </w:r>
    </w:p>
    <w:p w14:paraId="2EB3CCC5">
      <w:pPr>
        <w:spacing w:line="288" w:lineRule="auto"/>
        <w:contextualSpacing/>
        <w:jc w:val="both"/>
        <w:rPr>
          <w:rFonts w:eastAsia="Arial"/>
          <w:bCs/>
          <w:sz w:val="24"/>
          <w:szCs w:val="24"/>
        </w:rPr>
      </w:pPr>
    </w:p>
    <w:p w14:paraId="42C370C4">
      <w:pPr>
        <w:spacing w:line="288" w:lineRule="auto"/>
        <w:ind w:right="565"/>
        <w:contextualSpacing/>
        <w:jc w:val="both"/>
        <w:rPr>
          <w:bCs/>
          <w:color w:val="000000" w:themeColor="text1"/>
          <w:sz w:val="24"/>
          <w:szCs w:val="24"/>
          <w14:textFill>
            <w14:solidFill>
              <w14:schemeClr w14:val="tx1"/>
            </w14:solidFill>
          </w14:textFill>
        </w:rPr>
      </w:pPr>
      <w:r>
        <w:rPr>
          <w:rFonts w:eastAsia="Arial"/>
          <w:bCs/>
          <w:color w:val="000000" w:themeColor="text1"/>
          <w:sz w:val="24"/>
          <w:szCs w:val="24"/>
          <w14:textFill>
            <w14:solidFill>
              <w14:schemeClr w14:val="tx1"/>
            </w14:solidFill>
          </w14:textFill>
        </w:rPr>
        <w:t>3.3</w:t>
      </w:r>
      <w:r>
        <w:rPr>
          <w:rFonts w:eastAsia="Arial"/>
          <w:b/>
          <w:color w:val="000000" w:themeColor="text1"/>
          <w:sz w:val="24"/>
          <w:szCs w:val="24"/>
          <w14:textFill>
            <w14:solidFill>
              <w14:schemeClr w14:val="tx1"/>
            </w14:solidFill>
          </w14:textFill>
        </w:rPr>
        <w:t xml:space="preserve"> </w:t>
      </w:r>
      <w:r>
        <w:rPr>
          <w:bCs/>
          <w:color w:val="000000" w:themeColor="text1"/>
          <w:sz w:val="24"/>
          <w:szCs w:val="24"/>
          <w14:textFill>
            <w14:solidFill>
              <w14:schemeClr w14:val="tx1"/>
            </w14:solidFill>
          </w14:textFill>
        </w:rPr>
        <w:t>3.3 Não há órgãos/entidades participantes nesta Ata.</w:t>
      </w:r>
    </w:p>
    <w:p w14:paraId="5EC9E8D1">
      <w:pPr>
        <w:spacing w:line="288" w:lineRule="auto"/>
        <w:ind w:right="565"/>
        <w:contextualSpacing/>
        <w:jc w:val="both"/>
        <w:rPr>
          <w:bCs/>
          <w:color w:val="000000" w:themeColor="text1"/>
          <w:sz w:val="24"/>
          <w:szCs w:val="24"/>
          <w14:textFill>
            <w14:solidFill>
              <w14:schemeClr w14:val="tx1"/>
            </w14:solidFill>
          </w14:textFill>
        </w:rPr>
      </w:pPr>
    </w:p>
    <w:p w14:paraId="02F57D0F">
      <w:pPr>
        <w:spacing w:line="288" w:lineRule="auto"/>
        <w:contextualSpacing/>
        <w:jc w:val="both"/>
        <w:rPr>
          <w:rFonts w:eastAsia="Arial"/>
          <w:b/>
          <w:sz w:val="24"/>
          <w:szCs w:val="24"/>
        </w:rPr>
      </w:pPr>
      <w:r>
        <w:rPr>
          <w:b/>
          <w:bCs/>
          <w:color w:val="231F20"/>
          <w:sz w:val="24"/>
          <w:szCs w:val="24"/>
        </w:rPr>
        <w:t>CLÁUSULA QUARTA:</w:t>
      </w:r>
      <w:r>
        <w:rPr>
          <w:color w:val="231F20"/>
          <w:sz w:val="24"/>
          <w:szCs w:val="24"/>
        </w:rPr>
        <w:t xml:space="preserve"> </w:t>
      </w:r>
      <w:r>
        <w:rPr>
          <w:rFonts w:eastAsia="Arial"/>
          <w:b/>
          <w:sz w:val="24"/>
          <w:szCs w:val="24"/>
        </w:rPr>
        <w:t>DOS NÃO-PARTICIPANTES</w:t>
      </w:r>
    </w:p>
    <w:p w14:paraId="1ECB67D7">
      <w:pPr>
        <w:spacing w:line="288" w:lineRule="auto"/>
        <w:contextualSpacing/>
        <w:jc w:val="both"/>
        <w:rPr>
          <w:rFonts w:eastAsia="Arial"/>
          <w:bCs/>
          <w:sz w:val="24"/>
          <w:szCs w:val="24"/>
        </w:rPr>
      </w:pPr>
    </w:p>
    <w:p w14:paraId="7C5B7035">
      <w:pPr>
        <w:spacing w:line="288" w:lineRule="auto"/>
        <w:contextualSpacing/>
        <w:jc w:val="both"/>
        <w:rPr>
          <w:bCs/>
          <w:color w:val="231F20"/>
          <w:sz w:val="24"/>
          <w:szCs w:val="24"/>
        </w:rPr>
      </w:pPr>
      <w:r>
        <w:rPr>
          <w:rFonts w:eastAsia="Arial"/>
          <w:bCs/>
          <w:sz w:val="24"/>
          <w:szCs w:val="24"/>
        </w:rPr>
        <w:t xml:space="preserve">4.1 </w:t>
      </w:r>
      <w:r>
        <w:rPr>
          <w:color w:val="231F20"/>
          <w:sz w:val="24"/>
          <w:szCs w:val="24"/>
        </w:rPr>
        <w:t xml:space="preserve">A Ata de Registro de Preços poderá ser aderida por qualquer órgão ou entidade do Município, que não tenha participado </w:t>
      </w:r>
      <w:bookmarkStart w:id="45" w:name="_Hlk158816379"/>
      <w:r>
        <w:rPr>
          <w:color w:val="000000" w:themeColor="text1"/>
          <w:sz w:val="24"/>
          <w:szCs w:val="24"/>
          <w14:textFill>
            <w14:solidFill>
              <w14:schemeClr w14:val="tx1"/>
            </w14:solidFill>
          </w14:textFill>
        </w:rPr>
        <w:t>do certame</w:t>
      </w:r>
      <w:bookmarkEnd w:id="45"/>
      <w:r>
        <w:rPr>
          <w:color w:val="231F20"/>
          <w:sz w:val="24"/>
          <w:szCs w:val="24"/>
        </w:rPr>
        <w:t xml:space="preserve">, ora denominados </w:t>
      </w:r>
      <w:r>
        <w:rPr>
          <w:bCs/>
          <w:color w:val="231F20"/>
          <w:sz w:val="24"/>
          <w:szCs w:val="24"/>
        </w:rPr>
        <w:t xml:space="preserve">não-participantes.  </w:t>
      </w:r>
    </w:p>
    <w:p w14:paraId="5AEC8E93">
      <w:pPr>
        <w:spacing w:line="288" w:lineRule="auto"/>
        <w:contextualSpacing/>
        <w:jc w:val="both"/>
        <w:rPr>
          <w:bCs/>
          <w:color w:val="231F20"/>
          <w:sz w:val="24"/>
          <w:szCs w:val="24"/>
        </w:rPr>
      </w:pPr>
    </w:p>
    <w:p w14:paraId="402677D7">
      <w:pPr>
        <w:spacing w:line="288" w:lineRule="auto"/>
        <w:contextualSpacing/>
        <w:jc w:val="both"/>
        <w:rPr>
          <w:color w:val="231F20"/>
          <w:sz w:val="24"/>
          <w:szCs w:val="24"/>
        </w:rPr>
      </w:pPr>
      <w:r>
        <w:rPr>
          <w:rFonts w:eastAsia="Arial"/>
          <w:bCs/>
          <w:sz w:val="24"/>
          <w:szCs w:val="24"/>
        </w:rPr>
        <w:t>4.2</w:t>
      </w:r>
      <w:r>
        <w:rPr>
          <w:rFonts w:eastAsia="Arial"/>
          <w:b/>
          <w:sz w:val="24"/>
          <w:szCs w:val="24"/>
        </w:rPr>
        <w:t xml:space="preserve"> </w:t>
      </w:r>
      <w:r>
        <w:rPr>
          <w:color w:val="231F20"/>
          <w:sz w:val="24"/>
          <w:szCs w:val="24"/>
        </w:rPr>
        <w:t xml:space="preserve">Podem também ser considerados </w:t>
      </w:r>
      <w:r>
        <w:rPr>
          <w:bCs/>
          <w:color w:val="231F20"/>
          <w:sz w:val="24"/>
          <w:szCs w:val="24"/>
        </w:rPr>
        <w:t>não-participantes</w:t>
      </w:r>
      <w:r>
        <w:rPr>
          <w:b/>
          <w:color w:val="231F20"/>
          <w:sz w:val="24"/>
          <w:szCs w:val="24"/>
        </w:rPr>
        <w:t xml:space="preserve"> </w:t>
      </w:r>
      <w:r>
        <w:rPr>
          <w:color w:val="231F20"/>
          <w:sz w:val="24"/>
          <w:szCs w:val="24"/>
        </w:rPr>
        <w:t xml:space="preserve">os órgãos ou entidades municipais, distritais, de outros estados e federais, resguardadas as disposições de cada ente. </w:t>
      </w:r>
    </w:p>
    <w:p w14:paraId="1ED0562A">
      <w:pPr>
        <w:spacing w:line="288" w:lineRule="auto"/>
        <w:contextualSpacing/>
        <w:jc w:val="both"/>
        <w:rPr>
          <w:sz w:val="24"/>
          <w:szCs w:val="24"/>
        </w:rPr>
      </w:pPr>
    </w:p>
    <w:p w14:paraId="398641AE">
      <w:pPr>
        <w:spacing w:line="288" w:lineRule="auto"/>
        <w:contextualSpacing/>
        <w:jc w:val="both"/>
        <w:rPr>
          <w:color w:val="231F20"/>
          <w:sz w:val="24"/>
          <w:szCs w:val="24"/>
        </w:rPr>
      </w:pPr>
      <w:r>
        <w:rPr>
          <w:sz w:val="24"/>
          <w:szCs w:val="24"/>
        </w:rPr>
        <w:t xml:space="preserve">4.3 Os </w:t>
      </w:r>
      <w:r>
        <w:rPr>
          <w:bCs/>
          <w:color w:val="231F20"/>
          <w:sz w:val="24"/>
          <w:szCs w:val="24"/>
        </w:rPr>
        <w:t>não-participantes</w:t>
      </w:r>
      <w:r>
        <w:rPr>
          <w:sz w:val="24"/>
          <w:szCs w:val="24"/>
        </w:rPr>
        <w:t xml:space="preserve"> poderão aderir a esta Ata de Registro de Preços, desde que observados os seguintes requisitos, cumulativamente:</w:t>
      </w:r>
    </w:p>
    <w:p w14:paraId="6E92816E">
      <w:pPr>
        <w:tabs>
          <w:tab w:val="left" w:pos="497"/>
        </w:tabs>
        <w:spacing w:line="288" w:lineRule="auto"/>
        <w:contextualSpacing/>
        <w:jc w:val="both"/>
        <w:rPr>
          <w:sz w:val="24"/>
          <w:szCs w:val="24"/>
        </w:rPr>
      </w:pPr>
    </w:p>
    <w:p w14:paraId="057C5545">
      <w:pPr>
        <w:tabs>
          <w:tab w:val="left" w:pos="497"/>
        </w:tabs>
        <w:spacing w:line="288" w:lineRule="auto"/>
        <w:contextualSpacing/>
        <w:jc w:val="both"/>
        <w:rPr>
          <w:sz w:val="24"/>
          <w:szCs w:val="24"/>
        </w:rPr>
      </w:pPr>
      <w:r>
        <w:rPr>
          <w:sz w:val="24"/>
          <w:szCs w:val="24"/>
        </w:rPr>
        <w:t xml:space="preserve">4.3.1 apresentação de justificativa da vantagem da adesão, inclusive em situações de provável desabastecimento ou descontinuidade de serviço público; </w:t>
      </w:r>
    </w:p>
    <w:p w14:paraId="0DDFF8BC">
      <w:pPr>
        <w:tabs>
          <w:tab w:val="left" w:pos="497"/>
        </w:tabs>
        <w:spacing w:line="288" w:lineRule="auto"/>
        <w:contextualSpacing/>
        <w:jc w:val="both"/>
        <w:rPr>
          <w:sz w:val="24"/>
          <w:szCs w:val="24"/>
        </w:rPr>
      </w:pPr>
    </w:p>
    <w:p w14:paraId="6455EE68">
      <w:pPr>
        <w:tabs>
          <w:tab w:val="left" w:pos="497"/>
        </w:tabs>
        <w:spacing w:line="288" w:lineRule="auto"/>
        <w:contextualSpacing/>
        <w:jc w:val="both"/>
        <w:rPr>
          <w:sz w:val="24"/>
          <w:szCs w:val="24"/>
        </w:rPr>
      </w:pPr>
      <w:r>
        <w:rPr>
          <w:sz w:val="24"/>
          <w:szCs w:val="24"/>
        </w:rPr>
        <w:t xml:space="preserve">4.3.2 apresentação de estudo que demonstre eficiência, viabilidade e economicidade para a Administração contratante; </w:t>
      </w:r>
    </w:p>
    <w:p w14:paraId="4FA7E8C4">
      <w:pPr>
        <w:tabs>
          <w:tab w:val="left" w:pos="497"/>
        </w:tabs>
        <w:spacing w:line="288" w:lineRule="auto"/>
        <w:contextualSpacing/>
        <w:jc w:val="both"/>
        <w:rPr>
          <w:sz w:val="24"/>
          <w:szCs w:val="24"/>
        </w:rPr>
      </w:pPr>
    </w:p>
    <w:p w14:paraId="77999100">
      <w:pPr>
        <w:tabs>
          <w:tab w:val="left" w:pos="497"/>
        </w:tabs>
        <w:spacing w:line="288" w:lineRule="auto"/>
        <w:contextualSpacing/>
        <w:jc w:val="both"/>
        <w:rPr>
          <w:sz w:val="24"/>
          <w:szCs w:val="24"/>
        </w:rPr>
      </w:pPr>
      <w:r>
        <w:rPr>
          <w:sz w:val="24"/>
          <w:szCs w:val="24"/>
        </w:rPr>
        <w:t xml:space="preserve">4.3.3 demonstração de que os valores registrados estão compatíveis com os valores praticados pelo mercado, na forma do art. 23 da Lei nº 14.133/2021; e </w:t>
      </w:r>
    </w:p>
    <w:p w14:paraId="595C991F">
      <w:pPr>
        <w:tabs>
          <w:tab w:val="left" w:pos="497"/>
        </w:tabs>
        <w:spacing w:line="288" w:lineRule="auto"/>
        <w:contextualSpacing/>
        <w:jc w:val="both"/>
        <w:rPr>
          <w:sz w:val="24"/>
          <w:szCs w:val="24"/>
        </w:rPr>
      </w:pPr>
    </w:p>
    <w:p w14:paraId="506B184C">
      <w:pPr>
        <w:tabs>
          <w:tab w:val="left" w:pos="497"/>
        </w:tabs>
        <w:spacing w:line="288" w:lineRule="auto"/>
        <w:contextualSpacing/>
        <w:jc w:val="both"/>
        <w:rPr>
          <w:rFonts w:eastAsia="Arial"/>
          <w:sz w:val="24"/>
          <w:szCs w:val="24"/>
        </w:rPr>
      </w:pPr>
      <w:r>
        <w:rPr>
          <w:sz w:val="24"/>
          <w:szCs w:val="24"/>
        </w:rPr>
        <w:t xml:space="preserve">4.3.4 prévia consulta e aceitação do </w:t>
      </w:r>
      <w:r>
        <w:rPr>
          <w:bCs/>
          <w:sz w:val="24"/>
          <w:szCs w:val="24"/>
        </w:rPr>
        <w:t>gerenciador</w:t>
      </w:r>
      <w:r>
        <w:rPr>
          <w:sz w:val="24"/>
          <w:szCs w:val="24"/>
        </w:rPr>
        <w:t xml:space="preserve"> e do fornecedor.</w:t>
      </w:r>
    </w:p>
    <w:p w14:paraId="378FF3E0">
      <w:pPr>
        <w:tabs>
          <w:tab w:val="left" w:pos="497"/>
        </w:tabs>
        <w:spacing w:line="288" w:lineRule="auto"/>
        <w:contextualSpacing/>
        <w:jc w:val="both"/>
        <w:rPr>
          <w:rFonts w:eastAsia="Arial"/>
          <w:sz w:val="24"/>
          <w:szCs w:val="24"/>
        </w:rPr>
      </w:pPr>
    </w:p>
    <w:p w14:paraId="288BB12B">
      <w:pPr>
        <w:autoSpaceDE w:val="0"/>
        <w:autoSpaceDN w:val="0"/>
        <w:adjustRightInd w:val="0"/>
        <w:spacing w:line="288" w:lineRule="auto"/>
        <w:contextualSpacing/>
        <w:jc w:val="both"/>
        <w:rPr>
          <w:bCs/>
          <w:color w:val="231F20"/>
          <w:sz w:val="24"/>
          <w:szCs w:val="24"/>
        </w:rPr>
      </w:pPr>
      <w:r>
        <w:rPr>
          <w:color w:val="231F20"/>
          <w:sz w:val="24"/>
          <w:szCs w:val="24"/>
        </w:rPr>
        <w:t xml:space="preserve">4.4 </w:t>
      </w:r>
      <w:r>
        <w:rPr>
          <w:bCs/>
          <w:color w:val="231F20"/>
          <w:sz w:val="24"/>
          <w:szCs w:val="24"/>
        </w:rPr>
        <w:t xml:space="preserve">O </w:t>
      </w:r>
      <w:r>
        <w:rPr>
          <w:sz w:val="24"/>
          <w:szCs w:val="24"/>
        </w:rPr>
        <w:t>fornecedor</w:t>
      </w:r>
      <w:r>
        <w:rPr>
          <w:bCs/>
          <w:color w:val="231F20"/>
          <w:sz w:val="24"/>
          <w:szCs w:val="24"/>
        </w:rPr>
        <w:t xml:space="preserve"> poderá optar pela aceitação ou não do fornecimento decorrente da adesão, d</w:t>
      </w:r>
      <w:r>
        <w:rPr>
          <w:color w:val="231F20"/>
          <w:sz w:val="24"/>
          <w:szCs w:val="24"/>
        </w:rPr>
        <w:t xml:space="preserve">esde que não prejudique as obrigações presentes e futuras derivadas da Ata, assumidas com o </w:t>
      </w:r>
      <w:r>
        <w:rPr>
          <w:bCs/>
          <w:sz w:val="24"/>
          <w:szCs w:val="24"/>
        </w:rPr>
        <w:t>gerenciador e os participantes, quando houver.</w:t>
      </w:r>
    </w:p>
    <w:p w14:paraId="12187B77">
      <w:pPr>
        <w:autoSpaceDE w:val="0"/>
        <w:autoSpaceDN w:val="0"/>
        <w:adjustRightInd w:val="0"/>
        <w:spacing w:line="288" w:lineRule="auto"/>
        <w:contextualSpacing/>
        <w:jc w:val="both"/>
        <w:rPr>
          <w:bCs/>
          <w:color w:val="231F20"/>
          <w:sz w:val="24"/>
          <w:szCs w:val="24"/>
        </w:rPr>
      </w:pPr>
    </w:p>
    <w:p w14:paraId="50454A96">
      <w:pPr>
        <w:autoSpaceDE w:val="0"/>
        <w:autoSpaceDN w:val="0"/>
        <w:adjustRightInd w:val="0"/>
        <w:spacing w:line="288" w:lineRule="auto"/>
        <w:contextualSpacing/>
        <w:jc w:val="both"/>
        <w:rPr>
          <w:bCs/>
          <w:sz w:val="24"/>
          <w:szCs w:val="24"/>
        </w:rPr>
      </w:pPr>
      <w:r>
        <w:rPr>
          <w:bCs/>
          <w:color w:val="231F20"/>
          <w:sz w:val="24"/>
          <w:szCs w:val="24"/>
        </w:rPr>
        <w:t xml:space="preserve">4.5 </w:t>
      </w:r>
      <w:r>
        <w:rPr>
          <w:color w:val="231F20"/>
          <w:sz w:val="24"/>
          <w:szCs w:val="24"/>
        </w:rPr>
        <w:t xml:space="preserve">Após a autorização do </w:t>
      </w:r>
      <w:r>
        <w:rPr>
          <w:bCs/>
          <w:sz w:val="24"/>
          <w:szCs w:val="24"/>
        </w:rPr>
        <w:t xml:space="preserve">gerenciador, o </w:t>
      </w:r>
      <w:r>
        <w:rPr>
          <w:bCs/>
          <w:color w:val="231F20"/>
          <w:sz w:val="24"/>
          <w:szCs w:val="24"/>
        </w:rPr>
        <w:t>não-participante deverá efetivar a contratação solicitada em até 90 (noventa) dias, observado o prazo de vigência da Ata</w:t>
      </w:r>
      <w:r>
        <w:rPr>
          <w:bCs/>
          <w:sz w:val="24"/>
          <w:szCs w:val="24"/>
        </w:rPr>
        <w:t xml:space="preserve">. </w:t>
      </w:r>
    </w:p>
    <w:p w14:paraId="0D4B4BD7">
      <w:pPr>
        <w:autoSpaceDE w:val="0"/>
        <w:autoSpaceDN w:val="0"/>
        <w:adjustRightInd w:val="0"/>
        <w:spacing w:line="288" w:lineRule="auto"/>
        <w:contextualSpacing/>
        <w:jc w:val="both"/>
        <w:rPr>
          <w:sz w:val="24"/>
          <w:szCs w:val="24"/>
        </w:rPr>
      </w:pPr>
    </w:p>
    <w:p w14:paraId="1CA92770">
      <w:pPr>
        <w:autoSpaceDE w:val="0"/>
        <w:autoSpaceDN w:val="0"/>
        <w:adjustRightInd w:val="0"/>
        <w:spacing w:line="288" w:lineRule="auto"/>
        <w:contextualSpacing/>
        <w:jc w:val="both"/>
        <w:rPr>
          <w:sz w:val="24"/>
          <w:szCs w:val="24"/>
        </w:rPr>
      </w:pPr>
      <w:r>
        <w:rPr>
          <w:sz w:val="24"/>
          <w:szCs w:val="24"/>
        </w:rPr>
        <w:t xml:space="preserve">4.5.1 O prazo acima poderá ser prorrogado, excepcionalmente, mediante justificativa e autorização pelo gerenciador, e requerimento do </w:t>
      </w:r>
      <w:r>
        <w:rPr>
          <w:bCs/>
          <w:color w:val="231F20"/>
          <w:sz w:val="24"/>
          <w:szCs w:val="24"/>
        </w:rPr>
        <w:t>não-participante</w:t>
      </w:r>
      <w:r>
        <w:rPr>
          <w:sz w:val="24"/>
          <w:szCs w:val="24"/>
        </w:rPr>
        <w:t>, respeitado o prazo de vigência da Ata de Registro de Preços.</w:t>
      </w:r>
    </w:p>
    <w:p w14:paraId="205AAD3C">
      <w:pPr>
        <w:autoSpaceDE w:val="0"/>
        <w:autoSpaceDN w:val="0"/>
        <w:adjustRightInd w:val="0"/>
        <w:spacing w:line="288" w:lineRule="auto"/>
        <w:contextualSpacing/>
        <w:jc w:val="both"/>
        <w:rPr>
          <w:sz w:val="24"/>
          <w:szCs w:val="24"/>
        </w:rPr>
      </w:pPr>
    </w:p>
    <w:p w14:paraId="51B49D74">
      <w:pPr>
        <w:autoSpaceDE w:val="0"/>
        <w:autoSpaceDN w:val="0"/>
        <w:adjustRightInd w:val="0"/>
        <w:spacing w:line="288" w:lineRule="auto"/>
        <w:contextualSpacing/>
        <w:jc w:val="both"/>
        <w:rPr>
          <w:sz w:val="24"/>
          <w:szCs w:val="24"/>
        </w:rPr>
      </w:pPr>
      <w:r>
        <w:rPr>
          <w:sz w:val="24"/>
          <w:szCs w:val="24"/>
        </w:rPr>
        <w:t>4.6 São atribuições dos não-participantes:</w:t>
      </w:r>
    </w:p>
    <w:p w14:paraId="19094FFF">
      <w:pPr>
        <w:autoSpaceDE w:val="0"/>
        <w:autoSpaceDN w:val="0"/>
        <w:adjustRightInd w:val="0"/>
        <w:spacing w:line="288" w:lineRule="auto"/>
        <w:contextualSpacing/>
        <w:jc w:val="both"/>
        <w:rPr>
          <w:sz w:val="24"/>
          <w:szCs w:val="24"/>
        </w:rPr>
      </w:pPr>
    </w:p>
    <w:p w14:paraId="154EAFD9">
      <w:pPr>
        <w:autoSpaceDE w:val="0"/>
        <w:autoSpaceDN w:val="0"/>
        <w:adjustRightInd w:val="0"/>
        <w:spacing w:line="288" w:lineRule="auto"/>
        <w:contextualSpacing/>
        <w:jc w:val="both"/>
        <w:rPr>
          <w:b/>
          <w:bCs/>
          <w:sz w:val="24"/>
          <w:szCs w:val="24"/>
        </w:rPr>
      </w:pPr>
      <w:r>
        <w:rPr>
          <w:bCs/>
          <w:sz w:val="24"/>
          <w:szCs w:val="24"/>
        </w:rPr>
        <w:t>a)</w:t>
      </w:r>
      <w:r>
        <w:rPr>
          <w:b/>
          <w:sz w:val="24"/>
          <w:szCs w:val="24"/>
        </w:rPr>
        <w:t xml:space="preserve"> </w:t>
      </w:r>
      <w:r>
        <w:rPr>
          <w:bCs/>
          <w:sz w:val="24"/>
          <w:szCs w:val="24"/>
        </w:rPr>
        <w:t>aceitar todas as condições fixadas na Ata de Registro de Preços;</w:t>
      </w:r>
    </w:p>
    <w:p w14:paraId="06BCD2E1">
      <w:pPr>
        <w:autoSpaceDE w:val="0"/>
        <w:autoSpaceDN w:val="0"/>
        <w:adjustRightInd w:val="0"/>
        <w:spacing w:line="288" w:lineRule="auto"/>
        <w:contextualSpacing/>
        <w:jc w:val="both"/>
        <w:rPr>
          <w:bCs/>
          <w:color w:val="231F20"/>
          <w:sz w:val="24"/>
          <w:szCs w:val="24"/>
        </w:rPr>
      </w:pPr>
    </w:p>
    <w:p w14:paraId="14F2BA50">
      <w:pPr>
        <w:spacing w:line="288" w:lineRule="auto"/>
        <w:contextualSpacing/>
        <w:jc w:val="both"/>
        <w:rPr>
          <w:sz w:val="24"/>
          <w:szCs w:val="24"/>
        </w:rPr>
      </w:pPr>
      <w:r>
        <w:rPr>
          <w:bCs/>
          <w:color w:val="231F20"/>
          <w:sz w:val="24"/>
          <w:szCs w:val="24"/>
        </w:rPr>
        <w:t xml:space="preserve">b) </w:t>
      </w:r>
      <w:r>
        <w:rPr>
          <w:sz w:val="24"/>
          <w:szCs w:val="24"/>
        </w:rPr>
        <w:t xml:space="preserve">tomar conhecimento da Ata de Registro de Preços, inclusive de eventuais alterações, para o correto cumprimento de suas disposições; </w:t>
      </w:r>
    </w:p>
    <w:p w14:paraId="3EE247DC">
      <w:pPr>
        <w:spacing w:line="288" w:lineRule="auto"/>
        <w:contextualSpacing/>
        <w:jc w:val="both"/>
        <w:rPr>
          <w:sz w:val="24"/>
          <w:szCs w:val="24"/>
        </w:rPr>
      </w:pPr>
    </w:p>
    <w:p w14:paraId="09EB90A0">
      <w:pPr>
        <w:spacing w:line="288" w:lineRule="auto"/>
        <w:contextualSpacing/>
        <w:jc w:val="both"/>
        <w:rPr>
          <w:sz w:val="24"/>
          <w:szCs w:val="24"/>
        </w:rPr>
      </w:pPr>
      <w:r>
        <w:rPr>
          <w:sz w:val="24"/>
          <w:szCs w:val="24"/>
        </w:rPr>
        <w:t xml:space="preserve">c) prestar informações, quando solicitadas, ao gerenciador quanto à contratação e à execução da demanda destinada ao seu órgão ou entidade; </w:t>
      </w:r>
    </w:p>
    <w:p w14:paraId="2D180B77">
      <w:pPr>
        <w:spacing w:line="288" w:lineRule="auto"/>
        <w:contextualSpacing/>
        <w:jc w:val="both"/>
        <w:rPr>
          <w:sz w:val="24"/>
          <w:szCs w:val="24"/>
        </w:rPr>
      </w:pPr>
    </w:p>
    <w:p w14:paraId="0E7C96B2">
      <w:pPr>
        <w:spacing w:line="288" w:lineRule="auto"/>
        <w:contextualSpacing/>
        <w:jc w:val="both"/>
        <w:rPr>
          <w:sz w:val="24"/>
          <w:szCs w:val="24"/>
        </w:rPr>
      </w:pPr>
      <w:r>
        <w:rPr>
          <w:sz w:val="24"/>
          <w:szCs w:val="24"/>
        </w:rPr>
        <w:t>d) informar ao gerenciador a eventual recusa do contratado em atender às condições estabelecidas no instrumento convocatório, quando houver,</w:t>
      </w:r>
      <w:r>
        <w:rPr>
          <w:rFonts w:eastAsia="Arial"/>
          <w:sz w:val="24"/>
          <w:szCs w:val="24"/>
        </w:rPr>
        <w:t xml:space="preserve"> e no Termo de Referência</w:t>
      </w:r>
      <w:r>
        <w:rPr>
          <w:sz w:val="24"/>
          <w:szCs w:val="24"/>
        </w:rPr>
        <w:t xml:space="preserve">, firmadas na Ata de Registro de Preços, bem como as divergências relativas à entrega, características e origem dos bens adjudicados; e </w:t>
      </w:r>
    </w:p>
    <w:p w14:paraId="5CADE28F">
      <w:pPr>
        <w:spacing w:line="288" w:lineRule="auto"/>
        <w:contextualSpacing/>
        <w:jc w:val="both"/>
        <w:rPr>
          <w:sz w:val="24"/>
          <w:szCs w:val="24"/>
        </w:rPr>
      </w:pPr>
    </w:p>
    <w:p w14:paraId="15D9751F">
      <w:pPr>
        <w:spacing w:line="288" w:lineRule="auto"/>
        <w:contextualSpacing/>
        <w:jc w:val="both"/>
        <w:rPr>
          <w:rFonts w:eastAsia="Arial"/>
          <w:b/>
          <w:sz w:val="24"/>
          <w:szCs w:val="24"/>
        </w:rPr>
      </w:pPr>
      <w:r>
        <w:rPr>
          <w:sz w:val="24"/>
          <w:szCs w:val="24"/>
        </w:rPr>
        <w:t>e) promover a correta gestão, fiscalização e execução contratual, nos termos do Capítulo VI do Título III da Lei nº 14.133/2021, e o disposto no Decreto nº 40/2025, no Termo de Referência e no contrato, com relação às suas próprias contratações.</w:t>
      </w:r>
    </w:p>
    <w:p w14:paraId="526EF2B0">
      <w:pPr>
        <w:autoSpaceDE w:val="0"/>
        <w:autoSpaceDN w:val="0"/>
        <w:adjustRightInd w:val="0"/>
        <w:spacing w:line="288" w:lineRule="auto"/>
        <w:contextualSpacing/>
        <w:jc w:val="both"/>
        <w:rPr>
          <w:sz w:val="24"/>
          <w:szCs w:val="24"/>
        </w:rPr>
      </w:pPr>
    </w:p>
    <w:p w14:paraId="05612E45">
      <w:pPr>
        <w:spacing w:line="288" w:lineRule="auto"/>
        <w:contextualSpacing/>
        <w:jc w:val="both"/>
        <w:rPr>
          <w:rFonts w:eastAsia="Arial"/>
          <w:b/>
          <w:sz w:val="24"/>
          <w:szCs w:val="24"/>
        </w:rPr>
      </w:pPr>
      <w:r>
        <w:rPr>
          <w:b/>
          <w:bCs/>
          <w:sz w:val="24"/>
          <w:szCs w:val="24"/>
        </w:rPr>
        <w:t>CLÁUSULA QUINTA:</w:t>
      </w:r>
      <w:r>
        <w:rPr>
          <w:sz w:val="24"/>
          <w:szCs w:val="24"/>
        </w:rPr>
        <w:t xml:space="preserve"> </w:t>
      </w:r>
      <w:r>
        <w:rPr>
          <w:rFonts w:eastAsia="Arial"/>
          <w:b/>
          <w:sz w:val="24"/>
          <w:szCs w:val="24"/>
        </w:rPr>
        <w:t xml:space="preserve">DO QUANTITATIVO </w:t>
      </w:r>
    </w:p>
    <w:p w14:paraId="7C38C8DB">
      <w:pPr>
        <w:spacing w:line="288" w:lineRule="auto"/>
        <w:contextualSpacing/>
        <w:jc w:val="both"/>
        <w:rPr>
          <w:sz w:val="24"/>
          <w:szCs w:val="24"/>
        </w:rPr>
      </w:pPr>
    </w:p>
    <w:p w14:paraId="297E77D1">
      <w:pPr>
        <w:spacing w:line="288" w:lineRule="auto"/>
        <w:contextualSpacing/>
        <w:jc w:val="both"/>
        <w:rPr>
          <w:sz w:val="24"/>
          <w:szCs w:val="24"/>
        </w:rPr>
      </w:pPr>
      <w:r>
        <w:rPr>
          <w:sz w:val="24"/>
          <w:szCs w:val="24"/>
        </w:rPr>
        <w:t xml:space="preserve">5.1 As quantidades estimadas para a contratação, conforme descrição no Termo de Referência e reunidas no Anexo I – Consolidação das Informações da Ata de Registro de Preços, são as seguintes: </w:t>
      </w:r>
    </w:p>
    <w:p w14:paraId="73C742F2">
      <w:pPr>
        <w:spacing w:line="288" w:lineRule="auto"/>
        <w:contextualSpacing/>
        <w:jc w:val="both"/>
        <w:rPr>
          <w:sz w:val="24"/>
          <w:szCs w:val="24"/>
        </w:rPr>
      </w:pPr>
    </w:p>
    <w:p w14:paraId="3E603CB1">
      <w:pPr>
        <w:spacing w:line="288" w:lineRule="auto"/>
        <w:contextualSpacing/>
        <w:jc w:val="both"/>
        <w:rPr>
          <w:rFonts w:eastAsia="Arial"/>
          <w:sz w:val="24"/>
          <w:szCs w:val="24"/>
        </w:rPr>
      </w:pPr>
      <w:r>
        <w:rPr>
          <w:sz w:val="24"/>
          <w:szCs w:val="24"/>
        </w:rPr>
        <w:t xml:space="preserve">a) previsão de contratação pelo </w:t>
      </w:r>
      <w:r>
        <w:rPr>
          <w:bCs/>
          <w:sz w:val="24"/>
          <w:szCs w:val="24"/>
        </w:rPr>
        <w:t xml:space="preserve">gerenciador e pelos </w:t>
      </w:r>
      <w:r>
        <w:rPr>
          <w:rFonts w:eastAsia="Arial"/>
          <w:bCs/>
          <w:sz w:val="24"/>
          <w:szCs w:val="24"/>
        </w:rPr>
        <w:t>participantes, em conformidade com disposto na lei nº 14133/2021</w:t>
      </w:r>
      <w:r>
        <w:rPr>
          <w:rFonts w:eastAsia="Arial"/>
          <w:sz w:val="24"/>
          <w:szCs w:val="24"/>
        </w:rPr>
        <w:t>.</w:t>
      </w:r>
    </w:p>
    <w:p w14:paraId="0D053908">
      <w:pPr>
        <w:spacing w:line="288" w:lineRule="auto"/>
        <w:contextualSpacing/>
        <w:jc w:val="both"/>
        <w:rPr>
          <w:rFonts w:eastAsia="Arial"/>
          <w:sz w:val="24"/>
          <w:szCs w:val="24"/>
        </w:rPr>
      </w:pPr>
    </w:p>
    <w:p w14:paraId="1C699C82">
      <w:pPr>
        <w:spacing w:line="288" w:lineRule="auto"/>
        <w:contextualSpacing/>
        <w:jc w:val="both"/>
        <w:rPr>
          <w:rFonts w:eastAsia="Arial"/>
          <w:bCs/>
          <w:sz w:val="24"/>
          <w:szCs w:val="24"/>
        </w:rPr>
      </w:pPr>
      <w:r>
        <w:rPr>
          <w:rFonts w:eastAsia="Arial"/>
          <w:sz w:val="24"/>
          <w:szCs w:val="24"/>
        </w:rPr>
        <w:t xml:space="preserve">b) </w:t>
      </w:r>
      <w:r>
        <w:rPr>
          <w:sz w:val="24"/>
          <w:szCs w:val="24"/>
        </w:rPr>
        <w:t xml:space="preserve">previsão de contratação pelos </w:t>
      </w:r>
      <w:r>
        <w:rPr>
          <w:bCs/>
          <w:color w:val="231F20"/>
          <w:sz w:val="24"/>
          <w:szCs w:val="24"/>
        </w:rPr>
        <w:t>não-participantes,</w:t>
      </w:r>
      <w:r>
        <w:rPr>
          <w:rFonts w:eastAsia="Arial"/>
          <w:bCs/>
          <w:sz w:val="24"/>
          <w:szCs w:val="24"/>
        </w:rPr>
        <w:t xml:space="preserve"> em conformidade com disposto na lei nº 14133/2021.</w:t>
      </w:r>
    </w:p>
    <w:p w14:paraId="1AA5EE56">
      <w:pPr>
        <w:spacing w:line="288" w:lineRule="auto"/>
        <w:contextualSpacing/>
        <w:jc w:val="both"/>
        <w:rPr>
          <w:rFonts w:eastAsia="Arial"/>
          <w:sz w:val="24"/>
          <w:szCs w:val="24"/>
        </w:rPr>
      </w:pPr>
    </w:p>
    <w:p w14:paraId="6AB51B2D">
      <w:pPr>
        <w:autoSpaceDE w:val="0"/>
        <w:autoSpaceDN w:val="0"/>
        <w:adjustRightInd w:val="0"/>
        <w:spacing w:line="288" w:lineRule="auto"/>
        <w:contextualSpacing/>
        <w:jc w:val="both"/>
        <w:rPr>
          <w:rFonts w:eastAsia="Arial"/>
          <w:sz w:val="24"/>
          <w:szCs w:val="24"/>
        </w:rPr>
      </w:pPr>
      <w:r>
        <w:rPr>
          <w:bCs/>
          <w:sz w:val="24"/>
          <w:szCs w:val="24"/>
        </w:rPr>
        <w:t>5.2</w:t>
      </w:r>
      <w:r>
        <w:rPr>
          <w:sz w:val="24"/>
          <w:szCs w:val="24"/>
        </w:rPr>
        <w:t xml:space="preserve"> </w:t>
      </w:r>
      <w:r>
        <w:rPr>
          <w:rFonts w:eastAsia="Arial"/>
          <w:sz w:val="24"/>
          <w:szCs w:val="24"/>
        </w:rPr>
        <w:t xml:space="preserve">As quantidades dos itens indicadas nas alíneas a e b do item 5.1 são meramente estimativas e não implicam obrigatoriedade de contratação </w:t>
      </w:r>
      <w:r>
        <w:rPr>
          <w:sz w:val="24"/>
          <w:szCs w:val="24"/>
        </w:rPr>
        <w:t xml:space="preserve">pelo gerenciador e pelos </w:t>
      </w:r>
      <w:r>
        <w:rPr>
          <w:rFonts w:eastAsia="Arial"/>
          <w:sz w:val="24"/>
          <w:szCs w:val="24"/>
        </w:rPr>
        <w:t>participantes, quando houver, durante a vigência da Ata de Registro de Preços.</w:t>
      </w:r>
    </w:p>
    <w:p w14:paraId="40E0878E">
      <w:pPr>
        <w:autoSpaceDE w:val="0"/>
        <w:autoSpaceDN w:val="0"/>
        <w:adjustRightInd w:val="0"/>
        <w:spacing w:line="288" w:lineRule="auto"/>
        <w:contextualSpacing/>
        <w:jc w:val="both"/>
        <w:rPr>
          <w:rFonts w:eastAsia="Arial"/>
          <w:sz w:val="24"/>
          <w:szCs w:val="24"/>
        </w:rPr>
      </w:pPr>
    </w:p>
    <w:p w14:paraId="00BD363F">
      <w:pPr>
        <w:autoSpaceDE w:val="0"/>
        <w:autoSpaceDN w:val="0"/>
        <w:adjustRightInd w:val="0"/>
        <w:spacing w:line="288" w:lineRule="auto"/>
        <w:contextualSpacing/>
        <w:jc w:val="both"/>
        <w:rPr>
          <w:sz w:val="24"/>
          <w:szCs w:val="24"/>
        </w:rPr>
      </w:pPr>
      <w:r>
        <w:rPr>
          <w:sz w:val="24"/>
          <w:szCs w:val="24"/>
        </w:rPr>
        <w:t>5.3 As contratações adicionais de que trata o item 4 não poderão exceder, por órgão ou entidade aderente, conforme estipulado no decreto Municipal n° 46/2025, art.33,</w:t>
      </w:r>
      <w:r>
        <w:rPr>
          <w:bCs/>
          <w:sz w:val="24"/>
          <w:szCs w:val="24"/>
        </w:rPr>
        <w:t xml:space="preserve"> </w:t>
      </w:r>
      <w:r>
        <w:rPr>
          <w:sz w:val="24"/>
          <w:szCs w:val="24"/>
        </w:rPr>
        <w:t xml:space="preserve">dos quantitativos dos itens registrados na Ata de Registro de Preços para o gerenciador e para os </w:t>
      </w:r>
      <w:r>
        <w:rPr>
          <w:rFonts w:eastAsia="Arial"/>
          <w:sz w:val="24"/>
          <w:szCs w:val="24"/>
        </w:rPr>
        <w:t>participantes, quando houver</w:t>
      </w:r>
      <w:r>
        <w:rPr>
          <w:sz w:val="24"/>
          <w:szCs w:val="24"/>
        </w:rPr>
        <w:t xml:space="preserve">. </w:t>
      </w:r>
    </w:p>
    <w:p w14:paraId="75D6B253">
      <w:pPr>
        <w:autoSpaceDE w:val="0"/>
        <w:autoSpaceDN w:val="0"/>
        <w:adjustRightInd w:val="0"/>
        <w:spacing w:line="288" w:lineRule="auto"/>
        <w:contextualSpacing/>
        <w:jc w:val="both"/>
        <w:rPr>
          <w:sz w:val="24"/>
          <w:szCs w:val="24"/>
        </w:rPr>
      </w:pPr>
    </w:p>
    <w:p w14:paraId="48841722">
      <w:pPr>
        <w:autoSpaceDE w:val="0"/>
        <w:autoSpaceDN w:val="0"/>
        <w:adjustRightInd w:val="0"/>
        <w:spacing w:line="288" w:lineRule="auto"/>
        <w:contextualSpacing/>
        <w:jc w:val="both"/>
        <w:rPr>
          <w:bCs/>
          <w:color w:val="231F20"/>
          <w:sz w:val="24"/>
          <w:szCs w:val="24"/>
        </w:rPr>
      </w:pPr>
      <w:r>
        <w:rPr>
          <w:sz w:val="24"/>
          <w:szCs w:val="24"/>
        </w:rPr>
        <w:t xml:space="preserve">5.3.1 O quantitativo decorrente das adesões à Ata de Registro de Preços não poderá exceder, na totalidade, </w:t>
      </w:r>
      <w:r>
        <w:rPr>
          <w:bCs/>
          <w:sz w:val="24"/>
          <w:szCs w:val="24"/>
        </w:rPr>
        <w:t xml:space="preserve">ao limite </w:t>
      </w:r>
      <w:r>
        <w:rPr>
          <w:sz w:val="24"/>
          <w:szCs w:val="24"/>
        </w:rPr>
        <w:t>estipulado no decreto Municipal n° 46/2025, art.33</w:t>
      </w:r>
      <w:r>
        <w:rPr>
          <w:bCs/>
          <w:sz w:val="24"/>
          <w:szCs w:val="24"/>
        </w:rPr>
        <w:t xml:space="preserve"> </w:t>
      </w:r>
      <w:r>
        <w:rPr>
          <w:sz w:val="24"/>
          <w:szCs w:val="24"/>
        </w:rPr>
        <w:t xml:space="preserve">do quantitativo de cada item registrado nesta Ata para o gerenciador e pelos </w:t>
      </w:r>
      <w:r>
        <w:rPr>
          <w:rFonts w:eastAsia="Arial"/>
          <w:sz w:val="24"/>
          <w:szCs w:val="24"/>
        </w:rPr>
        <w:t>participantes</w:t>
      </w:r>
      <w:r>
        <w:rPr>
          <w:sz w:val="24"/>
          <w:szCs w:val="24"/>
        </w:rPr>
        <w:t>, quando houver, independentemente do número de órgãos ou entidades não-participantes que aderirem.</w:t>
      </w:r>
    </w:p>
    <w:p w14:paraId="0E7857D5">
      <w:pPr>
        <w:spacing w:line="288" w:lineRule="auto"/>
        <w:contextualSpacing/>
        <w:jc w:val="both"/>
        <w:rPr>
          <w:sz w:val="24"/>
          <w:szCs w:val="24"/>
        </w:rPr>
      </w:pPr>
    </w:p>
    <w:p w14:paraId="39CE501C">
      <w:pPr>
        <w:spacing w:line="288" w:lineRule="auto"/>
        <w:ind w:right="49"/>
        <w:contextualSpacing/>
        <w:jc w:val="both"/>
        <w:rPr>
          <w:color w:val="231F20"/>
          <w:sz w:val="24"/>
          <w:szCs w:val="24"/>
        </w:rPr>
      </w:pPr>
      <w:r>
        <w:rPr>
          <w:sz w:val="24"/>
          <w:szCs w:val="24"/>
        </w:rPr>
        <w:t>5.4 É vedado efetuar acréscimos nos quantitativos fixados na Ata de Registro de Preços, inclusive o acréscimo de que trata o art. 125 da Lei nº 14.133/2021.</w:t>
      </w:r>
    </w:p>
    <w:p w14:paraId="3AE411D2">
      <w:pPr>
        <w:spacing w:line="288" w:lineRule="auto"/>
        <w:contextualSpacing/>
        <w:jc w:val="both"/>
        <w:rPr>
          <w:b/>
          <w:sz w:val="24"/>
          <w:szCs w:val="24"/>
        </w:rPr>
      </w:pPr>
    </w:p>
    <w:p w14:paraId="5A8C8259">
      <w:pPr>
        <w:spacing w:line="288" w:lineRule="auto"/>
        <w:contextualSpacing/>
        <w:jc w:val="both"/>
        <w:rPr>
          <w:rFonts w:eastAsia="Arial"/>
          <w:b/>
          <w:sz w:val="24"/>
          <w:szCs w:val="24"/>
        </w:rPr>
      </w:pPr>
      <w:r>
        <w:rPr>
          <w:bCs/>
          <w:sz w:val="24"/>
          <w:szCs w:val="24"/>
        </w:rPr>
        <w:t xml:space="preserve">5.5 </w:t>
      </w:r>
      <w:r>
        <w:rPr>
          <w:sz w:val="24"/>
          <w:szCs w:val="24"/>
        </w:rPr>
        <w:t xml:space="preserve">As quantidades previstas na Ata de Registro de Preços para os itens com preços registrados poderão ser remanejadas, pelo </w:t>
      </w:r>
      <w:r>
        <w:rPr>
          <w:bCs/>
          <w:sz w:val="24"/>
          <w:szCs w:val="24"/>
        </w:rPr>
        <w:t>gerenciador</w:t>
      </w:r>
      <w:r>
        <w:rPr>
          <w:sz w:val="24"/>
          <w:szCs w:val="24"/>
        </w:rPr>
        <w:t xml:space="preserve">, entre os </w:t>
      </w:r>
      <w:r>
        <w:rPr>
          <w:rFonts w:eastAsia="Arial"/>
          <w:sz w:val="24"/>
          <w:szCs w:val="24"/>
        </w:rPr>
        <w:t>participantes</w:t>
      </w:r>
      <w:r>
        <w:rPr>
          <w:sz w:val="24"/>
          <w:szCs w:val="24"/>
        </w:rPr>
        <w:t xml:space="preserve"> do procedimento para registro de preços, quando houver. </w:t>
      </w:r>
    </w:p>
    <w:p w14:paraId="5B718119">
      <w:pPr>
        <w:spacing w:line="288" w:lineRule="auto"/>
        <w:contextualSpacing/>
        <w:jc w:val="both"/>
        <w:rPr>
          <w:sz w:val="24"/>
          <w:szCs w:val="24"/>
        </w:rPr>
      </w:pPr>
    </w:p>
    <w:p w14:paraId="2C728416">
      <w:pPr>
        <w:spacing w:line="288" w:lineRule="auto"/>
        <w:contextualSpacing/>
        <w:jc w:val="both"/>
        <w:rPr>
          <w:rFonts w:eastAsia="Arial"/>
          <w:b/>
          <w:sz w:val="24"/>
          <w:szCs w:val="24"/>
        </w:rPr>
      </w:pPr>
      <w:r>
        <w:rPr>
          <w:bCs/>
          <w:sz w:val="24"/>
          <w:szCs w:val="24"/>
        </w:rPr>
        <w:t xml:space="preserve">5.5.1 </w:t>
      </w:r>
      <w:r>
        <w:rPr>
          <w:sz w:val="24"/>
          <w:szCs w:val="24"/>
        </w:rPr>
        <w:t xml:space="preserve">Caberá ao gerenciador autorizar o remanejamento, com a transferência dos quantitativos entre os </w:t>
      </w:r>
      <w:r>
        <w:rPr>
          <w:rFonts w:eastAsia="Arial"/>
          <w:sz w:val="24"/>
          <w:szCs w:val="24"/>
        </w:rPr>
        <w:t>participantes</w:t>
      </w:r>
      <w:r>
        <w:rPr>
          <w:sz w:val="24"/>
          <w:szCs w:val="24"/>
        </w:rPr>
        <w:t xml:space="preserve">, desde que haja anuência daquele que vier a sofrer a redução dos quantitativos informados. </w:t>
      </w:r>
    </w:p>
    <w:p w14:paraId="4041F7F7">
      <w:pPr>
        <w:autoSpaceDE w:val="0"/>
        <w:autoSpaceDN w:val="0"/>
        <w:adjustRightInd w:val="0"/>
        <w:spacing w:line="288" w:lineRule="auto"/>
        <w:contextualSpacing/>
        <w:jc w:val="both"/>
        <w:rPr>
          <w:color w:val="231F20"/>
          <w:sz w:val="24"/>
          <w:szCs w:val="24"/>
        </w:rPr>
      </w:pPr>
    </w:p>
    <w:p w14:paraId="3DD28C82">
      <w:pPr>
        <w:spacing w:line="288" w:lineRule="auto"/>
        <w:contextualSpacing/>
        <w:jc w:val="both"/>
        <w:rPr>
          <w:rFonts w:eastAsia="Arial"/>
          <w:b/>
          <w:sz w:val="24"/>
          <w:szCs w:val="24"/>
        </w:rPr>
      </w:pPr>
      <w:r>
        <w:rPr>
          <w:rFonts w:eastAsia="Arial"/>
          <w:b/>
          <w:sz w:val="24"/>
          <w:szCs w:val="24"/>
        </w:rPr>
        <w:t>CLÁUSULA SEXTA: DO PREÇO REGISTRADO</w:t>
      </w:r>
    </w:p>
    <w:p w14:paraId="51651F88">
      <w:pPr>
        <w:spacing w:line="288" w:lineRule="auto"/>
        <w:contextualSpacing/>
        <w:jc w:val="both"/>
        <w:rPr>
          <w:rFonts w:eastAsia="Arial"/>
          <w:sz w:val="24"/>
          <w:szCs w:val="24"/>
        </w:rPr>
      </w:pPr>
    </w:p>
    <w:p w14:paraId="2F77891C">
      <w:pPr>
        <w:spacing w:line="288" w:lineRule="auto"/>
        <w:contextualSpacing/>
        <w:jc w:val="both"/>
        <w:rPr>
          <w:sz w:val="24"/>
          <w:szCs w:val="24"/>
        </w:rPr>
      </w:pPr>
      <w:r>
        <w:rPr>
          <w:rFonts w:eastAsia="Arial"/>
          <w:sz w:val="24"/>
          <w:szCs w:val="24"/>
        </w:rPr>
        <w:t xml:space="preserve">6.1 O preço unitário de cada item registrado é o constante da(s) proposta(s) final(is), cujos valores estão reunidos </w:t>
      </w:r>
      <w:r>
        <w:rPr>
          <w:sz w:val="24"/>
          <w:szCs w:val="24"/>
        </w:rPr>
        <w:t xml:space="preserve">no Anexo I – Consolidação das Informações da Ata de Registro de Preços. </w:t>
      </w:r>
    </w:p>
    <w:p w14:paraId="17D3D5CF">
      <w:pPr>
        <w:autoSpaceDE w:val="0"/>
        <w:autoSpaceDN w:val="0"/>
        <w:adjustRightInd w:val="0"/>
        <w:spacing w:line="288" w:lineRule="auto"/>
        <w:contextualSpacing/>
        <w:jc w:val="both"/>
        <w:rPr>
          <w:color w:val="231F20"/>
          <w:sz w:val="24"/>
          <w:szCs w:val="24"/>
        </w:rPr>
      </w:pPr>
    </w:p>
    <w:p w14:paraId="34BE297C">
      <w:pPr>
        <w:spacing w:line="288" w:lineRule="auto"/>
        <w:contextualSpacing/>
        <w:jc w:val="both"/>
        <w:rPr>
          <w:color w:val="231F20"/>
          <w:sz w:val="24"/>
          <w:szCs w:val="24"/>
        </w:rPr>
      </w:pPr>
      <w:r>
        <w:rPr>
          <w:bCs/>
          <w:sz w:val="24"/>
          <w:szCs w:val="24"/>
        </w:rPr>
        <w:t xml:space="preserve">6.2 </w:t>
      </w:r>
      <w:r>
        <w:rPr>
          <w:color w:val="231F20"/>
          <w:sz w:val="24"/>
          <w:szCs w:val="24"/>
        </w:rPr>
        <w:t xml:space="preserve">Os preços registrados poderão ser revistos e alterados </w:t>
      </w:r>
      <w:bookmarkStart w:id="46" w:name="_Hlk158811219"/>
      <w:r>
        <w:rPr>
          <w:color w:val="231F20"/>
          <w:sz w:val="24"/>
          <w:szCs w:val="24"/>
        </w:rPr>
        <w:t xml:space="preserve">em decorrência de eventual redução dos preços praticados no mercado ou de fato que eleve o custo dos bens, obras ou serviços registrados, </w:t>
      </w:r>
      <w:r>
        <w:rPr>
          <w:sz w:val="24"/>
          <w:szCs w:val="24"/>
        </w:rPr>
        <w:t xml:space="preserve">em caso de força maior, caso fortuito ou fato do príncipe ou em decorrência de fatos imprevisíveis ou previsíveis de consequências incalculáveis, que inviabilizem a execução da ata tal como pactuado, nos termos da alínea d do inciso II do </w:t>
      </w:r>
      <w:r>
        <w:rPr>
          <w:i/>
          <w:iCs/>
          <w:sz w:val="24"/>
          <w:szCs w:val="24"/>
        </w:rPr>
        <w:t>caput</w:t>
      </w:r>
      <w:r>
        <w:rPr>
          <w:sz w:val="24"/>
          <w:szCs w:val="24"/>
        </w:rPr>
        <w:t xml:space="preserve"> do art. 124 da Lei nº 14.133/2021</w:t>
      </w:r>
      <w:r>
        <w:rPr>
          <w:color w:val="231F20"/>
          <w:sz w:val="24"/>
          <w:szCs w:val="24"/>
        </w:rPr>
        <w:t>.</w:t>
      </w:r>
    </w:p>
    <w:bookmarkEnd w:id="46"/>
    <w:p w14:paraId="7E4A583A">
      <w:pPr>
        <w:autoSpaceDE w:val="0"/>
        <w:autoSpaceDN w:val="0"/>
        <w:adjustRightInd w:val="0"/>
        <w:spacing w:line="288" w:lineRule="auto"/>
        <w:contextualSpacing/>
        <w:jc w:val="both"/>
        <w:rPr>
          <w:b/>
          <w:bCs/>
          <w:color w:val="231F20"/>
          <w:sz w:val="24"/>
          <w:szCs w:val="24"/>
        </w:rPr>
      </w:pPr>
    </w:p>
    <w:p w14:paraId="0527B5A4">
      <w:pPr>
        <w:autoSpaceDE w:val="0"/>
        <w:autoSpaceDN w:val="0"/>
        <w:adjustRightInd w:val="0"/>
        <w:spacing w:line="288" w:lineRule="auto"/>
        <w:contextualSpacing/>
        <w:jc w:val="both"/>
        <w:rPr>
          <w:color w:val="231F20"/>
          <w:sz w:val="24"/>
          <w:szCs w:val="24"/>
        </w:rPr>
      </w:pPr>
      <w:r>
        <w:rPr>
          <w:bCs/>
          <w:sz w:val="24"/>
          <w:szCs w:val="24"/>
        </w:rPr>
        <w:t>6.3</w:t>
      </w:r>
      <w:r>
        <w:rPr>
          <w:sz w:val="24"/>
          <w:szCs w:val="24"/>
        </w:rPr>
        <w:t xml:space="preserve"> Q</w:t>
      </w:r>
      <w:r>
        <w:rPr>
          <w:color w:val="231F20"/>
          <w:sz w:val="24"/>
          <w:szCs w:val="24"/>
        </w:rPr>
        <w:t xml:space="preserve">uando o preço registrado se tornar superior ao preço praticado no mercado por motivo superveniente, o </w:t>
      </w:r>
      <w:r>
        <w:rPr>
          <w:bCs/>
          <w:color w:val="231F20"/>
          <w:sz w:val="24"/>
          <w:szCs w:val="24"/>
        </w:rPr>
        <w:t>gerenciador</w:t>
      </w:r>
      <w:r>
        <w:rPr>
          <w:color w:val="231F20"/>
          <w:sz w:val="24"/>
          <w:szCs w:val="24"/>
        </w:rPr>
        <w:t xml:space="preserve"> convocará o(s) fornecedor(es) para negociar a redução dos preços aos valores praticados pelo mercado, na ordem de classificação.</w:t>
      </w:r>
    </w:p>
    <w:p w14:paraId="5F6FFEC3">
      <w:pPr>
        <w:autoSpaceDE w:val="0"/>
        <w:autoSpaceDN w:val="0"/>
        <w:adjustRightInd w:val="0"/>
        <w:spacing w:line="288" w:lineRule="auto"/>
        <w:contextualSpacing/>
        <w:jc w:val="both"/>
        <w:rPr>
          <w:b/>
          <w:bCs/>
          <w:color w:val="231F20"/>
          <w:sz w:val="24"/>
          <w:szCs w:val="24"/>
        </w:rPr>
      </w:pPr>
    </w:p>
    <w:p w14:paraId="668D62CB">
      <w:pPr>
        <w:autoSpaceDE w:val="0"/>
        <w:autoSpaceDN w:val="0"/>
        <w:adjustRightInd w:val="0"/>
        <w:spacing w:line="288" w:lineRule="auto"/>
        <w:contextualSpacing/>
        <w:jc w:val="both"/>
        <w:rPr>
          <w:sz w:val="24"/>
          <w:szCs w:val="24"/>
        </w:rPr>
      </w:pPr>
      <w:r>
        <w:rPr>
          <w:sz w:val="24"/>
          <w:szCs w:val="24"/>
        </w:rPr>
        <w:t xml:space="preserve">6.3.1 Caso o(s) </w:t>
      </w:r>
      <w:r>
        <w:rPr>
          <w:color w:val="231F20"/>
          <w:sz w:val="24"/>
          <w:szCs w:val="24"/>
        </w:rPr>
        <w:t>fornecedor(es) cadastrado(s)</w:t>
      </w:r>
      <w:r>
        <w:rPr>
          <w:sz w:val="24"/>
          <w:szCs w:val="24"/>
        </w:rPr>
        <w:t xml:space="preserve"> para o item ou lote não aceite(m) reduzir seu preço ao valor praticado pelo mercado deverá(ão) ser liberado(s) do compromisso assumido, sem aplicação de penalidades administrativas.  </w:t>
      </w:r>
    </w:p>
    <w:p w14:paraId="5913EB6C">
      <w:pPr>
        <w:autoSpaceDE w:val="0"/>
        <w:autoSpaceDN w:val="0"/>
        <w:adjustRightInd w:val="0"/>
        <w:spacing w:line="288" w:lineRule="auto"/>
        <w:contextualSpacing/>
        <w:jc w:val="both"/>
        <w:rPr>
          <w:sz w:val="24"/>
          <w:szCs w:val="24"/>
        </w:rPr>
      </w:pPr>
    </w:p>
    <w:p w14:paraId="6C3B7ABA">
      <w:pPr>
        <w:autoSpaceDE w:val="0"/>
        <w:autoSpaceDN w:val="0"/>
        <w:adjustRightInd w:val="0"/>
        <w:spacing w:line="288" w:lineRule="auto"/>
        <w:contextualSpacing/>
        <w:jc w:val="both"/>
        <w:rPr>
          <w:sz w:val="24"/>
          <w:szCs w:val="24"/>
        </w:rPr>
      </w:pPr>
      <w:r>
        <w:rPr>
          <w:sz w:val="24"/>
          <w:szCs w:val="24"/>
        </w:rPr>
        <w:t xml:space="preserve">6.3.2 Havendo a liberação do(s) </w:t>
      </w:r>
      <w:r>
        <w:rPr>
          <w:color w:val="231F20"/>
          <w:sz w:val="24"/>
          <w:szCs w:val="24"/>
        </w:rPr>
        <w:t>fornecedor(es)</w:t>
      </w:r>
      <w:r>
        <w:rPr>
          <w:sz w:val="24"/>
          <w:szCs w:val="24"/>
        </w:rPr>
        <w:t xml:space="preserve">, nos termos do item 6.3.1, o </w:t>
      </w:r>
      <w:r>
        <w:rPr>
          <w:bCs/>
          <w:color w:val="231F20"/>
          <w:sz w:val="24"/>
          <w:szCs w:val="24"/>
        </w:rPr>
        <w:t>órgão gerenciador</w:t>
      </w:r>
      <w:r>
        <w:rPr>
          <w:sz w:val="24"/>
          <w:szCs w:val="24"/>
        </w:rPr>
        <w:t xml:space="preserve"> deverá convocar os proponentes do Cadastro de Reserva, na ordem de classificação, para verificar se aceitam reduzir seus preços aos valores de mercado, observado o disposto no art. 19, § 3º, do Decreto nº 46/2025. </w:t>
      </w:r>
    </w:p>
    <w:p w14:paraId="40E0325F">
      <w:pPr>
        <w:autoSpaceDE w:val="0"/>
        <w:autoSpaceDN w:val="0"/>
        <w:adjustRightInd w:val="0"/>
        <w:spacing w:line="288" w:lineRule="auto"/>
        <w:contextualSpacing/>
        <w:jc w:val="both"/>
        <w:rPr>
          <w:sz w:val="24"/>
          <w:szCs w:val="24"/>
        </w:rPr>
      </w:pPr>
    </w:p>
    <w:p w14:paraId="73F949A4">
      <w:pPr>
        <w:autoSpaceDE w:val="0"/>
        <w:autoSpaceDN w:val="0"/>
        <w:adjustRightInd w:val="0"/>
        <w:spacing w:line="288" w:lineRule="auto"/>
        <w:contextualSpacing/>
        <w:jc w:val="both"/>
        <w:rPr>
          <w:sz w:val="24"/>
          <w:szCs w:val="24"/>
        </w:rPr>
      </w:pPr>
      <w:r>
        <w:rPr>
          <w:sz w:val="24"/>
          <w:szCs w:val="24"/>
        </w:rPr>
        <w:t xml:space="preserve">6.3.3 A ordem de classificação dos fornecedores que aceitarem reduzir seus preços aos valores de mercado observará a classificação original. </w:t>
      </w:r>
    </w:p>
    <w:p w14:paraId="3D8AFE55">
      <w:pPr>
        <w:autoSpaceDE w:val="0"/>
        <w:autoSpaceDN w:val="0"/>
        <w:adjustRightInd w:val="0"/>
        <w:spacing w:line="288" w:lineRule="auto"/>
        <w:contextualSpacing/>
        <w:jc w:val="both"/>
        <w:rPr>
          <w:sz w:val="24"/>
          <w:szCs w:val="24"/>
        </w:rPr>
      </w:pPr>
    </w:p>
    <w:p w14:paraId="184BD022">
      <w:pPr>
        <w:autoSpaceDE w:val="0"/>
        <w:autoSpaceDN w:val="0"/>
        <w:adjustRightInd w:val="0"/>
        <w:spacing w:line="288" w:lineRule="auto"/>
        <w:contextualSpacing/>
        <w:jc w:val="both"/>
        <w:rPr>
          <w:sz w:val="24"/>
          <w:szCs w:val="24"/>
        </w:rPr>
      </w:pPr>
      <w:r>
        <w:rPr>
          <w:sz w:val="24"/>
          <w:szCs w:val="24"/>
        </w:rPr>
        <w:t xml:space="preserve">6.3.4 Não havendo êxito nas negociações, o </w:t>
      </w:r>
      <w:r>
        <w:rPr>
          <w:bCs/>
          <w:color w:val="231F20"/>
          <w:sz w:val="24"/>
          <w:szCs w:val="24"/>
        </w:rPr>
        <w:t>gerenciador</w:t>
      </w:r>
      <w:r>
        <w:rPr>
          <w:sz w:val="24"/>
          <w:szCs w:val="24"/>
        </w:rPr>
        <w:t xml:space="preserve"> deverá proceder ao cancelamento da Ata de Registro de Preços, nos termos do art. 32 do Decreto nº 46/2025 e da cláusula décima desta Ata, com a adoção das medidas cabíveis para obtenção da contratação mais vantajosa. </w:t>
      </w:r>
    </w:p>
    <w:p w14:paraId="2F7C663E">
      <w:pPr>
        <w:autoSpaceDE w:val="0"/>
        <w:autoSpaceDN w:val="0"/>
        <w:adjustRightInd w:val="0"/>
        <w:spacing w:line="288" w:lineRule="auto"/>
        <w:contextualSpacing/>
        <w:jc w:val="both"/>
        <w:rPr>
          <w:sz w:val="24"/>
          <w:szCs w:val="24"/>
        </w:rPr>
      </w:pPr>
    </w:p>
    <w:p w14:paraId="526B33B6">
      <w:pPr>
        <w:autoSpaceDE w:val="0"/>
        <w:autoSpaceDN w:val="0"/>
        <w:adjustRightInd w:val="0"/>
        <w:spacing w:line="288" w:lineRule="auto"/>
        <w:contextualSpacing/>
        <w:jc w:val="both"/>
        <w:rPr>
          <w:b/>
          <w:bCs/>
          <w:color w:val="231F20"/>
          <w:sz w:val="24"/>
          <w:szCs w:val="24"/>
        </w:rPr>
      </w:pPr>
      <w:r>
        <w:rPr>
          <w:sz w:val="24"/>
          <w:szCs w:val="24"/>
        </w:rPr>
        <w:t xml:space="preserve">6.3.5 Caso haja a redução do preço registrado, o </w:t>
      </w:r>
      <w:r>
        <w:rPr>
          <w:bCs/>
          <w:color w:val="231F20"/>
          <w:sz w:val="24"/>
          <w:szCs w:val="24"/>
        </w:rPr>
        <w:t>gerenciador</w:t>
      </w:r>
      <w:r>
        <w:rPr>
          <w:sz w:val="24"/>
          <w:szCs w:val="24"/>
        </w:rPr>
        <w:t xml:space="preserve"> deverá comunicar aos órgãos e as entidades que tiverem formalizado contratos, para que avaliem a necessidade de efetuar a revisão dos preços contratados.</w:t>
      </w:r>
    </w:p>
    <w:p w14:paraId="75ABA920">
      <w:pPr>
        <w:autoSpaceDE w:val="0"/>
        <w:autoSpaceDN w:val="0"/>
        <w:adjustRightInd w:val="0"/>
        <w:spacing w:line="288" w:lineRule="auto"/>
        <w:contextualSpacing/>
        <w:jc w:val="both"/>
        <w:rPr>
          <w:b/>
          <w:bCs/>
          <w:color w:val="231F20"/>
          <w:sz w:val="24"/>
          <w:szCs w:val="24"/>
        </w:rPr>
      </w:pPr>
    </w:p>
    <w:p w14:paraId="558432ED">
      <w:pPr>
        <w:autoSpaceDE w:val="0"/>
        <w:autoSpaceDN w:val="0"/>
        <w:adjustRightInd w:val="0"/>
        <w:spacing w:line="288" w:lineRule="auto"/>
        <w:contextualSpacing/>
        <w:jc w:val="both"/>
        <w:rPr>
          <w:color w:val="231F20"/>
          <w:sz w:val="24"/>
          <w:szCs w:val="24"/>
        </w:rPr>
      </w:pPr>
      <w:r>
        <w:rPr>
          <w:bCs/>
          <w:sz w:val="24"/>
          <w:szCs w:val="24"/>
        </w:rPr>
        <w:t>6.4 Q</w:t>
      </w:r>
      <w:r>
        <w:rPr>
          <w:color w:val="231F20"/>
          <w:sz w:val="24"/>
          <w:szCs w:val="24"/>
        </w:rPr>
        <w:t xml:space="preserve">uando o preço de mercado se tornar superior aos preços registrados e o fornecedor, mediante requerimento devidamente fundamentado, não puder cumprir as obrigações contidas na Ata de Registro de Preços, </w:t>
      </w:r>
      <w:r>
        <w:rPr>
          <w:sz w:val="24"/>
          <w:szCs w:val="24"/>
        </w:rPr>
        <w:t xml:space="preserve">ser-lhe-á facultado requerer ao </w:t>
      </w:r>
      <w:r>
        <w:rPr>
          <w:bCs/>
          <w:color w:val="231F20"/>
          <w:sz w:val="24"/>
          <w:szCs w:val="24"/>
        </w:rPr>
        <w:t>gerenciador</w:t>
      </w:r>
      <w:r>
        <w:rPr>
          <w:sz w:val="24"/>
          <w:szCs w:val="24"/>
        </w:rPr>
        <w:t xml:space="preserve"> a alteração dos preços registrados, mediante comprovação de fato superveniente que supostamente o impossibilite de cumprir o compromisso.</w:t>
      </w:r>
      <w:r>
        <w:rPr>
          <w:color w:val="231F20"/>
          <w:sz w:val="24"/>
          <w:szCs w:val="24"/>
        </w:rPr>
        <w:t xml:space="preserve"> </w:t>
      </w:r>
    </w:p>
    <w:p w14:paraId="4BA28324">
      <w:pPr>
        <w:autoSpaceDE w:val="0"/>
        <w:autoSpaceDN w:val="0"/>
        <w:adjustRightInd w:val="0"/>
        <w:spacing w:line="288" w:lineRule="auto"/>
        <w:contextualSpacing/>
        <w:jc w:val="both"/>
        <w:rPr>
          <w:color w:val="231F20"/>
          <w:sz w:val="24"/>
          <w:szCs w:val="24"/>
        </w:rPr>
      </w:pPr>
    </w:p>
    <w:p w14:paraId="348DDC23">
      <w:pPr>
        <w:autoSpaceDE w:val="0"/>
        <w:autoSpaceDN w:val="0"/>
        <w:adjustRightInd w:val="0"/>
        <w:spacing w:line="288" w:lineRule="auto"/>
        <w:contextualSpacing/>
        <w:jc w:val="both"/>
        <w:rPr>
          <w:color w:val="231F20"/>
          <w:sz w:val="24"/>
          <w:szCs w:val="24"/>
        </w:rPr>
      </w:pPr>
      <w:r>
        <w:rPr>
          <w:color w:val="231F20"/>
          <w:sz w:val="24"/>
          <w:szCs w:val="24"/>
        </w:rPr>
        <w:t xml:space="preserve">6.4.1 </w:t>
      </w:r>
      <w:r>
        <w:rPr>
          <w:sz w:val="24"/>
          <w:szCs w:val="24"/>
        </w:rPr>
        <w:t xml:space="preserve">O </w:t>
      </w:r>
      <w:r>
        <w:rPr>
          <w:color w:val="231F20"/>
          <w:sz w:val="24"/>
          <w:szCs w:val="24"/>
        </w:rPr>
        <w:t>fornecedor</w:t>
      </w:r>
      <w:r>
        <w:rPr>
          <w:sz w:val="24"/>
          <w:szCs w:val="24"/>
        </w:rPr>
        <w:t xml:space="preserve"> deverá encaminhar, juntamente com o pedido de alteração, documentação comprobatória ou planilha de custos que demonstre que o preço registrado se tornou inviável frente às condições inicialmente pactuadas, cabendo ao </w:t>
      </w:r>
      <w:r>
        <w:rPr>
          <w:bCs/>
          <w:color w:val="231F20"/>
          <w:sz w:val="24"/>
          <w:szCs w:val="24"/>
        </w:rPr>
        <w:t>gerenciador</w:t>
      </w:r>
      <w:r>
        <w:rPr>
          <w:sz w:val="24"/>
          <w:szCs w:val="24"/>
        </w:rPr>
        <w:t xml:space="preserve"> a análise e deliberação a respeito do pedido.</w:t>
      </w:r>
    </w:p>
    <w:p w14:paraId="4142FF4F">
      <w:pPr>
        <w:autoSpaceDE w:val="0"/>
        <w:autoSpaceDN w:val="0"/>
        <w:adjustRightInd w:val="0"/>
        <w:spacing w:line="288" w:lineRule="auto"/>
        <w:contextualSpacing/>
        <w:jc w:val="both"/>
        <w:rPr>
          <w:color w:val="231F20"/>
          <w:sz w:val="24"/>
          <w:szCs w:val="24"/>
        </w:rPr>
      </w:pPr>
    </w:p>
    <w:p w14:paraId="42495650">
      <w:pPr>
        <w:autoSpaceDE w:val="0"/>
        <w:autoSpaceDN w:val="0"/>
        <w:adjustRightInd w:val="0"/>
        <w:spacing w:line="288" w:lineRule="auto"/>
        <w:contextualSpacing/>
        <w:jc w:val="both"/>
        <w:rPr>
          <w:sz w:val="24"/>
          <w:szCs w:val="24"/>
        </w:rPr>
      </w:pPr>
      <w:r>
        <w:rPr>
          <w:sz w:val="24"/>
          <w:szCs w:val="24"/>
        </w:rPr>
        <w:t xml:space="preserve">6.4.2 Na hipótese de deferimento do pedido, o </w:t>
      </w:r>
      <w:r>
        <w:rPr>
          <w:bCs/>
          <w:color w:val="231F20"/>
          <w:sz w:val="24"/>
          <w:szCs w:val="24"/>
        </w:rPr>
        <w:t>gerenciador</w:t>
      </w:r>
      <w:r>
        <w:rPr>
          <w:sz w:val="24"/>
          <w:szCs w:val="24"/>
        </w:rPr>
        <w:t xml:space="preserve"> procederá à atualização do preço registrado, de acordo com a realidade dos valores praticados pelo mercado. </w:t>
      </w:r>
    </w:p>
    <w:p w14:paraId="12810206">
      <w:pPr>
        <w:autoSpaceDE w:val="0"/>
        <w:autoSpaceDN w:val="0"/>
        <w:adjustRightInd w:val="0"/>
        <w:spacing w:line="288" w:lineRule="auto"/>
        <w:contextualSpacing/>
        <w:jc w:val="both"/>
        <w:rPr>
          <w:color w:val="231F20"/>
          <w:sz w:val="24"/>
          <w:szCs w:val="24"/>
        </w:rPr>
      </w:pPr>
    </w:p>
    <w:p w14:paraId="7A37542D">
      <w:pPr>
        <w:autoSpaceDE w:val="0"/>
        <w:autoSpaceDN w:val="0"/>
        <w:adjustRightInd w:val="0"/>
        <w:spacing w:line="288" w:lineRule="auto"/>
        <w:contextualSpacing/>
        <w:jc w:val="both"/>
        <w:rPr>
          <w:color w:val="231F20"/>
          <w:sz w:val="24"/>
          <w:szCs w:val="24"/>
        </w:rPr>
      </w:pPr>
      <w:r>
        <w:rPr>
          <w:color w:val="231F20"/>
          <w:sz w:val="24"/>
          <w:szCs w:val="24"/>
        </w:rPr>
        <w:t xml:space="preserve">6.4.3 O </w:t>
      </w:r>
      <w:r>
        <w:rPr>
          <w:bCs/>
          <w:color w:val="231F20"/>
          <w:sz w:val="24"/>
          <w:szCs w:val="24"/>
        </w:rPr>
        <w:t xml:space="preserve">fornecedor </w:t>
      </w:r>
      <w:r>
        <w:rPr>
          <w:color w:val="231F20"/>
          <w:sz w:val="24"/>
          <w:szCs w:val="24"/>
        </w:rPr>
        <w:t xml:space="preserve">do compromisso assumido poderá ser liberado pelo </w:t>
      </w:r>
      <w:r>
        <w:rPr>
          <w:bCs/>
          <w:color w:val="231F20"/>
          <w:sz w:val="24"/>
          <w:szCs w:val="24"/>
        </w:rPr>
        <w:t>gerenciador</w:t>
      </w:r>
      <w:r>
        <w:rPr>
          <w:color w:val="231F20"/>
          <w:sz w:val="24"/>
          <w:szCs w:val="24"/>
        </w:rPr>
        <w:t>, caso a comunicação ocorra antes do pedido de fornecimento, e sem aplicação de penalidades administrativas, se confirmada a veracidade dos motivos e comprovantes apresentados.</w:t>
      </w:r>
    </w:p>
    <w:p w14:paraId="37A544CC">
      <w:pPr>
        <w:autoSpaceDE w:val="0"/>
        <w:autoSpaceDN w:val="0"/>
        <w:adjustRightInd w:val="0"/>
        <w:spacing w:line="288" w:lineRule="auto"/>
        <w:contextualSpacing/>
        <w:jc w:val="both"/>
        <w:rPr>
          <w:color w:val="231F20"/>
          <w:sz w:val="24"/>
          <w:szCs w:val="24"/>
        </w:rPr>
      </w:pPr>
    </w:p>
    <w:p w14:paraId="5A4D2917">
      <w:pPr>
        <w:autoSpaceDE w:val="0"/>
        <w:autoSpaceDN w:val="0"/>
        <w:adjustRightInd w:val="0"/>
        <w:spacing w:line="288" w:lineRule="auto"/>
        <w:contextualSpacing/>
        <w:jc w:val="both"/>
        <w:rPr>
          <w:color w:val="231F20"/>
          <w:sz w:val="24"/>
          <w:szCs w:val="24"/>
        </w:rPr>
      </w:pPr>
      <w:r>
        <w:rPr>
          <w:color w:val="231F20"/>
          <w:sz w:val="24"/>
          <w:szCs w:val="24"/>
        </w:rPr>
        <w:t xml:space="preserve">6.4.4 </w:t>
      </w:r>
      <w:r>
        <w:rPr>
          <w:sz w:val="24"/>
          <w:szCs w:val="24"/>
        </w:rPr>
        <w:t xml:space="preserve">Caso não demonstrada a existência de fato superveniente que torne insubsistente o preço registrado, o pedido será indeferido pelo </w:t>
      </w:r>
      <w:r>
        <w:rPr>
          <w:bCs/>
          <w:color w:val="231F20"/>
          <w:sz w:val="24"/>
          <w:szCs w:val="24"/>
        </w:rPr>
        <w:t>gerenciador,</w:t>
      </w:r>
      <w:r>
        <w:rPr>
          <w:sz w:val="24"/>
          <w:szCs w:val="24"/>
        </w:rPr>
        <w:t xml:space="preserve"> ficando o fornecedor obrigado a cumprir as obrigações contidas na Ata de Registro de Preços, sob pena de cancelamento do seu registro, nos termos do art. 31 do Decreto nº 46/2025, sem prejuízo das sanções previstas na Lei nº 14.133/2021, no instrumento convocatório, quando houver,</w:t>
      </w:r>
      <w:r>
        <w:rPr>
          <w:rFonts w:eastAsia="Arial"/>
          <w:sz w:val="24"/>
          <w:szCs w:val="24"/>
        </w:rPr>
        <w:t xml:space="preserve"> e no Termo de Referência</w:t>
      </w:r>
      <w:r>
        <w:rPr>
          <w:sz w:val="24"/>
          <w:szCs w:val="24"/>
        </w:rPr>
        <w:t>, e em outras legislações aplicáveis.</w:t>
      </w:r>
    </w:p>
    <w:p w14:paraId="5D2E2F2C">
      <w:pPr>
        <w:autoSpaceDE w:val="0"/>
        <w:autoSpaceDN w:val="0"/>
        <w:adjustRightInd w:val="0"/>
        <w:spacing w:line="288" w:lineRule="auto"/>
        <w:contextualSpacing/>
        <w:jc w:val="both"/>
        <w:rPr>
          <w:b/>
          <w:bCs/>
          <w:color w:val="231F20"/>
          <w:sz w:val="24"/>
          <w:szCs w:val="24"/>
        </w:rPr>
      </w:pPr>
    </w:p>
    <w:p w14:paraId="4FD48054">
      <w:pPr>
        <w:autoSpaceDE w:val="0"/>
        <w:autoSpaceDN w:val="0"/>
        <w:adjustRightInd w:val="0"/>
        <w:spacing w:line="288" w:lineRule="auto"/>
        <w:contextualSpacing/>
        <w:jc w:val="both"/>
        <w:rPr>
          <w:sz w:val="24"/>
          <w:szCs w:val="24"/>
        </w:rPr>
      </w:pPr>
      <w:r>
        <w:rPr>
          <w:sz w:val="24"/>
          <w:szCs w:val="24"/>
        </w:rPr>
        <w:t xml:space="preserve">6.4.4.1 Havendo cancelamento do registro do fornecedor, nos termos do item 6.4.4, o </w:t>
      </w:r>
      <w:r>
        <w:rPr>
          <w:bCs/>
          <w:color w:val="231F20"/>
          <w:sz w:val="24"/>
          <w:szCs w:val="24"/>
        </w:rPr>
        <w:t>gerenciador</w:t>
      </w:r>
      <w:r>
        <w:rPr>
          <w:sz w:val="24"/>
          <w:szCs w:val="24"/>
        </w:rPr>
        <w:t xml:space="preserve"> deverá convocar os proponentes do Cadastro de Reserva, observada a ordem de classificação, para verificar se aceitam manter seus preços registrados, observado o disposto no art. 19, § 3º, do Decreto nº 56/2025. </w:t>
      </w:r>
    </w:p>
    <w:p w14:paraId="264BEC16">
      <w:pPr>
        <w:autoSpaceDE w:val="0"/>
        <w:autoSpaceDN w:val="0"/>
        <w:adjustRightInd w:val="0"/>
        <w:spacing w:line="288" w:lineRule="auto"/>
        <w:contextualSpacing/>
        <w:jc w:val="both"/>
        <w:rPr>
          <w:sz w:val="24"/>
          <w:szCs w:val="24"/>
        </w:rPr>
      </w:pPr>
    </w:p>
    <w:p w14:paraId="49ACCC1A">
      <w:pPr>
        <w:autoSpaceDE w:val="0"/>
        <w:autoSpaceDN w:val="0"/>
        <w:adjustRightInd w:val="0"/>
        <w:spacing w:line="288" w:lineRule="auto"/>
        <w:contextualSpacing/>
        <w:jc w:val="both"/>
        <w:rPr>
          <w:sz w:val="24"/>
          <w:szCs w:val="24"/>
        </w:rPr>
      </w:pPr>
      <w:r>
        <w:rPr>
          <w:sz w:val="24"/>
          <w:szCs w:val="24"/>
        </w:rPr>
        <w:t xml:space="preserve">6.4.4.2 Não havendo êxito nas negociações, o </w:t>
      </w:r>
      <w:r>
        <w:rPr>
          <w:bCs/>
          <w:color w:val="231F20"/>
          <w:sz w:val="24"/>
          <w:szCs w:val="24"/>
        </w:rPr>
        <w:t>gerenciador</w:t>
      </w:r>
      <w:r>
        <w:rPr>
          <w:sz w:val="24"/>
          <w:szCs w:val="24"/>
        </w:rPr>
        <w:t xml:space="preserve"> deverá proceder ao cancelamento da Ata de Registro de Preços, adotando as medidas cabíveis para obtenção da contratação mais vantajosa. </w:t>
      </w:r>
    </w:p>
    <w:p w14:paraId="051EDF8F">
      <w:pPr>
        <w:autoSpaceDE w:val="0"/>
        <w:autoSpaceDN w:val="0"/>
        <w:adjustRightInd w:val="0"/>
        <w:spacing w:line="288" w:lineRule="auto"/>
        <w:contextualSpacing/>
        <w:jc w:val="both"/>
        <w:rPr>
          <w:sz w:val="24"/>
          <w:szCs w:val="24"/>
        </w:rPr>
      </w:pPr>
    </w:p>
    <w:p w14:paraId="0C7329D3">
      <w:pPr>
        <w:autoSpaceDE w:val="0"/>
        <w:autoSpaceDN w:val="0"/>
        <w:adjustRightInd w:val="0"/>
        <w:spacing w:line="288" w:lineRule="auto"/>
        <w:contextualSpacing/>
        <w:jc w:val="both"/>
        <w:rPr>
          <w:sz w:val="24"/>
          <w:szCs w:val="24"/>
        </w:rPr>
      </w:pPr>
      <w:r>
        <w:rPr>
          <w:sz w:val="24"/>
          <w:szCs w:val="24"/>
        </w:rPr>
        <w:t xml:space="preserve">6.5 Os novos valores a serem registrados, conforme itens 6.3.5 e 6.4.2, deverão ser formalizados mediante termo aditivo à Ata de Registro de Preços. </w:t>
      </w:r>
    </w:p>
    <w:p w14:paraId="391831F5">
      <w:pPr>
        <w:autoSpaceDE w:val="0"/>
        <w:autoSpaceDN w:val="0"/>
        <w:adjustRightInd w:val="0"/>
        <w:spacing w:line="288" w:lineRule="auto"/>
        <w:contextualSpacing/>
        <w:jc w:val="both"/>
        <w:rPr>
          <w:sz w:val="24"/>
          <w:szCs w:val="24"/>
        </w:rPr>
      </w:pPr>
    </w:p>
    <w:p w14:paraId="70416795">
      <w:pPr>
        <w:autoSpaceDE w:val="0"/>
        <w:autoSpaceDN w:val="0"/>
        <w:adjustRightInd w:val="0"/>
        <w:spacing w:line="288" w:lineRule="auto"/>
        <w:contextualSpacing/>
        <w:jc w:val="both"/>
        <w:rPr>
          <w:sz w:val="24"/>
          <w:szCs w:val="24"/>
        </w:rPr>
      </w:pPr>
      <w:r>
        <w:rPr>
          <w:sz w:val="24"/>
          <w:szCs w:val="24"/>
        </w:rPr>
        <w:t>6.6 Os preços registrados poderão, ainda, ser reajustados ou repactuados, conforme estabelecido no instrumento convocatório, quando houver,</w:t>
      </w:r>
      <w:r>
        <w:rPr>
          <w:rFonts w:eastAsia="Arial"/>
          <w:sz w:val="24"/>
          <w:szCs w:val="24"/>
        </w:rPr>
        <w:t xml:space="preserve"> e no Termo de Referência</w:t>
      </w:r>
      <w:r>
        <w:rPr>
          <w:sz w:val="24"/>
          <w:szCs w:val="24"/>
        </w:rPr>
        <w:t>, nos termos da Lei nº 14.133/ 2021.</w:t>
      </w:r>
    </w:p>
    <w:p w14:paraId="182FA855">
      <w:pPr>
        <w:autoSpaceDE w:val="0"/>
        <w:autoSpaceDN w:val="0"/>
        <w:adjustRightInd w:val="0"/>
        <w:spacing w:line="288" w:lineRule="auto"/>
        <w:contextualSpacing/>
        <w:jc w:val="both"/>
        <w:rPr>
          <w:sz w:val="24"/>
          <w:szCs w:val="24"/>
        </w:rPr>
      </w:pPr>
    </w:p>
    <w:p w14:paraId="77597940">
      <w:pPr>
        <w:autoSpaceDE w:val="0"/>
        <w:autoSpaceDN w:val="0"/>
        <w:adjustRightInd w:val="0"/>
        <w:spacing w:line="288" w:lineRule="auto"/>
        <w:contextualSpacing/>
        <w:jc w:val="both"/>
        <w:rPr>
          <w:sz w:val="24"/>
          <w:szCs w:val="24"/>
        </w:rPr>
      </w:pPr>
      <w:r>
        <w:rPr>
          <w:sz w:val="24"/>
          <w:szCs w:val="24"/>
        </w:rPr>
        <w:t>6.6.1 O reajustamento ou repactuação poderá ser efetuado mediante apostilamento.</w:t>
      </w:r>
    </w:p>
    <w:p w14:paraId="3E8D8B2E">
      <w:pPr>
        <w:spacing w:line="288" w:lineRule="auto"/>
        <w:contextualSpacing/>
        <w:jc w:val="both"/>
        <w:rPr>
          <w:sz w:val="24"/>
          <w:szCs w:val="24"/>
        </w:rPr>
      </w:pPr>
    </w:p>
    <w:p w14:paraId="57213229">
      <w:pPr>
        <w:spacing w:line="288" w:lineRule="auto"/>
        <w:contextualSpacing/>
        <w:jc w:val="both"/>
        <w:rPr>
          <w:rFonts w:eastAsia="Arial"/>
          <w:b/>
          <w:sz w:val="24"/>
          <w:szCs w:val="24"/>
        </w:rPr>
      </w:pPr>
      <w:r>
        <w:rPr>
          <w:rFonts w:eastAsia="Arial"/>
          <w:b/>
          <w:sz w:val="24"/>
          <w:szCs w:val="24"/>
        </w:rPr>
        <w:t>CLÁUSULA SÉTIMA: DOS LOCAIS DA ENTREGA DOS BENS</w:t>
      </w:r>
    </w:p>
    <w:p w14:paraId="2F8E2F8E">
      <w:pPr>
        <w:autoSpaceDE w:val="0"/>
        <w:autoSpaceDN w:val="0"/>
        <w:adjustRightInd w:val="0"/>
        <w:spacing w:line="288" w:lineRule="auto"/>
        <w:contextualSpacing/>
        <w:jc w:val="both"/>
        <w:rPr>
          <w:color w:val="231F20"/>
          <w:sz w:val="24"/>
          <w:szCs w:val="24"/>
        </w:rPr>
      </w:pPr>
    </w:p>
    <w:p w14:paraId="7CC31A32">
      <w:pPr>
        <w:autoSpaceDE w:val="0"/>
        <w:autoSpaceDN w:val="0"/>
        <w:adjustRightInd w:val="0"/>
        <w:spacing w:line="288" w:lineRule="auto"/>
        <w:contextualSpacing/>
        <w:jc w:val="both"/>
        <w:rPr>
          <w:color w:val="231F20"/>
          <w:sz w:val="24"/>
          <w:szCs w:val="24"/>
        </w:rPr>
      </w:pPr>
      <w:r>
        <w:rPr>
          <w:color w:val="231F20"/>
          <w:sz w:val="24"/>
          <w:szCs w:val="24"/>
        </w:rPr>
        <w:t xml:space="preserve">7.1 Os locais </w:t>
      </w:r>
      <w:r>
        <w:rPr>
          <w:color w:val="000000" w:themeColor="text1"/>
          <w:sz w:val="24"/>
          <w:szCs w:val="24"/>
          <w14:textFill>
            <w14:solidFill>
              <w14:schemeClr w14:val="tx1"/>
            </w14:solidFill>
          </w14:textFill>
        </w:rPr>
        <w:t xml:space="preserve">de entrega dos bens objeto </w:t>
      </w:r>
      <w:r>
        <w:rPr>
          <w:color w:val="231F20"/>
          <w:sz w:val="24"/>
          <w:szCs w:val="24"/>
        </w:rPr>
        <w:t>do registro de preços estão listados no Termo de Referência.</w:t>
      </w:r>
    </w:p>
    <w:p w14:paraId="63D0F888">
      <w:pPr>
        <w:spacing w:line="288" w:lineRule="auto"/>
        <w:contextualSpacing/>
        <w:jc w:val="both"/>
        <w:rPr>
          <w:rFonts w:eastAsia="Arial"/>
          <w:b/>
          <w:sz w:val="24"/>
          <w:szCs w:val="24"/>
          <w:u w:val="single"/>
        </w:rPr>
      </w:pPr>
    </w:p>
    <w:p w14:paraId="62DB69B9">
      <w:pPr>
        <w:spacing w:line="288" w:lineRule="auto"/>
        <w:contextualSpacing/>
        <w:jc w:val="both"/>
        <w:rPr>
          <w:rFonts w:eastAsia="Arial"/>
          <w:b/>
          <w:sz w:val="24"/>
          <w:szCs w:val="24"/>
        </w:rPr>
      </w:pPr>
      <w:r>
        <w:rPr>
          <w:rFonts w:eastAsia="Arial"/>
          <w:b/>
          <w:sz w:val="24"/>
          <w:szCs w:val="24"/>
        </w:rPr>
        <w:t>CLÁUSULA OITAVA: DO PRAZO DE VALIDADE DA ATA DE REGISTRO DE PREÇOS</w:t>
      </w:r>
    </w:p>
    <w:p w14:paraId="1673C2C3">
      <w:pPr>
        <w:autoSpaceDE w:val="0"/>
        <w:autoSpaceDN w:val="0"/>
        <w:adjustRightInd w:val="0"/>
        <w:spacing w:line="288" w:lineRule="auto"/>
        <w:contextualSpacing/>
        <w:jc w:val="both"/>
        <w:rPr>
          <w:color w:val="231F20"/>
          <w:sz w:val="24"/>
          <w:szCs w:val="24"/>
        </w:rPr>
      </w:pPr>
    </w:p>
    <w:p w14:paraId="72038389">
      <w:pPr>
        <w:autoSpaceDE w:val="0"/>
        <w:autoSpaceDN w:val="0"/>
        <w:adjustRightInd w:val="0"/>
        <w:spacing w:line="288" w:lineRule="auto"/>
        <w:contextualSpacing/>
        <w:jc w:val="both"/>
        <w:rPr>
          <w:color w:val="231F20"/>
          <w:sz w:val="24"/>
          <w:szCs w:val="24"/>
        </w:rPr>
      </w:pPr>
      <w:r>
        <w:rPr>
          <w:color w:val="231F20"/>
          <w:sz w:val="24"/>
          <w:szCs w:val="24"/>
        </w:rPr>
        <w:t xml:space="preserve">8.1 O prazo de validade da Ata de Registro de Preços é de 1 (um) ano, </w:t>
      </w:r>
      <w:r>
        <w:rPr>
          <w:color w:val="000000"/>
          <w:sz w:val="24"/>
          <w:szCs w:val="24"/>
        </w:rPr>
        <w:t xml:space="preserve">contado a partir </w:t>
      </w:r>
      <w:r>
        <w:rPr>
          <w:sz w:val="24"/>
          <w:szCs w:val="24"/>
        </w:rPr>
        <w:t>do 1º (primeiro) dia útil subsequente à data de divulgação no PNCP.</w:t>
      </w:r>
      <w:r>
        <w:rPr>
          <w:color w:val="231F20"/>
          <w:sz w:val="24"/>
          <w:szCs w:val="24"/>
        </w:rPr>
        <w:t xml:space="preserve"> </w:t>
      </w:r>
    </w:p>
    <w:p w14:paraId="0BDA10AA">
      <w:pPr>
        <w:autoSpaceDE w:val="0"/>
        <w:autoSpaceDN w:val="0"/>
        <w:adjustRightInd w:val="0"/>
        <w:spacing w:line="288" w:lineRule="auto"/>
        <w:contextualSpacing/>
        <w:jc w:val="both"/>
        <w:rPr>
          <w:color w:val="231F20"/>
          <w:sz w:val="24"/>
          <w:szCs w:val="24"/>
        </w:rPr>
      </w:pPr>
    </w:p>
    <w:p w14:paraId="47BE00D4">
      <w:pPr>
        <w:autoSpaceDE w:val="0"/>
        <w:autoSpaceDN w:val="0"/>
        <w:adjustRightInd w:val="0"/>
        <w:spacing w:line="288" w:lineRule="auto"/>
        <w:contextualSpacing/>
        <w:jc w:val="both"/>
        <w:rPr>
          <w:sz w:val="24"/>
          <w:szCs w:val="24"/>
        </w:rPr>
      </w:pPr>
      <w:r>
        <w:rPr>
          <w:color w:val="231F20"/>
          <w:sz w:val="24"/>
          <w:szCs w:val="24"/>
        </w:rPr>
        <w:t xml:space="preserve">8.2 </w:t>
      </w:r>
      <w:r>
        <w:rPr>
          <w:sz w:val="24"/>
          <w:szCs w:val="24"/>
        </w:rPr>
        <w:t>O prazo de vigência da Ata de Registro de Preços poderá ser prorrogado, por igual período, mediante termo aditivo, desde que as condições e os preços permaneçam vantajosos, observados os seguintes requisitos:</w:t>
      </w:r>
    </w:p>
    <w:p w14:paraId="5F32B242">
      <w:pPr>
        <w:autoSpaceDE w:val="0"/>
        <w:autoSpaceDN w:val="0"/>
        <w:adjustRightInd w:val="0"/>
        <w:spacing w:line="288" w:lineRule="auto"/>
        <w:contextualSpacing/>
        <w:jc w:val="both"/>
        <w:rPr>
          <w:sz w:val="24"/>
          <w:szCs w:val="24"/>
        </w:rPr>
      </w:pPr>
    </w:p>
    <w:p w14:paraId="36ED87BC">
      <w:pPr>
        <w:autoSpaceDE w:val="0"/>
        <w:autoSpaceDN w:val="0"/>
        <w:adjustRightInd w:val="0"/>
        <w:spacing w:line="288" w:lineRule="auto"/>
        <w:contextualSpacing/>
        <w:jc w:val="both"/>
        <w:rPr>
          <w:sz w:val="24"/>
          <w:szCs w:val="24"/>
        </w:rPr>
      </w:pPr>
      <w:r>
        <w:rPr>
          <w:sz w:val="24"/>
          <w:szCs w:val="24"/>
        </w:rPr>
        <w:t xml:space="preserve">8.2.1 somente o saldo remanescente será mantido; </w:t>
      </w:r>
    </w:p>
    <w:p w14:paraId="517D1781">
      <w:pPr>
        <w:autoSpaceDE w:val="0"/>
        <w:autoSpaceDN w:val="0"/>
        <w:adjustRightInd w:val="0"/>
        <w:spacing w:line="288" w:lineRule="auto"/>
        <w:contextualSpacing/>
        <w:jc w:val="both"/>
        <w:rPr>
          <w:sz w:val="24"/>
          <w:szCs w:val="24"/>
        </w:rPr>
      </w:pPr>
    </w:p>
    <w:p w14:paraId="46FB9265">
      <w:pPr>
        <w:autoSpaceDE w:val="0"/>
        <w:autoSpaceDN w:val="0"/>
        <w:adjustRightInd w:val="0"/>
        <w:spacing w:line="288" w:lineRule="auto"/>
        <w:contextualSpacing/>
        <w:jc w:val="both"/>
        <w:rPr>
          <w:sz w:val="24"/>
          <w:szCs w:val="24"/>
        </w:rPr>
      </w:pPr>
      <w:r>
        <w:rPr>
          <w:sz w:val="24"/>
          <w:szCs w:val="24"/>
        </w:rPr>
        <w:t>8.2.2 deverá ser indicado expressamente o prazo de prorrogação; e</w:t>
      </w:r>
    </w:p>
    <w:p w14:paraId="3C2C0110">
      <w:pPr>
        <w:autoSpaceDE w:val="0"/>
        <w:autoSpaceDN w:val="0"/>
        <w:adjustRightInd w:val="0"/>
        <w:spacing w:line="288" w:lineRule="auto"/>
        <w:contextualSpacing/>
        <w:jc w:val="both"/>
        <w:rPr>
          <w:sz w:val="24"/>
          <w:szCs w:val="24"/>
        </w:rPr>
      </w:pPr>
    </w:p>
    <w:p w14:paraId="7F318A84">
      <w:pPr>
        <w:autoSpaceDE w:val="0"/>
        <w:autoSpaceDN w:val="0"/>
        <w:adjustRightInd w:val="0"/>
        <w:spacing w:line="288" w:lineRule="auto"/>
        <w:contextualSpacing/>
        <w:jc w:val="both"/>
        <w:rPr>
          <w:sz w:val="24"/>
          <w:szCs w:val="24"/>
        </w:rPr>
      </w:pPr>
      <w:r>
        <w:rPr>
          <w:sz w:val="24"/>
          <w:szCs w:val="24"/>
        </w:rPr>
        <w:t>8.2.3 deverá ser confirmado se os preços registrados permanecem atualizados, por meio de pesquisa de preços realizada na forma do Decreto nº 46/2025.</w:t>
      </w:r>
    </w:p>
    <w:p w14:paraId="2A9BE3A3">
      <w:pPr>
        <w:spacing w:line="288" w:lineRule="auto"/>
        <w:contextualSpacing/>
        <w:jc w:val="both"/>
        <w:rPr>
          <w:sz w:val="24"/>
          <w:szCs w:val="24"/>
        </w:rPr>
      </w:pPr>
    </w:p>
    <w:p w14:paraId="3978BD75">
      <w:pPr>
        <w:spacing w:line="288" w:lineRule="auto"/>
        <w:contextualSpacing/>
        <w:jc w:val="both"/>
        <w:rPr>
          <w:sz w:val="24"/>
          <w:szCs w:val="24"/>
        </w:rPr>
      </w:pPr>
      <w:r>
        <w:rPr>
          <w:b/>
          <w:sz w:val="24"/>
          <w:szCs w:val="24"/>
        </w:rPr>
        <w:t>CLÁUSULA NONA: DO CADASTRO DE RESERVA</w:t>
      </w:r>
    </w:p>
    <w:p w14:paraId="6808F1CA">
      <w:pPr>
        <w:spacing w:line="288" w:lineRule="auto"/>
        <w:contextualSpacing/>
        <w:jc w:val="both"/>
        <w:rPr>
          <w:rFonts w:eastAsia="Arial"/>
          <w:sz w:val="24"/>
          <w:szCs w:val="24"/>
        </w:rPr>
      </w:pPr>
    </w:p>
    <w:p w14:paraId="3A30CCBE">
      <w:pPr>
        <w:spacing w:line="288" w:lineRule="auto"/>
        <w:contextualSpacing/>
        <w:jc w:val="both"/>
        <w:rPr>
          <w:rFonts w:eastAsia="Arial"/>
          <w:sz w:val="24"/>
          <w:szCs w:val="24"/>
        </w:rPr>
      </w:pPr>
      <w:r>
        <w:rPr>
          <w:rFonts w:eastAsia="Arial"/>
          <w:sz w:val="24"/>
          <w:szCs w:val="24"/>
        </w:rPr>
        <w:t xml:space="preserve">9.1 Fazem parte do Cadastro de Reserva os </w:t>
      </w:r>
      <w:r>
        <w:rPr>
          <w:sz w:val="24"/>
          <w:szCs w:val="24"/>
        </w:rPr>
        <w:t xml:space="preserve">proponentes que aceitaram cotar os bens ou serviços em preços iguais aos do proponente vencedor do certame, observada a ordem de classificação, e os proponentes que mantiveram sua proposta original, conforme informações reunidas no Anexo II – Cadastro de Reserva. </w:t>
      </w:r>
    </w:p>
    <w:p w14:paraId="7D2B603F">
      <w:pPr>
        <w:autoSpaceDE w:val="0"/>
        <w:autoSpaceDN w:val="0"/>
        <w:adjustRightInd w:val="0"/>
        <w:spacing w:line="288" w:lineRule="auto"/>
        <w:contextualSpacing/>
        <w:jc w:val="both"/>
        <w:rPr>
          <w:color w:val="231F20"/>
          <w:sz w:val="24"/>
          <w:szCs w:val="24"/>
        </w:rPr>
      </w:pPr>
    </w:p>
    <w:p w14:paraId="04185F2E">
      <w:pPr>
        <w:autoSpaceDE w:val="0"/>
        <w:autoSpaceDN w:val="0"/>
        <w:adjustRightInd w:val="0"/>
        <w:spacing w:line="288" w:lineRule="auto"/>
        <w:contextualSpacing/>
        <w:jc w:val="both"/>
        <w:rPr>
          <w:color w:val="231F20"/>
          <w:sz w:val="24"/>
          <w:szCs w:val="24"/>
        </w:rPr>
      </w:pPr>
      <w:r>
        <w:rPr>
          <w:color w:val="231F20"/>
          <w:sz w:val="24"/>
          <w:szCs w:val="24"/>
        </w:rPr>
        <w:t>9.2 A ordem de classificação dos registrados na ata deverá ser respeitada para as contratações, cabendo ao gerenciador realizar os devidos registros na Ata de Registro de Preços, para a sua atualização.</w:t>
      </w:r>
    </w:p>
    <w:p w14:paraId="360818CA">
      <w:pPr>
        <w:autoSpaceDE w:val="0"/>
        <w:autoSpaceDN w:val="0"/>
        <w:adjustRightInd w:val="0"/>
        <w:spacing w:line="288" w:lineRule="auto"/>
        <w:contextualSpacing/>
        <w:jc w:val="both"/>
        <w:rPr>
          <w:color w:val="231F20"/>
          <w:sz w:val="24"/>
          <w:szCs w:val="24"/>
        </w:rPr>
      </w:pPr>
    </w:p>
    <w:p w14:paraId="6FABD63F">
      <w:pPr>
        <w:autoSpaceDE w:val="0"/>
        <w:autoSpaceDN w:val="0"/>
        <w:adjustRightInd w:val="0"/>
        <w:spacing w:line="288" w:lineRule="auto"/>
        <w:contextualSpacing/>
        <w:jc w:val="both"/>
        <w:rPr>
          <w:color w:val="231F20"/>
          <w:sz w:val="24"/>
          <w:szCs w:val="24"/>
        </w:rPr>
      </w:pPr>
      <w:r>
        <w:rPr>
          <w:color w:val="231F20"/>
          <w:sz w:val="24"/>
          <w:szCs w:val="24"/>
        </w:rPr>
        <w:t xml:space="preserve">9.3 </w:t>
      </w:r>
      <w:r>
        <w:rPr>
          <w:sz w:val="24"/>
          <w:szCs w:val="24"/>
        </w:rPr>
        <w:t>A habilitação dos proponentes que irão compor o Cadastro de Reserva somente será efetuada quando houver necessidade de contratação dos proponentes remanescentes, na forma do parágrafo 3º do art. 19 do Decreto nº 46/2025.</w:t>
      </w:r>
    </w:p>
    <w:p w14:paraId="2E471910">
      <w:pPr>
        <w:autoSpaceDE w:val="0"/>
        <w:autoSpaceDN w:val="0"/>
        <w:adjustRightInd w:val="0"/>
        <w:spacing w:line="288" w:lineRule="auto"/>
        <w:contextualSpacing/>
        <w:jc w:val="both"/>
        <w:rPr>
          <w:color w:val="231F20"/>
          <w:sz w:val="24"/>
          <w:szCs w:val="24"/>
        </w:rPr>
      </w:pPr>
    </w:p>
    <w:p w14:paraId="78993D1F">
      <w:pPr>
        <w:autoSpaceDE w:val="0"/>
        <w:autoSpaceDN w:val="0"/>
        <w:adjustRightInd w:val="0"/>
        <w:spacing w:line="288" w:lineRule="auto"/>
        <w:contextualSpacing/>
        <w:jc w:val="both"/>
        <w:rPr>
          <w:color w:val="231F20"/>
          <w:sz w:val="24"/>
          <w:szCs w:val="24"/>
        </w:rPr>
      </w:pPr>
      <w:r>
        <w:rPr>
          <w:color w:val="231F20"/>
          <w:sz w:val="24"/>
          <w:szCs w:val="24"/>
        </w:rPr>
        <w:t xml:space="preserve">9.4 </w:t>
      </w:r>
      <w:r>
        <w:rPr>
          <w:sz w:val="24"/>
          <w:szCs w:val="24"/>
        </w:rPr>
        <w:t>É facultado à Administração, quando o convocado não assinar a Ata de Registro de Preços no prazo e condições estabelecidos no instrumento convocatório, quando houver,</w:t>
      </w:r>
      <w:r>
        <w:rPr>
          <w:rFonts w:eastAsia="Arial"/>
          <w:sz w:val="24"/>
          <w:szCs w:val="24"/>
        </w:rPr>
        <w:t xml:space="preserve"> e no Termo de Referência</w:t>
      </w:r>
      <w:r>
        <w:rPr>
          <w:sz w:val="24"/>
          <w:szCs w:val="24"/>
        </w:rPr>
        <w:t xml:space="preserve">, convocar os proponentes do Cadastro de Reserva, na ordem de classificação, para fazê-lo em igual prazo e nas mesmas condições propostas pelo primeiro classificado. </w:t>
      </w:r>
    </w:p>
    <w:p w14:paraId="29CAC4F3">
      <w:pPr>
        <w:autoSpaceDE w:val="0"/>
        <w:autoSpaceDN w:val="0"/>
        <w:adjustRightInd w:val="0"/>
        <w:spacing w:line="288" w:lineRule="auto"/>
        <w:contextualSpacing/>
        <w:jc w:val="both"/>
        <w:rPr>
          <w:color w:val="231F20"/>
          <w:sz w:val="24"/>
          <w:szCs w:val="24"/>
        </w:rPr>
      </w:pPr>
    </w:p>
    <w:p w14:paraId="62F26D53">
      <w:pPr>
        <w:autoSpaceDE w:val="0"/>
        <w:autoSpaceDN w:val="0"/>
        <w:adjustRightInd w:val="0"/>
        <w:spacing w:line="288" w:lineRule="auto"/>
        <w:contextualSpacing/>
        <w:jc w:val="both"/>
        <w:rPr>
          <w:color w:val="231F20"/>
          <w:sz w:val="24"/>
          <w:szCs w:val="24"/>
        </w:rPr>
      </w:pPr>
      <w:r>
        <w:rPr>
          <w:color w:val="231F20"/>
          <w:sz w:val="24"/>
          <w:szCs w:val="24"/>
        </w:rPr>
        <w:t xml:space="preserve">9.5 O Cadastro de Reserva poderá ser empregado no caso de exclusão do fornecedor da Ata de Registro de Preços, nas seguintes ocorrências: </w:t>
      </w:r>
    </w:p>
    <w:p w14:paraId="0958FB32">
      <w:pPr>
        <w:autoSpaceDE w:val="0"/>
        <w:autoSpaceDN w:val="0"/>
        <w:adjustRightInd w:val="0"/>
        <w:spacing w:line="288" w:lineRule="auto"/>
        <w:contextualSpacing/>
        <w:jc w:val="both"/>
        <w:rPr>
          <w:color w:val="231F20"/>
          <w:sz w:val="24"/>
          <w:szCs w:val="24"/>
        </w:rPr>
      </w:pPr>
      <w:r>
        <w:rPr>
          <w:color w:val="231F20"/>
          <w:sz w:val="24"/>
          <w:szCs w:val="24"/>
        </w:rPr>
        <w:t xml:space="preserve"> </w:t>
      </w:r>
    </w:p>
    <w:p w14:paraId="35A9722D">
      <w:pPr>
        <w:autoSpaceDE w:val="0"/>
        <w:autoSpaceDN w:val="0"/>
        <w:adjustRightInd w:val="0"/>
        <w:spacing w:line="288" w:lineRule="auto"/>
        <w:contextualSpacing/>
        <w:jc w:val="both"/>
        <w:rPr>
          <w:color w:val="231F20"/>
          <w:sz w:val="24"/>
          <w:szCs w:val="24"/>
        </w:rPr>
      </w:pPr>
      <w:r>
        <w:rPr>
          <w:color w:val="231F20"/>
          <w:sz w:val="24"/>
          <w:szCs w:val="24"/>
        </w:rPr>
        <w:t xml:space="preserve">a) cancelamento do registro do fornecedor, nas hipóteses previstas na cláusula décima; ou </w:t>
      </w:r>
    </w:p>
    <w:p w14:paraId="408DE6FD">
      <w:pPr>
        <w:autoSpaceDE w:val="0"/>
        <w:autoSpaceDN w:val="0"/>
        <w:adjustRightInd w:val="0"/>
        <w:spacing w:line="288" w:lineRule="auto"/>
        <w:contextualSpacing/>
        <w:jc w:val="both"/>
        <w:rPr>
          <w:color w:val="231F20"/>
          <w:sz w:val="24"/>
          <w:szCs w:val="24"/>
        </w:rPr>
      </w:pPr>
    </w:p>
    <w:p w14:paraId="1EE34C0F">
      <w:pPr>
        <w:autoSpaceDE w:val="0"/>
        <w:autoSpaceDN w:val="0"/>
        <w:adjustRightInd w:val="0"/>
        <w:spacing w:line="288" w:lineRule="auto"/>
        <w:contextualSpacing/>
        <w:jc w:val="both"/>
        <w:rPr>
          <w:color w:val="231F20"/>
          <w:sz w:val="24"/>
          <w:szCs w:val="24"/>
        </w:rPr>
      </w:pPr>
      <w:r>
        <w:rPr>
          <w:color w:val="231F20"/>
          <w:sz w:val="24"/>
          <w:szCs w:val="24"/>
        </w:rPr>
        <w:t>b) cancelamento do registro de preços, nas hipóteses previstas nos arts. 28, § 4º, 29 e 31, do Decreto nº 46/2025, e itens 6.3.4 e 6.4 da cláusula sexta.</w:t>
      </w:r>
    </w:p>
    <w:p w14:paraId="10E98E41">
      <w:pPr>
        <w:pStyle w:val="20"/>
        <w:spacing w:line="288" w:lineRule="auto"/>
        <w:contextualSpacing/>
        <w:jc w:val="both"/>
        <w:rPr>
          <w:rFonts w:ascii="Times New Roman" w:hAnsi="Times New Roman" w:cs="Times New Roman"/>
        </w:rPr>
      </w:pPr>
    </w:p>
    <w:p w14:paraId="6B030CEE">
      <w:pPr>
        <w:spacing w:line="288" w:lineRule="auto"/>
        <w:contextualSpacing/>
        <w:jc w:val="both"/>
        <w:rPr>
          <w:b/>
          <w:sz w:val="24"/>
          <w:szCs w:val="24"/>
        </w:rPr>
      </w:pPr>
      <w:r>
        <w:rPr>
          <w:b/>
          <w:sz w:val="24"/>
          <w:szCs w:val="24"/>
        </w:rPr>
        <w:t xml:space="preserve">CLÁUSULA DÉCIMA: DO CANCELAMENTO DO REGISTRO DO FORNECEDOR </w:t>
      </w:r>
    </w:p>
    <w:p w14:paraId="6F1404F0">
      <w:pPr>
        <w:spacing w:line="288" w:lineRule="auto"/>
        <w:contextualSpacing/>
        <w:jc w:val="both"/>
        <w:rPr>
          <w:color w:val="231F20"/>
          <w:sz w:val="24"/>
          <w:szCs w:val="24"/>
        </w:rPr>
      </w:pPr>
    </w:p>
    <w:p w14:paraId="6E0E5C67">
      <w:pPr>
        <w:spacing w:line="288" w:lineRule="auto"/>
        <w:contextualSpacing/>
        <w:jc w:val="both"/>
        <w:rPr>
          <w:sz w:val="24"/>
          <w:szCs w:val="24"/>
        </w:rPr>
      </w:pPr>
      <w:r>
        <w:rPr>
          <w:color w:val="231F20"/>
          <w:sz w:val="24"/>
          <w:szCs w:val="24"/>
        </w:rPr>
        <w:t>10.1 O registro do fornecedor será cancelado quando:</w:t>
      </w:r>
    </w:p>
    <w:p w14:paraId="37FBC6F1">
      <w:pPr>
        <w:autoSpaceDE w:val="0"/>
        <w:autoSpaceDN w:val="0"/>
        <w:adjustRightInd w:val="0"/>
        <w:spacing w:line="288" w:lineRule="auto"/>
        <w:contextualSpacing/>
        <w:jc w:val="both"/>
        <w:rPr>
          <w:b/>
          <w:bCs/>
          <w:color w:val="231F20"/>
          <w:sz w:val="24"/>
          <w:szCs w:val="24"/>
        </w:rPr>
      </w:pPr>
    </w:p>
    <w:p w14:paraId="510BD834">
      <w:pPr>
        <w:autoSpaceDE w:val="0"/>
        <w:autoSpaceDN w:val="0"/>
        <w:adjustRightInd w:val="0"/>
        <w:spacing w:line="288" w:lineRule="auto"/>
        <w:contextualSpacing/>
        <w:jc w:val="both"/>
        <w:rPr>
          <w:color w:val="231F20"/>
          <w:sz w:val="24"/>
          <w:szCs w:val="24"/>
        </w:rPr>
      </w:pPr>
      <w:r>
        <w:rPr>
          <w:color w:val="231F20"/>
          <w:sz w:val="24"/>
          <w:szCs w:val="24"/>
        </w:rPr>
        <w:t>a) forem descumpridas as condições da ata de registro de preços, sem motivo justificado;</w:t>
      </w:r>
    </w:p>
    <w:p w14:paraId="4E7215C3">
      <w:pPr>
        <w:autoSpaceDE w:val="0"/>
        <w:autoSpaceDN w:val="0"/>
        <w:adjustRightInd w:val="0"/>
        <w:spacing w:line="288" w:lineRule="auto"/>
        <w:contextualSpacing/>
        <w:jc w:val="both"/>
        <w:rPr>
          <w:color w:val="231F20"/>
          <w:sz w:val="24"/>
          <w:szCs w:val="24"/>
        </w:rPr>
      </w:pPr>
    </w:p>
    <w:p w14:paraId="09B9AFA3">
      <w:pPr>
        <w:autoSpaceDE w:val="0"/>
        <w:autoSpaceDN w:val="0"/>
        <w:adjustRightInd w:val="0"/>
        <w:spacing w:line="288" w:lineRule="auto"/>
        <w:contextualSpacing/>
        <w:jc w:val="both"/>
        <w:rPr>
          <w:color w:val="231F20"/>
          <w:sz w:val="24"/>
          <w:szCs w:val="24"/>
        </w:rPr>
      </w:pPr>
      <w:r>
        <w:rPr>
          <w:color w:val="231F20"/>
          <w:sz w:val="24"/>
          <w:szCs w:val="24"/>
        </w:rPr>
        <w:t xml:space="preserve">b) </w:t>
      </w:r>
      <w:r>
        <w:rPr>
          <w:sz w:val="24"/>
          <w:szCs w:val="24"/>
        </w:rPr>
        <w:t>não assinar o contrato ou não retirar a nota de empenho ou instrumento equivalente no prazo estabelecido pela Administração, sem justificativa aceitável;</w:t>
      </w:r>
    </w:p>
    <w:p w14:paraId="3393B2DE">
      <w:pPr>
        <w:autoSpaceDE w:val="0"/>
        <w:autoSpaceDN w:val="0"/>
        <w:adjustRightInd w:val="0"/>
        <w:spacing w:line="288" w:lineRule="auto"/>
        <w:contextualSpacing/>
        <w:jc w:val="both"/>
        <w:rPr>
          <w:color w:val="231F20"/>
          <w:sz w:val="24"/>
          <w:szCs w:val="24"/>
        </w:rPr>
      </w:pPr>
    </w:p>
    <w:p w14:paraId="4441C065">
      <w:pPr>
        <w:autoSpaceDE w:val="0"/>
        <w:autoSpaceDN w:val="0"/>
        <w:adjustRightInd w:val="0"/>
        <w:spacing w:line="288" w:lineRule="auto"/>
        <w:contextualSpacing/>
        <w:jc w:val="both"/>
        <w:rPr>
          <w:color w:val="231F20"/>
          <w:sz w:val="24"/>
          <w:szCs w:val="24"/>
        </w:rPr>
      </w:pPr>
      <w:r>
        <w:rPr>
          <w:color w:val="231F20"/>
          <w:sz w:val="24"/>
          <w:szCs w:val="24"/>
        </w:rPr>
        <w:t>c) não aceitar reduzir o seu preço registrado, na hipótese deste se tornar superior àqueles praticados no mercado; ou</w:t>
      </w:r>
    </w:p>
    <w:p w14:paraId="297EC30D">
      <w:pPr>
        <w:autoSpaceDE w:val="0"/>
        <w:autoSpaceDN w:val="0"/>
        <w:adjustRightInd w:val="0"/>
        <w:spacing w:line="288" w:lineRule="auto"/>
        <w:contextualSpacing/>
        <w:jc w:val="both"/>
        <w:rPr>
          <w:color w:val="231F20"/>
          <w:sz w:val="24"/>
          <w:szCs w:val="24"/>
        </w:rPr>
      </w:pPr>
    </w:p>
    <w:p w14:paraId="7F0D93D3">
      <w:pPr>
        <w:autoSpaceDE w:val="0"/>
        <w:autoSpaceDN w:val="0"/>
        <w:adjustRightInd w:val="0"/>
        <w:spacing w:line="288" w:lineRule="auto"/>
        <w:contextualSpacing/>
        <w:jc w:val="both"/>
        <w:rPr>
          <w:sz w:val="24"/>
          <w:szCs w:val="24"/>
        </w:rPr>
      </w:pPr>
      <w:r>
        <w:rPr>
          <w:color w:val="231F20"/>
          <w:sz w:val="24"/>
          <w:szCs w:val="24"/>
        </w:rPr>
        <w:t xml:space="preserve">d) </w:t>
      </w:r>
      <w:r>
        <w:rPr>
          <w:sz w:val="24"/>
          <w:szCs w:val="24"/>
        </w:rPr>
        <w:t xml:space="preserve">sofrer sanção prevista nos incisos III ou IV do </w:t>
      </w:r>
      <w:r>
        <w:rPr>
          <w:i/>
          <w:iCs/>
          <w:sz w:val="24"/>
          <w:szCs w:val="24"/>
        </w:rPr>
        <w:t>caput</w:t>
      </w:r>
      <w:r>
        <w:rPr>
          <w:sz w:val="24"/>
          <w:szCs w:val="24"/>
        </w:rPr>
        <w:t xml:space="preserve"> do art. 156 da Lei nº 14.133/2021, observado os parágrafos 4º e 5º do referido dispositivo. </w:t>
      </w:r>
    </w:p>
    <w:p w14:paraId="46ECF825">
      <w:pPr>
        <w:autoSpaceDE w:val="0"/>
        <w:autoSpaceDN w:val="0"/>
        <w:adjustRightInd w:val="0"/>
        <w:spacing w:line="288" w:lineRule="auto"/>
        <w:contextualSpacing/>
        <w:jc w:val="both"/>
        <w:rPr>
          <w:sz w:val="24"/>
          <w:szCs w:val="24"/>
        </w:rPr>
      </w:pPr>
    </w:p>
    <w:p w14:paraId="0BF86BE7">
      <w:pPr>
        <w:autoSpaceDE w:val="0"/>
        <w:autoSpaceDN w:val="0"/>
        <w:adjustRightInd w:val="0"/>
        <w:spacing w:line="288" w:lineRule="auto"/>
        <w:contextualSpacing/>
        <w:jc w:val="both"/>
        <w:rPr>
          <w:sz w:val="24"/>
          <w:szCs w:val="24"/>
        </w:rPr>
      </w:pPr>
      <w:r>
        <w:rPr>
          <w:sz w:val="24"/>
          <w:szCs w:val="24"/>
        </w:rPr>
        <w:t xml:space="preserve">10.2 Na hipótese de que trata a alínea d do item 10.1, caso a penalidade aplicada ao </w:t>
      </w:r>
      <w:r>
        <w:rPr>
          <w:color w:val="231F20"/>
          <w:sz w:val="24"/>
          <w:szCs w:val="24"/>
        </w:rPr>
        <w:t>fornecedor</w:t>
      </w:r>
      <w:r>
        <w:rPr>
          <w:sz w:val="24"/>
          <w:szCs w:val="24"/>
        </w:rPr>
        <w:t xml:space="preserve"> não ultrapasse o prazo de vigência da ata, poderá o gerenciador, desde que não seja o responsável pela aplicação da sanção, mediante decisão fundamentada, garantido o contraditório e a ampla defesa, decidir pela manutenção do registro de preços. </w:t>
      </w:r>
    </w:p>
    <w:p w14:paraId="545022D5">
      <w:pPr>
        <w:autoSpaceDE w:val="0"/>
        <w:autoSpaceDN w:val="0"/>
        <w:adjustRightInd w:val="0"/>
        <w:spacing w:line="288" w:lineRule="auto"/>
        <w:contextualSpacing/>
        <w:jc w:val="both"/>
        <w:rPr>
          <w:sz w:val="24"/>
          <w:szCs w:val="24"/>
        </w:rPr>
      </w:pPr>
    </w:p>
    <w:p w14:paraId="21551BC6">
      <w:pPr>
        <w:autoSpaceDE w:val="0"/>
        <w:autoSpaceDN w:val="0"/>
        <w:adjustRightInd w:val="0"/>
        <w:spacing w:line="288" w:lineRule="auto"/>
        <w:contextualSpacing/>
        <w:jc w:val="both"/>
        <w:rPr>
          <w:b/>
          <w:bCs/>
          <w:color w:val="231F20"/>
          <w:sz w:val="24"/>
          <w:szCs w:val="24"/>
        </w:rPr>
      </w:pPr>
      <w:r>
        <w:rPr>
          <w:sz w:val="24"/>
          <w:szCs w:val="24"/>
        </w:rPr>
        <w:t xml:space="preserve">10.3 O cancelamento do registro nas hipóteses previstas das alíneas a, b e d do item 10.1 será formalizado por decisão do gerenciador, assegurado o contraditório e a ampla defesa ao </w:t>
      </w:r>
      <w:r>
        <w:rPr>
          <w:color w:val="231F20"/>
          <w:sz w:val="24"/>
          <w:szCs w:val="24"/>
        </w:rPr>
        <w:t>fornecedor</w:t>
      </w:r>
      <w:r>
        <w:rPr>
          <w:sz w:val="24"/>
          <w:szCs w:val="24"/>
        </w:rPr>
        <w:t>.</w:t>
      </w:r>
    </w:p>
    <w:p w14:paraId="59173EF7">
      <w:pPr>
        <w:spacing w:line="288" w:lineRule="auto"/>
        <w:contextualSpacing/>
        <w:jc w:val="both"/>
        <w:rPr>
          <w:b/>
          <w:sz w:val="24"/>
          <w:szCs w:val="24"/>
          <w:u w:val="single"/>
        </w:rPr>
      </w:pPr>
    </w:p>
    <w:p w14:paraId="6BD760DF">
      <w:pPr>
        <w:spacing w:line="288" w:lineRule="auto"/>
        <w:contextualSpacing/>
        <w:jc w:val="both"/>
        <w:rPr>
          <w:b/>
          <w:sz w:val="24"/>
          <w:szCs w:val="24"/>
        </w:rPr>
      </w:pPr>
      <w:r>
        <w:rPr>
          <w:b/>
          <w:sz w:val="24"/>
          <w:szCs w:val="24"/>
        </w:rPr>
        <w:t xml:space="preserve">CLÁUSULA DÉCIMA PRIMEIRA: DO CANCELAMENTO DO REGISTRO DE PREÇOS: </w:t>
      </w:r>
    </w:p>
    <w:p w14:paraId="40AC2E5E">
      <w:pPr>
        <w:autoSpaceDE w:val="0"/>
        <w:autoSpaceDN w:val="0"/>
        <w:adjustRightInd w:val="0"/>
        <w:spacing w:line="288" w:lineRule="auto"/>
        <w:contextualSpacing/>
        <w:jc w:val="both"/>
        <w:rPr>
          <w:color w:val="231F20"/>
          <w:sz w:val="24"/>
          <w:szCs w:val="24"/>
        </w:rPr>
      </w:pPr>
    </w:p>
    <w:p w14:paraId="287BA098">
      <w:pPr>
        <w:autoSpaceDE w:val="0"/>
        <w:autoSpaceDN w:val="0"/>
        <w:adjustRightInd w:val="0"/>
        <w:spacing w:line="288" w:lineRule="auto"/>
        <w:contextualSpacing/>
        <w:jc w:val="both"/>
        <w:rPr>
          <w:sz w:val="24"/>
          <w:szCs w:val="24"/>
        </w:rPr>
      </w:pPr>
      <w:r>
        <w:rPr>
          <w:color w:val="231F20"/>
          <w:sz w:val="24"/>
          <w:szCs w:val="24"/>
        </w:rPr>
        <w:t>11.1 O cancelamento do registro de preços poderá ocorrer</w:t>
      </w:r>
      <w:r>
        <w:rPr>
          <w:sz w:val="24"/>
          <w:szCs w:val="24"/>
        </w:rPr>
        <w:t xml:space="preserve">, total ou parcialmente, pelo gerenciador, desde que devidamente comprovados e justificados: </w:t>
      </w:r>
    </w:p>
    <w:p w14:paraId="29CCB5E5">
      <w:pPr>
        <w:autoSpaceDE w:val="0"/>
        <w:autoSpaceDN w:val="0"/>
        <w:adjustRightInd w:val="0"/>
        <w:spacing w:line="288" w:lineRule="auto"/>
        <w:contextualSpacing/>
        <w:jc w:val="both"/>
        <w:rPr>
          <w:sz w:val="24"/>
          <w:szCs w:val="24"/>
        </w:rPr>
      </w:pPr>
    </w:p>
    <w:p w14:paraId="2D6AE164">
      <w:pPr>
        <w:autoSpaceDE w:val="0"/>
        <w:autoSpaceDN w:val="0"/>
        <w:adjustRightInd w:val="0"/>
        <w:spacing w:line="288" w:lineRule="auto"/>
        <w:contextualSpacing/>
        <w:jc w:val="both"/>
        <w:rPr>
          <w:sz w:val="24"/>
          <w:szCs w:val="24"/>
        </w:rPr>
      </w:pPr>
      <w:r>
        <w:rPr>
          <w:sz w:val="24"/>
          <w:szCs w:val="24"/>
        </w:rPr>
        <w:t xml:space="preserve">a)  por razão de interesse público; </w:t>
      </w:r>
    </w:p>
    <w:p w14:paraId="785592F0">
      <w:pPr>
        <w:autoSpaceDE w:val="0"/>
        <w:autoSpaceDN w:val="0"/>
        <w:adjustRightInd w:val="0"/>
        <w:spacing w:line="288" w:lineRule="auto"/>
        <w:contextualSpacing/>
        <w:jc w:val="both"/>
        <w:rPr>
          <w:sz w:val="24"/>
          <w:szCs w:val="24"/>
        </w:rPr>
      </w:pPr>
    </w:p>
    <w:p w14:paraId="05F30AAF">
      <w:pPr>
        <w:autoSpaceDE w:val="0"/>
        <w:autoSpaceDN w:val="0"/>
        <w:adjustRightInd w:val="0"/>
        <w:spacing w:line="288" w:lineRule="auto"/>
        <w:contextualSpacing/>
        <w:jc w:val="both"/>
        <w:rPr>
          <w:sz w:val="24"/>
          <w:szCs w:val="24"/>
        </w:rPr>
      </w:pPr>
      <w:r>
        <w:rPr>
          <w:sz w:val="24"/>
          <w:szCs w:val="24"/>
        </w:rPr>
        <w:t xml:space="preserve">b) pelo cancelamento de todos os preços registrados; ou </w:t>
      </w:r>
    </w:p>
    <w:p w14:paraId="57ED9B0A">
      <w:pPr>
        <w:autoSpaceDE w:val="0"/>
        <w:autoSpaceDN w:val="0"/>
        <w:adjustRightInd w:val="0"/>
        <w:spacing w:line="288" w:lineRule="auto"/>
        <w:contextualSpacing/>
        <w:jc w:val="both"/>
        <w:rPr>
          <w:sz w:val="24"/>
          <w:szCs w:val="24"/>
        </w:rPr>
      </w:pPr>
    </w:p>
    <w:p w14:paraId="5161A2B4">
      <w:pPr>
        <w:autoSpaceDE w:val="0"/>
        <w:autoSpaceDN w:val="0"/>
        <w:adjustRightInd w:val="0"/>
        <w:spacing w:line="288" w:lineRule="auto"/>
        <w:contextualSpacing/>
        <w:jc w:val="both"/>
        <w:rPr>
          <w:sz w:val="24"/>
          <w:szCs w:val="24"/>
        </w:rPr>
      </w:pPr>
      <w:r>
        <w:rPr>
          <w:sz w:val="24"/>
          <w:szCs w:val="24"/>
        </w:rPr>
        <w:t xml:space="preserve">c) a pedido do </w:t>
      </w:r>
      <w:r>
        <w:rPr>
          <w:color w:val="231F20"/>
          <w:sz w:val="24"/>
          <w:szCs w:val="24"/>
        </w:rPr>
        <w:t>fornecedor</w:t>
      </w:r>
      <w:r>
        <w:rPr>
          <w:sz w:val="24"/>
          <w:szCs w:val="24"/>
        </w:rPr>
        <w:t>, decorrente de fato superveniente, de caso fortuito ou força maior, que prejudique o cumprimento da Ata.</w:t>
      </w:r>
    </w:p>
    <w:p w14:paraId="29ABA597">
      <w:pPr>
        <w:spacing w:line="288" w:lineRule="auto"/>
        <w:contextualSpacing/>
        <w:jc w:val="both"/>
        <w:rPr>
          <w:sz w:val="24"/>
          <w:szCs w:val="24"/>
        </w:rPr>
      </w:pPr>
    </w:p>
    <w:p w14:paraId="38FC4F4C">
      <w:pPr>
        <w:spacing w:line="288" w:lineRule="auto"/>
        <w:contextualSpacing/>
        <w:jc w:val="both"/>
        <w:rPr>
          <w:rFonts w:eastAsia="Arial"/>
          <w:b/>
          <w:sz w:val="24"/>
          <w:szCs w:val="24"/>
        </w:rPr>
      </w:pPr>
      <w:r>
        <w:rPr>
          <w:rFonts w:eastAsia="Arial"/>
          <w:b/>
          <w:sz w:val="24"/>
          <w:szCs w:val="24"/>
        </w:rPr>
        <w:t xml:space="preserve">CLÁUSULA DÉCIMA SEGUNDA: DOS CONTRATOS DECORRENTES DA ATA DE REGISTRO DE PREÇOS </w:t>
      </w:r>
    </w:p>
    <w:p w14:paraId="427AEE5A">
      <w:pPr>
        <w:pStyle w:val="99"/>
        <w:numPr>
          <w:ilvl w:val="1"/>
          <w:numId w:val="0"/>
        </w:numPr>
        <w:autoSpaceDE w:val="0"/>
        <w:autoSpaceDN w:val="0"/>
        <w:adjustRightInd w:val="0"/>
        <w:spacing w:before="0" w:line="288" w:lineRule="auto"/>
        <w:contextualSpacing/>
        <w:rPr>
          <w:rFonts w:ascii="Times New Roman" w:hAnsi="Times New Roman" w:cs="Times New Roman"/>
          <w:sz w:val="24"/>
          <w:szCs w:val="24"/>
        </w:rPr>
      </w:pPr>
    </w:p>
    <w:p w14:paraId="0116C113">
      <w:pPr>
        <w:pStyle w:val="99"/>
        <w:numPr>
          <w:ilvl w:val="1"/>
          <w:numId w:val="0"/>
        </w:numPr>
        <w:autoSpaceDE w:val="0"/>
        <w:autoSpaceDN w:val="0"/>
        <w:adjustRightInd w:val="0"/>
        <w:spacing w:before="0" w:after="0" w:line="288" w:lineRule="auto"/>
        <w:contextualSpacing/>
        <w:rPr>
          <w:rFonts w:ascii="Times New Roman" w:hAnsi="Times New Roman" w:cs="Times New Roman"/>
          <w:b/>
          <w:sz w:val="24"/>
          <w:szCs w:val="24"/>
          <w:highlight w:val="yellow"/>
        </w:rPr>
      </w:pPr>
      <w:r>
        <w:rPr>
          <w:rFonts w:ascii="Times New Roman" w:hAnsi="Times New Roman" w:cs="Times New Roman"/>
          <w:sz w:val="24"/>
          <w:szCs w:val="24"/>
        </w:rPr>
        <w:t xml:space="preserve">12.1 As </w:t>
      </w:r>
      <w:bookmarkStart w:id="47" w:name="_Hlk158816472"/>
      <w:r>
        <w:rPr>
          <w:rFonts w:ascii="Times New Roman" w:hAnsi="Times New Roman" w:cs="Times New Roman"/>
          <w:sz w:val="24"/>
          <w:szCs w:val="24"/>
        </w:rPr>
        <w:t xml:space="preserve">condições gerais de execução do objeto, tais como os prazos para entrega e recebimento, as obrigações da Administração e do </w:t>
      </w:r>
      <w:r>
        <w:rPr>
          <w:rFonts w:ascii="Times New Roman" w:hAnsi="Times New Roman" w:cs="Times New Roman"/>
          <w:color w:val="231F20"/>
          <w:sz w:val="24"/>
          <w:szCs w:val="24"/>
        </w:rPr>
        <w:t>fornecedor</w:t>
      </w:r>
      <w:r>
        <w:rPr>
          <w:rFonts w:ascii="Times New Roman" w:hAnsi="Times New Roman" w:cs="Times New Roman"/>
          <w:sz w:val="24"/>
          <w:szCs w:val="24"/>
        </w:rPr>
        <w:t xml:space="preserve"> registrado, penalidades e demais condições do ajuste, inclusive, o prazo de vigência dos contratos a serem celebrados, a garantia, o pagamento, o reajuste ou repactuação, encontram-se definidos no instrumento convocatório, quando houver,</w:t>
      </w:r>
      <w:r>
        <w:rPr>
          <w:rFonts w:ascii="Times New Roman" w:hAnsi="Times New Roman" w:eastAsia="Arial" w:cs="Times New Roman"/>
          <w:sz w:val="24"/>
          <w:szCs w:val="24"/>
        </w:rPr>
        <w:t xml:space="preserve"> </w:t>
      </w:r>
      <w:r>
        <w:rPr>
          <w:rFonts w:ascii="Times New Roman" w:hAnsi="Times New Roman" w:cs="Times New Roman"/>
          <w:color w:val="231F20"/>
          <w:sz w:val="24"/>
          <w:szCs w:val="24"/>
        </w:rPr>
        <w:t>no Termo de Referência e no contrato</w:t>
      </w:r>
      <w:bookmarkEnd w:id="47"/>
      <w:r>
        <w:rPr>
          <w:rFonts w:ascii="Times New Roman" w:hAnsi="Times New Roman" w:cs="Times New Roman"/>
          <w:color w:val="231F20"/>
          <w:sz w:val="24"/>
          <w:szCs w:val="24"/>
        </w:rPr>
        <w:t>.</w:t>
      </w:r>
    </w:p>
    <w:p w14:paraId="60F9A93A">
      <w:pPr>
        <w:tabs>
          <w:tab w:val="left" w:pos="1404"/>
        </w:tabs>
        <w:spacing w:line="288" w:lineRule="auto"/>
        <w:contextualSpacing/>
        <w:jc w:val="both"/>
        <w:rPr>
          <w:rFonts w:eastAsia="Arial"/>
          <w:sz w:val="24"/>
          <w:szCs w:val="24"/>
        </w:rPr>
      </w:pPr>
    </w:p>
    <w:p w14:paraId="64DE002B">
      <w:pPr>
        <w:tabs>
          <w:tab w:val="left" w:pos="1404"/>
        </w:tabs>
        <w:spacing w:line="288" w:lineRule="auto"/>
        <w:contextualSpacing/>
        <w:jc w:val="both"/>
        <w:rPr>
          <w:rFonts w:eastAsia="Arial"/>
          <w:sz w:val="24"/>
          <w:szCs w:val="24"/>
        </w:rPr>
      </w:pPr>
      <w:r>
        <w:rPr>
          <w:rFonts w:eastAsia="Arial"/>
          <w:sz w:val="24"/>
          <w:szCs w:val="24"/>
        </w:rPr>
        <w:t xml:space="preserve">12.1.1 </w:t>
      </w:r>
      <w:r>
        <w:rPr>
          <w:sz w:val="24"/>
          <w:szCs w:val="24"/>
        </w:rPr>
        <w:t>Os contratos decorrentes de registro de preços poderão ser alterados, observado o disposto no art. 124 da Lei nº 14.133/2021.</w:t>
      </w:r>
    </w:p>
    <w:p w14:paraId="33B95EB8">
      <w:pPr>
        <w:tabs>
          <w:tab w:val="left" w:pos="1404"/>
        </w:tabs>
        <w:spacing w:line="288" w:lineRule="auto"/>
        <w:contextualSpacing/>
        <w:jc w:val="both"/>
        <w:rPr>
          <w:rFonts w:eastAsia="Arial"/>
          <w:sz w:val="24"/>
          <w:szCs w:val="24"/>
        </w:rPr>
      </w:pPr>
    </w:p>
    <w:p w14:paraId="69737E4D">
      <w:pPr>
        <w:tabs>
          <w:tab w:val="left" w:pos="1404"/>
        </w:tabs>
        <w:spacing w:line="288" w:lineRule="auto"/>
        <w:contextualSpacing/>
        <w:jc w:val="both"/>
        <w:rPr>
          <w:color w:val="000000" w:themeColor="text1"/>
          <w:sz w:val="24"/>
          <w:szCs w:val="24"/>
          <w14:textFill>
            <w14:solidFill>
              <w14:schemeClr w14:val="tx1"/>
            </w14:solidFill>
          </w14:textFill>
        </w:rPr>
      </w:pPr>
      <w:r>
        <w:rPr>
          <w:rFonts w:eastAsia="Arial"/>
          <w:sz w:val="24"/>
          <w:szCs w:val="24"/>
        </w:rPr>
        <w:t xml:space="preserve">12.2 </w:t>
      </w:r>
      <w:r>
        <w:rPr>
          <w:sz w:val="24"/>
          <w:szCs w:val="24"/>
        </w:rPr>
        <w:t xml:space="preserve">A contratação realizada pelo </w:t>
      </w:r>
      <w:r>
        <w:rPr>
          <w:bCs/>
          <w:sz w:val="24"/>
          <w:szCs w:val="24"/>
        </w:rPr>
        <w:t>gerenciador e pelos participantes</w:t>
      </w:r>
      <w:r>
        <w:rPr>
          <w:b/>
          <w:sz w:val="24"/>
          <w:szCs w:val="24"/>
        </w:rPr>
        <w:t xml:space="preserve"> </w:t>
      </w:r>
      <w:r>
        <w:rPr>
          <w:sz w:val="24"/>
          <w:szCs w:val="24"/>
        </w:rPr>
        <w:t xml:space="preserve">será formalizada, dentro do prazo de validade da Ata de Registro de Preços, por intermédio de </w:t>
      </w:r>
      <w:r>
        <w:rPr>
          <w:color w:val="000000" w:themeColor="text1"/>
          <w:sz w:val="24"/>
          <w:szCs w:val="24"/>
          <w14:textFill>
            <w14:solidFill>
              <w14:schemeClr w14:val="tx1"/>
            </w14:solidFill>
          </w14:textFill>
        </w:rPr>
        <w:t>instrumento contratual A</w:t>
      </w:r>
      <w:r>
        <w:rPr>
          <w:bCs/>
          <w:color w:val="000000" w:themeColor="text1"/>
          <w:sz w:val="24"/>
          <w:szCs w:val="24"/>
          <w14:textFill>
            <w14:solidFill>
              <w14:schemeClr w14:val="tx1"/>
            </w14:solidFill>
          </w14:textFill>
        </w:rPr>
        <w:t>nexo IX do Edital – Minuta de Contrato</w:t>
      </w:r>
      <w:r>
        <w:rPr>
          <w:color w:val="000000" w:themeColor="text1"/>
          <w:sz w:val="24"/>
          <w:szCs w:val="24"/>
          <w14:textFill>
            <w14:solidFill>
              <w14:schemeClr w14:val="tx1"/>
            </w14:solidFill>
          </w14:textFill>
        </w:rPr>
        <w:t>.</w:t>
      </w:r>
    </w:p>
    <w:p w14:paraId="0EC1386D">
      <w:pPr>
        <w:tabs>
          <w:tab w:val="left" w:pos="0"/>
        </w:tabs>
        <w:spacing w:line="360" w:lineRule="auto"/>
        <w:jc w:val="both"/>
        <w:rPr>
          <w:sz w:val="24"/>
          <w:szCs w:val="24"/>
          <w:highlight w:val="yellow"/>
        </w:rPr>
      </w:pPr>
    </w:p>
    <w:p w14:paraId="259E6905">
      <w:pPr>
        <w:spacing w:line="288" w:lineRule="auto"/>
        <w:contextualSpacing/>
        <w:jc w:val="both"/>
        <w:rPr>
          <w:b/>
          <w:bCs/>
          <w:sz w:val="24"/>
          <w:szCs w:val="24"/>
        </w:rPr>
      </w:pPr>
      <w:r>
        <w:rPr>
          <w:b/>
          <w:bCs/>
          <w:sz w:val="24"/>
          <w:szCs w:val="24"/>
        </w:rPr>
        <w:t>CLÁUSULA DÉCIMA TERCEIRA: DAS INFRAÇÕES ADMINISTRATIVAS E SANÇÕES</w:t>
      </w:r>
    </w:p>
    <w:p w14:paraId="492F99DE">
      <w:pPr>
        <w:spacing w:line="288" w:lineRule="auto"/>
        <w:contextualSpacing/>
        <w:jc w:val="both"/>
        <w:rPr>
          <w:sz w:val="24"/>
          <w:szCs w:val="24"/>
        </w:rPr>
      </w:pPr>
    </w:p>
    <w:p w14:paraId="422EA434">
      <w:pPr>
        <w:pStyle w:val="99"/>
        <w:numPr>
          <w:ilvl w:val="1"/>
          <w:numId w:val="0"/>
        </w:numPr>
        <w:autoSpaceDE w:val="0"/>
        <w:autoSpaceDN w:val="0"/>
        <w:adjustRightInd w:val="0"/>
        <w:spacing w:after="0" w:line="288" w:lineRule="auto"/>
        <w:contextualSpacing/>
        <w:rPr>
          <w:rFonts w:ascii="Times New Roman" w:hAnsi="Times New Roman" w:cs="Times New Roman"/>
          <w:sz w:val="24"/>
          <w:szCs w:val="24"/>
        </w:rPr>
      </w:pPr>
      <w:r>
        <w:rPr>
          <w:rFonts w:ascii="Times New Roman" w:hAnsi="Times New Roman" w:cs="Times New Roman"/>
          <w:sz w:val="24"/>
          <w:szCs w:val="24"/>
        </w:rPr>
        <w:t>13.1 O descumprimento da Ata de Registro de Preços ensejará a aplicação das penalidades estabelecidas no instrumento convocatório, quando houver,</w:t>
      </w:r>
      <w:r>
        <w:rPr>
          <w:rFonts w:ascii="Times New Roman" w:hAnsi="Times New Roman" w:eastAsia="Arial" w:cs="Times New Roman"/>
          <w:sz w:val="24"/>
          <w:szCs w:val="24"/>
        </w:rPr>
        <w:t xml:space="preserve"> e no Termo de Referência</w:t>
      </w:r>
      <w:r>
        <w:rPr>
          <w:rFonts w:ascii="Times New Roman" w:hAnsi="Times New Roman" w:cs="Times New Roman"/>
          <w:sz w:val="24"/>
          <w:szCs w:val="24"/>
        </w:rPr>
        <w:t>.</w:t>
      </w:r>
    </w:p>
    <w:p w14:paraId="125E2E78">
      <w:pPr>
        <w:spacing w:line="288" w:lineRule="auto"/>
        <w:contextualSpacing/>
        <w:jc w:val="both"/>
        <w:rPr>
          <w:sz w:val="24"/>
          <w:szCs w:val="24"/>
        </w:rPr>
      </w:pPr>
    </w:p>
    <w:p w14:paraId="42296153">
      <w:pPr>
        <w:spacing w:line="288" w:lineRule="auto"/>
        <w:contextualSpacing/>
        <w:jc w:val="both"/>
        <w:rPr>
          <w:sz w:val="24"/>
          <w:szCs w:val="24"/>
        </w:rPr>
      </w:pPr>
      <w:r>
        <w:rPr>
          <w:sz w:val="24"/>
          <w:szCs w:val="24"/>
        </w:rPr>
        <w:t>13.2 Compete ao gerenciador aplicar, garantida a ampla defesa e o contraditório, as penalidades decorrentes do descumprimento do pactuado na Ata de Registro de Preços ou do descumprimento das obrigações contratuais, em relação às suas próprias contratações, e promover as publicações, encaminhamentos e registros cabíveis.</w:t>
      </w:r>
    </w:p>
    <w:p w14:paraId="48877BAD">
      <w:pPr>
        <w:spacing w:line="288" w:lineRule="auto"/>
        <w:contextualSpacing/>
        <w:jc w:val="both"/>
        <w:rPr>
          <w:sz w:val="24"/>
          <w:szCs w:val="24"/>
        </w:rPr>
      </w:pPr>
    </w:p>
    <w:p w14:paraId="10A0837A">
      <w:pPr>
        <w:spacing w:line="288" w:lineRule="auto"/>
        <w:contextualSpacing/>
        <w:jc w:val="both"/>
        <w:rPr>
          <w:sz w:val="24"/>
          <w:szCs w:val="24"/>
        </w:rPr>
      </w:pPr>
      <w:r>
        <w:rPr>
          <w:sz w:val="24"/>
          <w:szCs w:val="24"/>
        </w:rPr>
        <w:t xml:space="preserve">13.3 Compete aos participantes e aos </w:t>
      </w:r>
      <w:r>
        <w:rPr>
          <w:bCs/>
          <w:color w:val="231F20"/>
          <w:sz w:val="24"/>
          <w:szCs w:val="24"/>
        </w:rPr>
        <w:t xml:space="preserve">não-participantes </w:t>
      </w:r>
      <w:r>
        <w:rPr>
          <w:sz w:val="24"/>
          <w:szCs w:val="24"/>
        </w:rPr>
        <w:t>aplicar, garantida a ampla defesa e o contraditório, as penalidades decorrentes do descumprimento das obrigações contratuais, em relação às suas próprias contratações, e promover as publicações, encaminhamentos e registros cabíveis.</w:t>
      </w:r>
    </w:p>
    <w:p w14:paraId="78E09ACF">
      <w:pPr>
        <w:spacing w:line="288" w:lineRule="auto"/>
        <w:contextualSpacing/>
        <w:jc w:val="both"/>
        <w:rPr>
          <w:sz w:val="24"/>
          <w:szCs w:val="24"/>
        </w:rPr>
      </w:pPr>
    </w:p>
    <w:p w14:paraId="5B9FFFF1">
      <w:pPr>
        <w:spacing w:line="288" w:lineRule="auto"/>
        <w:contextualSpacing/>
        <w:jc w:val="both"/>
        <w:rPr>
          <w:sz w:val="24"/>
          <w:szCs w:val="24"/>
        </w:rPr>
      </w:pPr>
      <w:r>
        <w:rPr>
          <w:sz w:val="24"/>
          <w:szCs w:val="24"/>
        </w:rPr>
        <w:t>13.5 A aplicação das penalidades deverá observar o procedimento estabelecido no instrumento convocatório e contrato, quando houver,</w:t>
      </w:r>
      <w:r>
        <w:rPr>
          <w:rFonts w:eastAsia="Arial"/>
          <w:sz w:val="24"/>
          <w:szCs w:val="24"/>
        </w:rPr>
        <w:t xml:space="preserve"> e no Termo de Referência</w:t>
      </w:r>
      <w:r>
        <w:rPr>
          <w:sz w:val="24"/>
          <w:szCs w:val="24"/>
        </w:rPr>
        <w:t>.</w:t>
      </w:r>
    </w:p>
    <w:p w14:paraId="242AAD6C">
      <w:pPr>
        <w:spacing w:line="288" w:lineRule="auto"/>
        <w:contextualSpacing/>
        <w:jc w:val="both"/>
        <w:rPr>
          <w:sz w:val="24"/>
          <w:szCs w:val="24"/>
        </w:rPr>
      </w:pPr>
    </w:p>
    <w:p w14:paraId="144BDF27">
      <w:pPr>
        <w:spacing w:line="288" w:lineRule="auto"/>
        <w:contextualSpacing/>
        <w:jc w:val="both"/>
        <w:rPr>
          <w:rFonts w:eastAsia="Arial"/>
          <w:b/>
          <w:sz w:val="24"/>
          <w:szCs w:val="24"/>
        </w:rPr>
      </w:pPr>
      <w:r>
        <w:rPr>
          <w:rFonts w:eastAsia="Arial"/>
          <w:b/>
          <w:sz w:val="24"/>
          <w:szCs w:val="24"/>
        </w:rPr>
        <w:t>CLÁUSULA DÉCIMA QUARTA: DOS RECURSOS ORÇAMENTÁRIOS</w:t>
      </w:r>
    </w:p>
    <w:p w14:paraId="3DBCA99E">
      <w:pPr>
        <w:spacing w:line="288" w:lineRule="auto"/>
        <w:contextualSpacing/>
        <w:jc w:val="both"/>
        <w:rPr>
          <w:rFonts w:eastAsia="Arial"/>
          <w:sz w:val="24"/>
          <w:szCs w:val="24"/>
        </w:rPr>
      </w:pPr>
    </w:p>
    <w:p w14:paraId="09C3F30F">
      <w:pPr>
        <w:spacing w:line="288" w:lineRule="auto"/>
        <w:contextualSpacing/>
        <w:jc w:val="both"/>
        <w:rPr>
          <w:bCs/>
          <w:sz w:val="24"/>
          <w:szCs w:val="24"/>
        </w:rPr>
      </w:pPr>
      <w:r>
        <w:rPr>
          <w:rFonts w:eastAsia="Arial"/>
          <w:sz w:val="24"/>
          <w:szCs w:val="24"/>
        </w:rPr>
        <w:t xml:space="preserve">14.1 Os recursos necessários para as contratações decorrentes desta Ata de Registro de Preços correrão por conta da Natureza da Despesa e do Programa de Trabalho próprios do </w:t>
      </w:r>
      <w:r>
        <w:rPr>
          <w:bCs/>
          <w:sz w:val="24"/>
          <w:szCs w:val="24"/>
        </w:rPr>
        <w:t>gerenciador, dos participantes e dos não-participantes.</w:t>
      </w:r>
    </w:p>
    <w:p w14:paraId="3D504610">
      <w:pPr>
        <w:spacing w:line="288" w:lineRule="auto"/>
        <w:contextualSpacing/>
        <w:jc w:val="both"/>
        <w:rPr>
          <w:b/>
          <w:sz w:val="24"/>
          <w:szCs w:val="24"/>
          <w:highlight w:val="yellow"/>
        </w:rPr>
      </w:pPr>
    </w:p>
    <w:p w14:paraId="4B9CB5D1">
      <w:pPr>
        <w:spacing w:line="288" w:lineRule="auto"/>
        <w:contextualSpacing/>
        <w:jc w:val="both"/>
        <w:rPr>
          <w:b/>
          <w:sz w:val="24"/>
          <w:szCs w:val="24"/>
        </w:rPr>
      </w:pPr>
      <w:r>
        <w:rPr>
          <w:b/>
          <w:sz w:val="24"/>
          <w:szCs w:val="24"/>
        </w:rPr>
        <w:t>CLÁUSULA DÉCIMA QUINTA:</w:t>
      </w:r>
      <w:r>
        <w:rPr>
          <w:rFonts w:eastAsia="Arial"/>
          <w:b/>
          <w:sz w:val="24"/>
          <w:szCs w:val="24"/>
        </w:rPr>
        <w:t xml:space="preserve"> </w:t>
      </w:r>
      <w:r>
        <w:rPr>
          <w:b/>
          <w:sz w:val="24"/>
          <w:szCs w:val="24"/>
        </w:rPr>
        <w:t>DO FORO DE ELEIÇÃO</w:t>
      </w:r>
    </w:p>
    <w:p w14:paraId="55F8033E">
      <w:pPr>
        <w:spacing w:line="288" w:lineRule="auto"/>
        <w:contextualSpacing/>
        <w:jc w:val="both"/>
        <w:rPr>
          <w:sz w:val="24"/>
          <w:szCs w:val="24"/>
        </w:rPr>
      </w:pPr>
    </w:p>
    <w:p w14:paraId="26A14614">
      <w:pPr>
        <w:spacing w:line="288" w:lineRule="auto"/>
        <w:contextualSpacing/>
        <w:jc w:val="both"/>
        <w:rPr>
          <w:sz w:val="24"/>
          <w:szCs w:val="24"/>
        </w:rPr>
      </w:pPr>
      <w:r>
        <w:rPr>
          <w:sz w:val="24"/>
          <w:szCs w:val="24"/>
        </w:rPr>
        <w:t xml:space="preserve">15.1 Fica eleito o Foro da Comarca de Valença RJ para dirimir qualquer litígio decorrente da presente Ata de Registro de Preços que não possa ser resolvido por meio amigável, com expressa renúncia a qualquer outro, por mais privilegiado que seja. </w:t>
      </w:r>
    </w:p>
    <w:p w14:paraId="140A3DF7">
      <w:pPr>
        <w:widowControl w:val="0"/>
        <w:autoSpaceDE w:val="0"/>
        <w:autoSpaceDN w:val="0"/>
        <w:adjustRightInd w:val="0"/>
        <w:spacing w:before="120" w:after="120" w:line="288" w:lineRule="auto"/>
        <w:contextualSpacing/>
        <w:jc w:val="both"/>
        <w:rPr>
          <w:sz w:val="24"/>
          <w:szCs w:val="24"/>
        </w:rPr>
      </w:pPr>
    </w:p>
    <w:p w14:paraId="67F7F842">
      <w:pPr>
        <w:widowControl w:val="0"/>
        <w:autoSpaceDE w:val="0"/>
        <w:autoSpaceDN w:val="0"/>
        <w:adjustRightInd w:val="0"/>
        <w:spacing w:before="120" w:after="120" w:line="288" w:lineRule="auto"/>
        <w:contextualSpacing/>
        <w:jc w:val="both"/>
        <w:rPr>
          <w:i/>
          <w:iCs/>
          <w:color w:val="FF0000"/>
          <w:sz w:val="24"/>
          <w:szCs w:val="24"/>
        </w:rPr>
      </w:pPr>
      <w:r>
        <w:rPr>
          <w:sz w:val="24"/>
          <w:szCs w:val="24"/>
        </w:rPr>
        <w:t xml:space="preserve">Para firmeza e validade do pactuado, a presente Ata foi lavrada em 02 (duas) vias de igual teor, que, depois de lida e achada em ordem, vai assinada pelas partes e encaminhada cópia aos demais órgãos participantes. </w:t>
      </w:r>
    </w:p>
    <w:p w14:paraId="2EFBD96A">
      <w:pPr>
        <w:spacing w:line="288" w:lineRule="auto"/>
        <w:contextualSpacing/>
        <w:jc w:val="both"/>
        <w:rPr>
          <w:sz w:val="24"/>
          <w:szCs w:val="24"/>
        </w:rPr>
      </w:pPr>
    </w:p>
    <w:p w14:paraId="0ED07E65">
      <w:pPr>
        <w:spacing w:line="288" w:lineRule="auto"/>
        <w:contextualSpacing/>
        <w:jc w:val="both"/>
        <w:rPr>
          <w:sz w:val="24"/>
          <w:szCs w:val="24"/>
        </w:rPr>
      </w:pPr>
    </w:p>
    <w:p w14:paraId="6F8D95B9">
      <w:pPr>
        <w:pStyle w:val="99"/>
        <w:spacing w:before="0" w:after="0" w:line="288" w:lineRule="auto"/>
        <w:ind w:left="0" w:firstLine="567"/>
        <w:contextualSpacing/>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Valença, xxx de xxx de 2026.</w:t>
      </w:r>
    </w:p>
    <w:p w14:paraId="25B5BA6B">
      <w:pPr>
        <w:pStyle w:val="99"/>
        <w:spacing w:before="0" w:after="0" w:line="288" w:lineRule="auto"/>
        <w:ind w:left="0" w:firstLine="567"/>
        <w:contextualSpacing/>
        <w:jc w:val="center"/>
        <w:rPr>
          <w:rFonts w:ascii="Times New Roman" w:hAnsi="Times New Roman" w:cs="Times New Roman"/>
          <w:color w:val="FF0000"/>
          <w:sz w:val="24"/>
          <w:szCs w:val="24"/>
        </w:rPr>
      </w:pPr>
    </w:p>
    <w:p w14:paraId="47BD570A">
      <w:pPr>
        <w:pStyle w:val="99"/>
        <w:spacing w:before="0" w:after="0" w:line="288" w:lineRule="auto"/>
        <w:ind w:left="0" w:firstLine="567"/>
        <w:contextualSpacing/>
        <w:jc w:val="center"/>
        <w:rPr>
          <w:rFonts w:ascii="Times New Roman" w:hAnsi="Times New Roman" w:cs="Times New Roman"/>
          <w:color w:val="auto"/>
          <w:sz w:val="24"/>
          <w:szCs w:val="24"/>
        </w:rPr>
      </w:pPr>
    </w:p>
    <w:p w14:paraId="45C0EF01">
      <w:pPr>
        <w:spacing w:line="288" w:lineRule="auto"/>
        <w:ind w:firstLine="567"/>
        <w:contextualSpacing/>
        <w:jc w:val="center"/>
        <w:rPr>
          <w:bCs/>
          <w:sz w:val="24"/>
          <w:szCs w:val="24"/>
        </w:rPr>
      </w:pPr>
      <w:r>
        <w:rPr>
          <w:bCs/>
          <w:sz w:val="24"/>
          <w:szCs w:val="24"/>
        </w:rPr>
        <w:t>_________________________</w:t>
      </w:r>
    </w:p>
    <w:p w14:paraId="159DC113">
      <w:pPr>
        <w:spacing w:line="288" w:lineRule="auto"/>
        <w:ind w:firstLine="567"/>
        <w:contextualSpacing/>
        <w:jc w:val="center"/>
        <w:rPr>
          <w:sz w:val="24"/>
          <w:szCs w:val="24"/>
        </w:rPr>
      </w:pPr>
      <w:r>
        <w:rPr>
          <w:sz w:val="24"/>
          <w:szCs w:val="24"/>
        </w:rPr>
        <w:t>Rafael de Oliveira Tavares</w:t>
      </w:r>
    </w:p>
    <w:p w14:paraId="6004A2DC">
      <w:pPr>
        <w:spacing w:line="288" w:lineRule="auto"/>
        <w:ind w:firstLine="567"/>
        <w:contextualSpacing/>
        <w:jc w:val="center"/>
        <w:rPr>
          <w:bCs/>
          <w:sz w:val="24"/>
          <w:szCs w:val="24"/>
        </w:rPr>
      </w:pPr>
      <w:r>
        <w:rPr>
          <w:sz w:val="24"/>
          <w:szCs w:val="24"/>
        </w:rPr>
        <w:t>Secretária Municipal de Saúde</w:t>
      </w:r>
    </w:p>
    <w:p w14:paraId="2CE8AB2A">
      <w:pPr>
        <w:spacing w:line="288" w:lineRule="auto"/>
        <w:ind w:firstLine="567"/>
        <w:contextualSpacing/>
        <w:jc w:val="center"/>
        <w:rPr>
          <w:bCs/>
          <w:sz w:val="24"/>
          <w:szCs w:val="24"/>
        </w:rPr>
      </w:pPr>
      <w:r>
        <w:rPr>
          <w:bCs/>
          <w:sz w:val="24"/>
          <w:szCs w:val="24"/>
        </w:rPr>
        <w:t>MUNICÍPIO DE VALENÇA</w:t>
      </w:r>
    </w:p>
    <w:p w14:paraId="74FB2A8B">
      <w:pPr>
        <w:spacing w:line="288" w:lineRule="auto"/>
        <w:ind w:firstLine="567"/>
        <w:contextualSpacing/>
        <w:jc w:val="center"/>
        <w:rPr>
          <w:bCs/>
          <w:sz w:val="24"/>
          <w:szCs w:val="24"/>
        </w:rPr>
      </w:pPr>
    </w:p>
    <w:p w14:paraId="629C10DA">
      <w:pPr>
        <w:spacing w:line="288" w:lineRule="auto"/>
        <w:ind w:firstLine="567"/>
        <w:contextualSpacing/>
        <w:jc w:val="center"/>
        <w:rPr>
          <w:sz w:val="24"/>
          <w:szCs w:val="24"/>
        </w:rPr>
      </w:pPr>
      <w:r>
        <w:rPr>
          <w:sz w:val="24"/>
          <w:szCs w:val="24"/>
        </w:rPr>
        <w:t>_________________________</w:t>
      </w:r>
    </w:p>
    <w:p w14:paraId="183F6CDD">
      <w:pPr>
        <w:spacing w:line="288" w:lineRule="auto"/>
        <w:ind w:firstLine="567"/>
        <w:contextualSpacing/>
        <w:jc w:val="center"/>
        <w:rPr>
          <w:sz w:val="24"/>
          <w:szCs w:val="24"/>
        </w:rPr>
      </w:pPr>
      <w:r>
        <w:rPr>
          <w:bCs/>
          <w:sz w:val="24"/>
          <w:szCs w:val="24"/>
        </w:rPr>
        <w:t>Representante</w:t>
      </w:r>
      <w:r>
        <w:rPr>
          <w:sz w:val="24"/>
          <w:szCs w:val="24"/>
        </w:rPr>
        <w:t xml:space="preserve"> legal do CONTRATADO</w:t>
      </w:r>
    </w:p>
    <w:p w14:paraId="544022D1">
      <w:pPr>
        <w:spacing w:line="288" w:lineRule="auto"/>
        <w:contextualSpacing/>
        <w:jc w:val="both"/>
        <w:rPr>
          <w:color w:val="FF0000"/>
          <w:sz w:val="24"/>
          <w:szCs w:val="24"/>
        </w:rPr>
      </w:pPr>
    </w:p>
    <w:p w14:paraId="3B847F2C">
      <w:pPr>
        <w:spacing w:line="288" w:lineRule="auto"/>
        <w:contextualSpacing/>
        <w:jc w:val="both"/>
        <w:rPr>
          <w:sz w:val="24"/>
          <w:szCs w:val="24"/>
        </w:rPr>
      </w:pPr>
      <w:r>
        <w:rPr>
          <w:sz w:val="24"/>
          <w:szCs w:val="24"/>
        </w:rPr>
        <w:t>TESTEMUNHAS:</w:t>
      </w:r>
    </w:p>
    <w:p w14:paraId="650F8D41">
      <w:pPr>
        <w:spacing w:line="288" w:lineRule="auto"/>
        <w:contextualSpacing/>
        <w:rPr>
          <w:sz w:val="24"/>
          <w:szCs w:val="24"/>
        </w:rPr>
      </w:pPr>
      <w:r>
        <w:rPr>
          <w:sz w:val="24"/>
          <w:szCs w:val="24"/>
        </w:rPr>
        <w:t>1-</w:t>
      </w:r>
    </w:p>
    <w:p w14:paraId="20AAE163">
      <w:pPr>
        <w:spacing w:line="288" w:lineRule="auto"/>
        <w:contextualSpacing/>
        <w:rPr>
          <w:sz w:val="24"/>
          <w:szCs w:val="24"/>
        </w:rPr>
      </w:pPr>
      <w:r>
        <w:rPr>
          <w:sz w:val="24"/>
          <w:szCs w:val="24"/>
        </w:rPr>
        <w:t xml:space="preserve">2- </w:t>
      </w:r>
    </w:p>
    <w:p w14:paraId="56956695">
      <w:pPr>
        <w:spacing w:line="360" w:lineRule="auto"/>
        <w:jc w:val="both"/>
        <w:rPr>
          <w:b/>
          <w:sz w:val="24"/>
          <w:szCs w:val="24"/>
        </w:rPr>
      </w:pPr>
    </w:p>
    <w:p w14:paraId="3C8D573E">
      <w:pPr>
        <w:spacing w:line="360" w:lineRule="auto"/>
        <w:jc w:val="both"/>
        <w:rPr>
          <w:b/>
          <w:sz w:val="24"/>
          <w:szCs w:val="24"/>
        </w:rPr>
      </w:pPr>
      <w:r>
        <w:rPr>
          <w:b/>
          <w:sz w:val="24"/>
          <w:szCs w:val="24"/>
        </w:rPr>
        <w:t xml:space="preserve">Anexos: </w:t>
      </w:r>
    </w:p>
    <w:p w14:paraId="1558BBB2">
      <w:pPr>
        <w:spacing w:line="360" w:lineRule="auto"/>
        <w:jc w:val="both"/>
        <w:rPr>
          <w:sz w:val="24"/>
          <w:szCs w:val="24"/>
        </w:rPr>
      </w:pPr>
      <w:r>
        <w:rPr>
          <w:sz w:val="24"/>
          <w:szCs w:val="24"/>
        </w:rPr>
        <w:t>Anexo I – Consolidação das Informações da Ata de Registro de Preços</w:t>
      </w:r>
    </w:p>
    <w:p w14:paraId="08254ACC">
      <w:pPr>
        <w:spacing w:line="360" w:lineRule="auto"/>
        <w:jc w:val="both"/>
        <w:rPr>
          <w:sz w:val="24"/>
          <w:szCs w:val="24"/>
        </w:rPr>
      </w:pPr>
      <w:r>
        <w:rPr>
          <w:sz w:val="24"/>
          <w:szCs w:val="24"/>
        </w:rPr>
        <w:t xml:space="preserve">Anexo II – Cadastro de Reserva </w:t>
      </w:r>
    </w:p>
    <w:p w14:paraId="19B33141">
      <w:pPr>
        <w:spacing w:line="360" w:lineRule="auto"/>
        <w:jc w:val="both"/>
        <w:rPr>
          <w:b/>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Anexo III – Relação de órgãos/entidades participantes</w:t>
      </w:r>
    </w:p>
    <w:p w14:paraId="0A75467C">
      <w:pPr>
        <w:spacing w:line="288" w:lineRule="auto"/>
        <w:contextualSpacing/>
        <w:jc w:val="center"/>
        <w:rPr>
          <w:rFonts w:eastAsia="Calibri"/>
          <w:b/>
          <w:bCs/>
          <w:sz w:val="24"/>
          <w:szCs w:val="24"/>
          <w:lang w:eastAsia="en-US"/>
        </w:rPr>
      </w:pPr>
    </w:p>
    <w:p w14:paraId="501DBB8B">
      <w:pPr>
        <w:jc w:val="center"/>
        <w:rPr>
          <w:b/>
          <w:sz w:val="24"/>
          <w:szCs w:val="24"/>
          <w:u w:val="single"/>
        </w:rPr>
      </w:pPr>
      <w:r>
        <w:rPr>
          <w:b/>
          <w:sz w:val="24"/>
          <w:szCs w:val="24"/>
          <w:u w:val="single"/>
        </w:rPr>
        <w:t>Anexo I – Consolidação das Informações da Ata de Registro de Preços</w:t>
      </w:r>
    </w:p>
    <w:p w14:paraId="1FB09BB0">
      <w:pPr>
        <w:jc w:val="center"/>
        <w:rPr>
          <w:b/>
          <w:sz w:val="24"/>
          <w:szCs w:val="24"/>
          <w:u w:val="single"/>
        </w:rPr>
      </w:pPr>
    </w:p>
    <w:p w14:paraId="555180C2">
      <w:pPr>
        <w:jc w:val="center"/>
        <w:rPr>
          <w:rFonts w:eastAsia="Arial"/>
          <w:b/>
          <w:sz w:val="24"/>
          <w:szCs w:val="24"/>
        </w:rPr>
      </w:pPr>
    </w:p>
    <w:p w14:paraId="32C579CE">
      <w:pPr>
        <w:ind w:hanging="426"/>
        <w:rPr>
          <w:rFonts w:eastAsia="Arial"/>
          <w:b/>
          <w:sz w:val="24"/>
          <w:szCs w:val="24"/>
        </w:rPr>
      </w:pPr>
      <w:r>
        <w:rPr>
          <w:rFonts w:eastAsia="Arial"/>
          <w:b/>
          <w:sz w:val="24"/>
          <w:szCs w:val="24"/>
        </w:rPr>
        <w:t>ATA DE REGISTRO DE PREÇOS nº ___/___</w:t>
      </w:r>
    </w:p>
    <w:p w14:paraId="5CDE99D1">
      <w:pPr>
        <w:ind w:hanging="426"/>
        <w:rPr>
          <w:rFonts w:eastAsia="Arial"/>
          <w:b/>
          <w:sz w:val="24"/>
          <w:szCs w:val="24"/>
        </w:rPr>
      </w:pPr>
      <w:r>
        <w:rPr>
          <w:rFonts w:eastAsia="Arial"/>
          <w:b/>
          <w:sz w:val="24"/>
          <w:szCs w:val="24"/>
        </w:rPr>
        <w:t>ÓRGÃO GERENCIADOR:</w:t>
      </w:r>
    </w:p>
    <w:p w14:paraId="62BFD9CA">
      <w:pPr>
        <w:ind w:hanging="426"/>
        <w:rPr>
          <w:rFonts w:eastAsia="Arial"/>
          <w:b/>
          <w:sz w:val="24"/>
          <w:szCs w:val="24"/>
        </w:rPr>
      </w:pPr>
      <w:r>
        <w:rPr>
          <w:rFonts w:eastAsia="Arial"/>
          <w:b/>
          <w:sz w:val="24"/>
          <w:szCs w:val="24"/>
        </w:rPr>
        <w:t>OBJETO:</w:t>
      </w:r>
    </w:p>
    <w:p w14:paraId="751305AD">
      <w:pPr>
        <w:ind w:hanging="426"/>
        <w:rPr>
          <w:rFonts w:eastAsia="Arial"/>
          <w:b/>
          <w:sz w:val="24"/>
          <w:szCs w:val="24"/>
        </w:rPr>
      </w:pPr>
      <w:r>
        <w:rPr>
          <w:rFonts w:eastAsia="Arial"/>
          <w:b/>
          <w:sz w:val="24"/>
          <w:szCs w:val="24"/>
        </w:rPr>
        <w:t xml:space="preserve">FORNECEDOR: </w:t>
      </w:r>
    </w:p>
    <w:p w14:paraId="75CDC23E">
      <w:pPr>
        <w:ind w:hanging="426"/>
        <w:rPr>
          <w:rFonts w:eastAsia="Arial"/>
          <w:b/>
          <w:sz w:val="24"/>
          <w:szCs w:val="24"/>
        </w:rPr>
      </w:pPr>
    </w:p>
    <w:p w14:paraId="71A1C339">
      <w:pPr>
        <w:jc w:val="center"/>
        <w:rPr>
          <w:rFonts w:eastAsia="Arial"/>
          <w:b/>
          <w:sz w:val="24"/>
          <w:szCs w:val="24"/>
        </w:rPr>
      </w:pPr>
    </w:p>
    <w:tbl>
      <w:tblPr>
        <w:tblStyle w:val="10"/>
        <w:tblW w:w="963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851"/>
        <w:gridCol w:w="1135"/>
        <w:gridCol w:w="2126"/>
        <w:gridCol w:w="1701"/>
        <w:gridCol w:w="1560"/>
        <w:gridCol w:w="1417"/>
      </w:tblGrid>
      <w:tr w14:paraId="49A81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shd w:val="clear" w:color="auto" w:fill="auto"/>
          </w:tcPr>
          <w:p w14:paraId="65CB67E7">
            <w:pPr>
              <w:jc w:val="center"/>
              <w:rPr>
                <w:rFonts w:eastAsia="Arial"/>
                <w:b/>
                <w:color w:val="FF0000"/>
                <w:sz w:val="24"/>
                <w:szCs w:val="24"/>
              </w:rPr>
            </w:pPr>
          </w:p>
        </w:tc>
        <w:tc>
          <w:tcPr>
            <w:tcW w:w="851" w:type="dxa"/>
            <w:shd w:val="clear" w:color="auto" w:fill="auto"/>
          </w:tcPr>
          <w:p w14:paraId="475DEF0C">
            <w:pPr>
              <w:jc w:val="center"/>
              <w:rPr>
                <w:rFonts w:eastAsia="Arial"/>
                <w:b/>
                <w:sz w:val="24"/>
                <w:szCs w:val="24"/>
              </w:rPr>
            </w:pPr>
            <w:r>
              <w:rPr>
                <w:rFonts w:eastAsia="Arial"/>
                <w:b/>
                <w:sz w:val="24"/>
                <w:szCs w:val="24"/>
              </w:rPr>
              <w:t>ITEM</w:t>
            </w:r>
          </w:p>
          <w:p w14:paraId="79A868F0">
            <w:pPr>
              <w:jc w:val="center"/>
              <w:rPr>
                <w:rFonts w:eastAsia="Arial"/>
                <w:b/>
                <w:sz w:val="24"/>
                <w:szCs w:val="24"/>
              </w:rPr>
            </w:pPr>
          </w:p>
        </w:tc>
        <w:tc>
          <w:tcPr>
            <w:tcW w:w="1134" w:type="dxa"/>
            <w:shd w:val="clear" w:color="auto" w:fill="auto"/>
          </w:tcPr>
          <w:p w14:paraId="4CCEA743">
            <w:pPr>
              <w:jc w:val="center"/>
              <w:rPr>
                <w:rFonts w:eastAsia="Arial"/>
                <w:b/>
                <w:sz w:val="24"/>
                <w:szCs w:val="24"/>
              </w:rPr>
            </w:pPr>
            <w:r>
              <w:rPr>
                <w:rFonts w:eastAsia="Arial"/>
                <w:b/>
                <w:sz w:val="24"/>
                <w:szCs w:val="24"/>
              </w:rPr>
              <w:t>CÓD.</w:t>
            </w:r>
          </w:p>
          <w:p w14:paraId="2EF39AB8">
            <w:pPr>
              <w:jc w:val="center"/>
              <w:rPr>
                <w:rFonts w:eastAsia="Arial"/>
                <w:b/>
                <w:sz w:val="24"/>
                <w:szCs w:val="24"/>
              </w:rPr>
            </w:pPr>
            <w:r>
              <w:rPr>
                <w:rFonts w:eastAsia="Arial"/>
                <w:b/>
                <w:sz w:val="24"/>
                <w:szCs w:val="24"/>
              </w:rPr>
              <w:t>ID SIGA</w:t>
            </w:r>
          </w:p>
        </w:tc>
        <w:tc>
          <w:tcPr>
            <w:tcW w:w="2126" w:type="dxa"/>
            <w:shd w:val="clear" w:color="auto" w:fill="auto"/>
          </w:tcPr>
          <w:p w14:paraId="52835577">
            <w:pPr>
              <w:jc w:val="center"/>
              <w:rPr>
                <w:rFonts w:eastAsia="Arial"/>
                <w:b/>
                <w:sz w:val="24"/>
                <w:szCs w:val="24"/>
              </w:rPr>
            </w:pPr>
            <w:r>
              <w:rPr>
                <w:rFonts w:eastAsia="Arial"/>
                <w:b/>
                <w:sz w:val="24"/>
                <w:szCs w:val="24"/>
              </w:rPr>
              <w:t>DESCRIÇÃO/</w:t>
            </w:r>
          </w:p>
          <w:p w14:paraId="1372A128">
            <w:pPr>
              <w:jc w:val="center"/>
              <w:rPr>
                <w:rFonts w:eastAsia="Arial"/>
                <w:b/>
                <w:sz w:val="24"/>
                <w:szCs w:val="24"/>
              </w:rPr>
            </w:pPr>
            <w:r>
              <w:rPr>
                <w:rFonts w:eastAsia="Arial"/>
                <w:b/>
                <w:sz w:val="24"/>
                <w:szCs w:val="24"/>
              </w:rPr>
              <w:t>ESPECIFICAÇÃO</w:t>
            </w:r>
          </w:p>
        </w:tc>
        <w:tc>
          <w:tcPr>
            <w:tcW w:w="1701" w:type="dxa"/>
            <w:shd w:val="clear" w:color="auto" w:fill="auto"/>
          </w:tcPr>
          <w:p w14:paraId="2F9D36BA">
            <w:pPr>
              <w:spacing w:line="288" w:lineRule="auto"/>
              <w:jc w:val="center"/>
              <w:rPr>
                <w:rFonts w:eastAsia="Arial"/>
                <w:b/>
                <w:sz w:val="24"/>
                <w:szCs w:val="24"/>
              </w:rPr>
            </w:pPr>
            <w:r>
              <w:rPr>
                <w:rFonts w:eastAsia="Arial"/>
                <w:b/>
                <w:sz w:val="24"/>
                <w:szCs w:val="24"/>
              </w:rPr>
              <w:t>QUANTIDADE TOTAL REGISTRADA</w:t>
            </w:r>
          </w:p>
          <w:p w14:paraId="3D494414">
            <w:pPr>
              <w:jc w:val="center"/>
              <w:rPr>
                <w:rFonts w:eastAsia="Arial"/>
                <w:b/>
                <w:sz w:val="24"/>
                <w:szCs w:val="24"/>
              </w:rPr>
            </w:pPr>
          </w:p>
        </w:tc>
        <w:tc>
          <w:tcPr>
            <w:tcW w:w="1560" w:type="dxa"/>
            <w:shd w:val="clear" w:color="auto" w:fill="auto"/>
          </w:tcPr>
          <w:p w14:paraId="3EC58A2F">
            <w:pPr>
              <w:spacing w:line="288" w:lineRule="auto"/>
              <w:jc w:val="center"/>
              <w:rPr>
                <w:rFonts w:eastAsia="Arial"/>
                <w:b/>
                <w:sz w:val="24"/>
                <w:szCs w:val="24"/>
              </w:rPr>
            </w:pPr>
            <w:r>
              <w:rPr>
                <w:rFonts w:eastAsia="Arial"/>
                <w:b/>
                <w:sz w:val="24"/>
                <w:szCs w:val="24"/>
              </w:rPr>
              <w:t>UNIDADE DE MEDIDA</w:t>
            </w:r>
          </w:p>
          <w:p w14:paraId="3B52FB86">
            <w:pPr>
              <w:spacing w:line="288" w:lineRule="auto"/>
              <w:jc w:val="center"/>
              <w:rPr>
                <w:rFonts w:eastAsia="Arial"/>
                <w:b/>
                <w:color w:val="FF0000"/>
                <w:sz w:val="24"/>
                <w:szCs w:val="24"/>
              </w:rPr>
            </w:pPr>
            <w:r>
              <w:rPr>
                <w:rFonts w:eastAsia="Arial"/>
                <w:b/>
                <w:color w:val="FF0000"/>
                <w:sz w:val="24"/>
                <w:szCs w:val="24"/>
              </w:rPr>
              <w:t>(ex.: m</w:t>
            </w:r>
            <w:r>
              <w:rPr>
                <w:rFonts w:eastAsia="Arial"/>
                <w:b/>
                <w:color w:val="FF0000"/>
                <w:sz w:val="24"/>
                <w:szCs w:val="24"/>
                <w:vertAlign w:val="superscript"/>
              </w:rPr>
              <w:t>2</w:t>
            </w:r>
            <w:r>
              <w:rPr>
                <w:rFonts w:eastAsia="Arial"/>
                <w:b/>
                <w:color w:val="FF0000"/>
                <w:sz w:val="24"/>
                <w:szCs w:val="24"/>
              </w:rPr>
              <w:t>, item, litros, kg, pacote etc.)</w:t>
            </w:r>
          </w:p>
          <w:p w14:paraId="79882456">
            <w:pPr>
              <w:jc w:val="center"/>
              <w:rPr>
                <w:rFonts w:eastAsia="Arial"/>
                <w:b/>
                <w:sz w:val="24"/>
                <w:szCs w:val="24"/>
              </w:rPr>
            </w:pPr>
          </w:p>
        </w:tc>
        <w:tc>
          <w:tcPr>
            <w:tcW w:w="1417" w:type="dxa"/>
            <w:shd w:val="clear" w:color="auto" w:fill="auto"/>
          </w:tcPr>
          <w:p w14:paraId="76E6DD37">
            <w:pPr>
              <w:spacing w:line="288" w:lineRule="auto"/>
              <w:jc w:val="center"/>
              <w:rPr>
                <w:rFonts w:eastAsia="Arial"/>
                <w:b/>
                <w:sz w:val="24"/>
                <w:szCs w:val="24"/>
              </w:rPr>
            </w:pPr>
            <w:r>
              <w:rPr>
                <w:rFonts w:eastAsia="Arial"/>
                <w:b/>
                <w:sz w:val="24"/>
                <w:szCs w:val="24"/>
              </w:rPr>
              <w:t>PREÇO UNITÁRIO</w:t>
            </w:r>
          </w:p>
          <w:p w14:paraId="11C18F6E">
            <w:pPr>
              <w:jc w:val="center"/>
              <w:rPr>
                <w:rFonts w:eastAsia="Arial"/>
                <w:b/>
                <w:sz w:val="24"/>
                <w:szCs w:val="24"/>
              </w:rPr>
            </w:pPr>
          </w:p>
        </w:tc>
      </w:tr>
      <w:tr w14:paraId="6BF50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shd w:val="clear" w:color="auto" w:fill="auto"/>
          </w:tcPr>
          <w:p w14:paraId="50EAC39E">
            <w:pPr>
              <w:jc w:val="center"/>
              <w:rPr>
                <w:rFonts w:eastAsia="Arial"/>
                <w:b/>
                <w:sz w:val="24"/>
                <w:szCs w:val="24"/>
              </w:rPr>
            </w:pPr>
          </w:p>
        </w:tc>
        <w:tc>
          <w:tcPr>
            <w:tcW w:w="851" w:type="dxa"/>
            <w:shd w:val="clear" w:color="auto" w:fill="auto"/>
          </w:tcPr>
          <w:p w14:paraId="595F77B6">
            <w:pPr>
              <w:jc w:val="center"/>
              <w:rPr>
                <w:rFonts w:eastAsia="Arial"/>
                <w:b/>
                <w:sz w:val="24"/>
                <w:szCs w:val="24"/>
              </w:rPr>
            </w:pPr>
          </w:p>
        </w:tc>
        <w:tc>
          <w:tcPr>
            <w:tcW w:w="1135" w:type="dxa"/>
            <w:shd w:val="clear" w:color="auto" w:fill="auto"/>
          </w:tcPr>
          <w:p w14:paraId="3E806FDD">
            <w:pPr>
              <w:jc w:val="center"/>
              <w:rPr>
                <w:rFonts w:eastAsia="Arial"/>
                <w:b/>
                <w:sz w:val="24"/>
                <w:szCs w:val="24"/>
              </w:rPr>
            </w:pPr>
          </w:p>
        </w:tc>
        <w:tc>
          <w:tcPr>
            <w:tcW w:w="2125" w:type="dxa"/>
            <w:shd w:val="clear" w:color="auto" w:fill="auto"/>
          </w:tcPr>
          <w:p w14:paraId="60503698">
            <w:pPr>
              <w:jc w:val="center"/>
              <w:rPr>
                <w:rFonts w:eastAsia="Arial"/>
                <w:b/>
                <w:sz w:val="24"/>
                <w:szCs w:val="24"/>
              </w:rPr>
            </w:pPr>
          </w:p>
        </w:tc>
        <w:tc>
          <w:tcPr>
            <w:tcW w:w="1701" w:type="dxa"/>
            <w:shd w:val="clear" w:color="auto" w:fill="auto"/>
          </w:tcPr>
          <w:p w14:paraId="004B3FBD">
            <w:pPr>
              <w:spacing w:line="288" w:lineRule="auto"/>
              <w:jc w:val="center"/>
              <w:rPr>
                <w:rFonts w:eastAsia="Arial"/>
                <w:b/>
                <w:sz w:val="24"/>
                <w:szCs w:val="24"/>
              </w:rPr>
            </w:pPr>
          </w:p>
        </w:tc>
        <w:tc>
          <w:tcPr>
            <w:tcW w:w="1560" w:type="dxa"/>
            <w:shd w:val="clear" w:color="auto" w:fill="auto"/>
          </w:tcPr>
          <w:p w14:paraId="61D8D2F5">
            <w:pPr>
              <w:spacing w:line="288" w:lineRule="auto"/>
              <w:jc w:val="center"/>
              <w:rPr>
                <w:rFonts w:eastAsia="Arial"/>
                <w:b/>
                <w:sz w:val="24"/>
                <w:szCs w:val="24"/>
              </w:rPr>
            </w:pPr>
          </w:p>
        </w:tc>
        <w:tc>
          <w:tcPr>
            <w:tcW w:w="1417" w:type="dxa"/>
            <w:shd w:val="clear" w:color="auto" w:fill="auto"/>
          </w:tcPr>
          <w:p w14:paraId="5621DBAB">
            <w:pPr>
              <w:spacing w:line="288" w:lineRule="auto"/>
              <w:jc w:val="center"/>
              <w:rPr>
                <w:rFonts w:eastAsia="Arial"/>
                <w:b/>
                <w:sz w:val="24"/>
                <w:szCs w:val="24"/>
              </w:rPr>
            </w:pPr>
          </w:p>
        </w:tc>
      </w:tr>
      <w:tr w14:paraId="47FF7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shd w:val="clear" w:color="auto" w:fill="auto"/>
          </w:tcPr>
          <w:p w14:paraId="33514C6F">
            <w:pPr>
              <w:jc w:val="center"/>
              <w:rPr>
                <w:rFonts w:eastAsia="Arial"/>
                <w:b/>
                <w:sz w:val="24"/>
                <w:szCs w:val="24"/>
              </w:rPr>
            </w:pPr>
          </w:p>
        </w:tc>
        <w:tc>
          <w:tcPr>
            <w:tcW w:w="851" w:type="dxa"/>
            <w:shd w:val="clear" w:color="auto" w:fill="auto"/>
          </w:tcPr>
          <w:p w14:paraId="50EE1F0E">
            <w:pPr>
              <w:jc w:val="center"/>
              <w:rPr>
                <w:rFonts w:eastAsia="Arial"/>
                <w:b/>
                <w:sz w:val="24"/>
                <w:szCs w:val="24"/>
              </w:rPr>
            </w:pPr>
          </w:p>
        </w:tc>
        <w:tc>
          <w:tcPr>
            <w:tcW w:w="1135" w:type="dxa"/>
            <w:shd w:val="clear" w:color="auto" w:fill="auto"/>
          </w:tcPr>
          <w:p w14:paraId="5A2A4908">
            <w:pPr>
              <w:jc w:val="center"/>
              <w:rPr>
                <w:rFonts w:eastAsia="Arial"/>
                <w:b/>
                <w:sz w:val="24"/>
                <w:szCs w:val="24"/>
              </w:rPr>
            </w:pPr>
          </w:p>
        </w:tc>
        <w:tc>
          <w:tcPr>
            <w:tcW w:w="2125" w:type="dxa"/>
            <w:shd w:val="clear" w:color="auto" w:fill="auto"/>
          </w:tcPr>
          <w:p w14:paraId="234095CB">
            <w:pPr>
              <w:jc w:val="center"/>
              <w:rPr>
                <w:rFonts w:eastAsia="Arial"/>
                <w:b/>
                <w:sz w:val="24"/>
                <w:szCs w:val="24"/>
              </w:rPr>
            </w:pPr>
          </w:p>
        </w:tc>
        <w:tc>
          <w:tcPr>
            <w:tcW w:w="1701" w:type="dxa"/>
            <w:shd w:val="clear" w:color="auto" w:fill="auto"/>
          </w:tcPr>
          <w:p w14:paraId="7FBF5712">
            <w:pPr>
              <w:spacing w:line="288" w:lineRule="auto"/>
              <w:jc w:val="center"/>
              <w:rPr>
                <w:rFonts w:eastAsia="Arial"/>
                <w:b/>
                <w:sz w:val="24"/>
                <w:szCs w:val="24"/>
              </w:rPr>
            </w:pPr>
          </w:p>
        </w:tc>
        <w:tc>
          <w:tcPr>
            <w:tcW w:w="1560" w:type="dxa"/>
            <w:shd w:val="clear" w:color="auto" w:fill="auto"/>
          </w:tcPr>
          <w:p w14:paraId="6A7C54EF">
            <w:pPr>
              <w:spacing w:line="288" w:lineRule="auto"/>
              <w:jc w:val="center"/>
              <w:rPr>
                <w:rFonts w:eastAsia="Arial"/>
                <w:b/>
                <w:sz w:val="24"/>
                <w:szCs w:val="24"/>
              </w:rPr>
            </w:pPr>
          </w:p>
        </w:tc>
        <w:tc>
          <w:tcPr>
            <w:tcW w:w="1417" w:type="dxa"/>
            <w:shd w:val="clear" w:color="auto" w:fill="auto"/>
          </w:tcPr>
          <w:p w14:paraId="3ED3375B">
            <w:pPr>
              <w:spacing w:line="288" w:lineRule="auto"/>
              <w:jc w:val="center"/>
              <w:rPr>
                <w:rFonts w:eastAsia="Arial"/>
                <w:b/>
                <w:sz w:val="24"/>
                <w:szCs w:val="24"/>
              </w:rPr>
            </w:pPr>
          </w:p>
        </w:tc>
      </w:tr>
      <w:tr w14:paraId="6344D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shd w:val="clear" w:color="auto" w:fill="auto"/>
          </w:tcPr>
          <w:p w14:paraId="2DD5ADAB">
            <w:pPr>
              <w:jc w:val="center"/>
              <w:rPr>
                <w:rFonts w:eastAsia="Arial"/>
                <w:b/>
                <w:sz w:val="24"/>
                <w:szCs w:val="24"/>
              </w:rPr>
            </w:pPr>
          </w:p>
        </w:tc>
        <w:tc>
          <w:tcPr>
            <w:tcW w:w="851" w:type="dxa"/>
            <w:shd w:val="clear" w:color="auto" w:fill="auto"/>
          </w:tcPr>
          <w:p w14:paraId="79744C70">
            <w:pPr>
              <w:jc w:val="center"/>
              <w:rPr>
                <w:rFonts w:eastAsia="Arial"/>
                <w:b/>
                <w:sz w:val="24"/>
                <w:szCs w:val="24"/>
              </w:rPr>
            </w:pPr>
          </w:p>
        </w:tc>
        <w:tc>
          <w:tcPr>
            <w:tcW w:w="1135" w:type="dxa"/>
            <w:shd w:val="clear" w:color="auto" w:fill="auto"/>
          </w:tcPr>
          <w:p w14:paraId="7DA56449">
            <w:pPr>
              <w:jc w:val="center"/>
              <w:rPr>
                <w:rFonts w:eastAsia="Arial"/>
                <w:b/>
                <w:sz w:val="24"/>
                <w:szCs w:val="24"/>
              </w:rPr>
            </w:pPr>
          </w:p>
        </w:tc>
        <w:tc>
          <w:tcPr>
            <w:tcW w:w="2125" w:type="dxa"/>
            <w:shd w:val="clear" w:color="auto" w:fill="auto"/>
          </w:tcPr>
          <w:p w14:paraId="4D05519C">
            <w:pPr>
              <w:jc w:val="center"/>
              <w:rPr>
                <w:rFonts w:eastAsia="Arial"/>
                <w:b/>
                <w:sz w:val="24"/>
                <w:szCs w:val="24"/>
              </w:rPr>
            </w:pPr>
          </w:p>
        </w:tc>
        <w:tc>
          <w:tcPr>
            <w:tcW w:w="1701" w:type="dxa"/>
            <w:shd w:val="clear" w:color="auto" w:fill="auto"/>
          </w:tcPr>
          <w:p w14:paraId="6018A8B5">
            <w:pPr>
              <w:spacing w:line="288" w:lineRule="auto"/>
              <w:jc w:val="center"/>
              <w:rPr>
                <w:rFonts w:eastAsia="Arial"/>
                <w:b/>
                <w:sz w:val="24"/>
                <w:szCs w:val="24"/>
              </w:rPr>
            </w:pPr>
          </w:p>
        </w:tc>
        <w:tc>
          <w:tcPr>
            <w:tcW w:w="1560" w:type="dxa"/>
            <w:shd w:val="clear" w:color="auto" w:fill="auto"/>
          </w:tcPr>
          <w:p w14:paraId="2D0D1C32">
            <w:pPr>
              <w:spacing w:line="288" w:lineRule="auto"/>
              <w:jc w:val="center"/>
              <w:rPr>
                <w:rFonts w:eastAsia="Arial"/>
                <w:b/>
                <w:sz w:val="24"/>
                <w:szCs w:val="24"/>
              </w:rPr>
            </w:pPr>
          </w:p>
        </w:tc>
        <w:tc>
          <w:tcPr>
            <w:tcW w:w="1417" w:type="dxa"/>
            <w:shd w:val="clear" w:color="auto" w:fill="auto"/>
          </w:tcPr>
          <w:p w14:paraId="6AFF67FA">
            <w:pPr>
              <w:spacing w:line="288" w:lineRule="auto"/>
              <w:jc w:val="center"/>
              <w:rPr>
                <w:rFonts w:eastAsia="Arial"/>
                <w:b/>
                <w:sz w:val="24"/>
                <w:szCs w:val="24"/>
              </w:rPr>
            </w:pPr>
          </w:p>
        </w:tc>
      </w:tr>
    </w:tbl>
    <w:p w14:paraId="63C83B8D">
      <w:pPr>
        <w:jc w:val="center"/>
        <w:rPr>
          <w:b/>
          <w:sz w:val="24"/>
          <w:szCs w:val="24"/>
          <w:u w:val="single"/>
        </w:rPr>
      </w:pPr>
    </w:p>
    <w:p w14:paraId="13A16BCA">
      <w:pPr>
        <w:jc w:val="center"/>
        <w:rPr>
          <w:b/>
          <w:sz w:val="24"/>
          <w:szCs w:val="24"/>
          <w:u w:val="single"/>
        </w:rPr>
      </w:pPr>
    </w:p>
    <w:p w14:paraId="32B0D683">
      <w:pPr>
        <w:jc w:val="center"/>
        <w:rPr>
          <w:b/>
          <w:sz w:val="24"/>
          <w:szCs w:val="24"/>
          <w:u w:val="single"/>
        </w:rPr>
      </w:pPr>
    </w:p>
    <w:p w14:paraId="452226EC">
      <w:pPr>
        <w:jc w:val="center"/>
        <w:rPr>
          <w:b/>
          <w:sz w:val="24"/>
          <w:szCs w:val="24"/>
          <w:u w:val="single"/>
        </w:rPr>
      </w:pPr>
    </w:p>
    <w:p w14:paraId="4A3C0293">
      <w:pPr>
        <w:jc w:val="center"/>
        <w:rPr>
          <w:b/>
          <w:sz w:val="24"/>
          <w:szCs w:val="24"/>
          <w:u w:val="single"/>
        </w:rPr>
      </w:pPr>
      <w:r>
        <w:rPr>
          <w:b/>
          <w:sz w:val="24"/>
          <w:szCs w:val="24"/>
          <w:u w:val="single"/>
        </w:rPr>
        <w:t>Anexo II – Cadastro de Reserva</w:t>
      </w:r>
    </w:p>
    <w:p w14:paraId="7B3BAF3E">
      <w:pPr>
        <w:rPr>
          <w:rFonts w:eastAsia="Arial"/>
          <w:b/>
          <w:sz w:val="24"/>
          <w:szCs w:val="24"/>
        </w:rPr>
      </w:pPr>
    </w:p>
    <w:p w14:paraId="3BBEE8AA">
      <w:pPr>
        <w:rPr>
          <w:rFonts w:eastAsia="Arial"/>
          <w:b/>
          <w:sz w:val="24"/>
          <w:szCs w:val="24"/>
        </w:rPr>
      </w:pPr>
      <w:r>
        <w:rPr>
          <w:rFonts w:eastAsia="Arial"/>
          <w:b/>
          <w:sz w:val="24"/>
          <w:szCs w:val="24"/>
        </w:rPr>
        <w:t>ATA DE REGISTRO DE PREÇOS nº ___/202</w:t>
      </w:r>
      <w:r>
        <w:rPr>
          <w:rFonts w:eastAsia="Arial"/>
          <w:b/>
          <w:color w:val="FF0000"/>
          <w:sz w:val="24"/>
          <w:szCs w:val="24"/>
        </w:rPr>
        <w:t>...._</w:t>
      </w:r>
      <w:r>
        <w:rPr>
          <w:rFonts w:eastAsia="Arial"/>
          <w:b/>
          <w:sz w:val="24"/>
          <w:szCs w:val="24"/>
        </w:rPr>
        <w:t>__</w:t>
      </w:r>
    </w:p>
    <w:p w14:paraId="25F0A770">
      <w:pPr>
        <w:rPr>
          <w:rFonts w:eastAsia="Arial"/>
          <w:b/>
          <w:sz w:val="24"/>
          <w:szCs w:val="24"/>
        </w:rPr>
      </w:pPr>
      <w:r>
        <w:rPr>
          <w:rFonts w:eastAsia="Arial"/>
          <w:b/>
          <w:sz w:val="24"/>
          <w:szCs w:val="24"/>
        </w:rPr>
        <w:t>ÓRGÃO GERENCIADOR:</w:t>
      </w:r>
    </w:p>
    <w:p w14:paraId="1C5439D3">
      <w:pPr>
        <w:rPr>
          <w:rFonts w:eastAsia="Arial"/>
          <w:b/>
          <w:sz w:val="24"/>
          <w:szCs w:val="24"/>
        </w:rPr>
      </w:pPr>
      <w:r>
        <w:rPr>
          <w:rFonts w:eastAsia="Arial"/>
          <w:b/>
          <w:sz w:val="24"/>
          <w:szCs w:val="24"/>
        </w:rPr>
        <w:t>OBJETO:</w:t>
      </w:r>
    </w:p>
    <w:p w14:paraId="663B07BA">
      <w:pPr>
        <w:rPr>
          <w:rFonts w:eastAsia="Arial"/>
          <w:b/>
          <w:sz w:val="24"/>
          <w:szCs w:val="24"/>
        </w:rPr>
      </w:pPr>
    </w:p>
    <w:p w14:paraId="01A44DA1">
      <w:pPr>
        <w:jc w:val="both"/>
        <w:rPr>
          <w:rFonts w:eastAsia="Arial"/>
          <w:b/>
          <w:sz w:val="24"/>
          <w:szCs w:val="24"/>
        </w:rPr>
      </w:pPr>
      <w:r>
        <w:rPr>
          <w:rFonts w:eastAsia="Arial"/>
          <w:b/>
          <w:sz w:val="24"/>
          <w:szCs w:val="24"/>
        </w:rPr>
        <w:t xml:space="preserve">FORNECEDOR nº1 DO CADASTRO DE RESERVA: </w:t>
      </w:r>
      <w:r>
        <w:rPr>
          <w:sz w:val="24"/>
          <w:szCs w:val="24"/>
        </w:rPr>
        <w:t xml:space="preserve">empresa </w:t>
      </w:r>
      <w:r>
        <w:rPr>
          <w:color w:val="FF0000"/>
          <w:sz w:val="24"/>
          <w:szCs w:val="24"/>
        </w:rPr>
        <w:t>.............</w:t>
      </w:r>
      <w:r>
        <w:rPr>
          <w:sz w:val="24"/>
          <w:szCs w:val="24"/>
        </w:rPr>
        <w:t xml:space="preserve">, situada na Rua </w:t>
      </w:r>
      <w:r>
        <w:rPr>
          <w:color w:val="FF0000"/>
          <w:sz w:val="24"/>
          <w:szCs w:val="24"/>
        </w:rPr>
        <w:t>.............</w:t>
      </w:r>
      <w:r>
        <w:rPr>
          <w:sz w:val="24"/>
          <w:szCs w:val="24"/>
        </w:rPr>
        <w:t xml:space="preserve">, Bairro </w:t>
      </w:r>
      <w:r>
        <w:rPr>
          <w:color w:val="FF0000"/>
          <w:sz w:val="24"/>
          <w:szCs w:val="24"/>
        </w:rPr>
        <w:t>.............</w:t>
      </w:r>
      <w:r>
        <w:rPr>
          <w:sz w:val="24"/>
          <w:szCs w:val="24"/>
        </w:rPr>
        <w:t xml:space="preserve">, Cidade </w:t>
      </w:r>
      <w:r>
        <w:rPr>
          <w:color w:val="FF0000"/>
          <w:sz w:val="24"/>
          <w:szCs w:val="24"/>
        </w:rPr>
        <w:t>.............</w:t>
      </w:r>
      <w:r>
        <w:rPr>
          <w:sz w:val="24"/>
          <w:szCs w:val="24"/>
        </w:rPr>
        <w:t xml:space="preserve"> e inscrita no CNPJ/MF sob o nº </w:t>
      </w:r>
      <w:r>
        <w:rPr>
          <w:color w:val="FF0000"/>
          <w:sz w:val="24"/>
          <w:szCs w:val="24"/>
        </w:rPr>
        <w:t>.............</w:t>
      </w:r>
      <w:r>
        <w:rPr>
          <w:sz w:val="24"/>
          <w:szCs w:val="24"/>
        </w:rPr>
        <w:t xml:space="preserve">, representada neste ato por </w:t>
      </w:r>
      <w:r>
        <w:rPr>
          <w:color w:val="FF0000"/>
          <w:sz w:val="24"/>
          <w:szCs w:val="24"/>
        </w:rPr>
        <w:t>.............</w:t>
      </w:r>
      <w:r>
        <w:rPr>
          <w:sz w:val="24"/>
          <w:szCs w:val="24"/>
        </w:rPr>
        <w:t xml:space="preserve">, cédula de identidade nº </w:t>
      </w:r>
      <w:r>
        <w:rPr>
          <w:color w:val="FF0000"/>
          <w:sz w:val="24"/>
          <w:szCs w:val="24"/>
        </w:rPr>
        <w:t>.............</w:t>
      </w:r>
      <w:r>
        <w:rPr>
          <w:sz w:val="24"/>
          <w:szCs w:val="24"/>
        </w:rPr>
        <w:t xml:space="preserve">,  domiciliada na Rua </w:t>
      </w:r>
      <w:r>
        <w:rPr>
          <w:color w:val="FF0000"/>
          <w:sz w:val="24"/>
          <w:szCs w:val="24"/>
        </w:rPr>
        <w:t>.............</w:t>
      </w:r>
      <w:r>
        <w:rPr>
          <w:color w:val="000000"/>
          <w:sz w:val="24"/>
          <w:szCs w:val="24"/>
        </w:rPr>
        <w:t xml:space="preserve">, Cidade </w:t>
      </w:r>
      <w:r>
        <w:rPr>
          <w:color w:val="FF0000"/>
          <w:sz w:val="24"/>
          <w:szCs w:val="24"/>
        </w:rPr>
        <w:t>.............</w:t>
      </w:r>
      <w:r>
        <w:rPr>
          <w:color w:val="000000"/>
          <w:sz w:val="24"/>
          <w:szCs w:val="24"/>
        </w:rPr>
        <w:t xml:space="preserve">; </w:t>
      </w:r>
    </w:p>
    <w:p w14:paraId="1742D1E9">
      <w:pPr>
        <w:rPr>
          <w:rFonts w:eastAsia="Arial"/>
          <w:b/>
          <w:sz w:val="24"/>
          <w:szCs w:val="24"/>
        </w:rPr>
      </w:pPr>
    </w:p>
    <w:p w14:paraId="797BA8DD">
      <w:pPr>
        <w:rPr>
          <w:rFonts w:eastAsia="Arial"/>
          <w:b/>
          <w:sz w:val="24"/>
          <w:szCs w:val="24"/>
        </w:rPr>
      </w:pPr>
    </w:p>
    <w:p w14:paraId="180A2E18">
      <w:pPr>
        <w:jc w:val="both"/>
        <w:rPr>
          <w:rFonts w:eastAsia="Arial"/>
          <w:b/>
          <w:sz w:val="24"/>
          <w:szCs w:val="24"/>
        </w:rPr>
      </w:pPr>
      <w:r>
        <w:rPr>
          <w:rFonts w:eastAsia="Arial"/>
          <w:b/>
          <w:sz w:val="24"/>
          <w:szCs w:val="24"/>
        </w:rPr>
        <w:t xml:space="preserve">FORNECEDOR nº2 DO CADASTRO DE RESERVA: </w:t>
      </w:r>
      <w:r>
        <w:rPr>
          <w:sz w:val="24"/>
          <w:szCs w:val="24"/>
        </w:rPr>
        <w:t xml:space="preserve">empresa </w:t>
      </w:r>
      <w:r>
        <w:rPr>
          <w:color w:val="FF0000"/>
          <w:sz w:val="24"/>
          <w:szCs w:val="24"/>
        </w:rPr>
        <w:t>.............</w:t>
      </w:r>
      <w:r>
        <w:rPr>
          <w:sz w:val="24"/>
          <w:szCs w:val="24"/>
        </w:rPr>
        <w:t xml:space="preserve">, situada na Rua </w:t>
      </w:r>
      <w:r>
        <w:rPr>
          <w:color w:val="FF0000"/>
          <w:sz w:val="24"/>
          <w:szCs w:val="24"/>
        </w:rPr>
        <w:t>.............</w:t>
      </w:r>
      <w:r>
        <w:rPr>
          <w:sz w:val="24"/>
          <w:szCs w:val="24"/>
        </w:rPr>
        <w:t xml:space="preserve">, Bairro </w:t>
      </w:r>
      <w:r>
        <w:rPr>
          <w:color w:val="FF0000"/>
          <w:sz w:val="24"/>
          <w:szCs w:val="24"/>
        </w:rPr>
        <w:t>.............</w:t>
      </w:r>
      <w:r>
        <w:rPr>
          <w:sz w:val="24"/>
          <w:szCs w:val="24"/>
        </w:rPr>
        <w:t xml:space="preserve">, Cidade </w:t>
      </w:r>
      <w:r>
        <w:rPr>
          <w:color w:val="FF0000"/>
          <w:sz w:val="24"/>
          <w:szCs w:val="24"/>
        </w:rPr>
        <w:t>.............</w:t>
      </w:r>
      <w:r>
        <w:rPr>
          <w:sz w:val="24"/>
          <w:szCs w:val="24"/>
        </w:rPr>
        <w:t xml:space="preserve"> e inscrita no CNPJ/MF sob o nº </w:t>
      </w:r>
      <w:r>
        <w:rPr>
          <w:color w:val="FF0000"/>
          <w:sz w:val="24"/>
          <w:szCs w:val="24"/>
        </w:rPr>
        <w:t>.............</w:t>
      </w:r>
      <w:r>
        <w:rPr>
          <w:sz w:val="24"/>
          <w:szCs w:val="24"/>
        </w:rPr>
        <w:t xml:space="preserve">, representada neste ato por </w:t>
      </w:r>
      <w:r>
        <w:rPr>
          <w:color w:val="FF0000"/>
          <w:sz w:val="24"/>
          <w:szCs w:val="24"/>
        </w:rPr>
        <w:t>.............</w:t>
      </w:r>
      <w:r>
        <w:rPr>
          <w:sz w:val="24"/>
          <w:szCs w:val="24"/>
        </w:rPr>
        <w:t xml:space="preserve">, cédula de identidade nº </w:t>
      </w:r>
      <w:r>
        <w:rPr>
          <w:color w:val="FF0000"/>
          <w:sz w:val="24"/>
          <w:szCs w:val="24"/>
        </w:rPr>
        <w:t>.............</w:t>
      </w:r>
      <w:r>
        <w:rPr>
          <w:sz w:val="24"/>
          <w:szCs w:val="24"/>
        </w:rPr>
        <w:t xml:space="preserve">,  domiciliada na Rua </w:t>
      </w:r>
      <w:r>
        <w:rPr>
          <w:color w:val="FF0000"/>
          <w:sz w:val="24"/>
          <w:szCs w:val="24"/>
        </w:rPr>
        <w:t>.............</w:t>
      </w:r>
      <w:r>
        <w:rPr>
          <w:color w:val="000000"/>
          <w:sz w:val="24"/>
          <w:szCs w:val="24"/>
        </w:rPr>
        <w:t xml:space="preserve">, Cidade </w:t>
      </w:r>
      <w:r>
        <w:rPr>
          <w:color w:val="FF0000"/>
          <w:sz w:val="24"/>
          <w:szCs w:val="24"/>
        </w:rPr>
        <w:t>.............</w:t>
      </w:r>
      <w:r>
        <w:rPr>
          <w:color w:val="000000"/>
          <w:sz w:val="24"/>
          <w:szCs w:val="24"/>
        </w:rPr>
        <w:t xml:space="preserve">; </w:t>
      </w:r>
    </w:p>
    <w:p w14:paraId="59971E11">
      <w:pPr>
        <w:rPr>
          <w:rFonts w:eastAsia="Arial"/>
          <w:b/>
          <w:sz w:val="24"/>
          <w:szCs w:val="24"/>
        </w:rPr>
      </w:pPr>
    </w:p>
    <w:p w14:paraId="156959BB">
      <w:pPr>
        <w:rPr>
          <w:rFonts w:eastAsia="Arial"/>
          <w:b/>
          <w:sz w:val="24"/>
          <w:szCs w:val="24"/>
        </w:rPr>
      </w:pPr>
    </w:p>
    <w:p w14:paraId="05A40F76">
      <w:pPr>
        <w:jc w:val="both"/>
        <w:rPr>
          <w:rFonts w:eastAsia="Arial"/>
          <w:b/>
          <w:sz w:val="24"/>
          <w:szCs w:val="24"/>
        </w:rPr>
      </w:pPr>
      <w:r>
        <w:rPr>
          <w:rFonts w:eastAsia="Arial"/>
          <w:b/>
          <w:sz w:val="24"/>
          <w:szCs w:val="24"/>
        </w:rPr>
        <w:t xml:space="preserve">FORNECEDOR nº3 DO CADASTRO DE RESERVA: </w:t>
      </w:r>
      <w:r>
        <w:rPr>
          <w:sz w:val="24"/>
          <w:szCs w:val="24"/>
        </w:rPr>
        <w:t xml:space="preserve">empresa </w:t>
      </w:r>
      <w:r>
        <w:rPr>
          <w:color w:val="FF0000"/>
          <w:sz w:val="24"/>
          <w:szCs w:val="24"/>
        </w:rPr>
        <w:t>.............</w:t>
      </w:r>
      <w:r>
        <w:rPr>
          <w:sz w:val="24"/>
          <w:szCs w:val="24"/>
        </w:rPr>
        <w:t xml:space="preserve">, situada na Rua </w:t>
      </w:r>
      <w:r>
        <w:rPr>
          <w:color w:val="FF0000"/>
          <w:sz w:val="24"/>
          <w:szCs w:val="24"/>
        </w:rPr>
        <w:t>.............</w:t>
      </w:r>
      <w:r>
        <w:rPr>
          <w:sz w:val="24"/>
          <w:szCs w:val="24"/>
        </w:rPr>
        <w:t xml:space="preserve">, Bairro </w:t>
      </w:r>
      <w:r>
        <w:rPr>
          <w:color w:val="FF0000"/>
          <w:sz w:val="24"/>
          <w:szCs w:val="24"/>
        </w:rPr>
        <w:t>.............</w:t>
      </w:r>
      <w:r>
        <w:rPr>
          <w:sz w:val="24"/>
          <w:szCs w:val="24"/>
        </w:rPr>
        <w:t xml:space="preserve">, Cidade </w:t>
      </w:r>
      <w:r>
        <w:rPr>
          <w:color w:val="FF0000"/>
          <w:sz w:val="24"/>
          <w:szCs w:val="24"/>
        </w:rPr>
        <w:t>.............</w:t>
      </w:r>
      <w:r>
        <w:rPr>
          <w:sz w:val="24"/>
          <w:szCs w:val="24"/>
        </w:rPr>
        <w:t xml:space="preserve"> e inscrita no CNPJ/MF sob o nº </w:t>
      </w:r>
      <w:r>
        <w:rPr>
          <w:color w:val="FF0000"/>
          <w:sz w:val="24"/>
          <w:szCs w:val="24"/>
        </w:rPr>
        <w:t>.............</w:t>
      </w:r>
      <w:r>
        <w:rPr>
          <w:sz w:val="24"/>
          <w:szCs w:val="24"/>
        </w:rPr>
        <w:t xml:space="preserve">, representada neste ato por </w:t>
      </w:r>
      <w:r>
        <w:rPr>
          <w:color w:val="FF0000"/>
          <w:sz w:val="24"/>
          <w:szCs w:val="24"/>
        </w:rPr>
        <w:t>.............</w:t>
      </w:r>
      <w:r>
        <w:rPr>
          <w:sz w:val="24"/>
          <w:szCs w:val="24"/>
        </w:rPr>
        <w:t xml:space="preserve">, cédula de identidade nº </w:t>
      </w:r>
      <w:r>
        <w:rPr>
          <w:color w:val="FF0000"/>
          <w:sz w:val="24"/>
          <w:szCs w:val="24"/>
        </w:rPr>
        <w:t>.............</w:t>
      </w:r>
      <w:r>
        <w:rPr>
          <w:sz w:val="24"/>
          <w:szCs w:val="24"/>
        </w:rPr>
        <w:t xml:space="preserve">,  domiciliada na Rua </w:t>
      </w:r>
      <w:r>
        <w:rPr>
          <w:color w:val="FF0000"/>
          <w:sz w:val="24"/>
          <w:szCs w:val="24"/>
        </w:rPr>
        <w:t>.............</w:t>
      </w:r>
      <w:r>
        <w:rPr>
          <w:color w:val="000000"/>
          <w:sz w:val="24"/>
          <w:szCs w:val="24"/>
        </w:rPr>
        <w:t xml:space="preserve">, Cidade </w:t>
      </w:r>
      <w:r>
        <w:rPr>
          <w:color w:val="FF0000"/>
          <w:sz w:val="24"/>
          <w:szCs w:val="24"/>
        </w:rPr>
        <w:t>.............</w:t>
      </w:r>
      <w:r>
        <w:rPr>
          <w:color w:val="000000"/>
          <w:sz w:val="24"/>
          <w:szCs w:val="24"/>
        </w:rPr>
        <w:t xml:space="preserve">; </w:t>
      </w:r>
    </w:p>
    <w:p w14:paraId="01F1E203">
      <w:pPr>
        <w:rPr>
          <w:rFonts w:eastAsia="Arial"/>
          <w:b/>
          <w:sz w:val="24"/>
          <w:szCs w:val="24"/>
        </w:rPr>
      </w:pPr>
    </w:p>
    <w:p w14:paraId="37782CC9">
      <w:pPr>
        <w:spacing w:line="288" w:lineRule="auto"/>
        <w:jc w:val="center"/>
        <w:rPr>
          <w:rFonts w:eastAsia="Arial"/>
          <w:b/>
          <w:sz w:val="24"/>
          <w:szCs w:val="24"/>
        </w:rPr>
      </w:pP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53"/>
        <w:gridCol w:w="4223"/>
      </w:tblGrid>
      <w:tr w14:paraId="7E3A8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4" w:type="dxa"/>
            <w:shd w:val="clear" w:color="auto" w:fill="auto"/>
          </w:tcPr>
          <w:p w14:paraId="185AEE7F">
            <w:pPr>
              <w:spacing w:line="288" w:lineRule="auto"/>
              <w:jc w:val="center"/>
              <w:rPr>
                <w:rFonts w:eastAsia="Arial"/>
                <w:b/>
                <w:sz w:val="24"/>
                <w:szCs w:val="24"/>
              </w:rPr>
            </w:pPr>
            <w:r>
              <w:rPr>
                <w:rFonts w:eastAsia="Arial"/>
                <w:b/>
                <w:sz w:val="24"/>
                <w:szCs w:val="24"/>
              </w:rPr>
              <w:t>FORNECEDOR</w:t>
            </w:r>
          </w:p>
        </w:tc>
        <w:tc>
          <w:tcPr>
            <w:tcW w:w="7072" w:type="dxa"/>
            <w:shd w:val="clear" w:color="auto" w:fill="auto"/>
          </w:tcPr>
          <w:p w14:paraId="737C2F96">
            <w:pPr>
              <w:spacing w:line="288" w:lineRule="auto"/>
              <w:jc w:val="center"/>
              <w:rPr>
                <w:rFonts w:eastAsia="Arial"/>
                <w:b/>
                <w:sz w:val="24"/>
                <w:szCs w:val="24"/>
              </w:rPr>
            </w:pPr>
            <w:r>
              <w:rPr>
                <w:rFonts w:eastAsia="Arial"/>
                <w:b/>
                <w:sz w:val="24"/>
                <w:szCs w:val="24"/>
              </w:rPr>
              <w:t>ITEM</w:t>
            </w:r>
          </w:p>
        </w:tc>
      </w:tr>
      <w:tr w14:paraId="56218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4" w:type="dxa"/>
            <w:shd w:val="clear" w:color="auto" w:fill="auto"/>
          </w:tcPr>
          <w:p w14:paraId="26AE3F2C">
            <w:pPr>
              <w:spacing w:line="288" w:lineRule="auto"/>
              <w:jc w:val="center"/>
              <w:rPr>
                <w:rFonts w:eastAsia="Arial"/>
                <w:b/>
                <w:sz w:val="24"/>
                <w:szCs w:val="24"/>
              </w:rPr>
            </w:pPr>
          </w:p>
        </w:tc>
        <w:tc>
          <w:tcPr>
            <w:tcW w:w="7072" w:type="dxa"/>
            <w:shd w:val="clear" w:color="auto" w:fill="auto"/>
          </w:tcPr>
          <w:p w14:paraId="05BA4624">
            <w:pPr>
              <w:spacing w:line="288" w:lineRule="auto"/>
              <w:jc w:val="center"/>
              <w:rPr>
                <w:rFonts w:eastAsia="Arial"/>
                <w:b/>
                <w:sz w:val="24"/>
                <w:szCs w:val="24"/>
              </w:rPr>
            </w:pPr>
          </w:p>
        </w:tc>
      </w:tr>
    </w:tbl>
    <w:p w14:paraId="6044DAF8">
      <w:pPr>
        <w:spacing w:line="288" w:lineRule="auto"/>
        <w:jc w:val="center"/>
        <w:rPr>
          <w:rFonts w:eastAsia="Arial"/>
          <w:b/>
          <w:sz w:val="24"/>
          <w:szCs w:val="24"/>
        </w:rPr>
      </w:pPr>
    </w:p>
    <w:p w14:paraId="4C9153FB">
      <w:pPr>
        <w:spacing w:line="288" w:lineRule="auto"/>
        <w:contextualSpacing/>
        <w:rPr>
          <w:b/>
          <w:bCs/>
          <w:sz w:val="24"/>
          <w:szCs w:val="24"/>
        </w:rPr>
      </w:pPr>
    </w:p>
    <w:p w14:paraId="7E4F8FA2">
      <w:pPr>
        <w:spacing w:line="288" w:lineRule="auto"/>
        <w:contextualSpacing/>
        <w:jc w:val="center"/>
        <w:rPr>
          <w:b/>
          <w:bCs/>
          <w:color w:val="000000" w:themeColor="text1"/>
          <w:sz w:val="24"/>
          <w:szCs w:val="24"/>
          <w14:textFill>
            <w14:solidFill>
              <w14:schemeClr w14:val="tx1"/>
            </w14:solidFill>
          </w14:textFill>
        </w:rPr>
      </w:pPr>
    </w:p>
    <w:p w14:paraId="4D4636AE">
      <w:pPr>
        <w:pStyle w:val="97"/>
        <w:spacing w:before="0" w:beforeAutospacing="0" w:after="0" w:afterAutospacing="0" w:line="360" w:lineRule="auto"/>
        <w:ind w:right="-1" w:firstLine="993"/>
        <w:rPr>
          <w:rFonts w:eastAsia="Calibri"/>
          <w:b/>
          <w:bCs/>
          <w:highlight w:val="yellow"/>
          <w:u w:val="single"/>
          <w:lang w:eastAsia="en-US"/>
        </w:rPr>
      </w:pPr>
      <w:r>
        <w:rPr>
          <w:rFonts w:eastAsia="Calibri"/>
          <w:b/>
          <w:bCs/>
          <w:lang w:eastAsia="en-US"/>
        </w:rPr>
        <w:t xml:space="preserve">                                                    </w:t>
      </w:r>
      <w:r>
        <w:rPr>
          <w:rFonts w:eastAsia="Calibri"/>
          <w:b/>
          <w:bCs/>
          <w:highlight w:val="yellow"/>
          <w:u w:val="single"/>
          <w:lang w:eastAsia="en-US"/>
        </w:rPr>
        <w:t>ANEXO VII</w:t>
      </w:r>
    </w:p>
    <w:p w14:paraId="19ACA2BB">
      <w:pPr>
        <w:spacing w:line="288" w:lineRule="auto"/>
        <w:contextualSpacing/>
        <w:jc w:val="center"/>
        <w:rPr>
          <w:b/>
          <w:bCs/>
          <w:sz w:val="24"/>
          <w:szCs w:val="24"/>
          <w:u w:val="single"/>
        </w:rPr>
      </w:pPr>
      <w:r>
        <w:rPr>
          <w:b/>
          <w:bCs/>
          <w:sz w:val="24"/>
          <w:szCs w:val="24"/>
          <w:highlight w:val="yellow"/>
          <w:u w:val="single"/>
        </w:rPr>
        <w:t>MINUTA- CONTRATO</w:t>
      </w:r>
      <w:r>
        <w:rPr>
          <w:b/>
          <w:bCs/>
          <w:sz w:val="24"/>
          <w:szCs w:val="24"/>
          <w:u w:val="single"/>
        </w:rPr>
        <w:t xml:space="preserve"> </w:t>
      </w:r>
    </w:p>
    <w:p w14:paraId="6D181AED">
      <w:pPr>
        <w:spacing w:line="288" w:lineRule="auto"/>
        <w:contextualSpacing/>
        <w:jc w:val="both"/>
        <w:rPr>
          <w:color w:val="000000" w:themeColor="text1"/>
          <w:sz w:val="24"/>
          <w:szCs w:val="24"/>
          <w14:textFill>
            <w14:solidFill>
              <w14:schemeClr w14:val="tx1"/>
            </w14:solidFill>
          </w14:textFill>
        </w:rPr>
      </w:pPr>
    </w:p>
    <w:p w14:paraId="73579F18">
      <w:pPr>
        <w:spacing w:line="288" w:lineRule="auto"/>
        <w:ind w:left="3544"/>
        <w:contextualSpacing/>
        <w:jc w:val="both"/>
        <w:rPr>
          <w:b/>
          <w:sz w:val="24"/>
          <w:szCs w:val="24"/>
        </w:rPr>
      </w:pPr>
      <w:r>
        <w:rPr>
          <w:b/>
          <w:sz w:val="24"/>
          <w:szCs w:val="24"/>
        </w:rPr>
        <w:t xml:space="preserve">CONTRATO Nº XXX/2026, DE </w:t>
      </w:r>
      <w:r>
        <w:rPr>
          <w:rFonts w:eastAsia="Cambria"/>
          <w:b/>
          <w:sz w:val="24"/>
          <w:szCs w:val="24"/>
        </w:rPr>
        <w:t xml:space="preserve">AQUISIÇÃO DE KITS BUCAIS E ESCOVAS ELÉTRICAS - </w:t>
      </w:r>
      <w:r>
        <w:rPr>
          <w:rFonts w:eastAsia="Cambria" w:asciiTheme="minorHAnsi" w:hAnsiTheme="minorHAnsi" w:cstheme="minorHAnsi"/>
          <w:sz w:val="24"/>
          <w:szCs w:val="24"/>
        </w:rPr>
        <w:t xml:space="preserve"> </w:t>
      </w:r>
      <w:r>
        <w:rPr>
          <w:b/>
          <w:sz w:val="24"/>
          <w:szCs w:val="24"/>
        </w:rPr>
        <w:t xml:space="preserve">QUE FAZEM ENTRE SI O </w:t>
      </w:r>
      <w:r>
        <w:rPr>
          <w:b/>
          <w:bCs/>
          <w:sz w:val="24"/>
          <w:szCs w:val="24"/>
        </w:rPr>
        <w:t>MUNICÍPIO DE VALENÇA, PELA SECRETARIA MUNICIPAL DE SAÚDE.</w:t>
      </w:r>
    </w:p>
    <w:p w14:paraId="0646D28E">
      <w:pPr>
        <w:spacing w:line="288" w:lineRule="auto"/>
        <w:contextualSpacing/>
        <w:jc w:val="both"/>
        <w:rPr>
          <w:rFonts w:eastAsia="Arial"/>
          <w:b/>
          <w:bCs/>
          <w:color w:val="000000" w:themeColor="text1"/>
          <w:sz w:val="24"/>
          <w:szCs w:val="24"/>
          <w14:textFill>
            <w14:solidFill>
              <w14:schemeClr w14:val="tx1"/>
            </w14:solidFill>
          </w14:textFill>
        </w:rPr>
      </w:pPr>
    </w:p>
    <w:p w14:paraId="66083D31">
      <w:pPr>
        <w:spacing w:line="288" w:lineRule="auto"/>
        <w:contextualSpacing/>
        <w:jc w:val="both"/>
        <w:rPr>
          <w:color w:val="000000" w:themeColor="text1"/>
          <w:sz w:val="24"/>
          <w:szCs w:val="24"/>
          <w14:textFill>
            <w14:solidFill>
              <w14:schemeClr w14:val="tx1"/>
            </w14:solidFill>
          </w14:textFill>
        </w:rPr>
      </w:pPr>
      <w:r>
        <w:rPr>
          <w:rFonts w:eastAsia="Arial"/>
          <w:b/>
          <w:bCs/>
          <w:color w:val="000000" w:themeColor="text1"/>
          <w:sz w:val="24"/>
          <w:szCs w:val="24"/>
          <w14:textFill>
            <w14:solidFill>
              <w14:schemeClr w14:val="tx1"/>
            </w14:solidFill>
          </w14:textFill>
        </w:rPr>
        <w:t xml:space="preserve">O MUNICÍPIO DE VALENÇA, </w:t>
      </w:r>
      <w:r>
        <w:rPr>
          <w:b/>
          <w:bCs/>
          <w:color w:val="000000" w:themeColor="text1"/>
          <w:sz w:val="24"/>
          <w:szCs w:val="24"/>
          <w14:textFill>
            <w14:solidFill>
              <w14:schemeClr w14:val="tx1"/>
            </w14:solidFill>
          </w14:textFill>
        </w:rPr>
        <w:t>pela SECRETARIA MUNICIPAL DE SAÚDE</w:t>
      </w:r>
      <w:r>
        <w:rPr>
          <w:color w:val="000000" w:themeColor="text1"/>
          <w:sz w:val="24"/>
          <w:szCs w:val="24"/>
          <w14:textFill>
            <w14:solidFill>
              <w14:schemeClr w14:val="tx1"/>
            </w14:solidFill>
          </w14:textFill>
        </w:rPr>
        <w:t xml:space="preserve">, com sede na Rua Dr. Figueiredo, nº 320, na cidade de Valença, no Estado do Rio de Janeiro, inscrita no CNPJ sob o nº </w:t>
      </w:r>
      <w:r>
        <w:rPr>
          <w:sz w:val="24"/>
          <w:szCs w:val="24"/>
        </w:rPr>
        <w:t>29.076.130/0001-90</w:t>
      </w:r>
      <w:r>
        <w:rPr>
          <w:color w:val="000000" w:themeColor="text1"/>
          <w:sz w:val="24"/>
          <w:szCs w:val="24"/>
          <w14:textFill>
            <w14:solidFill>
              <w14:schemeClr w14:val="tx1"/>
            </w14:solidFill>
          </w14:textFill>
        </w:rPr>
        <w:t xml:space="preserve">, neste ato representada por Rafael de Oliveira Tavares, portador do CPF nº 105.832.167-65 doravante denominado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e xxx, com sede na xxxx, inscrita no CNPJ/MF sob o nº xxx, neste ato representada por .................................. (nome e função), conforme atos constitutivos da empresa, doravante denominado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com fundamento no Processo SEI nº......., que se regerá pelas disposições da Lei nº 14.133, de 1º de abril de 2021, </w:t>
      </w:r>
      <w:r>
        <w:rPr>
          <w:rFonts w:eastAsia="Arial"/>
          <w:color w:val="000000" w:themeColor="text1"/>
          <w:sz w:val="24"/>
          <w:szCs w:val="24"/>
          <w14:textFill>
            <w14:solidFill>
              <w14:schemeClr w14:val="tx1"/>
            </w14:solidFill>
          </w14:textFill>
        </w:rPr>
        <w:t xml:space="preserve">e pelos normativos municipais aplicáveis, todos disponíveis </w:t>
      </w:r>
      <w:r>
        <w:rPr>
          <w:color w:val="000000" w:themeColor="text1"/>
          <w:sz w:val="24"/>
          <w:szCs w:val="24"/>
          <w14:textFill>
            <w14:solidFill>
              <w14:schemeClr w14:val="tx1"/>
            </w14:solidFill>
          </w14:textFill>
        </w:rPr>
        <w:t>no endereço eletrônico https://valenca.rj.gov.br/, resolvem celebrar o presente instrumento de Contrato, decorrente do Pregão Eletrônico nº xxx/2026 mediante as cláusulas e condições a seguir enunciadas.</w:t>
      </w:r>
    </w:p>
    <w:p w14:paraId="65207610">
      <w:pPr>
        <w:spacing w:line="288" w:lineRule="auto"/>
        <w:contextualSpacing/>
        <w:jc w:val="both"/>
        <w:rPr>
          <w:color w:val="000000" w:themeColor="text1"/>
          <w:sz w:val="24"/>
          <w:szCs w:val="24"/>
          <w14:textFill>
            <w14:solidFill>
              <w14:schemeClr w14:val="tx1"/>
            </w14:solidFill>
          </w14:textFill>
        </w:rPr>
      </w:pPr>
    </w:p>
    <w:p w14:paraId="295E27EB">
      <w:pPr>
        <w:pStyle w:val="101"/>
        <w:spacing w:before="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CLÁUSULA PRIMEIRA – OBJETO</w:t>
      </w:r>
    </w:p>
    <w:p w14:paraId="1C2E2FA0">
      <w:pPr>
        <w:spacing w:line="288" w:lineRule="auto"/>
        <w:contextualSpacing/>
        <w:rPr>
          <w:sz w:val="24"/>
          <w:szCs w:val="24"/>
        </w:rPr>
      </w:pPr>
    </w:p>
    <w:p w14:paraId="75193640">
      <w:pPr>
        <w:spacing w:after="112" w:line="360" w:lineRule="auto"/>
        <w:rPr>
          <w:rFonts w:eastAsia="SimSun"/>
        </w:rPr>
      </w:pPr>
      <w:r>
        <w:rPr>
          <w:rFonts w:eastAsia="Cambria Math"/>
          <w:sz w:val="24"/>
          <w:szCs w:val="24"/>
        </w:rPr>
        <w:t>A</w:t>
      </w:r>
      <w:r>
        <w:rPr>
          <w:rFonts w:eastAsia="SimSun"/>
          <w:sz w:val="24"/>
          <w:szCs w:val="24"/>
        </w:rPr>
        <w:t>quisição de kits bucais e escovas elétricas, destinados ao atendimento das necessidades do Centro de Especialidades Odontológicas (CEO).</w:t>
      </w:r>
    </w:p>
    <w:p w14:paraId="36F90A7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p>
    <w:p w14:paraId="7EAFB6B2">
      <w:pPr>
        <w:ind w:left="-5"/>
        <w:rPr>
          <w:sz w:val="24"/>
          <w:szCs w:val="24"/>
        </w:rPr>
      </w:pPr>
    </w:p>
    <w:p w14:paraId="34AA33A4">
      <w:pPr>
        <w:pStyle w:val="99"/>
        <w:spacing w:before="0" w:after="0" w:line="288" w:lineRule="auto"/>
        <w:ind w:left="0" w:firstLine="0"/>
        <w:contextualSpacing/>
        <w:rPr>
          <w:rFonts w:ascii="Times New Roman" w:hAnsi="Times New Roman" w:cs="Times New Roman"/>
          <w:sz w:val="24"/>
          <w:szCs w:val="24"/>
        </w:rPr>
      </w:pPr>
    </w:p>
    <w:p w14:paraId="008BF698">
      <w:pPr>
        <w:pStyle w:val="99"/>
        <w:numPr>
          <w:ilvl w:val="1"/>
          <w:numId w:val="9"/>
        </w:numPr>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Objeto da contratação: </w:t>
      </w:r>
    </w:p>
    <w:p w14:paraId="147FDACC">
      <w:pPr>
        <w:pStyle w:val="99"/>
        <w:spacing w:before="0" w:after="0" w:line="288" w:lineRule="auto"/>
        <w:ind w:left="0" w:firstLine="0"/>
        <w:contextualSpacing/>
        <w:rPr>
          <w:rFonts w:ascii="Times New Roman" w:hAnsi="Times New Roman" w:cs="Times New Roman"/>
          <w:sz w:val="24"/>
          <w:szCs w:val="24"/>
        </w:rPr>
      </w:pPr>
    </w:p>
    <w:tbl>
      <w:tblPr>
        <w:tblStyle w:val="10"/>
        <w:tblW w:w="9649" w:type="dxa"/>
        <w:tblInd w:w="0" w:type="dxa"/>
        <w:tblLayout w:type="fixed"/>
        <w:tblCellMar>
          <w:top w:w="0" w:type="dxa"/>
          <w:left w:w="108" w:type="dxa"/>
          <w:bottom w:w="0" w:type="dxa"/>
          <w:right w:w="108" w:type="dxa"/>
        </w:tblCellMar>
      </w:tblPr>
      <w:tblGrid>
        <w:gridCol w:w="1021"/>
        <w:gridCol w:w="2240"/>
        <w:gridCol w:w="1277"/>
        <w:gridCol w:w="1134"/>
        <w:gridCol w:w="1709"/>
        <w:gridCol w:w="1279"/>
        <w:gridCol w:w="989"/>
      </w:tblGrid>
      <w:tr w14:paraId="483CA3A7">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07F972B8">
            <w:pPr>
              <w:widowControl w:val="0"/>
              <w:spacing w:line="288" w:lineRule="auto"/>
              <w:contextualSpacing/>
              <w:jc w:val="both"/>
              <w:rPr>
                <w:rFonts w:eastAsia="Arial"/>
                <w:b/>
                <w:bCs/>
                <w:color w:val="000000"/>
                <w:sz w:val="24"/>
                <w:szCs w:val="24"/>
              </w:rPr>
            </w:pPr>
            <w:r>
              <w:rPr>
                <w:rFonts w:eastAsia="Arial"/>
                <w:b/>
                <w:bCs/>
                <w:color w:val="000000"/>
                <w:sz w:val="24"/>
                <w:szCs w:val="24"/>
              </w:rPr>
              <w:t>ITEM</w:t>
            </w:r>
          </w:p>
          <w:p w14:paraId="07B2BB13">
            <w:pPr>
              <w:widowControl w:val="0"/>
              <w:spacing w:line="288" w:lineRule="auto"/>
              <w:contextualSpacing/>
              <w:jc w:val="both"/>
              <w:rPr>
                <w:rFonts w:eastAsia="Arial"/>
                <w:b/>
                <w:bCs/>
                <w:color w:val="000000"/>
                <w:sz w:val="24"/>
                <w:szCs w:val="24"/>
              </w:rPr>
            </w:pPr>
          </w:p>
        </w:tc>
        <w:tc>
          <w:tcPr>
            <w:tcW w:w="2240" w:type="dxa"/>
            <w:tcBorders>
              <w:top w:val="single" w:color="000000" w:sz="4" w:space="0"/>
              <w:left w:val="single" w:color="000000" w:sz="4" w:space="0"/>
              <w:bottom w:val="single" w:color="000000" w:sz="4" w:space="0"/>
              <w:right w:val="single" w:color="000000" w:sz="4" w:space="0"/>
            </w:tcBorders>
          </w:tcPr>
          <w:p w14:paraId="6EBF88E6">
            <w:pPr>
              <w:widowControl w:val="0"/>
              <w:spacing w:line="288" w:lineRule="auto"/>
              <w:contextualSpacing/>
              <w:jc w:val="both"/>
              <w:rPr>
                <w:rFonts w:eastAsia="Arial"/>
                <w:color w:val="000000"/>
                <w:sz w:val="24"/>
                <w:szCs w:val="24"/>
              </w:rPr>
            </w:pPr>
            <w:r>
              <w:rPr>
                <w:rFonts w:eastAsia="Arial"/>
                <w:b/>
                <w:bCs/>
                <w:color w:val="000000"/>
                <w:sz w:val="24"/>
                <w:szCs w:val="24"/>
              </w:rPr>
              <w:t>ESPECIFICAÇÃO</w:t>
            </w:r>
          </w:p>
        </w:tc>
        <w:tc>
          <w:tcPr>
            <w:tcW w:w="1277" w:type="dxa"/>
            <w:tcBorders>
              <w:top w:val="single" w:color="000000" w:sz="4" w:space="0"/>
              <w:left w:val="single" w:color="000000" w:sz="4" w:space="0"/>
              <w:bottom w:val="single" w:color="000000" w:sz="4" w:space="0"/>
              <w:right w:val="single" w:color="000000" w:sz="4" w:space="0"/>
            </w:tcBorders>
          </w:tcPr>
          <w:p w14:paraId="44F3E291">
            <w:pPr>
              <w:widowControl w:val="0"/>
              <w:spacing w:line="288" w:lineRule="auto"/>
              <w:contextualSpacing/>
              <w:jc w:val="both"/>
              <w:rPr>
                <w:rFonts w:eastAsia="Arial"/>
                <w:color w:val="000000"/>
                <w:sz w:val="24"/>
                <w:szCs w:val="24"/>
              </w:rPr>
            </w:pPr>
            <w:r>
              <w:rPr>
                <w:rFonts w:eastAsia="Arial"/>
                <w:b/>
                <w:bCs/>
                <w:color w:val="000000"/>
                <w:sz w:val="24"/>
                <w:szCs w:val="24"/>
              </w:rPr>
              <w:t>CATMAT</w:t>
            </w:r>
          </w:p>
        </w:tc>
        <w:tc>
          <w:tcPr>
            <w:tcW w:w="1134" w:type="dxa"/>
            <w:tcBorders>
              <w:top w:val="single" w:color="000000" w:sz="4" w:space="0"/>
              <w:left w:val="single" w:color="000000" w:sz="4" w:space="0"/>
              <w:bottom w:val="single" w:color="000000" w:sz="4" w:space="0"/>
              <w:right w:val="single" w:color="000000" w:sz="4" w:space="0"/>
            </w:tcBorders>
          </w:tcPr>
          <w:p w14:paraId="5B47B269">
            <w:pPr>
              <w:widowControl w:val="0"/>
              <w:spacing w:line="288" w:lineRule="auto"/>
              <w:contextualSpacing/>
              <w:jc w:val="both"/>
              <w:rPr>
                <w:rFonts w:eastAsia="Arial"/>
                <w:color w:val="000000"/>
                <w:sz w:val="24"/>
                <w:szCs w:val="24"/>
              </w:rPr>
            </w:pPr>
            <w:r>
              <w:rPr>
                <w:rFonts w:eastAsia="Arial"/>
                <w:b/>
                <w:bCs/>
                <w:color w:val="000000"/>
                <w:sz w:val="24"/>
                <w:szCs w:val="24"/>
              </w:rPr>
              <w:t>UNIDADE DE MEDIDA</w:t>
            </w:r>
          </w:p>
        </w:tc>
        <w:tc>
          <w:tcPr>
            <w:tcW w:w="1709" w:type="dxa"/>
            <w:tcBorders>
              <w:top w:val="single" w:color="000000" w:sz="4" w:space="0"/>
              <w:left w:val="single" w:color="000000" w:sz="4" w:space="0"/>
              <w:bottom w:val="single" w:color="000000" w:sz="4" w:space="0"/>
              <w:right w:val="single" w:color="000000" w:sz="4" w:space="0"/>
            </w:tcBorders>
          </w:tcPr>
          <w:p w14:paraId="689448E6">
            <w:pPr>
              <w:widowControl w:val="0"/>
              <w:spacing w:line="288" w:lineRule="auto"/>
              <w:contextualSpacing/>
              <w:jc w:val="both"/>
              <w:rPr>
                <w:rFonts w:eastAsia="Arial"/>
                <w:b/>
                <w:bCs/>
                <w:sz w:val="24"/>
                <w:szCs w:val="24"/>
              </w:rPr>
            </w:pPr>
            <w:r>
              <w:rPr>
                <w:rFonts w:eastAsia="Arial"/>
                <w:b/>
                <w:bCs/>
                <w:sz w:val="24"/>
                <w:szCs w:val="24"/>
              </w:rPr>
              <w:t>QUANTIDADE</w:t>
            </w:r>
          </w:p>
        </w:tc>
        <w:tc>
          <w:tcPr>
            <w:tcW w:w="1279" w:type="dxa"/>
            <w:tcBorders>
              <w:top w:val="single" w:color="000000" w:sz="4" w:space="0"/>
              <w:left w:val="single" w:color="000000" w:sz="4" w:space="0"/>
              <w:bottom w:val="single" w:color="000000" w:sz="4" w:space="0"/>
              <w:right w:val="single" w:color="000000" w:sz="4" w:space="0"/>
            </w:tcBorders>
          </w:tcPr>
          <w:p w14:paraId="1BBD88D5">
            <w:pPr>
              <w:widowControl w:val="0"/>
              <w:spacing w:line="288" w:lineRule="auto"/>
              <w:contextualSpacing/>
              <w:jc w:val="both"/>
              <w:rPr>
                <w:rFonts w:eastAsia="Arial"/>
                <w:b/>
                <w:bCs/>
                <w:sz w:val="24"/>
                <w:szCs w:val="24"/>
              </w:rPr>
            </w:pPr>
            <w:r>
              <w:rPr>
                <w:rFonts w:eastAsia="Arial"/>
                <w:b/>
                <w:bCs/>
                <w:sz w:val="24"/>
                <w:szCs w:val="24"/>
              </w:rPr>
              <w:t>VALOR UNITÁRIO</w:t>
            </w:r>
          </w:p>
        </w:tc>
        <w:tc>
          <w:tcPr>
            <w:tcW w:w="989" w:type="dxa"/>
            <w:tcBorders>
              <w:top w:val="single" w:color="000000" w:sz="4" w:space="0"/>
              <w:left w:val="single" w:color="000000" w:sz="4" w:space="0"/>
              <w:bottom w:val="single" w:color="000000" w:sz="4" w:space="0"/>
              <w:right w:val="single" w:color="000000" w:sz="4" w:space="0"/>
            </w:tcBorders>
          </w:tcPr>
          <w:p w14:paraId="51370EB9">
            <w:pPr>
              <w:widowControl w:val="0"/>
              <w:spacing w:line="288" w:lineRule="auto"/>
              <w:contextualSpacing/>
              <w:jc w:val="both"/>
              <w:rPr>
                <w:rFonts w:eastAsia="Arial"/>
                <w:b/>
                <w:bCs/>
                <w:sz w:val="24"/>
                <w:szCs w:val="24"/>
              </w:rPr>
            </w:pPr>
            <w:r>
              <w:rPr>
                <w:rFonts w:eastAsia="Arial"/>
                <w:b/>
                <w:bCs/>
                <w:sz w:val="24"/>
                <w:szCs w:val="24"/>
              </w:rPr>
              <w:t>VALOR TOTAL</w:t>
            </w:r>
          </w:p>
        </w:tc>
      </w:tr>
      <w:tr w14:paraId="466B674F">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595F0C57">
            <w:pPr>
              <w:widowControl w:val="0"/>
              <w:spacing w:line="288" w:lineRule="auto"/>
              <w:contextualSpacing/>
              <w:jc w:val="both"/>
              <w:rPr>
                <w:rFonts w:eastAsia="Arial"/>
                <w:b/>
                <w:bCs/>
                <w:color w:val="000000"/>
                <w:sz w:val="24"/>
                <w:szCs w:val="24"/>
              </w:rPr>
            </w:pPr>
            <w:r>
              <w:rPr>
                <w:rFonts w:eastAsia="Arial"/>
                <w:b/>
                <w:bCs/>
                <w:color w:val="000000"/>
                <w:sz w:val="24"/>
                <w:szCs w:val="24"/>
              </w:rPr>
              <w:t>1</w:t>
            </w:r>
          </w:p>
        </w:tc>
        <w:tc>
          <w:tcPr>
            <w:tcW w:w="2240" w:type="dxa"/>
            <w:tcBorders>
              <w:top w:val="single" w:color="000000" w:sz="4" w:space="0"/>
              <w:left w:val="single" w:color="000000" w:sz="4" w:space="0"/>
              <w:bottom w:val="single" w:color="000000" w:sz="4" w:space="0"/>
              <w:right w:val="single" w:color="000000" w:sz="4" w:space="0"/>
            </w:tcBorders>
          </w:tcPr>
          <w:p w14:paraId="2E695B2B">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1ADB5A3D">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6C2192ED">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5F0E73D9">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487F3F72">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54B1DCAB">
            <w:pPr>
              <w:widowControl w:val="0"/>
              <w:spacing w:line="288" w:lineRule="auto"/>
              <w:contextualSpacing/>
              <w:jc w:val="both"/>
              <w:rPr>
                <w:rFonts w:eastAsia="Arial"/>
                <w:color w:val="000000"/>
                <w:sz w:val="24"/>
                <w:szCs w:val="24"/>
              </w:rPr>
            </w:pPr>
          </w:p>
        </w:tc>
      </w:tr>
      <w:tr w14:paraId="4BF7ECC6">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21671DB7">
            <w:pPr>
              <w:widowControl w:val="0"/>
              <w:spacing w:line="288" w:lineRule="auto"/>
              <w:contextualSpacing/>
              <w:jc w:val="both"/>
              <w:rPr>
                <w:rFonts w:eastAsia="Arial"/>
                <w:b/>
                <w:bCs/>
                <w:color w:val="000000"/>
                <w:sz w:val="24"/>
                <w:szCs w:val="24"/>
              </w:rPr>
            </w:pPr>
            <w:r>
              <w:rPr>
                <w:rFonts w:eastAsia="Arial"/>
                <w:b/>
                <w:bCs/>
                <w:color w:val="000000"/>
                <w:sz w:val="24"/>
                <w:szCs w:val="24"/>
              </w:rPr>
              <w:t>2</w:t>
            </w:r>
          </w:p>
        </w:tc>
        <w:tc>
          <w:tcPr>
            <w:tcW w:w="2240" w:type="dxa"/>
            <w:tcBorders>
              <w:top w:val="single" w:color="000000" w:sz="4" w:space="0"/>
              <w:left w:val="single" w:color="000000" w:sz="4" w:space="0"/>
              <w:bottom w:val="single" w:color="000000" w:sz="4" w:space="0"/>
              <w:right w:val="single" w:color="000000" w:sz="4" w:space="0"/>
            </w:tcBorders>
          </w:tcPr>
          <w:p w14:paraId="0BEBAB0F">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6B0E0D0D">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1517AB2E">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480EB623">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776E3FEB">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5B970717">
            <w:pPr>
              <w:widowControl w:val="0"/>
              <w:spacing w:line="288" w:lineRule="auto"/>
              <w:contextualSpacing/>
              <w:jc w:val="both"/>
              <w:rPr>
                <w:rFonts w:eastAsia="Arial"/>
                <w:color w:val="000000"/>
                <w:sz w:val="24"/>
                <w:szCs w:val="24"/>
              </w:rPr>
            </w:pPr>
          </w:p>
        </w:tc>
      </w:tr>
      <w:tr w14:paraId="56305809">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01434598">
            <w:pPr>
              <w:widowControl w:val="0"/>
              <w:spacing w:line="288" w:lineRule="auto"/>
              <w:contextualSpacing/>
              <w:jc w:val="both"/>
              <w:rPr>
                <w:rFonts w:eastAsia="Arial"/>
                <w:b/>
                <w:bCs/>
                <w:color w:val="000000"/>
                <w:sz w:val="24"/>
                <w:szCs w:val="24"/>
              </w:rPr>
            </w:pPr>
            <w:r>
              <w:rPr>
                <w:rFonts w:eastAsia="Arial"/>
                <w:b/>
                <w:bCs/>
                <w:color w:val="000000"/>
                <w:sz w:val="24"/>
                <w:szCs w:val="24"/>
              </w:rPr>
              <w:t>3</w:t>
            </w:r>
          </w:p>
        </w:tc>
        <w:tc>
          <w:tcPr>
            <w:tcW w:w="2240" w:type="dxa"/>
            <w:tcBorders>
              <w:top w:val="single" w:color="000000" w:sz="4" w:space="0"/>
              <w:left w:val="single" w:color="000000" w:sz="4" w:space="0"/>
              <w:bottom w:val="single" w:color="000000" w:sz="4" w:space="0"/>
              <w:right w:val="single" w:color="000000" w:sz="4" w:space="0"/>
            </w:tcBorders>
          </w:tcPr>
          <w:p w14:paraId="0CD18DA5">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5E33B9F9">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0172724B">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1E976789">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316BC6C4">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0EB523F0">
            <w:pPr>
              <w:widowControl w:val="0"/>
              <w:spacing w:line="288" w:lineRule="auto"/>
              <w:contextualSpacing/>
              <w:jc w:val="both"/>
              <w:rPr>
                <w:rFonts w:eastAsia="Arial"/>
                <w:color w:val="000000"/>
                <w:sz w:val="24"/>
                <w:szCs w:val="24"/>
              </w:rPr>
            </w:pPr>
          </w:p>
        </w:tc>
      </w:tr>
      <w:tr w14:paraId="06CDE73E">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17AE290D">
            <w:pPr>
              <w:widowControl w:val="0"/>
              <w:spacing w:line="288" w:lineRule="auto"/>
              <w:contextualSpacing/>
              <w:jc w:val="both"/>
              <w:rPr>
                <w:rFonts w:eastAsia="Arial"/>
                <w:b/>
                <w:bCs/>
                <w:color w:val="000000"/>
                <w:sz w:val="24"/>
                <w:szCs w:val="24"/>
              </w:rPr>
            </w:pPr>
            <w:r>
              <w:rPr>
                <w:rFonts w:eastAsia="Arial"/>
                <w:b/>
                <w:bCs/>
                <w:color w:val="000000"/>
                <w:sz w:val="24"/>
                <w:szCs w:val="24"/>
              </w:rPr>
              <w:t>...</w:t>
            </w:r>
          </w:p>
        </w:tc>
        <w:tc>
          <w:tcPr>
            <w:tcW w:w="2240" w:type="dxa"/>
            <w:tcBorders>
              <w:top w:val="single" w:color="000000" w:sz="4" w:space="0"/>
              <w:left w:val="single" w:color="000000" w:sz="4" w:space="0"/>
              <w:bottom w:val="single" w:color="000000" w:sz="4" w:space="0"/>
              <w:right w:val="single" w:color="000000" w:sz="4" w:space="0"/>
            </w:tcBorders>
          </w:tcPr>
          <w:p w14:paraId="0F69965E">
            <w:pPr>
              <w:widowControl w:val="0"/>
              <w:spacing w:line="288" w:lineRule="auto"/>
              <w:contextualSpacing/>
              <w:jc w:val="both"/>
              <w:rPr>
                <w:rFonts w:eastAsia="Arial"/>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60BA41EE">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648020A0">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227079D0">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4FFDD250">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577A3847">
            <w:pPr>
              <w:widowControl w:val="0"/>
              <w:spacing w:line="288" w:lineRule="auto"/>
              <w:contextualSpacing/>
              <w:jc w:val="both"/>
              <w:rPr>
                <w:rFonts w:eastAsia="Arial"/>
                <w:color w:val="000000"/>
                <w:sz w:val="24"/>
                <w:szCs w:val="24"/>
              </w:rPr>
            </w:pPr>
          </w:p>
        </w:tc>
      </w:tr>
    </w:tbl>
    <w:p w14:paraId="242CFB22">
      <w:pPr>
        <w:autoSpaceDE w:val="0"/>
        <w:spacing w:line="288" w:lineRule="auto"/>
        <w:contextualSpacing/>
        <w:jc w:val="both"/>
        <w:rPr>
          <w:sz w:val="24"/>
          <w:szCs w:val="24"/>
          <w:lang w:val="zh-CN"/>
        </w:rPr>
      </w:pPr>
      <w:r>
        <w:rPr>
          <w:sz w:val="24"/>
          <w:szCs w:val="24"/>
          <w:lang w:val="zh-CN"/>
        </w:rPr>
        <w:tab/>
      </w:r>
    </w:p>
    <w:p w14:paraId="6CAB175F">
      <w:pPr>
        <w:pStyle w:val="99"/>
        <w:tabs>
          <w:tab w:val="left" w:pos="1620"/>
        </w:tabs>
        <w:spacing w:before="0" w:after="0" w:line="288" w:lineRule="auto"/>
        <w:ind w:left="0" w:firstLine="0"/>
        <w:contextualSpacing/>
        <w:rPr>
          <w:rFonts w:ascii="Times New Roman" w:hAnsi="Times New Roman" w:cs="Times New Roman"/>
          <w:sz w:val="24"/>
          <w:szCs w:val="24"/>
          <w:lang w:val="zh-CN"/>
        </w:rPr>
      </w:pPr>
      <w:r>
        <w:rPr>
          <w:rFonts w:ascii="Times New Roman" w:hAnsi="Times New Roman" w:cs="Times New Roman"/>
          <w:sz w:val="24"/>
          <w:szCs w:val="24"/>
        </w:rPr>
        <w:t xml:space="preserve"> 1.3    São anexos a este instrumento e vinculam esta contratação, independentemente de transcrição:</w:t>
      </w:r>
    </w:p>
    <w:p w14:paraId="7AAC9769">
      <w:pPr>
        <w:pStyle w:val="99"/>
        <w:spacing w:before="0" w:after="0" w:line="288" w:lineRule="auto"/>
        <w:ind w:left="0" w:firstLine="0"/>
        <w:contextualSpacing/>
        <w:rPr>
          <w:rFonts w:ascii="Times New Roman" w:hAnsi="Times New Roman" w:cs="Times New Roman"/>
          <w:sz w:val="24"/>
          <w:szCs w:val="24"/>
          <w:lang w:val="zh-CN"/>
        </w:rPr>
      </w:pPr>
    </w:p>
    <w:p w14:paraId="4A3999BF">
      <w:pPr>
        <w:pStyle w:val="103"/>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color w:val="auto"/>
          <w:sz w:val="24"/>
          <w:szCs w:val="24"/>
        </w:rPr>
        <w:t>1.3.1 O Termo de Referência que embasou a contratação;</w:t>
      </w:r>
    </w:p>
    <w:p w14:paraId="1ECBFEF1">
      <w:pPr>
        <w:pStyle w:val="103"/>
        <w:spacing w:before="0" w:after="0" w:line="288" w:lineRule="auto"/>
        <w:ind w:left="0" w:firstLine="0"/>
        <w:contextualSpacing/>
        <w:rPr>
          <w:rFonts w:ascii="Times New Roman" w:hAnsi="Times New Roman" w:cs="Times New Roman"/>
          <w:color w:val="auto"/>
          <w:sz w:val="24"/>
          <w:szCs w:val="24"/>
          <w:lang w:val="zh-CN"/>
        </w:rPr>
      </w:pPr>
    </w:p>
    <w:p w14:paraId="13003321">
      <w:pPr>
        <w:pStyle w:val="103"/>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sz w:val="24"/>
          <w:szCs w:val="24"/>
        </w:rPr>
        <w:t>1.3.2 O instrumento convocatório, assim considerado o Edital de Licitação ou o Aviso de Contratação Direta, conforme o caso</w:t>
      </w:r>
      <w:r>
        <w:rPr>
          <w:rFonts w:ascii="Times New Roman" w:hAnsi="Times New Roman" w:cs="Times New Roman"/>
          <w:color w:val="auto"/>
          <w:sz w:val="24"/>
          <w:szCs w:val="24"/>
        </w:rPr>
        <w:t>;</w:t>
      </w:r>
    </w:p>
    <w:p w14:paraId="09B628B9">
      <w:pPr>
        <w:pStyle w:val="103"/>
        <w:spacing w:before="0" w:after="0" w:line="288" w:lineRule="auto"/>
        <w:ind w:left="0" w:firstLine="0"/>
        <w:contextualSpacing/>
        <w:rPr>
          <w:rFonts w:ascii="Times New Roman" w:hAnsi="Times New Roman" w:cs="Times New Roman"/>
          <w:color w:val="auto"/>
          <w:sz w:val="24"/>
          <w:szCs w:val="24"/>
          <w:lang w:val="zh-CN"/>
        </w:rPr>
      </w:pPr>
    </w:p>
    <w:p w14:paraId="2C44E95F">
      <w:pPr>
        <w:pStyle w:val="103"/>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color w:val="auto"/>
          <w:sz w:val="24"/>
          <w:szCs w:val="24"/>
        </w:rPr>
        <w:t xml:space="preserve">1.3.3 A Proposta do </w:t>
      </w:r>
      <w:r>
        <w:rPr>
          <w:rFonts w:ascii="Times New Roman" w:hAnsi="Times New Roman" w:eastAsia="Arial" w:cs="Times New Roman"/>
          <w:b/>
          <w:bCs/>
          <w:sz w:val="24"/>
          <w:szCs w:val="24"/>
        </w:rPr>
        <w:t>CONTRATADO</w:t>
      </w:r>
      <w:r>
        <w:rPr>
          <w:rFonts w:ascii="Times New Roman" w:hAnsi="Times New Roman" w:cs="Times New Roman"/>
          <w:color w:val="auto"/>
          <w:sz w:val="24"/>
          <w:szCs w:val="24"/>
        </w:rPr>
        <w:t xml:space="preserve">, </w:t>
      </w:r>
      <w:r>
        <w:rPr>
          <w:rFonts w:ascii="Times New Roman" w:hAnsi="Times New Roman" w:cs="Times New Roman"/>
          <w:sz w:val="24"/>
          <w:szCs w:val="24"/>
        </w:rPr>
        <w:t>que, em caso de divergência com as condições estabelecidas neste Contrato e nos demais instrumentos anexos, cederá àquelas</w:t>
      </w:r>
      <w:r>
        <w:rPr>
          <w:rFonts w:ascii="Times New Roman" w:hAnsi="Times New Roman" w:cs="Times New Roman"/>
          <w:color w:val="auto"/>
          <w:sz w:val="24"/>
          <w:szCs w:val="24"/>
        </w:rPr>
        <w:t>;</w:t>
      </w:r>
    </w:p>
    <w:p w14:paraId="6AB9A2C6">
      <w:pPr>
        <w:pStyle w:val="103"/>
        <w:spacing w:before="0" w:after="0" w:line="288" w:lineRule="auto"/>
        <w:ind w:left="0" w:firstLine="0"/>
        <w:contextualSpacing/>
        <w:rPr>
          <w:rFonts w:ascii="Times New Roman" w:hAnsi="Times New Roman" w:cs="Times New Roman"/>
          <w:color w:val="auto"/>
          <w:sz w:val="24"/>
          <w:szCs w:val="24"/>
          <w:lang w:val="zh-CN"/>
        </w:rPr>
      </w:pPr>
    </w:p>
    <w:p w14:paraId="6EA667C9">
      <w:pPr>
        <w:pStyle w:val="10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1.3.4 Eventuais </w:t>
      </w:r>
      <w:r>
        <w:rPr>
          <w:rFonts w:ascii="Times New Roman" w:hAnsi="Times New Roman" w:cs="Times New Roman"/>
          <w:sz w:val="24"/>
          <w:szCs w:val="24"/>
        </w:rPr>
        <w:t>anexos dos documentos supracitados.</w:t>
      </w:r>
    </w:p>
    <w:p w14:paraId="00E86C68">
      <w:pPr>
        <w:pStyle w:val="103"/>
        <w:spacing w:before="0" w:after="0" w:line="288" w:lineRule="auto"/>
        <w:ind w:left="0" w:firstLine="0"/>
        <w:contextualSpacing/>
        <w:rPr>
          <w:rFonts w:ascii="Times New Roman" w:hAnsi="Times New Roman" w:cs="Times New Roman"/>
          <w:sz w:val="24"/>
          <w:szCs w:val="24"/>
          <w:lang w:val="zh-CN"/>
        </w:rPr>
      </w:pPr>
    </w:p>
    <w:p w14:paraId="6F9371EC">
      <w:pPr>
        <w:spacing w:line="288" w:lineRule="auto"/>
        <w:contextualSpacing/>
        <w:jc w:val="both"/>
        <w:rPr>
          <w:sz w:val="24"/>
          <w:szCs w:val="24"/>
        </w:rPr>
      </w:pPr>
      <w:r>
        <w:rPr>
          <w:sz w:val="24"/>
          <w:szCs w:val="24"/>
        </w:rPr>
        <w:t>1.4 Havendo qualquer divergência entre as disposições deste instrumento e dos seus Anexos, como o Termo de Referência, prevalecerá o disposto no presente Contrato.</w:t>
      </w:r>
    </w:p>
    <w:p w14:paraId="06866805">
      <w:pPr>
        <w:spacing w:line="288" w:lineRule="auto"/>
        <w:contextualSpacing/>
        <w:jc w:val="both"/>
        <w:rPr>
          <w:sz w:val="24"/>
          <w:szCs w:val="24"/>
        </w:rPr>
      </w:pPr>
    </w:p>
    <w:p w14:paraId="6D513B71">
      <w:pPr>
        <w:pStyle w:val="107"/>
        <w:numPr>
          <w:ilvl w:val="0"/>
          <w:numId w:val="0"/>
        </w:numPr>
        <w:spacing w:before="0" w:after="0" w:line="288" w:lineRule="auto"/>
        <w:contextualSpacing/>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60623DA8">
      <w:pPr>
        <w:spacing w:line="288" w:lineRule="auto"/>
        <w:contextualSpacing/>
        <w:jc w:val="both"/>
        <w:rPr>
          <w:sz w:val="24"/>
          <w:szCs w:val="24"/>
        </w:rPr>
      </w:pPr>
    </w:p>
    <w:p w14:paraId="33E44D8B">
      <w:pPr>
        <w:tabs>
          <w:tab w:val="left" w:pos="7938"/>
        </w:tabs>
        <w:spacing w:line="288" w:lineRule="auto"/>
        <w:ind w:right="849"/>
        <w:contextualSpacing/>
        <w:jc w:val="both"/>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2.1 O prazo de vigência do Contrato é de 12 meses</w:t>
      </w:r>
      <w:r>
        <w:rPr>
          <w:rFonts w:eastAsia="Arial"/>
          <w:color w:val="000000" w:themeColor="text1"/>
          <w:sz w:val="24"/>
          <w:szCs w:val="24"/>
          <w14:textFill>
            <w14:solidFill>
              <w14:schemeClr w14:val="tx1"/>
            </w14:solidFill>
          </w14:textFill>
        </w:rPr>
        <w:t xml:space="preserve">, contado da expedição da </w:t>
      </w:r>
      <w:r>
        <w:rPr>
          <w:color w:val="000000" w:themeColor="text1"/>
          <w:sz w:val="24"/>
          <w:szCs w:val="24"/>
          <w14:textFill>
            <w14:solidFill>
              <w14:schemeClr w14:val="tx1"/>
            </w14:solidFill>
          </w14:textFill>
        </w:rPr>
        <w:t>Autorização de Fornecimento</w:t>
      </w:r>
      <w:r>
        <w:rPr>
          <w:rFonts w:eastAsia="Arial"/>
          <w:color w:val="000000" w:themeColor="text1"/>
          <w:sz w:val="24"/>
          <w:szCs w:val="24"/>
          <w14:textFill>
            <w14:solidFill>
              <w14:schemeClr w14:val="tx1"/>
            </w14:solidFill>
          </w14:textFill>
        </w:rPr>
        <w:t>, desde que previamente divulgado no Portal Nacional de Contratações Públicas.</w:t>
      </w:r>
      <w:r>
        <w:rPr>
          <w:bCs/>
          <w:color w:val="000000" w:themeColor="text1"/>
          <w:sz w:val="24"/>
          <w:szCs w:val="24"/>
          <w14:textFill>
            <w14:solidFill>
              <w14:schemeClr w14:val="tx1"/>
            </w14:solidFill>
          </w14:textFill>
        </w:rPr>
        <w:t xml:space="preserve"> </w:t>
      </w:r>
    </w:p>
    <w:p w14:paraId="587F9C78">
      <w:pPr>
        <w:spacing w:line="288" w:lineRule="auto"/>
        <w:ind w:left="567" w:right="565"/>
        <w:contextualSpacing/>
        <w:jc w:val="both"/>
        <w:rPr>
          <w:color w:val="000000" w:themeColor="text1"/>
          <w:sz w:val="24"/>
          <w:szCs w:val="24"/>
          <w14:textFill>
            <w14:solidFill>
              <w14:schemeClr w14:val="tx1"/>
            </w14:solidFill>
          </w14:textFill>
        </w:rPr>
      </w:pPr>
    </w:p>
    <w:p w14:paraId="32A292AB">
      <w:pPr>
        <w:spacing w:line="288" w:lineRule="auto"/>
        <w:ind w:right="565"/>
        <w:contextualSpacing/>
        <w:jc w:val="both"/>
        <w:rPr>
          <w:rFonts w:eastAsia="Arial"/>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2.2 O prazo de vigência do Contrato poderá</w:t>
      </w:r>
      <w:r>
        <w:rPr>
          <w:rFonts w:eastAsia="Arial"/>
          <w:color w:val="000000" w:themeColor="text1"/>
          <w:sz w:val="24"/>
          <w:szCs w:val="24"/>
          <w14:textFill>
            <w14:solidFill>
              <w14:schemeClr w14:val="tx1"/>
            </w14:solidFill>
          </w14:textFill>
        </w:rPr>
        <w:t xml:space="preserve"> ser prorrogado, sucessivamente, até o máximo de 10 (dez) anos, na forma dos artigos 106 e 107 da </w:t>
      </w:r>
      <w:r>
        <w:fldChar w:fldCharType="begin"/>
      </w:r>
      <w:r>
        <w:instrText xml:space="preserve"> HYPERLINK "http://www.planalto.gov.br/ccivil_03/_ato2019-2022/2021/lei/L14133.htm" </w:instrText>
      </w:r>
      <w:r>
        <w:fldChar w:fldCharType="separate"/>
      </w:r>
      <w:r>
        <w:rPr>
          <w:rStyle w:val="16"/>
          <w:rFonts w:eastAsia="Arial"/>
          <w:color w:val="000000" w:themeColor="text1"/>
          <w:sz w:val="24"/>
          <w:szCs w:val="24"/>
          <w14:textFill>
            <w14:solidFill>
              <w14:schemeClr w14:val="tx1"/>
            </w14:solidFill>
          </w14:textFill>
        </w:rPr>
        <w:t>Lei nº 14.133/2021</w:t>
      </w:r>
      <w:r>
        <w:rPr>
          <w:rStyle w:val="16"/>
          <w:rFonts w:eastAsia="Arial"/>
          <w:color w:val="000000" w:themeColor="text1"/>
          <w:sz w:val="24"/>
          <w:szCs w:val="24"/>
          <w14:textFill>
            <w14:solidFill>
              <w14:schemeClr w14:val="tx1"/>
            </w14:solidFill>
          </w14:textFill>
        </w:rPr>
        <w:fldChar w:fldCharType="end"/>
      </w:r>
      <w:r>
        <w:rPr>
          <w:rFonts w:eastAsia="Arial"/>
          <w:color w:val="000000" w:themeColor="text1"/>
          <w:sz w:val="24"/>
          <w:szCs w:val="24"/>
          <w14:textFill>
            <w14:solidFill>
              <w14:schemeClr w14:val="tx1"/>
            </w14:solidFill>
          </w14:textFill>
        </w:rPr>
        <w:t>.</w:t>
      </w:r>
    </w:p>
    <w:p w14:paraId="21E17341">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2.2.1 A prorrogação de que trata este item é condicionada ao ateste, pela autoridade competente, de que as condições e os preços permanecem vantajosos para a Administração, permitida a negociação com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desde que observados, ainda, os seguintes requisitos:</w:t>
      </w:r>
    </w:p>
    <w:p w14:paraId="610F42E1">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a) demonstração formal, no processo, de que a forma do fornecimento tem natureza continuada;</w:t>
      </w:r>
    </w:p>
    <w:p w14:paraId="21858968">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b) juntada de relatório sobre a execução do Contrato, com informações de que o fornecimento tenha sido realizado regularmente;  </w:t>
      </w:r>
    </w:p>
    <w:p w14:paraId="1AF52231">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c) juntada de justificativa de que a Administração mantém interesse na continuidade do fornecimento;  </w:t>
      </w:r>
    </w:p>
    <w:p w14:paraId="492D693F">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d) manifestação expressa do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informando o interesse na prorrogação; </w:t>
      </w:r>
    </w:p>
    <w:p w14:paraId="6E2B7F9C">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e) comprovação de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mantém as condições de habilitação; e</w:t>
      </w:r>
    </w:p>
    <w:p w14:paraId="15CB68D4">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f) informação quanto à existência de disponibilidade orçamentário-financeira para as despesas vindouras.</w:t>
      </w:r>
    </w:p>
    <w:p w14:paraId="378148E2">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2.3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não tem direito subjetivo à prorrogação do prazo de vigência contratual.</w:t>
      </w:r>
    </w:p>
    <w:p w14:paraId="75D5E4F5">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2.4 A prorrogação do Contrato deverá ser promovida mediante a celebração de termo aditivo.</w:t>
      </w:r>
    </w:p>
    <w:p w14:paraId="29BD898F">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2.5 O Contrato não poderá ser prorrogado quando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tiver sido penalizado com as sanções de declaração de inidoneidade ou impedimento de licitar e contratar com o Poder Público, observadas as abrangências de aplicação.</w:t>
      </w:r>
    </w:p>
    <w:p w14:paraId="675304D8">
      <w:pPr>
        <w:pStyle w:val="101"/>
        <w:tabs>
          <w:tab w:val="left" w:pos="32"/>
          <w:tab w:val="clear" w:pos="567"/>
        </w:tabs>
        <w:spacing w:before="288" w:beforeLines="120" w:after="288" w:afterLines="120" w:line="288" w:lineRule="auto"/>
        <w:ind w:left="34" w:firstLine="0"/>
        <w:contextualSpacing/>
        <w:rPr>
          <w:rFonts w:ascii="Times New Roman" w:hAnsi="Times New Roman" w:cs="Times New Roman"/>
          <w:sz w:val="24"/>
          <w:szCs w:val="24"/>
        </w:rPr>
      </w:pPr>
      <w:r>
        <w:rPr>
          <w:rFonts w:ascii="Times New Roman" w:hAnsi="Times New Roman" w:cs="Times New Roman"/>
          <w:sz w:val="24"/>
          <w:szCs w:val="24"/>
        </w:rPr>
        <w:t>CLÁUSULA TERCEIRA – EXECUÇÃO, GESTÃO E FISCALIZAÇÃO CONTRATUAIS</w:t>
      </w:r>
    </w:p>
    <w:p w14:paraId="76EDC0C3">
      <w:pPr>
        <w:pStyle w:val="101"/>
        <w:tabs>
          <w:tab w:val="left" w:pos="32"/>
          <w:tab w:val="clear" w:pos="567"/>
        </w:tabs>
        <w:spacing w:before="288" w:beforeLines="120" w:after="288" w:afterLines="120" w:line="288" w:lineRule="auto"/>
        <w:ind w:left="34" w:firstLine="0"/>
        <w:contextualSpacing/>
        <w:rPr>
          <w:rFonts w:ascii="Times New Roman" w:hAnsi="Times New Roman" w:cs="Times New Roman"/>
          <w:b w:val="0"/>
          <w:bCs w:val="0"/>
          <w:sz w:val="24"/>
          <w:szCs w:val="24"/>
        </w:rPr>
      </w:pPr>
    </w:p>
    <w:p w14:paraId="1A08E111">
      <w:pPr>
        <w:pStyle w:val="101"/>
        <w:tabs>
          <w:tab w:val="left" w:pos="32"/>
          <w:tab w:val="clear" w:pos="567"/>
        </w:tabs>
        <w:spacing w:before="288" w:beforeLines="120" w:after="288" w:afterLines="120" w:line="288" w:lineRule="auto"/>
        <w:ind w:left="34"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3.1 O regime de execução contratual, o modelo de gestão e a fiscalização, assim como os prazos e condições de conclusão, entrega, observação e recebimento se submetem ao disposto no Termo de Referência anexo a este Contrato e no Decreto nº 40, 25 de fevereiro de 2025.</w:t>
      </w:r>
    </w:p>
    <w:p w14:paraId="61AF1620">
      <w:pPr>
        <w:pStyle w:val="101"/>
        <w:spacing w:before="0" w:line="288" w:lineRule="auto"/>
        <w:ind w:left="0" w:firstLine="0"/>
        <w:contextualSpacing/>
        <w:rPr>
          <w:rFonts w:ascii="Times New Roman" w:hAnsi="Times New Roman" w:cs="Times New Roman"/>
          <w:sz w:val="24"/>
          <w:szCs w:val="24"/>
        </w:rPr>
      </w:pPr>
    </w:p>
    <w:p w14:paraId="14F0B85F">
      <w:pPr>
        <w:pStyle w:val="101"/>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QUARTA – SUBCONTRATAÇÃO</w:t>
      </w:r>
    </w:p>
    <w:p w14:paraId="71DDD9D1">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66FA27CD">
      <w:pPr>
        <w:pStyle w:val="99"/>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 Não será admitida a subcontratação do objeto contratual.</w:t>
      </w:r>
    </w:p>
    <w:p w14:paraId="25D5CD80">
      <w:pPr>
        <w:pStyle w:val="113"/>
        <w:spacing w:before="0" w:after="0" w:line="288" w:lineRule="auto"/>
        <w:contextualSpacing/>
        <w:jc w:val="both"/>
        <w:rPr>
          <w:rFonts w:ascii="Times New Roman" w:hAnsi="Times New Roman" w:cs="Times New Roman"/>
          <w:lang w:eastAsia="zh-CN" w:bidi="hi-IN"/>
        </w:rPr>
      </w:pPr>
    </w:p>
    <w:p w14:paraId="16395BCE">
      <w:pPr>
        <w:pStyle w:val="101"/>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QUINTA – PREÇO</w:t>
      </w:r>
    </w:p>
    <w:p w14:paraId="31839912">
      <w:pPr>
        <w:pStyle w:val="113"/>
        <w:spacing w:before="0" w:after="0" w:line="288" w:lineRule="auto"/>
        <w:contextualSpacing/>
        <w:jc w:val="both"/>
        <w:rPr>
          <w:rFonts w:ascii="Times New Roman" w:hAnsi="Times New Roman" w:cs="Times New Roman"/>
          <w:b w:val="0"/>
          <w:bCs w:val="0"/>
          <w:i w:val="0"/>
          <w:iCs w:val="0"/>
          <w:u w:val="none"/>
        </w:rPr>
      </w:pPr>
    </w:p>
    <w:p w14:paraId="209419F6">
      <w:pPr>
        <w:pStyle w:val="108"/>
        <w:numPr>
          <w:ilvl w:val="0"/>
          <w:numId w:val="0"/>
        </w:numPr>
        <w:spacing w:before="0" w:after="0" w:line="288" w:lineRule="auto"/>
        <w:contextualSpacing/>
        <w:rPr>
          <w:rFonts w:ascii="Times New Roman" w:hAnsi="Times New Roman" w:cs="Times New Roman"/>
          <w:i w:val="0"/>
          <w:iCs w:val="0"/>
          <w:color w:val="auto"/>
          <w:sz w:val="24"/>
          <w:szCs w:val="24"/>
          <w:lang w:eastAsia="en-US"/>
        </w:rPr>
      </w:pPr>
      <w:r>
        <w:rPr>
          <w:rFonts w:ascii="Times New Roman" w:hAnsi="Times New Roman" w:cs="Times New Roman"/>
          <w:i w:val="0"/>
          <w:iCs w:val="0"/>
          <w:color w:val="auto"/>
          <w:sz w:val="24"/>
          <w:szCs w:val="24"/>
        </w:rPr>
        <w:t xml:space="preserve">5.1 O valor total máximo do Contrato é de R$ </w:t>
      </w:r>
      <w:r>
        <w:rPr>
          <w:rFonts w:ascii="Times New Roman" w:hAnsi="Times New Roman" w:cs="Times New Roman"/>
          <w:i w:val="0"/>
          <w:iCs w:val="0"/>
          <w:sz w:val="24"/>
          <w:szCs w:val="24"/>
          <w:lang w:eastAsia="en-US"/>
        </w:rPr>
        <w:t xml:space="preserve">......... </w:t>
      </w:r>
      <w:r>
        <w:rPr>
          <w:rFonts w:ascii="Times New Roman" w:hAnsi="Times New Roman" w:cs="Times New Roman"/>
          <w:i w:val="0"/>
          <w:iCs w:val="0"/>
          <w:color w:val="auto"/>
          <w:sz w:val="24"/>
          <w:szCs w:val="24"/>
          <w:lang w:eastAsia="en-US"/>
        </w:rPr>
        <w:t>(</w:t>
      </w:r>
      <w:r>
        <w:rPr>
          <w:rFonts w:ascii="Times New Roman" w:hAnsi="Times New Roman" w:cs="Times New Roman"/>
          <w:iCs w:val="0"/>
          <w:sz w:val="24"/>
          <w:szCs w:val="24"/>
        </w:rPr>
        <w:t>.....</w:t>
      </w:r>
      <w:r>
        <w:rPr>
          <w:rFonts w:ascii="Times New Roman" w:hAnsi="Times New Roman" w:cs="Times New Roman"/>
          <w:i w:val="0"/>
          <w:iCs w:val="0"/>
          <w:color w:val="auto"/>
          <w:sz w:val="24"/>
          <w:szCs w:val="24"/>
          <w:lang w:eastAsia="en-US"/>
        </w:rPr>
        <w:t>).</w:t>
      </w:r>
    </w:p>
    <w:p w14:paraId="6CB4C4B6">
      <w:pPr>
        <w:pStyle w:val="108"/>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6DEB6BDB">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5.2 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14:paraId="7B95A691">
      <w:pPr>
        <w:pStyle w:val="108"/>
        <w:numPr>
          <w:ilvl w:val="0"/>
          <w:numId w:val="0"/>
        </w:numPr>
        <w:spacing w:before="0" w:after="0" w:line="288" w:lineRule="auto"/>
        <w:contextualSpacing/>
        <w:rPr>
          <w:rFonts w:ascii="Times New Roman" w:hAnsi="Times New Roman" w:cs="Times New Roman"/>
          <w:i w:val="0"/>
          <w:iCs w:val="0"/>
          <w:sz w:val="24"/>
          <w:szCs w:val="24"/>
        </w:rPr>
      </w:pPr>
    </w:p>
    <w:p w14:paraId="37240C2D">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5.3 Os pagamentos devidos ao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xml:space="preserve"> dependerão dos quantitativos efetivamente fornecidos.</w:t>
      </w:r>
    </w:p>
    <w:p w14:paraId="7CF3EBCB">
      <w:pPr>
        <w:pStyle w:val="108"/>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34A9B598">
      <w:pPr>
        <w:pStyle w:val="101"/>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SEXTA – PAGAMENTO</w:t>
      </w:r>
    </w:p>
    <w:p w14:paraId="6DA862F4">
      <w:pPr>
        <w:spacing w:line="288" w:lineRule="auto"/>
        <w:contextualSpacing/>
        <w:jc w:val="both"/>
        <w:rPr>
          <w:sz w:val="24"/>
          <w:szCs w:val="24"/>
        </w:rPr>
      </w:pPr>
    </w:p>
    <w:p w14:paraId="6FE92991">
      <w:pPr>
        <w:pStyle w:val="20"/>
        <w:spacing w:line="288" w:lineRule="auto"/>
        <w:contextualSpacing/>
        <w:jc w:val="both"/>
        <w:rPr>
          <w:rFonts w:ascii="Times New Roman" w:hAnsi="Times New Roman" w:cs="Times New Roman"/>
        </w:rPr>
      </w:pPr>
      <w:r>
        <w:rPr>
          <w:rFonts w:ascii="Times New Roman" w:hAnsi="Times New Roman" w:cs="Times New Roman"/>
        </w:rPr>
        <w:t xml:space="preserve">6.1 O </w:t>
      </w:r>
      <w:r>
        <w:rPr>
          <w:rFonts w:ascii="Times New Roman" w:hAnsi="Times New Roman" w:cs="Times New Roman"/>
          <w:b/>
        </w:rPr>
        <w:t>CONTRATANTE</w:t>
      </w:r>
      <w:r>
        <w:rPr>
          <w:rFonts w:ascii="Times New Roman" w:hAnsi="Times New Roman" w:cs="Times New Roman"/>
          <w:bCs/>
        </w:rPr>
        <w:t xml:space="preserve"> deverá pagar ao </w:t>
      </w:r>
      <w:r>
        <w:rPr>
          <w:rFonts w:ascii="Times New Roman" w:hAnsi="Times New Roman" w:cs="Times New Roman"/>
          <w:b/>
        </w:rPr>
        <w:t>CONTRATADO</w:t>
      </w:r>
      <w:r>
        <w:rPr>
          <w:rFonts w:ascii="Times New Roman" w:hAnsi="Times New Roman" w:cs="Times New Roman"/>
        </w:rPr>
        <w:t xml:space="preserve"> o valor total de R$ </w:t>
      </w:r>
      <w:r>
        <w:rPr>
          <w:rFonts w:ascii="Times New Roman" w:hAnsi="Times New Roman" w:cs="Times New Roman"/>
          <w:color w:val="FF0000"/>
        </w:rPr>
        <w:t xml:space="preserve">xxx </w:t>
      </w:r>
      <w:r>
        <w:rPr>
          <w:rFonts w:ascii="Times New Roman" w:hAnsi="Times New Roman" w:cs="Times New Roman"/>
        </w:rPr>
        <w:t>(</w:t>
      </w:r>
      <w:r>
        <w:rPr>
          <w:rFonts w:ascii="Times New Roman" w:hAnsi="Times New Roman" w:cs="Times New Roman"/>
          <w:iCs/>
          <w:color w:val="FF0000"/>
        </w:rPr>
        <w:t>xx</w:t>
      </w:r>
      <w:r>
        <w:rPr>
          <w:rFonts w:ascii="Times New Roman" w:hAnsi="Times New Roman" w:cs="Times New Roman"/>
        </w:rPr>
        <w:t xml:space="preserve">), em </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iCs/>
          <w:color w:val="FF0000"/>
        </w:rPr>
        <w:t>.....</w:t>
      </w:r>
      <w:r>
        <w:rPr>
          <w:rFonts w:ascii="Times New Roman" w:hAnsi="Times New Roman" w:cs="Times New Roman"/>
        </w:rPr>
        <w:t>)</w:t>
      </w:r>
      <w:r>
        <w:rPr>
          <w:rFonts w:ascii="Times New Roman" w:hAnsi="Times New Roman" w:cs="Times New Roman"/>
          <w:color w:val="FF0000"/>
        </w:rPr>
        <w:t xml:space="preserve"> </w:t>
      </w:r>
      <w:r>
        <w:rPr>
          <w:rFonts w:ascii="Times New Roman" w:hAnsi="Times New Roman" w:cs="Times New Roman"/>
        </w:rPr>
        <w:t xml:space="preserve">parcelas, no valor de R$ </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iCs/>
          <w:color w:val="FF0000"/>
        </w:rPr>
        <w:t>.....</w:t>
      </w:r>
      <w:r>
        <w:rPr>
          <w:rFonts w:ascii="Times New Roman" w:hAnsi="Times New Roman" w:cs="Times New Roman"/>
        </w:rPr>
        <w:t xml:space="preserve">), cada uma delas, conforme cronograma de pagamento em anexo, diretamente na conta corrente nº </w:t>
      </w:r>
      <w:r>
        <w:rPr>
          <w:rFonts w:ascii="Times New Roman" w:hAnsi="Times New Roman" w:cs="Times New Roman"/>
          <w:color w:val="FF0000"/>
        </w:rPr>
        <w:t>......</w:t>
      </w:r>
      <w:r>
        <w:rPr>
          <w:rFonts w:ascii="Times New Roman" w:hAnsi="Times New Roman" w:cs="Times New Roman"/>
        </w:rPr>
        <w:t xml:space="preserve"> da agência </w:t>
      </w:r>
      <w:r>
        <w:rPr>
          <w:rFonts w:ascii="Times New Roman" w:hAnsi="Times New Roman" w:cs="Times New Roman"/>
          <w:color w:val="FF0000"/>
        </w:rPr>
        <w:t>......</w:t>
      </w:r>
      <w:r>
        <w:rPr>
          <w:rFonts w:ascii="Times New Roman" w:hAnsi="Times New Roman" w:cs="Times New Roman"/>
        </w:rPr>
        <w:t>, de titularidade d</w:t>
      </w:r>
      <w:r>
        <w:rPr>
          <w:rFonts w:ascii="Times New Roman" w:hAnsi="Times New Roman" w:cs="Times New Roman"/>
          <w:bCs/>
        </w:rPr>
        <w:t xml:space="preserve">o </w:t>
      </w:r>
      <w:r>
        <w:rPr>
          <w:rFonts w:ascii="Times New Roman" w:hAnsi="Times New Roman" w:cs="Times New Roman"/>
          <w:b/>
        </w:rPr>
        <w:t>CONTRATADO</w:t>
      </w:r>
      <w:r>
        <w:rPr>
          <w:rFonts w:ascii="Times New Roman" w:hAnsi="Times New Roman" w:cs="Times New Roman"/>
        </w:rPr>
        <w:t xml:space="preserve">, junto à instituição indicada pelo mesmo, observando-se o disposto no item 5.3. deste Contrato. </w:t>
      </w:r>
    </w:p>
    <w:p w14:paraId="7866DE58">
      <w:pPr>
        <w:pStyle w:val="20"/>
        <w:spacing w:line="288" w:lineRule="auto"/>
        <w:contextualSpacing/>
        <w:jc w:val="both"/>
        <w:rPr>
          <w:rFonts w:ascii="Times New Roman" w:hAnsi="Times New Roman" w:cs="Times New Roman"/>
        </w:rPr>
      </w:pPr>
    </w:p>
    <w:p w14:paraId="1CBE5D47">
      <w:pPr>
        <w:pStyle w:val="20"/>
        <w:spacing w:line="288" w:lineRule="auto"/>
        <w:contextualSpacing/>
        <w:jc w:val="both"/>
        <w:rPr>
          <w:rFonts w:ascii="Times New Roman" w:hAnsi="Times New Roman" w:cs="Times New Roman"/>
        </w:rPr>
      </w:pPr>
      <w:r>
        <w:rPr>
          <w:rFonts w:ascii="Times New Roman" w:hAnsi="Times New Roman" w:cs="Times New Roman"/>
        </w:rPr>
        <w:t xml:space="preserve">6.2 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Pr>
          <w:rFonts w:ascii="Times New Roman" w:hAnsi="Times New Roman" w:cs="Times New Roman"/>
          <w:b/>
        </w:rPr>
        <w:t>Banco Itaú S.A</w:t>
      </w:r>
      <w:r>
        <w:rPr>
          <w:rFonts w:ascii="Times New Roman" w:hAnsi="Times New Roman" w:cs="Times New Roman"/>
        </w:rPr>
        <w:t>, cujo número e agência deverão ser informados pelo adjudicatário.</w:t>
      </w:r>
    </w:p>
    <w:p w14:paraId="5EEC947D">
      <w:pPr>
        <w:spacing w:line="288" w:lineRule="auto"/>
        <w:contextualSpacing/>
        <w:jc w:val="both"/>
        <w:rPr>
          <w:sz w:val="24"/>
          <w:szCs w:val="24"/>
        </w:rPr>
      </w:pPr>
    </w:p>
    <w:p w14:paraId="35096025">
      <w:pPr>
        <w:spacing w:line="288" w:lineRule="auto"/>
        <w:contextualSpacing/>
        <w:jc w:val="both"/>
        <w:rPr>
          <w:sz w:val="24"/>
          <w:szCs w:val="24"/>
        </w:rPr>
      </w:pPr>
      <w:r>
        <w:rPr>
          <w:sz w:val="24"/>
          <w:szCs w:val="24"/>
        </w:rPr>
        <w:t xml:space="preserve">6.3 </w:t>
      </w:r>
      <w:r>
        <w:rPr>
          <w:rFonts w:eastAsia="Arial"/>
          <w:sz w:val="24"/>
          <w:szCs w:val="24"/>
        </w:rPr>
        <w:t xml:space="preserve">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40/2025.</w:t>
      </w:r>
    </w:p>
    <w:p w14:paraId="43BA3206">
      <w:pPr>
        <w:spacing w:line="288" w:lineRule="auto"/>
        <w:contextualSpacing/>
        <w:jc w:val="both"/>
        <w:rPr>
          <w:sz w:val="24"/>
          <w:szCs w:val="24"/>
        </w:rPr>
      </w:pPr>
    </w:p>
    <w:p w14:paraId="591DEE10">
      <w:pPr>
        <w:spacing w:line="288" w:lineRule="auto"/>
        <w:contextualSpacing/>
        <w:jc w:val="both"/>
        <w:rPr>
          <w:rFonts w:eastAsia="Arial"/>
          <w:sz w:val="24"/>
          <w:szCs w:val="24"/>
        </w:rPr>
      </w:pPr>
      <w:r>
        <w:rPr>
          <w:rFonts w:eastAsia="Arial"/>
          <w:sz w:val="24"/>
          <w:szCs w:val="24"/>
        </w:rPr>
        <w:t xml:space="preserve">6.3.1 Quando houver glosa parcial do objeto, o </w:t>
      </w:r>
      <w:r>
        <w:rPr>
          <w:rFonts w:eastAsia="Arial"/>
          <w:b/>
          <w:bCs/>
          <w:sz w:val="24"/>
          <w:szCs w:val="24"/>
        </w:rPr>
        <w:t>CONTRATANTE</w:t>
      </w:r>
      <w:r>
        <w:rPr>
          <w:rFonts w:eastAsia="Arial"/>
          <w:sz w:val="24"/>
          <w:szCs w:val="24"/>
        </w:rPr>
        <w:t xml:space="preserve"> deverá comunicar ao </w:t>
      </w:r>
      <w:r>
        <w:rPr>
          <w:rFonts w:eastAsia="Arial"/>
          <w:b/>
          <w:bCs/>
          <w:sz w:val="24"/>
          <w:szCs w:val="24"/>
        </w:rPr>
        <w:t>CONTRATADO</w:t>
      </w:r>
      <w:r>
        <w:rPr>
          <w:rFonts w:eastAsia="Arial"/>
          <w:sz w:val="24"/>
          <w:szCs w:val="24"/>
        </w:rPr>
        <w:t xml:space="preserve"> para que emita Nota Fiscal ou Fatura com o valor exato dimensionado.</w:t>
      </w:r>
    </w:p>
    <w:p w14:paraId="6C42CC81">
      <w:pPr>
        <w:spacing w:line="288" w:lineRule="auto"/>
        <w:contextualSpacing/>
        <w:jc w:val="both"/>
        <w:rPr>
          <w:sz w:val="24"/>
          <w:szCs w:val="24"/>
        </w:rPr>
      </w:pPr>
    </w:p>
    <w:p w14:paraId="59AC51E5">
      <w:pPr>
        <w:spacing w:line="288" w:lineRule="auto"/>
        <w:contextualSpacing/>
        <w:jc w:val="both"/>
        <w:rPr>
          <w:rFonts w:eastAsia="Arial"/>
          <w:sz w:val="24"/>
          <w:szCs w:val="24"/>
        </w:rPr>
      </w:pPr>
      <w:r>
        <w:rPr>
          <w:sz w:val="24"/>
          <w:szCs w:val="24"/>
        </w:rPr>
        <w:t xml:space="preserve">6.4 O </w:t>
      </w:r>
      <w:r>
        <w:rPr>
          <w:b/>
          <w:bCs/>
          <w:sz w:val="24"/>
          <w:szCs w:val="24"/>
        </w:rPr>
        <w:t>CONTRATADO</w:t>
      </w:r>
      <w:r>
        <w:rPr>
          <w:sz w:val="24"/>
          <w:szCs w:val="24"/>
        </w:rPr>
        <w:t xml:space="preserve"> deverá encaminhar a Nota Fiscal ou Fatura para pagamento à </w:t>
      </w:r>
      <w:r>
        <w:rPr>
          <w:color w:val="FF0000"/>
          <w:sz w:val="24"/>
          <w:szCs w:val="24"/>
        </w:rPr>
        <w:t>......</w:t>
      </w:r>
      <w:r>
        <w:rPr>
          <w:rFonts w:eastAsia="Arial"/>
          <w:sz w:val="24"/>
          <w:szCs w:val="24"/>
        </w:rPr>
        <w:t xml:space="preserve">, situada </w:t>
      </w:r>
      <w:r>
        <w:rPr>
          <w:rFonts w:eastAsia="Arial"/>
          <w:color w:val="FF0000"/>
          <w:sz w:val="24"/>
          <w:szCs w:val="24"/>
        </w:rPr>
        <w:t xml:space="preserve">na </w:t>
      </w:r>
      <w:r>
        <w:rPr>
          <w:color w:val="FF0000"/>
          <w:sz w:val="24"/>
          <w:szCs w:val="24"/>
        </w:rPr>
        <w:t>......</w:t>
      </w:r>
      <w:r>
        <w:rPr>
          <w:rFonts w:eastAsia="Arial"/>
          <w:sz w:val="24"/>
          <w:szCs w:val="24"/>
        </w:rPr>
        <w:t xml:space="preserve">, na cidade </w:t>
      </w:r>
      <w:r>
        <w:rPr>
          <w:rFonts w:eastAsia="Arial"/>
          <w:color w:val="FF0000"/>
          <w:sz w:val="24"/>
          <w:szCs w:val="24"/>
        </w:rPr>
        <w:t xml:space="preserve">do </w:t>
      </w:r>
      <w:r>
        <w:rPr>
          <w:color w:val="FF0000"/>
          <w:sz w:val="24"/>
          <w:szCs w:val="24"/>
        </w:rPr>
        <w:t>......</w:t>
      </w:r>
      <w:r>
        <w:rPr>
          <w:rFonts w:eastAsia="Arial"/>
          <w:sz w:val="24"/>
          <w:szCs w:val="24"/>
        </w:rPr>
        <w:t xml:space="preserve">, no Estado do Rio de Janeiro ou para o endereço eletrônico </w:t>
      </w:r>
      <w:r>
        <w:rPr>
          <w:color w:val="FF0000"/>
          <w:sz w:val="24"/>
          <w:szCs w:val="24"/>
        </w:rPr>
        <w:t>......</w:t>
      </w:r>
      <w:r>
        <w:rPr>
          <w:rFonts w:eastAsia="Arial"/>
          <w:sz w:val="24"/>
          <w:szCs w:val="24"/>
        </w:rPr>
        <w:t>.</w:t>
      </w:r>
    </w:p>
    <w:p w14:paraId="42CEA0B9">
      <w:pPr>
        <w:spacing w:line="288" w:lineRule="auto"/>
        <w:contextualSpacing/>
        <w:jc w:val="both"/>
        <w:rPr>
          <w:rFonts w:eastAsia="Arial"/>
          <w:sz w:val="24"/>
          <w:szCs w:val="24"/>
        </w:rPr>
      </w:pPr>
    </w:p>
    <w:p w14:paraId="0BF8AD94">
      <w:pPr>
        <w:spacing w:line="288" w:lineRule="auto"/>
        <w:contextualSpacing/>
        <w:jc w:val="both"/>
        <w:rPr>
          <w:rFonts w:eastAsia="Arial"/>
          <w:sz w:val="24"/>
          <w:szCs w:val="24"/>
        </w:rPr>
      </w:pPr>
      <w:r>
        <w:rPr>
          <w:rFonts w:eastAsia="Arial"/>
          <w:sz w:val="24"/>
          <w:szCs w:val="24"/>
        </w:rPr>
        <w:t>6.5  Recebida a Nota Fiscal ou Fatura, o órgão competente deverá realizar consulta ao SICAF para verificar:</w:t>
      </w:r>
    </w:p>
    <w:p w14:paraId="5E27CE78">
      <w:pPr>
        <w:spacing w:line="288" w:lineRule="auto"/>
        <w:contextualSpacing/>
        <w:jc w:val="both"/>
        <w:rPr>
          <w:sz w:val="24"/>
          <w:szCs w:val="24"/>
        </w:rPr>
      </w:pPr>
      <w:r>
        <w:rPr>
          <w:sz w:val="24"/>
          <w:szCs w:val="24"/>
        </w:rPr>
        <w:t xml:space="preserve">a) a manutenção das condições de habilitação exigidas pelo instrumento convocatório; </w:t>
      </w:r>
    </w:p>
    <w:p w14:paraId="3828CB47">
      <w:pPr>
        <w:spacing w:line="288" w:lineRule="auto"/>
        <w:contextualSpacing/>
        <w:jc w:val="both"/>
        <w:rPr>
          <w:sz w:val="24"/>
          <w:szCs w:val="24"/>
        </w:rPr>
      </w:pPr>
      <w:r>
        <w:rPr>
          <w:sz w:val="24"/>
          <w:szCs w:val="24"/>
        </w:rPr>
        <w:t xml:space="preserve">b) se o </w:t>
      </w:r>
      <w:r>
        <w:rPr>
          <w:b/>
          <w:bCs/>
          <w:sz w:val="24"/>
          <w:szCs w:val="24"/>
        </w:rPr>
        <w:t>CONTRATADO</w:t>
      </w:r>
      <w:r>
        <w:rPr>
          <w:sz w:val="24"/>
          <w:szCs w:val="24"/>
        </w:rPr>
        <w:t xml:space="preserve"> foi penalizado com as sanções de declaração de inidoneidade ou impedimento de licitar e contratar com o Poder Público, observadas as abrangências de aplicação; e</w:t>
      </w:r>
    </w:p>
    <w:p w14:paraId="100B3C09">
      <w:pPr>
        <w:spacing w:line="288" w:lineRule="auto"/>
        <w:contextualSpacing/>
        <w:jc w:val="both"/>
        <w:rPr>
          <w:sz w:val="24"/>
          <w:szCs w:val="24"/>
        </w:rPr>
      </w:pPr>
      <w:r>
        <w:rPr>
          <w:sz w:val="24"/>
          <w:szCs w:val="24"/>
        </w:rPr>
        <w:t>c) eventuais ocorrências impeditivas indiretas, hipótese na qual o gestor deverá verificar se houve fraude por parte das empresas apontadas no Relatório de Ocorrências Impeditivas Indiretas;</w:t>
      </w:r>
    </w:p>
    <w:p w14:paraId="1A0AE590">
      <w:pPr>
        <w:spacing w:line="288" w:lineRule="auto"/>
        <w:contextualSpacing/>
        <w:jc w:val="both"/>
        <w:rPr>
          <w:sz w:val="24"/>
          <w:szCs w:val="24"/>
        </w:rPr>
      </w:pPr>
    </w:p>
    <w:p w14:paraId="2F1572F2">
      <w:pPr>
        <w:spacing w:line="288" w:lineRule="auto"/>
        <w:contextualSpacing/>
        <w:jc w:val="both"/>
        <w:rPr>
          <w:sz w:val="24"/>
          <w:szCs w:val="24"/>
        </w:rPr>
      </w:pPr>
      <w:r>
        <w:rPr>
          <w:sz w:val="24"/>
          <w:szCs w:val="24"/>
        </w:rPr>
        <w:t xml:space="preserve">6.5.1 Constatando-se a situação de irregularidade do </w:t>
      </w:r>
      <w:r>
        <w:rPr>
          <w:b/>
          <w:bCs/>
          <w:sz w:val="24"/>
          <w:szCs w:val="24"/>
        </w:rPr>
        <w:t>CONTRATADO</w:t>
      </w:r>
      <w:r>
        <w:rPr>
          <w:sz w:val="24"/>
          <w:szCs w:val="24"/>
        </w:rPr>
        <w:t xml:space="preserve">,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bCs/>
          <w:sz w:val="24"/>
          <w:szCs w:val="24"/>
        </w:rPr>
        <w:t>CONTRATANTE</w:t>
      </w:r>
      <w:r>
        <w:rPr>
          <w:sz w:val="24"/>
          <w:szCs w:val="24"/>
        </w:rPr>
        <w:t>.</w:t>
      </w:r>
    </w:p>
    <w:p w14:paraId="64E77924">
      <w:pPr>
        <w:spacing w:line="288" w:lineRule="auto"/>
        <w:contextualSpacing/>
        <w:jc w:val="both"/>
        <w:rPr>
          <w:sz w:val="24"/>
          <w:szCs w:val="24"/>
        </w:rPr>
      </w:pPr>
    </w:p>
    <w:p w14:paraId="1F1F4202">
      <w:pPr>
        <w:spacing w:line="288" w:lineRule="auto"/>
        <w:contextualSpacing/>
        <w:jc w:val="both"/>
        <w:rPr>
          <w:sz w:val="24"/>
          <w:szCs w:val="24"/>
        </w:rPr>
      </w:pPr>
      <w:r>
        <w:rPr>
          <w:sz w:val="24"/>
          <w:szCs w:val="24"/>
        </w:rPr>
        <w:t xml:space="preserve">6.5.2 Não havendo regularização ou sendo a defesa considerada improcedente, o </w:t>
      </w:r>
      <w:r>
        <w:rPr>
          <w:b/>
          <w:bCs/>
          <w:sz w:val="24"/>
          <w:szCs w:val="24"/>
        </w:rPr>
        <w:t>CONTRATANTE</w:t>
      </w:r>
      <w:r>
        <w:rPr>
          <w:sz w:val="24"/>
          <w:szCs w:val="24"/>
        </w:rPr>
        <w:t xml:space="preserve"> deverá comunicar aos órgãos responsáveis pela fiscalização da regularidade fiscal quanto à inadimplência do </w:t>
      </w:r>
      <w:r>
        <w:rPr>
          <w:b/>
          <w:bCs/>
          <w:sz w:val="24"/>
          <w:szCs w:val="24"/>
        </w:rPr>
        <w:t>CONTRATADO</w:t>
      </w:r>
      <w:r>
        <w:rPr>
          <w:sz w:val="24"/>
          <w:szCs w:val="24"/>
        </w:rPr>
        <w:t xml:space="preserve">, bem como quanto à existência de pagamento a ser efetuado, para que sejam acionados os meios pertinentes e necessários para garantir o recebimento de seus créditos.  </w:t>
      </w:r>
    </w:p>
    <w:p w14:paraId="0D33F7BC">
      <w:pPr>
        <w:spacing w:line="288" w:lineRule="auto"/>
        <w:contextualSpacing/>
        <w:jc w:val="both"/>
        <w:rPr>
          <w:sz w:val="24"/>
          <w:szCs w:val="24"/>
        </w:rPr>
      </w:pPr>
    </w:p>
    <w:p w14:paraId="1DB392D5">
      <w:pPr>
        <w:spacing w:line="288" w:lineRule="auto"/>
        <w:contextualSpacing/>
        <w:jc w:val="both"/>
        <w:rPr>
          <w:sz w:val="24"/>
          <w:szCs w:val="24"/>
        </w:rPr>
      </w:pPr>
      <w:r>
        <w:rPr>
          <w:sz w:val="24"/>
          <w:szCs w:val="24"/>
        </w:rPr>
        <w:t xml:space="preserve">6.5.3 Persistindo a irregularidade, o </w:t>
      </w:r>
      <w:r>
        <w:rPr>
          <w:b/>
          <w:bCs/>
          <w:sz w:val="24"/>
          <w:szCs w:val="24"/>
        </w:rPr>
        <w:t>CONTRATANTE</w:t>
      </w:r>
      <w:r>
        <w:rPr>
          <w:sz w:val="24"/>
          <w:szCs w:val="24"/>
        </w:rPr>
        <w:t xml:space="preserve"> deverá adotar as medidas necessárias à rescisão do Contrato nos autos do processo administrativo correspondente, assegurada ao </w:t>
      </w:r>
      <w:r>
        <w:rPr>
          <w:b/>
          <w:bCs/>
          <w:sz w:val="24"/>
          <w:szCs w:val="24"/>
        </w:rPr>
        <w:t>CONTRATADO</w:t>
      </w:r>
      <w:r>
        <w:rPr>
          <w:sz w:val="24"/>
          <w:szCs w:val="24"/>
        </w:rPr>
        <w:t xml:space="preserve"> a ampla defesa.</w:t>
      </w:r>
    </w:p>
    <w:p w14:paraId="0D14BD50">
      <w:pPr>
        <w:spacing w:line="288" w:lineRule="auto"/>
        <w:contextualSpacing/>
        <w:jc w:val="both"/>
        <w:rPr>
          <w:sz w:val="24"/>
          <w:szCs w:val="24"/>
        </w:rPr>
      </w:pPr>
    </w:p>
    <w:p w14:paraId="6FAF67EC">
      <w:pPr>
        <w:spacing w:line="288" w:lineRule="auto"/>
        <w:contextualSpacing/>
        <w:jc w:val="both"/>
        <w:rPr>
          <w:sz w:val="24"/>
          <w:szCs w:val="24"/>
        </w:rPr>
      </w:pPr>
      <w:r>
        <w:rPr>
          <w:sz w:val="24"/>
          <w:szCs w:val="24"/>
        </w:rPr>
        <w:t xml:space="preserve">6.5.4 Havendo a efetiva execução do objeto, os pagamentos serão realizados normalmente, até que se decida pela rescisão do Contrato, caso o </w:t>
      </w:r>
      <w:r>
        <w:rPr>
          <w:b/>
          <w:bCs/>
          <w:sz w:val="24"/>
          <w:szCs w:val="24"/>
        </w:rPr>
        <w:t>CONTRATADO</w:t>
      </w:r>
      <w:r>
        <w:rPr>
          <w:sz w:val="24"/>
          <w:szCs w:val="24"/>
        </w:rPr>
        <w:t xml:space="preserve"> não regularize sua situação. </w:t>
      </w:r>
    </w:p>
    <w:p w14:paraId="3732BBFA">
      <w:pPr>
        <w:spacing w:line="288" w:lineRule="auto"/>
        <w:contextualSpacing/>
        <w:jc w:val="both"/>
        <w:rPr>
          <w:sz w:val="24"/>
          <w:szCs w:val="24"/>
        </w:rPr>
      </w:pPr>
    </w:p>
    <w:p w14:paraId="30622762">
      <w:pPr>
        <w:spacing w:line="288" w:lineRule="auto"/>
        <w:contextualSpacing/>
        <w:jc w:val="both"/>
        <w:rPr>
          <w:sz w:val="24"/>
          <w:szCs w:val="24"/>
        </w:rPr>
      </w:pPr>
      <w:r>
        <w:rPr>
          <w:sz w:val="24"/>
          <w:szCs w:val="24"/>
        </w:rPr>
        <w:t>6.6 O pagamento será efetuado no prazo máximo de até 30</w:t>
      </w:r>
      <w:r>
        <w:rPr>
          <w:color w:val="FF0000"/>
          <w:sz w:val="24"/>
          <w:szCs w:val="24"/>
        </w:rPr>
        <w:t xml:space="preserve"> </w:t>
      </w:r>
      <w:r>
        <w:rPr>
          <w:sz w:val="24"/>
          <w:szCs w:val="24"/>
        </w:rPr>
        <w:t>(trinta)</w:t>
      </w:r>
      <w:r>
        <w:rPr>
          <w:color w:val="FF0000"/>
          <w:sz w:val="24"/>
          <w:szCs w:val="24"/>
        </w:rPr>
        <w:t xml:space="preserve"> </w:t>
      </w:r>
      <w:r>
        <w:rPr>
          <w:sz w:val="24"/>
          <w:szCs w:val="24"/>
        </w:rPr>
        <w:t>dias, contado do recebimento da Nota Fiscal ou Fatura.</w:t>
      </w:r>
    </w:p>
    <w:p w14:paraId="408DB1F8">
      <w:pPr>
        <w:spacing w:line="288" w:lineRule="auto"/>
        <w:contextualSpacing/>
        <w:jc w:val="both"/>
        <w:rPr>
          <w:color w:val="FF0000"/>
          <w:sz w:val="24"/>
          <w:szCs w:val="24"/>
        </w:rPr>
      </w:pPr>
    </w:p>
    <w:p w14:paraId="16F148FE">
      <w:pPr>
        <w:spacing w:line="288" w:lineRule="auto"/>
        <w:contextualSpacing/>
        <w:jc w:val="both"/>
        <w:rPr>
          <w:sz w:val="24"/>
          <w:szCs w:val="24"/>
        </w:rPr>
      </w:pPr>
      <w:r>
        <w:rPr>
          <w:sz w:val="24"/>
          <w:szCs w:val="24"/>
        </w:rPr>
        <w:t xml:space="preserve">6.6.1 Havendo erro na apresentação da Nota Fiscal ou Fatura, ou circunstância que impeça a liquidação da despesa, o pagamento ficará sobrestado até que o </w:t>
      </w:r>
      <w:r>
        <w:rPr>
          <w:b/>
          <w:bCs/>
          <w:sz w:val="24"/>
          <w:szCs w:val="24"/>
        </w:rPr>
        <w:t>CONTRATADO</w:t>
      </w:r>
      <w:r>
        <w:rPr>
          <w:sz w:val="24"/>
          <w:szCs w:val="24"/>
        </w:rPr>
        <w:t xml:space="preserve"> providencie as medidas saneadoras. Nessa hipótese, o prazo para pagamento iniciar-se-á após a comprovação da regularização da situação, não acarretando qualquer ônus para o </w:t>
      </w:r>
      <w:r>
        <w:rPr>
          <w:b/>
          <w:bCs/>
          <w:sz w:val="24"/>
          <w:szCs w:val="24"/>
        </w:rPr>
        <w:t>CONTRATANTE</w:t>
      </w:r>
      <w:r>
        <w:rPr>
          <w:sz w:val="24"/>
          <w:szCs w:val="24"/>
        </w:rPr>
        <w:t>.</w:t>
      </w:r>
    </w:p>
    <w:p w14:paraId="418A0034">
      <w:pPr>
        <w:spacing w:line="288" w:lineRule="auto"/>
        <w:contextualSpacing/>
        <w:jc w:val="both"/>
        <w:rPr>
          <w:sz w:val="24"/>
          <w:szCs w:val="24"/>
        </w:rPr>
      </w:pPr>
    </w:p>
    <w:p w14:paraId="6636B31D">
      <w:pPr>
        <w:spacing w:line="288" w:lineRule="auto"/>
        <w:contextualSpacing/>
        <w:jc w:val="both"/>
        <w:rPr>
          <w:sz w:val="24"/>
          <w:szCs w:val="24"/>
        </w:rPr>
      </w:pPr>
      <w:r>
        <w:rPr>
          <w:sz w:val="24"/>
          <w:szCs w:val="24"/>
        </w:rPr>
        <w:t>6.7 Quando do pagamento, será efetuada a retenção tributária prevista na legislação aplicável.</w:t>
      </w:r>
    </w:p>
    <w:p w14:paraId="5B8252C6">
      <w:pPr>
        <w:spacing w:line="288" w:lineRule="auto"/>
        <w:contextualSpacing/>
        <w:jc w:val="both"/>
        <w:rPr>
          <w:sz w:val="24"/>
          <w:szCs w:val="24"/>
        </w:rPr>
      </w:pPr>
    </w:p>
    <w:p w14:paraId="31AE5DB5">
      <w:pPr>
        <w:spacing w:line="288" w:lineRule="auto"/>
        <w:contextualSpacing/>
        <w:jc w:val="both"/>
        <w:rPr>
          <w:sz w:val="24"/>
          <w:szCs w:val="24"/>
        </w:rPr>
      </w:pPr>
      <w:r>
        <w:rPr>
          <w:sz w:val="24"/>
          <w:szCs w:val="24"/>
        </w:rPr>
        <w:t>6.7.1 Independentemente do percentual de tributo inserido na planilha, no pagamento serão retidos na fonte os percentuais estabelecidos na legislação vigente.</w:t>
      </w:r>
    </w:p>
    <w:p w14:paraId="094DB230">
      <w:pPr>
        <w:spacing w:line="288" w:lineRule="auto"/>
        <w:contextualSpacing/>
        <w:jc w:val="both"/>
        <w:rPr>
          <w:sz w:val="24"/>
          <w:szCs w:val="24"/>
        </w:rPr>
      </w:pPr>
    </w:p>
    <w:p w14:paraId="04B98F38">
      <w:pPr>
        <w:spacing w:line="288" w:lineRule="auto"/>
        <w:contextualSpacing/>
        <w:jc w:val="both"/>
        <w:rPr>
          <w:sz w:val="24"/>
          <w:szCs w:val="24"/>
        </w:rPr>
      </w:pPr>
      <w:r>
        <w:rPr>
          <w:sz w:val="24"/>
          <w:szCs w:val="24"/>
        </w:rPr>
        <w:t xml:space="preserve">6.7.2 O </w:t>
      </w:r>
      <w:r>
        <w:rPr>
          <w:b/>
          <w:bCs/>
          <w:sz w:val="24"/>
          <w:szCs w:val="24"/>
        </w:rPr>
        <w:t>CONTRATADO</w:t>
      </w:r>
      <w:r>
        <w:rPr>
          <w:sz w:val="24"/>
          <w:szCs w:val="24"/>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5DB7F829">
      <w:pPr>
        <w:spacing w:line="288" w:lineRule="auto"/>
        <w:contextualSpacing/>
        <w:jc w:val="both"/>
        <w:rPr>
          <w:sz w:val="24"/>
          <w:szCs w:val="24"/>
        </w:rPr>
      </w:pPr>
    </w:p>
    <w:p w14:paraId="75B82C29">
      <w:pPr>
        <w:spacing w:line="288" w:lineRule="auto"/>
        <w:contextualSpacing/>
        <w:jc w:val="both"/>
        <w:rPr>
          <w:iCs/>
          <w:sz w:val="24"/>
          <w:szCs w:val="24"/>
        </w:rPr>
      </w:pPr>
      <w:r>
        <w:rPr>
          <w:color w:val="000000"/>
          <w:sz w:val="24"/>
          <w:szCs w:val="24"/>
        </w:rPr>
        <w:t>6.8 Os pagamentos eventualmente realizados com atraso, desde</w:t>
      </w:r>
      <w:r>
        <w:rPr>
          <w:sz w:val="24"/>
          <w:szCs w:val="24"/>
        </w:rPr>
        <w:t xml:space="preserve"> que não decorram de ato ou fato atribuível ao </w:t>
      </w:r>
      <w:r>
        <w:rPr>
          <w:b/>
          <w:bCs/>
          <w:sz w:val="24"/>
          <w:szCs w:val="24"/>
        </w:rPr>
        <w:t>CONTRATADO</w:t>
      </w:r>
      <w:r>
        <w:rPr>
          <w:sz w:val="24"/>
          <w:szCs w:val="24"/>
        </w:rPr>
        <w:t xml:space="preserve">, sofrerão a incidência de atualização monetária e juros de mora pelo IPCA-E, calculado </w:t>
      </w:r>
      <w:r>
        <w:rPr>
          <w:i/>
          <w:sz w:val="24"/>
          <w:szCs w:val="24"/>
        </w:rPr>
        <w:t>pro rata die</w:t>
      </w:r>
      <w:r>
        <w:rPr>
          <w:sz w:val="24"/>
          <w:szCs w:val="24"/>
        </w:rPr>
        <w:t xml:space="preserve">, e aqueles pagos em prazo inferior ao estabelecido no instrumento convocatório serão feitos mediante desconto de 0,5% (um meio por cento) ao mês, calculado </w:t>
      </w:r>
      <w:r>
        <w:rPr>
          <w:i/>
          <w:sz w:val="24"/>
          <w:szCs w:val="24"/>
        </w:rPr>
        <w:t>pro rata die</w:t>
      </w:r>
      <w:r>
        <w:rPr>
          <w:iCs/>
          <w:sz w:val="24"/>
          <w:szCs w:val="24"/>
        </w:rPr>
        <w:t>.</w:t>
      </w:r>
    </w:p>
    <w:p w14:paraId="358316FC">
      <w:pPr>
        <w:spacing w:line="288" w:lineRule="auto"/>
        <w:contextualSpacing/>
        <w:jc w:val="both"/>
        <w:rPr>
          <w:color w:val="000000"/>
          <w:sz w:val="24"/>
          <w:szCs w:val="24"/>
        </w:rPr>
      </w:pPr>
    </w:p>
    <w:p w14:paraId="01157F38">
      <w:pPr>
        <w:spacing w:line="288" w:lineRule="auto"/>
        <w:contextualSpacing/>
        <w:jc w:val="both"/>
        <w:rPr>
          <w:sz w:val="24"/>
          <w:szCs w:val="24"/>
        </w:rPr>
      </w:pPr>
      <w:r>
        <w:rPr>
          <w:color w:val="000000"/>
          <w:sz w:val="24"/>
          <w:szCs w:val="24"/>
        </w:rPr>
        <w:t xml:space="preserve">6.9 </w:t>
      </w:r>
      <w:r>
        <w:rPr>
          <w:sz w:val="24"/>
          <w:szCs w:val="24"/>
        </w:rPr>
        <w:t xml:space="preserve">O </w:t>
      </w:r>
      <w:r>
        <w:rPr>
          <w:b/>
          <w:bCs/>
          <w:sz w:val="24"/>
          <w:szCs w:val="24"/>
        </w:rPr>
        <w:t>CONTRATADO</w:t>
      </w:r>
      <w:r>
        <w:rPr>
          <w:sz w:val="24"/>
          <w:szCs w:val="24"/>
        </w:rPr>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w:t>
      </w:r>
      <w:r>
        <w:rPr>
          <w:iCs/>
          <w:sz w:val="24"/>
          <w:szCs w:val="24"/>
        </w:rPr>
        <w:t>a, b, c, d e e</w:t>
      </w:r>
      <w:r>
        <w:rPr>
          <w:i/>
          <w:sz w:val="24"/>
          <w:szCs w:val="24"/>
        </w:rPr>
        <w:t xml:space="preserve"> </w:t>
      </w:r>
      <w:r>
        <w:rPr>
          <w:sz w:val="24"/>
          <w:szCs w:val="24"/>
        </w:rPr>
        <w:t>do parágrafo 1º do artigo 2º da Resolução SEFAZ nº 971/2016.</w:t>
      </w:r>
    </w:p>
    <w:p w14:paraId="30BE2744">
      <w:pPr>
        <w:spacing w:line="288" w:lineRule="auto"/>
        <w:contextualSpacing/>
        <w:jc w:val="both"/>
        <w:rPr>
          <w:sz w:val="24"/>
          <w:szCs w:val="24"/>
        </w:rPr>
      </w:pPr>
    </w:p>
    <w:p w14:paraId="09F51DB8">
      <w:pPr>
        <w:spacing w:line="288" w:lineRule="auto"/>
        <w:contextualSpacing/>
        <w:jc w:val="both"/>
        <w:rPr>
          <w:sz w:val="24"/>
          <w:szCs w:val="24"/>
        </w:rPr>
      </w:pPr>
      <w:r>
        <w:rPr>
          <w:sz w:val="24"/>
          <w:szCs w:val="24"/>
        </w:rPr>
        <w:t xml:space="preserve">6.10 Caso o Edital admita a subcontratação, os pagamentos aos subcontratados serão realizados diretamente pelo </w:t>
      </w:r>
      <w:r>
        <w:rPr>
          <w:b/>
          <w:bCs/>
          <w:sz w:val="24"/>
          <w:szCs w:val="24"/>
        </w:rPr>
        <w:t>CONTRATADO</w:t>
      </w:r>
      <w:r>
        <w:rPr>
          <w:sz w:val="24"/>
          <w:szCs w:val="24"/>
        </w:rPr>
        <w:t xml:space="preserve">, ficando vedada a emissão de nota de empenho do </w:t>
      </w:r>
      <w:r>
        <w:rPr>
          <w:b/>
          <w:bCs/>
          <w:sz w:val="24"/>
          <w:szCs w:val="24"/>
        </w:rPr>
        <w:t>CONTRATANTE</w:t>
      </w:r>
      <w:r>
        <w:rPr>
          <w:sz w:val="24"/>
          <w:szCs w:val="24"/>
        </w:rPr>
        <w:t xml:space="preserve"> diretamente aos subcontratados. </w:t>
      </w:r>
    </w:p>
    <w:p w14:paraId="1B81DBCC">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5FD9E8ED">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6.10.1 A subcontratação porventura realizada será integralmente custeada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w:t>
      </w:r>
    </w:p>
    <w:p w14:paraId="45C9BD0D">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676681EC">
      <w:pPr>
        <w:pStyle w:val="101"/>
        <w:spacing w:before="0" w:line="288" w:lineRule="auto"/>
        <w:ind w:left="0" w:firstLine="0"/>
        <w:contextualSpacing/>
        <w:rPr>
          <w:rStyle w:val="16"/>
          <w:rFonts w:ascii="Times New Roman" w:hAnsi="Times New Roman" w:cs="Times New Roman" w:eastAsiaTheme="minorHAnsi"/>
          <w:b w:val="0"/>
          <w:bCs w:val="0"/>
          <w:sz w:val="24"/>
          <w:szCs w:val="24"/>
        </w:rPr>
      </w:pPr>
      <w:r>
        <w:rPr>
          <w:rFonts w:ascii="Times New Roman" w:hAnsi="Times New Roman" w:cs="Times New Roman"/>
          <w:sz w:val="24"/>
          <w:szCs w:val="24"/>
        </w:rPr>
        <w:t xml:space="preserve">CLÁUSULA SÉTIMA - REAJUSTE </w:t>
      </w:r>
    </w:p>
    <w:p w14:paraId="629331A5">
      <w:pPr>
        <w:spacing w:line="288" w:lineRule="auto"/>
        <w:contextualSpacing/>
        <w:jc w:val="both"/>
        <w:rPr>
          <w:sz w:val="24"/>
          <w:szCs w:val="24"/>
        </w:rPr>
      </w:pPr>
    </w:p>
    <w:p w14:paraId="43E46AE5">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 Os preços contratados serão reajustados após o interregno de 1 (um) ano, mediante solicitação do </w:t>
      </w:r>
      <w:r>
        <w:rPr>
          <w:rFonts w:ascii="Times New Roman" w:hAnsi="Times New Roman" w:cs="Times New Roman"/>
          <w:b/>
          <w:bCs/>
          <w:sz w:val="24"/>
          <w:szCs w:val="24"/>
        </w:rPr>
        <w:t>CONTRATADO</w:t>
      </w:r>
      <w:r>
        <w:rPr>
          <w:rFonts w:ascii="Times New Roman" w:hAnsi="Times New Roman" w:cs="Times New Roman"/>
          <w:sz w:val="24"/>
          <w:szCs w:val="24"/>
        </w:rPr>
        <w:t>.</w:t>
      </w:r>
    </w:p>
    <w:p w14:paraId="2CE5B8DF">
      <w:pPr>
        <w:pStyle w:val="99"/>
        <w:spacing w:before="0" w:after="0" w:line="288" w:lineRule="auto"/>
        <w:ind w:left="0" w:firstLine="0"/>
        <w:contextualSpacing/>
        <w:rPr>
          <w:rFonts w:ascii="Times New Roman" w:hAnsi="Times New Roman" w:cs="Times New Roman"/>
          <w:sz w:val="24"/>
          <w:szCs w:val="24"/>
        </w:rPr>
      </w:pPr>
    </w:p>
    <w:p w14:paraId="03F20926">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7.2 O interregno mínimo de 1 (um) ano para o primeiro reajuste será contado da data do orçamento estimado. </w:t>
      </w:r>
    </w:p>
    <w:p w14:paraId="7755AAE0">
      <w:pPr>
        <w:pStyle w:val="99"/>
        <w:spacing w:before="0" w:after="0" w:line="288" w:lineRule="auto"/>
        <w:ind w:left="0" w:firstLine="0"/>
        <w:contextualSpacing/>
        <w:rPr>
          <w:rFonts w:ascii="Times New Roman" w:hAnsi="Times New Roman" w:cs="Times New Roman"/>
          <w:sz w:val="24"/>
          <w:szCs w:val="24"/>
        </w:rPr>
      </w:pPr>
    </w:p>
    <w:p w14:paraId="2C895CCC">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7.3 Nos reajustes subsequentes ao primeiro, o interregno mínimo de 1 (um) ano será contado a partir do fato gerador que deu ensejo ao último reajuste.</w:t>
      </w:r>
    </w:p>
    <w:p w14:paraId="2CB9B6AF">
      <w:pPr>
        <w:pStyle w:val="99"/>
        <w:spacing w:before="0" w:after="0" w:line="288" w:lineRule="auto"/>
        <w:ind w:left="0" w:firstLine="0"/>
        <w:contextualSpacing/>
        <w:rPr>
          <w:rFonts w:ascii="Times New Roman" w:hAnsi="Times New Roman" w:cs="Times New Roman"/>
          <w:sz w:val="24"/>
          <w:szCs w:val="24"/>
        </w:rPr>
      </w:pPr>
    </w:p>
    <w:p w14:paraId="6BA2105E">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7.4 Os preços iniciais serão reajustados, mediante a aplicação, pelo </w:t>
      </w:r>
      <w:r>
        <w:rPr>
          <w:rFonts w:ascii="Times New Roman" w:hAnsi="Times New Roman" w:cs="Times New Roman"/>
          <w:b/>
          <w:bCs/>
          <w:sz w:val="24"/>
          <w:szCs w:val="24"/>
        </w:rPr>
        <w:t>CONTRATANTE</w:t>
      </w:r>
      <w:r>
        <w:rPr>
          <w:rFonts w:ascii="Times New Roman" w:hAnsi="Times New Roman" w:cs="Times New Roman"/>
          <w:sz w:val="24"/>
          <w:szCs w:val="24"/>
        </w:rPr>
        <w:t>, do índice IPCA-E</w:t>
      </w:r>
      <w:r>
        <w:rPr>
          <w:rFonts w:ascii="Times New Roman" w:hAnsi="Times New Roman" w:cs="Times New Roman"/>
          <w:i/>
          <w:iCs/>
          <w:sz w:val="24"/>
          <w:szCs w:val="24"/>
        </w:rPr>
        <w:t>,</w:t>
      </w:r>
      <w:r>
        <w:rPr>
          <w:rFonts w:ascii="Times New Roman" w:hAnsi="Times New Roman" w:cs="Times New Roman"/>
          <w:sz w:val="24"/>
          <w:szCs w:val="24"/>
        </w:rPr>
        <w:t xml:space="preserve"> exclusivamente para as obrigações </w:t>
      </w:r>
      <w:r>
        <w:rPr>
          <w:rFonts w:ascii="Times New Roman" w:hAnsi="Times New Roman" w:cs="Times New Roman"/>
          <w:color w:val="auto"/>
          <w:sz w:val="24"/>
          <w:szCs w:val="24"/>
        </w:rPr>
        <w:t>que se iniciem após a anualidade</w:t>
      </w:r>
      <w:r>
        <w:rPr>
          <w:rFonts w:ascii="Times New Roman" w:hAnsi="Times New Roman" w:cs="Times New Roman"/>
          <w:sz w:val="24"/>
          <w:szCs w:val="24"/>
        </w:rPr>
        <w:t>.</w:t>
      </w:r>
    </w:p>
    <w:p w14:paraId="435ADA36">
      <w:pPr>
        <w:pStyle w:val="99"/>
        <w:spacing w:before="0" w:after="0" w:line="288" w:lineRule="auto"/>
        <w:ind w:left="0" w:firstLine="0"/>
        <w:contextualSpacing/>
        <w:rPr>
          <w:rFonts w:ascii="Times New Roman" w:hAnsi="Times New Roman" w:cs="Times New Roman"/>
          <w:sz w:val="24"/>
          <w:szCs w:val="24"/>
        </w:rPr>
      </w:pPr>
    </w:p>
    <w:p w14:paraId="0F723165">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 No caso de atraso ou não divulgação do(s) índice(s) de reajustamento, o </w:t>
      </w:r>
      <w:r>
        <w:rPr>
          <w:rFonts w:ascii="Times New Roman" w:hAnsi="Times New Roman" w:cs="Times New Roman"/>
          <w:b/>
          <w:bCs/>
          <w:sz w:val="24"/>
          <w:szCs w:val="24"/>
        </w:rPr>
        <w:t>CONTRATANTE</w:t>
      </w:r>
      <w:r>
        <w:rPr>
          <w:rFonts w:ascii="Times New Roman" w:hAnsi="Times New Roman" w:cs="Times New Roman"/>
          <w:sz w:val="24"/>
          <w:szCs w:val="24"/>
        </w:rPr>
        <w:t xml:space="preserve"> pagará ao </w:t>
      </w:r>
      <w:r>
        <w:rPr>
          <w:rFonts w:ascii="Times New Roman" w:hAnsi="Times New Roman" w:cs="Times New Roman"/>
          <w:b/>
          <w:bCs/>
          <w:sz w:val="24"/>
          <w:szCs w:val="24"/>
        </w:rPr>
        <w:t>CONTRATADO</w:t>
      </w:r>
      <w:r>
        <w:rPr>
          <w:rFonts w:ascii="Times New Roman" w:hAnsi="Times New Roman" w:cs="Times New Roman"/>
          <w:sz w:val="24"/>
          <w:szCs w:val="24"/>
        </w:rPr>
        <w:t xml:space="preserve"> a importância calculada pela última variação conhecida, liquidando a diferença correspondente tão logo seja(m) divulgado(s) o(s) índice(s) definitivo(s). </w:t>
      </w:r>
    </w:p>
    <w:p w14:paraId="2ADDB91F">
      <w:pPr>
        <w:pStyle w:val="99"/>
        <w:spacing w:before="0" w:after="0" w:line="288" w:lineRule="auto"/>
        <w:ind w:left="0" w:firstLine="0"/>
        <w:contextualSpacing/>
        <w:rPr>
          <w:rFonts w:ascii="Times New Roman" w:hAnsi="Times New Roman" w:cs="Times New Roman"/>
          <w:sz w:val="24"/>
          <w:szCs w:val="24"/>
        </w:rPr>
      </w:pPr>
    </w:p>
    <w:p w14:paraId="1713B467">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7.5.1 Fica o </w:t>
      </w:r>
      <w:r>
        <w:rPr>
          <w:rFonts w:ascii="Times New Roman" w:hAnsi="Times New Roman" w:cs="Times New Roman"/>
          <w:b/>
          <w:bCs/>
          <w:sz w:val="24"/>
          <w:szCs w:val="24"/>
        </w:rPr>
        <w:t>CONTRATADO</w:t>
      </w:r>
      <w:r>
        <w:rPr>
          <w:rFonts w:ascii="Times New Roman" w:hAnsi="Times New Roman" w:cs="Times New Roman"/>
          <w:sz w:val="24"/>
          <w:szCs w:val="24"/>
        </w:rPr>
        <w:t xml:space="preserve"> obrigado a apresentar memória de cálculo referente ao reajustamento de preços do valor remanescente, sempre que este ocorrer, sendo adotado na aferição final o índice definitivo.</w:t>
      </w:r>
    </w:p>
    <w:p w14:paraId="69FC9A99">
      <w:pPr>
        <w:pStyle w:val="99"/>
        <w:spacing w:before="0" w:after="0" w:line="288" w:lineRule="auto"/>
        <w:ind w:left="0" w:firstLine="0"/>
        <w:contextualSpacing/>
        <w:rPr>
          <w:rFonts w:ascii="Times New Roman" w:hAnsi="Times New Roman" w:cs="Times New Roman"/>
          <w:sz w:val="24"/>
          <w:szCs w:val="24"/>
        </w:rPr>
      </w:pPr>
    </w:p>
    <w:p w14:paraId="1AC3CEDA">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64E350EB">
      <w:pPr>
        <w:pStyle w:val="99"/>
        <w:spacing w:before="0" w:after="0" w:line="288" w:lineRule="auto"/>
        <w:ind w:left="0" w:firstLine="0"/>
        <w:contextualSpacing/>
        <w:rPr>
          <w:rFonts w:ascii="Times New Roman" w:hAnsi="Times New Roman" w:cs="Times New Roman"/>
          <w:sz w:val="24"/>
          <w:szCs w:val="24"/>
        </w:rPr>
      </w:pPr>
    </w:p>
    <w:p w14:paraId="7FA42B66">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7.7 Na ausência de previsão legal quanto ao índice substituto, as partes elegerão novo índice oficial, para reajustamento do preço do valor remanescente, por meio de termo aditivo.</w:t>
      </w:r>
    </w:p>
    <w:p w14:paraId="5821D4B3">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 </w:t>
      </w:r>
    </w:p>
    <w:p w14:paraId="24E9BF8E">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7.8 O pedido de reajuste deverá ser formulado durante a vigência do Contrato e antes de eventual prorrogação contratual, sob pena de preclusão.</w:t>
      </w:r>
    </w:p>
    <w:p w14:paraId="36666CF9">
      <w:pPr>
        <w:spacing w:after="160" w:line="288" w:lineRule="auto"/>
        <w:contextualSpacing/>
        <w:jc w:val="both"/>
        <w:rPr>
          <w:sz w:val="24"/>
          <w:szCs w:val="24"/>
        </w:rPr>
      </w:pPr>
    </w:p>
    <w:p w14:paraId="126F63C0">
      <w:pPr>
        <w:spacing w:after="160" w:line="288" w:lineRule="auto"/>
        <w:contextualSpacing/>
        <w:jc w:val="both"/>
        <w:rPr>
          <w:sz w:val="24"/>
          <w:szCs w:val="24"/>
        </w:rPr>
      </w:pPr>
      <w:r>
        <w:rPr>
          <w:sz w:val="24"/>
          <w:szCs w:val="24"/>
        </w:rPr>
        <w:t>7.8.1 Os efeitos financeiros do pedido de reajuste serão contados:</w:t>
      </w:r>
    </w:p>
    <w:p w14:paraId="565287AD">
      <w:pPr>
        <w:spacing w:line="288" w:lineRule="auto"/>
        <w:contextualSpacing/>
        <w:jc w:val="both"/>
        <w:rPr>
          <w:sz w:val="24"/>
          <w:szCs w:val="24"/>
        </w:rPr>
      </w:pPr>
      <w:r>
        <w:rPr>
          <w:sz w:val="24"/>
          <w:szCs w:val="24"/>
        </w:rPr>
        <w:t>a) da data-base prevista no Contrato, desde que requerido o reajuste no prazo de 60 (sessenta) dias da data de publicação do índice ajustado contratualmente;</w:t>
      </w:r>
    </w:p>
    <w:p w14:paraId="372BEA44">
      <w:pPr>
        <w:spacing w:line="288" w:lineRule="auto"/>
        <w:ind w:left="40"/>
        <w:contextualSpacing/>
        <w:jc w:val="both"/>
        <w:rPr>
          <w:sz w:val="24"/>
          <w:szCs w:val="24"/>
        </w:rPr>
      </w:pPr>
      <w:r>
        <w:rPr>
          <w:sz w:val="24"/>
          <w:szCs w:val="24"/>
        </w:rPr>
        <w:t xml:space="preserve">b) a partir da data do requerimento do </w:t>
      </w:r>
      <w:r>
        <w:rPr>
          <w:b/>
          <w:bCs/>
          <w:sz w:val="24"/>
          <w:szCs w:val="24"/>
        </w:rPr>
        <w:t>CONTRATADO</w:t>
      </w:r>
      <w:r>
        <w:rPr>
          <w:sz w:val="24"/>
          <w:szCs w:val="24"/>
        </w:rPr>
        <w:t xml:space="preserve">, caso o pedido seja formulado após o prazo fixado na alínea </w:t>
      </w:r>
      <w:r>
        <w:rPr>
          <w:sz w:val="24"/>
          <w:szCs w:val="24"/>
          <w:u w:val="single"/>
        </w:rPr>
        <w:t>a</w:t>
      </w:r>
      <w:r>
        <w:rPr>
          <w:sz w:val="24"/>
          <w:szCs w:val="24"/>
        </w:rPr>
        <w:t>, acima, o que não acarretará a alteração do marco para cômputo da anualidade do reajustamento, já adotado no Edital e no Contrato.</w:t>
      </w:r>
    </w:p>
    <w:p w14:paraId="2AC6F431">
      <w:pPr>
        <w:spacing w:line="288" w:lineRule="auto"/>
        <w:ind w:left="40"/>
        <w:contextualSpacing/>
        <w:jc w:val="both"/>
        <w:rPr>
          <w:sz w:val="24"/>
          <w:szCs w:val="24"/>
        </w:rPr>
      </w:pPr>
    </w:p>
    <w:p w14:paraId="2D92CC33">
      <w:pPr>
        <w:spacing w:line="288" w:lineRule="auto"/>
        <w:ind w:left="40"/>
        <w:contextualSpacing/>
        <w:jc w:val="both"/>
        <w:rPr>
          <w:sz w:val="24"/>
          <w:szCs w:val="24"/>
        </w:rPr>
      </w:pPr>
      <w:r>
        <w:rPr>
          <w:sz w:val="24"/>
          <w:szCs w:val="24"/>
        </w:rPr>
        <w:t xml:space="preserve">7.9 Caso, na data de eventual prorrogação contratual, ainda não tenha sido divulgado o índice de reajuste, deverá, a requerimento do </w:t>
      </w:r>
      <w:r>
        <w:rPr>
          <w:b/>
          <w:bCs/>
          <w:sz w:val="24"/>
          <w:szCs w:val="24"/>
        </w:rPr>
        <w:t>CONTRATADO</w:t>
      </w:r>
      <w:r>
        <w:rPr>
          <w:sz w:val="24"/>
          <w:szCs w:val="24"/>
        </w:rPr>
        <w:t xml:space="preserve">, ser inserida cláusula no termo aditivo de prorrogação para resguardar o direito futuro do </w:t>
      </w:r>
      <w:r>
        <w:rPr>
          <w:b/>
          <w:bCs/>
          <w:sz w:val="24"/>
          <w:szCs w:val="24"/>
        </w:rPr>
        <w:t>CONTRATADO</w:t>
      </w:r>
      <w:r>
        <w:rPr>
          <w:sz w:val="24"/>
          <w:szCs w:val="24"/>
        </w:rPr>
        <w:t>, a ser exercido tão logo se disponha dos valores reajustados, sob pena de preclusão.</w:t>
      </w:r>
    </w:p>
    <w:p w14:paraId="73B0968B">
      <w:pPr>
        <w:spacing w:line="288" w:lineRule="auto"/>
        <w:ind w:left="40"/>
        <w:contextualSpacing/>
        <w:jc w:val="both"/>
        <w:rPr>
          <w:sz w:val="24"/>
          <w:szCs w:val="24"/>
        </w:rPr>
      </w:pPr>
    </w:p>
    <w:p w14:paraId="588C406A">
      <w:pPr>
        <w:spacing w:line="288" w:lineRule="auto"/>
        <w:ind w:left="40"/>
        <w:contextualSpacing/>
        <w:jc w:val="both"/>
        <w:rPr>
          <w:sz w:val="24"/>
          <w:szCs w:val="24"/>
        </w:rPr>
      </w:pPr>
      <w:r>
        <w:rPr>
          <w:sz w:val="24"/>
          <w:szCs w:val="24"/>
        </w:rPr>
        <w:t>7.10 A extinção do Contrato não configurará óbice para o deferimento do reajuste solicitado tempestivamente, hipótese em que será concedido por meio de termo indenizatório.</w:t>
      </w:r>
    </w:p>
    <w:p w14:paraId="17900E55">
      <w:pPr>
        <w:pStyle w:val="99"/>
        <w:spacing w:before="0" w:after="0" w:line="288" w:lineRule="auto"/>
        <w:ind w:left="0" w:firstLine="0"/>
        <w:contextualSpacing/>
        <w:rPr>
          <w:rFonts w:ascii="Times New Roman" w:hAnsi="Times New Roman" w:cs="Times New Roman"/>
          <w:sz w:val="24"/>
          <w:szCs w:val="24"/>
        </w:rPr>
      </w:pPr>
    </w:p>
    <w:p w14:paraId="0C8294F8">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7.11 O reajuste será realizado por apostilamento, se esta for a única alteração contratual a ser realizada.</w:t>
      </w:r>
    </w:p>
    <w:p w14:paraId="0899A984">
      <w:pPr>
        <w:pStyle w:val="99"/>
        <w:spacing w:before="0" w:after="0" w:line="288" w:lineRule="auto"/>
        <w:ind w:left="0" w:firstLine="0"/>
        <w:contextualSpacing/>
        <w:rPr>
          <w:rFonts w:ascii="Times New Roman" w:hAnsi="Times New Roman" w:cs="Times New Roman"/>
          <w:color w:val="auto"/>
          <w:sz w:val="24"/>
          <w:szCs w:val="24"/>
        </w:rPr>
      </w:pPr>
    </w:p>
    <w:p w14:paraId="0A08E202">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7.12 O reajuste de preços não interfere no direito das partes de solicitar, a qualquer momento, a manutenção do equilíbrio econômico dos contratos com base no disposto no art. 124, inciso II, alínea d, da Lei nº 14.133/2021. </w:t>
      </w:r>
    </w:p>
    <w:p w14:paraId="11D30AEC">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6856A8F1">
      <w:pPr>
        <w:pStyle w:val="108"/>
        <w:numPr>
          <w:ilvl w:val="0"/>
          <w:numId w:val="0"/>
        </w:numPr>
        <w:spacing w:before="0" w:after="0" w:line="288" w:lineRule="auto"/>
        <w:contextualSpacing/>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CLÁUSULA OITAVA – OBRIGAÇÕES DO CONTRATANTE</w:t>
      </w:r>
    </w:p>
    <w:p w14:paraId="5F9C2201">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03D17541">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 São obrigações do </w:t>
      </w:r>
      <w:r>
        <w:rPr>
          <w:rFonts w:ascii="Times New Roman" w:hAnsi="Times New Roman" w:cs="Times New Roman"/>
          <w:b/>
          <w:bCs/>
          <w:i w:val="0"/>
          <w:iCs w:val="0"/>
          <w:color w:val="auto"/>
          <w:sz w:val="24"/>
          <w:szCs w:val="24"/>
        </w:rPr>
        <w:t>CONTRATANTE</w:t>
      </w:r>
      <w:r>
        <w:rPr>
          <w:rFonts w:ascii="Times New Roman" w:hAnsi="Times New Roman" w:cs="Times New Roman"/>
          <w:i w:val="0"/>
          <w:iCs w:val="0"/>
          <w:color w:val="auto"/>
          <w:sz w:val="24"/>
          <w:szCs w:val="24"/>
        </w:rPr>
        <w:t>:</w:t>
      </w:r>
    </w:p>
    <w:p w14:paraId="158BFFE1">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36E4163B">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8.1.1 Exigir o cumprimento de todas as obrigações assumidas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de acordo com o Contrato e seus Anexos.</w:t>
      </w:r>
    </w:p>
    <w:p w14:paraId="6735B7D0">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12D9935D">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8.1.2 Receber o objeto no prazo e condições estabelecidas no Termo de Referência.</w:t>
      </w:r>
    </w:p>
    <w:p w14:paraId="3FF7005F">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01D60F16">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8.1.3 Notificar 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por escrito, sobre vícios, defeitos ou incorreções verificadas no objeto fornecido, para que seja por ele substituído, reparado ou corrigido, no total ou em parte, às suas expensas.</w:t>
      </w:r>
    </w:p>
    <w:p w14:paraId="0C0D78EA">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7BE46C24">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8.1.4 Acompanhar e fiscalizar a execução do Contrato e o cumprimento das obrigações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w:t>
      </w:r>
    </w:p>
    <w:p w14:paraId="0515AEB0">
      <w:pPr>
        <w:pStyle w:val="101"/>
        <w:spacing w:before="0" w:line="288" w:lineRule="auto"/>
        <w:ind w:left="0" w:firstLine="0"/>
        <w:contextualSpacing/>
        <w:rPr>
          <w:rFonts w:ascii="Times New Roman" w:hAnsi="Times New Roman" w:cs="Times New Roman"/>
          <w:b w:val="0"/>
          <w:bCs w:val="0"/>
          <w:sz w:val="24"/>
          <w:szCs w:val="24"/>
        </w:rPr>
      </w:pPr>
    </w:p>
    <w:p w14:paraId="2BDB45D1">
      <w:pPr>
        <w:pStyle w:val="101"/>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8.1.5 Comunicar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para que emita Nota Fiscal relativa à parcela incontroversa da execução do objeto, com vistas à liquidação e pagamento, no caso de divergência acerca do cumprimento das obrigações assumidas, quanto à dimensão, qualidade e quantidade, conforme o </w:t>
      </w:r>
      <w:r>
        <w:fldChar w:fldCharType="begin"/>
      </w:r>
      <w:r>
        <w:instrText xml:space="preserve"> HYPERLINK "http://www.planalto.gov.br/ccivil_03/_ato2019-2022/2021/lei/L14133.htm" \l "art143" </w:instrText>
      </w:r>
      <w:r>
        <w:fldChar w:fldCharType="separate"/>
      </w:r>
      <w:r>
        <w:rPr>
          <w:rStyle w:val="16"/>
          <w:rFonts w:ascii="Times New Roman" w:hAnsi="Times New Roman" w:cs="Times New Roman" w:eastAsiaTheme="minorHAnsi"/>
          <w:b w:val="0"/>
          <w:bCs w:val="0"/>
          <w:sz w:val="24"/>
          <w:szCs w:val="24"/>
        </w:rPr>
        <w:t>art. 143 da Lei nº 14.133/2021</w:t>
      </w:r>
      <w:r>
        <w:rPr>
          <w:rStyle w:val="16"/>
          <w:rFonts w:ascii="Times New Roman" w:hAnsi="Times New Roman" w:cs="Times New Roman" w:eastAsiaTheme="minorHAnsi"/>
          <w:b w:val="0"/>
          <w:bCs w:val="0"/>
          <w:sz w:val="24"/>
          <w:szCs w:val="24"/>
        </w:rPr>
        <w:fldChar w:fldCharType="end"/>
      </w:r>
      <w:r>
        <w:rPr>
          <w:rFonts w:ascii="Times New Roman" w:hAnsi="Times New Roman" w:cs="Times New Roman"/>
          <w:b w:val="0"/>
          <w:bCs w:val="0"/>
          <w:sz w:val="24"/>
          <w:szCs w:val="24"/>
        </w:rPr>
        <w:t>.</w:t>
      </w:r>
    </w:p>
    <w:p w14:paraId="16123F64">
      <w:pPr>
        <w:pStyle w:val="101"/>
        <w:spacing w:before="0" w:line="288" w:lineRule="auto"/>
        <w:ind w:left="0" w:firstLine="0"/>
        <w:contextualSpacing/>
        <w:rPr>
          <w:rFonts w:ascii="Times New Roman" w:hAnsi="Times New Roman" w:cs="Times New Roman"/>
          <w:b w:val="0"/>
          <w:bCs w:val="0"/>
          <w:sz w:val="24"/>
          <w:szCs w:val="24"/>
        </w:rPr>
      </w:pPr>
    </w:p>
    <w:p w14:paraId="55169859">
      <w:pPr>
        <w:pStyle w:val="101"/>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8.1.6 Efetuar o pagamento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do valor correspondente ao fornecimento do objeto, no prazo, forma e condições estabelecidos no presente Contrato.</w:t>
      </w:r>
    </w:p>
    <w:p w14:paraId="5EDF70F0">
      <w:pPr>
        <w:pStyle w:val="101"/>
        <w:spacing w:before="0" w:line="288" w:lineRule="auto"/>
        <w:ind w:left="0" w:firstLine="0"/>
        <w:contextualSpacing/>
        <w:rPr>
          <w:rFonts w:ascii="Times New Roman" w:hAnsi="Times New Roman" w:cs="Times New Roman"/>
          <w:b w:val="0"/>
          <w:bCs w:val="0"/>
          <w:sz w:val="24"/>
          <w:szCs w:val="24"/>
        </w:rPr>
      </w:pPr>
    </w:p>
    <w:p w14:paraId="3CFC8287">
      <w:pPr>
        <w:pStyle w:val="101"/>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8.1.7 Aplicar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sanções motivadas pela inexecução total ou parcial das obrigações contratuais, na forma prevista na lei e neste Contrato.</w:t>
      </w:r>
    </w:p>
    <w:p w14:paraId="3E2838A1">
      <w:pPr>
        <w:pStyle w:val="99"/>
        <w:spacing w:before="0" w:after="0" w:line="288" w:lineRule="auto"/>
        <w:ind w:left="0" w:firstLine="0"/>
        <w:contextualSpacing/>
        <w:rPr>
          <w:rFonts w:ascii="Times New Roman" w:hAnsi="Times New Roman" w:cs="Times New Roman"/>
          <w:sz w:val="24"/>
          <w:szCs w:val="24"/>
        </w:rPr>
      </w:pPr>
    </w:p>
    <w:p w14:paraId="28114C2F">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8.1.8 Dar ciência à Assessoria Jurídica do órgão ou entidade para as providências junto à Procuradoria Geral do Município, com vistas à adoção de eventuais medidas judiciais, em caso de descumprimento de obrigações pelo </w:t>
      </w:r>
      <w:r>
        <w:rPr>
          <w:rFonts w:ascii="Times New Roman" w:hAnsi="Times New Roman" w:cs="Times New Roman"/>
          <w:b/>
          <w:bCs/>
          <w:sz w:val="24"/>
          <w:szCs w:val="24"/>
        </w:rPr>
        <w:t>CONTRATADO</w:t>
      </w:r>
      <w:r>
        <w:rPr>
          <w:rFonts w:ascii="Times New Roman" w:hAnsi="Times New Roman" w:cs="Times New Roman"/>
          <w:sz w:val="24"/>
          <w:szCs w:val="24"/>
        </w:rPr>
        <w:t>.</w:t>
      </w:r>
    </w:p>
    <w:p w14:paraId="3AA47CCB">
      <w:pPr>
        <w:pStyle w:val="99"/>
        <w:spacing w:before="0" w:after="0" w:line="288" w:lineRule="auto"/>
        <w:ind w:left="0" w:firstLine="0"/>
        <w:contextualSpacing/>
        <w:rPr>
          <w:rFonts w:ascii="Times New Roman" w:hAnsi="Times New Roman" w:cs="Times New Roman"/>
          <w:sz w:val="24"/>
          <w:szCs w:val="24"/>
        </w:rPr>
      </w:pPr>
    </w:p>
    <w:p w14:paraId="535449CB">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639FC69D">
      <w:pPr>
        <w:pStyle w:val="99"/>
        <w:spacing w:before="0" w:after="0" w:line="288" w:lineRule="auto"/>
        <w:ind w:left="0" w:firstLine="0"/>
        <w:contextualSpacing/>
        <w:rPr>
          <w:rFonts w:ascii="Times New Roman" w:hAnsi="Times New Roman" w:cs="Times New Roman"/>
          <w:sz w:val="24"/>
          <w:szCs w:val="24"/>
        </w:rPr>
      </w:pPr>
    </w:p>
    <w:p w14:paraId="03935506">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8.1.9.1 O </w:t>
      </w:r>
      <w:r>
        <w:rPr>
          <w:rFonts w:ascii="Times New Roman" w:hAnsi="Times New Roman" w:cs="Times New Roman"/>
          <w:b/>
          <w:bCs/>
          <w:sz w:val="24"/>
          <w:szCs w:val="24"/>
        </w:rPr>
        <w:t>CONTRATANTE</w:t>
      </w:r>
      <w:r>
        <w:rPr>
          <w:rFonts w:ascii="Times New Roman" w:hAnsi="Times New Roman" w:cs="Times New Roman"/>
          <w:sz w:val="24"/>
          <w:szCs w:val="24"/>
        </w:rPr>
        <w:t xml:space="preserve"> terá o prazo de 1 (um) mês, a contar da data do protocolo do requerimento, para decidir, admitida a prorrogação motivada, por igual período. </w:t>
      </w:r>
    </w:p>
    <w:p w14:paraId="46316E71">
      <w:pPr>
        <w:pStyle w:val="99"/>
        <w:spacing w:before="0" w:after="0" w:line="288" w:lineRule="auto"/>
        <w:ind w:left="0" w:firstLine="0"/>
        <w:contextualSpacing/>
        <w:rPr>
          <w:rFonts w:ascii="Times New Roman" w:hAnsi="Times New Roman" w:cs="Times New Roman"/>
          <w:sz w:val="24"/>
          <w:szCs w:val="24"/>
        </w:rPr>
      </w:pPr>
    </w:p>
    <w:p w14:paraId="7166C5C8">
      <w:pPr>
        <w:pStyle w:val="99"/>
        <w:spacing w:before="0" w:after="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sz w:val="24"/>
          <w:szCs w:val="24"/>
        </w:rPr>
        <w:t xml:space="preserve">8.1.10 Responder aos eventuais pedidos de reestabelecimento do equilíbrio econômico-financeiro feitos pelo </w:t>
      </w:r>
      <w:r>
        <w:rPr>
          <w:rFonts w:ascii="Times New Roman" w:hAnsi="Times New Roman" w:cs="Times New Roman"/>
          <w:b/>
          <w:bCs/>
          <w:sz w:val="24"/>
          <w:szCs w:val="24"/>
        </w:rPr>
        <w:t>CONTRATADO</w:t>
      </w:r>
      <w:r>
        <w:rPr>
          <w:rFonts w:ascii="Times New Roman" w:hAnsi="Times New Roman" w:cs="Times New Roman"/>
          <w:sz w:val="24"/>
          <w:szCs w:val="24"/>
        </w:rPr>
        <w:t xml:space="preserve"> no prazo máximo de </w:t>
      </w:r>
      <w:r>
        <w:rPr>
          <w:rFonts w:ascii="Times New Roman" w:hAnsi="Times New Roman" w:cs="Times New Roman"/>
          <w:color w:val="000000" w:themeColor="text1"/>
          <w:sz w:val="24"/>
          <w:szCs w:val="24"/>
          <w14:textFill>
            <w14:solidFill>
              <w14:schemeClr w14:val="tx1"/>
            </w14:solidFill>
          </w14:textFill>
        </w:rPr>
        <w:t>45 (quarenta e cinco) dias, admitida a prorrogação motivada, por uma única vez, por igual período.</w:t>
      </w:r>
    </w:p>
    <w:p w14:paraId="0EBE769B">
      <w:pPr>
        <w:pStyle w:val="99"/>
        <w:spacing w:before="0" w:after="0" w:line="288" w:lineRule="auto"/>
        <w:ind w:left="0" w:firstLine="0"/>
        <w:contextualSpacing/>
        <w:rPr>
          <w:rFonts w:ascii="Times New Roman" w:hAnsi="Times New Roman" w:cs="Times New Roman"/>
          <w:color w:val="FF0000"/>
          <w:sz w:val="24"/>
          <w:szCs w:val="24"/>
        </w:rPr>
      </w:pPr>
    </w:p>
    <w:p w14:paraId="3BD8CFFB">
      <w:pPr>
        <w:pStyle w:val="99"/>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8.1.11 Notificar os emitentes das garantias quanto ao início de processo administrativo para apuração de descumprimento de cláusulas contratuais, na forma do art. 137, § 4º, da Lei nº 14.133/2021.</w:t>
      </w:r>
    </w:p>
    <w:p w14:paraId="07AFA874">
      <w:pPr>
        <w:pStyle w:val="99"/>
        <w:spacing w:before="0" w:after="0" w:line="288" w:lineRule="auto"/>
        <w:ind w:left="0" w:firstLine="0"/>
        <w:contextualSpacing/>
        <w:rPr>
          <w:rFonts w:ascii="Times New Roman" w:hAnsi="Times New Roman" w:cs="Times New Roman"/>
          <w:sz w:val="24"/>
          <w:szCs w:val="24"/>
        </w:rPr>
      </w:pPr>
    </w:p>
    <w:p w14:paraId="78DE1C90">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8.1.12 A Administração não responderá por quaisquer compromissos assumidos pelo </w:t>
      </w:r>
      <w:r>
        <w:rPr>
          <w:rFonts w:ascii="Times New Roman" w:hAnsi="Times New Roman" w:cs="Times New Roman"/>
          <w:b/>
          <w:bCs/>
          <w:sz w:val="24"/>
          <w:szCs w:val="24"/>
        </w:rPr>
        <w:t>CONTRATADO</w:t>
      </w:r>
      <w:r>
        <w:rPr>
          <w:rFonts w:ascii="Times New Roman" w:hAnsi="Times New Roman" w:cs="Times New Roman"/>
          <w:sz w:val="24"/>
          <w:szCs w:val="24"/>
        </w:rPr>
        <w:t xml:space="preserve"> perante terceiros, ainda que vinculados à execução do Contrato, bem como por qualquer dano causado a terceiros em decorrência de ato do </w:t>
      </w:r>
      <w:r>
        <w:rPr>
          <w:rFonts w:ascii="Times New Roman" w:hAnsi="Times New Roman" w:cs="Times New Roman"/>
          <w:b/>
          <w:bCs/>
          <w:sz w:val="24"/>
          <w:szCs w:val="24"/>
        </w:rPr>
        <w:t>CONTRATADO</w:t>
      </w:r>
      <w:r>
        <w:rPr>
          <w:rFonts w:ascii="Times New Roman" w:hAnsi="Times New Roman" w:cs="Times New Roman"/>
          <w:sz w:val="24"/>
          <w:szCs w:val="24"/>
        </w:rPr>
        <w:t>, de seus empregados, prepostos ou subordinados.</w:t>
      </w:r>
    </w:p>
    <w:p w14:paraId="7BFAC9E1">
      <w:pPr>
        <w:spacing w:line="288" w:lineRule="auto"/>
        <w:contextualSpacing/>
        <w:jc w:val="both"/>
        <w:rPr>
          <w:sz w:val="24"/>
          <w:szCs w:val="24"/>
        </w:rPr>
      </w:pPr>
    </w:p>
    <w:p w14:paraId="5F1FA975">
      <w:pPr>
        <w:spacing w:line="288" w:lineRule="auto"/>
        <w:contextualSpacing/>
        <w:jc w:val="both"/>
        <w:rPr>
          <w:sz w:val="24"/>
          <w:szCs w:val="24"/>
        </w:rPr>
      </w:pPr>
      <w:r>
        <w:rPr>
          <w:sz w:val="24"/>
          <w:szCs w:val="24"/>
        </w:rPr>
        <w:t xml:space="preserve">8.1.13 O presente Contrato não configura vínculo empregatício entre os trabalhadores ou sócios do </w:t>
      </w:r>
      <w:r>
        <w:rPr>
          <w:b/>
          <w:bCs/>
          <w:sz w:val="24"/>
          <w:szCs w:val="24"/>
        </w:rPr>
        <w:t>CONTRATADO</w:t>
      </w:r>
      <w:r>
        <w:rPr>
          <w:sz w:val="24"/>
          <w:szCs w:val="24"/>
        </w:rPr>
        <w:t xml:space="preserve"> e o </w:t>
      </w:r>
      <w:r>
        <w:rPr>
          <w:b/>
          <w:bCs/>
          <w:sz w:val="24"/>
          <w:szCs w:val="24"/>
        </w:rPr>
        <w:t>CONTRATANTE</w:t>
      </w:r>
      <w:r>
        <w:rPr>
          <w:sz w:val="24"/>
          <w:szCs w:val="24"/>
        </w:rPr>
        <w:t>.</w:t>
      </w:r>
    </w:p>
    <w:p w14:paraId="5CB4DCEC">
      <w:pPr>
        <w:spacing w:line="288" w:lineRule="auto"/>
        <w:contextualSpacing/>
        <w:jc w:val="both"/>
        <w:rPr>
          <w:sz w:val="24"/>
          <w:szCs w:val="24"/>
        </w:rPr>
      </w:pPr>
    </w:p>
    <w:p w14:paraId="218C2766">
      <w:pPr>
        <w:pStyle w:val="101"/>
        <w:spacing w:before="0" w:line="288" w:lineRule="auto"/>
        <w:ind w:left="0" w:firstLine="0"/>
        <w:contextualSpacing/>
        <w:rPr>
          <w:rStyle w:val="16"/>
          <w:rFonts w:ascii="Times New Roman" w:hAnsi="Times New Roman" w:cs="Times New Roman" w:eastAsiaTheme="minorHAnsi"/>
          <w:b w:val="0"/>
          <w:bCs w:val="0"/>
          <w:sz w:val="24"/>
          <w:szCs w:val="24"/>
        </w:rPr>
      </w:pPr>
      <w:r>
        <w:rPr>
          <w:rFonts w:ascii="Times New Roman" w:hAnsi="Times New Roman" w:cs="Times New Roman"/>
          <w:sz w:val="24"/>
          <w:szCs w:val="24"/>
        </w:rPr>
        <w:t xml:space="preserve">CLÁUSULA NONA – OBRIGAÇÕES DO CONTRATADO </w:t>
      </w:r>
    </w:p>
    <w:p w14:paraId="18D0297B">
      <w:pPr>
        <w:spacing w:line="288" w:lineRule="auto"/>
        <w:contextualSpacing/>
        <w:rPr>
          <w:sz w:val="24"/>
          <w:szCs w:val="24"/>
        </w:rPr>
      </w:pPr>
    </w:p>
    <w:p w14:paraId="04D41AB8">
      <w:pPr>
        <w:pStyle w:val="101"/>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9.1 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deverá cumprir todas as obrigações constantes deste Contrato e em seus Anexos, assumindo como exclusivamente seus os riscos e as despesas decorrentes da boa e perfeita execução do objeto, observando, ainda, as obrigações a seguir dispostas:</w:t>
      </w:r>
    </w:p>
    <w:p w14:paraId="5811BFD0">
      <w:pPr>
        <w:pStyle w:val="101"/>
        <w:spacing w:before="0" w:line="288" w:lineRule="auto"/>
        <w:ind w:left="0" w:firstLine="0"/>
        <w:contextualSpacing/>
        <w:rPr>
          <w:rFonts w:ascii="Times New Roman" w:hAnsi="Times New Roman" w:cs="Times New Roman"/>
          <w:b w:val="0"/>
          <w:bCs w:val="0"/>
          <w:sz w:val="24"/>
          <w:szCs w:val="24"/>
        </w:rPr>
      </w:pPr>
    </w:p>
    <w:p w14:paraId="3BF86687">
      <w:pPr>
        <w:pStyle w:val="101"/>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9.1.1 Entregar o objeto acompanhado, se for o caso, do manual do usuário, com uma versão em português, e da relação da rede de assistência técnica autorizada.</w:t>
      </w:r>
    </w:p>
    <w:p w14:paraId="43822C53">
      <w:pPr>
        <w:pStyle w:val="99"/>
        <w:spacing w:before="0" w:after="0" w:line="288" w:lineRule="auto"/>
        <w:ind w:left="0" w:firstLine="0"/>
        <w:contextualSpacing/>
        <w:rPr>
          <w:rFonts w:ascii="Times New Roman" w:hAnsi="Times New Roman" w:cs="Times New Roman"/>
          <w:sz w:val="24"/>
          <w:szCs w:val="24"/>
        </w:rPr>
      </w:pPr>
    </w:p>
    <w:p w14:paraId="73EB397A">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 Comunicar ao </w:t>
      </w:r>
      <w:r>
        <w:rPr>
          <w:rFonts w:ascii="Times New Roman" w:hAnsi="Times New Roman" w:cs="Times New Roman"/>
          <w:b/>
          <w:bCs/>
          <w:sz w:val="24"/>
          <w:szCs w:val="24"/>
        </w:rPr>
        <w:t>CONTRATANTE</w:t>
      </w:r>
      <w:r>
        <w:rPr>
          <w:rFonts w:ascii="Times New Roman" w:hAnsi="Times New Roman" w:cs="Times New Roman"/>
          <w:sz w:val="24"/>
          <w:szCs w:val="24"/>
        </w:rPr>
        <w:t>, no prazo máximo de 24 (vinte e quatro) horas que antecede a data da entrega, os motivos que impossibilitem o cumprimento do prazo previsto, com a devida comprovação.</w:t>
      </w:r>
    </w:p>
    <w:p w14:paraId="2208E88B">
      <w:pPr>
        <w:pStyle w:val="99"/>
        <w:spacing w:before="0" w:after="0" w:line="288" w:lineRule="auto"/>
        <w:ind w:left="0" w:firstLine="0"/>
        <w:contextualSpacing/>
        <w:rPr>
          <w:rFonts w:ascii="Times New Roman" w:hAnsi="Times New Roman" w:cs="Times New Roman"/>
          <w:sz w:val="24"/>
          <w:szCs w:val="24"/>
        </w:rPr>
      </w:pPr>
    </w:p>
    <w:p w14:paraId="4ACDF3A3">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9.1.3 Atender às determinações regulares emitidas pelo fiscal ou gestor do Contrato ou autoridade superior </w:t>
      </w:r>
      <w:r>
        <w:rPr>
          <w:rFonts w:ascii="Times New Roman" w:hAnsi="Times New Roman" w:cs="Times New Roman"/>
          <w:color w:val="auto"/>
          <w:sz w:val="24"/>
          <w:szCs w:val="24"/>
        </w:rPr>
        <w:t>(</w:t>
      </w:r>
      <w:r>
        <w:fldChar w:fldCharType="begin"/>
      </w:r>
      <w:r>
        <w:instrText xml:space="preserve"> HYPERLINK "http://www.planalto.gov.br/ccivil_03/_ato2019-2022/2021/lei/L14133.htm" \l "art137" </w:instrText>
      </w:r>
      <w:r>
        <w:fldChar w:fldCharType="separate"/>
      </w:r>
      <w:r>
        <w:rPr>
          <w:rStyle w:val="16"/>
          <w:rFonts w:ascii="Times New Roman" w:hAnsi="Times New Roman" w:cs="Times New Roman" w:eastAsiaTheme="minorHAnsi"/>
          <w:color w:val="auto"/>
          <w:sz w:val="24"/>
          <w:szCs w:val="24"/>
        </w:rPr>
        <w:t>art. 137, II,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r>
        <w:rPr>
          <w:rFonts w:ascii="Times New Roman" w:hAnsi="Times New Roman" w:cs="Times New Roman"/>
          <w:sz w:val="24"/>
          <w:szCs w:val="24"/>
        </w:rPr>
        <w:t xml:space="preserve"> e prestar todo esclarecimento ou informação por eles solicitados.</w:t>
      </w:r>
    </w:p>
    <w:p w14:paraId="5A089792">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16AB9056">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9.1.4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ECCF3FB">
      <w:pPr>
        <w:pStyle w:val="99"/>
        <w:spacing w:before="0" w:after="0" w:line="288" w:lineRule="auto"/>
        <w:ind w:left="0" w:firstLine="0"/>
        <w:contextualSpacing/>
        <w:rPr>
          <w:rFonts w:ascii="Times New Roman" w:hAnsi="Times New Roman" w:cs="Times New Roman"/>
          <w:sz w:val="24"/>
          <w:szCs w:val="24"/>
        </w:rPr>
      </w:pPr>
    </w:p>
    <w:p w14:paraId="27B8BBA0">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7502C1FD">
      <w:pPr>
        <w:pStyle w:val="99"/>
        <w:spacing w:before="0" w:after="0" w:line="288" w:lineRule="auto"/>
        <w:ind w:left="0" w:firstLine="0"/>
        <w:contextualSpacing/>
        <w:rPr>
          <w:rFonts w:ascii="Times New Roman" w:hAnsi="Times New Roman" w:cs="Times New Roman"/>
          <w:sz w:val="24"/>
          <w:szCs w:val="24"/>
        </w:rPr>
      </w:pPr>
    </w:p>
    <w:p w14:paraId="05D8F116">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9.1.6 Responsabilizar-se pelos vícios e danos decorrentes do objeto, de acordo com o Código de Defesa do Consumidor (</w:t>
      </w:r>
      <w:r>
        <w:fldChar w:fldCharType="begin"/>
      </w:r>
      <w:r>
        <w:instrText xml:space="preserve"> HYPERLINK "https://www.planalto.gov.br/ccivil_03/leis/l8078compilado.htm" </w:instrText>
      </w:r>
      <w:r>
        <w:fldChar w:fldCharType="separate"/>
      </w:r>
      <w:r>
        <w:rPr>
          <w:rStyle w:val="16"/>
          <w:rFonts w:ascii="Times New Roman" w:hAnsi="Times New Roman" w:cs="Times New Roman" w:eastAsiaTheme="minorHAnsi"/>
          <w:color w:val="auto"/>
          <w:sz w:val="24"/>
          <w:szCs w:val="24"/>
        </w:rPr>
        <w:t>Lei nº 8.078/1990</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xml:space="preserve">), bem como por todo e qualquer dano causado à Administração ou terceiros, não reduzindo essa responsabilidade a fiscalização ou o acompanhamento da execução contratual pelo </w:t>
      </w:r>
      <w:r>
        <w:rPr>
          <w:rFonts w:ascii="Times New Roman" w:hAnsi="Times New Roman" w:cs="Times New Roman"/>
          <w:b/>
          <w:bCs/>
          <w:sz w:val="24"/>
          <w:szCs w:val="24"/>
        </w:rPr>
        <w:t>CONTRATANTE</w:t>
      </w:r>
      <w:r>
        <w:rPr>
          <w:rFonts w:ascii="Times New Roman" w:hAnsi="Times New Roman" w:cs="Times New Roman"/>
          <w:sz w:val="24"/>
          <w:szCs w:val="24"/>
        </w:rPr>
        <w:t>, que ficará autorizado a descontar dos pagamentos devidos ou da garantia o valor correspondente aos danos sofridos.</w:t>
      </w:r>
    </w:p>
    <w:p w14:paraId="6EA59B4D">
      <w:pPr>
        <w:pStyle w:val="99"/>
        <w:spacing w:before="0" w:after="0" w:line="288" w:lineRule="auto"/>
        <w:ind w:left="0" w:firstLine="0"/>
        <w:contextualSpacing/>
        <w:rPr>
          <w:rFonts w:ascii="Times New Roman" w:hAnsi="Times New Roman" w:cs="Times New Roman"/>
          <w:sz w:val="24"/>
          <w:szCs w:val="24"/>
        </w:rPr>
      </w:pPr>
    </w:p>
    <w:p w14:paraId="6243CFA8">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9.1.7 Não contratar, durante a vigência do Contrato, cônjuge, companheiro ou parente em linha reta, colateral ou por afinidade, até o terceiro grau, de dirigente do </w:t>
      </w:r>
      <w:r>
        <w:rPr>
          <w:rFonts w:ascii="Times New Roman" w:hAnsi="Times New Roman" w:cs="Times New Roman"/>
          <w:b/>
          <w:bCs/>
          <w:sz w:val="24"/>
          <w:szCs w:val="24"/>
        </w:rPr>
        <w:t>CONTRATANTE</w:t>
      </w:r>
      <w:r>
        <w:rPr>
          <w:rFonts w:ascii="Times New Roman" w:hAnsi="Times New Roman" w:cs="Times New Roman"/>
          <w:sz w:val="24"/>
          <w:szCs w:val="24"/>
        </w:rPr>
        <w:t xml:space="preserve"> ou de agente público que atue na fiscalização ou na gestão do Contrato, nos termos do art. 48, parágrafo único, da Lei nº 14.133/2021.</w:t>
      </w:r>
    </w:p>
    <w:p w14:paraId="5E825571">
      <w:pPr>
        <w:pStyle w:val="99"/>
        <w:spacing w:before="0" w:after="0" w:line="288" w:lineRule="auto"/>
        <w:ind w:left="0" w:firstLine="0"/>
        <w:contextualSpacing/>
        <w:rPr>
          <w:rFonts w:ascii="Times New Roman" w:hAnsi="Times New Roman" w:cs="Times New Roman"/>
          <w:sz w:val="24"/>
          <w:szCs w:val="24"/>
        </w:rPr>
      </w:pPr>
    </w:p>
    <w:p w14:paraId="4914C217">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9.1.8 Manter a regularidade junto ao SICAF.</w:t>
      </w:r>
    </w:p>
    <w:p w14:paraId="3C66D7BA">
      <w:pPr>
        <w:pStyle w:val="99"/>
        <w:spacing w:before="0" w:after="0" w:line="288" w:lineRule="auto"/>
        <w:ind w:left="0" w:firstLine="0"/>
        <w:contextualSpacing/>
        <w:rPr>
          <w:rFonts w:ascii="Times New Roman" w:hAnsi="Times New Roman" w:cs="Times New Roman"/>
          <w:sz w:val="24"/>
          <w:szCs w:val="24"/>
        </w:rPr>
      </w:pPr>
    </w:p>
    <w:p w14:paraId="506EDF93">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9.1.8.1 Quando não for possível a verificação da regularidade no Sistema de Cadastro de Fornecedores – SICAF, o </w:t>
      </w:r>
      <w:r>
        <w:rPr>
          <w:rFonts w:ascii="Times New Roman" w:hAnsi="Times New Roman" w:cs="Times New Roman"/>
          <w:b/>
          <w:bCs/>
          <w:sz w:val="24"/>
          <w:szCs w:val="24"/>
        </w:rPr>
        <w:t>CONTRATADO</w:t>
      </w:r>
      <w:r>
        <w:rPr>
          <w:rFonts w:ascii="Times New Roman" w:hAnsi="Times New Roman" w:cs="Times New Roman"/>
          <w:sz w:val="24"/>
          <w:szCs w:val="24"/>
        </w:rPr>
        <w:t xml:space="preserve"> deverá entregar ao setor responsável pela fiscalização do Contrato, junto com a Nota Fiscal para fins de pagamento, os seguintes documentos:</w:t>
      </w:r>
    </w:p>
    <w:p w14:paraId="4883DE8C">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prova de regularidade relativa à Seguridade Social;</w:t>
      </w:r>
    </w:p>
    <w:p w14:paraId="05FD7A07">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certidão conjunta relativa aos tributos federais e à Dívida Ativa da União;</w:t>
      </w:r>
    </w:p>
    <w:p w14:paraId="683F17DC">
      <w:pPr>
        <w:pStyle w:val="99"/>
        <w:spacing w:before="0" w:after="0" w:line="288" w:lineRule="auto"/>
        <w:ind w:left="0" w:firstLine="0"/>
        <w:contextualSpacing/>
        <w:rPr>
          <w:rFonts w:ascii="Times New Roman" w:hAnsi="Times New Roman" w:cs="Times New Roman"/>
          <w:iCs/>
          <w:sz w:val="24"/>
          <w:szCs w:val="24"/>
        </w:rPr>
      </w:pPr>
      <w:r>
        <w:rPr>
          <w:rFonts w:ascii="Times New Roman" w:hAnsi="Times New Roman" w:cs="Times New Roman"/>
          <w:iCs/>
          <w:sz w:val="24"/>
          <w:szCs w:val="24"/>
        </w:rPr>
        <w:t xml:space="preserve">c) certidões que comprovem a regularidade perante as Fazendas do domicílio ou sede do </w:t>
      </w:r>
      <w:r>
        <w:rPr>
          <w:rFonts w:ascii="Times New Roman" w:hAnsi="Times New Roman" w:cs="Times New Roman"/>
          <w:b/>
          <w:bCs/>
          <w:sz w:val="24"/>
          <w:szCs w:val="24"/>
        </w:rPr>
        <w:t>CONTRATADO</w:t>
      </w:r>
      <w:r>
        <w:rPr>
          <w:rFonts w:ascii="Times New Roman" w:hAnsi="Times New Roman" w:cs="Times New Roman"/>
          <w:iCs/>
          <w:sz w:val="24"/>
          <w:szCs w:val="24"/>
        </w:rPr>
        <w:t xml:space="preserve">, na mesma forma exigida no Edital ou Aviso de Contratação Direta; </w:t>
      </w:r>
    </w:p>
    <w:p w14:paraId="57835166">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d) Certificado de Regularidade do FGTS; e</w:t>
      </w:r>
    </w:p>
    <w:p w14:paraId="63D6A745">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e) Certidão Negativa de Débitos Trabalhistas – CNDT. </w:t>
      </w:r>
    </w:p>
    <w:p w14:paraId="3CDBED84">
      <w:pPr>
        <w:pStyle w:val="99"/>
        <w:spacing w:before="0" w:after="0" w:line="288" w:lineRule="auto"/>
        <w:ind w:left="0" w:firstLine="0"/>
        <w:contextualSpacing/>
        <w:rPr>
          <w:rFonts w:ascii="Times New Roman" w:hAnsi="Times New Roman" w:cs="Times New Roman"/>
          <w:sz w:val="24"/>
          <w:szCs w:val="24"/>
        </w:rPr>
      </w:pPr>
    </w:p>
    <w:p w14:paraId="5C33A68F">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9.1.9 Responsabilizar-se pelo cumprimento de todas as obrigações trabalhistas, previdenciárias, fiscais, comerciais e as demais previstas em legislação específica, cuja inadimplência não transfere a responsabilidade ao </w:t>
      </w:r>
      <w:r>
        <w:rPr>
          <w:rFonts w:ascii="Times New Roman" w:hAnsi="Times New Roman" w:cs="Times New Roman"/>
          <w:b/>
          <w:bCs/>
          <w:sz w:val="24"/>
          <w:szCs w:val="24"/>
        </w:rPr>
        <w:t>CONTRATANTE</w:t>
      </w:r>
      <w:r>
        <w:rPr>
          <w:rFonts w:ascii="Times New Roman" w:hAnsi="Times New Roman" w:cs="Times New Roman"/>
          <w:sz w:val="24"/>
          <w:szCs w:val="24"/>
        </w:rPr>
        <w:t xml:space="preserve"> e não poderá onerar o objeto do Contrato.</w:t>
      </w:r>
    </w:p>
    <w:p w14:paraId="4489B256">
      <w:pPr>
        <w:pStyle w:val="99"/>
        <w:spacing w:before="0" w:after="0" w:line="288" w:lineRule="auto"/>
        <w:ind w:left="0" w:firstLine="0"/>
        <w:contextualSpacing/>
        <w:rPr>
          <w:rFonts w:ascii="Times New Roman" w:hAnsi="Times New Roman" w:cs="Times New Roman"/>
          <w:sz w:val="24"/>
          <w:szCs w:val="24"/>
        </w:rPr>
      </w:pPr>
    </w:p>
    <w:p w14:paraId="718B66C7">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9.1.10 Comunicar ao Fiscal do Contrato, no prazo de 24 (vinte e quatro) horas, qualquer ocorrência anormal ou acidente que se verifique no local da execução do objeto contratual.</w:t>
      </w:r>
    </w:p>
    <w:p w14:paraId="0BF2E2D2">
      <w:pPr>
        <w:pStyle w:val="99"/>
        <w:spacing w:before="0" w:after="0" w:line="288" w:lineRule="auto"/>
        <w:ind w:left="0" w:firstLine="0"/>
        <w:contextualSpacing/>
        <w:rPr>
          <w:rFonts w:ascii="Times New Roman" w:hAnsi="Times New Roman" w:cs="Times New Roman"/>
          <w:sz w:val="24"/>
          <w:szCs w:val="24"/>
        </w:rPr>
      </w:pPr>
    </w:p>
    <w:p w14:paraId="7FF455F2">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9.1.11 Paralisar, por determinação do </w:t>
      </w:r>
      <w:r>
        <w:rPr>
          <w:rFonts w:ascii="Times New Roman" w:hAnsi="Times New Roman" w:cs="Times New Roman"/>
          <w:b/>
          <w:bCs/>
          <w:sz w:val="24"/>
          <w:szCs w:val="24"/>
        </w:rPr>
        <w:t>CONTRATANTE</w:t>
      </w:r>
      <w:r>
        <w:rPr>
          <w:rFonts w:ascii="Times New Roman" w:hAnsi="Times New Roman" w:cs="Times New Roman"/>
          <w:sz w:val="24"/>
          <w:szCs w:val="24"/>
        </w:rPr>
        <w:t>, qualquer atividade que não esteja sendo executada de acordo com a boa técnica ou que ponha em risco a segurança de pessoas ou bens de terceiros.</w:t>
      </w:r>
    </w:p>
    <w:p w14:paraId="5B9225F0">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10C6604D">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9.1.12 Conduzir os trabalhos com estrita observância às normas da legislação pertinente, cumprindo as determinações dos Poderes Públicos, mantendo sempre limpo o local d</w:t>
      </w:r>
      <w:r>
        <w:rPr>
          <w:rFonts w:ascii="Times New Roman" w:hAnsi="Times New Roman" w:cs="Times New Roman"/>
          <w:i w:val="0"/>
          <w:iCs w:val="0"/>
          <w:color w:val="auto"/>
          <w:sz w:val="24"/>
          <w:szCs w:val="24"/>
          <w:lang w:eastAsia="en-US"/>
        </w:rPr>
        <w:t>e execução do objeto</w:t>
      </w:r>
      <w:r>
        <w:rPr>
          <w:rFonts w:ascii="Times New Roman" w:hAnsi="Times New Roman" w:cs="Times New Roman"/>
          <w:i w:val="0"/>
          <w:iCs w:val="0"/>
          <w:color w:val="auto"/>
          <w:sz w:val="24"/>
          <w:szCs w:val="24"/>
        </w:rPr>
        <w:t xml:space="preserve"> e nas melhores condições de segurança, higiene e disciplina.</w:t>
      </w:r>
    </w:p>
    <w:p w14:paraId="256923F8">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4D95AB33">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9.1.13 Submeter previamente, por escrito, ao </w:t>
      </w:r>
      <w:r>
        <w:rPr>
          <w:rFonts w:ascii="Times New Roman" w:hAnsi="Times New Roman" w:cs="Times New Roman"/>
          <w:b/>
          <w:bCs/>
          <w:i w:val="0"/>
          <w:iCs w:val="0"/>
          <w:color w:val="auto"/>
          <w:sz w:val="24"/>
          <w:szCs w:val="24"/>
        </w:rPr>
        <w:t>CONTRATANTE</w:t>
      </w:r>
      <w:r>
        <w:rPr>
          <w:rFonts w:ascii="Times New Roman" w:hAnsi="Times New Roman" w:cs="Times New Roman"/>
          <w:i w:val="0"/>
          <w:iCs w:val="0"/>
          <w:color w:val="auto"/>
          <w:sz w:val="24"/>
          <w:szCs w:val="24"/>
        </w:rPr>
        <w:t>, para análise e aprovação, quaisquer mudanças nos métodos executivos que fujam às especificações do memorial descritivo ou instrumento congênere.</w:t>
      </w:r>
    </w:p>
    <w:p w14:paraId="01D58FA9">
      <w:pPr>
        <w:pStyle w:val="108"/>
        <w:numPr>
          <w:ilvl w:val="0"/>
          <w:numId w:val="0"/>
        </w:numPr>
        <w:spacing w:before="0" w:after="0" w:line="288" w:lineRule="auto"/>
        <w:contextualSpacing/>
        <w:rPr>
          <w:rFonts w:ascii="Times New Roman" w:hAnsi="Times New Roman" w:cs="Times New Roman"/>
          <w:i w:val="0"/>
          <w:iCs w:val="0"/>
          <w:color w:val="auto"/>
          <w:sz w:val="24"/>
          <w:szCs w:val="24"/>
        </w:rPr>
      </w:pPr>
    </w:p>
    <w:p w14:paraId="78F4E87C">
      <w:pPr>
        <w:pStyle w:val="108"/>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9.1.14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6687CFB0">
      <w:pPr>
        <w:pStyle w:val="99"/>
        <w:spacing w:before="0" w:after="0" w:line="288" w:lineRule="auto"/>
        <w:ind w:left="0" w:firstLine="0"/>
        <w:contextualSpacing/>
        <w:rPr>
          <w:rFonts w:ascii="Times New Roman" w:hAnsi="Times New Roman" w:cs="Times New Roman"/>
          <w:sz w:val="24"/>
          <w:szCs w:val="24"/>
        </w:rPr>
      </w:pPr>
    </w:p>
    <w:p w14:paraId="03378069">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9.1.15 Manter durante toda a vigência do Contrato, em compatibilidade com as obrigações assumidas, todas as condições exigidas para habilitação na licitação.</w:t>
      </w:r>
    </w:p>
    <w:p w14:paraId="0345FE16">
      <w:pPr>
        <w:pStyle w:val="99"/>
        <w:spacing w:before="0" w:after="0" w:line="288" w:lineRule="auto"/>
        <w:ind w:left="0" w:firstLine="0"/>
        <w:contextualSpacing/>
        <w:rPr>
          <w:rFonts w:ascii="Times New Roman" w:hAnsi="Times New Roman" w:cs="Times New Roman"/>
          <w:sz w:val="24"/>
          <w:szCs w:val="24"/>
        </w:rPr>
      </w:pPr>
    </w:p>
    <w:p w14:paraId="2F313F7A">
      <w:pPr>
        <w:pStyle w:val="99"/>
        <w:spacing w:before="0" w:after="0" w:line="288" w:lineRule="auto"/>
        <w:ind w:left="0" w:firstLine="0"/>
        <w:contextualSpacing/>
        <w:rPr>
          <w:rFonts w:ascii="Times New Roman" w:hAnsi="Times New Roman" w:cs="Times New Roman"/>
          <w:b/>
          <w:bCs/>
          <w:color w:val="auto"/>
          <w:sz w:val="24"/>
          <w:szCs w:val="24"/>
        </w:rPr>
      </w:pPr>
      <w:r>
        <w:rPr>
          <w:rFonts w:ascii="Times New Roman" w:hAnsi="Times New Roman" w:cs="Times New Roman"/>
          <w:sz w:val="24"/>
          <w:szCs w:val="24"/>
        </w:rPr>
        <w:t>9.1.16 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6"/>
          <w:rFonts w:ascii="Times New Roman" w:hAnsi="Times New Roman" w:cs="Times New Roman" w:eastAsiaTheme="minorHAnsi"/>
          <w:color w:val="auto"/>
          <w:sz w:val="24"/>
          <w:szCs w:val="24"/>
        </w:rPr>
        <w:t>art. 116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0F5CFF9D">
      <w:pPr>
        <w:pStyle w:val="99"/>
        <w:spacing w:before="0" w:after="0" w:line="288" w:lineRule="auto"/>
        <w:ind w:left="0" w:firstLine="0"/>
        <w:contextualSpacing/>
        <w:rPr>
          <w:rFonts w:ascii="Times New Roman" w:hAnsi="Times New Roman" w:cs="Times New Roman"/>
          <w:sz w:val="24"/>
          <w:szCs w:val="24"/>
        </w:rPr>
      </w:pPr>
    </w:p>
    <w:p w14:paraId="7DC6E321">
      <w:pPr>
        <w:pStyle w:val="99"/>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sz w:val="24"/>
          <w:szCs w:val="24"/>
        </w:rPr>
        <w:t>9</w:t>
      </w:r>
      <w:r>
        <w:rPr>
          <w:rFonts w:ascii="Times New Roman" w:hAnsi="Times New Roman" w:cs="Times New Roman"/>
          <w:b/>
          <w:bCs/>
          <w:sz w:val="24"/>
          <w:szCs w:val="24"/>
        </w:rPr>
        <w:t>.</w:t>
      </w:r>
      <w:r>
        <w:rPr>
          <w:rFonts w:ascii="Times New Roman" w:hAnsi="Times New Roman" w:cs="Times New Roman"/>
          <w:sz w:val="24"/>
          <w:szCs w:val="24"/>
        </w:rPr>
        <w:t>1.16.1</w:t>
      </w:r>
      <w:r>
        <w:rPr>
          <w:rFonts w:ascii="Times New Roman" w:hAnsi="Times New Roman" w:cs="Times New Roman"/>
          <w:b/>
          <w:bCs/>
          <w:sz w:val="24"/>
          <w:szCs w:val="24"/>
        </w:rPr>
        <w:t xml:space="preserve"> </w:t>
      </w:r>
      <w:r>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r>
        <w:fldChar w:fldCharType="begin"/>
      </w:r>
      <w:r>
        <w:instrText xml:space="preserve"> HYPERLINK "http://www.planalto.gov.br/ccivil_03/_ato2019-2022/2021/lei/L14133.htm" \l "art116" </w:instrText>
      </w:r>
      <w:r>
        <w:fldChar w:fldCharType="separate"/>
      </w:r>
      <w:r>
        <w:rPr>
          <w:rStyle w:val="16"/>
          <w:rFonts w:ascii="Times New Roman" w:hAnsi="Times New Roman" w:cs="Times New Roman" w:eastAsiaTheme="minorHAnsi"/>
          <w:color w:val="auto"/>
          <w:sz w:val="24"/>
          <w:szCs w:val="24"/>
        </w:rPr>
        <w:t>art. 116, parágrafo único,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52045290">
      <w:pPr>
        <w:pStyle w:val="99"/>
        <w:spacing w:before="0" w:after="0" w:line="288" w:lineRule="auto"/>
        <w:ind w:left="0" w:firstLine="0"/>
        <w:contextualSpacing/>
        <w:rPr>
          <w:rFonts w:ascii="Times New Roman" w:hAnsi="Times New Roman" w:cs="Times New Roman"/>
          <w:color w:val="auto"/>
          <w:sz w:val="24"/>
          <w:szCs w:val="24"/>
        </w:rPr>
      </w:pPr>
    </w:p>
    <w:p w14:paraId="0AE0359C">
      <w:pPr>
        <w:pStyle w:val="99"/>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9.1.16.2 No caso de aprendiz, a comprovação do cumprimento do art. 429 e seguintes da Consolidação das Leis do Trabalho se dará pela apresentação da certidão, expedida pelo Ministério do Trabalho e Emprego, sem prejuízo do item 9.1.16.1.</w:t>
      </w:r>
    </w:p>
    <w:p w14:paraId="5675463C">
      <w:pPr>
        <w:pStyle w:val="99"/>
        <w:spacing w:before="0" w:after="0" w:line="288" w:lineRule="auto"/>
        <w:ind w:left="0" w:firstLine="0"/>
        <w:contextualSpacing/>
        <w:rPr>
          <w:rFonts w:ascii="Times New Roman" w:hAnsi="Times New Roman" w:cs="Times New Roman"/>
          <w:color w:val="auto"/>
          <w:sz w:val="24"/>
          <w:szCs w:val="24"/>
        </w:rPr>
      </w:pPr>
    </w:p>
    <w:p w14:paraId="6C145E36">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9.1.17 </w:t>
      </w:r>
      <w:r>
        <w:rPr>
          <w:rFonts w:ascii="Times New Roman" w:hAnsi="Times New Roman" w:cs="Times New Roman"/>
          <w:sz w:val="24"/>
          <w:szCs w:val="24"/>
        </w:rPr>
        <w:t>Guardar sigilo sobre todas as informações obtidas em decorrência do cumprimento do Contrato.</w:t>
      </w:r>
    </w:p>
    <w:p w14:paraId="646F2577">
      <w:pPr>
        <w:pStyle w:val="99"/>
        <w:spacing w:before="0" w:after="0" w:line="288" w:lineRule="auto"/>
        <w:ind w:left="0" w:firstLine="0"/>
        <w:contextualSpacing/>
        <w:rPr>
          <w:rFonts w:ascii="Times New Roman" w:hAnsi="Times New Roman" w:cs="Times New Roman"/>
          <w:sz w:val="24"/>
          <w:szCs w:val="24"/>
        </w:rPr>
      </w:pPr>
    </w:p>
    <w:p w14:paraId="16FD3D25">
      <w:pPr>
        <w:pStyle w:val="99"/>
        <w:spacing w:before="0" w:after="0" w:line="288" w:lineRule="auto"/>
        <w:ind w:left="0" w:firstLine="0"/>
        <w:contextualSpacing/>
        <w:rPr>
          <w:rStyle w:val="16"/>
          <w:rFonts w:ascii="Times New Roman" w:hAnsi="Times New Roman" w:cs="Times New Roman" w:eastAsiaTheme="minorHAnsi"/>
          <w:sz w:val="24"/>
          <w:szCs w:val="24"/>
        </w:rPr>
      </w:pPr>
      <w:r>
        <w:rPr>
          <w:rFonts w:ascii="Times New Roman" w:hAnsi="Times New Roman" w:cs="Times New Roman"/>
          <w:sz w:val="24"/>
          <w:szCs w:val="24"/>
        </w:rPr>
        <w:t xml:space="preserve">9.1.18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r>
        <w:fldChar w:fldCharType="begin"/>
      </w:r>
      <w:r>
        <w:instrText xml:space="preserve"> HYPERLINK "http://www.planalto.gov.br/ccivil_03/_ato2019-2022/2021/lei/L14133.htm" \l "art124" </w:instrText>
      </w:r>
      <w:r>
        <w:fldChar w:fldCharType="separate"/>
      </w:r>
      <w:r>
        <w:rPr>
          <w:rStyle w:val="16"/>
          <w:rFonts w:ascii="Times New Roman" w:hAnsi="Times New Roman" w:cs="Times New Roman" w:eastAsiaTheme="minorHAnsi"/>
          <w:color w:val="auto"/>
          <w:sz w:val="24"/>
          <w:szCs w:val="24"/>
        </w:rPr>
        <w:t>artigo 124, II, d, da Lei nº 14.133/2021.</w:t>
      </w:r>
      <w:r>
        <w:rPr>
          <w:rStyle w:val="16"/>
          <w:rFonts w:ascii="Times New Roman" w:hAnsi="Times New Roman" w:cs="Times New Roman" w:eastAsiaTheme="minorHAnsi"/>
          <w:color w:val="auto"/>
          <w:sz w:val="24"/>
          <w:szCs w:val="24"/>
        </w:rPr>
        <w:fldChar w:fldCharType="end"/>
      </w:r>
    </w:p>
    <w:p w14:paraId="0C1F7209">
      <w:pPr>
        <w:pStyle w:val="99"/>
        <w:spacing w:before="0" w:after="0" w:line="288" w:lineRule="auto"/>
        <w:ind w:left="0" w:firstLine="0"/>
        <w:contextualSpacing/>
        <w:rPr>
          <w:rFonts w:ascii="Times New Roman" w:hAnsi="Times New Roman" w:cs="Times New Roman"/>
          <w:sz w:val="24"/>
          <w:szCs w:val="24"/>
        </w:rPr>
      </w:pPr>
    </w:p>
    <w:p w14:paraId="2D668296">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9.1.19 Cumprir, além dos postulados legais vigentes de âmbito federal, estadual ou municipal, as normas de segurança do </w:t>
      </w:r>
      <w:r>
        <w:rPr>
          <w:rFonts w:ascii="Times New Roman" w:hAnsi="Times New Roman" w:cs="Times New Roman"/>
          <w:b/>
          <w:bCs/>
          <w:sz w:val="24"/>
          <w:szCs w:val="24"/>
        </w:rPr>
        <w:t>CONTRATANTE</w:t>
      </w:r>
      <w:r>
        <w:rPr>
          <w:rFonts w:ascii="Times New Roman" w:hAnsi="Times New Roman" w:cs="Times New Roman"/>
          <w:sz w:val="24"/>
          <w:szCs w:val="24"/>
        </w:rPr>
        <w:t>.</w:t>
      </w:r>
    </w:p>
    <w:p w14:paraId="50AC7AA0">
      <w:pPr>
        <w:pStyle w:val="99"/>
        <w:spacing w:before="0" w:after="0" w:line="288" w:lineRule="auto"/>
        <w:ind w:left="0" w:firstLine="0"/>
        <w:contextualSpacing/>
        <w:rPr>
          <w:rFonts w:ascii="Times New Roman" w:hAnsi="Times New Roman" w:cs="Times New Roman"/>
          <w:sz w:val="24"/>
          <w:szCs w:val="24"/>
        </w:rPr>
      </w:pPr>
    </w:p>
    <w:p w14:paraId="03E92691">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9.1.20 Prestar esclarecimentos ou informações solicitadas pelo </w:t>
      </w:r>
      <w:r>
        <w:rPr>
          <w:rFonts w:ascii="Times New Roman" w:hAnsi="Times New Roman" w:cs="Times New Roman"/>
          <w:b/>
          <w:bCs/>
          <w:sz w:val="24"/>
          <w:szCs w:val="24"/>
        </w:rPr>
        <w:t>CONTRATANTE</w:t>
      </w:r>
      <w:r>
        <w:rPr>
          <w:rFonts w:ascii="Times New Roman" w:hAnsi="Times New Roman" w:cs="Times New Roman"/>
          <w:sz w:val="24"/>
          <w:szCs w:val="24"/>
        </w:rPr>
        <w:t xml:space="preserve"> ou por seus prepostos, garantindo-lhes o acesso, a qualquer tempo, ao local dos trabalhos, bem como aos documentos relativos à execução do empreendimento.</w:t>
      </w:r>
    </w:p>
    <w:p w14:paraId="2279455F">
      <w:pPr>
        <w:pStyle w:val="99"/>
        <w:spacing w:before="0" w:after="0" w:line="288" w:lineRule="auto"/>
        <w:ind w:left="0" w:firstLine="0"/>
        <w:contextualSpacing/>
        <w:rPr>
          <w:rFonts w:ascii="Times New Roman" w:hAnsi="Times New Roman" w:cs="Times New Roman"/>
          <w:sz w:val="24"/>
          <w:szCs w:val="24"/>
        </w:rPr>
      </w:pPr>
    </w:p>
    <w:p w14:paraId="216705EF">
      <w:pPr>
        <w:pStyle w:val="99"/>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9.1.21 </w:t>
      </w:r>
      <w:bookmarkStart w:id="48" w:name="_Hlk175228415"/>
      <w:r>
        <w:rPr>
          <w:rFonts w:ascii="Times New Roman" w:hAnsi="Times New Roman" w:cs="Times New Roman"/>
          <w:sz w:val="24"/>
          <w:szCs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085B730D">
      <w:pPr>
        <w:pStyle w:val="99"/>
        <w:spacing w:before="0" w:after="0" w:line="288" w:lineRule="auto"/>
        <w:ind w:left="0" w:firstLine="0"/>
        <w:contextualSpacing/>
        <w:rPr>
          <w:rFonts w:ascii="Times New Roman" w:hAnsi="Times New Roman" w:eastAsia="Calibri" w:cs="Times New Roman"/>
          <w:color w:val="auto"/>
          <w:sz w:val="24"/>
          <w:szCs w:val="24"/>
          <w:lang w:eastAsia="en-US"/>
        </w:rPr>
      </w:pPr>
    </w:p>
    <w:p w14:paraId="3759694E">
      <w:pPr>
        <w:pStyle w:val="99"/>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color w:val="auto"/>
          <w:sz w:val="24"/>
          <w:szCs w:val="24"/>
          <w:lang w:eastAsia="en-US"/>
        </w:rPr>
        <w:t xml:space="preserve">9.1.21.1 Caso o </w:t>
      </w:r>
      <w:r>
        <w:rPr>
          <w:rFonts w:ascii="Times New Roman" w:hAnsi="Times New Roman" w:eastAsia="Calibri" w:cs="Times New Roman"/>
          <w:b/>
          <w:bCs/>
          <w:color w:val="auto"/>
          <w:sz w:val="24"/>
          <w:szCs w:val="24"/>
          <w:lang w:eastAsia="en-US"/>
        </w:rPr>
        <w:t>CONTRATADO</w:t>
      </w:r>
      <w:r>
        <w:rPr>
          <w:rFonts w:ascii="Times New Roman" w:hAnsi="Times New Roman" w:eastAsia="Calibri" w:cs="Times New Roman"/>
          <w:color w:val="auto"/>
          <w:sz w:val="24"/>
          <w:szCs w:val="24"/>
          <w:lang w:eastAsia="en-US"/>
        </w:rPr>
        <w:t xml:space="preserve"> ainda não tenha Programa de Integridade instituído, compromete-se a implantar o Programa de Integridade no prazo de até 180 (cento e oitenta) dias corridos, a partir da data de celebração do presente Contrato, </w:t>
      </w:r>
      <w:r>
        <w:rPr>
          <w:rFonts w:ascii="Times New Roman" w:hAnsi="Times New Roman" w:cs="Times New Roman"/>
          <w:color w:val="auto"/>
          <w:sz w:val="24"/>
          <w:szCs w:val="24"/>
        </w:rPr>
        <w:t>na forma da legislação vigente.</w:t>
      </w:r>
    </w:p>
    <w:bookmarkEnd w:id="48"/>
    <w:p w14:paraId="7C2995EC">
      <w:pPr>
        <w:spacing w:line="288" w:lineRule="auto"/>
        <w:contextualSpacing/>
        <w:jc w:val="both"/>
        <w:rPr>
          <w:sz w:val="24"/>
          <w:szCs w:val="24"/>
        </w:rPr>
      </w:pPr>
    </w:p>
    <w:p w14:paraId="62696E9A">
      <w:pPr>
        <w:spacing w:line="288" w:lineRule="auto"/>
        <w:contextualSpacing/>
        <w:jc w:val="both"/>
        <w:rPr>
          <w:sz w:val="24"/>
          <w:szCs w:val="24"/>
        </w:rPr>
      </w:pPr>
      <w:r>
        <w:rPr>
          <w:sz w:val="24"/>
          <w:szCs w:val="24"/>
        </w:rPr>
        <w:t>9.1.22 Orientar e treinar seus empregados sobre os deveres previstos na Lei nº 13.709, de 14 de agosto de 2018 (LGPD), adotando medidas eficazes para proteção de dados pessoais a que tenha acesso por força da execução deste Contrato.</w:t>
      </w:r>
    </w:p>
    <w:p w14:paraId="01C4EB22">
      <w:pPr>
        <w:spacing w:line="288" w:lineRule="auto"/>
        <w:contextualSpacing/>
        <w:jc w:val="both"/>
        <w:rPr>
          <w:sz w:val="24"/>
          <w:szCs w:val="24"/>
        </w:rPr>
      </w:pPr>
    </w:p>
    <w:p w14:paraId="7A7D1B04">
      <w:pPr>
        <w:pStyle w:val="101"/>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DÉCIMA – GARANTIA DE EXECUÇÃO</w:t>
      </w:r>
    </w:p>
    <w:p w14:paraId="2C8253FB">
      <w:pPr>
        <w:spacing w:line="288" w:lineRule="auto"/>
        <w:contextualSpacing/>
        <w:jc w:val="both"/>
        <w:rPr>
          <w:sz w:val="24"/>
          <w:szCs w:val="24"/>
        </w:rPr>
      </w:pPr>
    </w:p>
    <w:p w14:paraId="1EDC8167">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 O Contrato conta com garantia de execução, nos moldes do </w:t>
      </w:r>
      <w:r>
        <w:fldChar w:fldCharType="begin"/>
      </w:r>
      <w:r>
        <w:instrText xml:space="preserve"> HYPERLINK "http://www.planalto.gov.br/ccivil_03/_ato2019-2022/2021/lei/L14133.htm" \l "art96" </w:instrText>
      </w:r>
      <w:r>
        <w:fldChar w:fldCharType="separate"/>
      </w:r>
      <w:r>
        <w:rPr>
          <w:rStyle w:val="16"/>
          <w:rFonts w:eastAsiaTheme="minorHAnsi"/>
          <w:color w:val="000000" w:themeColor="text1"/>
          <w:sz w:val="24"/>
          <w:szCs w:val="24"/>
          <w14:textFill>
            <w14:solidFill>
              <w14:schemeClr w14:val="tx1"/>
            </w14:solidFill>
          </w14:textFill>
        </w:rPr>
        <w:t>artigo 96 da Lei nº 14.133</w:t>
      </w:r>
      <w:r>
        <w:rPr>
          <w:rStyle w:val="16"/>
          <w:rFonts w:eastAsiaTheme="minorHAnsi"/>
          <w:color w:val="000000" w:themeColor="text1"/>
          <w:sz w:val="24"/>
          <w:szCs w:val="24"/>
          <w14:textFill>
            <w14:solidFill>
              <w14:schemeClr w14:val="tx1"/>
            </w14:solidFill>
          </w14:textFill>
        </w:rPr>
        <w:fldChar w:fldCharType="end"/>
      </w:r>
      <w:r>
        <w:rPr>
          <w:rStyle w:val="16"/>
          <w:rFonts w:eastAsiaTheme="minorHAnsi"/>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2021, correspondente a 5 % (cinco) de seu valor inicial/anual.</w:t>
      </w:r>
    </w:p>
    <w:p w14:paraId="0C5D0F42">
      <w:pPr>
        <w:pStyle w:val="103"/>
        <w:spacing w:before="288" w:beforeLines="120" w:after="288" w:afterLines="120" w:line="288" w:lineRule="auto"/>
        <w:ind w:left="0" w:right="849"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10.1.1 Na forma do art. 101 da Lei nº 14.133/2021, nos casos de contratos que impliquem a entrega de bens pela Administração, dos quais o </w:t>
      </w:r>
      <w:r>
        <w:rPr>
          <w:rFonts w:ascii="Times New Roman" w:hAnsi="Times New Roman" w:cs="Times New Roman"/>
          <w:b/>
          <w:bCs/>
          <w:color w:val="000000" w:themeColor="text1"/>
          <w:sz w:val="24"/>
          <w:szCs w:val="24"/>
          <w14:textFill>
            <w14:solidFill>
              <w14:schemeClr w14:val="tx1"/>
            </w14:solidFill>
          </w14:textFill>
        </w:rPr>
        <w:t>CONTRATADO</w:t>
      </w:r>
      <w:r>
        <w:rPr>
          <w:rFonts w:ascii="Times New Roman" w:hAnsi="Times New Roman" w:cs="Times New Roman"/>
          <w:color w:val="000000" w:themeColor="text1"/>
          <w:sz w:val="24"/>
          <w:szCs w:val="24"/>
          <w14:textFill>
            <w14:solidFill>
              <w14:schemeClr w14:val="tx1"/>
            </w14:solidFill>
          </w14:textFill>
        </w:rPr>
        <w:t xml:space="preserve"> ficará depositário, o valor desses bens deverá ser acrescido ao valor da garantia.</w:t>
      </w:r>
    </w:p>
    <w:p w14:paraId="691F0B59">
      <w:pPr>
        <w:pStyle w:val="108"/>
        <w:numPr>
          <w:ilvl w:val="0"/>
          <w:numId w:val="0"/>
        </w:numPr>
        <w:spacing w:after="288" w:afterLines="120" w:line="288" w:lineRule="auto"/>
        <w:ind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10.2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poderá optar pelas seguintes modalidades de garantia:</w:t>
      </w:r>
    </w:p>
    <w:p w14:paraId="67035442">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 - caução em dinheiro ou em títulos da dívida pública;</w:t>
      </w:r>
    </w:p>
    <w:p w14:paraId="05C45CA5">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II - seguro-garantia; </w:t>
      </w:r>
    </w:p>
    <w:p w14:paraId="5922D24C">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III - fiança bancária; e</w:t>
      </w:r>
    </w:p>
    <w:p w14:paraId="27EA9BD5">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IV - título de capitalização custeado por pagamento único, com resgate pelo valor total.</w:t>
      </w:r>
    </w:p>
    <w:p w14:paraId="6E68F545">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4B964F6D">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10.3 Qualquer que seja a modalidade escolhida pelo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 garantia assegurará o pagamento de: </w:t>
      </w:r>
    </w:p>
    <w:p w14:paraId="6071F012">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0E13DCD3">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10.3.1 prejuízos advindos do não cumprimento do objeto do Contrato e do não adimplemento das demais obrigações neste previstas;</w:t>
      </w:r>
    </w:p>
    <w:p w14:paraId="2B0B4EEA">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6BDF2CB0">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10.3.2 multas moratórias, compensatórias e administrativas aplicadas pela Administração ao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e</w:t>
      </w:r>
    </w:p>
    <w:p w14:paraId="6BC2594A">
      <w:pPr>
        <w:pStyle w:val="108"/>
        <w:numPr>
          <w:ilvl w:val="0"/>
          <w:numId w:val="0"/>
        </w:numPr>
        <w:spacing w:after="288" w:afterLines="120" w:line="288" w:lineRule="auto"/>
        <w:ind w:left="567" w:right="565"/>
        <w:contextualSpacing/>
        <w:rPr>
          <w:rFonts w:ascii="Times New Roman" w:hAnsi="Times New Roman" w:cs="Times New Roman"/>
          <w:bCs/>
          <w:i w:val="0"/>
          <w:iCs w:val="0"/>
          <w:color w:val="000000" w:themeColor="text1"/>
          <w:sz w:val="24"/>
          <w:szCs w:val="24"/>
          <w14:textFill>
            <w14:solidFill>
              <w14:schemeClr w14:val="tx1"/>
            </w14:solidFill>
          </w14:textFill>
        </w:rPr>
      </w:pPr>
    </w:p>
    <w:p w14:paraId="19E867BE">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bCs/>
          <w:i w:val="0"/>
          <w:iCs w:val="0"/>
          <w:color w:val="000000" w:themeColor="text1"/>
          <w:sz w:val="24"/>
          <w:szCs w:val="24"/>
          <w14:textFill>
            <w14:solidFill>
              <w14:schemeClr w14:val="tx1"/>
            </w14:solidFill>
          </w14:textFill>
        </w:rPr>
        <w:t xml:space="preserve">10.3.3 obrigações trabalhistas e   previdenciárias de </w:t>
      </w:r>
      <w:r>
        <w:rPr>
          <w:rFonts w:ascii="Times New Roman" w:hAnsi="Times New Roman" w:cs="Times New Roman"/>
          <w:i w:val="0"/>
          <w:iCs w:val="0"/>
          <w:color w:val="000000" w:themeColor="text1"/>
          <w:sz w:val="24"/>
          <w:szCs w:val="24"/>
          <w14:textFill>
            <w14:solidFill>
              <w14:schemeClr w14:val="tx1"/>
            </w14:solidFill>
          </w14:textFill>
        </w:rPr>
        <w:t xml:space="preserve">qualquer natureza, assim como as obrigações de regularidade perante o FGTS, não adimplidas pelo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quando couber.</w:t>
      </w:r>
    </w:p>
    <w:p w14:paraId="03E0A13E">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5B968A5C">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10.4</w:t>
      </w:r>
      <w:r>
        <w:rPr>
          <w:rStyle w:val="117"/>
          <w:rFonts w:ascii="Times New Roman" w:hAnsi="Times New Roman" w:cs="Times New Roman"/>
          <w:i w:val="0"/>
          <w:iCs w:val="0"/>
          <w:color w:val="000000" w:themeColor="text1"/>
          <w:sz w:val="24"/>
          <w:szCs w:val="24"/>
          <w:shd w:val="clear" w:color="auto" w:fill="FFFFFF"/>
          <w14:textFill>
            <w14:solidFill>
              <w14:schemeClr w14:val="tx1"/>
            </w14:solidFill>
          </w14:textFill>
        </w:rPr>
        <w:t xml:space="preserve"> </w:t>
      </w:r>
      <w:r>
        <w:rPr>
          <w:rFonts w:ascii="Times New Roman" w:hAnsi="Times New Roman" w:cs="Times New Roman"/>
          <w:i w:val="0"/>
          <w:iCs w:val="0"/>
          <w:color w:val="000000" w:themeColor="text1"/>
          <w:sz w:val="24"/>
          <w:szCs w:val="24"/>
          <w14:textFill>
            <w14:solidFill>
              <w14:schemeClr w14:val="tx1"/>
            </w14:solidFill>
          </w14:textFill>
        </w:rPr>
        <w:t>A garantia, qualquer que seja a modalidade escolhida, terá validade durante a vigência do Contrato e por mais 90 (noventa) dias após o término deste prazo de vigência.</w:t>
      </w:r>
    </w:p>
    <w:p w14:paraId="3946C629">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6B2CEB75">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10.5 Na hipótese de suspensão do Contrato por ordem ou inadimplemento da Administração,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ficará desobrigado de renovar a garantia ou de endossar a apólice de seguro até a ordem de reinício da execução ou o adimplemento pela Administração.</w:t>
      </w:r>
    </w:p>
    <w:p w14:paraId="3551DC2B">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2078306B">
      <w:pPr>
        <w:pStyle w:val="108"/>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10.6 Ressalvada a hipótese de seguro-garantia, cuja apresentação deve ser anterior à assinatura do Contrato,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apresentará, no prazo máximo de 10 (dez) dias úteis, prorrogáveis por igual período, a critério do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contado da assinatura do Contrato, o comprovante de prestação de garantia, na forma do item 10.2.</w:t>
      </w:r>
    </w:p>
    <w:p w14:paraId="3DE647B2">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 Caso oferecida a modalidade de seguro-garantia, observar-se-ão as seguintes condições:</w:t>
      </w:r>
    </w:p>
    <w:p w14:paraId="465954CD">
      <w:pPr>
        <w:spacing w:line="288" w:lineRule="auto"/>
        <w:ind w:left="567" w:right="565"/>
        <w:contextualSpacing/>
        <w:jc w:val="both"/>
        <w:rPr>
          <w:color w:val="000000" w:themeColor="text1"/>
          <w:sz w:val="24"/>
          <w:szCs w:val="24"/>
          <w14:textFill>
            <w14:solidFill>
              <w14:schemeClr w14:val="tx1"/>
            </w14:solidFill>
          </w14:textFill>
        </w:rPr>
      </w:pPr>
    </w:p>
    <w:p w14:paraId="6C170DD8">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10.7.1 a apólice permanecerá em vigor mesmo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não pague o prêmio nas datas convencionadas;</w:t>
      </w:r>
    </w:p>
    <w:p w14:paraId="4B7AFB59">
      <w:pPr>
        <w:spacing w:line="288" w:lineRule="auto"/>
        <w:ind w:left="567" w:right="565"/>
        <w:contextualSpacing/>
        <w:jc w:val="both"/>
        <w:rPr>
          <w:color w:val="000000" w:themeColor="text1"/>
          <w:sz w:val="24"/>
          <w:szCs w:val="24"/>
          <w14:textFill>
            <w14:solidFill>
              <w14:schemeClr w14:val="tx1"/>
            </w14:solidFill>
          </w14:textFill>
        </w:rPr>
      </w:pPr>
    </w:p>
    <w:p w14:paraId="4809641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10.7.2 a apólice deverá acompanhar as modificações referentes à vigência do Contrato principal, mediante a emissão do respectivo endosso pela seguradora;</w:t>
      </w:r>
    </w:p>
    <w:p w14:paraId="2B52A41F">
      <w:pPr>
        <w:spacing w:line="288" w:lineRule="auto"/>
        <w:ind w:left="567" w:right="565"/>
        <w:contextualSpacing/>
        <w:jc w:val="both"/>
        <w:rPr>
          <w:color w:val="000000" w:themeColor="text1"/>
          <w:sz w:val="24"/>
          <w:szCs w:val="24"/>
          <w14:textFill>
            <w14:solidFill>
              <w14:schemeClr w14:val="tx1"/>
            </w14:solidFill>
          </w14:textFill>
        </w:rPr>
      </w:pPr>
    </w:p>
    <w:p w14:paraId="1C6F0F35">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10.7.3 será permitida a substituição da apólice na data de renovação ou de aniversário, desde que mantidas as condições e coberturas da apólice vigente e nenhum período fique descoberto, ressalvado o disposto no item 10.5 deste Contrato; e</w:t>
      </w:r>
    </w:p>
    <w:p w14:paraId="6BA724D7">
      <w:pPr>
        <w:spacing w:line="288" w:lineRule="auto"/>
        <w:ind w:left="567" w:right="565"/>
        <w:contextualSpacing/>
        <w:jc w:val="both"/>
        <w:rPr>
          <w:color w:val="000000" w:themeColor="text1"/>
          <w:sz w:val="24"/>
          <w:szCs w:val="24"/>
          <w14:textFill>
            <w14:solidFill>
              <w14:schemeClr w14:val="tx1"/>
            </w14:solidFill>
          </w14:textFill>
        </w:rPr>
      </w:pPr>
    </w:p>
    <w:p w14:paraId="063D3BFA">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10.7.4 a apólice somente será aceita se contemplar todos os eventos indicados no item 10.3, observada a legislação que rege a matéria.</w:t>
      </w:r>
    </w:p>
    <w:p w14:paraId="7632A0A3">
      <w:pPr>
        <w:spacing w:line="288" w:lineRule="auto"/>
        <w:ind w:left="567" w:right="565"/>
        <w:contextualSpacing/>
        <w:jc w:val="both"/>
        <w:rPr>
          <w:color w:val="000000" w:themeColor="text1"/>
          <w:sz w:val="24"/>
          <w:szCs w:val="24"/>
          <w14:textFill>
            <w14:solidFill>
              <w14:schemeClr w14:val="tx1"/>
            </w14:solidFill>
          </w14:textFill>
        </w:rPr>
      </w:pPr>
    </w:p>
    <w:p w14:paraId="0F497D9C">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11648ED5">
      <w:pPr>
        <w:pStyle w:val="10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59C84DF4">
      <w:pPr>
        <w:pStyle w:val="108"/>
        <w:numPr>
          <w:ilvl w:val="0"/>
          <w:numId w:val="0"/>
        </w:numPr>
        <w:spacing w:before="0" w:after="288" w:afterLines="120" w:line="288" w:lineRule="auto"/>
        <w:ind w:left="567" w:right="565"/>
        <w:contextualSpacing/>
        <w:rPr>
          <w:rStyle w:val="16"/>
          <w:rFonts w:ascii="Times New Roman" w:hAnsi="Times New Roman" w:cs="Times New Roman" w:eastAsiaTheme="minorHAnsi"/>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10.9 Caso a opção seja por fiança bancária, esta deverá ser emitida por banco ou instituição financeira devidamente autorizada a operar no País pelo Banco Central do Brasil, e deverá constar expressa renúncia do fiador aos benefícios do </w:t>
      </w:r>
      <w:r>
        <w:fldChar w:fldCharType="begin"/>
      </w:r>
      <w:r>
        <w:instrText xml:space="preserve"> HYPERLINK "https://www.planalto.gov.br/ccivil_03/leis/2002/l10406compilada.htm" \l "art827" </w:instrText>
      </w:r>
      <w:r>
        <w:fldChar w:fldCharType="separate"/>
      </w:r>
      <w:r>
        <w:rPr>
          <w:rStyle w:val="16"/>
          <w:rFonts w:ascii="Times New Roman" w:hAnsi="Times New Roman" w:cs="Times New Roman" w:eastAsiaTheme="minorHAnsi"/>
          <w:i w:val="0"/>
          <w:iCs w:val="0"/>
          <w:color w:val="000000" w:themeColor="text1"/>
          <w:sz w:val="24"/>
          <w:szCs w:val="24"/>
          <w14:textFill>
            <w14:solidFill>
              <w14:schemeClr w14:val="tx1"/>
            </w14:solidFill>
          </w14:textFill>
        </w:rPr>
        <w:t>artigo 827 do Código Civil.</w:t>
      </w:r>
      <w:r>
        <w:rPr>
          <w:rStyle w:val="16"/>
          <w:rFonts w:ascii="Times New Roman" w:hAnsi="Times New Roman" w:cs="Times New Roman" w:eastAsiaTheme="minorHAnsi"/>
          <w:i w:val="0"/>
          <w:iCs w:val="0"/>
          <w:color w:val="000000" w:themeColor="text1"/>
          <w:sz w:val="24"/>
          <w:szCs w:val="24"/>
          <w14:textFill>
            <w14:solidFill>
              <w14:schemeClr w14:val="tx1"/>
            </w14:solidFill>
          </w14:textFill>
        </w:rPr>
        <w:fldChar w:fldCharType="end"/>
      </w:r>
    </w:p>
    <w:p w14:paraId="74637BE7">
      <w:pPr>
        <w:pStyle w:val="10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27954D32">
      <w:pPr>
        <w:pStyle w:val="10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10.10 Caso a opção seja por garantia em dinheiro, deverá ser efetuada em favor do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na conta corrente e agência  da instituição financeira contratada pelo Município a ser informada, cujo valor será corrigido monetariamente e restituído ao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na forma do item 10.16 deste Contrato.</w:t>
      </w:r>
    </w:p>
    <w:p w14:paraId="25BF4FCE">
      <w:pPr>
        <w:pStyle w:val="10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3765671B">
      <w:pPr>
        <w:pStyle w:val="108"/>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10.11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10.1 desta cláusula. </w:t>
      </w:r>
    </w:p>
    <w:p w14:paraId="48314568">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10.12 A inobservância do prazo fixado para apresentação, reposição, suplementação ou renovação da garantia acarretará a aplicação de multa e/ou outras penalidades, na forma disposta na cláusula décima segunda. </w:t>
      </w:r>
    </w:p>
    <w:p w14:paraId="25409561">
      <w:pPr>
        <w:spacing w:line="288" w:lineRule="auto"/>
        <w:ind w:left="567" w:right="565"/>
        <w:contextualSpacing/>
        <w:jc w:val="both"/>
        <w:rPr>
          <w:color w:val="000000" w:themeColor="text1"/>
          <w:sz w:val="24"/>
          <w:szCs w:val="24"/>
          <w14:textFill>
            <w14:solidFill>
              <w14:schemeClr w14:val="tx1"/>
            </w14:solidFill>
          </w14:textFill>
        </w:rPr>
      </w:pPr>
    </w:p>
    <w:p w14:paraId="39AF619C">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10.12.1 O atraso superior a 25 (vinte e cinco) dias autoriza 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a promover a rescisão do Contrato por descumprimento ou cumprimento irregular de suas cláusulas, com a aplicação das sanções cabíveis.</w:t>
      </w:r>
    </w:p>
    <w:p w14:paraId="1840806E">
      <w:pPr>
        <w:spacing w:line="288" w:lineRule="auto"/>
        <w:ind w:left="567" w:right="565"/>
        <w:contextualSpacing/>
        <w:jc w:val="both"/>
        <w:rPr>
          <w:color w:val="000000" w:themeColor="text1"/>
          <w:sz w:val="24"/>
          <w:szCs w:val="24"/>
          <w14:textFill>
            <w14:solidFill>
              <w14:schemeClr w14:val="tx1"/>
            </w14:solidFill>
          </w14:textFill>
        </w:rPr>
      </w:pPr>
    </w:p>
    <w:p w14:paraId="7D8BBED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10.13 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executará a garantia na forma prevista na legislação que rege a matéria.</w:t>
      </w:r>
    </w:p>
    <w:p w14:paraId="752652B7">
      <w:pPr>
        <w:spacing w:line="288" w:lineRule="auto"/>
        <w:ind w:left="567" w:right="565"/>
        <w:contextualSpacing/>
        <w:jc w:val="both"/>
        <w:rPr>
          <w:color w:val="000000" w:themeColor="text1"/>
          <w:sz w:val="24"/>
          <w:szCs w:val="24"/>
          <w14:textFill>
            <w14:solidFill>
              <w14:schemeClr w14:val="tx1"/>
            </w14:solidFill>
          </w14:textFill>
        </w:rPr>
      </w:pPr>
    </w:p>
    <w:p w14:paraId="5A403149">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10.14 O emitente da garantia ofertada pelo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deverá ser notificado pelo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quanto ao início de processo administrativo para apuração de descumprimento de cláusulas contratuais.</w:t>
      </w:r>
    </w:p>
    <w:p w14:paraId="6BAFB2A1">
      <w:pPr>
        <w:spacing w:line="288" w:lineRule="auto"/>
        <w:ind w:left="567" w:right="565"/>
        <w:contextualSpacing/>
        <w:jc w:val="both"/>
        <w:rPr>
          <w:color w:val="000000" w:themeColor="text1"/>
          <w:sz w:val="24"/>
          <w:szCs w:val="24"/>
          <w14:textFill>
            <w14:solidFill>
              <w14:schemeClr w14:val="tx1"/>
            </w14:solidFill>
          </w14:textFill>
        </w:rPr>
      </w:pPr>
    </w:p>
    <w:p w14:paraId="4E64C705">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10.14.1 O garantidor não é parte para figurar em processo administrativo instaurado pelo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com o objetivo de apurar prejuízos e/ou aplicar sanções ao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w:t>
      </w:r>
    </w:p>
    <w:p w14:paraId="0B33E077">
      <w:pPr>
        <w:spacing w:line="288" w:lineRule="auto"/>
        <w:ind w:left="567" w:right="565"/>
        <w:contextualSpacing/>
        <w:jc w:val="both"/>
        <w:rPr>
          <w:color w:val="000000" w:themeColor="text1"/>
          <w:sz w:val="24"/>
          <w:szCs w:val="24"/>
          <w14:textFill>
            <w14:solidFill>
              <w14:schemeClr w14:val="tx1"/>
            </w14:solidFill>
          </w14:textFill>
        </w:rPr>
      </w:pPr>
    </w:p>
    <w:p w14:paraId="6036D9F2">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3353F2E7">
      <w:pPr>
        <w:spacing w:line="288" w:lineRule="auto"/>
        <w:ind w:left="567" w:right="565"/>
        <w:contextualSpacing/>
        <w:jc w:val="both"/>
        <w:rPr>
          <w:color w:val="000000" w:themeColor="text1"/>
          <w:sz w:val="24"/>
          <w:szCs w:val="24"/>
          <w14:textFill>
            <w14:solidFill>
              <w14:schemeClr w14:val="tx1"/>
            </w14:solidFill>
          </w14:textFill>
        </w:rPr>
      </w:pPr>
    </w:p>
    <w:p w14:paraId="369A6787">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10.16 Extinguir-se-á a garantia com a restituição da apólice, carta fiança, título da dívida pública ou autorização para a liberação da caução em dinheiro, atualizada monetariamente, acompanhada de declaração do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mediante termo circunstanciado, de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cumpriu todas as cláusulas do Contrato.</w:t>
      </w:r>
    </w:p>
    <w:p w14:paraId="5C827730">
      <w:pPr>
        <w:spacing w:line="288" w:lineRule="auto"/>
        <w:ind w:left="567" w:right="565"/>
        <w:contextualSpacing/>
        <w:jc w:val="both"/>
        <w:rPr>
          <w:color w:val="000000" w:themeColor="text1"/>
          <w:sz w:val="24"/>
          <w:szCs w:val="24"/>
          <w14:textFill>
            <w14:solidFill>
              <w14:schemeClr w14:val="tx1"/>
            </w14:solidFill>
          </w14:textFill>
        </w:rPr>
      </w:pPr>
    </w:p>
    <w:p w14:paraId="142361C7">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10.16.1 A garantia somente será liberada ou restituída, após a fiel execução do Contrato ou pela sua extinção, por culpa exclusiva da Administração, ou quando assim convencionado, em se tratando de extinção consensual da contratação.</w:t>
      </w:r>
    </w:p>
    <w:p w14:paraId="2C6AD401">
      <w:pPr>
        <w:pStyle w:val="108"/>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953F37F">
      <w:pPr>
        <w:pStyle w:val="108"/>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10.17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autoriza 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a reter, a qualquer tempo, a garantia, na forma prevista no Edital e neste Contrato.</w:t>
      </w:r>
    </w:p>
    <w:p w14:paraId="44B10D67">
      <w:pPr>
        <w:pStyle w:val="108"/>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575C0015">
      <w:pPr>
        <w:pStyle w:val="105"/>
        <w:numPr>
          <w:ilvl w:val="0"/>
          <w:numId w:val="0"/>
        </w:numPr>
        <w:spacing w:before="0" w:line="288" w:lineRule="auto"/>
        <w:ind w:left="32"/>
        <w:contextualSpacing/>
        <w:rPr>
          <w:rFonts w:ascii="Times New Roman" w:hAnsi="Times New Roman"/>
          <w:color w:val="auto"/>
          <w:sz w:val="24"/>
          <w:szCs w:val="24"/>
        </w:rPr>
      </w:pPr>
      <w:r>
        <w:rPr>
          <w:rFonts w:ascii="Times New Roman" w:hAnsi="Times New Roman"/>
          <w:color w:val="auto"/>
          <w:sz w:val="24"/>
          <w:szCs w:val="24"/>
        </w:rPr>
        <w:t xml:space="preserve">CLÁUSULA DÉCIMA PRIMEIRA – DAS INFRAÇÕES ADMINISTRATIVAS E SANÇÕES </w:t>
      </w:r>
    </w:p>
    <w:p w14:paraId="7F7C1365">
      <w:pPr>
        <w:spacing w:line="288" w:lineRule="auto"/>
        <w:contextualSpacing/>
        <w:jc w:val="both"/>
        <w:rPr>
          <w:sz w:val="24"/>
          <w:szCs w:val="24"/>
        </w:rPr>
      </w:pPr>
    </w:p>
    <w:p w14:paraId="56010DDD">
      <w:pPr>
        <w:spacing w:line="288" w:lineRule="auto"/>
        <w:contextualSpacing/>
        <w:jc w:val="both"/>
        <w:rPr>
          <w:color w:val="000000"/>
          <w:sz w:val="24"/>
          <w:szCs w:val="24"/>
        </w:rPr>
      </w:pPr>
      <w:r>
        <w:rPr>
          <w:color w:val="000000"/>
          <w:sz w:val="24"/>
          <w:szCs w:val="24"/>
        </w:rPr>
        <w:t xml:space="preserve">11.1 Constitui infração administrativa, a prática, pelo </w:t>
      </w:r>
      <w:r>
        <w:rPr>
          <w:b/>
          <w:bCs/>
          <w:color w:val="000000"/>
          <w:sz w:val="24"/>
          <w:szCs w:val="24"/>
        </w:rPr>
        <w:t>CONTRATADO</w:t>
      </w:r>
      <w:r>
        <w:rPr>
          <w:color w:val="000000"/>
          <w:sz w:val="24"/>
          <w:szCs w:val="24"/>
        </w:rPr>
        <w:t>, das seguintes condutas previstas no art. 155 da Lei nº 14.133/2021:</w:t>
      </w:r>
    </w:p>
    <w:p w14:paraId="017DC103">
      <w:pPr>
        <w:spacing w:line="288" w:lineRule="auto"/>
        <w:contextualSpacing/>
        <w:jc w:val="both"/>
        <w:rPr>
          <w:color w:val="000000"/>
          <w:sz w:val="24"/>
          <w:szCs w:val="24"/>
        </w:rPr>
      </w:pPr>
    </w:p>
    <w:p w14:paraId="50624EE1">
      <w:pPr>
        <w:spacing w:line="288" w:lineRule="auto"/>
        <w:contextualSpacing/>
        <w:jc w:val="both"/>
        <w:rPr>
          <w:sz w:val="24"/>
          <w:szCs w:val="24"/>
        </w:rPr>
      </w:pPr>
      <w:r>
        <w:rPr>
          <w:color w:val="000000"/>
          <w:sz w:val="24"/>
          <w:szCs w:val="24"/>
        </w:rPr>
        <w:t>11.1.1 dar causa à inexecução parcial do contrato</w:t>
      </w:r>
      <w:r>
        <w:rPr>
          <w:sz w:val="24"/>
          <w:szCs w:val="24"/>
        </w:rPr>
        <w:t>;</w:t>
      </w:r>
    </w:p>
    <w:p w14:paraId="6678EFD2">
      <w:pPr>
        <w:spacing w:line="288" w:lineRule="auto"/>
        <w:contextualSpacing/>
        <w:jc w:val="both"/>
        <w:rPr>
          <w:sz w:val="24"/>
          <w:szCs w:val="24"/>
        </w:rPr>
      </w:pPr>
    </w:p>
    <w:p w14:paraId="489527AD">
      <w:pPr>
        <w:spacing w:line="288" w:lineRule="auto"/>
        <w:contextualSpacing/>
        <w:jc w:val="both"/>
        <w:rPr>
          <w:sz w:val="24"/>
          <w:szCs w:val="24"/>
        </w:rPr>
      </w:pPr>
      <w:r>
        <w:rPr>
          <w:sz w:val="24"/>
          <w:szCs w:val="24"/>
        </w:rPr>
        <w:t xml:space="preserve">11.1.2 </w:t>
      </w:r>
      <w:r>
        <w:rPr>
          <w:color w:val="000000"/>
          <w:sz w:val="24"/>
          <w:szCs w:val="24"/>
        </w:rPr>
        <w:t>dar causa à inexecução parcial do contrato que cause grave dano à Administração, ao funcionamento dos serviços públicos ou ao interesse coletivo;</w:t>
      </w:r>
    </w:p>
    <w:p w14:paraId="1D1FF044">
      <w:pPr>
        <w:spacing w:line="288" w:lineRule="auto"/>
        <w:contextualSpacing/>
        <w:jc w:val="both"/>
        <w:rPr>
          <w:color w:val="000000"/>
          <w:sz w:val="24"/>
          <w:szCs w:val="24"/>
        </w:rPr>
      </w:pPr>
    </w:p>
    <w:p w14:paraId="6D512110">
      <w:pPr>
        <w:spacing w:line="288" w:lineRule="auto"/>
        <w:contextualSpacing/>
        <w:jc w:val="both"/>
        <w:rPr>
          <w:sz w:val="24"/>
          <w:szCs w:val="24"/>
        </w:rPr>
      </w:pPr>
      <w:r>
        <w:rPr>
          <w:color w:val="000000"/>
          <w:sz w:val="24"/>
          <w:szCs w:val="24"/>
        </w:rPr>
        <w:t>11.1.3 dar causa à inexecução total do contrato;</w:t>
      </w:r>
    </w:p>
    <w:p w14:paraId="5C6E6423">
      <w:pPr>
        <w:spacing w:line="288" w:lineRule="auto"/>
        <w:contextualSpacing/>
        <w:jc w:val="both"/>
        <w:rPr>
          <w:color w:val="000000"/>
          <w:sz w:val="24"/>
          <w:szCs w:val="24"/>
        </w:rPr>
      </w:pPr>
    </w:p>
    <w:p w14:paraId="12048057">
      <w:pPr>
        <w:spacing w:line="288" w:lineRule="auto"/>
        <w:contextualSpacing/>
        <w:jc w:val="both"/>
        <w:rPr>
          <w:sz w:val="24"/>
          <w:szCs w:val="24"/>
        </w:rPr>
      </w:pPr>
      <w:r>
        <w:rPr>
          <w:color w:val="000000"/>
          <w:sz w:val="24"/>
          <w:szCs w:val="24"/>
        </w:rPr>
        <w:t xml:space="preserve">11.1.4 deixar de entregar a documentação exigida para o certame ou não entregar qualquer documento que tenha sido solicitado pelo pregoeiro durante o certame; </w:t>
      </w:r>
    </w:p>
    <w:p w14:paraId="51BC331D">
      <w:pPr>
        <w:spacing w:line="288" w:lineRule="auto"/>
        <w:contextualSpacing/>
        <w:jc w:val="both"/>
        <w:rPr>
          <w:color w:val="000000"/>
          <w:sz w:val="24"/>
          <w:szCs w:val="24"/>
        </w:rPr>
      </w:pPr>
    </w:p>
    <w:p w14:paraId="3C01D180">
      <w:pPr>
        <w:spacing w:line="288" w:lineRule="auto"/>
        <w:contextualSpacing/>
        <w:jc w:val="both"/>
        <w:rPr>
          <w:color w:val="000000"/>
          <w:sz w:val="24"/>
          <w:szCs w:val="24"/>
        </w:rPr>
      </w:pPr>
      <w:r>
        <w:rPr>
          <w:color w:val="000000"/>
          <w:sz w:val="24"/>
          <w:szCs w:val="24"/>
        </w:rPr>
        <w:t>11.1.5 não manter a proposta, salvo em decorrência de fato superveniente devidamente justificado, em especial quando:</w:t>
      </w:r>
    </w:p>
    <w:p w14:paraId="2CCEFFE8">
      <w:pPr>
        <w:spacing w:line="288" w:lineRule="auto"/>
        <w:contextualSpacing/>
        <w:jc w:val="both"/>
        <w:rPr>
          <w:sz w:val="24"/>
          <w:szCs w:val="24"/>
        </w:rPr>
      </w:pPr>
    </w:p>
    <w:p w14:paraId="1C3C2A0B">
      <w:pPr>
        <w:spacing w:line="288" w:lineRule="auto"/>
        <w:contextualSpacing/>
        <w:jc w:val="both"/>
        <w:rPr>
          <w:sz w:val="24"/>
          <w:szCs w:val="24"/>
        </w:rPr>
      </w:pPr>
      <w:r>
        <w:rPr>
          <w:sz w:val="24"/>
          <w:szCs w:val="24"/>
        </w:rPr>
        <w:t xml:space="preserve">11.1.5.1 não enviar a proposta adequada ao último lance ofertado ou após a negociação; </w:t>
      </w:r>
    </w:p>
    <w:p w14:paraId="4B25BBC4">
      <w:pPr>
        <w:spacing w:line="288" w:lineRule="auto"/>
        <w:contextualSpacing/>
        <w:jc w:val="both"/>
        <w:rPr>
          <w:sz w:val="24"/>
          <w:szCs w:val="24"/>
        </w:rPr>
      </w:pPr>
    </w:p>
    <w:p w14:paraId="01A12AE5">
      <w:pPr>
        <w:spacing w:line="288" w:lineRule="auto"/>
        <w:contextualSpacing/>
        <w:jc w:val="both"/>
        <w:rPr>
          <w:sz w:val="24"/>
          <w:szCs w:val="24"/>
        </w:rPr>
      </w:pPr>
      <w:r>
        <w:rPr>
          <w:sz w:val="24"/>
          <w:szCs w:val="24"/>
        </w:rPr>
        <w:t xml:space="preserve">11.1.5.2 recusar-se a enviar o detalhamento da proposta quando exigível; </w:t>
      </w:r>
    </w:p>
    <w:p w14:paraId="1EF73AC2">
      <w:pPr>
        <w:spacing w:line="288" w:lineRule="auto"/>
        <w:contextualSpacing/>
        <w:jc w:val="both"/>
        <w:rPr>
          <w:sz w:val="24"/>
          <w:szCs w:val="24"/>
        </w:rPr>
      </w:pPr>
    </w:p>
    <w:p w14:paraId="0D95D45C">
      <w:pPr>
        <w:spacing w:line="288" w:lineRule="auto"/>
        <w:contextualSpacing/>
        <w:jc w:val="both"/>
        <w:rPr>
          <w:sz w:val="24"/>
          <w:szCs w:val="24"/>
        </w:rPr>
      </w:pPr>
      <w:r>
        <w:rPr>
          <w:sz w:val="24"/>
          <w:szCs w:val="24"/>
        </w:rPr>
        <w:t xml:space="preserve">11.1.5.3 pedir para ser desclassificado quando encerrada a etapa competitiva; ou </w:t>
      </w:r>
    </w:p>
    <w:p w14:paraId="48008F05">
      <w:pPr>
        <w:spacing w:line="288" w:lineRule="auto"/>
        <w:contextualSpacing/>
        <w:jc w:val="both"/>
        <w:rPr>
          <w:sz w:val="24"/>
          <w:szCs w:val="24"/>
        </w:rPr>
      </w:pPr>
    </w:p>
    <w:p w14:paraId="587BA0D9">
      <w:pPr>
        <w:spacing w:line="288" w:lineRule="auto"/>
        <w:contextualSpacing/>
        <w:jc w:val="both"/>
        <w:rPr>
          <w:sz w:val="24"/>
          <w:szCs w:val="24"/>
        </w:rPr>
      </w:pPr>
      <w:r>
        <w:rPr>
          <w:sz w:val="24"/>
          <w:szCs w:val="24"/>
        </w:rPr>
        <w:t>11.1.5.4 deixar de apresentar amostra;</w:t>
      </w:r>
    </w:p>
    <w:p w14:paraId="19D687E4">
      <w:pPr>
        <w:spacing w:line="288" w:lineRule="auto"/>
        <w:contextualSpacing/>
        <w:jc w:val="both"/>
        <w:rPr>
          <w:sz w:val="24"/>
          <w:szCs w:val="24"/>
        </w:rPr>
      </w:pPr>
    </w:p>
    <w:p w14:paraId="5627EE40">
      <w:pPr>
        <w:spacing w:line="288" w:lineRule="auto"/>
        <w:contextualSpacing/>
        <w:jc w:val="both"/>
        <w:rPr>
          <w:sz w:val="24"/>
          <w:szCs w:val="24"/>
        </w:rPr>
      </w:pPr>
      <w:r>
        <w:rPr>
          <w:sz w:val="24"/>
          <w:szCs w:val="24"/>
        </w:rPr>
        <w:t xml:space="preserve">11.1.5.5 apresentar proposta ou amostra em desacordo com as especificações do instrumento convocatório; </w:t>
      </w:r>
    </w:p>
    <w:p w14:paraId="54EBDE79">
      <w:pPr>
        <w:spacing w:line="288" w:lineRule="auto"/>
        <w:contextualSpacing/>
        <w:jc w:val="both"/>
        <w:rPr>
          <w:color w:val="000000"/>
          <w:sz w:val="24"/>
          <w:szCs w:val="24"/>
        </w:rPr>
      </w:pPr>
    </w:p>
    <w:p w14:paraId="77C29DE6">
      <w:pPr>
        <w:spacing w:line="288" w:lineRule="auto"/>
        <w:contextualSpacing/>
        <w:jc w:val="both"/>
        <w:rPr>
          <w:color w:val="000000"/>
          <w:sz w:val="24"/>
          <w:szCs w:val="24"/>
        </w:rPr>
      </w:pPr>
      <w:r>
        <w:rPr>
          <w:color w:val="000000"/>
          <w:sz w:val="24"/>
          <w:szCs w:val="24"/>
        </w:rPr>
        <w:t>11.1.6 não celebrar o contrato ou não entregar a documentação exigida para a contratação, quando convocado dentro do prazo de validade de sua proposta;</w:t>
      </w:r>
    </w:p>
    <w:p w14:paraId="00306783">
      <w:pPr>
        <w:spacing w:line="288" w:lineRule="auto"/>
        <w:contextualSpacing/>
        <w:jc w:val="both"/>
        <w:rPr>
          <w:sz w:val="24"/>
          <w:szCs w:val="24"/>
        </w:rPr>
      </w:pPr>
    </w:p>
    <w:p w14:paraId="5BFFAFE1">
      <w:pPr>
        <w:spacing w:line="288" w:lineRule="auto"/>
        <w:contextualSpacing/>
        <w:jc w:val="both"/>
        <w:rPr>
          <w:sz w:val="24"/>
          <w:szCs w:val="24"/>
        </w:rPr>
      </w:pPr>
      <w:r>
        <w:rPr>
          <w:sz w:val="24"/>
          <w:szCs w:val="24"/>
        </w:rPr>
        <w:t>11.1.6.1 recusar-se, sem justificativa, a assinar o contrato ou a ata de registro de preço, ou a aceitar ou retirar o instrumento equivalente no prazo estabelecido pela Administração;</w:t>
      </w:r>
    </w:p>
    <w:p w14:paraId="7B0B39C8">
      <w:pPr>
        <w:spacing w:line="288" w:lineRule="auto"/>
        <w:contextualSpacing/>
        <w:jc w:val="both"/>
        <w:rPr>
          <w:color w:val="000000"/>
          <w:sz w:val="24"/>
          <w:szCs w:val="24"/>
        </w:rPr>
      </w:pPr>
    </w:p>
    <w:p w14:paraId="78B49D39">
      <w:pPr>
        <w:spacing w:line="288" w:lineRule="auto"/>
        <w:contextualSpacing/>
        <w:jc w:val="both"/>
        <w:rPr>
          <w:color w:val="000000"/>
          <w:sz w:val="24"/>
          <w:szCs w:val="24"/>
        </w:rPr>
      </w:pPr>
      <w:r>
        <w:rPr>
          <w:color w:val="000000"/>
          <w:sz w:val="24"/>
          <w:szCs w:val="24"/>
        </w:rPr>
        <w:t>11.1.7 ensejar o retardamento da execução ou da entrega do objeto da contratação sem motivo justificado;</w:t>
      </w:r>
    </w:p>
    <w:p w14:paraId="44007F61">
      <w:pPr>
        <w:spacing w:line="288" w:lineRule="auto"/>
        <w:contextualSpacing/>
        <w:jc w:val="both"/>
        <w:rPr>
          <w:color w:val="000000"/>
          <w:sz w:val="24"/>
          <w:szCs w:val="24"/>
        </w:rPr>
      </w:pPr>
    </w:p>
    <w:p w14:paraId="622386D3">
      <w:pPr>
        <w:spacing w:line="288" w:lineRule="auto"/>
        <w:contextualSpacing/>
        <w:jc w:val="both"/>
        <w:rPr>
          <w:color w:val="000000"/>
          <w:sz w:val="24"/>
          <w:szCs w:val="24"/>
        </w:rPr>
      </w:pPr>
      <w:r>
        <w:rPr>
          <w:color w:val="000000"/>
          <w:sz w:val="24"/>
          <w:szCs w:val="24"/>
        </w:rPr>
        <w:t>11.1.8 apresentar declaração ou documentação falsa exigida para o certame ou prestar declaração falsa durante o certame ou a execução do contrato;</w:t>
      </w:r>
    </w:p>
    <w:p w14:paraId="07F83DA6">
      <w:pPr>
        <w:spacing w:line="288" w:lineRule="auto"/>
        <w:contextualSpacing/>
        <w:jc w:val="both"/>
        <w:rPr>
          <w:color w:val="000000"/>
          <w:sz w:val="24"/>
          <w:szCs w:val="24"/>
        </w:rPr>
      </w:pPr>
    </w:p>
    <w:p w14:paraId="5961B97B">
      <w:pPr>
        <w:spacing w:line="288" w:lineRule="auto"/>
        <w:contextualSpacing/>
        <w:jc w:val="both"/>
        <w:rPr>
          <w:color w:val="000000"/>
          <w:sz w:val="24"/>
          <w:szCs w:val="24"/>
        </w:rPr>
      </w:pPr>
      <w:r>
        <w:rPr>
          <w:color w:val="000000"/>
          <w:sz w:val="24"/>
          <w:szCs w:val="24"/>
        </w:rPr>
        <w:t>11.1.9 fraudar o certame ou praticar ato fraudulento na execução do contrato;</w:t>
      </w:r>
    </w:p>
    <w:p w14:paraId="15159C05">
      <w:pPr>
        <w:spacing w:line="288" w:lineRule="auto"/>
        <w:contextualSpacing/>
        <w:jc w:val="both"/>
        <w:rPr>
          <w:color w:val="000000"/>
          <w:sz w:val="24"/>
          <w:szCs w:val="24"/>
        </w:rPr>
      </w:pPr>
    </w:p>
    <w:p w14:paraId="790F3AB6">
      <w:pPr>
        <w:spacing w:line="288" w:lineRule="auto"/>
        <w:contextualSpacing/>
        <w:jc w:val="both"/>
        <w:rPr>
          <w:color w:val="000000"/>
          <w:sz w:val="24"/>
          <w:szCs w:val="24"/>
        </w:rPr>
      </w:pPr>
      <w:r>
        <w:rPr>
          <w:color w:val="000000"/>
          <w:sz w:val="24"/>
          <w:szCs w:val="24"/>
        </w:rPr>
        <w:t>11.1.10 comportar-se de modo inidôneo ou cometer fraude de qualquer natureza, em especial quando:</w:t>
      </w:r>
    </w:p>
    <w:p w14:paraId="584C6295">
      <w:pPr>
        <w:spacing w:line="288" w:lineRule="auto"/>
        <w:contextualSpacing/>
        <w:jc w:val="both"/>
        <w:rPr>
          <w:sz w:val="24"/>
          <w:szCs w:val="24"/>
        </w:rPr>
      </w:pPr>
    </w:p>
    <w:p w14:paraId="056EE1BF">
      <w:pPr>
        <w:spacing w:line="288" w:lineRule="auto"/>
        <w:contextualSpacing/>
        <w:jc w:val="both"/>
        <w:rPr>
          <w:sz w:val="24"/>
          <w:szCs w:val="24"/>
        </w:rPr>
      </w:pPr>
      <w:r>
        <w:rPr>
          <w:sz w:val="24"/>
          <w:szCs w:val="24"/>
        </w:rPr>
        <w:t xml:space="preserve">11.1.10.1 agir em conluio ou em desconformidade com a lei; </w:t>
      </w:r>
    </w:p>
    <w:p w14:paraId="09D71A48">
      <w:pPr>
        <w:spacing w:line="288" w:lineRule="auto"/>
        <w:contextualSpacing/>
        <w:jc w:val="both"/>
        <w:rPr>
          <w:sz w:val="24"/>
          <w:szCs w:val="24"/>
        </w:rPr>
      </w:pPr>
    </w:p>
    <w:p w14:paraId="1C17F0FC">
      <w:pPr>
        <w:spacing w:line="288" w:lineRule="auto"/>
        <w:contextualSpacing/>
        <w:jc w:val="both"/>
        <w:rPr>
          <w:sz w:val="24"/>
          <w:szCs w:val="24"/>
        </w:rPr>
      </w:pPr>
      <w:r>
        <w:rPr>
          <w:sz w:val="24"/>
          <w:szCs w:val="24"/>
        </w:rPr>
        <w:t xml:space="preserve">11.1.10.2 induzir deliberadamente a erro no julgamento; </w:t>
      </w:r>
    </w:p>
    <w:p w14:paraId="5D84A932">
      <w:pPr>
        <w:spacing w:line="288" w:lineRule="auto"/>
        <w:contextualSpacing/>
        <w:jc w:val="both"/>
        <w:rPr>
          <w:sz w:val="24"/>
          <w:szCs w:val="24"/>
        </w:rPr>
      </w:pPr>
    </w:p>
    <w:p w14:paraId="455BBF1A">
      <w:pPr>
        <w:spacing w:line="288" w:lineRule="auto"/>
        <w:contextualSpacing/>
        <w:jc w:val="both"/>
        <w:rPr>
          <w:sz w:val="24"/>
          <w:szCs w:val="24"/>
        </w:rPr>
      </w:pPr>
      <w:r>
        <w:rPr>
          <w:sz w:val="24"/>
          <w:szCs w:val="24"/>
        </w:rPr>
        <w:t xml:space="preserve">11.1.10.3 apresentar amostra falsificada ou deteriorada; </w:t>
      </w:r>
    </w:p>
    <w:p w14:paraId="6BBF1D69">
      <w:pPr>
        <w:spacing w:line="288" w:lineRule="auto"/>
        <w:contextualSpacing/>
        <w:jc w:val="both"/>
        <w:rPr>
          <w:sz w:val="24"/>
          <w:szCs w:val="24"/>
        </w:rPr>
      </w:pPr>
    </w:p>
    <w:p w14:paraId="1DD8449A">
      <w:pPr>
        <w:spacing w:line="288" w:lineRule="auto"/>
        <w:contextualSpacing/>
        <w:jc w:val="both"/>
        <w:rPr>
          <w:sz w:val="24"/>
          <w:szCs w:val="24"/>
        </w:rPr>
      </w:pPr>
      <w:r>
        <w:rPr>
          <w:sz w:val="24"/>
          <w:szCs w:val="24"/>
        </w:rPr>
        <w:t xml:space="preserve">11.1.10.4 apresentar declaração falsa quanto às condições de participação ou quanto ao enquadramento como ME/EPP; </w:t>
      </w:r>
    </w:p>
    <w:p w14:paraId="0CCC7A60">
      <w:pPr>
        <w:spacing w:line="288" w:lineRule="auto"/>
        <w:contextualSpacing/>
        <w:jc w:val="both"/>
        <w:rPr>
          <w:color w:val="000000"/>
          <w:sz w:val="24"/>
          <w:szCs w:val="24"/>
        </w:rPr>
      </w:pPr>
    </w:p>
    <w:p w14:paraId="1B7F71B8">
      <w:pPr>
        <w:spacing w:line="288" w:lineRule="auto"/>
        <w:contextualSpacing/>
        <w:jc w:val="both"/>
        <w:rPr>
          <w:color w:val="000000"/>
          <w:sz w:val="24"/>
          <w:szCs w:val="24"/>
        </w:rPr>
      </w:pPr>
      <w:r>
        <w:rPr>
          <w:color w:val="000000"/>
          <w:sz w:val="24"/>
          <w:szCs w:val="24"/>
        </w:rPr>
        <w:t>11.1.11 praticar atos ilícitos com vistas a frustrar os objetivos do certame;</w:t>
      </w:r>
    </w:p>
    <w:p w14:paraId="033A6635">
      <w:pPr>
        <w:spacing w:line="288" w:lineRule="auto"/>
        <w:contextualSpacing/>
        <w:jc w:val="both"/>
        <w:rPr>
          <w:color w:val="000000"/>
          <w:sz w:val="24"/>
          <w:szCs w:val="24"/>
        </w:rPr>
      </w:pPr>
    </w:p>
    <w:p w14:paraId="726FA1DE">
      <w:pPr>
        <w:spacing w:line="288" w:lineRule="auto"/>
        <w:contextualSpacing/>
        <w:jc w:val="both"/>
        <w:rPr>
          <w:rStyle w:val="16"/>
          <w:rFonts w:eastAsiaTheme="minorHAnsi"/>
          <w:color w:val="000000"/>
          <w:sz w:val="24"/>
          <w:szCs w:val="24"/>
        </w:rPr>
      </w:pPr>
      <w:r>
        <w:rPr>
          <w:color w:val="000000"/>
          <w:sz w:val="24"/>
          <w:szCs w:val="24"/>
        </w:rPr>
        <w:t>11.1.12 praticar ato lesivo previsto no </w:t>
      </w:r>
      <w:r>
        <w:fldChar w:fldCharType="begin"/>
      </w:r>
      <w:r>
        <w:instrText xml:space="preserve"> HYPERLINK "http://www.planalto.gov.br/ccivil_03/_Ato2011-2014/2013/Lei/L12846.htm" \l "art5" </w:instrText>
      </w:r>
      <w:r>
        <w:fldChar w:fldCharType="separate"/>
      </w:r>
      <w:r>
        <w:rPr>
          <w:rStyle w:val="16"/>
          <w:rFonts w:eastAsiaTheme="minorHAnsi"/>
          <w:color w:val="000000"/>
          <w:sz w:val="24"/>
          <w:szCs w:val="24"/>
        </w:rPr>
        <w:t>art. 5º da Lei nº 12.846, de 1º de agosto de 2013.</w:t>
      </w:r>
      <w:r>
        <w:rPr>
          <w:rStyle w:val="16"/>
          <w:rFonts w:eastAsiaTheme="minorHAnsi"/>
          <w:color w:val="000000"/>
          <w:sz w:val="24"/>
          <w:szCs w:val="24"/>
        </w:rPr>
        <w:fldChar w:fldCharType="end"/>
      </w:r>
    </w:p>
    <w:p w14:paraId="3FA1BEB5">
      <w:pPr>
        <w:spacing w:line="288" w:lineRule="auto"/>
        <w:contextualSpacing/>
        <w:jc w:val="both"/>
        <w:rPr>
          <w:sz w:val="24"/>
          <w:szCs w:val="24"/>
        </w:rPr>
      </w:pPr>
    </w:p>
    <w:p w14:paraId="3B1DF64D">
      <w:pPr>
        <w:spacing w:line="288" w:lineRule="auto"/>
        <w:contextualSpacing/>
        <w:jc w:val="both"/>
        <w:rPr>
          <w:sz w:val="24"/>
          <w:szCs w:val="24"/>
        </w:rPr>
      </w:pPr>
      <w:r>
        <w:rPr>
          <w:sz w:val="24"/>
          <w:szCs w:val="24"/>
        </w:rPr>
        <w:t xml:space="preserve">11.2 O </w:t>
      </w:r>
      <w:r>
        <w:rPr>
          <w:b/>
          <w:bCs/>
          <w:color w:val="000000"/>
          <w:sz w:val="24"/>
          <w:szCs w:val="24"/>
        </w:rPr>
        <w:t>CONTRATADO</w:t>
      </w:r>
      <w:r>
        <w:rPr>
          <w:sz w:val="24"/>
          <w:szCs w:val="24"/>
        </w:rPr>
        <w:t xml:space="preserve"> que cometer qualquer das condutas discriminadas nos subitens anteriores ficará sujeito, sem prejuízo da responsabilidade civil e criminal, às seguintes sanções:</w:t>
      </w:r>
    </w:p>
    <w:p w14:paraId="077ECBEE">
      <w:pPr>
        <w:spacing w:line="288" w:lineRule="auto"/>
        <w:contextualSpacing/>
        <w:jc w:val="both"/>
        <w:rPr>
          <w:sz w:val="24"/>
          <w:szCs w:val="24"/>
        </w:rPr>
      </w:pPr>
    </w:p>
    <w:p w14:paraId="266228C7">
      <w:pPr>
        <w:spacing w:line="288" w:lineRule="auto"/>
        <w:contextualSpacing/>
        <w:jc w:val="both"/>
        <w:rPr>
          <w:sz w:val="24"/>
          <w:szCs w:val="24"/>
        </w:rPr>
      </w:pPr>
      <w:r>
        <w:rPr>
          <w:sz w:val="24"/>
          <w:szCs w:val="24"/>
        </w:rPr>
        <w:t>11.2.1 Advertência, prevista no art. 156, I, § 2º, da Lei nº 14.133/2021, pela infração descrita no item 11.1.1, de menor potencial ofensivo, quando não se justificar a imposição de penalidade mais grave.</w:t>
      </w:r>
    </w:p>
    <w:p w14:paraId="1EC3206E">
      <w:pPr>
        <w:spacing w:line="288" w:lineRule="auto"/>
        <w:contextualSpacing/>
        <w:jc w:val="both"/>
        <w:rPr>
          <w:sz w:val="24"/>
          <w:szCs w:val="24"/>
        </w:rPr>
      </w:pPr>
    </w:p>
    <w:p w14:paraId="3EBFD009">
      <w:pPr>
        <w:spacing w:line="288" w:lineRule="auto"/>
        <w:contextualSpacing/>
        <w:jc w:val="both"/>
        <w:rPr>
          <w:sz w:val="24"/>
          <w:szCs w:val="24"/>
        </w:rPr>
      </w:pPr>
      <w:r>
        <w:rPr>
          <w:sz w:val="24"/>
          <w:szCs w:val="24"/>
        </w:rPr>
        <w:t xml:space="preserve">11.2.2 Multa administrativa, prevista no art. 156, II, § 3º, da Lei nº 14.133/2021, pela infração dos subitens 11.1.1 a 11.1.12, que não </w:t>
      </w:r>
      <w:r>
        <w:rPr>
          <w:color w:val="000000"/>
          <w:sz w:val="24"/>
          <w:szCs w:val="24"/>
        </w:rPr>
        <w:t>poderá ser inferior a 0,5% (cinco décimos por cento) nem superior a 30% (trinta por cento) do valor do Contrato</w:t>
      </w:r>
      <w:r>
        <w:rPr>
          <w:sz w:val="24"/>
          <w:szCs w:val="24"/>
        </w:rPr>
        <w:t>, devendo ser observados os seguintes parâmetros:</w:t>
      </w:r>
    </w:p>
    <w:p w14:paraId="5F9CCC53">
      <w:pPr>
        <w:spacing w:line="288" w:lineRule="auto"/>
        <w:contextualSpacing/>
        <w:jc w:val="both"/>
        <w:rPr>
          <w:color w:val="000000" w:themeColor="text1"/>
          <w:sz w:val="24"/>
          <w:szCs w:val="24"/>
          <w14:textFill>
            <w14:solidFill>
              <w14:schemeClr w14:val="tx1"/>
            </w14:solidFill>
          </w14:textFill>
        </w:rPr>
      </w:pPr>
      <w:r>
        <w:rPr>
          <w:sz w:val="24"/>
          <w:szCs w:val="24"/>
        </w:rPr>
        <w:t xml:space="preserve">a) multa de 0,5% a 1,5%, nos casos da infração prevista </w:t>
      </w:r>
      <w:r>
        <w:rPr>
          <w:color w:val="000000" w:themeColor="text1"/>
          <w:sz w:val="24"/>
          <w:szCs w:val="24"/>
          <w14:textFill>
            <w14:solidFill>
              <w14:schemeClr w14:val="tx1"/>
            </w14:solidFill>
          </w14:textFill>
        </w:rPr>
        <w:t xml:space="preserve">no subitem 11.1.1, incidente sobre o valor anual do Contrato; </w:t>
      </w:r>
    </w:p>
    <w:p w14:paraId="1D576AF0">
      <w:pPr>
        <w:spacing w:line="288" w:lineRule="auto"/>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b) multa de 0,5% a 15%, nos casos das infrações previstas nos subitens 11.1.2 a 11.1.7, incidente sobre o valor anual do Contrato;</w:t>
      </w:r>
    </w:p>
    <w:p w14:paraId="3DAE4A69">
      <w:pPr>
        <w:spacing w:line="288" w:lineRule="auto"/>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c) multa de 5% a 30%, nos casos das infrações previstas nos subitens 11.1.8 a 11.1.12, incidente sobre o valor anual do Contrato;</w:t>
      </w:r>
    </w:p>
    <w:p w14:paraId="62697416">
      <w:pPr>
        <w:spacing w:line="288" w:lineRule="auto"/>
        <w:contextualSpacing/>
        <w:jc w:val="both"/>
        <w:rPr>
          <w:color w:val="000000" w:themeColor="text1"/>
          <w:sz w:val="24"/>
          <w:szCs w:val="24"/>
          <w14:textFill>
            <w14:solidFill>
              <w14:schemeClr w14:val="tx1"/>
            </w14:solidFill>
          </w14:textFill>
        </w:rPr>
      </w:pPr>
    </w:p>
    <w:p w14:paraId="029756F3">
      <w:pPr>
        <w:spacing w:line="288" w:lineRule="auto"/>
        <w:contextualSpacing/>
        <w:jc w:val="both"/>
        <w:rPr>
          <w:sz w:val="24"/>
          <w:szCs w:val="24"/>
        </w:rPr>
      </w:pPr>
      <w:r>
        <w:rPr>
          <w:sz w:val="24"/>
          <w:szCs w:val="24"/>
        </w:rPr>
        <w:t>11.2.2.1 Na hipótese de a infração ser cometida antes da celebração do contrato, a base de cálculo da multa do item 11.2.2 será o valor anual estimado da contratação.</w:t>
      </w:r>
    </w:p>
    <w:p w14:paraId="02EF4B6C">
      <w:pPr>
        <w:spacing w:line="288" w:lineRule="auto"/>
        <w:contextualSpacing/>
        <w:jc w:val="both"/>
        <w:rPr>
          <w:b/>
          <w:bCs/>
          <w:color w:val="FF0000"/>
          <w:sz w:val="24"/>
          <w:szCs w:val="24"/>
        </w:rPr>
      </w:pPr>
    </w:p>
    <w:p w14:paraId="312D28FB">
      <w:pPr>
        <w:spacing w:line="288" w:lineRule="auto"/>
        <w:contextualSpacing/>
        <w:jc w:val="both"/>
        <w:rPr>
          <w:sz w:val="24"/>
          <w:szCs w:val="24"/>
        </w:rPr>
      </w:pPr>
      <w:r>
        <w:rPr>
          <w:sz w:val="24"/>
          <w:szCs w:val="24"/>
        </w:rPr>
        <w:t>11.2.2.2    Em caso de reincidência, o valor total das multas administrativas aplicadas não poderá exceder o limite de 30% (trinta por cento) sobre o valor total do Contrato.</w:t>
      </w:r>
    </w:p>
    <w:p w14:paraId="2C89FF3F">
      <w:pPr>
        <w:spacing w:line="288" w:lineRule="auto"/>
        <w:contextualSpacing/>
        <w:jc w:val="both"/>
        <w:rPr>
          <w:sz w:val="24"/>
          <w:szCs w:val="24"/>
        </w:rPr>
      </w:pPr>
    </w:p>
    <w:p w14:paraId="4511CC75">
      <w:pPr>
        <w:spacing w:line="288" w:lineRule="auto"/>
        <w:contextualSpacing/>
        <w:jc w:val="both"/>
        <w:rPr>
          <w:sz w:val="24"/>
          <w:szCs w:val="24"/>
        </w:rPr>
      </w:pPr>
      <w:r>
        <w:rPr>
          <w:sz w:val="24"/>
          <w:szCs w:val="24"/>
        </w:rPr>
        <w:t xml:space="preserve">11.2.2.3 Se a multa aplicada e as indenizações cabíveis forem superiores ao valor de pagamento eventualmente devido pela Administração ao </w:t>
      </w:r>
      <w:r>
        <w:rPr>
          <w:b/>
          <w:bCs/>
          <w:color w:val="000000"/>
          <w:sz w:val="24"/>
          <w:szCs w:val="24"/>
        </w:rPr>
        <w:t>CONTRATADO</w:t>
      </w:r>
      <w:r>
        <w:rPr>
          <w:sz w:val="24"/>
          <w:szCs w:val="24"/>
        </w:rPr>
        <w:t>, além da perda desse valor, a diferença será descontada da garantia prestada ou será cobrada judicialmente, na forma do art. 156, § 8º, da Lei nº 14.133/2021, e conforme o procedimento previsto no item 11.13.</w:t>
      </w:r>
    </w:p>
    <w:p w14:paraId="56DD83A9">
      <w:pPr>
        <w:spacing w:line="288" w:lineRule="auto"/>
        <w:contextualSpacing/>
        <w:jc w:val="both"/>
        <w:rPr>
          <w:sz w:val="24"/>
          <w:szCs w:val="24"/>
        </w:rPr>
      </w:pPr>
    </w:p>
    <w:p w14:paraId="0B10DE76">
      <w:pPr>
        <w:spacing w:line="288" w:lineRule="auto"/>
        <w:contextualSpacing/>
        <w:jc w:val="both"/>
        <w:rPr>
          <w:sz w:val="24"/>
          <w:szCs w:val="24"/>
        </w:rPr>
      </w:pPr>
      <w:r>
        <w:rPr>
          <w:sz w:val="24"/>
          <w:szCs w:val="24"/>
        </w:rPr>
        <w:t>11.2.2.4 A penalidade de multa pode ser aplicada cumulativamente com as demais sanções, na forma do art. 156, § 7º, da Lei nº 14.133/2021.</w:t>
      </w:r>
    </w:p>
    <w:p w14:paraId="21331635">
      <w:pPr>
        <w:spacing w:line="288" w:lineRule="auto"/>
        <w:contextualSpacing/>
        <w:jc w:val="both"/>
        <w:rPr>
          <w:color w:val="000000"/>
          <w:sz w:val="24"/>
          <w:szCs w:val="24"/>
        </w:rPr>
      </w:pPr>
    </w:p>
    <w:p w14:paraId="3FE7B1B7">
      <w:pPr>
        <w:spacing w:line="288" w:lineRule="auto"/>
        <w:contextualSpacing/>
        <w:jc w:val="both"/>
        <w:rPr>
          <w:rFonts w:eastAsia="Arial"/>
          <w:color w:val="000000"/>
          <w:sz w:val="24"/>
          <w:szCs w:val="24"/>
        </w:rPr>
      </w:pPr>
      <w:r>
        <w:rPr>
          <w:color w:val="000000"/>
          <w:sz w:val="24"/>
          <w:szCs w:val="24"/>
        </w:rPr>
        <w:t xml:space="preserve">11.2.3 Impedimento de licitar e contratar, prevista no </w:t>
      </w:r>
      <w:r>
        <w:rPr>
          <w:sz w:val="24"/>
          <w:szCs w:val="24"/>
        </w:rPr>
        <w:t xml:space="preserve">art. 156, III, § 4º, da Lei nº 14.133/2021, </w:t>
      </w:r>
      <w:r>
        <w:rPr>
          <w:color w:val="000000"/>
          <w:sz w:val="24"/>
          <w:szCs w:val="24"/>
        </w:rPr>
        <w:t>nos casos relacionados os subitens 11.1.2 a 11.1.7, quando não se justificar a imposição de penalidade mais grave, e impedirá o responsável de licitar ou contratar no âmbito da Administração Pública direta e indireta do Município, pelo prazo máximo de 3 (três) anos;</w:t>
      </w:r>
    </w:p>
    <w:p w14:paraId="369997BE">
      <w:pPr>
        <w:spacing w:line="288" w:lineRule="auto"/>
        <w:contextualSpacing/>
        <w:jc w:val="both"/>
        <w:rPr>
          <w:color w:val="000000"/>
          <w:sz w:val="24"/>
          <w:szCs w:val="24"/>
        </w:rPr>
      </w:pPr>
    </w:p>
    <w:p w14:paraId="3D5F1AD5">
      <w:pPr>
        <w:spacing w:line="288" w:lineRule="auto"/>
        <w:contextualSpacing/>
        <w:jc w:val="both"/>
        <w:rPr>
          <w:sz w:val="24"/>
          <w:szCs w:val="24"/>
        </w:rPr>
      </w:pPr>
      <w:r>
        <w:rPr>
          <w:color w:val="000000"/>
          <w:sz w:val="24"/>
          <w:szCs w:val="24"/>
        </w:rPr>
        <w:t>11.2.4 Declaração de inidoneidade para licitar ou contratar, prevista no a</w:t>
      </w:r>
      <w:r>
        <w:rPr>
          <w:rStyle w:val="118"/>
          <w:rFonts w:ascii="Times New Roman" w:hAnsi="Times New Roman" w:cs="Times New Roman"/>
          <w:sz w:val="24"/>
          <w:szCs w:val="24"/>
        </w:rPr>
        <w:t xml:space="preserve">rt. 156, IV, § 5º, da Lei nº 14.133/2021, </w:t>
      </w:r>
      <w:r>
        <w:rPr>
          <w:color w:val="000000"/>
          <w:sz w:val="24"/>
          <w:szCs w:val="24"/>
        </w:rPr>
        <w:t>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Pr>
          <w:sz w:val="24"/>
          <w:szCs w:val="24"/>
        </w:rPr>
        <w:t>.</w:t>
      </w:r>
    </w:p>
    <w:p w14:paraId="049529CF">
      <w:pPr>
        <w:spacing w:line="288" w:lineRule="auto"/>
        <w:contextualSpacing/>
        <w:jc w:val="both"/>
        <w:rPr>
          <w:sz w:val="24"/>
          <w:szCs w:val="24"/>
        </w:rPr>
      </w:pPr>
    </w:p>
    <w:p w14:paraId="6971A82A">
      <w:pPr>
        <w:spacing w:line="288" w:lineRule="auto"/>
        <w:contextualSpacing/>
        <w:jc w:val="both"/>
        <w:rPr>
          <w:sz w:val="24"/>
          <w:szCs w:val="24"/>
        </w:rPr>
      </w:pPr>
      <w:r>
        <w:rPr>
          <w:sz w:val="24"/>
          <w:szCs w:val="24"/>
        </w:rPr>
        <w:t xml:space="preserve">11.3 Sem prejuízo da multa administrativa prevista no art. 156, II, § 3º, da Lei nº 14.133/2021, o atraso injustificado no cumprimento das obrigações contratuais sujeitará o </w:t>
      </w:r>
      <w:r>
        <w:rPr>
          <w:b/>
          <w:bCs/>
          <w:color w:val="000000"/>
          <w:sz w:val="24"/>
          <w:szCs w:val="24"/>
        </w:rPr>
        <w:t>CONTRATADO</w:t>
      </w:r>
      <w:r>
        <w:rPr>
          <w:sz w:val="24"/>
          <w:szCs w:val="24"/>
        </w:rPr>
        <w:t>, independente de notificação, na forma do art. 408 do Código Civil, à multa de mora no percentual de 1% (um por cento) por dia útil que exceder o prazo estipulado, a incidir sobre o valor da nota de empenho ou do saldo não atendido, respeitado o limite de 30% (trinta por cento) do valor do Contrato.</w:t>
      </w:r>
    </w:p>
    <w:p w14:paraId="484D356A">
      <w:pPr>
        <w:spacing w:line="288" w:lineRule="auto"/>
        <w:contextualSpacing/>
        <w:jc w:val="both"/>
        <w:rPr>
          <w:sz w:val="24"/>
          <w:szCs w:val="24"/>
        </w:rPr>
      </w:pPr>
    </w:p>
    <w:p w14:paraId="5506FB66">
      <w:pPr>
        <w:spacing w:line="288" w:lineRule="auto"/>
        <w:contextualSpacing/>
        <w:jc w:val="both"/>
        <w:rPr>
          <w:sz w:val="24"/>
          <w:szCs w:val="24"/>
        </w:rPr>
      </w:pPr>
      <w:r>
        <w:rPr>
          <w:sz w:val="24"/>
          <w:szCs w:val="24"/>
        </w:rPr>
        <w:t>11.3.1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07E7545F">
      <w:pPr>
        <w:spacing w:line="288" w:lineRule="auto"/>
        <w:contextualSpacing/>
        <w:jc w:val="both"/>
        <w:rPr>
          <w:sz w:val="24"/>
          <w:szCs w:val="24"/>
        </w:rPr>
      </w:pPr>
    </w:p>
    <w:p w14:paraId="509C6B98">
      <w:pPr>
        <w:spacing w:line="288" w:lineRule="auto"/>
        <w:contextualSpacing/>
        <w:jc w:val="both"/>
        <w:rPr>
          <w:sz w:val="24"/>
          <w:szCs w:val="24"/>
        </w:rPr>
      </w:pPr>
      <w:r>
        <w:rPr>
          <w:sz w:val="24"/>
          <w:szCs w:val="24"/>
        </w:rPr>
        <w:t>11.3.2 O atraso superior a 25 (vinte e cinco) dias no cumprimento da obrigação prevista no item 11.3.1 autoriza a Administração a promover a rescisão contratual por descumprimento ou cumprimento irregular de suas cláusulas.</w:t>
      </w:r>
    </w:p>
    <w:p w14:paraId="1BD89112">
      <w:pPr>
        <w:spacing w:line="288" w:lineRule="auto"/>
        <w:contextualSpacing/>
        <w:jc w:val="both"/>
        <w:rPr>
          <w:sz w:val="24"/>
          <w:szCs w:val="24"/>
        </w:rPr>
      </w:pPr>
    </w:p>
    <w:p w14:paraId="5E4213C3">
      <w:pPr>
        <w:spacing w:line="288" w:lineRule="auto"/>
        <w:contextualSpacing/>
        <w:jc w:val="both"/>
        <w:rPr>
          <w:sz w:val="24"/>
          <w:szCs w:val="24"/>
        </w:rPr>
      </w:pPr>
    </w:p>
    <w:p w14:paraId="27FD10D5">
      <w:pPr>
        <w:spacing w:line="288" w:lineRule="auto"/>
        <w:contextualSpacing/>
        <w:jc w:val="both"/>
        <w:rPr>
          <w:sz w:val="24"/>
          <w:szCs w:val="24"/>
        </w:rPr>
      </w:pPr>
      <w:r>
        <w:rPr>
          <w:sz w:val="24"/>
          <w:szCs w:val="24"/>
        </w:rPr>
        <w:t>11.3.3 A aplicação de multa de mora não impedirá que a Administração a converta em compensatória e promova a extinção unilateral do Contrato com a aplicação cumulada de outras sanções previstas neste Contrato.</w:t>
      </w:r>
    </w:p>
    <w:p w14:paraId="327B91EC">
      <w:pPr>
        <w:spacing w:line="288" w:lineRule="auto"/>
        <w:contextualSpacing/>
        <w:jc w:val="both"/>
        <w:rPr>
          <w:sz w:val="24"/>
          <w:szCs w:val="24"/>
        </w:rPr>
      </w:pPr>
    </w:p>
    <w:p w14:paraId="4999DCB5">
      <w:pPr>
        <w:spacing w:line="288" w:lineRule="auto"/>
        <w:contextualSpacing/>
        <w:jc w:val="both"/>
        <w:rPr>
          <w:sz w:val="24"/>
          <w:szCs w:val="24"/>
        </w:rPr>
      </w:pPr>
      <w:r>
        <w:rPr>
          <w:sz w:val="24"/>
          <w:szCs w:val="24"/>
        </w:rPr>
        <w:t>11.4 No caso de inexecução total ou parcial do objeto, que acarrete a rescisão do Contrato, será automaticamente devida multa compensatória no valor de 5</w:t>
      </w:r>
      <w:r>
        <w:rPr>
          <w:color w:val="FF0000"/>
          <w:sz w:val="24"/>
          <w:szCs w:val="24"/>
        </w:rPr>
        <w:t xml:space="preserve"> </w:t>
      </w:r>
      <w:r>
        <w:rPr>
          <w:sz w:val="24"/>
          <w:szCs w:val="24"/>
        </w:rPr>
        <w:t>% (cinco por cento)  do valor do Contrato.</w:t>
      </w:r>
    </w:p>
    <w:p w14:paraId="2EB4DAA8">
      <w:pPr>
        <w:spacing w:line="288" w:lineRule="auto"/>
        <w:contextualSpacing/>
        <w:jc w:val="both"/>
        <w:rPr>
          <w:b/>
          <w:bCs/>
          <w:color w:val="FF0000"/>
          <w:sz w:val="24"/>
          <w:szCs w:val="24"/>
        </w:rPr>
      </w:pPr>
    </w:p>
    <w:p w14:paraId="6B351CC5">
      <w:pPr>
        <w:spacing w:line="288" w:lineRule="auto"/>
        <w:contextualSpacing/>
        <w:jc w:val="both"/>
        <w:rPr>
          <w:sz w:val="24"/>
          <w:szCs w:val="24"/>
        </w:rPr>
      </w:pPr>
      <w:r>
        <w:rPr>
          <w:sz w:val="24"/>
          <w:szCs w:val="24"/>
        </w:rPr>
        <w:t>11.4.1 A multa compensatória, isoladamente aplicada ou quando somada ao valor da multa moratória convertida, não poderá exceder o limite previsto no art. 412 do Código Civil, ou seja, o valor da obrigação principal.</w:t>
      </w:r>
    </w:p>
    <w:p w14:paraId="6F9DA52E">
      <w:pPr>
        <w:spacing w:line="288" w:lineRule="auto"/>
        <w:contextualSpacing/>
        <w:jc w:val="both"/>
        <w:rPr>
          <w:sz w:val="24"/>
          <w:szCs w:val="24"/>
        </w:rPr>
      </w:pPr>
    </w:p>
    <w:p w14:paraId="0DD6BA0B">
      <w:pPr>
        <w:spacing w:line="288" w:lineRule="auto"/>
        <w:contextualSpacing/>
        <w:jc w:val="both"/>
        <w:rPr>
          <w:sz w:val="24"/>
          <w:szCs w:val="24"/>
        </w:rPr>
      </w:pPr>
      <w:r>
        <w:rPr>
          <w:sz w:val="24"/>
          <w:szCs w:val="24"/>
        </w:rPr>
        <w:t xml:space="preserve">11.5 Na aplicação das sanções serão considerados os seguintes requisitos, previstos no art. </w:t>
      </w:r>
      <w:r>
        <w:rPr>
          <w:rStyle w:val="118"/>
          <w:rFonts w:ascii="Times New Roman" w:hAnsi="Times New Roman" w:cs="Times New Roman"/>
          <w:sz w:val="24"/>
          <w:szCs w:val="24"/>
        </w:rPr>
        <w:t>156, § 1º, incisos I a V, da Lei nº 14.133/2021</w:t>
      </w:r>
      <w:r>
        <w:rPr>
          <w:sz w:val="24"/>
          <w:szCs w:val="24"/>
        </w:rPr>
        <w:t>:</w:t>
      </w:r>
    </w:p>
    <w:p w14:paraId="01ABF3DE">
      <w:pPr>
        <w:spacing w:line="288" w:lineRule="auto"/>
        <w:contextualSpacing/>
        <w:jc w:val="both"/>
        <w:rPr>
          <w:sz w:val="24"/>
          <w:szCs w:val="24"/>
        </w:rPr>
      </w:pPr>
    </w:p>
    <w:p w14:paraId="3CB74425">
      <w:pPr>
        <w:spacing w:line="288" w:lineRule="auto"/>
        <w:contextualSpacing/>
        <w:jc w:val="both"/>
        <w:rPr>
          <w:sz w:val="24"/>
          <w:szCs w:val="24"/>
        </w:rPr>
      </w:pPr>
      <w:r>
        <w:rPr>
          <w:sz w:val="24"/>
          <w:szCs w:val="24"/>
        </w:rPr>
        <w:t>11.5.1 a natureza e a gravidade da infração cometida;</w:t>
      </w:r>
    </w:p>
    <w:p w14:paraId="5DBE17A2">
      <w:pPr>
        <w:spacing w:line="288" w:lineRule="auto"/>
        <w:contextualSpacing/>
        <w:jc w:val="both"/>
        <w:rPr>
          <w:sz w:val="24"/>
          <w:szCs w:val="24"/>
        </w:rPr>
      </w:pPr>
    </w:p>
    <w:p w14:paraId="609D8AAD">
      <w:pPr>
        <w:spacing w:line="288" w:lineRule="auto"/>
        <w:contextualSpacing/>
        <w:jc w:val="both"/>
        <w:rPr>
          <w:sz w:val="24"/>
          <w:szCs w:val="24"/>
        </w:rPr>
      </w:pPr>
      <w:r>
        <w:rPr>
          <w:sz w:val="24"/>
          <w:szCs w:val="24"/>
        </w:rPr>
        <w:t>11.5.2 as peculiaridades do caso concreto;</w:t>
      </w:r>
    </w:p>
    <w:p w14:paraId="16DDED1C">
      <w:pPr>
        <w:spacing w:line="288" w:lineRule="auto"/>
        <w:contextualSpacing/>
        <w:jc w:val="both"/>
        <w:rPr>
          <w:sz w:val="24"/>
          <w:szCs w:val="24"/>
        </w:rPr>
      </w:pPr>
    </w:p>
    <w:p w14:paraId="5ADE11FA">
      <w:pPr>
        <w:spacing w:line="288" w:lineRule="auto"/>
        <w:contextualSpacing/>
        <w:jc w:val="both"/>
        <w:rPr>
          <w:sz w:val="24"/>
          <w:szCs w:val="24"/>
        </w:rPr>
      </w:pPr>
      <w:r>
        <w:rPr>
          <w:sz w:val="24"/>
          <w:szCs w:val="24"/>
        </w:rPr>
        <w:t>11.5.3 as circunstâncias agravantes ou atenuantes;</w:t>
      </w:r>
    </w:p>
    <w:p w14:paraId="1464969D">
      <w:pPr>
        <w:spacing w:line="288" w:lineRule="auto"/>
        <w:contextualSpacing/>
        <w:jc w:val="both"/>
        <w:rPr>
          <w:sz w:val="24"/>
          <w:szCs w:val="24"/>
        </w:rPr>
      </w:pPr>
    </w:p>
    <w:p w14:paraId="71F2C300">
      <w:pPr>
        <w:spacing w:line="288" w:lineRule="auto"/>
        <w:contextualSpacing/>
        <w:jc w:val="both"/>
        <w:rPr>
          <w:sz w:val="24"/>
          <w:szCs w:val="24"/>
        </w:rPr>
      </w:pPr>
      <w:r>
        <w:rPr>
          <w:sz w:val="24"/>
          <w:szCs w:val="24"/>
        </w:rPr>
        <w:t>11.5.4 os danos que dela provierem para a Administração Pública;</w:t>
      </w:r>
    </w:p>
    <w:p w14:paraId="092FB929">
      <w:pPr>
        <w:spacing w:line="288" w:lineRule="auto"/>
        <w:contextualSpacing/>
        <w:jc w:val="both"/>
        <w:rPr>
          <w:sz w:val="24"/>
          <w:szCs w:val="24"/>
        </w:rPr>
      </w:pPr>
    </w:p>
    <w:p w14:paraId="06DF0B93">
      <w:pPr>
        <w:spacing w:line="288" w:lineRule="auto"/>
        <w:contextualSpacing/>
        <w:jc w:val="both"/>
        <w:rPr>
          <w:sz w:val="24"/>
          <w:szCs w:val="24"/>
        </w:rPr>
      </w:pPr>
      <w:r>
        <w:rPr>
          <w:sz w:val="24"/>
          <w:szCs w:val="24"/>
        </w:rPr>
        <w:t>11.5.5 a implantação ou o aperfeiçoamento de programa de integridade, conforme normas e orientações dos órgãos de controle.</w:t>
      </w:r>
    </w:p>
    <w:p w14:paraId="35CBCA4A">
      <w:pPr>
        <w:spacing w:line="288" w:lineRule="auto"/>
        <w:contextualSpacing/>
        <w:jc w:val="both"/>
        <w:rPr>
          <w:sz w:val="24"/>
          <w:szCs w:val="24"/>
        </w:rPr>
      </w:pPr>
    </w:p>
    <w:p w14:paraId="661C4216">
      <w:pPr>
        <w:spacing w:line="288" w:lineRule="auto"/>
        <w:contextualSpacing/>
        <w:jc w:val="both"/>
        <w:rPr>
          <w:sz w:val="24"/>
          <w:szCs w:val="24"/>
        </w:rPr>
      </w:pPr>
      <w:r>
        <w:rPr>
          <w:sz w:val="24"/>
          <w:szCs w:val="24"/>
        </w:rPr>
        <w:t xml:space="preserve">11.6 A imposição das penalidades é de competência exclusiva do órgão ou entidade contratante, sendo competentes para sua aplicação: </w:t>
      </w:r>
    </w:p>
    <w:p w14:paraId="65203196">
      <w:pPr>
        <w:spacing w:line="288" w:lineRule="auto"/>
        <w:contextualSpacing/>
        <w:jc w:val="both"/>
        <w:rPr>
          <w:sz w:val="24"/>
          <w:szCs w:val="24"/>
        </w:rPr>
      </w:pPr>
      <w:r>
        <w:rPr>
          <w:sz w:val="24"/>
          <w:szCs w:val="24"/>
        </w:rPr>
        <w:t>a) as sanções previstas nos itens 11.2.1, 11.2.2 e 11.2.3 serão impostas pelo Ordenador de Despesa;</w:t>
      </w:r>
    </w:p>
    <w:p w14:paraId="1F1B4167">
      <w:pPr>
        <w:spacing w:line="288" w:lineRule="auto"/>
        <w:contextualSpacing/>
        <w:jc w:val="both"/>
        <w:rPr>
          <w:sz w:val="24"/>
          <w:szCs w:val="24"/>
        </w:rPr>
      </w:pPr>
      <w:r>
        <w:rPr>
          <w:sz w:val="24"/>
          <w:szCs w:val="24"/>
        </w:rPr>
        <w:t xml:space="preserve">b) a aplicação da sanção prevista no item 11.2.4, na forma do art. </w:t>
      </w:r>
      <w:r>
        <w:rPr>
          <w:rStyle w:val="118"/>
          <w:rFonts w:ascii="Times New Roman" w:hAnsi="Times New Roman" w:cs="Times New Roman"/>
          <w:sz w:val="24"/>
          <w:szCs w:val="24"/>
        </w:rPr>
        <w:t>156, § 6º, I, da Lei nº 14.133/2021,</w:t>
      </w:r>
      <w:r>
        <w:rPr>
          <w:sz w:val="24"/>
          <w:szCs w:val="24"/>
        </w:rPr>
        <w:t xml:space="preserve"> é de competência exclusiva:</w:t>
      </w:r>
    </w:p>
    <w:p w14:paraId="73A8D432">
      <w:pPr>
        <w:spacing w:line="288" w:lineRule="auto"/>
        <w:contextualSpacing/>
        <w:jc w:val="both"/>
        <w:rPr>
          <w:rStyle w:val="118"/>
          <w:rFonts w:ascii="Times New Roman" w:hAnsi="Times New Roman" w:cs="Times New Roman"/>
          <w:sz w:val="24"/>
          <w:szCs w:val="24"/>
        </w:rPr>
      </w:pPr>
      <w:r>
        <w:rPr>
          <w:sz w:val="24"/>
          <w:szCs w:val="24"/>
        </w:rPr>
        <w:t>b.1) em se tratando de contratação realizada pela Administração Pública direta, do Secretário de Município</w:t>
      </w:r>
      <w:r>
        <w:rPr>
          <w:rStyle w:val="118"/>
          <w:rFonts w:ascii="Times New Roman" w:hAnsi="Times New Roman" w:cs="Times New Roman"/>
          <w:sz w:val="24"/>
          <w:szCs w:val="24"/>
        </w:rPr>
        <w:t>;</w:t>
      </w:r>
    </w:p>
    <w:p w14:paraId="2EE182D1">
      <w:pPr>
        <w:spacing w:line="288" w:lineRule="auto"/>
        <w:contextualSpacing/>
        <w:jc w:val="both"/>
        <w:rPr>
          <w:sz w:val="24"/>
          <w:szCs w:val="24"/>
        </w:rPr>
      </w:pPr>
      <w:r>
        <w:rPr>
          <w:rStyle w:val="118"/>
          <w:rFonts w:ascii="Times New Roman" w:hAnsi="Times New Roman" w:cs="Times New Roman"/>
          <w:sz w:val="24"/>
          <w:szCs w:val="24"/>
        </w:rPr>
        <w:t>b.2) e</w:t>
      </w:r>
      <w:r>
        <w:rPr>
          <w:sz w:val="24"/>
          <w:szCs w:val="24"/>
        </w:rPr>
        <w:t>m se tratando de contratação realizada pela Administração Pública Indireta (fundação e autarquia), da autoridade máxima da entidade.</w:t>
      </w:r>
    </w:p>
    <w:p w14:paraId="1C64611F">
      <w:pPr>
        <w:spacing w:line="288" w:lineRule="auto"/>
        <w:contextualSpacing/>
        <w:jc w:val="both"/>
        <w:rPr>
          <w:sz w:val="24"/>
          <w:szCs w:val="24"/>
        </w:rPr>
      </w:pPr>
    </w:p>
    <w:p w14:paraId="51EEA9E4">
      <w:pPr>
        <w:spacing w:line="288" w:lineRule="auto"/>
        <w:contextualSpacing/>
        <w:jc w:val="both"/>
        <w:rPr>
          <w:sz w:val="24"/>
          <w:szCs w:val="24"/>
        </w:rPr>
      </w:pPr>
      <w:r>
        <w:rPr>
          <w:sz w:val="24"/>
          <w:szCs w:val="24"/>
        </w:rPr>
        <w:t xml:space="preserve">11.7 A aplicação de quaisquer das penalidades realizar-se-á em processo administrativo que assegurará o contraditório e a ampla defesa ao </w:t>
      </w:r>
      <w:r>
        <w:rPr>
          <w:b/>
          <w:bCs/>
          <w:color w:val="000000"/>
          <w:sz w:val="24"/>
          <w:szCs w:val="24"/>
        </w:rPr>
        <w:t>CONTRATADO</w:t>
      </w:r>
      <w:r>
        <w:rPr>
          <w:sz w:val="24"/>
          <w:szCs w:val="24"/>
        </w:rPr>
        <w:t xml:space="preserve">, na forma do art. </w:t>
      </w:r>
      <w:r>
        <w:rPr>
          <w:rStyle w:val="118"/>
          <w:rFonts w:ascii="Times New Roman" w:hAnsi="Times New Roman" w:cs="Times New Roman"/>
          <w:sz w:val="24"/>
          <w:szCs w:val="24"/>
        </w:rPr>
        <w:t>156, § 6º, I, da Lei nº 14.133/2021</w:t>
      </w:r>
      <w:r>
        <w:rPr>
          <w:sz w:val="24"/>
          <w:szCs w:val="24"/>
        </w:rPr>
        <w:t>, devendo ser observado o procedimento previsto na Lei nº 14.133/2021.</w:t>
      </w:r>
    </w:p>
    <w:p w14:paraId="4BF8828B">
      <w:pPr>
        <w:spacing w:line="288" w:lineRule="auto"/>
        <w:contextualSpacing/>
        <w:jc w:val="both"/>
        <w:rPr>
          <w:sz w:val="24"/>
          <w:szCs w:val="24"/>
        </w:rPr>
      </w:pPr>
    </w:p>
    <w:p w14:paraId="17B4EBDC">
      <w:pPr>
        <w:spacing w:line="288" w:lineRule="auto"/>
        <w:contextualSpacing/>
        <w:jc w:val="both"/>
        <w:rPr>
          <w:sz w:val="24"/>
          <w:szCs w:val="24"/>
        </w:rPr>
      </w:pPr>
      <w:r>
        <w:rPr>
          <w:sz w:val="24"/>
          <w:szCs w:val="24"/>
        </w:rPr>
        <w:t xml:space="preserve">11.7.1 A aplicação de sanção será antecedida de intimação do </w:t>
      </w:r>
      <w:r>
        <w:rPr>
          <w:b/>
          <w:bCs/>
          <w:color w:val="000000"/>
          <w:sz w:val="24"/>
          <w:szCs w:val="24"/>
        </w:rPr>
        <w:t>CONTRATADO</w:t>
      </w:r>
      <w:r>
        <w:rPr>
          <w:sz w:val="24"/>
          <w:szCs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14:paraId="12C916D7">
      <w:pPr>
        <w:spacing w:line="288" w:lineRule="auto"/>
        <w:contextualSpacing/>
        <w:jc w:val="both"/>
        <w:rPr>
          <w:sz w:val="24"/>
          <w:szCs w:val="24"/>
        </w:rPr>
      </w:pPr>
    </w:p>
    <w:p w14:paraId="477DE742">
      <w:pPr>
        <w:spacing w:line="288" w:lineRule="auto"/>
        <w:contextualSpacing/>
        <w:jc w:val="both"/>
        <w:rPr>
          <w:sz w:val="24"/>
          <w:szCs w:val="24"/>
        </w:rPr>
      </w:pPr>
      <w:r>
        <w:rPr>
          <w:sz w:val="24"/>
          <w:szCs w:val="24"/>
        </w:rPr>
        <w:t xml:space="preserve">11.7.2 A defesa prévia do </w:t>
      </w:r>
      <w:r>
        <w:rPr>
          <w:b/>
          <w:bCs/>
          <w:color w:val="000000"/>
          <w:sz w:val="24"/>
          <w:szCs w:val="24"/>
        </w:rPr>
        <w:t>CONTRATADO</w:t>
      </w:r>
      <w:r>
        <w:rPr>
          <w:sz w:val="24"/>
          <w:szCs w:val="24"/>
        </w:rPr>
        <w:t xml:space="preserve"> será exercida no prazo de:</w:t>
      </w:r>
    </w:p>
    <w:p w14:paraId="441DAECF">
      <w:pPr>
        <w:spacing w:line="288" w:lineRule="auto"/>
        <w:contextualSpacing/>
        <w:jc w:val="both"/>
        <w:rPr>
          <w:sz w:val="24"/>
          <w:szCs w:val="24"/>
        </w:rPr>
      </w:pPr>
      <w:r>
        <w:rPr>
          <w:sz w:val="24"/>
          <w:szCs w:val="24"/>
        </w:rPr>
        <w:t>a) 15 (quinze) dias úteis, no caso da aplicação das sanções previstas nos itens 11.2.1 e 11.2.2, contado da data da intimação;</w:t>
      </w:r>
    </w:p>
    <w:p w14:paraId="41C82140">
      <w:pPr>
        <w:spacing w:line="288" w:lineRule="auto"/>
        <w:contextualSpacing/>
        <w:jc w:val="both"/>
        <w:rPr>
          <w:color w:val="000000"/>
          <w:sz w:val="24"/>
          <w:szCs w:val="24"/>
        </w:rPr>
      </w:pPr>
      <w:r>
        <w:rPr>
          <w:sz w:val="24"/>
          <w:szCs w:val="24"/>
        </w:rPr>
        <w:t xml:space="preserve">b) 15 (quinze) dias úteis, no caso de aplicação das sanções previstas nos itens 11.2.3 e 11.2.4, </w:t>
      </w:r>
      <w:r>
        <w:rPr>
          <w:color w:val="000000"/>
          <w:sz w:val="24"/>
          <w:szCs w:val="24"/>
        </w:rPr>
        <w:t>contado da data da intimação, observado o procedimento estabelecido no art. 158 da Lei nº 14.133/2021.</w:t>
      </w:r>
    </w:p>
    <w:p w14:paraId="35B07D3A">
      <w:pPr>
        <w:pStyle w:val="24"/>
        <w:spacing w:line="288" w:lineRule="auto"/>
        <w:contextualSpacing/>
        <w:jc w:val="both"/>
      </w:pPr>
      <w:r>
        <w:t>11.7.3 Será emitida decisão conclusiva sobre a aplicação ou não da sanção, pela autoridade competente, devendo ser apresentada a devida motivação, com a demonstração dos fatos e dos respectivos fundamentos jurídicos.</w:t>
      </w:r>
    </w:p>
    <w:p w14:paraId="4EC0DFE7">
      <w:pPr>
        <w:spacing w:line="288" w:lineRule="auto"/>
        <w:contextualSpacing/>
        <w:jc w:val="both"/>
        <w:rPr>
          <w:sz w:val="24"/>
          <w:szCs w:val="24"/>
        </w:rPr>
      </w:pPr>
      <w:r>
        <w:rPr>
          <w:sz w:val="24"/>
          <w:szCs w:val="24"/>
        </w:rPr>
        <w:t>11.8 A aplicação das sanções previstas neste Contrato não exclui, em hipótese alguma:</w:t>
      </w:r>
    </w:p>
    <w:p w14:paraId="585A85D8">
      <w:pPr>
        <w:spacing w:line="288" w:lineRule="auto"/>
        <w:contextualSpacing/>
        <w:jc w:val="both"/>
        <w:rPr>
          <w:sz w:val="24"/>
          <w:szCs w:val="24"/>
        </w:rPr>
      </w:pPr>
      <w:r>
        <w:rPr>
          <w:sz w:val="24"/>
          <w:szCs w:val="24"/>
        </w:rPr>
        <w:t>a) a obrigação de reparação integral do dano causado à Administração Pública, na forma do art. 156, § 9º, da Lei nº 14.133/2021 e do art. 416, parágrafo único, do Código Civil; e</w:t>
      </w:r>
    </w:p>
    <w:p w14:paraId="23CDA303">
      <w:pPr>
        <w:spacing w:line="288" w:lineRule="auto"/>
        <w:contextualSpacing/>
        <w:jc w:val="both"/>
        <w:rPr>
          <w:rFonts w:eastAsia="Arial"/>
          <w:color w:val="000000"/>
          <w:sz w:val="24"/>
          <w:szCs w:val="24"/>
        </w:rPr>
      </w:pPr>
      <w:r>
        <w:rPr>
          <w:rFonts w:eastAsia="Arial"/>
          <w:color w:val="000000"/>
          <w:sz w:val="24"/>
          <w:szCs w:val="24"/>
        </w:rPr>
        <w:t>b) a possibilidade de rescisão administrativa do Contrato, na forma dos arts. 138 e 139 da Lei nº 14.133/2021, garantido o contraditório e a ampla defesa.</w:t>
      </w:r>
    </w:p>
    <w:p w14:paraId="22F36104">
      <w:pPr>
        <w:spacing w:line="288" w:lineRule="auto"/>
        <w:contextualSpacing/>
        <w:jc w:val="both"/>
        <w:rPr>
          <w:rFonts w:eastAsia="Arial"/>
          <w:color w:val="000000"/>
          <w:sz w:val="24"/>
          <w:szCs w:val="24"/>
        </w:rPr>
      </w:pPr>
    </w:p>
    <w:p w14:paraId="6DDD8F65">
      <w:pPr>
        <w:spacing w:line="288" w:lineRule="auto"/>
        <w:contextualSpacing/>
        <w:jc w:val="both"/>
        <w:rPr>
          <w:rFonts w:eastAsia="Arial"/>
          <w:color w:val="000000"/>
          <w:sz w:val="24"/>
          <w:szCs w:val="24"/>
        </w:rPr>
      </w:pPr>
      <w:r>
        <w:rPr>
          <w:rFonts w:eastAsia="Arial"/>
          <w:color w:val="000000"/>
          <w:sz w:val="24"/>
          <w:szCs w:val="24"/>
        </w:rPr>
        <w:t xml:space="preserve">11.8.1 Aplica-se o disposto na alínea a do item 11.8 à multa compensatória, nos termos do parágrafo único do art. 416 do Código Civil. </w:t>
      </w:r>
    </w:p>
    <w:p w14:paraId="67D317B1">
      <w:pPr>
        <w:spacing w:line="288" w:lineRule="auto"/>
        <w:contextualSpacing/>
        <w:jc w:val="both"/>
        <w:rPr>
          <w:rFonts w:eastAsia="Arial"/>
          <w:color w:val="000000"/>
          <w:sz w:val="24"/>
          <w:szCs w:val="24"/>
        </w:rPr>
      </w:pPr>
    </w:p>
    <w:p w14:paraId="2840C0D6">
      <w:pPr>
        <w:spacing w:line="288" w:lineRule="auto"/>
        <w:contextualSpacing/>
        <w:jc w:val="both"/>
        <w:rPr>
          <w:rFonts w:eastAsia="Arial"/>
          <w:color w:val="000000"/>
          <w:sz w:val="24"/>
          <w:szCs w:val="24"/>
        </w:rPr>
      </w:pPr>
      <w:r>
        <w:rPr>
          <w:rFonts w:eastAsia="Arial"/>
          <w:color w:val="000000"/>
          <w:sz w:val="24"/>
          <w:szCs w:val="24"/>
        </w:rPr>
        <w:t>11.9 As sanções de impedimento de licitar e contratar e de declaração de inidoneidade para licitar ou contratar são passíveis de reabilitação, observados os requisitos estabelecidos no art. 163 da Lei nº 14.133/2021.</w:t>
      </w:r>
    </w:p>
    <w:p w14:paraId="57329BEC">
      <w:pPr>
        <w:spacing w:line="288" w:lineRule="auto"/>
        <w:contextualSpacing/>
        <w:jc w:val="both"/>
        <w:rPr>
          <w:sz w:val="24"/>
          <w:szCs w:val="24"/>
        </w:rPr>
      </w:pPr>
    </w:p>
    <w:p w14:paraId="4B947FD4">
      <w:pPr>
        <w:spacing w:line="288" w:lineRule="auto"/>
        <w:contextualSpacing/>
        <w:jc w:val="both"/>
        <w:rPr>
          <w:sz w:val="24"/>
          <w:szCs w:val="24"/>
        </w:rPr>
      </w:pPr>
      <w:r>
        <w:rPr>
          <w:sz w:val="24"/>
          <w:szCs w:val="24"/>
        </w:rPr>
        <w:t xml:space="preserve">11.10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AF8D2B7">
      <w:pPr>
        <w:spacing w:line="288" w:lineRule="auto"/>
        <w:contextualSpacing/>
        <w:jc w:val="both"/>
        <w:rPr>
          <w:sz w:val="24"/>
          <w:szCs w:val="24"/>
        </w:rPr>
      </w:pPr>
    </w:p>
    <w:p w14:paraId="56B88322">
      <w:pPr>
        <w:spacing w:line="288" w:lineRule="auto"/>
        <w:contextualSpacing/>
        <w:jc w:val="both"/>
        <w:rPr>
          <w:sz w:val="24"/>
          <w:szCs w:val="24"/>
        </w:rPr>
      </w:pPr>
      <w:r>
        <w:rPr>
          <w:sz w:val="24"/>
          <w:szCs w:val="24"/>
        </w:rPr>
        <w:t>11.10.1 A apuração e o julgamento das demais infrações administrativas não consideradas como ato lesivo à Administração Pública nacional nos termos da Lei nº 12.846/2013 seguirão seu rito normal na unidade administrativa.</w:t>
      </w:r>
    </w:p>
    <w:p w14:paraId="7F8B8238">
      <w:pPr>
        <w:spacing w:line="288" w:lineRule="auto"/>
        <w:contextualSpacing/>
        <w:jc w:val="both"/>
        <w:rPr>
          <w:sz w:val="24"/>
          <w:szCs w:val="24"/>
        </w:rPr>
      </w:pPr>
    </w:p>
    <w:p w14:paraId="260F9A80">
      <w:pPr>
        <w:spacing w:line="288" w:lineRule="auto"/>
        <w:contextualSpacing/>
        <w:jc w:val="both"/>
        <w:rPr>
          <w:sz w:val="24"/>
          <w:szCs w:val="24"/>
        </w:rPr>
      </w:pPr>
      <w:r>
        <w:rPr>
          <w:sz w:val="24"/>
          <w:szCs w:val="24"/>
        </w:rPr>
        <w:t>11.10.2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3FA6F997">
      <w:pPr>
        <w:spacing w:line="288" w:lineRule="auto"/>
        <w:contextualSpacing/>
        <w:jc w:val="both"/>
        <w:rPr>
          <w:sz w:val="24"/>
          <w:szCs w:val="24"/>
        </w:rPr>
      </w:pPr>
    </w:p>
    <w:p w14:paraId="03C1EE93">
      <w:pPr>
        <w:spacing w:line="288" w:lineRule="auto"/>
        <w:contextualSpacing/>
        <w:jc w:val="both"/>
        <w:rPr>
          <w:sz w:val="24"/>
          <w:szCs w:val="24"/>
        </w:rPr>
      </w:pPr>
      <w:r>
        <w:rPr>
          <w:sz w:val="24"/>
          <w:szCs w:val="24"/>
        </w:rPr>
        <w:t>11.10.2.1 Caso seja possível, a apuração deverá ser promovida em conjunto no PAR.</w:t>
      </w:r>
    </w:p>
    <w:p w14:paraId="41EA3347">
      <w:pPr>
        <w:spacing w:line="288" w:lineRule="auto"/>
        <w:contextualSpacing/>
        <w:jc w:val="both"/>
        <w:rPr>
          <w:sz w:val="24"/>
          <w:szCs w:val="24"/>
        </w:rPr>
      </w:pPr>
    </w:p>
    <w:p w14:paraId="50BDF545">
      <w:pPr>
        <w:spacing w:line="288" w:lineRule="auto"/>
        <w:contextualSpacing/>
        <w:jc w:val="both"/>
        <w:rPr>
          <w:sz w:val="24"/>
          <w:szCs w:val="24"/>
        </w:rPr>
      </w:pPr>
      <w:r>
        <w:rPr>
          <w:sz w:val="24"/>
          <w:szCs w:val="24"/>
        </w:rPr>
        <w:t xml:space="preserve">11.11 Na hipótese de abertura de processo administrativo destinado a apuração de fatos e, se for o caso, aplicação de sanções ao </w:t>
      </w:r>
      <w:r>
        <w:rPr>
          <w:b/>
          <w:bCs/>
          <w:color w:val="000000"/>
          <w:sz w:val="24"/>
          <w:szCs w:val="24"/>
        </w:rPr>
        <w:t>CONTRATADO</w:t>
      </w:r>
      <w:r>
        <w:rPr>
          <w:sz w:val="24"/>
          <w:szCs w:val="24"/>
        </w:rPr>
        <w:t>, em decorrência de conduta vedada no contrato, as comunicações serão efetuadas por meio do endereço de correio eletrônico ("e-mail") cadastrado pela empresa junto ao Comprasnet.</w:t>
      </w:r>
    </w:p>
    <w:p w14:paraId="2277470A">
      <w:pPr>
        <w:autoSpaceDE w:val="0"/>
        <w:autoSpaceDN w:val="0"/>
        <w:adjustRightInd w:val="0"/>
        <w:spacing w:line="288" w:lineRule="auto"/>
        <w:contextualSpacing/>
        <w:jc w:val="both"/>
        <w:rPr>
          <w:sz w:val="24"/>
          <w:szCs w:val="24"/>
        </w:rPr>
      </w:pPr>
    </w:p>
    <w:p w14:paraId="54ECFE7B">
      <w:pPr>
        <w:autoSpaceDE w:val="0"/>
        <w:autoSpaceDN w:val="0"/>
        <w:adjustRightInd w:val="0"/>
        <w:spacing w:line="288" w:lineRule="auto"/>
        <w:contextualSpacing/>
        <w:jc w:val="both"/>
        <w:rPr>
          <w:sz w:val="24"/>
          <w:szCs w:val="24"/>
        </w:rPr>
      </w:pPr>
      <w:r>
        <w:rPr>
          <w:sz w:val="24"/>
          <w:szCs w:val="24"/>
        </w:rPr>
        <w:t xml:space="preserve">11.11.1 O </w:t>
      </w:r>
      <w:r>
        <w:rPr>
          <w:b/>
          <w:bCs/>
          <w:color w:val="000000"/>
          <w:sz w:val="24"/>
          <w:szCs w:val="24"/>
        </w:rPr>
        <w:t>CONTRATADO</w:t>
      </w:r>
      <w:r>
        <w:rPr>
          <w:sz w:val="24"/>
          <w:szCs w:val="24"/>
        </w:rPr>
        <w:t xml:space="preserve"> deverá manter atualizado o endereço de correio eletrônico ("e-mail") cadastrado junto ao sistema eletrônico Comprasnet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22EBA933">
      <w:pPr>
        <w:autoSpaceDE w:val="0"/>
        <w:autoSpaceDN w:val="0"/>
        <w:adjustRightInd w:val="0"/>
        <w:spacing w:line="288" w:lineRule="auto"/>
        <w:contextualSpacing/>
        <w:jc w:val="both"/>
        <w:rPr>
          <w:sz w:val="24"/>
          <w:szCs w:val="24"/>
        </w:rPr>
      </w:pPr>
    </w:p>
    <w:p w14:paraId="45C6CE50">
      <w:pPr>
        <w:autoSpaceDE w:val="0"/>
        <w:autoSpaceDN w:val="0"/>
        <w:adjustRightInd w:val="0"/>
        <w:spacing w:line="288" w:lineRule="auto"/>
        <w:contextualSpacing/>
        <w:jc w:val="both"/>
        <w:rPr>
          <w:sz w:val="24"/>
          <w:szCs w:val="24"/>
        </w:rPr>
      </w:pPr>
      <w:r>
        <w:rPr>
          <w:sz w:val="24"/>
          <w:szCs w:val="24"/>
        </w:rPr>
        <w:t xml:space="preserve">11.12 O </w:t>
      </w:r>
      <w:r>
        <w:rPr>
          <w:b/>
          <w:bCs/>
          <w:sz w:val="24"/>
          <w:szCs w:val="24"/>
        </w:rPr>
        <w:t>CONTRATANTE</w:t>
      </w:r>
      <w:r>
        <w:rPr>
          <w:sz w:val="24"/>
          <w:szCs w:val="24"/>
        </w:rPr>
        <w:t xml:space="preserve"> deverá remeter para os órgãos competentes o extrato de publicação no Boletim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do Município de Valença.</w:t>
      </w:r>
    </w:p>
    <w:p w14:paraId="76E5A328">
      <w:pPr>
        <w:pStyle w:val="74"/>
        <w:spacing w:line="288" w:lineRule="auto"/>
        <w:contextualSpacing/>
        <w:jc w:val="both"/>
        <w:rPr>
          <w:rFonts w:ascii="Times New Roman" w:hAnsi="Times New Roman" w:cs="Times New Roman"/>
        </w:rPr>
      </w:pPr>
    </w:p>
    <w:p w14:paraId="62B13C66">
      <w:pPr>
        <w:pStyle w:val="74"/>
        <w:spacing w:line="288" w:lineRule="auto"/>
        <w:contextualSpacing/>
        <w:jc w:val="both"/>
        <w:rPr>
          <w:rFonts w:ascii="Times New Roman" w:hAnsi="Times New Roman" w:cs="Times New Roman"/>
        </w:rPr>
      </w:pPr>
      <w:r>
        <w:rPr>
          <w:rFonts w:ascii="Times New Roman" w:hAnsi="Times New Roman" w:cs="Times New Roman"/>
        </w:rPr>
        <w:t>11.12.1 A aplicação das sanções de impedimento de licitar e contratar e de declaração de inidoneidade para licitar e contratar deverá ser comunicada à Secretaria Municipal de Controle Interno, no prazo de 15 (quinze) dias úteis, contado da sua aplicação, que informará, para fins de publicidade, ao Cadastro Nacional de Empresas Inidôneas e Suspensas – CEIS e ao Cadastro Nacional de Empresas Punidas (Cnep), na forma do art. 161 da Lei nº 14.133/2021.</w:t>
      </w:r>
    </w:p>
    <w:p w14:paraId="44671375">
      <w:pPr>
        <w:spacing w:line="288" w:lineRule="auto"/>
        <w:contextualSpacing/>
        <w:jc w:val="both"/>
        <w:rPr>
          <w:sz w:val="24"/>
          <w:szCs w:val="24"/>
        </w:rPr>
      </w:pPr>
    </w:p>
    <w:p w14:paraId="416259C1">
      <w:pPr>
        <w:spacing w:line="288" w:lineRule="auto"/>
        <w:contextualSpacing/>
        <w:jc w:val="both"/>
        <w:rPr>
          <w:sz w:val="24"/>
          <w:szCs w:val="24"/>
        </w:rPr>
      </w:pPr>
      <w:r>
        <w:rPr>
          <w:sz w:val="24"/>
          <w:szCs w:val="24"/>
        </w:rPr>
        <w:t xml:space="preserve">11.13 Caso o valor da multa aplicada seja superior ao </w:t>
      </w:r>
      <w:r>
        <w:rPr>
          <w:color w:val="000000"/>
          <w:sz w:val="24"/>
          <w:szCs w:val="24"/>
        </w:rPr>
        <w:t xml:space="preserve">do pagamento eventualmente devido pela Administração ao </w:t>
      </w:r>
      <w:r>
        <w:rPr>
          <w:b/>
          <w:bCs/>
          <w:color w:val="000000"/>
          <w:sz w:val="24"/>
          <w:szCs w:val="24"/>
        </w:rPr>
        <w:t>CONTRATADO</w:t>
      </w:r>
      <w:r>
        <w:rPr>
          <w:color w:val="000000"/>
          <w:sz w:val="24"/>
          <w:szCs w:val="24"/>
        </w:rPr>
        <w:t xml:space="preserve"> e da garantia prestada</w:t>
      </w:r>
      <w:r>
        <w:rPr>
          <w:sz w:val="24"/>
          <w:szCs w:val="24"/>
        </w:rPr>
        <w:t>, deverá ser emitida nota de débito no valor do saldo, no prazo de 30 (trinta) dias após a decisão final quanto à penalidade.</w:t>
      </w:r>
    </w:p>
    <w:p w14:paraId="751A0A51">
      <w:pPr>
        <w:spacing w:line="288" w:lineRule="auto"/>
        <w:contextualSpacing/>
        <w:jc w:val="both"/>
        <w:rPr>
          <w:sz w:val="24"/>
          <w:szCs w:val="24"/>
        </w:rPr>
      </w:pPr>
    </w:p>
    <w:p w14:paraId="030AB107">
      <w:pPr>
        <w:spacing w:line="288" w:lineRule="auto"/>
        <w:ind w:right="64"/>
        <w:contextualSpacing/>
        <w:jc w:val="both"/>
        <w:rPr>
          <w:sz w:val="24"/>
          <w:szCs w:val="24"/>
        </w:rPr>
      </w:pPr>
      <w:r>
        <w:rPr>
          <w:sz w:val="24"/>
          <w:szCs w:val="24"/>
        </w:rPr>
        <w:t>11.13.1 A nota de débito deverá ser encaminhada Departamento de Cadastro Controle e Arrecadação para inscrição do débito em dívida ativa e propositura de execução fiscal, na forma do art. 39 da Lei nº 4.320, de 17 de março de 1964.</w:t>
      </w:r>
    </w:p>
    <w:p w14:paraId="4C3606B9">
      <w:pPr>
        <w:spacing w:line="288" w:lineRule="auto"/>
        <w:contextualSpacing/>
        <w:jc w:val="both"/>
        <w:rPr>
          <w:sz w:val="24"/>
          <w:szCs w:val="24"/>
        </w:rPr>
      </w:pPr>
    </w:p>
    <w:p w14:paraId="4FACD55A">
      <w:pPr>
        <w:spacing w:line="288" w:lineRule="auto"/>
        <w:contextualSpacing/>
        <w:jc w:val="both"/>
        <w:rPr>
          <w:sz w:val="24"/>
          <w:szCs w:val="24"/>
        </w:rPr>
      </w:pPr>
      <w:r>
        <w:rPr>
          <w:sz w:val="24"/>
          <w:szCs w:val="24"/>
        </w:rPr>
        <w:t>11.13.2 O procedimento para inscrição do débito em dívida ativa deverá observar o que dispõe a Lei Complementar nº: 279/2024.</w:t>
      </w:r>
    </w:p>
    <w:p w14:paraId="3481CEFD">
      <w:pPr>
        <w:spacing w:line="288" w:lineRule="auto"/>
        <w:contextualSpacing/>
        <w:jc w:val="both"/>
        <w:rPr>
          <w:sz w:val="24"/>
          <w:szCs w:val="24"/>
        </w:rPr>
      </w:pPr>
    </w:p>
    <w:p w14:paraId="72EE8BF6">
      <w:pPr>
        <w:pStyle w:val="107"/>
        <w:numPr>
          <w:ilvl w:val="0"/>
          <w:numId w:val="0"/>
        </w:numPr>
        <w:spacing w:before="0" w:after="0" w:line="288" w:lineRule="auto"/>
        <w:contextualSpacing/>
        <w:rPr>
          <w:rFonts w:ascii="Times New Roman" w:hAnsi="Times New Roman" w:cs="Times New Roman"/>
          <w:color w:val="FFFFFF"/>
          <w:sz w:val="24"/>
          <w:szCs w:val="24"/>
        </w:rPr>
      </w:pPr>
      <w:r>
        <w:rPr>
          <w:rFonts w:ascii="Times New Roman" w:hAnsi="Times New Roman" w:cs="Times New Roman"/>
          <w:sz w:val="24"/>
          <w:szCs w:val="24"/>
        </w:rPr>
        <w:t>CLÁUSULA DÉCIMA SEGUNDA – DA EXTINÇÃO CONTRATUAL</w:t>
      </w:r>
    </w:p>
    <w:p w14:paraId="447C4438">
      <w:pPr>
        <w:pStyle w:val="108"/>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6E51E8E4">
      <w:pPr>
        <w:pStyle w:val="108"/>
        <w:numPr>
          <w:ilvl w:val="0"/>
          <w:numId w:val="0"/>
        </w:numPr>
        <w:tabs>
          <w:tab w:val="left" w:pos="0"/>
        </w:tabs>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12.1 O Contrato se extingue quando vencido o prazo nele estipulado, independentemente de terem sido cumpridas ou não as obrigações de ambas as partes contraentes, sem prejuízo da aplicação das penalidades eventualmente cabíveis, observados os preceitos da Lei nº 14.133/2021 e neste Contrato.</w:t>
      </w:r>
    </w:p>
    <w:p w14:paraId="576056C8">
      <w:pPr>
        <w:pStyle w:val="108"/>
        <w:numPr>
          <w:ilvl w:val="0"/>
          <w:numId w:val="0"/>
        </w:numPr>
        <w:spacing w:before="0" w:after="0" w:line="288" w:lineRule="auto"/>
        <w:ind w:left="567" w:right="-78"/>
        <w:contextualSpacing/>
        <w:rPr>
          <w:rFonts w:ascii="Times New Roman" w:hAnsi="Times New Roman" w:cs="Times New Roman"/>
          <w:i w:val="0"/>
          <w:iCs w:val="0"/>
          <w:color w:val="000000" w:themeColor="text1"/>
          <w:sz w:val="24"/>
          <w:szCs w:val="24"/>
          <w14:textFill>
            <w14:solidFill>
              <w14:schemeClr w14:val="tx1"/>
            </w14:solidFill>
          </w14:textFill>
        </w:rPr>
      </w:pPr>
    </w:p>
    <w:p w14:paraId="25EE1C7C">
      <w:pPr>
        <w:pStyle w:val="108"/>
        <w:numPr>
          <w:ilvl w:val="0"/>
          <w:numId w:val="0"/>
        </w:numPr>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12.2 O Contrato pode ser extinto antes do prazo nele fixado, sem ônus para 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quando este não dispuser de créditos orçamentários para sua continuidade ou quando entender que o Contrato não mais lhe oferece vantagem.</w:t>
      </w:r>
    </w:p>
    <w:p w14:paraId="3AC7951E">
      <w:pPr>
        <w:pStyle w:val="108"/>
        <w:numPr>
          <w:ilvl w:val="0"/>
          <w:numId w:val="0"/>
        </w:numPr>
        <w:spacing w:before="0" w:after="0" w:line="288" w:lineRule="auto"/>
        <w:ind w:left="567" w:right="-78"/>
        <w:contextualSpacing/>
        <w:rPr>
          <w:rFonts w:ascii="Times New Roman" w:hAnsi="Times New Roman" w:cs="Times New Roman"/>
          <w:i w:val="0"/>
          <w:iCs w:val="0"/>
          <w:color w:val="000000" w:themeColor="text1"/>
          <w:sz w:val="24"/>
          <w:szCs w:val="24"/>
          <w14:textFill>
            <w14:solidFill>
              <w14:schemeClr w14:val="tx1"/>
            </w14:solidFill>
          </w14:textFill>
        </w:rPr>
      </w:pPr>
    </w:p>
    <w:p w14:paraId="15B07219">
      <w:pPr>
        <w:pStyle w:val="108"/>
        <w:numPr>
          <w:ilvl w:val="0"/>
          <w:numId w:val="0"/>
        </w:numPr>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12.2.1 A extinção nesta hipótese ocorrerá na próxima data de aniversário do Contrato, desde que haja a notificação do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pelo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nesse sentido com pelo menos 2 (dois) meses de antecedência desse dia.</w:t>
      </w:r>
    </w:p>
    <w:p w14:paraId="2D15E686">
      <w:pPr>
        <w:spacing w:line="288" w:lineRule="auto"/>
        <w:ind w:left="567" w:right="-78"/>
        <w:contextualSpacing/>
        <w:jc w:val="both"/>
        <w:rPr>
          <w:color w:val="000000" w:themeColor="text1"/>
          <w:sz w:val="24"/>
          <w:szCs w:val="24"/>
          <w14:textFill>
            <w14:solidFill>
              <w14:schemeClr w14:val="tx1"/>
            </w14:solidFill>
          </w14:textFill>
        </w:rPr>
      </w:pPr>
    </w:p>
    <w:p w14:paraId="3C397A6C">
      <w:pPr>
        <w:spacing w:line="288" w:lineRule="auto"/>
        <w:ind w:right="-78"/>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12.2.2 Caso a notificação da não-continuidade do Contrato de que trata este subitem ocorra com menos de 2 (dois) meses de antecedência da data de aniversário, a extinção contratual ocorrerá após 2 (dois) meses da data da comunicação.</w:t>
      </w:r>
    </w:p>
    <w:p w14:paraId="041A4F9D">
      <w:pPr>
        <w:spacing w:line="288" w:lineRule="auto"/>
        <w:ind w:left="567" w:right="565"/>
        <w:contextualSpacing/>
        <w:jc w:val="both"/>
        <w:rPr>
          <w:sz w:val="24"/>
          <w:szCs w:val="24"/>
        </w:rPr>
      </w:pPr>
    </w:p>
    <w:p w14:paraId="006CED5E">
      <w:pPr>
        <w:spacing w:line="288" w:lineRule="auto"/>
        <w:contextualSpacing/>
        <w:jc w:val="both"/>
        <w:rPr>
          <w:sz w:val="24"/>
          <w:szCs w:val="24"/>
        </w:rPr>
      </w:pPr>
      <w:r>
        <w:rPr>
          <w:sz w:val="24"/>
          <w:szCs w:val="24"/>
        </w:rPr>
        <w:t>12.3 O presente Contrato poderá ser extinto, antes de cumpridas as obrigações estipuladas, ou antes do prazo neste fixado:</w:t>
      </w:r>
    </w:p>
    <w:p w14:paraId="6DDACC85">
      <w:pPr>
        <w:spacing w:line="288" w:lineRule="auto"/>
        <w:contextualSpacing/>
        <w:jc w:val="both"/>
        <w:rPr>
          <w:sz w:val="24"/>
          <w:szCs w:val="24"/>
        </w:rPr>
      </w:pPr>
      <w:r>
        <w:rPr>
          <w:sz w:val="24"/>
          <w:szCs w:val="24"/>
        </w:rPr>
        <w:t xml:space="preserve">a) por ato unilateral do </w:t>
      </w:r>
      <w:r>
        <w:rPr>
          <w:b/>
          <w:bCs/>
          <w:sz w:val="24"/>
          <w:szCs w:val="24"/>
        </w:rPr>
        <w:t>CONTRATANTE</w:t>
      </w:r>
      <w:r>
        <w:rPr>
          <w:sz w:val="24"/>
          <w:szCs w:val="24"/>
        </w:rPr>
        <w:t xml:space="preserv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 </w:t>
      </w:r>
    </w:p>
    <w:p w14:paraId="7DE4EBF2">
      <w:pPr>
        <w:spacing w:line="288" w:lineRule="auto"/>
        <w:contextualSpacing/>
        <w:jc w:val="both"/>
        <w:rPr>
          <w:sz w:val="24"/>
          <w:szCs w:val="24"/>
        </w:rPr>
      </w:pPr>
      <w:r>
        <w:rPr>
          <w:sz w:val="24"/>
          <w:szCs w:val="24"/>
        </w:rPr>
        <w:t>b) consensualmente, na forma do art. 138, II, da Lei nº 14.133/2021; e</w:t>
      </w:r>
    </w:p>
    <w:p w14:paraId="523CA25E">
      <w:pPr>
        <w:spacing w:line="288" w:lineRule="auto"/>
        <w:contextualSpacing/>
        <w:jc w:val="both"/>
        <w:rPr>
          <w:iCs/>
          <w:sz w:val="24"/>
          <w:szCs w:val="24"/>
        </w:rPr>
      </w:pPr>
      <w:r>
        <w:rPr>
          <w:sz w:val="24"/>
          <w:szCs w:val="24"/>
        </w:rPr>
        <w:t xml:space="preserve">c) na hipótese de contratação direta fundamentada no art. 75, VIII, da Lei nº 14.133/2021, </w:t>
      </w:r>
      <w:r>
        <w:rPr>
          <w:iCs/>
          <w:sz w:val="24"/>
          <w:szCs w:val="24"/>
        </w:rPr>
        <w:t xml:space="preserve">a qualquer tempo, sem indenização, e independentemente de aviso ou prazo, pelo </w:t>
      </w:r>
      <w:r>
        <w:rPr>
          <w:b/>
          <w:bCs/>
          <w:iCs/>
          <w:sz w:val="24"/>
          <w:szCs w:val="24"/>
        </w:rPr>
        <w:t>CONTRATANTE</w:t>
      </w:r>
      <w:r>
        <w:rPr>
          <w:iCs/>
          <w:sz w:val="24"/>
          <w:szCs w:val="24"/>
        </w:rPr>
        <w:t>, tão logo esteja(m) concluído(s) o(s) procedimento(s) licitatório(s) implementado(s) para a contratação do objeto em questão.</w:t>
      </w:r>
    </w:p>
    <w:p w14:paraId="7B2DC8EF">
      <w:pPr>
        <w:pStyle w:val="108"/>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26828265">
      <w:pPr>
        <w:pStyle w:val="108"/>
        <w:numPr>
          <w:ilvl w:val="0"/>
          <w:numId w:val="0"/>
        </w:numPr>
        <w:spacing w:before="0" w:after="0" w:line="288" w:lineRule="auto"/>
        <w:ind w:left="22"/>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12.3.1 A alteração social ou a modificação da finalidade ou da estrutura da empresa não ensejará a rescisão se não restringir sua capacidade de concluir o Contrato.</w:t>
      </w:r>
    </w:p>
    <w:p w14:paraId="77D1230C">
      <w:pPr>
        <w:pStyle w:val="108"/>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2D3A72B4">
      <w:pPr>
        <w:pStyle w:val="108"/>
        <w:numPr>
          <w:ilvl w:val="0"/>
          <w:numId w:val="0"/>
        </w:numPr>
        <w:spacing w:before="0" w:after="0" w:line="288" w:lineRule="auto"/>
        <w:ind w:left="22"/>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12.3.2 Se a operação implicar mudança da pessoa jurídica contratada, deverá ser formalizado termo aditivo para alteração subjetiva.</w:t>
      </w:r>
    </w:p>
    <w:p w14:paraId="364F3A3C">
      <w:pPr>
        <w:spacing w:line="288" w:lineRule="auto"/>
        <w:contextualSpacing/>
        <w:jc w:val="both"/>
        <w:rPr>
          <w:color w:val="000000"/>
          <w:sz w:val="24"/>
          <w:szCs w:val="24"/>
        </w:rPr>
      </w:pPr>
    </w:p>
    <w:p w14:paraId="1879D748">
      <w:pPr>
        <w:spacing w:line="288" w:lineRule="auto"/>
        <w:contextualSpacing/>
        <w:jc w:val="both"/>
        <w:rPr>
          <w:sz w:val="24"/>
          <w:szCs w:val="24"/>
        </w:rPr>
      </w:pPr>
      <w:r>
        <w:rPr>
          <w:color w:val="000000"/>
          <w:sz w:val="24"/>
          <w:szCs w:val="24"/>
        </w:rPr>
        <w:t>12.4 A extinção prematura do Contrato deverá ser precedida de autorização escrita e fundamentada da autoridade competente e reduzida a termo no respectivo processo.</w:t>
      </w:r>
    </w:p>
    <w:p w14:paraId="1544A393">
      <w:pPr>
        <w:spacing w:line="288" w:lineRule="auto"/>
        <w:contextualSpacing/>
        <w:jc w:val="both"/>
        <w:rPr>
          <w:sz w:val="24"/>
          <w:szCs w:val="24"/>
        </w:rPr>
      </w:pPr>
    </w:p>
    <w:p w14:paraId="0543FDA5">
      <w:pPr>
        <w:spacing w:line="288" w:lineRule="auto"/>
        <w:contextualSpacing/>
        <w:jc w:val="both"/>
        <w:rPr>
          <w:sz w:val="24"/>
          <w:szCs w:val="24"/>
        </w:rPr>
      </w:pPr>
      <w:r>
        <w:rPr>
          <w:sz w:val="24"/>
          <w:szCs w:val="24"/>
        </w:rPr>
        <w:t xml:space="preserve">12.4.1 A justificativa da rescisão por ato unilateral do </w:t>
      </w:r>
      <w:r>
        <w:rPr>
          <w:b/>
          <w:bCs/>
          <w:sz w:val="24"/>
          <w:szCs w:val="24"/>
        </w:rPr>
        <w:t>CONTRATANTE</w:t>
      </w:r>
      <w:r>
        <w:rPr>
          <w:sz w:val="24"/>
          <w:szCs w:val="24"/>
        </w:rPr>
        <w:t>, sempre que possível, contemplará:</w:t>
      </w:r>
    </w:p>
    <w:p w14:paraId="1C66621C">
      <w:pPr>
        <w:spacing w:line="288" w:lineRule="auto"/>
        <w:contextualSpacing/>
        <w:jc w:val="both"/>
        <w:rPr>
          <w:sz w:val="24"/>
          <w:szCs w:val="24"/>
        </w:rPr>
      </w:pPr>
      <w:r>
        <w:rPr>
          <w:sz w:val="24"/>
          <w:szCs w:val="24"/>
        </w:rPr>
        <w:t>a) as obrigações contratuais já cumpridas ou parcialmente cumpridas;</w:t>
      </w:r>
    </w:p>
    <w:p w14:paraId="1ECE845F">
      <w:pPr>
        <w:spacing w:line="288" w:lineRule="auto"/>
        <w:contextualSpacing/>
        <w:jc w:val="both"/>
        <w:rPr>
          <w:sz w:val="24"/>
          <w:szCs w:val="24"/>
        </w:rPr>
      </w:pPr>
      <w:r>
        <w:rPr>
          <w:sz w:val="24"/>
          <w:szCs w:val="24"/>
        </w:rPr>
        <w:t>b) os pagamentos já efetuados e ainda devidos;</w:t>
      </w:r>
    </w:p>
    <w:p w14:paraId="73B8ECD3">
      <w:pPr>
        <w:spacing w:line="288" w:lineRule="auto"/>
        <w:contextualSpacing/>
        <w:jc w:val="both"/>
        <w:rPr>
          <w:sz w:val="24"/>
          <w:szCs w:val="24"/>
        </w:rPr>
      </w:pPr>
      <w:r>
        <w:rPr>
          <w:sz w:val="24"/>
          <w:szCs w:val="24"/>
        </w:rPr>
        <w:t>c) as indenizações e multas.</w:t>
      </w:r>
    </w:p>
    <w:p w14:paraId="18626353">
      <w:pPr>
        <w:pStyle w:val="103"/>
        <w:spacing w:before="0" w:after="0" w:line="288" w:lineRule="auto"/>
        <w:ind w:left="0" w:firstLine="0"/>
        <w:contextualSpacing/>
        <w:rPr>
          <w:rFonts w:ascii="Times New Roman" w:hAnsi="Times New Roman" w:cs="Times New Roman"/>
          <w:sz w:val="24"/>
          <w:szCs w:val="24"/>
        </w:rPr>
      </w:pPr>
    </w:p>
    <w:p w14:paraId="1189269F">
      <w:pPr>
        <w:pStyle w:val="103"/>
        <w:spacing w:before="0" w:after="0" w:line="288" w:lineRule="auto"/>
        <w:ind w:left="0" w:firstLine="0"/>
        <w:contextualSpacing/>
        <w:rPr>
          <w:rStyle w:val="16"/>
          <w:rFonts w:ascii="Times New Roman" w:hAnsi="Times New Roman" w:cs="Times New Roman" w:eastAsiaTheme="minorHAnsi"/>
          <w:color w:val="auto"/>
          <w:sz w:val="24"/>
          <w:szCs w:val="24"/>
        </w:rPr>
      </w:pPr>
      <w:r>
        <w:rPr>
          <w:rFonts w:ascii="Times New Roman" w:hAnsi="Times New Roman" w:cs="Times New Roman"/>
          <w:sz w:val="24"/>
          <w:szCs w:val="24"/>
        </w:rPr>
        <w:t xml:space="preserve">12.5 A extinção do Contrato não configura óbice para o reconhecimento do desequilíbrio econômico-financeiro, hipótese em que será concedida indenização por meio de termo indenizatório, na forma do </w:t>
      </w:r>
      <w:r>
        <w:fldChar w:fldCharType="begin"/>
      </w:r>
      <w:r>
        <w:instrText xml:space="preserve"> HYPERLINK "http://www.planalto.gov.br/ccivil_03/_ato2019-2022/2021/lei/L14133.htm" \l "art131" </w:instrText>
      </w:r>
      <w:r>
        <w:fldChar w:fldCharType="separate"/>
      </w:r>
      <w:r>
        <w:rPr>
          <w:rStyle w:val="16"/>
          <w:rFonts w:ascii="Times New Roman" w:hAnsi="Times New Roman" w:cs="Times New Roman" w:eastAsiaTheme="minorHAnsi"/>
          <w:color w:val="auto"/>
          <w:sz w:val="24"/>
          <w:szCs w:val="24"/>
        </w:rPr>
        <w:t xml:space="preserve">art. 131, </w:t>
      </w:r>
      <w:r>
        <w:rPr>
          <w:rStyle w:val="16"/>
          <w:rFonts w:ascii="Times New Roman" w:hAnsi="Times New Roman" w:cs="Times New Roman" w:eastAsiaTheme="minorHAnsi"/>
          <w:i/>
          <w:iCs/>
          <w:color w:val="auto"/>
          <w:sz w:val="24"/>
          <w:szCs w:val="24"/>
        </w:rPr>
        <w:t xml:space="preserve">caput, </w:t>
      </w:r>
      <w:r>
        <w:rPr>
          <w:rStyle w:val="16"/>
          <w:rFonts w:ascii="Times New Roman" w:hAnsi="Times New Roman" w:cs="Times New Roman" w:eastAsiaTheme="minorHAnsi"/>
          <w:color w:val="auto"/>
          <w:sz w:val="24"/>
          <w:szCs w:val="24"/>
        </w:rPr>
        <w:t xml:space="preserve">da Lei nº 14.133/2021, desde que o pedido seja </w:t>
      </w:r>
      <w:r>
        <w:rPr>
          <w:rFonts w:ascii="Times New Roman" w:hAnsi="Times New Roman" w:cs="Times New Roman"/>
          <w:sz w:val="24"/>
          <w:szCs w:val="24"/>
        </w:rPr>
        <w:t>formulado durante a vigência do Contrato e antes de eventual prorrogação</w:t>
      </w:r>
      <w:r>
        <w:rPr>
          <w:rStyle w:val="16"/>
          <w:rFonts w:ascii="Times New Roman" w:hAnsi="Times New Roman" w:cs="Times New Roman" w:eastAsiaTheme="minorHAnsi"/>
          <w:color w:val="auto"/>
          <w:sz w:val="24"/>
          <w:szCs w:val="24"/>
        </w:rPr>
        <w:t>.</w:t>
      </w:r>
      <w:r>
        <w:rPr>
          <w:rStyle w:val="16"/>
          <w:rFonts w:ascii="Times New Roman" w:hAnsi="Times New Roman" w:cs="Times New Roman" w:eastAsiaTheme="minorHAnsi"/>
          <w:color w:val="auto"/>
          <w:sz w:val="24"/>
          <w:szCs w:val="24"/>
        </w:rPr>
        <w:fldChar w:fldCharType="end"/>
      </w:r>
    </w:p>
    <w:p w14:paraId="559B4F78">
      <w:pPr>
        <w:pStyle w:val="103"/>
        <w:spacing w:before="0" w:after="0" w:line="288" w:lineRule="auto"/>
        <w:ind w:left="0" w:firstLine="0"/>
        <w:contextualSpacing/>
        <w:rPr>
          <w:rStyle w:val="16"/>
          <w:rFonts w:ascii="Times New Roman" w:hAnsi="Times New Roman" w:cs="Times New Roman" w:eastAsiaTheme="minorHAnsi"/>
          <w:color w:val="auto"/>
          <w:sz w:val="24"/>
          <w:szCs w:val="24"/>
        </w:rPr>
      </w:pPr>
    </w:p>
    <w:p w14:paraId="424480CA">
      <w:pPr>
        <w:pStyle w:val="10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12.6. Extinto o Contrato, o </w:t>
      </w:r>
      <w:r>
        <w:rPr>
          <w:rFonts w:ascii="Times New Roman" w:hAnsi="Times New Roman" w:cs="Times New Roman"/>
          <w:b/>
          <w:bCs/>
          <w:sz w:val="24"/>
          <w:szCs w:val="24"/>
        </w:rPr>
        <w:t>CONTRATANTE</w:t>
      </w:r>
      <w:r>
        <w:rPr>
          <w:rFonts w:ascii="Times New Roman" w:hAnsi="Times New Roman" w:cs="Times New Roman"/>
          <w:sz w:val="24"/>
          <w:szCs w:val="24"/>
        </w:rPr>
        <w:t xml:space="preserve"> poderá ainda:</w:t>
      </w:r>
    </w:p>
    <w:p w14:paraId="590DA930">
      <w:pPr>
        <w:spacing w:before="120" w:after="120" w:line="288" w:lineRule="auto"/>
        <w:contextualSpacing/>
        <w:jc w:val="both"/>
        <w:rPr>
          <w:color w:val="000000"/>
          <w:sz w:val="24"/>
          <w:szCs w:val="24"/>
        </w:rPr>
      </w:pPr>
    </w:p>
    <w:p w14:paraId="7C206E2D">
      <w:pPr>
        <w:spacing w:before="120" w:after="120" w:line="288" w:lineRule="auto"/>
        <w:contextualSpacing/>
        <w:jc w:val="both"/>
        <w:rPr>
          <w:color w:val="000000"/>
          <w:sz w:val="24"/>
          <w:szCs w:val="24"/>
        </w:rPr>
      </w:pPr>
      <w:r>
        <w:rPr>
          <w:color w:val="000000"/>
          <w:sz w:val="24"/>
          <w:szCs w:val="24"/>
        </w:rPr>
        <w:t xml:space="preserve">12.6.1 nos casos de obrigação de pagamento de multa pelo </w:t>
      </w:r>
      <w:r>
        <w:rPr>
          <w:b/>
          <w:bCs/>
          <w:color w:val="000000"/>
          <w:sz w:val="24"/>
          <w:szCs w:val="24"/>
        </w:rPr>
        <w:t>CONTRATADO</w:t>
      </w:r>
      <w:r>
        <w:rPr>
          <w:color w:val="000000"/>
          <w:sz w:val="24"/>
          <w:szCs w:val="24"/>
        </w:rPr>
        <w:t>, reter e executar a garantia prestada; e</w:t>
      </w:r>
    </w:p>
    <w:p w14:paraId="032FA917">
      <w:pPr>
        <w:spacing w:before="120" w:after="120" w:line="288" w:lineRule="auto"/>
        <w:contextualSpacing/>
        <w:jc w:val="both"/>
        <w:rPr>
          <w:color w:val="000000"/>
          <w:sz w:val="24"/>
          <w:szCs w:val="24"/>
        </w:rPr>
      </w:pPr>
    </w:p>
    <w:p w14:paraId="56768AD5">
      <w:pPr>
        <w:spacing w:before="120" w:after="120" w:line="288" w:lineRule="auto"/>
        <w:contextualSpacing/>
        <w:jc w:val="both"/>
        <w:rPr>
          <w:sz w:val="24"/>
          <w:szCs w:val="24"/>
        </w:rPr>
      </w:pPr>
      <w:r>
        <w:rPr>
          <w:color w:val="000000"/>
          <w:sz w:val="24"/>
          <w:szCs w:val="24"/>
        </w:rPr>
        <w:t>12.6.2 nos casos em que houver necessidade de ressarcimento de prejuízos causados à Administração, nos termos do inciso IV do art. 139 da Lei nº 14.133/2021, reter os eventuais créditos existentes</w:t>
      </w:r>
      <w:r>
        <w:rPr>
          <w:sz w:val="24"/>
          <w:szCs w:val="24"/>
        </w:rPr>
        <w:t xml:space="preserve"> em favor do </w:t>
      </w:r>
      <w:r>
        <w:rPr>
          <w:b/>
          <w:bCs/>
          <w:sz w:val="24"/>
          <w:szCs w:val="24"/>
        </w:rPr>
        <w:t>C</w:t>
      </w:r>
      <w:r>
        <w:rPr>
          <w:b/>
          <w:bCs/>
          <w:color w:val="000000"/>
          <w:sz w:val="24"/>
          <w:szCs w:val="24"/>
        </w:rPr>
        <w:t>ONTRATADO</w:t>
      </w:r>
      <w:r>
        <w:rPr>
          <w:sz w:val="24"/>
          <w:szCs w:val="24"/>
        </w:rPr>
        <w:t xml:space="preserve"> decorrentes do Contrato.</w:t>
      </w:r>
    </w:p>
    <w:p w14:paraId="1CB8DF0E">
      <w:pPr>
        <w:spacing w:before="120" w:after="120" w:line="288" w:lineRule="auto"/>
        <w:contextualSpacing/>
        <w:jc w:val="both"/>
        <w:rPr>
          <w:sz w:val="24"/>
          <w:szCs w:val="24"/>
        </w:rPr>
      </w:pPr>
    </w:p>
    <w:p w14:paraId="7B51E61D">
      <w:pPr>
        <w:pStyle w:val="101"/>
        <w:spacing w:before="0" w:line="288" w:lineRule="auto"/>
        <w:ind w:left="22" w:firstLine="0"/>
        <w:contextualSpacing/>
        <w:rPr>
          <w:rFonts w:ascii="Times New Roman" w:hAnsi="Times New Roman" w:cs="Times New Roman"/>
          <w:color w:val="FFFFFF"/>
          <w:sz w:val="24"/>
          <w:szCs w:val="24"/>
        </w:rPr>
      </w:pPr>
      <w:r>
        <w:rPr>
          <w:rFonts w:ascii="Times New Roman" w:hAnsi="Times New Roman" w:cs="Times New Roman"/>
          <w:sz w:val="24"/>
          <w:szCs w:val="24"/>
        </w:rPr>
        <w:t>CLÁUSULA DÉCIMA TERCEIRA – ALTERAÇÕES</w:t>
      </w:r>
    </w:p>
    <w:p w14:paraId="0FF5D20F">
      <w:pPr>
        <w:pStyle w:val="99"/>
        <w:spacing w:before="0" w:after="0" w:line="288" w:lineRule="auto"/>
        <w:ind w:left="22" w:firstLine="0"/>
        <w:contextualSpacing/>
        <w:rPr>
          <w:rFonts w:ascii="Times New Roman" w:hAnsi="Times New Roman" w:cs="Times New Roman"/>
          <w:sz w:val="24"/>
          <w:szCs w:val="24"/>
        </w:rPr>
      </w:pPr>
    </w:p>
    <w:p w14:paraId="64885619">
      <w:pPr>
        <w:pStyle w:val="99"/>
        <w:spacing w:before="0" w:after="0" w:line="288" w:lineRule="auto"/>
        <w:ind w:left="22" w:firstLine="0"/>
        <w:contextualSpacing/>
        <w:rPr>
          <w:rFonts w:ascii="Times New Roman" w:hAnsi="Times New Roman" w:cs="Times New Roman"/>
          <w:color w:val="auto"/>
          <w:sz w:val="24"/>
          <w:szCs w:val="24"/>
        </w:rPr>
      </w:pPr>
      <w:r>
        <w:rPr>
          <w:rFonts w:ascii="Times New Roman" w:hAnsi="Times New Roman" w:cs="Times New Roman"/>
          <w:sz w:val="24"/>
          <w:szCs w:val="24"/>
        </w:rPr>
        <w:t xml:space="preserve">13.1 Eventuais alterações contratuais reger-se-ão pela disciplina dos </w:t>
      </w:r>
      <w:r>
        <w:fldChar w:fldCharType="begin"/>
      </w:r>
      <w:r>
        <w:instrText xml:space="preserve"> HYPERLINK "http://www.planalto.gov.br/ccivil_03/_ato2019-2022/2021/lei/L14133.htm" \l "art124" </w:instrText>
      </w:r>
      <w:r>
        <w:fldChar w:fldCharType="separate"/>
      </w:r>
      <w:r>
        <w:rPr>
          <w:rStyle w:val="16"/>
          <w:rFonts w:ascii="Times New Roman" w:hAnsi="Times New Roman" w:cs="Times New Roman" w:eastAsiaTheme="minorHAnsi"/>
          <w:color w:val="auto"/>
          <w:sz w:val="24"/>
          <w:szCs w:val="24"/>
        </w:rPr>
        <w:t>arts. 124 e seguintes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5D5BF651">
      <w:pPr>
        <w:spacing w:line="288" w:lineRule="auto"/>
        <w:contextualSpacing/>
        <w:jc w:val="both"/>
        <w:rPr>
          <w:sz w:val="24"/>
          <w:szCs w:val="24"/>
        </w:rPr>
      </w:pPr>
    </w:p>
    <w:p w14:paraId="2C055738">
      <w:pPr>
        <w:spacing w:line="288" w:lineRule="auto"/>
        <w:contextualSpacing/>
        <w:jc w:val="both"/>
        <w:rPr>
          <w:sz w:val="24"/>
          <w:szCs w:val="24"/>
        </w:rPr>
      </w:pPr>
      <w:r>
        <w:rPr>
          <w:sz w:val="24"/>
          <w:szCs w:val="24"/>
        </w:rPr>
        <w:t xml:space="preserve">13.2 O </w:t>
      </w:r>
      <w:r>
        <w:rPr>
          <w:b/>
          <w:bCs/>
          <w:sz w:val="24"/>
          <w:szCs w:val="24"/>
        </w:rPr>
        <w:t>CONTRATADO</w:t>
      </w:r>
      <w:r>
        <w:rPr>
          <w:sz w:val="24"/>
          <w:szCs w:val="24"/>
        </w:rPr>
        <w:t xml:space="preserve"> é obrigado a aceitar, nas mesmas condições contratuais, os acréscimos ou supressões que se fizerem necessários, até o limite de 25% (vinte e cinco por cento) do valor inicial atualizado do Contrato, na forma do art. 125 da Lei nº 14.133/2021.</w:t>
      </w:r>
    </w:p>
    <w:p w14:paraId="63EFD85B">
      <w:pPr>
        <w:spacing w:line="288" w:lineRule="auto"/>
        <w:contextualSpacing/>
        <w:jc w:val="both"/>
        <w:rPr>
          <w:sz w:val="24"/>
          <w:szCs w:val="24"/>
        </w:rPr>
      </w:pPr>
    </w:p>
    <w:p w14:paraId="034C132C">
      <w:pPr>
        <w:spacing w:line="288" w:lineRule="auto"/>
        <w:contextualSpacing/>
        <w:jc w:val="both"/>
        <w:rPr>
          <w:b/>
          <w:bCs/>
          <w:sz w:val="24"/>
          <w:szCs w:val="24"/>
        </w:rPr>
      </w:pPr>
      <w:r>
        <w:rPr>
          <w:sz w:val="24"/>
          <w:szCs w:val="24"/>
        </w:rPr>
        <w:t xml:space="preserve">13.3 As alterações contratuais deverão ser promovidas mediante celebração de termo aditivo, submetido à prévia aprovação da assessoria jurídica do </w:t>
      </w:r>
      <w:r>
        <w:rPr>
          <w:b/>
          <w:bCs/>
          <w:sz w:val="24"/>
          <w:szCs w:val="24"/>
        </w:rPr>
        <w:t>CONTRATANTE</w:t>
      </w:r>
      <w:r>
        <w:rPr>
          <w:sz w:val="24"/>
          <w:szCs w:val="24"/>
        </w:rPr>
        <w:t>.</w:t>
      </w:r>
    </w:p>
    <w:p w14:paraId="188838FB">
      <w:pPr>
        <w:pStyle w:val="101"/>
        <w:spacing w:before="0" w:line="288" w:lineRule="auto"/>
        <w:ind w:left="0" w:firstLine="0"/>
        <w:contextualSpacing/>
        <w:rPr>
          <w:rFonts w:ascii="Times New Roman" w:hAnsi="Times New Roman" w:cs="Times New Roman"/>
          <w:b w:val="0"/>
          <w:bCs w:val="0"/>
          <w:sz w:val="24"/>
          <w:szCs w:val="24"/>
        </w:rPr>
      </w:pPr>
    </w:p>
    <w:p w14:paraId="3CFEBF4A">
      <w:pPr>
        <w:pStyle w:val="101"/>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13.4</w:t>
      </w:r>
      <w:r>
        <w:rPr>
          <w:rFonts w:ascii="Times New Roman" w:hAnsi="Times New Roman" w:cs="Times New Roman"/>
          <w:sz w:val="24"/>
          <w:szCs w:val="24"/>
        </w:rPr>
        <w:t xml:space="preserve"> </w:t>
      </w:r>
      <w:r>
        <w:rPr>
          <w:rFonts w:ascii="Times New Roman" w:hAnsi="Times New Roman" w:cs="Times New Roman"/>
          <w:b w:val="0"/>
          <w:bCs w:val="0"/>
          <w:sz w:val="24"/>
          <w:szCs w:val="24"/>
        </w:rPr>
        <w:t xml:space="preserve">Registros que não caracterizam alteração do Contrato podem ser realizados por simples apostila, dispensada a celebração de termo aditivo, na forma do </w:t>
      </w:r>
      <w:r>
        <w:fldChar w:fldCharType="begin"/>
      </w:r>
      <w:r>
        <w:instrText xml:space="preserve"> HYPERLINK "http://www.planalto.gov.br/ccivil_03/_ato2019-2022/2021/lei/L14133.htm" \l "art136" </w:instrText>
      </w:r>
      <w:r>
        <w:fldChar w:fldCharType="separate"/>
      </w:r>
      <w:r>
        <w:rPr>
          <w:rStyle w:val="16"/>
          <w:rFonts w:ascii="Times New Roman" w:hAnsi="Times New Roman" w:cs="Times New Roman" w:eastAsiaTheme="minorHAnsi"/>
          <w:b w:val="0"/>
          <w:bCs w:val="0"/>
          <w:sz w:val="24"/>
          <w:szCs w:val="24"/>
        </w:rPr>
        <w:t>art. 136 da Lei nº 14.133/2021</w:t>
      </w:r>
      <w:r>
        <w:rPr>
          <w:rStyle w:val="16"/>
          <w:rFonts w:ascii="Times New Roman" w:hAnsi="Times New Roman" w:cs="Times New Roman" w:eastAsiaTheme="minorHAnsi"/>
          <w:b w:val="0"/>
          <w:bCs w:val="0"/>
          <w:sz w:val="24"/>
          <w:szCs w:val="24"/>
        </w:rPr>
        <w:fldChar w:fldCharType="end"/>
      </w:r>
      <w:r>
        <w:rPr>
          <w:rFonts w:ascii="Times New Roman" w:hAnsi="Times New Roman" w:cs="Times New Roman"/>
          <w:b w:val="0"/>
          <w:bCs w:val="0"/>
          <w:sz w:val="24"/>
          <w:szCs w:val="24"/>
        </w:rPr>
        <w:t>.</w:t>
      </w:r>
    </w:p>
    <w:p w14:paraId="13FD5D04">
      <w:pPr>
        <w:spacing w:line="288" w:lineRule="auto"/>
        <w:contextualSpacing/>
        <w:rPr>
          <w:sz w:val="24"/>
          <w:szCs w:val="24"/>
        </w:rPr>
      </w:pPr>
    </w:p>
    <w:p w14:paraId="79E621D7">
      <w:pPr>
        <w:pStyle w:val="101"/>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QUARTA – DOTAÇÃO ORÇAMENTÁRIA </w:t>
      </w:r>
    </w:p>
    <w:p w14:paraId="0CAD2893">
      <w:pPr>
        <w:spacing w:line="288" w:lineRule="auto"/>
        <w:contextualSpacing/>
        <w:rPr>
          <w:sz w:val="24"/>
          <w:szCs w:val="24"/>
        </w:rPr>
      </w:pPr>
    </w:p>
    <w:p w14:paraId="69FA3F6E">
      <w:pPr>
        <w:pStyle w:val="99"/>
        <w:spacing w:before="0" w:after="0" w:line="288" w:lineRule="auto"/>
        <w:ind w:left="22" w:firstLine="0"/>
        <w:contextualSpacing/>
        <w:rPr>
          <w:rFonts w:ascii="Times New Roman" w:hAnsi="Times New Roman" w:cs="Times New Roman"/>
          <w:sz w:val="24"/>
          <w:szCs w:val="24"/>
        </w:rPr>
      </w:pPr>
      <w:r>
        <w:rPr>
          <w:rFonts w:ascii="Times New Roman" w:hAnsi="Times New Roman" w:cs="Times New Roman"/>
          <w:sz w:val="24"/>
          <w:szCs w:val="24"/>
        </w:rPr>
        <w:t xml:space="preserve">14.1 As despesas com a execução do presente Contrato contratação correrão à conta das seguintes dotações orçamentárias, para o corrente exercício de </w:t>
      </w:r>
      <w:r>
        <w:rPr>
          <w:rFonts w:ascii="Times New Roman" w:hAnsi="Times New Roman" w:cs="Times New Roman"/>
          <w:color w:val="FF0000"/>
          <w:sz w:val="24"/>
          <w:szCs w:val="24"/>
        </w:rPr>
        <w:t>.........</w:t>
      </w:r>
      <w:r>
        <w:rPr>
          <w:rFonts w:ascii="Times New Roman" w:hAnsi="Times New Roman" w:cs="Times New Roman"/>
          <w:sz w:val="24"/>
          <w:szCs w:val="24"/>
        </w:rPr>
        <w:t>, assim classificadas:</w:t>
      </w:r>
    </w:p>
    <w:p w14:paraId="4060495C">
      <w:pPr>
        <w:pStyle w:val="20"/>
        <w:spacing w:line="288" w:lineRule="auto"/>
        <w:contextualSpacing/>
        <w:jc w:val="both"/>
        <w:rPr>
          <w:rFonts w:ascii="Times New Roman" w:hAnsi="Times New Roman" w:cs="Times New Roman"/>
        </w:rPr>
      </w:pPr>
      <w:r>
        <w:rPr>
          <w:rFonts w:ascii="Times New Roman" w:hAnsi="Times New Roman" w:cs="Times New Roman"/>
        </w:rPr>
        <w:t>Natureza da Despesa:</w:t>
      </w:r>
    </w:p>
    <w:p w14:paraId="48EB2590">
      <w:pPr>
        <w:pStyle w:val="20"/>
        <w:spacing w:line="288" w:lineRule="auto"/>
        <w:contextualSpacing/>
        <w:jc w:val="both"/>
        <w:rPr>
          <w:rFonts w:ascii="Times New Roman" w:hAnsi="Times New Roman" w:cs="Times New Roman"/>
        </w:rPr>
      </w:pPr>
      <w:r>
        <w:rPr>
          <w:rFonts w:ascii="Times New Roman" w:hAnsi="Times New Roman" w:cs="Times New Roman"/>
        </w:rPr>
        <w:t>Fonte de Recurso:</w:t>
      </w:r>
    </w:p>
    <w:p w14:paraId="000CE8AC">
      <w:pPr>
        <w:pStyle w:val="20"/>
        <w:spacing w:line="288" w:lineRule="auto"/>
        <w:contextualSpacing/>
        <w:jc w:val="both"/>
        <w:rPr>
          <w:rFonts w:ascii="Times New Roman" w:hAnsi="Times New Roman" w:cs="Times New Roman"/>
        </w:rPr>
      </w:pPr>
      <w:r>
        <w:rPr>
          <w:rFonts w:ascii="Times New Roman" w:hAnsi="Times New Roman" w:cs="Times New Roman"/>
        </w:rPr>
        <w:t>Programa de Trabalho:</w:t>
      </w:r>
    </w:p>
    <w:p w14:paraId="0A46BC6B">
      <w:pPr>
        <w:pStyle w:val="20"/>
        <w:spacing w:line="288" w:lineRule="auto"/>
        <w:contextualSpacing/>
        <w:jc w:val="both"/>
        <w:rPr>
          <w:rFonts w:ascii="Times New Roman" w:hAnsi="Times New Roman" w:cs="Times New Roman"/>
        </w:rPr>
      </w:pPr>
      <w:r>
        <w:rPr>
          <w:rFonts w:ascii="Times New Roman" w:hAnsi="Times New Roman" w:cs="Times New Roman"/>
        </w:rPr>
        <w:t>Nota de Empenho:</w:t>
      </w:r>
    </w:p>
    <w:p w14:paraId="56B7159C">
      <w:pPr>
        <w:pStyle w:val="20"/>
        <w:spacing w:line="288" w:lineRule="auto"/>
        <w:contextualSpacing/>
        <w:jc w:val="both"/>
        <w:rPr>
          <w:rFonts w:ascii="Times New Roman" w:hAnsi="Times New Roman" w:cs="Times New Roman"/>
        </w:rPr>
      </w:pPr>
    </w:p>
    <w:p w14:paraId="48C4E6C5">
      <w:pPr>
        <w:pStyle w:val="20"/>
        <w:spacing w:line="288" w:lineRule="auto"/>
        <w:contextualSpacing/>
        <w:jc w:val="both"/>
        <w:rPr>
          <w:rFonts w:ascii="Times New Roman" w:hAnsi="Times New Roman" w:cs="Times New Roman"/>
        </w:rPr>
      </w:pPr>
      <w:r>
        <w:rPr>
          <w:rFonts w:ascii="Times New Roman" w:hAnsi="Times New Roman" w:cs="Times New Roman"/>
        </w:rPr>
        <w:t xml:space="preserve">14.2 As despesas relativas aos exercícios subsequentes correrão por conta das dotações orçamentárias respectivas, devendo ser empenhadas no início de cada exercício. </w:t>
      </w:r>
    </w:p>
    <w:p w14:paraId="44D5E6D0">
      <w:pPr>
        <w:pStyle w:val="20"/>
        <w:spacing w:line="288" w:lineRule="auto"/>
        <w:contextualSpacing/>
        <w:jc w:val="both"/>
        <w:rPr>
          <w:rFonts w:ascii="Times New Roman" w:hAnsi="Times New Roman" w:cs="Times New Roman"/>
        </w:rPr>
      </w:pPr>
    </w:p>
    <w:p w14:paraId="5D048BD5">
      <w:pPr>
        <w:pStyle w:val="20"/>
        <w:spacing w:line="288" w:lineRule="auto"/>
        <w:contextualSpacing/>
        <w:jc w:val="both"/>
        <w:rPr>
          <w:rFonts w:ascii="Times New Roman" w:hAnsi="Times New Roman" w:cs="Times New Roman"/>
        </w:rPr>
      </w:pPr>
      <w:r>
        <w:rPr>
          <w:rFonts w:ascii="Times New Roman" w:hAnsi="Times New Roman" w:cs="Times New Roman"/>
        </w:rPr>
        <w:t>14.3 No início da contratação e de cada exercício deverá ser atestada a existência de créditos orçamentários vinculados à contratação e, no caso de fornecimento contínuo, a vantagem em sua manutenção, na forma dos arts. 105 e 106 da Lei nº 14.133/2021.</w:t>
      </w:r>
    </w:p>
    <w:p w14:paraId="12755528">
      <w:pPr>
        <w:pStyle w:val="20"/>
        <w:spacing w:line="288" w:lineRule="auto"/>
        <w:contextualSpacing/>
        <w:jc w:val="both"/>
        <w:rPr>
          <w:rFonts w:ascii="Times New Roman" w:hAnsi="Times New Roman" w:cs="Times New Roman"/>
        </w:rPr>
      </w:pPr>
    </w:p>
    <w:p w14:paraId="3A508CCA">
      <w:pPr>
        <w:pStyle w:val="101"/>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QUINTA – DOS CASOS OMISSOS </w:t>
      </w:r>
    </w:p>
    <w:p w14:paraId="3F35F022">
      <w:pPr>
        <w:spacing w:line="288" w:lineRule="auto"/>
        <w:contextualSpacing/>
        <w:rPr>
          <w:sz w:val="24"/>
          <w:szCs w:val="24"/>
        </w:rPr>
      </w:pPr>
    </w:p>
    <w:p w14:paraId="134A1E86">
      <w:pPr>
        <w:pStyle w:val="99"/>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15.1 Os casos omissos serão decididos pelo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segundo as disposições contidas na Lei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 demais normas federais e estaduais aplicáveis e, subsidiariamente, segundo as disposições contidas na </w:t>
      </w:r>
      <w:r>
        <w:fldChar w:fldCharType="begin"/>
      </w:r>
      <w:r>
        <w:instrText xml:space="preserve"> HYPERLINK "https://www.planalto.gov.br/ccivil_03/leis/l8078compilado.htm" </w:instrText>
      </w:r>
      <w:r>
        <w:fldChar w:fldCharType="separate"/>
      </w:r>
      <w:r>
        <w:rPr>
          <w:rStyle w:val="16"/>
          <w:rFonts w:ascii="Times New Roman" w:hAnsi="Times New Roman" w:cs="Times New Roman" w:eastAsiaTheme="minorHAnsi"/>
          <w:color w:val="auto"/>
          <w:sz w:val="24"/>
          <w:szCs w:val="24"/>
        </w:rPr>
        <w:t>Lei nº 8.078/1990 – Código de Defesa do Consumidor</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 e normas e princípios gerais dos contratos.</w:t>
      </w:r>
    </w:p>
    <w:p w14:paraId="1D81A9D0">
      <w:pPr>
        <w:pStyle w:val="20"/>
        <w:spacing w:line="288" w:lineRule="auto"/>
        <w:contextualSpacing/>
        <w:jc w:val="both"/>
        <w:rPr>
          <w:rFonts w:ascii="Times New Roman" w:hAnsi="Times New Roman" w:cs="Times New Roman"/>
        </w:rPr>
      </w:pPr>
    </w:p>
    <w:p w14:paraId="125C4DB5">
      <w:pPr>
        <w:pStyle w:val="101"/>
        <w:spacing w:before="0" w:line="288" w:lineRule="auto"/>
        <w:ind w:left="36" w:firstLine="0"/>
        <w:contextualSpacing/>
        <w:rPr>
          <w:rFonts w:ascii="Times New Roman" w:hAnsi="Times New Roman" w:cs="Times New Roman"/>
          <w:color w:val="FFFFFF"/>
          <w:sz w:val="24"/>
          <w:szCs w:val="24"/>
        </w:rPr>
      </w:pPr>
      <w:r>
        <w:rPr>
          <w:rFonts w:ascii="Times New Roman" w:hAnsi="Times New Roman" w:cs="Times New Roman"/>
          <w:sz w:val="24"/>
          <w:szCs w:val="24"/>
        </w:rPr>
        <w:t>CLÁUSULA DÉCIMA SEXTA – PUBLICAÇÃO E CONTROLE DO CONTRATO</w:t>
      </w:r>
    </w:p>
    <w:p w14:paraId="7A1DD49E">
      <w:pPr>
        <w:pStyle w:val="99"/>
        <w:spacing w:before="0" w:after="0" w:line="288" w:lineRule="auto"/>
        <w:ind w:left="36" w:firstLine="0"/>
        <w:contextualSpacing/>
        <w:rPr>
          <w:rFonts w:ascii="Times New Roman" w:hAnsi="Times New Roman" w:cs="Times New Roman"/>
          <w:color w:val="auto"/>
          <w:sz w:val="24"/>
          <w:szCs w:val="24"/>
        </w:rPr>
      </w:pPr>
    </w:p>
    <w:p w14:paraId="6572B69E">
      <w:pPr>
        <w:pStyle w:val="99"/>
        <w:spacing w:before="0" w:after="0" w:line="288" w:lineRule="auto"/>
        <w:ind w:left="36"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16.1 Incumbirá ao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divulgar o presente instrumento no Portal Nacional de Contratações Públicas (PNCP), na forma prevista no </w:t>
      </w:r>
      <w:r>
        <w:fldChar w:fldCharType="begin"/>
      </w:r>
      <w:r>
        <w:instrText xml:space="preserve"> HYPERLINK "http://www.planalto.gov.br/ccivil_03/_ato2019-2022/2021/lei/L14133.htm" \l "art94" </w:instrText>
      </w:r>
      <w:r>
        <w:fldChar w:fldCharType="separate"/>
      </w:r>
      <w:r>
        <w:rPr>
          <w:rStyle w:val="16"/>
          <w:rFonts w:ascii="Times New Roman" w:hAnsi="Times New Roman" w:cs="Times New Roman" w:eastAsiaTheme="minorHAnsi"/>
          <w:color w:val="auto"/>
          <w:sz w:val="24"/>
          <w:szCs w:val="24"/>
        </w:rPr>
        <w:t>art. 94 da Lei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bem como no respectivo sítio oficial na Internet, em atenção ao </w:t>
      </w:r>
      <w:r>
        <w:fldChar w:fldCharType="begin"/>
      </w:r>
      <w:r>
        <w:instrText xml:space="preserve"> HYPERLINK "https://www.planalto.gov.br/ccivil_03/_ato2011-2014/2011/lei/l12527.htm" \l "art8§2" </w:instrText>
      </w:r>
      <w:r>
        <w:fldChar w:fldCharType="separate"/>
      </w:r>
      <w:r>
        <w:rPr>
          <w:rStyle w:val="16"/>
          <w:rFonts w:ascii="Times New Roman" w:hAnsi="Times New Roman" w:cs="Times New Roman" w:eastAsiaTheme="minorHAnsi"/>
          <w:color w:val="auto"/>
          <w:sz w:val="24"/>
          <w:szCs w:val="24"/>
        </w:rPr>
        <w:t>art. 8º, §2º, da Lei nº 12.527/2011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e publicar extrato da contratação no Boletim Oficial do Município.</w:t>
      </w:r>
    </w:p>
    <w:p w14:paraId="7CD4CA19">
      <w:pPr>
        <w:spacing w:line="288" w:lineRule="auto"/>
        <w:contextualSpacing/>
        <w:jc w:val="both"/>
        <w:rPr>
          <w:sz w:val="24"/>
          <w:szCs w:val="24"/>
        </w:rPr>
      </w:pPr>
    </w:p>
    <w:p w14:paraId="0A5A2735">
      <w:pPr>
        <w:spacing w:line="288" w:lineRule="auto"/>
        <w:contextualSpacing/>
        <w:jc w:val="both"/>
        <w:rPr>
          <w:sz w:val="24"/>
          <w:szCs w:val="24"/>
        </w:rPr>
      </w:pPr>
      <w:r>
        <w:rPr>
          <w:sz w:val="24"/>
          <w:szCs w:val="24"/>
        </w:rPr>
        <w:t>16.1.1 A divulgação do Contrato e de seus aditamentos no Portal Nacional de Contratações Públicas – PNCP, condição indispensável para sua eficácia, deverá ocorrer nos prazos estipulados pelo art. 94 da Lei nº 14.133/2021.</w:t>
      </w:r>
    </w:p>
    <w:p w14:paraId="3F9ED520">
      <w:pPr>
        <w:spacing w:line="288" w:lineRule="auto"/>
        <w:contextualSpacing/>
        <w:jc w:val="both"/>
        <w:rPr>
          <w:sz w:val="24"/>
          <w:szCs w:val="24"/>
        </w:rPr>
      </w:pPr>
    </w:p>
    <w:p w14:paraId="4B63014B">
      <w:pPr>
        <w:spacing w:line="288" w:lineRule="auto"/>
        <w:contextualSpacing/>
        <w:jc w:val="both"/>
        <w:rPr>
          <w:sz w:val="24"/>
          <w:szCs w:val="24"/>
        </w:rPr>
      </w:pPr>
      <w:r>
        <w:rPr>
          <w:sz w:val="24"/>
          <w:szCs w:val="24"/>
        </w:rPr>
        <w:t xml:space="preserve">16.2 O </w:t>
      </w:r>
      <w:r>
        <w:rPr>
          <w:b/>
          <w:bCs/>
          <w:sz w:val="24"/>
          <w:szCs w:val="24"/>
        </w:rPr>
        <w:t>CONTRATANTE</w:t>
      </w:r>
      <w:r>
        <w:rPr>
          <w:sz w:val="24"/>
          <w:szCs w:val="24"/>
        </w:rPr>
        <w:t xml:space="preserve"> deverá adotar as providências necessárias para dar conhecimento da contratação, junto ao Tribunal de Contas do Estado.</w:t>
      </w:r>
    </w:p>
    <w:p w14:paraId="30357DD4">
      <w:pPr>
        <w:pStyle w:val="99"/>
        <w:spacing w:before="0" w:after="0" w:line="288" w:lineRule="auto"/>
        <w:ind w:left="36" w:firstLine="0"/>
        <w:contextualSpacing/>
        <w:rPr>
          <w:rFonts w:ascii="Times New Roman" w:hAnsi="Times New Roman" w:cs="Times New Roman"/>
          <w:color w:val="auto"/>
          <w:sz w:val="24"/>
          <w:szCs w:val="24"/>
        </w:rPr>
      </w:pPr>
    </w:p>
    <w:p w14:paraId="0F28F0DB">
      <w:pPr>
        <w:pStyle w:val="101"/>
        <w:spacing w:before="0" w:line="288" w:lineRule="auto"/>
        <w:ind w:left="22"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SÉTIMA – FORO </w:t>
      </w:r>
    </w:p>
    <w:p w14:paraId="30ACB5EF">
      <w:pPr>
        <w:spacing w:line="288" w:lineRule="auto"/>
        <w:contextualSpacing/>
        <w:rPr>
          <w:sz w:val="24"/>
          <w:szCs w:val="24"/>
        </w:rPr>
      </w:pPr>
    </w:p>
    <w:p w14:paraId="6CCC6A63">
      <w:pPr>
        <w:spacing w:line="288" w:lineRule="auto"/>
        <w:contextualSpacing/>
        <w:jc w:val="both"/>
        <w:rPr>
          <w:sz w:val="24"/>
          <w:szCs w:val="24"/>
        </w:rPr>
      </w:pPr>
      <w:r>
        <w:rPr>
          <w:sz w:val="24"/>
          <w:szCs w:val="24"/>
        </w:rPr>
        <w:t xml:space="preserve">17.1 Fica eleito o Foro da Cidade de Valença RJ, para dirimir qualquer litígio decorrente do presente Contrato que não possa ser resolvido por meio amigável, com expressa renúncia a qualquer outro, por mais privilegiado que seja. </w:t>
      </w:r>
    </w:p>
    <w:p w14:paraId="791A4CA0">
      <w:pPr>
        <w:spacing w:line="288" w:lineRule="auto"/>
        <w:contextualSpacing/>
        <w:jc w:val="both"/>
        <w:rPr>
          <w:sz w:val="24"/>
          <w:szCs w:val="24"/>
        </w:rPr>
      </w:pPr>
    </w:p>
    <w:p w14:paraId="00FA8F4A">
      <w:pPr>
        <w:spacing w:line="288" w:lineRule="auto"/>
        <w:contextualSpacing/>
        <w:jc w:val="both"/>
        <w:rPr>
          <w:sz w:val="24"/>
          <w:szCs w:val="24"/>
        </w:rPr>
      </w:pPr>
      <w:r>
        <w:rPr>
          <w:sz w:val="24"/>
          <w:szCs w:val="24"/>
        </w:rPr>
        <w:t>E, por estarem assim acordes em todas as condições e cláusulas estabelecidas neste Contrato, firmam as partes o presente instrumento, depois de achado conforme, em presença das testemunhas abaixo firmadas.</w:t>
      </w:r>
    </w:p>
    <w:p w14:paraId="2757B26C">
      <w:pPr>
        <w:pStyle w:val="99"/>
        <w:spacing w:before="0" w:after="0" w:line="288" w:lineRule="auto"/>
        <w:ind w:left="0" w:firstLine="567"/>
        <w:contextualSpacing/>
        <w:rPr>
          <w:rFonts w:ascii="Times New Roman" w:hAnsi="Times New Roman" w:cs="Times New Roman"/>
          <w:i/>
          <w:iCs/>
          <w:color w:val="FF0000"/>
          <w:sz w:val="24"/>
          <w:szCs w:val="24"/>
        </w:rPr>
      </w:pPr>
    </w:p>
    <w:p w14:paraId="6A6496F9">
      <w:pPr>
        <w:pStyle w:val="99"/>
        <w:spacing w:before="0" w:after="0" w:line="288" w:lineRule="auto"/>
        <w:ind w:left="0" w:firstLine="567"/>
        <w:contextualSpacing/>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Valença, xx de xxxxxxxxx de 2026.</w:t>
      </w:r>
    </w:p>
    <w:p w14:paraId="3000CD93">
      <w:pPr>
        <w:spacing w:line="288" w:lineRule="auto"/>
        <w:ind w:firstLine="567"/>
        <w:contextualSpacing/>
        <w:jc w:val="center"/>
        <w:rPr>
          <w:bCs/>
          <w:sz w:val="24"/>
          <w:szCs w:val="24"/>
        </w:rPr>
      </w:pPr>
    </w:p>
    <w:p w14:paraId="29DB4CFB">
      <w:pPr>
        <w:spacing w:line="288" w:lineRule="auto"/>
        <w:ind w:firstLine="567"/>
        <w:contextualSpacing/>
        <w:jc w:val="center"/>
        <w:rPr>
          <w:bCs/>
          <w:sz w:val="24"/>
          <w:szCs w:val="24"/>
        </w:rPr>
      </w:pPr>
      <w:r>
        <w:rPr>
          <w:bCs/>
          <w:sz w:val="24"/>
          <w:szCs w:val="24"/>
        </w:rPr>
        <w:t xml:space="preserve"> </w:t>
      </w:r>
    </w:p>
    <w:p w14:paraId="5D250516">
      <w:pPr>
        <w:spacing w:line="288" w:lineRule="auto"/>
        <w:ind w:firstLine="567"/>
        <w:contextualSpacing/>
        <w:jc w:val="center"/>
        <w:rPr>
          <w:bCs/>
          <w:sz w:val="24"/>
          <w:szCs w:val="24"/>
        </w:rPr>
      </w:pPr>
      <w:r>
        <w:rPr>
          <w:bCs/>
          <w:sz w:val="24"/>
          <w:szCs w:val="24"/>
        </w:rPr>
        <w:t>_________________________</w:t>
      </w:r>
    </w:p>
    <w:p w14:paraId="51FE2511">
      <w:pPr>
        <w:spacing w:line="288" w:lineRule="auto"/>
        <w:ind w:firstLine="567"/>
        <w:contextualSpacing/>
        <w:jc w:val="center"/>
        <w:rPr>
          <w:sz w:val="24"/>
          <w:szCs w:val="24"/>
        </w:rPr>
      </w:pPr>
      <w:r>
        <w:rPr>
          <w:sz w:val="24"/>
          <w:szCs w:val="24"/>
        </w:rPr>
        <w:t>Rafael de Oliveira Tavares</w:t>
      </w:r>
    </w:p>
    <w:p w14:paraId="074CFAED">
      <w:pPr>
        <w:spacing w:line="288" w:lineRule="auto"/>
        <w:ind w:firstLine="567"/>
        <w:contextualSpacing/>
        <w:jc w:val="center"/>
        <w:rPr>
          <w:bCs/>
          <w:sz w:val="24"/>
          <w:szCs w:val="24"/>
        </w:rPr>
      </w:pPr>
      <w:r>
        <w:rPr>
          <w:sz w:val="24"/>
          <w:szCs w:val="24"/>
        </w:rPr>
        <w:t>Secretário Municipal de Saúde</w:t>
      </w:r>
    </w:p>
    <w:p w14:paraId="2F430514">
      <w:pPr>
        <w:spacing w:line="288" w:lineRule="auto"/>
        <w:ind w:firstLine="567"/>
        <w:contextualSpacing/>
        <w:jc w:val="center"/>
        <w:rPr>
          <w:bCs/>
          <w:sz w:val="24"/>
          <w:szCs w:val="24"/>
        </w:rPr>
      </w:pPr>
      <w:r>
        <w:rPr>
          <w:bCs/>
          <w:sz w:val="24"/>
          <w:szCs w:val="24"/>
        </w:rPr>
        <w:t>MUNICÍPIO DE VALENÇA</w:t>
      </w:r>
    </w:p>
    <w:p w14:paraId="3926A5D6">
      <w:pPr>
        <w:spacing w:line="288" w:lineRule="auto"/>
        <w:ind w:firstLine="567"/>
        <w:contextualSpacing/>
        <w:jc w:val="center"/>
        <w:rPr>
          <w:bCs/>
          <w:sz w:val="24"/>
          <w:szCs w:val="24"/>
        </w:rPr>
      </w:pPr>
    </w:p>
    <w:p w14:paraId="1AB4C6DB">
      <w:pPr>
        <w:spacing w:line="288" w:lineRule="auto"/>
        <w:ind w:firstLine="567"/>
        <w:contextualSpacing/>
        <w:jc w:val="center"/>
        <w:rPr>
          <w:bCs/>
          <w:sz w:val="24"/>
          <w:szCs w:val="24"/>
        </w:rPr>
      </w:pPr>
    </w:p>
    <w:p w14:paraId="243D774F">
      <w:pPr>
        <w:spacing w:line="288" w:lineRule="auto"/>
        <w:ind w:firstLine="567"/>
        <w:contextualSpacing/>
        <w:jc w:val="center"/>
        <w:rPr>
          <w:sz w:val="24"/>
          <w:szCs w:val="24"/>
        </w:rPr>
      </w:pPr>
      <w:r>
        <w:rPr>
          <w:sz w:val="24"/>
          <w:szCs w:val="24"/>
        </w:rPr>
        <w:t>_________________________</w:t>
      </w:r>
    </w:p>
    <w:p w14:paraId="6516CA91">
      <w:pPr>
        <w:spacing w:line="288" w:lineRule="auto"/>
        <w:ind w:firstLine="567"/>
        <w:contextualSpacing/>
        <w:jc w:val="center"/>
        <w:rPr>
          <w:sz w:val="24"/>
          <w:szCs w:val="24"/>
        </w:rPr>
      </w:pPr>
      <w:r>
        <w:rPr>
          <w:bCs/>
          <w:sz w:val="24"/>
          <w:szCs w:val="24"/>
        </w:rPr>
        <w:t>Representante</w:t>
      </w:r>
      <w:r>
        <w:rPr>
          <w:sz w:val="24"/>
          <w:szCs w:val="24"/>
        </w:rPr>
        <w:t xml:space="preserve"> legal do CONTRATADO</w:t>
      </w:r>
    </w:p>
    <w:p w14:paraId="366617B5">
      <w:pPr>
        <w:spacing w:line="288" w:lineRule="auto"/>
        <w:contextualSpacing/>
        <w:jc w:val="both"/>
        <w:rPr>
          <w:sz w:val="24"/>
          <w:szCs w:val="24"/>
        </w:rPr>
      </w:pPr>
      <w:r>
        <w:rPr>
          <w:sz w:val="24"/>
          <w:szCs w:val="24"/>
        </w:rPr>
        <w:t>TESTEMUNHAS:</w:t>
      </w:r>
    </w:p>
    <w:p w14:paraId="05A85E56">
      <w:pPr>
        <w:spacing w:line="288" w:lineRule="auto"/>
        <w:contextualSpacing/>
        <w:rPr>
          <w:sz w:val="24"/>
          <w:szCs w:val="24"/>
        </w:rPr>
      </w:pPr>
      <w:r>
        <w:rPr>
          <w:sz w:val="24"/>
          <w:szCs w:val="24"/>
        </w:rPr>
        <w:t>1-</w:t>
      </w:r>
    </w:p>
    <w:p w14:paraId="2737CC14">
      <w:pPr>
        <w:spacing w:line="288" w:lineRule="auto"/>
        <w:contextualSpacing/>
        <w:rPr>
          <w:sz w:val="24"/>
          <w:szCs w:val="24"/>
        </w:rPr>
      </w:pPr>
      <w:r>
        <w:rPr>
          <w:sz w:val="24"/>
          <w:szCs w:val="24"/>
        </w:rPr>
        <w:t xml:space="preserve">2- </w:t>
      </w:r>
    </w:p>
    <w:p w14:paraId="229CF602">
      <w:pPr>
        <w:spacing w:line="288" w:lineRule="auto"/>
        <w:contextualSpacing/>
        <w:rPr>
          <w:sz w:val="24"/>
          <w:szCs w:val="24"/>
        </w:rPr>
      </w:pPr>
    </w:p>
    <w:p w14:paraId="7A965CED">
      <w:pPr>
        <w:spacing w:line="288" w:lineRule="auto"/>
        <w:contextualSpacing/>
        <w:rPr>
          <w:sz w:val="24"/>
          <w:szCs w:val="24"/>
        </w:rPr>
      </w:pPr>
    </w:p>
    <w:p w14:paraId="73191FA3">
      <w:pPr>
        <w:spacing w:line="288" w:lineRule="auto"/>
        <w:contextualSpacing/>
        <w:rPr>
          <w:sz w:val="24"/>
          <w:szCs w:val="24"/>
        </w:rPr>
      </w:pPr>
    </w:p>
    <w:p w14:paraId="25DFA3D5">
      <w:pPr>
        <w:ind w:firstLine="142"/>
        <w:rPr>
          <w:sz w:val="24"/>
          <w:szCs w:val="24"/>
        </w:rPr>
      </w:pPr>
    </w:p>
    <w:p w14:paraId="0F9CE059">
      <w:pPr>
        <w:ind w:firstLine="142"/>
        <w:jc w:val="center"/>
        <w:rPr>
          <w:b/>
          <w:bCs/>
          <w:sz w:val="24"/>
          <w:szCs w:val="24"/>
          <w:u w:val="single"/>
        </w:rPr>
      </w:pPr>
      <w:r>
        <w:rPr>
          <w:b/>
          <w:bCs/>
          <w:sz w:val="24"/>
          <w:szCs w:val="24"/>
          <w:highlight w:val="yellow"/>
          <w:u w:val="single"/>
        </w:rPr>
        <w:t>ANEXO VIII</w:t>
      </w:r>
    </w:p>
    <w:p w14:paraId="7D5A5132">
      <w:pPr>
        <w:ind w:firstLine="142"/>
        <w:jc w:val="center"/>
        <w:rPr>
          <w:b/>
          <w:bCs/>
          <w:sz w:val="24"/>
          <w:szCs w:val="24"/>
        </w:rPr>
      </w:pPr>
    </w:p>
    <w:p w14:paraId="10577221">
      <w:pPr>
        <w:pStyle w:val="20"/>
        <w:spacing w:line="360" w:lineRule="auto"/>
        <w:ind w:right="-285" w:firstLine="142"/>
        <w:jc w:val="center"/>
        <w:rPr>
          <w:rFonts w:ascii="Times New Roman" w:hAnsi="Times New Roman" w:cs="Times New Roman"/>
          <w:b/>
        </w:rPr>
      </w:pPr>
      <w:r>
        <w:rPr>
          <w:rFonts w:ascii="Times New Roman" w:hAnsi="Times New Roman" w:cs="Times New Roman"/>
          <w:b/>
        </w:rPr>
        <w:t>DECLARAÇÃO DE RESPONSABILIZAÇÃO CIVIL E ADMINISTRATIVA</w:t>
      </w:r>
    </w:p>
    <w:p w14:paraId="05C20D85">
      <w:pPr>
        <w:pStyle w:val="20"/>
        <w:spacing w:line="360" w:lineRule="auto"/>
        <w:ind w:right="-285" w:firstLine="142"/>
        <w:jc w:val="center"/>
        <w:rPr>
          <w:rFonts w:ascii="Times New Roman" w:hAnsi="Times New Roman" w:cs="Times New Roman"/>
        </w:rPr>
      </w:pPr>
    </w:p>
    <w:p w14:paraId="008D5D45">
      <w:pPr>
        <w:pStyle w:val="20"/>
        <w:spacing w:line="360" w:lineRule="auto"/>
        <w:ind w:right="-285" w:firstLine="142"/>
        <w:jc w:val="both"/>
        <w:rPr>
          <w:rFonts w:ascii="Times New Roman" w:hAnsi="Times New Roman" w:cs="Times New Roman"/>
        </w:rPr>
      </w:pPr>
      <w:r>
        <w:rPr>
          <w:rFonts w:ascii="Times New Roman" w:hAnsi="Times New Roman" w:cs="Times New Roman"/>
        </w:rPr>
        <w:t>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w:t>
      </w:r>
    </w:p>
    <w:p w14:paraId="4A3FCB26">
      <w:pPr>
        <w:pStyle w:val="20"/>
        <w:spacing w:line="360" w:lineRule="auto"/>
        <w:ind w:right="-285" w:firstLine="142"/>
        <w:jc w:val="center"/>
        <w:rPr>
          <w:rFonts w:ascii="Times New Roman" w:hAnsi="Times New Roman" w:cs="Times New Roman"/>
        </w:rPr>
      </w:pPr>
    </w:p>
    <w:p w14:paraId="0C615BA8">
      <w:pPr>
        <w:pStyle w:val="20"/>
        <w:spacing w:line="360" w:lineRule="auto"/>
        <w:ind w:right="-285" w:firstLine="142"/>
        <w:jc w:val="both"/>
        <w:rPr>
          <w:rFonts w:ascii="Times New Roman" w:hAnsi="Times New Roman" w:cs="Times New Roman"/>
        </w:rPr>
      </w:pPr>
      <w:r>
        <w:rPr>
          <w:rFonts w:ascii="Times New Roman" w:hAnsi="Times New Roman" w:cs="Times New Roman"/>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0E05FBB9">
      <w:pPr>
        <w:pStyle w:val="20"/>
        <w:spacing w:line="360" w:lineRule="auto"/>
        <w:ind w:right="-285" w:firstLine="142"/>
        <w:jc w:val="center"/>
        <w:rPr>
          <w:rFonts w:ascii="Times New Roman" w:hAnsi="Times New Roman" w:cs="Times New Roman"/>
        </w:rPr>
      </w:pPr>
    </w:p>
    <w:p w14:paraId="1696AAD2">
      <w:pPr>
        <w:pStyle w:val="20"/>
        <w:spacing w:line="360" w:lineRule="auto"/>
        <w:ind w:right="-285" w:firstLine="142"/>
        <w:jc w:val="both"/>
        <w:rPr>
          <w:rFonts w:ascii="Times New Roman" w:hAnsi="Times New Roman" w:cs="Times New Roman"/>
        </w:rPr>
      </w:pPr>
      <w:r>
        <w:rPr>
          <w:rFonts w:ascii="Times New Roman" w:hAnsi="Times New Roman" w:cs="Times New Roman"/>
        </w:rP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2D240020">
      <w:pPr>
        <w:pStyle w:val="20"/>
        <w:spacing w:line="360" w:lineRule="auto"/>
        <w:ind w:right="-285" w:firstLine="142"/>
        <w:jc w:val="center"/>
        <w:rPr>
          <w:rFonts w:ascii="Times New Roman" w:hAnsi="Times New Roman" w:cs="Times New Roman"/>
        </w:rPr>
      </w:pPr>
    </w:p>
    <w:p w14:paraId="59258A30">
      <w:pPr>
        <w:pStyle w:val="20"/>
        <w:spacing w:line="360" w:lineRule="auto"/>
        <w:ind w:right="-285" w:firstLine="142"/>
        <w:jc w:val="center"/>
        <w:rPr>
          <w:rFonts w:ascii="Times New Roman" w:hAnsi="Times New Roman" w:cs="Times New Roman"/>
        </w:rPr>
      </w:pPr>
      <w:r>
        <w:rPr>
          <w:rFonts w:ascii="Times New Roman" w:hAnsi="Times New Roman" w:cs="Times New Roman"/>
        </w:rPr>
        <w:t>Valença, _____ de _____________ de _____.</w:t>
      </w:r>
    </w:p>
    <w:p w14:paraId="103346FB">
      <w:pPr>
        <w:pStyle w:val="20"/>
        <w:spacing w:line="360" w:lineRule="auto"/>
        <w:ind w:right="-285" w:firstLine="142"/>
        <w:jc w:val="center"/>
        <w:rPr>
          <w:rFonts w:ascii="Times New Roman" w:hAnsi="Times New Roman" w:cs="Times New Roman"/>
        </w:rPr>
      </w:pPr>
    </w:p>
    <w:p w14:paraId="1A36C21C">
      <w:pPr>
        <w:pStyle w:val="20"/>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41C1651E">
      <w:pPr>
        <w:pStyle w:val="20"/>
        <w:ind w:right="-284" w:firstLine="142"/>
        <w:jc w:val="center"/>
        <w:rPr>
          <w:rFonts w:ascii="Times New Roman" w:hAnsi="Times New Roman" w:cs="Times New Roman"/>
        </w:rPr>
      </w:pPr>
      <w:r>
        <w:rPr>
          <w:rFonts w:ascii="Times New Roman" w:hAnsi="Times New Roman" w:cs="Times New Roman"/>
        </w:rPr>
        <w:t>AGENTE PÚBLICO</w:t>
      </w:r>
    </w:p>
    <w:p w14:paraId="33510B89">
      <w:pPr>
        <w:pStyle w:val="20"/>
        <w:ind w:right="-284" w:firstLine="142"/>
        <w:jc w:val="center"/>
        <w:rPr>
          <w:rFonts w:ascii="Times New Roman" w:hAnsi="Times New Roman" w:cs="Times New Roman"/>
        </w:rPr>
      </w:pPr>
      <w:r>
        <w:rPr>
          <w:rFonts w:ascii="Times New Roman" w:hAnsi="Times New Roman" w:cs="Times New Roman"/>
        </w:rPr>
        <w:t>(Nome, cargo, matrícula e lotação)</w:t>
      </w:r>
    </w:p>
    <w:p w14:paraId="4734663A">
      <w:pPr>
        <w:pStyle w:val="20"/>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4042A8A5">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584C9928">
      <w:pPr>
        <w:pStyle w:val="20"/>
        <w:ind w:right="-284" w:firstLine="142"/>
        <w:jc w:val="center"/>
        <w:rPr>
          <w:rFonts w:ascii="Times New Roman" w:hAnsi="Times New Roman" w:cs="Times New Roman"/>
        </w:rPr>
      </w:pPr>
      <w:r>
        <w:rPr>
          <w:rFonts w:ascii="Times New Roman" w:hAnsi="Times New Roman" w:cs="Times New Roman"/>
        </w:rPr>
        <w:t xml:space="preserve">(Nome, cargo e carimbo da empresa) </w:t>
      </w:r>
    </w:p>
    <w:p w14:paraId="3BC98F69">
      <w:pPr>
        <w:pStyle w:val="20"/>
        <w:spacing w:line="360" w:lineRule="auto"/>
        <w:ind w:firstLine="142"/>
        <w:jc w:val="center"/>
        <w:rPr>
          <w:rFonts w:ascii="Times New Roman" w:hAnsi="Times New Roman" w:cs="Times New Roman"/>
        </w:rPr>
      </w:pPr>
    </w:p>
    <w:p w14:paraId="3E8F8311">
      <w:pPr>
        <w:pStyle w:val="20"/>
        <w:spacing w:line="360" w:lineRule="auto"/>
        <w:ind w:right="-285" w:firstLine="142"/>
        <w:jc w:val="center"/>
        <w:rPr>
          <w:rFonts w:ascii="Times New Roman" w:hAnsi="Times New Roman" w:cs="Times New Roman"/>
          <w:b/>
          <w:color w:val="000000" w:themeColor="text1"/>
          <w14:textFill>
            <w14:solidFill>
              <w14:schemeClr w14:val="tx1"/>
            </w14:solidFill>
          </w14:textFill>
        </w:rPr>
      </w:pPr>
      <w:r>
        <w:rPr>
          <w:rFonts w:ascii="Times New Roman" w:hAnsi="Times New Roman" w:cs="Times New Roman"/>
          <w:b/>
          <w:color w:val="000000" w:themeColor="text1"/>
          <w14:textFill>
            <w14:solidFill>
              <w14:schemeClr w14:val="tx1"/>
            </w14:solidFill>
          </w14:textFill>
        </w:rPr>
        <w:t>DECLARAÇÃO DE INEXISTÊNCIA DE NEPOTISMO</w:t>
      </w:r>
    </w:p>
    <w:p w14:paraId="22A3E770">
      <w:pPr>
        <w:pStyle w:val="20"/>
        <w:spacing w:line="360" w:lineRule="auto"/>
        <w:ind w:right="-285" w:firstLine="142"/>
        <w:jc w:val="center"/>
        <w:rPr>
          <w:rFonts w:ascii="Times New Roman" w:hAnsi="Times New Roman" w:cs="Times New Roman"/>
          <w:color w:val="000000" w:themeColor="text1"/>
          <w14:textFill>
            <w14:solidFill>
              <w14:schemeClr w14:val="tx1"/>
            </w14:solidFill>
          </w14:textFill>
        </w:rPr>
      </w:pPr>
    </w:p>
    <w:p w14:paraId="04F27960">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65270880">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 </w:t>
      </w:r>
    </w:p>
    <w:p w14:paraId="257E1249">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709030B1">
      <w:pPr>
        <w:pStyle w:val="20"/>
        <w:spacing w:line="360" w:lineRule="auto"/>
        <w:ind w:right="-285" w:firstLine="142"/>
        <w:jc w:val="center"/>
        <w:rPr>
          <w:rFonts w:ascii="Times New Roman" w:hAnsi="Times New Roman" w:cs="Times New Roman"/>
        </w:rPr>
      </w:pPr>
      <w:r>
        <w:rPr>
          <w:rFonts w:ascii="Times New Roman" w:hAnsi="Times New Roman" w:cs="Times New Roman"/>
        </w:rPr>
        <w:t>Valença, _____ de _____________ de _____.</w:t>
      </w:r>
    </w:p>
    <w:p w14:paraId="66A8DCA7">
      <w:pPr>
        <w:pStyle w:val="20"/>
        <w:spacing w:line="360" w:lineRule="auto"/>
        <w:ind w:right="-285" w:firstLine="142"/>
        <w:jc w:val="center"/>
        <w:rPr>
          <w:rFonts w:ascii="Times New Roman" w:hAnsi="Times New Roman" w:cs="Times New Roman"/>
        </w:rPr>
      </w:pPr>
    </w:p>
    <w:p w14:paraId="7725D14D">
      <w:pPr>
        <w:pStyle w:val="20"/>
        <w:spacing w:line="360" w:lineRule="auto"/>
        <w:ind w:right="-285" w:firstLine="142"/>
        <w:jc w:val="center"/>
        <w:rPr>
          <w:rFonts w:ascii="Times New Roman" w:hAnsi="Times New Roman" w:cs="Times New Roman"/>
        </w:rPr>
      </w:pPr>
    </w:p>
    <w:p w14:paraId="00DB60A0">
      <w:pPr>
        <w:pStyle w:val="20"/>
        <w:spacing w:line="360" w:lineRule="auto"/>
        <w:ind w:right="-285" w:firstLine="142"/>
        <w:jc w:val="center"/>
        <w:rPr>
          <w:rFonts w:ascii="Times New Roman" w:hAnsi="Times New Roman" w:cs="Times New Roman"/>
        </w:rPr>
      </w:pPr>
    </w:p>
    <w:p w14:paraId="7B169218">
      <w:pPr>
        <w:pStyle w:val="20"/>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2BEF96DC">
      <w:pPr>
        <w:pStyle w:val="20"/>
        <w:ind w:right="-284" w:firstLine="142"/>
        <w:jc w:val="center"/>
        <w:rPr>
          <w:rFonts w:ascii="Times New Roman" w:hAnsi="Times New Roman" w:cs="Times New Roman"/>
        </w:rPr>
      </w:pPr>
      <w:r>
        <w:rPr>
          <w:rFonts w:ascii="Times New Roman" w:hAnsi="Times New Roman" w:cs="Times New Roman"/>
        </w:rPr>
        <w:t>CONTRATADA</w:t>
      </w:r>
    </w:p>
    <w:p w14:paraId="217B49C5">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11C9C7DC">
      <w:pPr>
        <w:pStyle w:val="20"/>
        <w:ind w:right="-284" w:firstLine="142"/>
        <w:jc w:val="center"/>
        <w:rPr>
          <w:rFonts w:ascii="Times New Roman" w:hAnsi="Times New Roman" w:cs="Times New Roman"/>
        </w:rPr>
      </w:pPr>
      <w:r>
        <w:rPr>
          <w:rFonts w:ascii="Times New Roman" w:hAnsi="Times New Roman" w:cs="Times New Roman"/>
        </w:rPr>
        <w:t xml:space="preserve">(Nome, cargo e carimbo da empresa) </w:t>
      </w:r>
    </w:p>
    <w:p w14:paraId="05050CBB">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2DC61230">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22B49461">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04AD1805">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7F7F35EE">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4E44DB8E">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42A7A63C">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34A128DC">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25A94A54">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6A953A27">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79E4C880">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58ECCAA3">
      <w:pPr>
        <w:pStyle w:val="20"/>
        <w:spacing w:line="360" w:lineRule="auto"/>
        <w:ind w:firstLine="142"/>
        <w:jc w:val="both"/>
        <w:rPr>
          <w:rFonts w:ascii="Times New Roman" w:hAnsi="Times New Roman" w:cs="Times New Roman"/>
          <w:color w:val="000000" w:themeColor="text1"/>
          <w14:textFill>
            <w14:solidFill>
              <w14:schemeClr w14:val="tx1"/>
            </w14:solidFill>
          </w14:textFill>
        </w:rPr>
      </w:pPr>
    </w:p>
    <w:p w14:paraId="0F26BE09">
      <w:pPr>
        <w:pStyle w:val="20"/>
        <w:ind w:right="-284" w:firstLine="142"/>
        <w:jc w:val="center"/>
        <w:rPr>
          <w:rFonts w:ascii="Times New Roman" w:hAnsi="Times New Roman" w:cs="Times New Roman"/>
          <w:b/>
          <w:color w:val="000000"/>
        </w:rPr>
      </w:pPr>
    </w:p>
    <w:p w14:paraId="5C552B8C">
      <w:pPr>
        <w:pStyle w:val="20"/>
        <w:ind w:right="-284" w:firstLine="142"/>
        <w:jc w:val="center"/>
        <w:rPr>
          <w:rFonts w:ascii="Times New Roman" w:hAnsi="Times New Roman" w:eastAsia="Times New Roman" w:cs="Times New Roman"/>
          <w:b/>
        </w:rPr>
      </w:pPr>
      <w:r>
        <w:rPr>
          <w:rFonts w:ascii="Times New Roman" w:hAnsi="Times New Roman" w:cs="Times New Roman"/>
          <w:b/>
          <w:color w:val="000000"/>
        </w:rPr>
        <w:t xml:space="preserve">DECLARAÇÃO  REF. </w:t>
      </w:r>
      <w:r>
        <w:rPr>
          <w:rFonts w:ascii="Times New Roman" w:hAnsi="Times New Roman" w:eastAsia="Times New Roman" w:cs="Times New Roman"/>
          <w:b/>
        </w:rPr>
        <w:t>ARTIGO  9º, § 1º, DA LEI FEDERAL Nº 14.133/2021</w:t>
      </w:r>
    </w:p>
    <w:p w14:paraId="4A747040">
      <w:pPr>
        <w:spacing w:line="360" w:lineRule="auto"/>
        <w:ind w:right="-285" w:firstLine="142"/>
        <w:jc w:val="both"/>
        <w:rPr>
          <w:sz w:val="24"/>
          <w:szCs w:val="24"/>
        </w:rPr>
      </w:pPr>
    </w:p>
    <w:p w14:paraId="700331A5">
      <w:pPr>
        <w:spacing w:line="360" w:lineRule="auto"/>
        <w:ind w:right="-285" w:firstLine="142"/>
        <w:jc w:val="both"/>
        <w:rPr>
          <w:sz w:val="24"/>
          <w:szCs w:val="24"/>
        </w:rPr>
      </w:pPr>
      <w:r>
        <w:rPr>
          <w:sz w:val="24"/>
          <w:szCs w:val="24"/>
        </w:rPr>
        <w:t>(em papel timbrado da empresa)</w:t>
      </w:r>
    </w:p>
    <w:p w14:paraId="45948472">
      <w:pPr>
        <w:spacing w:line="360" w:lineRule="auto"/>
        <w:ind w:right="-285" w:firstLine="142"/>
        <w:jc w:val="both"/>
        <w:rPr>
          <w:sz w:val="24"/>
          <w:szCs w:val="24"/>
        </w:rPr>
      </w:pPr>
    </w:p>
    <w:p w14:paraId="6DA9ECD7">
      <w:pPr>
        <w:spacing w:line="360" w:lineRule="auto"/>
        <w:ind w:right="-285" w:firstLine="142"/>
        <w:jc w:val="both"/>
        <w:rPr>
          <w:sz w:val="24"/>
          <w:szCs w:val="24"/>
        </w:rPr>
      </w:pPr>
      <w:r>
        <w:rPr>
          <w:i/>
          <w:sz w:val="24"/>
          <w:szCs w:val="24"/>
        </w:rPr>
        <w:t>[denominação/razão social da sociedade empresarial]</w:t>
      </w:r>
    </w:p>
    <w:p w14:paraId="2AEFF5BC">
      <w:pPr>
        <w:tabs>
          <w:tab w:val="left" w:pos="5980"/>
        </w:tabs>
        <w:spacing w:line="360" w:lineRule="auto"/>
        <w:ind w:right="-285" w:firstLine="142"/>
        <w:jc w:val="both"/>
        <w:rPr>
          <w:sz w:val="24"/>
          <w:szCs w:val="24"/>
        </w:rPr>
      </w:pPr>
      <w:r>
        <w:rPr>
          <w:sz w:val="24"/>
          <w:szCs w:val="24"/>
        </w:rPr>
        <w:t>Cadastro Nacional de Pessoas Jurídicas – CNPJ n°____________.</w:t>
      </w:r>
    </w:p>
    <w:p w14:paraId="52B2EA10">
      <w:pPr>
        <w:spacing w:line="360" w:lineRule="auto"/>
        <w:ind w:right="-285" w:firstLine="142"/>
        <w:jc w:val="both"/>
        <w:rPr>
          <w:i/>
          <w:sz w:val="24"/>
          <w:szCs w:val="24"/>
        </w:rPr>
      </w:pPr>
      <w:r>
        <w:rPr>
          <w:i/>
          <w:sz w:val="24"/>
          <w:szCs w:val="24"/>
        </w:rPr>
        <w:t>[endereço da sociedade empresarial]</w:t>
      </w:r>
    </w:p>
    <w:p w14:paraId="34CA4D91">
      <w:pPr>
        <w:spacing w:line="360" w:lineRule="auto"/>
        <w:ind w:right="-285" w:firstLine="142"/>
        <w:jc w:val="both"/>
        <w:rPr>
          <w:sz w:val="24"/>
          <w:szCs w:val="24"/>
        </w:rPr>
      </w:pPr>
    </w:p>
    <w:p w14:paraId="500E80C7">
      <w:pPr>
        <w:spacing w:line="360" w:lineRule="auto"/>
        <w:ind w:right="-285" w:firstLine="142"/>
        <w:jc w:val="both"/>
        <w:rPr>
          <w:sz w:val="24"/>
          <w:szCs w:val="24"/>
        </w:rPr>
      </w:pPr>
      <w:r>
        <w:rPr>
          <w:sz w:val="24"/>
          <w:szCs w:val="24"/>
        </w:rPr>
        <w:t>DECLARAMOS, sob as penalidades cabíveis, que não participam dos nossos quadros funcionais, profissional que tenha ocupado cargo integrante dos 1º e 2º escalões da Administração Direta ou Indireta do Município, nos últimos 12 (doze) meses.</w:t>
      </w:r>
    </w:p>
    <w:p w14:paraId="576F289C">
      <w:pPr>
        <w:spacing w:line="360" w:lineRule="auto"/>
        <w:ind w:right="-285" w:firstLine="142"/>
        <w:jc w:val="both"/>
        <w:rPr>
          <w:sz w:val="24"/>
          <w:szCs w:val="24"/>
        </w:rPr>
      </w:pPr>
      <w:r>
        <w:rPr>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w:t>
      </w:r>
    </w:p>
    <w:p w14:paraId="5E75CC1A">
      <w:pPr>
        <w:spacing w:line="360" w:lineRule="auto"/>
        <w:ind w:right="-285" w:firstLine="142"/>
        <w:jc w:val="both"/>
        <w:rPr>
          <w:sz w:val="24"/>
          <w:szCs w:val="24"/>
        </w:rPr>
      </w:pPr>
      <w:r>
        <w:rPr>
          <w:sz w:val="24"/>
          <w:szCs w:val="24"/>
        </w:rPr>
        <w:t>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6823DCB5">
      <w:pPr>
        <w:spacing w:line="360" w:lineRule="auto"/>
        <w:ind w:right="-285" w:firstLine="142"/>
        <w:jc w:val="center"/>
        <w:rPr>
          <w:sz w:val="24"/>
          <w:szCs w:val="24"/>
        </w:rPr>
      </w:pPr>
      <w:r>
        <w:rPr>
          <w:sz w:val="24"/>
          <w:szCs w:val="24"/>
        </w:rPr>
        <w:t>Valença, _____ de ___________________de _______.</w:t>
      </w:r>
    </w:p>
    <w:p w14:paraId="42D6EEBC">
      <w:pPr>
        <w:spacing w:line="360" w:lineRule="auto"/>
        <w:ind w:right="-285" w:firstLine="142"/>
        <w:jc w:val="center"/>
        <w:rPr>
          <w:sz w:val="24"/>
          <w:szCs w:val="24"/>
        </w:rPr>
      </w:pPr>
      <w:r>
        <w:rPr>
          <w:sz w:val="24"/>
          <w:szCs w:val="24"/>
        </w:rPr>
        <w:t>_____________________________________________________</w:t>
      </w:r>
    </w:p>
    <w:p w14:paraId="4A917A1D">
      <w:pPr>
        <w:pStyle w:val="20"/>
        <w:ind w:right="-284" w:firstLine="142"/>
        <w:jc w:val="center"/>
        <w:rPr>
          <w:rFonts w:ascii="Times New Roman" w:hAnsi="Times New Roman" w:cs="Times New Roman"/>
        </w:rPr>
      </w:pPr>
      <w:r>
        <w:rPr>
          <w:rFonts w:ascii="Times New Roman" w:hAnsi="Times New Roman" w:cs="Times New Roman"/>
        </w:rPr>
        <w:t>CONTRATADA</w:t>
      </w:r>
    </w:p>
    <w:p w14:paraId="4A067FE1">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7664B04E">
      <w:pPr>
        <w:pStyle w:val="20"/>
        <w:ind w:right="-284" w:firstLine="142"/>
        <w:jc w:val="center"/>
        <w:rPr>
          <w:rFonts w:ascii="Times New Roman" w:hAnsi="Times New Roman" w:cs="Times New Roman"/>
        </w:rPr>
      </w:pPr>
      <w:r>
        <w:rPr>
          <w:rFonts w:ascii="Times New Roman" w:hAnsi="Times New Roman" w:cs="Times New Roman"/>
        </w:rPr>
        <w:t>(Nome, cargo e carimbo da empresa)</w:t>
      </w:r>
    </w:p>
    <w:p w14:paraId="0FCC8AD0">
      <w:pPr>
        <w:pStyle w:val="20"/>
        <w:ind w:right="-284" w:firstLine="142"/>
        <w:jc w:val="center"/>
        <w:rPr>
          <w:rFonts w:ascii="Times New Roman" w:hAnsi="Times New Roman" w:cs="Times New Roman"/>
          <w:b/>
        </w:rPr>
      </w:pPr>
    </w:p>
    <w:p w14:paraId="34F60563">
      <w:pPr>
        <w:pStyle w:val="20"/>
        <w:ind w:right="-284" w:firstLine="142"/>
        <w:jc w:val="center"/>
        <w:rPr>
          <w:rFonts w:ascii="Times New Roman" w:hAnsi="Times New Roman" w:cs="Times New Roman"/>
          <w:b/>
        </w:rPr>
      </w:pPr>
    </w:p>
    <w:p w14:paraId="5D3966CD">
      <w:pPr>
        <w:pStyle w:val="20"/>
        <w:ind w:right="-284" w:firstLine="142"/>
        <w:jc w:val="center"/>
        <w:rPr>
          <w:rFonts w:ascii="Times New Roman" w:hAnsi="Times New Roman" w:cs="Times New Roman"/>
          <w:b/>
        </w:rPr>
      </w:pPr>
    </w:p>
    <w:p w14:paraId="7E29BD61">
      <w:pPr>
        <w:pStyle w:val="20"/>
        <w:ind w:right="-284" w:firstLine="142"/>
        <w:jc w:val="center"/>
        <w:rPr>
          <w:rFonts w:ascii="Times New Roman" w:hAnsi="Times New Roman" w:cs="Times New Roman"/>
          <w:b/>
        </w:rPr>
      </w:pPr>
    </w:p>
    <w:p w14:paraId="22533C8F">
      <w:pPr>
        <w:pStyle w:val="20"/>
        <w:ind w:right="-284" w:firstLine="142"/>
        <w:jc w:val="center"/>
        <w:rPr>
          <w:rFonts w:ascii="Times New Roman" w:hAnsi="Times New Roman" w:cs="Times New Roman"/>
          <w:b/>
        </w:rPr>
      </w:pPr>
    </w:p>
    <w:p w14:paraId="6E46F969">
      <w:pPr>
        <w:pStyle w:val="20"/>
        <w:ind w:right="-284" w:firstLine="142"/>
        <w:jc w:val="center"/>
        <w:rPr>
          <w:rFonts w:ascii="Times New Roman" w:hAnsi="Times New Roman" w:cs="Times New Roman"/>
          <w:b/>
        </w:rPr>
      </w:pPr>
    </w:p>
    <w:p w14:paraId="33DB2B94">
      <w:pPr>
        <w:pStyle w:val="20"/>
        <w:ind w:right="-284" w:firstLine="142"/>
        <w:jc w:val="center"/>
        <w:rPr>
          <w:rFonts w:ascii="Times New Roman" w:hAnsi="Times New Roman" w:cs="Times New Roman"/>
          <w:b/>
        </w:rPr>
      </w:pPr>
    </w:p>
    <w:p w14:paraId="7A239F1C">
      <w:pPr>
        <w:pStyle w:val="20"/>
        <w:ind w:right="-284" w:firstLine="142"/>
        <w:jc w:val="center"/>
        <w:rPr>
          <w:rFonts w:ascii="Times New Roman" w:hAnsi="Times New Roman" w:cs="Times New Roman"/>
          <w:b/>
        </w:rPr>
      </w:pPr>
    </w:p>
    <w:p w14:paraId="439BE6EA">
      <w:pPr>
        <w:pStyle w:val="20"/>
        <w:ind w:right="-284" w:firstLine="142"/>
        <w:jc w:val="center"/>
        <w:rPr>
          <w:rFonts w:ascii="Times New Roman" w:hAnsi="Times New Roman" w:cs="Times New Roman"/>
          <w:b/>
        </w:rPr>
      </w:pPr>
    </w:p>
    <w:p w14:paraId="4EF66EA8">
      <w:pPr>
        <w:pStyle w:val="20"/>
        <w:ind w:right="-284" w:firstLine="142"/>
        <w:jc w:val="center"/>
        <w:rPr>
          <w:rFonts w:ascii="Times New Roman" w:hAnsi="Times New Roman" w:cs="Times New Roman"/>
          <w:b/>
        </w:rPr>
      </w:pPr>
    </w:p>
    <w:p w14:paraId="5F000017">
      <w:pPr>
        <w:pStyle w:val="20"/>
        <w:ind w:right="-284" w:firstLine="142"/>
        <w:jc w:val="center"/>
        <w:rPr>
          <w:rFonts w:ascii="Times New Roman" w:hAnsi="Times New Roman" w:cs="Times New Roman"/>
          <w:b/>
        </w:rPr>
      </w:pPr>
    </w:p>
    <w:p w14:paraId="1E106320">
      <w:pPr>
        <w:pStyle w:val="20"/>
        <w:ind w:right="-284" w:firstLine="142"/>
        <w:jc w:val="center"/>
        <w:rPr>
          <w:rFonts w:ascii="Times New Roman" w:hAnsi="Times New Roman" w:cs="Times New Roman"/>
          <w:b/>
        </w:rPr>
      </w:pPr>
    </w:p>
    <w:p w14:paraId="75B78442">
      <w:pPr>
        <w:pStyle w:val="20"/>
        <w:ind w:right="-284" w:firstLine="142"/>
        <w:jc w:val="center"/>
        <w:rPr>
          <w:rFonts w:ascii="Times New Roman" w:hAnsi="Times New Roman" w:cs="Times New Roman"/>
          <w:b/>
        </w:rPr>
      </w:pPr>
    </w:p>
    <w:p w14:paraId="1C59DCAD">
      <w:pPr>
        <w:pStyle w:val="20"/>
        <w:ind w:right="-284" w:firstLine="142"/>
        <w:jc w:val="center"/>
        <w:rPr>
          <w:rFonts w:ascii="Times New Roman" w:hAnsi="Times New Roman" w:cs="Times New Roman"/>
          <w:b/>
        </w:rPr>
      </w:pPr>
    </w:p>
    <w:p w14:paraId="3E73A6B3">
      <w:pPr>
        <w:pStyle w:val="20"/>
        <w:ind w:right="-284" w:firstLine="142"/>
        <w:jc w:val="center"/>
        <w:rPr>
          <w:rFonts w:ascii="Times New Roman" w:hAnsi="Times New Roman" w:cs="Times New Roman"/>
          <w:b/>
        </w:rPr>
      </w:pPr>
      <w:r>
        <w:rPr>
          <w:rFonts w:ascii="Times New Roman" w:hAnsi="Times New Roman" w:cs="Times New Roman"/>
          <w:b/>
        </w:rPr>
        <w:t>DECLARAÇÃO REF. AO ARTIGO 68, DA LEI FEDERAL Nº 14.133/2021</w:t>
      </w:r>
    </w:p>
    <w:p w14:paraId="75CEF04C">
      <w:pPr>
        <w:pStyle w:val="70"/>
        <w:rPr>
          <w:rFonts w:ascii="Times New Roman" w:hAnsi="Times New Roman" w:cs="Times New Roman"/>
        </w:rPr>
      </w:pPr>
    </w:p>
    <w:p w14:paraId="1EE59A8F">
      <w:pPr>
        <w:pStyle w:val="70"/>
        <w:rPr>
          <w:rFonts w:ascii="Times New Roman" w:hAnsi="Times New Roman" w:cs="Times New Roman"/>
        </w:rPr>
      </w:pPr>
      <w:r>
        <w:rPr>
          <w:rFonts w:ascii="Times New Roman" w:hAnsi="Times New Roman" w:cs="Times New Roman"/>
        </w:rPr>
        <w:t>(em papel timbrado da empresa)</w:t>
      </w:r>
    </w:p>
    <w:p w14:paraId="696718AB">
      <w:pPr>
        <w:pStyle w:val="70"/>
        <w:rPr>
          <w:rFonts w:ascii="Times New Roman" w:hAnsi="Times New Roman" w:cs="Times New Roman"/>
        </w:rPr>
      </w:pPr>
    </w:p>
    <w:p w14:paraId="332A4538">
      <w:pPr>
        <w:pStyle w:val="70"/>
        <w:rPr>
          <w:rFonts w:ascii="Times New Roman" w:hAnsi="Times New Roman" w:cs="Times New Roman"/>
        </w:rPr>
      </w:pPr>
    </w:p>
    <w:p w14:paraId="77AE3ACD">
      <w:pPr>
        <w:pStyle w:val="70"/>
        <w:rPr>
          <w:rFonts w:ascii="Times New Roman" w:hAnsi="Times New Roman" w:cs="Times New Roman"/>
        </w:rPr>
      </w:pPr>
      <w:r>
        <w:rPr>
          <w:rFonts w:ascii="Times New Roman" w:hAnsi="Times New Roman" w:cs="Times New Roman"/>
        </w:rPr>
        <w:t>____________________________________ [</w:t>
      </w:r>
      <w:r>
        <w:rPr>
          <w:rFonts w:ascii="Times New Roman" w:hAnsi="Times New Roman" w:cs="Times New Roman"/>
          <w:i/>
        </w:rPr>
        <w:t>órgão ou entidade licitante</w:t>
      </w:r>
      <w:r>
        <w:rPr>
          <w:rFonts w:ascii="Times New Roman" w:hAnsi="Times New Roman" w:cs="Times New Roman"/>
        </w:rPr>
        <w:t>] Ref. Licitação n° ___/____ ________________________________________ [</w:t>
      </w:r>
      <w:r>
        <w:rPr>
          <w:rFonts w:ascii="Times New Roman" w:hAnsi="Times New Roman" w:cs="Times New Roman"/>
          <w:i/>
        </w:rPr>
        <w:t>denominação/razão social da sociedade empresarial</w:t>
      </w:r>
      <w:r>
        <w:rPr>
          <w:rFonts w:ascii="Times New Roman" w:hAnsi="Times New Roman" w:cs="Times New Roman"/>
        </w:rPr>
        <w:t>],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14:paraId="7212B2EC">
      <w:pPr>
        <w:pStyle w:val="70"/>
        <w:rPr>
          <w:rFonts w:ascii="Times New Roman" w:hAnsi="Times New Roman" w:cs="Times New Roman"/>
        </w:rPr>
      </w:pPr>
    </w:p>
    <w:p w14:paraId="5266E9AA">
      <w:pPr>
        <w:pStyle w:val="70"/>
        <w:rPr>
          <w:rFonts w:ascii="Times New Roman" w:hAnsi="Times New Roman" w:cs="Times New Roman"/>
        </w:rPr>
      </w:pPr>
      <w:r>
        <w:rPr>
          <w:rFonts w:ascii="Times New Roman" w:hAnsi="Times New Roman" w:cs="Times New Roman"/>
        </w:rPr>
        <w:t>Ressalva: (  ) Emprega menor, a partir de quatorze anos, na condição de aprendiz.</w:t>
      </w:r>
    </w:p>
    <w:p w14:paraId="511F082E">
      <w:pPr>
        <w:pStyle w:val="70"/>
        <w:rPr>
          <w:rFonts w:ascii="Times New Roman" w:hAnsi="Times New Roman" w:cs="Times New Roman"/>
        </w:rPr>
      </w:pPr>
    </w:p>
    <w:p w14:paraId="2E89BC5B">
      <w:pPr>
        <w:pStyle w:val="70"/>
        <w:rPr>
          <w:rFonts w:ascii="Times New Roman" w:hAnsi="Times New Roman" w:cs="Times New Roman"/>
        </w:rPr>
      </w:pPr>
    </w:p>
    <w:p w14:paraId="750BBB42">
      <w:pPr>
        <w:pStyle w:val="70"/>
        <w:rPr>
          <w:rFonts w:ascii="Times New Roman" w:hAnsi="Times New Roman" w:cs="Times New Roman"/>
        </w:rPr>
      </w:pPr>
    </w:p>
    <w:p w14:paraId="5E1BC8C3">
      <w:pPr>
        <w:pStyle w:val="20"/>
        <w:ind w:right="-284" w:firstLine="142"/>
        <w:jc w:val="center"/>
        <w:rPr>
          <w:rFonts w:ascii="Times New Roman" w:hAnsi="Times New Roman" w:cs="Times New Roman"/>
        </w:rPr>
      </w:pPr>
      <w:r>
        <w:rPr>
          <w:rFonts w:ascii="Times New Roman" w:hAnsi="Times New Roman" w:cs="Times New Roman"/>
        </w:rPr>
        <w:t>Valença, ______de ____________de _____.</w:t>
      </w:r>
    </w:p>
    <w:p w14:paraId="6AF1CF5B">
      <w:pPr>
        <w:pStyle w:val="20"/>
        <w:ind w:right="-284" w:firstLine="142"/>
        <w:jc w:val="center"/>
        <w:rPr>
          <w:rFonts w:ascii="Times New Roman" w:hAnsi="Times New Roman" w:cs="Times New Roman"/>
        </w:rPr>
      </w:pPr>
    </w:p>
    <w:p w14:paraId="59ACD330">
      <w:pPr>
        <w:pStyle w:val="20"/>
        <w:ind w:right="-284" w:firstLine="142"/>
        <w:jc w:val="center"/>
        <w:rPr>
          <w:rFonts w:ascii="Times New Roman" w:hAnsi="Times New Roman" w:cs="Times New Roman"/>
        </w:rPr>
      </w:pPr>
    </w:p>
    <w:p w14:paraId="562EBF76">
      <w:pPr>
        <w:pStyle w:val="20"/>
        <w:spacing w:after="120"/>
        <w:ind w:right="-284" w:firstLine="142"/>
        <w:jc w:val="center"/>
        <w:rPr>
          <w:rFonts w:ascii="Times New Roman" w:hAnsi="Times New Roman" w:cs="Times New Roman"/>
        </w:rPr>
      </w:pPr>
      <w:r>
        <w:rPr>
          <w:rFonts w:ascii="Times New Roman" w:hAnsi="Times New Roman" w:cs="Times New Roman"/>
        </w:rPr>
        <w:t>_______________________________________________</w:t>
      </w:r>
    </w:p>
    <w:p w14:paraId="5A7408B4">
      <w:pPr>
        <w:pStyle w:val="20"/>
        <w:ind w:right="-284" w:firstLine="142"/>
        <w:jc w:val="center"/>
        <w:rPr>
          <w:rFonts w:ascii="Times New Roman" w:hAnsi="Times New Roman" w:cs="Times New Roman"/>
        </w:rPr>
      </w:pPr>
      <w:r>
        <w:rPr>
          <w:rFonts w:ascii="Times New Roman" w:hAnsi="Times New Roman" w:cs="Times New Roman"/>
        </w:rPr>
        <w:t>CONTRATADA</w:t>
      </w:r>
    </w:p>
    <w:p w14:paraId="307EBE61">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095A52AD">
      <w:pPr>
        <w:pStyle w:val="20"/>
        <w:ind w:right="-284" w:firstLine="142"/>
        <w:jc w:val="center"/>
        <w:rPr>
          <w:rFonts w:ascii="Times New Roman" w:hAnsi="Times New Roman" w:cs="Times New Roman"/>
        </w:rPr>
      </w:pPr>
      <w:r>
        <w:rPr>
          <w:rFonts w:ascii="Times New Roman" w:hAnsi="Times New Roman" w:cs="Times New Roman"/>
        </w:rPr>
        <w:t>(Nome, cargo e carimbo da empresa)</w:t>
      </w:r>
    </w:p>
    <w:p w14:paraId="69227C9B">
      <w:pPr>
        <w:pStyle w:val="20"/>
        <w:spacing w:line="360" w:lineRule="auto"/>
        <w:ind w:right="-285" w:firstLine="142"/>
        <w:jc w:val="center"/>
        <w:rPr>
          <w:rFonts w:ascii="Times New Roman" w:hAnsi="Times New Roman" w:cs="Times New Roman"/>
          <w:b/>
        </w:rPr>
      </w:pPr>
    </w:p>
    <w:p w14:paraId="6B132444">
      <w:pPr>
        <w:pStyle w:val="20"/>
        <w:spacing w:line="360" w:lineRule="auto"/>
        <w:ind w:right="-285" w:firstLine="142"/>
        <w:jc w:val="center"/>
        <w:rPr>
          <w:rFonts w:ascii="Times New Roman" w:hAnsi="Times New Roman" w:cs="Times New Roman"/>
          <w:b/>
        </w:rPr>
      </w:pPr>
    </w:p>
    <w:p w14:paraId="58633C5D">
      <w:pPr>
        <w:pStyle w:val="20"/>
        <w:spacing w:line="360" w:lineRule="auto"/>
        <w:ind w:right="-285" w:firstLine="142"/>
        <w:jc w:val="center"/>
        <w:rPr>
          <w:rFonts w:ascii="Times New Roman" w:hAnsi="Times New Roman" w:cs="Times New Roman"/>
          <w:b/>
        </w:rPr>
      </w:pPr>
    </w:p>
    <w:p w14:paraId="720F98C5">
      <w:pPr>
        <w:pStyle w:val="20"/>
        <w:spacing w:line="360" w:lineRule="auto"/>
        <w:ind w:right="-285" w:firstLine="142"/>
        <w:jc w:val="center"/>
        <w:rPr>
          <w:rFonts w:ascii="Times New Roman" w:hAnsi="Times New Roman" w:cs="Times New Roman"/>
          <w:b/>
        </w:rPr>
      </w:pPr>
    </w:p>
    <w:p w14:paraId="5B64A75D">
      <w:pPr>
        <w:pStyle w:val="20"/>
        <w:spacing w:line="360" w:lineRule="auto"/>
        <w:ind w:right="-285" w:firstLine="142"/>
        <w:jc w:val="center"/>
        <w:rPr>
          <w:rFonts w:ascii="Times New Roman" w:hAnsi="Times New Roman" w:cs="Times New Roman"/>
          <w:b/>
        </w:rPr>
      </w:pPr>
    </w:p>
    <w:p w14:paraId="3F7586E8">
      <w:pPr>
        <w:pStyle w:val="20"/>
        <w:spacing w:line="360" w:lineRule="auto"/>
        <w:ind w:right="-285" w:firstLine="142"/>
        <w:jc w:val="center"/>
        <w:rPr>
          <w:rFonts w:ascii="Times New Roman" w:hAnsi="Times New Roman" w:cs="Times New Roman"/>
          <w:b/>
        </w:rPr>
      </w:pPr>
    </w:p>
    <w:p w14:paraId="1AC5503E">
      <w:pPr>
        <w:spacing w:line="360" w:lineRule="auto"/>
        <w:ind w:right="-285" w:firstLine="142"/>
        <w:jc w:val="center"/>
        <w:rPr>
          <w:b/>
          <w:sz w:val="24"/>
          <w:szCs w:val="24"/>
        </w:rPr>
      </w:pPr>
      <w:r>
        <w:rPr>
          <w:b/>
          <w:sz w:val="24"/>
          <w:szCs w:val="24"/>
        </w:rPr>
        <w:t>DECLARAÇÃO PARA FINS DE HABILITAÇÃO ECONÔMICO–FINANCEIRA –ART. 63, § 1º, DA LEI FEDERAL Nº 14.133/2021</w:t>
      </w:r>
    </w:p>
    <w:p w14:paraId="1EA42BD3">
      <w:pPr>
        <w:pStyle w:val="70"/>
        <w:rPr>
          <w:rFonts w:ascii="Times New Roman" w:hAnsi="Times New Roman" w:cs="Times New Roman"/>
        </w:rPr>
      </w:pPr>
    </w:p>
    <w:p w14:paraId="1B31F434">
      <w:pPr>
        <w:spacing w:line="360" w:lineRule="auto"/>
        <w:ind w:right="-285" w:firstLine="142"/>
        <w:jc w:val="both"/>
        <w:rPr>
          <w:sz w:val="24"/>
          <w:szCs w:val="24"/>
        </w:rPr>
      </w:pPr>
      <w:r>
        <w:rPr>
          <w:sz w:val="24"/>
          <w:szCs w:val="24"/>
        </w:rPr>
        <w:t>(em papel timbrado da empresa)</w:t>
      </w:r>
    </w:p>
    <w:p w14:paraId="66722B5B">
      <w:pPr>
        <w:spacing w:line="360" w:lineRule="auto"/>
        <w:ind w:right="-285" w:firstLine="142"/>
        <w:jc w:val="both"/>
        <w:rPr>
          <w:sz w:val="24"/>
          <w:szCs w:val="24"/>
        </w:rPr>
      </w:pPr>
    </w:p>
    <w:p w14:paraId="44F6324D">
      <w:pPr>
        <w:spacing w:line="360" w:lineRule="auto"/>
        <w:ind w:right="-285" w:firstLine="142"/>
        <w:jc w:val="both"/>
        <w:rPr>
          <w:sz w:val="24"/>
          <w:szCs w:val="24"/>
        </w:rPr>
      </w:pPr>
      <w:r>
        <w:rPr>
          <w:i/>
          <w:sz w:val="24"/>
          <w:szCs w:val="24"/>
        </w:rPr>
        <w:t>[denominação/razão social da sociedade empresarial]</w:t>
      </w:r>
    </w:p>
    <w:p w14:paraId="33F4918F">
      <w:pPr>
        <w:tabs>
          <w:tab w:val="left" w:pos="5980"/>
        </w:tabs>
        <w:spacing w:line="360" w:lineRule="auto"/>
        <w:ind w:right="-285" w:firstLine="142"/>
        <w:jc w:val="both"/>
        <w:rPr>
          <w:sz w:val="24"/>
          <w:szCs w:val="24"/>
        </w:rPr>
      </w:pPr>
      <w:r>
        <w:rPr>
          <w:sz w:val="24"/>
          <w:szCs w:val="24"/>
        </w:rPr>
        <w:t>Cadastro Nacional de Pessoas Jurídicas – CNPJ n°____________.</w:t>
      </w:r>
    </w:p>
    <w:p w14:paraId="4880EFC5">
      <w:pPr>
        <w:spacing w:line="360" w:lineRule="auto"/>
        <w:ind w:right="-285" w:firstLine="142"/>
        <w:jc w:val="both"/>
        <w:rPr>
          <w:i/>
          <w:sz w:val="24"/>
          <w:szCs w:val="24"/>
        </w:rPr>
      </w:pPr>
      <w:r>
        <w:rPr>
          <w:i/>
          <w:sz w:val="24"/>
          <w:szCs w:val="24"/>
        </w:rPr>
        <w:t>[endereço da sociedade empresarial]</w:t>
      </w:r>
    </w:p>
    <w:p w14:paraId="157B23B9">
      <w:pPr>
        <w:spacing w:line="360" w:lineRule="auto"/>
        <w:ind w:right="-285" w:firstLine="142"/>
        <w:jc w:val="both"/>
        <w:rPr>
          <w:sz w:val="24"/>
          <w:szCs w:val="24"/>
        </w:rPr>
      </w:pPr>
    </w:p>
    <w:p w14:paraId="30162ACD">
      <w:pPr>
        <w:spacing w:line="360" w:lineRule="auto"/>
        <w:ind w:right="-285" w:firstLine="142"/>
        <w:jc w:val="both"/>
        <w:rPr>
          <w:sz w:val="24"/>
          <w:szCs w:val="24"/>
        </w:rPr>
      </w:pPr>
      <w:r>
        <w:rPr>
          <w:sz w:val="24"/>
          <w:szCs w:val="24"/>
        </w:rPr>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D74D5F5">
      <w:pPr>
        <w:spacing w:line="360" w:lineRule="auto"/>
        <w:ind w:right="-285" w:firstLine="142"/>
        <w:jc w:val="both"/>
        <w:rPr>
          <w:sz w:val="24"/>
          <w:szCs w:val="24"/>
        </w:rPr>
      </w:pPr>
    </w:p>
    <w:p w14:paraId="66410FE3">
      <w:pPr>
        <w:spacing w:line="360" w:lineRule="auto"/>
        <w:ind w:right="-285" w:firstLine="142"/>
        <w:jc w:val="center"/>
        <w:rPr>
          <w:sz w:val="24"/>
          <w:szCs w:val="24"/>
        </w:rPr>
      </w:pPr>
      <w:r>
        <w:rPr>
          <w:sz w:val="24"/>
          <w:szCs w:val="24"/>
        </w:rPr>
        <w:t>Valença, _____ de ___________________de _______.</w:t>
      </w:r>
    </w:p>
    <w:p w14:paraId="690B6947">
      <w:pPr>
        <w:spacing w:line="360" w:lineRule="auto"/>
        <w:ind w:right="-285" w:firstLine="142"/>
        <w:jc w:val="both"/>
        <w:rPr>
          <w:sz w:val="24"/>
          <w:szCs w:val="24"/>
        </w:rPr>
      </w:pPr>
    </w:p>
    <w:p w14:paraId="75D2C59F">
      <w:pPr>
        <w:ind w:right="-284" w:firstLine="142"/>
        <w:jc w:val="center"/>
        <w:rPr>
          <w:sz w:val="24"/>
          <w:szCs w:val="24"/>
        </w:rPr>
      </w:pPr>
      <w:r>
        <w:rPr>
          <w:sz w:val="24"/>
          <w:szCs w:val="24"/>
        </w:rPr>
        <w:t>______________________________________________________</w:t>
      </w:r>
    </w:p>
    <w:p w14:paraId="31F45621">
      <w:pPr>
        <w:pStyle w:val="20"/>
        <w:ind w:right="-284" w:firstLine="142"/>
        <w:jc w:val="center"/>
        <w:rPr>
          <w:rFonts w:ascii="Times New Roman" w:hAnsi="Times New Roman" w:cs="Times New Roman"/>
        </w:rPr>
      </w:pPr>
      <w:r>
        <w:rPr>
          <w:rFonts w:ascii="Times New Roman" w:hAnsi="Times New Roman" w:cs="Times New Roman"/>
        </w:rPr>
        <w:t>CONTRATADA</w:t>
      </w:r>
    </w:p>
    <w:p w14:paraId="05990316">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5A182753">
      <w:pPr>
        <w:pStyle w:val="20"/>
        <w:ind w:right="-284" w:firstLine="142"/>
        <w:jc w:val="center"/>
        <w:rPr>
          <w:rFonts w:ascii="Times New Roman" w:hAnsi="Times New Roman" w:cs="Times New Roman"/>
        </w:rPr>
      </w:pPr>
      <w:r>
        <w:rPr>
          <w:rFonts w:ascii="Times New Roman" w:hAnsi="Times New Roman" w:cs="Times New Roman"/>
        </w:rPr>
        <w:t>(Nome, cargo e carimbo da empresa)</w:t>
      </w:r>
    </w:p>
    <w:p w14:paraId="6BA98E2A">
      <w:pPr>
        <w:pStyle w:val="70"/>
        <w:rPr>
          <w:rFonts w:ascii="Times New Roman" w:hAnsi="Times New Roman" w:cs="Times New Roman"/>
        </w:rPr>
      </w:pPr>
    </w:p>
    <w:p w14:paraId="62BFDA7D">
      <w:pPr>
        <w:pStyle w:val="70"/>
        <w:rPr>
          <w:rFonts w:ascii="Times New Roman" w:hAnsi="Times New Roman" w:cs="Times New Roman"/>
        </w:rPr>
      </w:pPr>
    </w:p>
    <w:p w14:paraId="4AAFC1E4">
      <w:pPr>
        <w:pStyle w:val="70"/>
        <w:ind w:left="0"/>
        <w:rPr>
          <w:rFonts w:ascii="Times New Roman" w:hAnsi="Times New Roman" w:cs="Times New Roman"/>
        </w:rPr>
      </w:pPr>
    </w:p>
    <w:p w14:paraId="53AE23C4">
      <w:pPr>
        <w:spacing w:line="360" w:lineRule="auto"/>
        <w:ind w:right="-285" w:firstLine="142"/>
        <w:jc w:val="center"/>
        <w:rPr>
          <w:sz w:val="24"/>
          <w:szCs w:val="24"/>
        </w:rPr>
      </w:pPr>
      <w:r>
        <w:rPr>
          <w:b/>
          <w:bCs/>
          <w:sz w:val="24"/>
          <w:szCs w:val="24"/>
        </w:rPr>
        <w:t>DECLARAÇÃO DE CUMPRIMENTO DE RESERVA DE CARGOS DO ART. 63, IV, DA LEI FEDERAL Nº 14.133/2021</w:t>
      </w:r>
    </w:p>
    <w:p w14:paraId="5A9EEB2C">
      <w:pPr>
        <w:spacing w:line="360" w:lineRule="auto"/>
        <w:ind w:right="-285" w:firstLine="142"/>
        <w:jc w:val="both"/>
        <w:rPr>
          <w:sz w:val="24"/>
          <w:szCs w:val="24"/>
        </w:rPr>
      </w:pPr>
      <w:r>
        <w:rPr>
          <w:sz w:val="24"/>
          <w:szCs w:val="24"/>
        </w:rPr>
        <w:t>(em papel timbrado da empresa)</w:t>
      </w:r>
    </w:p>
    <w:p w14:paraId="1DB0D014">
      <w:pPr>
        <w:spacing w:line="360" w:lineRule="auto"/>
        <w:ind w:right="-285" w:firstLine="142"/>
        <w:jc w:val="both"/>
        <w:rPr>
          <w:sz w:val="24"/>
          <w:szCs w:val="24"/>
        </w:rPr>
      </w:pPr>
    </w:p>
    <w:p w14:paraId="232B419F">
      <w:pPr>
        <w:spacing w:line="360" w:lineRule="auto"/>
        <w:ind w:right="-285" w:firstLine="142"/>
        <w:jc w:val="both"/>
        <w:rPr>
          <w:sz w:val="24"/>
          <w:szCs w:val="24"/>
        </w:rPr>
      </w:pPr>
      <w:r>
        <w:rPr>
          <w:i/>
          <w:sz w:val="24"/>
          <w:szCs w:val="24"/>
        </w:rPr>
        <w:t>[denominação/razão social da sociedade empresarial]</w:t>
      </w:r>
    </w:p>
    <w:p w14:paraId="4D8126A2">
      <w:pPr>
        <w:tabs>
          <w:tab w:val="left" w:pos="5980"/>
        </w:tabs>
        <w:spacing w:line="360" w:lineRule="auto"/>
        <w:ind w:right="-285" w:firstLine="142"/>
        <w:jc w:val="both"/>
        <w:rPr>
          <w:sz w:val="24"/>
          <w:szCs w:val="24"/>
        </w:rPr>
      </w:pPr>
      <w:r>
        <w:rPr>
          <w:sz w:val="24"/>
          <w:szCs w:val="24"/>
        </w:rPr>
        <w:t>Cadastro Nacional de Pessoas Jurídicas – CNPJ n°____________.</w:t>
      </w:r>
    </w:p>
    <w:p w14:paraId="6EB405B1">
      <w:pPr>
        <w:spacing w:line="360" w:lineRule="auto"/>
        <w:ind w:right="-285" w:firstLine="142"/>
        <w:jc w:val="both"/>
        <w:rPr>
          <w:i/>
          <w:sz w:val="24"/>
          <w:szCs w:val="24"/>
        </w:rPr>
      </w:pPr>
      <w:r>
        <w:rPr>
          <w:i/>
          <w:sz w:val="24"/>
          <w:szCs w:val="24"/>
        </w:rPr>
        <w:t>[endereço da sociedade empresarial]</w:t>
      </w:r>
    </w:p>
    <w:p w14:paraId="0B4B4646">
      <w:pPr>
        <w:spacing w:line="360" w:lineRule="auto"/>
        <w:ind w:right="-285" w:firstLine="142"/>
        <w:jc w:val="both"/>
        <w:rPr>
          <w:sz w:val="24"/>
          <w:szCs w:val="24"/>
        </w:rPr>
      </w:pPr>
    </w:p>
    <w:p w14:paraId="61D39F5A">
      <w:pPr>
        <w:spacing w:line="360" w:lineRule="auto"/>
        <w:ind w:right="-285" w:firstLine="142"/>
        <w:jc w:val="both"/>
        <w:rPr>
          <w:sz w:val="24"/>
          <w:szCs w:val="24"/>
        </w:rPr>
      </w:pPr>
      <w:r>
        <w:rPr>
          <w:sz w:val="24"/>
          <w:szCs w:val="24"/>
        </w:rPr>
        <w:t>Considerando o disposto no inciso IV do art. 63 da Lei Federal nº 14.133/2021, DECLARAMOS que cumprimos as exigências de reserva de cargos para pessoa com deficiência e para reabilitado da Previdência Social, previstas em lei e em outras normas específicas.</w:t>
      </w:r>
    </w:p>
    <w:p w14:paraId="0E953B2E">
      <w:pPr>
        <w:spacing w:line="360" w:lineRule="auto"/>
        <w:ind w:right="-285" w:firstLine="142"/>
        <w:jc w:val="both"/>
        <w:rPr>
          <w:sz w:val="24"/>
          <w:szCs w:val="24"/>
        </w:rPr>
      </w:pPr>
    </w:p>
    <w:p w14:paraId="0E0C1461">
      <w:pPr>
        <w:spacing w:line="360" w:lineRule="auto"/>
        <w:ind w:right="-285" w:firstLine="142"/>
        <w:jc w:val="center"/>
        <w:rPr>
          <w:sz w:val="24"/>
          <w:szCs w:val="24"/>
        </w:rPr>
      </w:pPr>
      <w:r>
        <w:rPr>
          <w:sz w:val="24"/>
          <w:szCs w:val="24"/>
        </w:rPr>
        <w:t>Valença, _____ de ___________________de _______.</w:t>
      </w:r>
    </w:p>
    <w:p w14:paraId="0076775A">
      <w:pPr>
        <w:spacing w:line="360" w:lineRule="auto"/>
        <w:ind w:right="-285" w:firstLine="142"/>
        <w:jc w:val="both"/>
        <w:rPr>
          <w:sz w:val="24"/>
          <w:szCs w:val="24"/>
        </w:rPr>
      </w:pPr>
    </w:p>
    <w:p w14:paraId="5BCD6E51">
      <w:pPr>
        <w:ind w:right="-284" w:firstLine="142"/>
        <w:jc w:val="center"/>
        <w:rPr>
          <w:sz w:val="24"/>
          <w:szCs w:val="24"/>
        </w:rPr>
      </w:pPr>
      <w:r>
        <w:rPr>
          <w:sz w:val="24"/>
          <w:szCs w:val="24"/>
        </w:rPr>
        <w:t>______________________________________________________</w:t>
      </w:r>
    </w:p>
    <w:p w14:paraId="730E0339">
      <w:pPr>
        <w:pStyle w:val="20"/>
        <w:ind w:right="-284" w:firstLine="142"/>
        <w:jc w:val="center"/>
        <w:rPr>
          <w:rFonts w:ascii="Times New Roman" w:hAnsi="Times New Roman" w:cs="Times New Roman"/>
        </w:rPr>
      </w:pPr>
      <w:r>
        <w:rPr>
          <w:rFonts w:ascii="Times New Roman" w:hAnsi="Times New Roman" w:cs="Times New Roman"/>
        </w:rPr>
        <w:t>CONTRATADA</w:t>
      </w:r>
    </w:p>
    <w:p w14:paraId="7B9E994A">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0E6BA831">
      <w:pPr>
        <w:pStyle w:val="20"/>
        <w:ind w:right="-284" w:firstLine="142"/>
        <w:jc w:val="center"/>
        <w:rPr>
          <w:rFonts w:ascii="Times New Roman" w:hAnsi="Times New Roman" w:cs="Times New Roman"/>
        </w:rPr>
      </w:pPr>
      <w:r>
        <w:rPr>
          <w:rFonts w:ascii="Times New Roman" w:hAnsi="Times New Roman" w:cs="Times New Roman"/>
        </w:rPr>
        <w:t>(Nome, cargo e carimbo da empresa)</w:t>
      </w:r>
    </w:p>
    <w:p w14:paraId="53202077">
      <w:pPr>
        <w:spacing w:line="360" w:lineRule="auto"/>
        <w:jc w:val="center"/>
        <w:rPr>
          <w:b/>
          <w:bCs/>
          <w:color w:val="FF0000"/>
          <w:u w:val="single"/>
        </w:rPr>
      </w:pPr>
    </w:p>
    <w:p w14:paraId="128A45B5">
      <w:pPr>
        <w:spacing w:line="288" w:lineRule="auto"/>
        <w:contextualSpacing/>
        <w:jc w:val="center"/>
        <w:rPr>
          <w:rFonts w:eastAsia="Calibri"/>
          <w:b/>
          <w:bCs/>
          <w:lang w:eastAsia="en-US"/>
        </w:rPr>
      </w:pPr>
    </w:p>
    <w:p w14:paraId="5DA0E760">
      <w:pPr>
        <w:ind w:right="-285" w:firstLine="142"/>
        <w:rPr>
          <w:rFonts w:asciiTheme="minorHAnsi" w:hAnsiTheme="minorHAnsi" w:cstheme="minorHAnsi"/>
          <w:sz w:val="24"/>
          <w:szCs w:val="24"/>
        </w:rPr>
      </w:pPr>
    </w:p>
    <w:sectPr>
      <w:headerReference r:id="rId3" w:type="default"/>
      <w:footerReference r:id="rId4" w:type="default"/>
      <w:pgSz w:w="11900" w:h="16820"/>
      <w:pgMar w:top="314" w:right="1580" w:bottom="566" w:left="1552" w:header="0" w:footer="490" w:gutter="0"/>
      <w:pgNumType w:start="1"/>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Mangal">
    <w:altName w:val="Segoe Print"/>
    <w:panose1 w:val="00000400000000000000"/>
    <w:charset w:val="00"/>
    <w:family w:val="auto"/>
    <w:pitch w:val="default"/>
    <w:sig w:usb0="00000000" w:usb1="00000000" w:usb2="00000000" w:usb3="00000000" w:csb0="00000000" w:csb1="00000000"/>
  </w:font>
  <w:font w:name="Liberation Serif">
    <w:altName w:val="Times New Roman"/>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Segoe UI">
    <w:panose1 w:val="020B0502040204020203"/>
    <w:charset w:val="00"/>
    <w:family w:val="swiss"/>
    <w:pitch w:val="default"/>
    <w:sig w:usb0="E4002EFF" w:usb1="C000E47F" w:usb2="00000009" w:usb3="00000000" w:csb0="200001FF" w:csb1="00000000"/>
  </w:font>
  <w:font w:name="Georgia">
    <w:panose1 w:val="02040502050405020303"/>
    <w:charset w:val="00"/>
    <w:family w:val="roman"/>
    <w:pitch w:val="default"/>
    <w:sig w:usb0="00000287" w:usb1="00000000" w:usb2="00000000" w:usb3="00000000" w:csb0="2000009F" w:csb1="00000000"/>
  </w:font>
  <w:font w:name="Century Gothic">
    <w:panose1 w:val="020B0502020202020204"/>
    <w:charset w:val="00"/>
    <w:family w:val="swiss"/>
    <w:pitch w:val="default"/>
    <w:sig w:usb0="00000287" w:usb1="00000000" w:usb2="00000000" w:usb3="00000000" w:csb0="2000009F" w:csb1="DFD70000"/>
  </w:font>
  <w:font w:name="Cambria Math">
    <w:panose1 w:val="02040503050406030204"/>
    <w:charset w:val="00"/>
    <w:family w:val="roman"/>
    <w:pitch w:val="default"/>
    <w:sig w:usb0="E00006FF" w:usb1="420024FF" w:usb2="02000000" w:usb3="00000000" w:csb0="2000019F" w:csb1="00000000"/>
  </w:font>
  <w:font w:name="Minion Pro">
    <w:altName w:val="Cambria"/>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roman"/>
    <w:pitch w:val="default"/>
    <w:sig w:usb0="00000000" w:usb1="00000000" w:usb2="00000010" w:usb3="00000000" w:csb0="00020000" w:csb1="00000000"/>
  </w:font>
  <w:font w:name="ＭＳ 明朝">
    <w:altName w:val="Segoe Print"/>
    <w:panose1 w:val="00000000000000000000"/>
    <w:charset w:val="00"/>
    <w:family w:val="auto"/>
    <w:pitch w:val="default"/>
    <w:sig w:usb0="00000000" w:usb1="00000000" w:usb2="00000000" w:usb3="00000000" w:csb0="00000000" w:csb1="00000000"/>
  </w:font>
  <w:font w:name="Ecofont_Spranq_eco_Sans">
    <w:altName w:val="Calibri"/>
    <w:panose1 w:val="00000000000000000000"/>
    <w:charset w:val="00"/>
    <w:family w:val="swiss"/>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003F01FF" w:csb1="00000000"/>
  </w:font>
  <w:font w:name="WenQuanYi Micro Hei">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00000" w:csb1="00000000"/>
  </w:font>
  <w:font w:name="Liberation Sans">
    <w:altName w:val="Segoe Print"/>
    <w:panose1 w:val="00000000000000000000"/>
    <w:charset w:val="00"/>
    <w:family w:val="auto"/>
    <w:pitch w:val="default"/>
    <w:sig w:usb0="00000000" w:usb1="00000000" w:usb2="00000000" w:usb3="00000000" w:csb0="00000000" w:csb1="00000000"/>
  </w:font>
  <w:font w:name="Microsoft YaHei">
    <w:panose1 w:val="020B0503020204020204"/>
    <w:charset w:val="86"/>
    <w:family w:val="swiss"/>
    <w:pitch w:val="default"/>
    <w:sig w:usb0="80000287" w:usb1="2ACF3C50" w:usb2="00000016" w:usb3="00000000" w:csb0="0004001F" w:csb1="00000000"/>
  </w:font>
  <w:font w:name="OpenSymbol">
    <w:altName w:val="Calibri"/>
    <w:panose1 w:val="00000000000000000000"/>
    <w:charset w:val="00"/>
    <w:family w:val="auto"/>
    <w:pitch w:val="default"/>
    <w:sig w:usb0="00000000" w:usb1="00000000" w:usb2="00000000" w:usb3="00000000" w:csb0="00000000" w:csb1="00000000"/>
  </w:font>
  <w:font w:name="Aptos">
    <w:altName w:val="Segoe UI"/>
    <w:panose1 w:val="00000000000000000000"/>
    <w:charset w:val="00"/>
    <w:family w:val="auto"/>
    <w:pitch w:val="default"/>
    <w:sig w:usb0="00000000" w:usb1="00000000" w:usb2="00000000" w:usb3="00000000" w:csb0="2000019F" w:csb1="00000000"/>
  </w:font>
  <w:font w:name="Zurich BT">
    <w:altName w:val="Segoe Print"/>
    <w:panose1 w:val="00000000000000000000"/>
    <w:charset w:val="00"/>
    <w:family w:val="roman"/>
    <w:pitch w:val="default"/>
    <w:sig w:usb0="00000000" w:usb1="00000000" w:usb2="00000000" w:usb3="00000000" w:csb0="00000000" w:csb1="00000000"/>
  </w:font>
  <w:font w:name="MontserratThin">
    <w:altName w:val="Segoe Print"/>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Book Antiqua">
    <w:panose1 w:val="02040602050305030304"/>
    <w:charset w:val="00"/>
    <w:family w:val="roman"/>
    <w:pitch w:val="default"/>
    <w:sig w:usb0="00000287"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ui-serif">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11ECF">
    <w:pPr>
      <w:tabs>
        <w:tab w:val="center" w:pos="4252"/>
        <w:tab w:val="right" w:pos="8504"/>
      </w:tabs>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80</w:t>
    </w:r>
    <w:r>
      <w:rPr>
        <w:color w:val="000000"/>
      </w:rPr>
      <w:fldChar w:fldCharType="end"/>
    </w:r>
  </w:p>
  <w:p w14:paraId="71E7CF60">
    <w:pPr>
      <w:tabs>
        <w:tab w:val="center" w:pos="4252"/>
        <w:tab w:val="right" w:pos="8504"/>
      </w:tabs>
      <w:rPr>
        <w:color w:val="00000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29831">
    <w:pPr>
      <w:pStyle w:val="27"/>
      <w:tabs>
        <w:tab w:val="center" w:pos="2127"/>
      </w:tabs>
      <w:rPr>
        <w:rFonts w:ascii="Book Antiqua" w:hAnsi="Book Antiqua"/>
        <w:b/>
        <w:sz w:val="28"/>
        <w:szCs w:val="28"/>
      </w:rPr>
    </w:pPr>
  </w:p>
  <w:p w14:paraId="6002D546">
    <w:pPr>
      <w:pStyle w:val="27"/>
      <w:tabs>
        <w:tab w:val="center" w:pos="2127"/>
      </w:tabs>
      <w:rPr>
        <w:rFonts w:ascii="Book Antiqua" w:hAnsi="Book Antiqua"/>
        <w:b/>
        <w:sz w:val="28"/>
        <w:szCs w:val="28"/>
      </w:rPr>
    </w:pPr>
  </w:p>
  <w:p w14:paraId="6BD75E03">
    <w:pPr>
      <w:pStyle w:val="27"/>
      <w:tabs>
        <w:tab w:val="center" w:pos="2127"/>
      </w:tabs>
      <w:rPr>
        <w:rFonts w:ascii="Book Antiqua" w:hAnsi="Book Antiqua"/>
        <w:b/>
        <w:sz w:val="28"/>
        <w:szCs w:val="28"/>
      </w:rPr>
    </w:pPr>
    <w:r>
      <w:drawing>
        <wp:anchor distT="0" distB="0" distL="114300" distR="114300" simplePos="0" relativeHeight="251659264" behindDoc="1" locked="0" layoutInCell="1" allowOverlap="1">
          <wp:simplePos x="0" y="0"/>
          <wp:positionH relativeFrom="rightMargin">
            <wp:posOffset>-5745480</wp:posOffset>
          </wp:positionH>
          <wp:positionV relativeFrom="paragraph">
            <wp:posOffset>10160</wp:posOffset>
          </wp:positionV>
          <wp:extent cx="705485" cy="812165"/>
          <wp:effectExtent l="0" t="0" r="0" b="698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05485" cy="812165"/>
                  </a:xfrm>
                  <a:prstGeom prst="rect">
                    <a:avLst/>
                  </a:prstGeom>
                  <a:noFill/>
                </pic:spPr>
              </pic:pic>
            </a:graphicData>
          </a:graphic>
        </wp:anchor>
      </w:drawing>
    </w:r>
  </w:p>
  <w:p w14:paraId="403E8789">
    <w:pPr>
      <w:pStyle w:val="27"/>
      <w:tabs>
        <w:tab w:val="center" w:pos="2127"/>
      </w:tabs>
      <w:jc w:val="center"/>
      <w:rPr>
        <w:rFonts w:ascii="Book Antiqua" w:hAnsi="Book Antiqua"/>
        <w:b/>
        <w:sz w:val="28"/>
        <w:szCs w:val="28"/>
      </w:rPr>
    </w:pPr>
    <w:r>
      <w:rPr>
        <w:rFonts w:ascii="Book Antiqua" w:hAnsi="Book Antiqua"/>
        <w:b/>
        <w:sz w:val="28"/>
        <w:szCs w:val="28"/>
      </w:rPr>
      <w:t>ESTADO DO RIO DE JANEIRO</w:t>
    </w:r>
  </w:p>
  <w:p w14:paraId="39E262B8">
    <w:pPr>
      <w:pStyle w:val="27"/>
      <w:tabs>
        <w:tab w:val="center" w:pos="2127"/>
      </w:tabs>
      <w:jc w:val="center"/>
      <w:rPr>
        <w:rFonts w:ascii="Book Antiqua" w:hAnsi="Book Antiqua"/>
        <w:b/>
        <w:sz w:val="28"/>
        <w:szCs w:val="28"/>
      </w:rPr>
    </w:pPr>
    <w:r>
      <w:rPr>
        <w:rFonts w:ascii="Book Antiqua" w:hAnsi="Book Antiqua"/>
        <w:b/>
        <w:sz w:val="28"/>
        <w:szCs w:val="28"/>
      </w:rPr>
      <w:t>PREFEITURA MUNICIPAL DE VALENÇA</w:t>
    </w:r>
  </w:p>
  <w:p w14:paraId="59B0A304">
    <w:pPr>
      <w:pStyle w:val="27"/>
      <w:tabs>
        <w:tab w:val="center" w:pos="2127"/>
      </w:tabs>
      <w:jc w:val="center"/>
      <w:rPr>
        <w:rFonts w:ascii="Book Antiqua" w:hAnsi="Book Antiqua"/>
        <w:b/>
        <w:sz w:val="28"/>
        <w:szCs w:val="28"/>
      </w:rPr>
    </w:pPr>
    <w:r>
      <w:rPr>
        <w:rFonts w:ascii="Book Antiqua" w:hAnsi="Book Antiqua"/>
        <w:b/>
        <w:sz w:val="28"/>
        <w:szCs w:val="28"/>
      </w:rPr>
      <w:t xml:space="preserve">  DEPARTAMENTO DE COMPRAS E LICITAÇÕES</w:t>
    </w:r>
  </w:p>
  <w:tbl>
    <w:tblPr>
      <w:tblStyle w:val="10"/>
      <w:tblW w:w="10538" w:type="dxa"/>
      <w:tblInd w:w="-28" w:type="dxa"/>
      <w:tblLayout w:type="fixed"/>
      <w:tblCellMar>
        <w:top w:w="0" w:type="dxa"/>
        <w:left w:w="108" w:type="dxa"/>
        <w:bottom w:w="0" w:type="dxa"/>
        <w:right w:w="108" w:type="dxa"/>
      </w:tblCellMar>
    </w:tblPr>
    <w:tblGrid>
      <w:gridCol w:w="940"/>
      <w:gridCol w:w="9362"/>
      <w:gridCol w:w="236"/>
    </w:tblGrid>
    <w:tr w14:paraId="377848AA">
      <w:tblPrEx>
        <w:tblCellMar>
          <w:top w:w="0" w:type="dxa"/>
          <w:left w:w="108" w:type="dxa"/>
          <w:bottom w:w="0" w:type="dxa"/>
          <w:right w:w="108" w:type="dxa"/>
        </w:tblCellMar>
      </w:tblPrEx>
      <w:trPr>
        <w:cantSplit/>
        <w:trHeight w:val="192" w:hRule="atLeast"/>
      </w:trPr>
      <w:tc>
        <w:tcPr>
          <w:tcW w:w="945" w:type="dxa"/>
        </w:tcPr>
        <w:p w14:paraId="686ABAB3">
          <w:pPr>
            <w:pStyle w:val="27"/>
            <w:tabs>
              <w:tab w:val="center" w:pos="2127"/>
            </w:tabs>
            <w:jc w:val="center"/>
            <w:rPr>
              <w:rFonts w:ascii="Book Antiqua" w:hAnsi="Book Antiqua"/>
              <w:b/>
              <w:sz w:val="28"/>
              <w:szCs w:val="28"/>
            </w:rPr>
          </w:pPr>
        </w:p>
        <w:p w14:paraId="61895498">
          <w:pPr>
            <w:tabs>
              <w:tab w:val="center" w:pos="4419"/>
              <w:tab w:val="right" w:pos="8838"/>
            </w:tabs>
            <w:rPr>
              <w:rFonts w:eastAsia="Arial" w:cs="Arial"/>
              <w:color w:val="000000"/>
            </w:rPr>
          </w:pPr>
        </w:p>
      </w:tc>
      <w:tc>
        <w:tcPr>
          <w:tcW w:w="9422" w:type="dxa"/>
          <w:vAlign w:val="center"/>
        </w:tcPr>
        <w:p w14:paraId="16A2CCD3">
          <w:pPr>
            <w:tabs>
              <w:tab w:val="center" w:pos="4419"/>
              <w:tab w:val="right" w:pos="8838"/>
            </w:tabs>
            <w:rPr>
              <w:rFonts w:eastAsia="Arial" w:cs="Arial"/>
              <w:color w:val="000000"/>
              <w:szCs w:val="24"/>
            </w:rPr>
          </w:pPr>
        </w:p>
      </w:tc>
      <w:tc>
        <w:tcPr>
          <w:tcW w:w="171" w:type="dxa"/>
        </w:tcPr>
        <w:p w14:paraId="7E98656F">
          <w:pPr>
            <w:tabs>
              <w:tab w:val="center" w:pos="4419"/>
              <w:tab w:val="right" w:pos="8838"/>
            </w:tabs>
            <w:rPr>
              <w:rFonts w:eastAsia="Arial" w:cs="Arial"/>
              <w:b/>
              <w:color w:val="000000"/>
              <w:sz w:val="18"/>
              <w:szCs w:val="18"/>
            </w:rPr>
          </w:pPr>
        </w:p>
      </w:tc>
    </w:tr>
    <w:tr w14:paraId="750A74D0">
      <w:tblPrEx>
        <w:tblCellMar>
          <w:top w:w="0" w:type="dxa"/>
          <w:left w:w="108" w:type="dxa"/>
          <w:bottom w:w="0" w:type="dxa"/>
          <w:right w:w="108" w:type="dxa"/>
        </w:tblCellMar>
      </w:tblPrEx>
      <w:trPr>
        <w:cantSplit/>
        <w:trHeight w:val="192" w:hRule="atLeast"/>
      </w:trPr>
      <w:tc>
        <w:tcPr>
          <w:tcW w:w="945" w:type="dxa"/>
          <w:tcBorders>
            <w:bottom w:val="single" w:color="000000" w:sz="4" w:space="0"/>
          </w:tcBorders>
        </w:tcPr>
        <w:p w14:paraId="1C88669F">
          <w:pPr>
            <w:tabs>
              <w:tab w:val="center" w:pos="4419"/>
              <w:tab w:val="right" w:pos="8838"/>
            </w:tabs>
            <w:rPr>
              <w:color w:val="000000"/>
              <w:szCs w:val="24"/>
            </w:rPr>
          </w:pPr>
        </w:p>
      </w:tc>
      <w:tc>
        <w:tcPr>
          <w:tcW w:w="9422" w:type="dxa"/>
          <w:tcBorders>
            <w:bottom w:val="single" w:color="000000" w:sz="4" w:space="0"/>
          </w:tcBorders>
          <w:vAlign w:val="center"/>
        </w:tcPr>
        <w:p w14:paraId="37D59277">
          <w:pPr>
            <w:tabs>
              <w:tab w:val="center" w:pos="4419"/>
              <w:tab w:val="right" w:pos="8838"/>
            </w:tabs>
            <w:rPr>
              <w:rFonts w:eastAsia="Arial" w:cs="Arial"/>
              <w:color w:val="000000"/>
              <w:szCs w:val="24"/>
            </w:rPr>
          </w:pPr>
        </w:p>
      </w:tc>
      <w:tc>
        <w:tcPr>
          <w:tcW w:w="171" w:type="dxa"/>
          <w:tcBorders>
            <w:bottom w:val="single" w:color="000000" w:sz="4" w:space="0"/>
          </w:tcBorders>
        </w:tcPr>
        <w:p w14:paraId="1760BB9F">
          <w:pPr>
            <w:tabs>
              <w:tab w:val="center" w:pos="4419"/>
              <w:tab w:val="right" w:pos="8838"/>
            </w:tabs>
            <w:rPr>
              <w:rFonts w:eastAsia="Arial" w:cs="Arial"/>
              <w:b/>
              <w:color w:val="000000"/>
              <w:sz w:val="18"/>
              <w:szCs w:val="18"/>
            </w:rPr>
          </w:pPr>
        </w:p>
      </w:tc>
    </w:tr>
  </w:tbl>
  <w:p w14:paraId="2D30364A">
    <w:pPr>
      <w:tabs>
        <w:tab w:val="left" w:pos="2880"/>
        <w:tab w:val="center" w:pos="4419"/>
        <w:tab w:val="right" w:pos="8838"/>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B3322B"/>
    <w:multiLevelType w:val="singleLevel"/>
    <w:tmpl w:val="D4B3322B"/>
    <w:lvl w:ilvl="0" w:tentative="0">
      <w:start w:val="13"/>
      <w:numFmt w:val="decimal"/>
      <w:suff w:val="space"/>
      <w:lvlText w:val="%1-"/>
      <w:lvlJc w:val="left"/>
    </w:lvl>
  </w:abstractNum>
  <w:abstractNum w:abstractNumId="1">
    <w:nsid w:val="FFFFFF89"/>
    <w:multiLevelType w:val="singleLevel"/>
    <w:tmpl w:val="FFFFFF89"/>
    <w:lvl w:ilvl="0" w:tentative="0">
      <w:start w:val="1"/>
      <w:numFmt w:val="bullet"/>
      <w:pStyle w:val="35"/>
      <w:lvlText w:val=""/>
      <w:lvlJc w:val="left"/>
      <w:pPr>
        <w:tabs>
          <w:tab w:val="left" w:pos="360"/>
        </w:tabs>
        <w:ind w:left="360" w:hanging="360"/>
      </w:pPr>
      <w:rPr>
        <w:rFonts w:hint="default" w:ascii="Symbol" w:hAnsi="Symbol"/>
      </w:rPr>
    </w:lvl>
  </w:abstractNum>
  <w:abstractNum w:abstractNumId="2">
    <w:nsid w:val="14DA32CD"/>
    <w:multiLevelType w:val="multilevel"/>
    <w:tmpl w:val="14DA32CD"/>
    <w:lvl w:ilvl="0" w:tentative="0">
      <w:start w:val="1"/>
      <w:numFmt w:val="decimal"/>
      <w:lvlText w:val="%1."/>
      <w:lvlJc w:val="left"/>
      <w:pPr>
        <w:ind w:left="720" w:hanging="360"/>
      </w:pPr>
      <w:rPr>
        <w:rFonts w:hint="default"/>
      </w:rPr>
    </w:lvl>
    <w:lvl w:ilvl="1" w:tentative="0">
      <w:start w:val="2"/>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3">
    <w:nsid w:val="1D5C100D"/>
    <w:multiLevelType w:val="multilevel"/>
    <w:tmpl w:val="1D5C100D"/>
    <w:lvl w:ilvl="0" w:tentative="0">
      <w:start w:val="3"/>
      <w:numFmt w:val="decimal"/>
      <w:pStyle w:val="107"/>
      <w:lvlText w:val="%1."/>
      <w:lvlJc w:val="left"/>
      <w:pPr>
        <w:ind w:left="360" w:hanging="360"/>
      </w:pPr>
      <w:rPr>
        <w:rFonts w:hint="default"/>
        <w:b/>
        <w:color w:val="auto"/>
      </w:rPr>
    </w:lvl>
    <w:lvl w:ilvl="1" w:tentative="0">
      <w:start w:val="1"/>
      <w:numFmt w:val="decimal"/>
      <w:lvlText w:val="%1.%2."/>
      <w:lvlJc w:val="left"/>
      <w:pPr>
        <w:ind w:left="432" w:hanging="432"/>
      </w:pPr>
      <w:rPr>
        <w:rFonts w:hint="default"/>
        <w:b w:val="0"/>
        <w:i w:val="0"/>
        <w:strike w:val="0"/>
        <w:dstrike w:val="0"/>
        <w:color w:val="auto"/>
        <w:u w:val="none"/>
      </w:rPr>
    </w:lvl>
    <w:lvl w:ilvl="2" w:tentative="0">
      <w:start w:val="1"/>
      <w:numFmt w:val="decimal"/>
      <w:lvlText w:val="%1.%2.%3."/>
      <w:lvlJc w:val="left"/>
      <w:pPr>
        <w:ind w:left="930" w:hanging="504"/>
      </w:pPr>
      <w:rPr>
        <w:rFonts w:hint="default"/>
        <w:b w:val="0"/>
        <w:i w:val="0"/>
        <w:color w:val="auto"/>
      </w:rPr>
    </w:lvl>
    <w:lvl w:ilvl="3" w:tentative="0">
      <w:start w:val="1"/>
      <w:numFmt w:val="decimal"/>
      <w:lvlText w:val="%1.%2.%3.%4."/>
      <w:lvlJc w:val="left"/>
      <w:pPr>
        <w:ind w:left="1641"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4">
    <w:nsid w:val="3A2F616B"/>
    <w:multiLevelType w:val="multilevel"/>
    <w:tmpl w:val="3A2F616B"/>
    <w:lvl w:ilvl="0" w:tentative="0">
      <w:start w:val="9"/>
      <w:numFmt w:val="decimal"/>
      <w:lvlText w:val="%1"/>
      <w:lvlJc w:val="left"/>
      <w:pPr>
        <w:ind w:left="30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bCs/>
        <w:i w:val="0"/>
        <w:strike w:val="0"/>
        <w:dstrike w:val="0"/>
        <w:color w:val="000000"/>
        <w:sz w:val="24"/>
        <w:szCs w:val="24"/>
        <w:u w:val="none" w:color="000000"/>
        <w:shd w:val="clear" w:color="auto" w:fill="auto"/>
        <w:vertAlign w:val="baseline"/>
      </w:rPr>
    </w:lvl>
  </w:abstractNum>
  <w:abstractNum w:abstractNumId="5">
    <w:nsid w:val="43265457"/>
    <w:multiLevelType w:val="multilevel"/>
    <w:tmpl w:val="43265457"/>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6">
    <w:nsid w:val="46085681"/>
    <w:multiLevelType w:val="multilevel"/>
    <w:tmpl w:val="46085681"/>
    <w:lvl w:ilvl="0" w:tentative="0">
      <w:start w:val="1"/>
      <w:numFmt w:val="decimal"/>
      <w:pStyle w:val="140"/>
      <w:lvlText w:val="%1."/>
      <w:lvlJc w:val="left"/>
      <w:pPr>
        <w:ind w:left="720" w:hanging="360"/>
      </w:pPr>
      <w:rPr>
        <w:rFonts w:cs="Times New Roman"/>
        <w:b/>
        <w:bCs/>
        <w:color w:val="000000"/>
      </w:rPr>
    </w:lvl>
    <w:lvl w:ilvl="1" w:tentative="0">
      <w:start w:val="1"/>
      <w:numFmt w:val="decimal"/>
      <w:suff w:val="space"/>
      <w:lvlText w:val="%1.%2."/>
      <w:lvlJc w:val="left"/>
      <w:pPr>
        <w:ind w:left="1072" w:hanging="363"/>
      </w:pPr>
      <w:rPr>
        <w:rFonts w:cs="Times New Roman"/>
        <w:b/>
        <w:bCs/>
        <w:strike w:val="0"/>
        <w:dstrike w:val="0"/>
        <w:color w:val="auto"/>
      </w:rPr>
    </w:lvl>
    <w:lvl w:ilvl="2" w:tentative="0">
      <w:start w:val="1"/>
      <w:numFmt w:val="decimal"/>
      <w:suff w:val="space"/>
      <w:lvlText w:val=" %1.%2.%3."/>
      <w:lvlJc w:val="left"/>
      <w:pPr>
        <w:ind w:left="1440" w:hanging="360"/>
      </w:pPr>
      <w:rPr>
        <w:rFonts w:cs="Times New Roman"/>
        <w:b/>
        <w:bCs/>
      </w:rPr>
    </w:lvl>
    <w:lvl w:ilvl="3" w:tentative="0">
      <w:start w:val="1"/>
      <w:numFmt w:val="decimal"/>
      <w:suff w:val="space"/>
      <w:lvlText w:val=" %1.%2.%3.%4."/>
      <w:lvlJc w:val="left"/>
      <w:pPr>
        <w:ind w:left="1920" w:hanging="360"/>
      </w:pPr>
      <w:rPr>
        <w:rFonts w:cs="Times New Roman"/>
        <w:sz w:val="24"/>
        <w:szCs w:val="24"/>
      </w:rPr>
    </w:lvl>
    <w:lvl w:ilvl="4" w:tentative="0">
      <w:start w:val="1"/>
      <w:numFmt w:val="decimal"/>
      <w:suff w:val="space"/>
      <w:lvlText w:val=" %1.%2.%3.%4.%5."/>
      <w:lvlJc w:val="left"/>
      <w:pPr>
        <w:ind w:left="2160" w:hanging="360"/>
      </w:pPr>
      <w:rPr>
        <w:rFonts w:cs="Times New Roman"/>
      </w:rPr>
    </w:lvl>
    <w:lvl w:ilvl="5" w:tentative="0">
      <w:start w:val="1"/>
      <w:numFmt w:val="decimal"/>
      <w:lvlText w:val=" %1.%2.%3.%4.%5.%6."/>
      <w:lvlJc w:val="left"/>
      <w:pPr>
        <w:ind w:left="2520" w:hanging="360"/>
      </w:pPr>
      <w:rPr>
        <w:rFonts w:cs="Times New Roman"/>
      </w:rPr>
    </w:lvl>
    <w:lvl w:ilvl="6" w:tentative="0">
      <w:start w:val="1"/>
      <w:numFmt w:val="decimal"/>
      <w:lvlText w:val=" %1.%2.%3.%4.%5.%6.%7."/>
      <w:lvlJc w:val="left"/>
      <w:pPr>
        <w:ind w:left="2880" w:hanging="360"/>
      </w:pPr>
      <w:rPr>
        <w:rFonts w:cs="Times New Roman"/>
      </w:rPr>
    </w:lvl>
    <w:lvl w:ilvl="7" w:tentative="0">
      <w:start w:val="1"/>
      <w:numFmt w:val="decimal"/>
      <w:lvlText w:val=" %1.%2.%3.%4.%5.%6.%7.%8."/>
      <w:lvlJc w:val="left"/>
      <w:pPr>
        <w:ind w:left="3240" w:hanging="360"/>
      </w:pPr>
      <w:rPr>
        <w:rFonts w:cs="Times New Roman"/>
      </w:rPr>
    </w:lvl>
    <w:lvl w:ilvl="8" w:tentative="0">
      <w:start w:val="1"/>
      <w:numFmt w:val="decimal"/>
      <w:lvlText w:val=" %1.%2.%3.%4.%5.%6.%7.%8.%9."/>
      <w:lvlJc w:val="left"/>
      <w:pPr>
        <w:ind w:left="3600" w:hanging="360"/>
      </w:pPr>
      <w:rPr>
        <w:rFonts w:cs="Times New Roman"/>
      </w:rPr>
    </w:lvl>
  </w:abstractNum>
  <w:abstractNum w:abstractNumId="7">
    <w:nsid w:val="61DD361E"/>
    <w:multiLevelType w:val="multilevel"/>
    <w:tmpl w:val="61DD361E"/>
    <w:lvl w:ilvl="0" w:tentative="0">
      <w:start w:val="1"/>
      <w:numFmt w:val="decimal"/>
      <w:pStyle w:val="105"/>
      <w:lvlText w:val="%1."/>
      <w:lvlJc w:val="left"/>
      <w:pPr>
        <w:ind w:left="502" w:hanging="360"/>
      </w:pPr>
      <w:rPr>
        <w:rFonts w:hint="default"/>
        <w:b/>
        <w:i w:val="0"/>
      </w:rPr>
    </w:lvl>
    <w:lvl w:ilvl="1" w:tentative="0">
      <w:start w:val="1"/>
      <w:numFmt w:val="decimal"/>
      <w:pStyle w:val="108"/>
      <w:suff w:val="space"/>
      <w:lvlText w:val="%1.%2."/>
      <w:lvlJc w:val="left"/>
      <w:pPr>
        <w:ind w:left="851" w:firstLine="0"/>
      </w:pPr>
      <w:rPr>
        <w:rFonts w:hint="default"/>
        <w:b w:val="0"/>
        <w:i w:val="0"/>
        <w:color w:val="auto"/>
      </w:rPr>
    </w:lvl>
    <w:lvl w:ilvl="2" w:tentative="0">
      <w:start w:val="1"/>
      <w:numFmt w:val="decimal"/>
      <w:pStyle w:val="110"/>
      <w:suff w:val="space"/>
      <w:lvlText w:val="%1.%2.%3."/>
      <w:lvlJc w:val="left"/>
      <w:pPr>
        <w:ind w:left="1135" w:firstLine="0"/>
      </w:pPr>
      <w:rPr>
        <w:rFonts w:hint="default"/>
        <w:b w:val="0"/>
        <w:i w:val="0"/>
        <w:color w:val="auto"/>
        <w:sz w:val="20"/>
        <w:szCs w:val="20"/>
      </w:rPr>
    </w:lvl>
    <w:lvl w:ilvl="3" w:tentative="0">
      <w:start w:val="1"/>
      <w:numFmt w:val="decimal"/>
      <w:pStyle w:val="112"/>
      <w:suff w:val="space"/>
      <w:lvlText w:val="%1.%2.%3.%4."/>
      <w:lvlJc w:val="left"/>
      <w:pPr>
        <w:ind w:left="1702" w:firstLine="0"/>
      </w:pPr>
      <w:rPr>
        <w:rFonts w:hint="default" w:ascii="Times New Roman" w:hAnsi="Times New Roman" w:cs="Times New Roman"/>
        <w:b w:val="0"/>
        <w:bCs/>
        <w:i w:val="0"/>
      </w:rPr>
    </w:lvl>
    <w:lvl w:ilvl="4" w:tentative="0">
      <w:start w:val="1"/>
      <w:numFmt w:val="decimal"/>
      <w:suff w:val="space"/>
      <w:lvlText w:val="%1.%2.%3.%4.%5."/>
      <w:lvlJc w:val="left"/>
      <w:pPr>
        <w:ind w:left="1134" w:firstLine="0"/>
      </w:pPr>
      <w:rPr>
        <w:rFonts w:hint="default"/>
        <w:b/>
        <w:i w:val="0"/>
      </w:rPr>
    </w:lvl>
    <w:lvl w:ilvl="5" w:tentative="0">
      <w:start w:val="1"/>
      <w:numFmt w:val="decimal"/>
      <w:lvlText w:val="%1.%2.%3.%4.%5.%6."/>
      <w:lvlJc w:val="left"/>
      <w:pPr>
        <w:tabs>
          <w:tab w:val="left" w:pos="288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396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abstractNum w:abstractNumId="8">
    <w:nsid w:val="73FC617C"/>
    <w:multiLevelType w:val="multilevel"/>
    <w:tmpl w:val="73FC617C"/>
    <w:lvl w:ilvl="0" w:tentative="0">
      <w:start w:val="1"/>
      <w:numFmt w:val="decimal"/>
      <w:lvlText w:val="%1"/>
      <w:lvlJc w:val="left"/>
      <w:pPr>
        <w:ind w:left="360" w:hanging="360"/>
      </w:pPr>
      <w:rPr>
        <w:rFonts w:hint="default" w:eastAsia="Cambria Math"/>
        <w:sz w:val="24"/>
      </w:rPr>
    </w:lvl>
    <w:lvl w:ilvl="1" w:tentative="0">
      <w:start w:val="1"/>
      <w:numFmt w:val="decimal"/>
      <w:lvlText w:val="%1.%2"/>
      <w:lvlJc w:val="left"/>
      <w:pPr>
        <w:ind w:left="360" w:hanging="360"/>
      </w:pPr>
      <w:rPr>
        <w:rFonts w:hint="default" w:eastAsia="Cambria Math"/>
        <w:sz w:val="24"/>
      </w:rPr>
    </w:lvl>
    <w:lvl w:ilvl="2" w:tentative="0">
      <w:start w:val="1"/>
      <w:numFmt w:val="decimal"/>
      <w:lvlText w:val="%1.%2.%3"/>
      <w:lvlJc w:val="left"/>
      <w:pPr>
        <w:ind w:left="720" w:hanging="720"/>
      </w:pPr>
      <w:rPr>
        <w:rFonts w:hint="default" w:eastAsia="Cambria Math"/>
        <w:sz w:val="24"/>
      </w:rPr>
    </w:lvl>
    <w:lvl w:ilvl="3" w:tentative="0">
      <w:start w:val="1"/>
      <w:numFmt w:val="decimal"/>
      <w:lvlText w:val="%1.%2.%3.%4"/>
      <w:lvlJc w:val="left"/>
      <w:pPr>
        <w:ind w:left="720" w:hanging="720"/>
      </w:pPr>
      <w:rPr>
        <w:rFonts w:hint="default" w:eastAsia="Cambria Math"/>
        <w:sz w:val="24"/>
      </w:rPr>
    </w:lvl>
    <w:lvl w:ilvl="4" w:tentative="0">
      <w:start w:val="1"/>
      <w:numFmt w:val="decimal"/>
      <w:lvlText w:val="%1.%2.%3.%4.%5"/>
      <w:lvlJc w:val="left"/>
      <w:pPr>
        <w:ind w:left="720" w:hanging="720"/>
      </w:pPr>
      <w:rPr>
        <w:rFonts w:hint="default" w:eastAsia="Cambria Math"/>
        <w:sz w:val="24"/>
      </w:rPr>
    </w:lvl>
    <w:lvl w:ilvl="5" w:tentative="0">
      <w:start w:val="1"/>
      <w:numFmt w:val="decimal"/>
      <w:lvlText w:val="%1.%2.%3.%4.%5.%6"/>
      <w:lvlJc w:val="left"/>
      <w:pPr>
        <w:ind w:left="1080" w:hanging="1080"/>
      </w:pPr>
      <w:rPr>
        <w:rFonts w:hint="default" w:eastAsia="Cambria Math"/>
        <w:sz w:val="24"/>
      </w:rPr>
    </w:lvl>
    <w:lvl w:ilvl="6" w:tentative="0">
      <w:start w:val="1"/>
      <w:numFmt w:val="decimal"/>
      <w:lvlText w:val="%1.%2.%3.%4.%5.%6.%7"/>
      <w:lvlJc w:val="left"/>
      <w:pPr>
        <w:ind w:left="1080" w:hanging="1080"/>
      </w:pPr>
      <w:rPr>
        <w:rFonts w:hint="default" w:eastAsia="Cambria Math"/>
        <w:sz w:val="24"/>
      </w:rPr>
    </w:lvl>
    <w:lvl w:ilvl="7" w:tentative="0">
      <w:start w:val="1"/>
      <w:numFmt w:val="decimal"/>
      <w:lvlText w:val="%1.%2.%3.%4.%5.%6.%7.%8"/>
      <w:lvlJc w:val="left"/>
      <w:pPr>
        <w:ind w:left="1440" w:hanging="1440"/>
      </w:pPr>
      <w:rPr>
        <w:rFonts w:hint="default" w:eastAsia="Cambria Math"/>
        <w:sz w:val="24"/>
      </w:rPr>
    </w:lvl>
    <w:lvl w:ilvl="8" w:tentative="0">
      <w:start w:val="1"/>
      <w:numFmt w:val="decimal"/>
      <w:lvlText w:val="%1.%2.%3.%4.%5.%6.%7.%8.%9"/>
      <w:lvlJc w:val="left"/>
      <w:pPr>
        <w:ind w:left="1440" w:hanging="1440"/>
      </w:pPr>
      <w:rPr>
        <w:rFonts w:hint="default" w:eastAsia="Cambria Math"/>
        <w:sz w:val="24"/>
      </w:rPr>
    </w:lvl>
  </w:abstractNum>
  <w:num w:numId="1">
    <w:abstractNumId w:val="1"/>
  </w:num>
  <w:num w:numId="2">
    <w:abstractNumId w:val="7"/>
  </w:num>
  <w:num w:numId="3">
    <w:abstractNumId w:val="3"/>
  </w:num>
  <w:num w:numId="4">
    <w:abstractNumId w:val="6"/>
  </w:num>
  <w:num w:numId="5">
    <w:abstractNumId w:val="2"/>
  </w:num>
  <w:num w:numId="6">
    <w:abstractNumId w:val="4"/>
  </w:num>
  <w:num w:numId="7">
    <w:abstractNumId w:val="0"/>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06E"/>
    <w:rsid w:val="00001727"/>
    <w:rsid w:val="00002B55"/>
    <w:rsid w:val="000047FF"/>
    <w:rsid w:val="0001108A"/>
    <w:rsid w:val="0002476F"/>
    <w:rsid w:val="00031280"/>
    <w:rsid w:val="000337DD"/>
    <w:rsid w:val="0003551A"/>
    <w:rsid w:val="0004193E"/>
    <w:rsid w:val="00042D77"/>
    <w:rsid w:val="00044F59"/>
    <w:rsid w:val="00046F0A"/>
    <w:rsid w:val="00047FAE"/>
    <w:rsid w:val="000546F3"/>
    <w:rsid w:val="0005496D"/>
    <w:rsid w:val="0005640F"/>
    <w:rsid w:val="00064B05"/>
    <w:rsid w:val="000666B9"/>
    <w:rsid w:val="00074132"/>
    <w:rsid w:val="00084938"/>
    <w:rsid w:val="00085292"/>
    <w:rsid w:val="00091296"/>
    <w:rsid w:val="000928E4"/>
    <w:rsid w:val="00093103"/>
    <w:rsid w:val="000943D7"/>
    <w:rsid w:val="000978D1"/>
    <w:rsid w:val="000C3FF4"/>
    <w:rsid w:val="000D7E65"/>
    <w:rsid w:val="000E355F"/>
    <w:rsid w:val="001032D1"/>
    <w:rsid w:val="00115032"/>
    <w:rsid w:val="00117C41"/>
    <w:rsid w:val="00117CB9"/>
    <w:rsid w:val="001245F5"/>
    <w:rsid w:val="00125CB5"/>
    <w:rsid w:val="00126C9A"/>
    <w:rsid w:val="00132AF6"/>
    <w:rsid w:val="00134E13"/>
    <w:rsid w:val="00136938"/>
    <w:rsid w:val="00136F6E"/>
    <w:rsid w:val="00153F3B"/>
    <w:rsid w:val="001573B3"/>
    <w:rsid w:val="00166543"/>
    <w:rsid w:val="001672D9"/>
    <w:rsid w:val="00167314"/>
    <w:rsid w:val="00172E1B"/>
    <w:rsid w:val="00175E95"/>
    <w:rsid w:val="00180B8B"/>
    <w:rsid w:val="001917CC"/>
    <w:rsid w:val="00197CAC"/>
    <w:rsid w:val="001B3FB8"/>
    <w:rsid w:val="001C13C8"/>
    <w:rsid w:val="001C22A8"/>
    <w:rsid w:val="001C53A2"/>
    <w:rsid w:val="001D6836"/>
    <w:rsid w:val="001D7B8A"/>
    <w:rsid w:val="001E2743"/>
    <w:rsid w:val="001E6C6E"/>
    <w:rsid w:val="001F1109"/>
    <w:rsid w:val="001F49CF"/>
    <w:rsid w:val="001F6345"/>
    <w:rsid w:val="00200057"/>
    <w:rsid w:val="002300D2"/>
    <w:rsid w:val="00240649"/>
    <w:rsid w:val="00242F03"/>
    <w:rsid w:val="00243228"/>
    <w:rsid w:val="0024684C"/>
    <w:rsid w:val="00256763"/>
    <w:rsid w:val="00260EAE"/>
    <w:rsid w:val="00261F0F"/>
    <w:rsid w:val="00263F8F"/>
    <w:rsid w:val="00264ADE"/>
    <w:rsid w:val="00276D74"/>
    <w:rsid w:val="00281726"/>
    <w:rsid w:val="00297107"/>
    <w:rsid w:val="002A228F"/>
    <w:rsid w:val="002B5B5D"/>
    <w:rsid w:val="002C3652"/>
    <w:rsid w:val="002C58AE"/>
    <w:rsid w:val="002C60CF"/>
    <w:rsid w:val="002D4334"/>
    <w:rsid w:val="002D66FC"/>
    <w:rsid w:val="002D6BF8"/>
    <w:rsid w:val="002E1E69"/>
    <w:rsid w:val="002E797A"/>
    <w:rsid w:val="002F462C"/>
    <w:rsid w:val="00302FD0"/>
    <w:rsid w:val="003106DF"/>
    <w:rsid w:val="00321757"/>
    <w:rsid w:val="00322708"/>
    <w:rsid w:val="00335508"/>
    <w:rsid w:val="00354BAC"/>
    <w:rsid w:val="0036420F"/>
    <w:rsid w:val="003A122E"/>
    <w:rsid w:val="003C4CAB"/>
    <w:rsid w:val="003C606F"/>
    <w:rsid w:val="003D05A9"/>
    <w:rsid w:val="003D1588"/>
    <w:rsid w:val="003D177A"/>
    <w:rsid w:val="003D2EA0"/>
    <w:rsid w:val="003E114B"/>
    <w:rsid w:val="003E1EEE"/>
    <w:rsid w:val="003E6590"/>
    <w:rsid w:val="003F306E"/>
    <w:rsid w:val="004068F8"/>
    <w:rsid w:val="0041299D"/>
    <w:rsid w:val="0041560B"/>
    <w:rsid w:val="00415D44"/>
    <w:rsid w:val="00416E2B"/>
    <w:rsid w:val="00420256"/>
    <w:rsid w:val="004253EA"/>
    <w:rsid w:val="0043458B"/>
    <w:rsid w:val="00436E02"/>
    <w:rsid w:val="00454E42"/>
    <w:rsid w:val="00461DE5"/>
    <w:rsid w:val="0047114A"/>
    <w:rsid w:val="0047325C"/>
    <w:rsid w:val="00476260"/>
    <w:rsid w:val="00477786"/>
    <w:rsid w:val="00492280"/>
    <w:rsid w:val="00493819"/>
    <w:rsid w:val="0049763F"/>
    <w:rsid w:val="00497AF6"/>
    <w:rsid w:val="004A1E85"/>
    <w:rsid w:val="004C63EB"/>
    <w:rsid w:val="004D591E"/>
    <w:rsid w:val="004E2B2D"/>
    <w:rsid w:val="004E56E8"/>
    <w:rsid w:val="004E7E4B"/>
    <w:rsid w:val="004F38C4"/>
    <w:rsid w:val="004F662C"/>
    <w:rsid w:val="004F6D81"/>
    <w:rsid w:val="004F7B84"/>
    <w:rsid w:val="00501A90"/>
    <w:rsid w:val="005251A9"/>
    <w:rsid w:val="0055320B"/>
    <w:rsid w:val="005633E2"/>
    <w:rsid w:val="00565277"/>
    <w:rsid w:val="00565B68"/>
    <w:rsid w:val="00567642"/>
    <w:rsid w:val="00570DF7"/>
    <w:rsid w:val="00575228"/>
    <w:rsid w:val="00581995"/>
    <w:rsid w:val="00585FDB"/>
    <w:rsid w:val="0058624E"/>
    <w:rsid w:val="005A018E"/>
    <w:rsid w:val="005B0D09"/>
    <w:rsid w:val="005B250C"/>
    <w:rsid w:val="005C25FD"/>
    <w:rsid w:val="005C7DCE"/>
    <w:rsid w:val="005D24F4"/>
    <w:rsid w:val="005D7DBE"/>
    <w:rsid w:val="005E09CD"/>
    <w:rsid w:val="00601AB8"/>
    <w:rsid w:val="00601FD3"/>
    <w:rsid w:val="00616503"/>
    <w:rsid w:val="00616BA8"/>
    <w:rsid w:val="00624931"/>
    <w:rsid w:val="00637301"/>
    <w:rsid w:val="006404C6"/>
    <w:rsid w:val="006454C5"/>
    <w:rsid w:val="00645BB7"/>
    <w:rsid w:val="00660E7E"/>
    <w:rsid w:val="00680E06"/>
    <w:rsid w:val="00681CE1"/>
    <w:rsid w:val="0068208C"/>
    <w:rsid w:val="0069381D"/>
    <w:rsid w:val="006A3A82"/>
    <w:rsid w:val="006A3AB0"/>
    <w:rsid w:val="006B19CD"/>
    <w:rsid w:val="006C60D8"/>
    <w:rsid w:val="006D755A"/>
    <w:rsid w:val="006F6348"/>
    <w:rsid w:val="00705122"/>
    <w:rsid w:val="00717DF6"/>
    <w:rsid w:val="00721F1E"/>
    <w:rsid w:val="00724210"/>
    <w:rsid w:val="007432A6"/>
    <w:rsid w:val="00750F6E"/>
    <w:rsid w:val="00761EB1"/>
    <w:rsid w:val="0077566C"/>
    <w:rsid w:val="00776682"/>
    <w:rsid w:val="00777538"/>
    <w:rsid w:val="00781891"/>
    <w:rsid w:val="0079284B"/>
    <w:rsid w:val="00793A6C"/>
    <w:rsid w:val="0079449F"/>
    <w:rsid w:val="007B2B18"/>
    <w:rsid w:val="007B78AE"/>
    <w:rsid w:val="007C1CCF"/>
    <w:rsid w:val="007D54B2"/>
    <w:rsid w:val="007E2818"/>
    <w:rsid w:val="007F70CB"/>
    <w:rsid w:val="0080251D"/>
    <w:rsid w:val="00802B0D"/>
    <w:rsid w:val="00807740"/>
    <w:rsid w:val="008112DD"/>
    <w:rsid w:val="00812B56"/>
    <w:rsid w:val="0081404E"/>
    <w:rsid w:val="00814E10"/>
    <w:rsid w:val="008161FE"/>
    <w:rsid w:val="00825C70"/>
    <w:rsid w:val="00830279"/>
    <w:rsid w:val="00831C20"/>
    <w:rsid w:val="00833722"/>
    <w:rsid w:val="00840B3C"/>
    <w:rsid w:val="00840E0B"/>
    <w:rsid w:val="008427C3"/>
    <w:rsid w:val="008515C8"/>
    <w:rsid w:val="00853326"/>
    <w:rsid w:val="0086051B"/>
    <w:rsid w:val="008977DB"/>
    <w:rsid w:val="008A076D"/>
    <w:rsid w:val="008A1E6F"/>
    <w:rsid w:val="008A7CA8"/>
    <w:rsid w:val="008C07B2"/>
    <w:rsid w:val="008D1BCA"/>
    <w:rsid w:val="008F1FAC"/>
    <w:rsid w:val="008F3B2D"/>
    <w:rsid w:val="008F5F68"/>
    <w:rsid w:val="008F6AEA"/>
    <w:rsid w:val="008F6FE9"/>
    <w:rsid w:val="00901F2D"/>
    <w:rsid w:val="00905190"/>
    <w:rsid w:val="00910F17"/>
    <w:rsid w:val="00913CAF"/>
    <w:rsid w:val="00916A33"/>
    <w:rsid w:val="00932B6F"/>
    <w:rsid w:val="0093434F"/>
    <w:rsid w:val="00935D0A"/>
    <w:rsid w:val="009372B0"/>
    <w:rsid w:val="00940051"/>
    <w:rsid w:val="00940F12"/>
    <w:rsid w:val="00947D72"/>
    <w:rsid w:val="00953AA6"/>
    <w:rsid w:val="009549D6"/>
    <w:rsid w:val="009652F2"/>
    <w:rsid w:val="00967CFD"/>
    <w:rsid w:val="009720F9"/>
    <w:rsid w:val="00974582"/>
    <w:rsid w:val="0097493B"/>
    <w:rsid w:val="009861B0"/>
    <w:rsid w:val="009932F0"/>
    <w:rsid w:val="009A1021"/>
    <w:rsid w:val="009A7FA7"/>
    <w:rsid w:val="009B0134"/>
    <w:rsid w:val="009B11D6"/>
    <w:rsid w:val="009D436A"/>
    <w:rsid w:val="009D49ED"/>
    <w:rsid w:val="009E4AB8"/>
    <w:rsid w:val="009F178C"/>
    <w:rsid w:val="009F67F4"/>
    <w:rsid w:val="00A048CB"/>
    <w:rsid w:val="00A05736"/>
    <w:rsid w:val="00A06FC3"/>
    <w:rsid w:val="00A07671"/>
    <w:rsid w:val="00A15306"/>
    <w:rsid w:val="00A17830"/>
    <w:rsid w:val="00A17C82"/>
    <w:rsid w:val="00A21328"/>
    <w:rsid w:val="00A32E29"/>
    <w:rsid w:val="00A33395"/>
    <w:rsid w:val="00A362C3"/>
    <w:rsid w:val="00A41EAE"/>
    <w:rsid w:val="00A4369C"/>
    <w:rsid w:val="00A5112D"/>
    <w:rsid w:val="00A55C27"/>
    <w:rsid w:val="00A605C5"/>
    <w:rsid w:val="00A64472"/>
    <w:rsid w:val="00A72AA9"/>
    <w:rsid w:val="00A80F0E"/>
    <w:rsid w:val="00A83DF7"/>
    <w:rsid w:val="00AB1451"/>
    <w:rsid w:val="00AB58C1"/>
    <w:rsid w:val="00AB702D"/>
    <w:rsid w:val="00AB7357"/>
    <w:rsid w:val="00AC6054"/>
    <w:rsid w:val="00AD3ECC"/>
    <w:rsid w:val="00AD54D4"/>
    <w:rsid w:val="00AE5A43"/>
    <w:rsid w:val="00AE7BDE"/>
    <w:rsid w:val="00B10CC3"/>
    <w:rsid w:val="00B17C56"/>
    <w:rsid w:val="00B20178"/>
    <w:rsid w:val="00B2062A"/>
    <w:rsid w:val="00B25548"/>
    <w:rsid w:val="00B30D0B"/>
    <w:rsid w:val="00B339D5"/>
    <w:rsid w:val="00B34BDB"/>
    <w:rsid w:val="00B355A6"/>
    <w:rsid w:val="00B36646"/>
    <w:rsid w:val="00B41BDA"/>
    <w:rsid w:val="00B50433"/>
    <w:rsid w:val="00B60101"/>
    <w:rsid w:val="00B63089"/>
    <w:rsid w:val="00B63832"/>
    <w:rsid w:val="00B6755D"/>
    <w:rsid w:val="00B701E2"/>
    <w:rsid w:val="00B70F01"/>
    <w:rsid w:val="00B71173"/>
    <w:rsid w:val="00B731F6"/>
    <w:rsid w:val="00B75E45"/>
    <w:rsid w:val="00B813E0"/>
    <w:rsid w:val="00B83763"/>
    <w:rsid w:val="00B84E83"/>
    <w:rsid w:val="00B85FCD"/>
    <w:rsid w:val="00B94EEA"/>
    <w:rsid w:val="00BA47FF"/>
    <w:rsid w:val="00BA5F7F"/>
    <w:rsid w:val="00BB19B6"/>
    <w:rsid w:val="00BB5645"/>
    <w:rsid w:val="00BB7EAC"/>
    <w:rsid w:val="00BC1EC1"/>
    <w:rsid w:val="00BC2580"/>
    <w:rsid w:val="00BC44C4"/>
    <w:rsid w:val="00BC579A"/>
    <w:rsid w:val="00BC6EF3"/>
    <w:rsid w:val="00BD2C81"/>
    <w:rsid w:val="00BD329F"/>
    <w:rsid w:val="00BE3D2C"/>
    <w:rsid w:val="00BE426C"/>
    <w:rsid w:val="00BE4911"/>
    <w:rsid w:val="00BE543F"/>
    <w:rsid w:val="00BF5711"/>
    <w:rsid w:val="00BF62FF"/>
    <w:rsid w:val="00C07A79"/>
    <w:rsid w:val="00C343F9"/>
    <w:rsid w:val="00C360B7"/>
    <w:rsid w:val="00C42445"/>
    <w:rsid w:val="00C46A51"/>
    <w:rsid w:val="00C47608"/>
    <w:rsid w:val="00C557EA"/>
    <w:rsid w:val="00C5674C"/>
    <w:rsid w:val="00C62517"/>
    <w:rsid w:val="00C62A71"/>
    <w:rsid w:val="00C75293"/>
    <w:rsid w:val="00C81B7E"/>
    <w:rsid w:val="00C87D25"/>
    <w:rsid w:val="00C97ED5"/>
    <w:rsid w:val="00CA5432"/>
    <w:rsid w:val="00CC1B49"/>
    <w:rsid w:val="00CD281E"/>
    <w:rsid w:val="00CD4DB6"/>
    <w:rsid w:val="00CD7C56"/>
    <w:rsid w:val="00CE4BEB"/>
    <w:rsid w:val="00CF767F"/>
    <w:rsid w:val="00D03E66"/>
    <w:rsid w:val="00D24215"/>
    <w:rsid w:val="00D27F7C"/>
    <w:rsid w:val="00D44898"/>
    <w:rsid w:val="00D65123"/>
    <w:rsid w:val="00D673CE"/>
    <w:rsid w:val="00D90170"/>
    <w:rsid w:val="00D9343D"/>
    <w:rsid w:val="00D9568C"/>
    <w:rsid w:val="00D9648C"/>
    <w:rsid w:val="00DA4283"/>
    <w:rsid w:val="00DA79AE"/>
    <w:rsid w:val="00DB11D9"/>
    <w:rsid w:val="00DD5A11"/>
    <w:rsid w:val="00DE240B"/>
    <w:rsid w:val="00DF6E52"/>
    <w:rsid w:val="00E008CF"/>
    <w:rsid w:val="00E1354B"/>
    <w:rsid w:val="00E1356C"/>
    <w:rsid w:val="00E15C82"/>
    <w:rsid w:val="00E302A1"/>
    <w:rsid w:val="00E33BE2"/>
    <w:rsid w:val="00E37C10"/>
    <w:rsid w:val="00E60A84"/>
    <w:rsid w:val="00E61C53"/>
    <w:rsid w:val="00E6632E"/>
    <w:rsid w:val="00E668F1"/>
    <w:rsid w:val="00E67FFB"/>
    <w:rsid w:val="00E7583B"/>
    <w:rsid w:val="00E8554F"/>
    <w:rsid w:val="00E85576"/>
    <w:rsid w:val="00E9542E"/>
    <w:rsid w:val="00E95795"/>
    <w:rsid w:val="00E975C8"/>
    <w:rsid w:val="00EA221C"/>
    <w:rsid w:val="00EB0614"/>
    <w:rsid w:val="00EB2425"/>
    <w:rsid w:val="00EB5C39"/>
    <w:rsid w:val="00EC15C9"/>
    <w:rsid w:val="00EC5BC1"/>
    <w:rsid w:val="00ED316C"/>
    <w:rsid w:val="00EF0DE4"/>
    <w:rsid w:val="00EF51C9"/>
    <w:rsid w:val="00F10746"/>
    <w:rsid w:val="00F13D82"/>
    <w:rsid w:val="00F34C41"/>
    <w:rsid w:val="00F371F1"/>
    <w:rsid w:val="00F470C6"/>
    <w:rsid w:val="00F519C4"/>
    <w:rsid w:val="00F66C2E"/>
    <w:rsid w:val="00F72635"/>
    <w:rsid w:val="00F83A9D"/>
    <w:rsid w:val="00F90DC5"/>
    <w:rsid w:val="00F92885"/>
    <w:rsid w:val="00FA11B3"/>
    <w:rsid w:val="00FA30F0"/>
    <w:rsid w:val="00FC11D4"/>
    <w:rsid w:val="00FD7C78"/>
    <w:rsid w:val="00FE52A9"/>
    <w:rsid w:val="00FF38CF"/>
    <w:rsid w:val="00FF7E03"/>
    <w:rsid w:val="01EB1B4B"/>
    <w:rsid w:val="05AF3AE1"/>
    <w:rsid w:val="609F524C"/>
    <w:rsid w:val="6EC9601E"/>
    <w:rsid w:val="700A684B"/>
    <w:rsid w:val="7266063B"/>
    <w:rsid w:val="7946715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0" w:semiHidden="0" w:name="annotation text"/>
    <w:lsdException w:qFormat="1" w:unhideWhenUsed="0" w:uiPriority="99"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0" w:semiHidden="0" w:name="List Paragraph"/>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38"/>
    <w:qFormat/>
    <w:uiPriority w:val="0"/>
    <w:pPr>
      <w:keepNext/>
      <w:keepLines/>
      <w:spacing w:before="480" w:after="120"/>
      <w:outlineLvl w:val="0"/>
    </w:pPr>
    <w:rPr>
      <w:b/>
      <w:sz w:val="48"/>
      <w:szCs w:val="48"/>
    </w:rPr>
  </w:style>
  <w:style w:type="paragraph" w:styleId="3">
    <w:name w:val="heading 2"/>
    <w:basedOn w:val="1"/>
    <w:next w:val="1"/>
    <w:link w:val="39"/>
    <w:unhideWhenUsed/>
    <w:qFormat/>
    <w:uiPriority w:val="0"/>
    <w:pPr>
      <w:keepNext/>
      <w:keepLines/>
      <w:spacing w:before="360" w:after="80"/>
      <w:outlineLvl w:val="1"/>
    </w:pPr>
    <w:rPr>
      <w:b/>
      <w:sz w:val="36"/>
      <w:szCs w:val="36"/>
    </w:rPr>
  </w:style>
  <w:style w:type="paragraph" w:styleId="4">
    <w:name w:val="heading 3"/>
    <w:basedOn w:val="1"/>
    <w:next w:val="1"/>
    <w:link w:val="40"/>
    <w:unhideWhenUsed/>
    <w:qFormat/>
    <w:uiPriority w:val="0"/>
    <w:pPr>
      <w:keepNext/>
      <w:keepLines/>
      <w:spacing w:before="280" w:after="80"/>
      <w:outlineLvl w:val="2"/>
    </w:pPr>
    <w:rPr>
      <w:b/>
      <w:sz w:val="28"/>
      <w:szCs w:val="28"/>
    </w:rPr>
  </w:style>
  <w:style w:type="paragraph" w:styleId="5">
    <w:name w:val="heading 4"/>
    <w:basedOn w:val="1"/>
    <w:next w:val="1"/>
    <w:link w:val="41"/>
    <w:unhideWhenUsed/>
    <w:qFormat/>
    <w:uiPriority w:val="0"/>
    <w:pPr>
      <w:keepNext/>
      <w:keepLines/>
      <w:spacing w:before="240" w:after="40"/>
      <w:outlineLvl w:val="3"/>
    </w:pPr>
    <w:rPr>
      <w:b/>
      <w:sz w:val="24"/>
      <w:szCs w:val="24"/>
    </w:rPr>
  </w:style>
  <w:style w:type="paragraph" w:styleId="6">
    <w:name w:val="heading 5"/>
    <w:basedOn w:val="1"/>
    <w:next w:val="1"/>
    <w:link w:val="42"/>
    <w:unhideWhenUsed/>
    <w:qFormat/>
    <w:uiPriority w:val="0"/>
    <w:pPr>
      <w:keepNext/>
      <w:keepLines/>
      <w:spacing w:before="220" w:after="40"/>
      <w:outlineLvl w:val="4"/>
    </w:pPr>
    <w:rPr>
      <w:b/>
      <w:sz w:val="22"/>
      <w:szCs w:val="22"/>
    </w:rPr>
  </w:style>
  <w:style w:type="paragraph" w:styleId="7">
    <w:name w:val="heading 6"/>
    <w:basedOn w:val="1"/>
    <w:next w:val="1"/>
    <w:link w:val="43"/>
    <w:unhideWhenUsed/>
    <w:qFormat/>
    <w:uiPriority w:val="0"/>
    <w:pPr>
      <w:keepNext/>
      <w:keepLines/>
      <w:spacing w:before="200" w:after="40"/>
      <w:outlineLvl w:val="5"/>
    </w:pPr>
    <w:rPr>
      <w:b/>
    </w:rPr>
  </w:style>
  <w:style w:type="paragraph" w:styleId="8">
    <w:name w:val="heading 7"/>
    <w:basedOn w:val="1"/>
    <w:next w:val="1"/>
    <w:link w:val="44"/>
    <w:qFormat/>
    <w:uiPriority w:val="0"/>
    <w:pPr>
      <w:keepNext/>
      <w:keepLines/>
      <w:widowControl w:val="0"/>
      <w:suppressAutoHyphens/>
      <w:autoSpaceDN w:val="0"/>
      <w:spacing w:before="40"/>
      <w:textAlignment w:val="baseline"/>
      <w:outlineLvl w:val="6"/>
    </w:pPr>
    <w:rPr>
      <w:rFonts w:ascii="Calibri Light" w:hAnsi="Calibri Light"/>
      <w:i/>
      <w:iCs/>
      <w:color w:val="1F3763"/>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character" w:styleId="11">
    <w:name w:val="Strong"/>
    <w:qFormat/>
    <w:uiPriority w:val="0"/>
    <w:rPr>
      <w:b/>
      <w:bCs/>
    </w:rPr>
  </w:style>
  <w:style w:type="character" w:styleId="12">
    <w:name w:val="annotation reference"/>
    <w:basedOn w:val="9"/>
    <w:unhideWhenUsed/>
    <w:qFormat/>
    <w:uiPriority w:val="0"/>
    <w:rPr>
      <w:sz w:val="16"/>
      <w:szCs w:val="16"/>
    </w:rPr>
  </w:style>
  <w:style w:type="character" w:styleId="13">
    <w:name w:val="FollowedHyperlink"/>
    <w:basedOn w:val="9"/>
    <w:semiHidden/>
    <w:unhideWhenUsed/>
    <w:qFormat/>
    <w:uiPriority w:val="99"/>
    <w:rPr>
      <w:color w:val="954F72"/>
      <w:u w:val="single"/>
    </w:rPr>
  </w:style>
  <w:style w:type="character" w:styleId="14">
    <w:name w:val="Emphasis"/>
    <w:qFormat/>
    <w:uiPriority w:val="20"/>
    <w:rPr>
      <w:i/>
      <w:iCs/>
    </w:rPr>
  </w:style>
  <w:style w:type="character" w:styleId="15">
    <w:name w:val="footnote reference"/>
    <w:basedOn w:val="9"/>
    <w:unhideWhenUsed/>
    <w:qFormat/>
    <w:uiPriority w:val="99"/>
    <w:rPr>
      <w:vertAlign w:val="superscript"/>
    </w:rPr>
  </w:style>
  <w:style w:type="character" w:styleId="16">
    <w:name w:val="Hyperlink"/>
    <w:basedOn w:val="9"/>
    <w:unhideWhenUsed/>
    <w:qFormat/>
    <w:uiPriority w:val="99"/>
    <w:rPr>
      <w:color w:val="0000FF"/>
      <w:u w:val="single"/>
    </w:rPr>
  </w:style>
  <w:style w:type="paragraph" w:styleId="17">
    <w:name w:val="List"/>
    <w:basedOn w:val="18"/>
    <w:qFormat/>
    <w:uiPriority w:val="0"/>
    <w:rPr>
      <w:rFonts w:cs="Mangal"/>
    </w:rPr>
  </w:style>
  <w:style w:type="paragraph" w:customStyle="1" w:styleId="18">
    <w:name w:val="Text body"/>
    <w:basedOn w:val="19"/>
    <w:qFormat/>
    <w:uiPriority w:val="0"/>
    <w:pPr>
      <w:spacing w:after="140" w:line="276" w:lineRule="auto"/>
    </w:pPr>
  </w:style>
  <w:style w:type="paragraph" w:customStyle="1" w:styleId="19">
    <w:name w:val="Standard"/>
    <w:qFormat/>
    <w:uiPriority w:val="0"/>
    <w:pPr>
      <w:suppressAutoHyphens/>
      <w:autoSpaceDN w:val="0"/>
      <w:spacing w:after="62" w:line="348" w:lineRule="auto"/>
      <w:ind w:left="10" w:right="16" w:hanging="10"/>
      <w:jc w:val="both"/>
      <w:textAlignment w:val="baseline"/>
    </w:pPr>
    <w:rPr>
      <w:rFonts w:ascii="Liberation Serif" w:hAnsi="Liberation Serif" w:eastAsia="Liberation Serif" w:cs="Liberation Serif"/>
      <w:color w:val="000000"/>
      <w:sz w:val="24"/>
      <w:szCs w:val="22"/>
      <w:lang w:val="pt-BR" w:eastAsia="pt-BR" w:bidi="ar-SA"/>
    </w:rPr>
  </w:style>
  <w:style w:type="paragraph" w:styleId="20">
    <w:name w:val="Body Text"/>
    <w:basedOn w:val="1"/>
    <w:link w:val="45"/>
    <w:qFormat/>
    <w:uiPriority w:val="1"/>
    <w:pPr>
      <w:widowControl w:val="0"/>
      <w:suppressAutoHyphens/>
    </w:pPr>
    <w:rPr>
      <w:rFonts w:ascii="Arial" w:hAnsi="Arial" w:eastAsia="Arial" w:cs="Arial"/>
      <w:sz w:val="24"/>
      <w:szCs w:val="24"/>
      <w:lang w:val="pt-PT" w:eastAsia="en-US"/>
    </w:rPr>
  </w:style>
  <w:style w:type="paragraph" w:styleId="21">
    <w:name w:val="annotation text"/>
    <w:basedOn w:val="1"/>
    <w:link w:val="46"/>
    <w:unhideWhenUsed/>
    <w:qFormat/>
    <w:uiPriority w:val="0"/>
    <w:pPr>
      <w:suppressAutoHyphens/>
    </w:pPr>
    <w:rPr>
      <w:rFonts w:ascii="Calibri" w:hAnsi="Calibri" w:eastAsia="Calibri"/>
      <w:lang w:val="en-US" w:eastAsia="zh-CN"/>
    </w:rPr>
  </w:style>
  <w:style w:type="paragraph" w:styleId="22">
    <w:name w:val="Body Text Indent 2"/>
    <w:basedOn w:val="1"/>
    <w:link w:val="47"/>
    <w:qFormat/>
    <w:uiPriority w:val="0"/>
    <w:pPr>
      <w:spacing w:after="120" w:line="480" w:lineRule="auto"/>
      <w:ind w:left="283"/>
    </w:pPr>
    <w:rPr>
      <w:sz w:val="24"/>
      <w:szCs w:val="24"/>
    </w:rPr>
  </w:style>
  <w:style w:type="paragraph" w:styleId="23">
    <w:name w:val="Title"/>
    <w:basedOn w:val="1"/>
    <w:next w:val="1"/>
    <w:link w:val="48"/>
    <w:qFormat/>
    <w:uiPriority w:val="0"/>
    <w:pPr>
      <w:keepNext/>
      <w:keepLines/>
      <w:spacing w:before="480" w:after="120"/>
    </w:pPr>
    <w:rPr>
      <w:b/>
      <w:sz w:val="72"/>
      <w:szCs w:val="72"/>
    </w:rPr>
  </w:style>
  <w:style w:type="paragraph" w:styleId="24">
    <w:name w:val="Normal (Web)"/>
    <w:basedOn w:val="1"/>
    <w:unhideWhenUsed/>
    <w:qFormat/>
    <w:uiPriority w:val="99"/>
    <w:pPr>
      <w:spacing w:before="100" w:beforeAutospacing="1" w:after="100" w:afterAutospacing="1"/>
    </w:pPr>
    <w:rPr>
      <w:sz w:val="24"/>
      <w:szCs w:val="24"/>
    </w:rPr>
  </w:style>
  <w:style w:type="paragraph" w:styleId="25">
    <w:name w:val="Body Text 3"/>
    <w:basedOn w:val="1"/>
    <w:link w:val="49"/>
    <w:unhideWhenUsed/>
    <w:qFormat/>
    <w:uiPriority w:val="99"/>
    <w:pPr>
      <w:spacing w:after="120" w:line="259" w:lineRule="auto"/>
    </w:pPr>
    <w:rPr>
      <w:rFonts w:asciiTheme="minorHAnsi" w:hAnsiTheme="minorHAnsi" w:eastAsiaTheme="minorHAnsi" w:cstheme="minorBidi"/>
      <w:sz w:val="16"/>
      <w:szCs w:val="16"/>
      <w:lang w:eastAsia="en-US"/>
    </w:rPr>
  </w:style>
  <w:style w:type="paragraph" w:styleId="26">
    <w:name w:val="HTML Preformatted"/>
    <w:basedOn w:val="1"/>
    <w:link w:val="50"/>
    <w:semiHidden/>
    <w:unhideWhenUsed/>
    <w:qFormat/>
    <w:uiPriority w:val="99"/>
    <w:rPr>
      <w:rFonts w:ascii="Consolas" w:hAnsi="Consolas" w:eastAsiaTheme="minorHAnsi" w:cstheme="minorBidi"/>
      <w:kern w:val="2"/>
      <w:lang w:eastAsia="en-US"/>
      <w14:ligatures w14:val="standardContextual"/>
    </w:rPr>
  </w:style>
  <w:style w:type="paragraph" w:styleId="27">
    <w:name w:val="header"/>
    <w:basedOn w:val="1"/>
    <w:link w:val="51"/>
    <w:qFormat/>
    <w:uiPriority w:val="99"/>
    <w:pPr>
      <w:tabs>
        <w:tab w:val="center" w:pos="4419"/>
        <w:tab w:val="right" w:pos="8838"/>
      </w:tabs>
    </w:pPr>
  </w:style>
  <w:style w:type="paragraph" w:styleId="28">
    <w:name w:val="annotation subject"/>
    <w:basedOn w:val="21"/>
    <w:next w:val="21"/>
    <w:link w:val="52"/>
    <w:unhideWhenUsed/>
    <w:qFormat/>
    <w:uiPriority w:val="0"/>
    <w:pPr>
      <w:suppressAutoHyphens w:val="0"/>
      <w:spacing w:after="160"/>
    </w:pPr>
    <w:rPr>
      <w:rFonts w:asciiTheme="minorHAnsi" w:hAnsiTheme="minorHAnsi" w:eastAsiaTheme="minorHAnsi" w:cstheme="minorBidi"/>
      <w:b/>
      <w:bCs/>
      <w:lang w:val="pt-BR" w:eastAsia="en-US"/>
    </w:rPr>
  </w:style>
  <w:style w:type="paragraph" w:styleId="29">
    <w:name w:val="footer"/>
    <w:basedOn w:val="1"/>
    <w:link w:val="54"/>
    <w:unhideWhenUsed/>
    <w:qFormat/>
    <w:uiPriority w:val="99"/>
    <w:pPr>
      <w:tabs>
        <w:tab w:val="center" w:pos="4252"/>
        <w:tab w:val="right" w:pos="8504"/>
      </w:tabs>
    </w:pPr>
  </w:style>
  <w:style w:type="paragraph" w:styleId="30">
    <w:name w:val="caption"/>
    <w:basedOn w:val="1"/>
    <w:next w:val="1"/>
    <w:unhideWhenUsed/>
    <w:qFormat/>
    <w:uiPriority w:val="0"/>
    <w:pPr>
      <w:spacing w:after="200"/>
    </w:pPr>
    <w:rPr>
      <w:rFonts w:ascii="Calibri" w:hAnsi="Calibri" w:eastAsia="Calibri" w:cs="Calibri"/>
      <w:i/>
      <w:iCs/>
      <w:color w:val="1F497D" w:themeColor="text2"/>
      <w:sz w:val="18"/>
      <w:szCs w:val="18"/>
      <w14:textFill>
        <w14:solidFill>
          <w14:schemeClr w14:val="tx2"/>
        </w14:solidFill>
      </w14:textFill>
    </w:rPr>
  </w:style>
  <w:style w:type="paragraph" w:styleId="31">
    <w:name w:val="Body Text Indent 3"/>
    <w:basedOn w:val="1"/>
    <w:link w:val="55"/>
    <w:qFormat/>
    <w:uiPriority w:val="0"/>
    <w:pPr>
      <w:spacing w:line="360" w:lineRule="auto"/>
      <w:ind w:firstLine="2552"/>
      <w:jc w:val="both"/>
    </w:pPr>
    <w:rPr>
      <w:rFonts w:ascii="Arial" w:hAnsi="Arial"/>
      <w:sz w:val="24"/>
    </w:rPr>
  </w:style>
  <w:style w:type="paragraph" w:styleId="32">
    <w:name w:val="Balloon Text"/>
    <w:basedOn w:val="1"/>
    <w:link w:val="56"/>
    <w:unhideWhenUsed/>
    <w:qFormat/>
    <w:uiPriority w:val="99"/>
    <w:rPr>
      <w:rFonts w:ascii="Segoe UI" w:hAnsi="Segoe UI" w:cs="Segoe UI" w:eastAsiaTheme="minorHAnsi"/>
      <w:sz w:val="18"/>
      <w:szCs w:val="18"/>
      <w:lang w:eastAsia="en-US"/>
    </w:rPr>
  </w:style>
  <w:style w:type="paragraph" w:styleId="33">
    <w:name w:val="Subtitle"/>
    <w:basedOn w:val="1"/>
    <w:next w:val="1"/>
    <w:link w:val="57"/>
    <w:qFormat/>
    <w:uiPriority w:val="11"/>
    <w:pPr>
      <w:keepNext/>
      <w:keepLines/>
      <w:spacing w:before="360" w:after="80"/>
    </w:pPr>
    <w:rPr>
      <w:rFonts w:ascii="Georgia" w:hAnsi="Georgia" w:eastAsia="Georgia" w:cs="Georgia"/>
      <w:i/>
      <w:color w:val="666666"/>
      <w:sz w:val="48"/>
      <w:szCs w:val="48"/>
    </w:rPr>
  </w:style>
  <w:style w:type="paragraph" w:styleId="34">
    <w:name w:val="footnote text"/>
    <w:basedOn w:val="1"/>
    <w:link w:val="58"/>
    <w:unhideWhenUsed/>
    <w:qFormat/>
    <w:uiPriority w:val="99"/>
    <w:rPr>
      <w:rFonts w:asciiTheme="minorHAnsi" w:hAnsiTheme="minorHAnsi" w:eastAsiaTheme="minorHAnsi" w:cstheme="minorBidi"/>
      <w:lang w:eastAsia="en-US"/>
    </w:rPr>
  </w:style>
  <w:style w:type="paragraph" w:styleId="35">
    <w:name w:val="List Bullet"/>
    <w:basedOn w:val="1"/>
    <w:unhideWhenUsed/>
    <w:qFormat/>
    <w:uiPriority w:val="99"/>
    <w:pPr>
      <w:numPr>
        <w:ilvl w:val="0"/>
        <w:numId w:val="1"/>
      </w:numPr>
      <w:spacing w:after="160" w:line="259" w:lineRule="auto"/>
      <w:contextualSpacing/>
    </w:pPr>
    <w:rPr>
      <w:rFonts w:asciiTheme="minorHAnsi" w:hAnsiTheme="minorHAnsi" w:eastAsiaTheme="minorHAnsi" w:cstheme="minorBidi"/>
      <w:sz w:val="22"/>
      <w:szCs w:val="22"/>
      <w:lang w:eastAsia="en-US"/>
    </w:rPr>
  </w:style>
  <w:style w:type="paragraph" w:styleId="36">
    <w:name w:val="Body Text Indent"/>
    <w:basedOn w:val="1"/>
    <w:link w:val="59"/>
    <w:unhideWhenUsed/>
    <w:qFormat/>
    <w:uiPriority w:val="0"/>
    <w:pPr>
      <w:widowControl w:val="0"/>
      <w:autoSpaceDE w:val="0"/>
      <w:autoSpaceDN w:val="0"/>
      <w:spacing w:after="120"/>
      <w:ind w:left="283"/>
    </w:pPr>
    <w:rPr>
      <w:rFonts w:ascii="Century Gothic" w:hAnsi="Century Gothic" w:eastAsia="Century Gothic" w:cs="Century Gothic"/>
      <w:sz w:val="22"/>
      <w:szCs w:val="22"/>
      <w:lang w:val="pt-PT" w:eastAsia="en-US"/>
    </w:rPr>
  </w:style>
  <w:style w:type="table" w:styleId="37">
    <w:name w:val="Table Grid"/>
    <w:basedOn w:val="10"/>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8">
    <w:name w:val="Título 1 Char"/>
    <w:basedOn w:val="9"/>
    <w:link w:val="2"/>
    <w:qFormat/>
    <w:uiPriority w:val="0"/>
    <w:rPr>
      <w:b/>
      <w:sz w:val="48"/>
      <w:szCs w:val="48"/>
    </w:rPr>
  </w:style>
  <w:style w:type="character" w:customStyle="1" w:styleId="39">
    <w:name w:val="Título 2 Char"/>
    <w:basedOn w:val="9"/>
    <w:link w:val="3"/>
    <w:qFormat/>
    <w:uiPriority w:val="0"/>
    <w:rPr>
      <w:b/>
      <w:sz w:val="36"/>
      <w:szCs w:val="36"/>
    </w:rPr>
  </w:style>
  <w:style w:type="character" w:customStyle="1" w:styleId="40">
    <w:name w:val="Título 3 Char"/>
    <w:basedOn w:val="9"/>
    <w:link w:val="4"/>
    <w:qFormat/>
    <w:uiPriority w:val="0"/>
    <w:rPr>
      <w:b/>
      <w:sz w:val="28"/>
      <w:szCs w:val="28"/>
    </w:rPr>
  </w:style>
  <w:style w:type="character" w:customStyle="1" w:styleId="41">
    <w:name w:val="Título 4 Char"/>
    <w:basedOn w:val="9"/>
    <w:link w:val="5"/>
    <w:qFormat/>
    <w:uiPriority w:val="0"/>
    <w:rPr>
      <w:b/>
      <w:sz w:val="24"/>
      <w:szCs w:val="24"/>
    </w:rPr>
  </w:style>
  <w:style w:type="character" w:customStyle="1" w:styleId="42">
    <w:name w:val="Título 5 Char"/>
    <w:basedOn w:val="9"/>
    <w:link w:val="6"/>
    <w:qFormat/>
    <w:uiPriority w:val="0"/>
    <w:rPr>
      <w:b/>
      <w:sz w:val="22"/>
      <w:szCs w:val="22"/>
    </w:rPr>
  </w:style>
  <w:style w:type="character" w:customStyle="1" w:styleId="43">
    <w:name w:val="Título 6 Char"/>
    <w:basedOn w:val="9"/>
    <w:link w:val="7"/>
    <w:qFormat/>
    <w:uiPriority w:val="0"/>
    <w:rPr>
      <w:b/>
    </w:rPr>
  </w:style>
  <w:style w:type="character" w:customStyle="1" w:styleId="44">
    <w:name w:val="Título 7 Char"/>
    <w:basedOn w:val="9"/>
    <w:link w:val="8"/>
    <w:qFormat/>
    <w:uiPriority w:val="0"/>
    <w:rPr>
      <w:rFonts w:ascii="Calibri Light" w:hAnsi="Calibri Light"/>
      <w:i/>
      <w:iCs/>
      <w:color w:val="1F3763"/>
      <w:sz w:val="22"/>
      <w:szCs w:val="22"/>
    </w:rPr>
  </w:style>
  <w:style w:type="character" w:customStyle="1" w:styleId="45">
    <w:name w:val="Corpo de texto Char"/>
    <w:basedOn w:val="9"/>
    <w:link w:val="20"/>
    <w:qFormat/>
    <w:uiPriority w:val="1"/>
    <w:rPr>
      <w:rFonts w:ascii="Arial" w:hAnsi="Arial" w:eastAsia="Arial" w:cs="Arial"/>
      <w:sz w:val="24"/>
      <w:szCs w:val="24"/>
      <w:lang w:val="pt-PT" w:eastAsia="en-US"/>
    </w:rPr>
  </w:style>
  <w:style w:type="character" w:customStyle="1" w:styleId="46">
    <w:name w:val="Texto de comentário Char"/>
    <w:basedOn w:val="9"/>
    <w:link w:val="21"/>
    <w:qFormat/>
    <w:uiPriority w:val="0"/>
    <w:rPr>
      <w:rFonts w:ascii="Calibri" w:hAnsi="Calibri" w:eastAsia="Calibri"/>
      <w:lang w:val="en-US" w:eastAsia="zh-CN"/>
    </w:rPr>
  </w:style>
  <w:style w:type="character" w:customStyle="1" w:styleId="47">
    <w:name w:val="Recuo de corpo de texto 2 Char"/>
    <w:basedOn w:val="9"/>
    <w:link w:val="22"/>
    <w:qFormat/>
    <w:uiPriority w:val="0"/>
    <w:rPr>
      <w:sz w:val="24"/>
      <w:szCs w:val="24"/>
    </w:rPr>
  </w:style>
  <w:style w:type="character" w:customStyle="1" w:styleId="48">
    <w:name w:val="Título Char"/>
    <w:basedOn w:val="9"/>
    <w:link w:val="23"/>
    <w:qFormat/>
    <w:uiPriority w:val="0"/>
    <w:rPr>
      <w:b/>
      <w:sz w:val="72"/>
      <w:szCs w:val="72"/>
    </w:rPr>
  </w:style>
  <w:style w:type="character" w:customStyle="1" w:styleId="49">
    <w:name w:val="Corpo de texto 3 Char"/>
    <w:basedOn w:val="9"/>
    <w:link w:val="25"/>
    <w:qFormat/>
    <w:uiPriority w:val="99"/>
    <w:rPr>
      <w:rFonts w:asciiTheme="minorHAnsi" w:hAnsiTheme="minorHAnsi" w:eastAsiaTheme="minorHAnsi" w:cstheme="minorBidi"/>
      <w:sz w:val="16"/>
      <w:szCs w:val="16"/>
      <w:lang w:eastAsia="en-US"/>
    </w:rPr>
  </w:style>
  <w:style w:type="character" w:customStyle="1" w:styleId="50">
    <w:name w:val="Pré-formatação HTML Char"/>
    <w:basedOn w:val="9"/>
    <w:link w:val="26"/>
    <w:semiHidden/>
    <w:qFormat/>
    <w:uiPriority w:val="99"/>
    <w:rPr>
      <w:rFonts w:ascii="Consolas" w:hAnsi="Consolas" w:eastAsiaTheme="minorHAnsi" w:cstheme="minorBidi"/>
      <w:kern w:val="2"/>
      <w:lang w:eastAsia="en-US"/>
      <w14:ligatures w14:val="standardContextual"/>
    </w:rPr>
  </w:style>
  <w:style w:type="character" w:customStyle="1" w:styleId="51">
    <w:name w:val="Cabeçalho Char"/>
    <w:basedOn w:val="9"/>
    <w:link w:val="27"/>
    <w:qFormat/>
    <w:uiPriority w:val="99"/>
    <w:rPr>
      <w:rFonts w:ascii="Times New Roman" w:hAnsi="Times New Roman" w:eastAsia="Times New Roman" w:cs="Times New Roman"/>
      <w:sz w:val="20"/>
      <w:szCs w:val="20"/>
      <w:lang w:eastAsia="pt-BR"/>
    </w:rPr>
  </w:style>
  <w:style w:type="character" w:customStyle="1" w:styleId="52">
    <w:name w:val="Assunto do comentário Char"/>
    <w:basedOn w:val="53"/>
    <w:link w:val="28"/>
    <w:qFormat/>
    <w:uiPriority w:val="0"/>
    <w:rPr>
      <w:rFonts w:asciiTheme="minorHAnsi" w:hAnsiTheme="minorHAnsi" w:eastAsiaTheme="minorHAnsi" w:cstheme="minorBidi"/>
      <w:b/>
      <w:bCs/>
      <w:lang w:eastAsia="en-US"/>
    </w:rPr>
  </w:style>
  <w:style w:type="character" w:customStyle="1" w:styleId="53">
    <w:name w:val="Texto de comentário Char1"/>
    <w:basedOn w:val="9"/>
    <w:semiHidden/>
    <w:qFormat/>
    <w:uiPriority w:val="99"/>
  </w:style>
  <w:style w:type="character" w:customStyle="1" w:styleId="54">
    <w:name w:val="Rodapé Char"/>
    <w:basedOn w:val="9"/>
    <w:link w:val="29"/>
    <w:qFormat/>
    <w:uiPriority w:val="99"/>
    <w:rPr>
      <w:rFonts w:ascii="Times New Roman" w:hAnsi="Times New Roman" w:eastAsia="Times New Roman" w:cs="Times New Roman"/>
      <w:sz w:val="20"/>
      <w:szCs w:val="20"/>
      <w:lang w:eastAsia="pt-BR"/>
    </w:rPr>
  </w:style>
  <w:style w:type="character" w:customStyle="1" w:styleId="55">
    <w:name w:val="Recuo de corpo de texto 3 Char"/>
    <w:basedOn w:val="9"/>
    <w:link w:val="31"/>
    <w:qFormat/>
    <w:uiPriority w:val="0"/>
    <w:rPr>
      <w:rFonts w:ascii="Arial" w:hAnsi="Arial"/>
      <w:sz w:val="24"/>
    </w:rPr>
  </w:style>
  <w:style w:type="character" w:customStyle="1" w:styleId="56">
    <w:name w:val="Texto de balão Char"/>
    <w:basedOn w:val="9"/>
    <w:link w:val="32"/>
    <w:qFormat/>
    <w:uiPriority w:val="99"/>
    <w:rPr>
      <w:rFonts w:ascii="Segoe UI" w:hAnsi="Segoe UI" w:cs="Segoe UI" w:eastAsiaTheme="minorHAnsi"/>
      <w:sz w:val="18"/>
      <w:szCs w:val="18"/>
      <w:lang w:eastAsia="en-US"/>
    </w:rPr>
  </w:style>
  <w:style w:type="character" w:customStyle="1" w:styleId="57">
    <w:name w:val="Subtítulo Char"/>
    <w:basedOn w:val="9"/>
    <w:link w:val="33"/>
    <w:qFormat/>
    <w:uiPriority w:val="11"/>
    <w:rPr>
      <w:rFonts w:ascii="Georgia" w:hAnsi="Georgia" w:eastAsia="Georgia" w:cs="Georgia"/>
      <w:i/>
      <w:color w:val="666666"/>
      <w:sz w:val="48"/>
      <w:szCs w:val="48"/>
    </w:rPr>
  </w:style>
  <w:style w:type="character" w:customStyle="1" w:styleId="58">
    <w:name w:val="Texto de nota de rodapé Char"/>
    <w:basedOn w:val="9"/>
    <w:link w:val="34"/>
    <w:qFormat/>
    <w:uiPriority w:val="99"/>
    <w:rPr>
      <w:rFonts w:asciiTheme="minorHAnsi" w:hAnsiTheme="minorHAnsi" w:eastAsiaTheme="minorHAnsi" w:cstheme="minorBidi"/>
      <w:lang w:eastAsia="en-US"/>
    </w:rPr>
  </w:style>
  <w:style w:type="character" w:customStyle="1" w:styleId="59">
    <w:name w:val="Recuo de corpo de texto Char"/>
    <w:basedOn w:val="9"/>
    <w:link w:val="36"/>
    <w:qFormat/>
    <w:uiPriority w:val="0"/>
    <w:rPr>
      <w:rFonts w:ascii="Century Gothic" w:hAnsi="Century Gothic" w:eastAsia="Century Gothic" w:cs="Century Gothic"/>
      <w:sz w:val="22"/>
      <w:szCs w:val="22"/>
      <w:lang w:val="pt-PT" w:eastAsia="en-US"/>
    </w:rPr>
  </w:style>
  <w:style w:type="table" w:customStyle="1" w:styleId="60">
    <w:name w:val="Table Normal"/>
    <w:qFormat/>
    <w:uiPriority w:val="0"/>
    <w:tblPr>
      <w:tblCellMar>
        <w:top w:w="0" w:type="dxa"/>
        <w:left w:w="0" w:type="dxa"/>
        <w:bottom w:w="0" w:type="dxa"/>
        <w:right w:w="0" w:type="dxa"/>
      </w:tblCellMar>
    </w:tblPr>
  </w:style>
  <w:style w:type="paragraph" w:styleId="61">
    <w:name w:val="List Paragraph"/>
    <w:basedOn w:val="1"/>
    <w:link w:val="62"/>
    <w:qFormat/>
    <w:uiPriority w:val="0"/>
    <w:pPr>
      <w:ind w:left="720"/>
      <w:contextualSpacing/>
    </w:pPr>
  </w:style>
  <w:style w:type="character" w:customStyle="1" w:styleId="62">
    <w:name w:val="Parágrafo da Lista Char"/>
    <w:link w:val="61"/>
    <w:qFormat/>
    <w:uiPriority w:val="1"/>
  </w:style>
  <w:style w:type="table" w:customStyle="1" w:styleId="63">
    <w:name w:val="_Style 17"/>
    <w:basedOn w:val="60"/>
    <w:qFormat/>
    <w:uiPriority w:val="0"/>
    <w:tblPr>
      <w:tblCellMar>
        <w:left w:w="115" w:type="dxa"/>
        <w:right w:w="115" w:type="dxa"/>
      </w:tblCellMar>
    </w:tblPr>
  </w:style>
  <w:style w:type="table" w:customStyle="1" w:styleId="64">
    <w:name w:val="_Style 18"/>
    <w:basedOn w:val="60"/>
    <w:qFormat/>
    <w:uiPriority w:val="0"/>
    <w:tblPr>
      <w:tblCellMar>
        <w:left w:w="115" w:type="dxa"/>
        <w:right w:w="115" w:type="dxa"/>
      </w:tblCellMar>
    </w:tblPr>
  </w:style>
  <w:style w:type="table" w:customStyle="1" w:styleId="65">
    <w:name w:val="_Style 19"/>
    <w:basedOn w:val="60"/>
    <w:uiPriority w:val="0"/>
    <w:tblPr>
      <w:tblCellMar>
        <w:left w:w="115" w:type="dxa"/>
        <w:right w:w="115" w:type="dxa"/>
      </w:tblCellMar>
    </w:tblPr>
  </w:style>
  <w:style w:type="table" w:customStyle="1" w:styleId="66">
    <w:name w:val="_Style 20"/>
    <w:basedOn w:val="60"/>
    <w:qFormat/>
    <w:uiPriority w:val="0"/>
    <w:tblPr>
      <w:tblCellMar>
        <w:left w:w="115" w:type="dxa"/>
        <w:right w:w="115" w:type="dxa"/>
      </w:tblCellMar>
    </w:tblPr>
  </w:style>
  <w:style w:type="table" w:customStyle="1" w:styleId="67">
    <w:name w:val="_Style 21"/>
    <w:basedOn w:val="60"/>
    <w:uiPriority w:val="0"/>
    <w:tblPr>
      <w:tblCellMar>
        <w:left w:w="115" w:type="dxa"/>
        <w:right w:w="115" w:type="dxa"/>
      </w:tblCellMar>
    </w:tblPr>
  </w:style>
  <w:style w:type="table" w:customStyle="1" w:styleId="68">
    <w:name w:val="_Style 22"/>
    <w:basedOn w:val="60"/>
    <w:qFormat/>
    <w:uiPriority w:val="0"/>
    <w:tblPr>
      <w:tblCellMar>
        <w:left w:w="115" w:type="dxa"/>
        <w:right w:w="115" w:type="dxa"/>
      </w:tblCellMar>
    </w:tblPr>
  </w:style>
  <w:style w:type="table" w:customStyle="1" w:styleId="69">
    <w:name w:val="_Style 23"/>
    <w:basedOn w:val="60"/>
    <w:qFormat/>
    <w:uiPriority w:val="0"/>
    <w:tblPr>
      <w:tblCellMar>
        <w:left w:w="70" w:type="dxa"/>
        <w:right w:w="70" w:type="dxa"/>
      </w:tblCellMar>
    </w:tblPr>
  </w:style>
  <w:style w:type="paragraph" w:customStyle="1" w:styleId="70">
    <w:name w:val="TEXTO"/>
    <w:basedOn w:val="1"/>
    <w:autoRedefine/>
    <w:qFormat/>
    <w:uiPriority w:val="0"/>
    <w:pPr>
      <w:suppressAutoHyphens/>
      <w:spacing w:line="360" w:lineRule="auto"/>
      <w:ind w:left="142" w:right="537"/>
      <w:jc w:val="both"/>
    </w:pPr>
    <w:rPr>
      <w:rFonts w:eastAsia="Cambria Math" w:asciiTheme="minorHAnsi" w:hAnsiTheme="minorHAnsi" w:cstheme="minorHAnsi"/>
      <w:color w:val="000000" w:themeColor="text1"/>
      <w:sz w:val="24"/>
      <w:szCs w:val="24"/>
      <w14:textFill>
        <w14:solidFill>
          <w14:schemeClr w14:val="tx1"/>
        </w14:solidFill>
      </w14:textFill>
    </w:rPr>
  </w:style>
  <w:style w:type="paragraph" w:customStyle="1" w:styleId="71">
    <w:name w:val="WW-Texto sem formatação"/>
    <w:basedOn w:val="1"/>
    <w:qFormat/>
    <w:uiPriority w:val="0"/>
    <w:pPr>
      <w:suppressAutoHyphens/>
    </w:pPr>
    <w:rPr>
      <w:rFonts w:ascii="Courier New" w:hAnsi="Courier New" w:cs="Courier New"/>
      <w:lang w:eastAsia="ar-SA"/>
    </w:rPr>
  </w:style>
  <w:style w:type="character" w:customStyle="1" w:styleId="72">
    <w:name w:val="Footnote Characters"/>
    <w:basedOn w:val="9"/>
    <w:semiHidden/>
    <w:unhideWhenUsed/>
    <w:qFormat/>
    <w:uiPriority w:val="99"/>
    <w:rPr>
      <w:vertAlign w:val="superscript"/>
    </w:rPr>
  </w:style>
  <w:style w:type="paragraph" w:customStyle="1" w:styleId="73">
    <w:name w:val="Table Paragraph"/>
    <w:basedOn w:val="1"/>
    <w:qFormat/>
    <w:uiPriority w:val="1"/>
    <w:pPr>
      <w:widowControl w:val="0"/>
      <w:suppressAutoHyphens/>
      <w:spacing w:before="115"/>
      <w:ind w:left="107"/>
    </w:pPr>
    <w:rPr>
      <w:rFonts w:ascii="Arial" w:hAnsi="Arial" w:eastAsia="Arial" w:cs="Arial"/>
      <w:sz w:val="22"/>
      <w:szCs w:val="22"/>
      <w:lang w:val="pt-PT" w:eastAsia="en-US"/>
    </w:rPr>
  </w:style>
  <w:style w:type="paragraph" w:customStyle="1" w:styleId="74">
    <w:name w:val="Default"/>
    <w:link w:val="75"/>
    <w:qFormat/>
    <w:uiPriority w:val="0"/>
    <w:pPr>
      <w:autoSpaceDE w:val="0"/>
      <w:autoSpaceDN w:val="0"/>
      <w:adjustRightInd w:val="0"/>
    </w:pPr>
    <w:rPr>
      <w:rFonts w:ascii="Minion Pro" w:hAnsi="Minion Pro" w:cs="Minion Pro" w:eastAsiaTheme="minorHAnsi"/>
      <w:color w:val="000000"/>
      <w:sz w:val="24"/>
      <w:szCs w:val="24"/>
      <w:lang w:val="pt-BR" w:eastAsia="en-US" w:bidi="ar-SA"/>
    </w:rPr>
  </w:style>
  <w:style w:type="character" w:customStyle="1" w:styleId="75">
    <w:name w:val="Default Char"/>
    <w:link w:val="74"/>
    <w:qFormat/>
    <w:uiPriority w:val="0"/>
    <w:rPr>
      <w:rFonts w:ascii="Minion Pro" w:hAnsi="Minion Pro" w:cs="Minion Pro" w:eastAsiaTheme="minorHAnsi"/>
      <w:color w:val="000000"/>
      <w:sz w:val="24"/>
      <w:szCs w:val="24"/>
      <w:lang w:eastAsia="en-US"/>
    </w:rPr>
  </w:style>
  <w:style w:type="character" w:customStyle="1" w:styleId="76">
    <w:name w:val="Menção Pendente1"/>
    <w:basedOn w:val="9"/>
    <w:semiHidden/>
    <w:unhideWhenUsed/>
    <w:qFormat/>
    <w:uiPriority w:val="99"/>
    <w:rPr>
      <w:color w:val="605E5C"/>
      <w:shd w:val="clear" w:color="auto" w:fill="E1DFDD"/>
    </w:rPr>
  </w:style>
  <w:style w:type="paragraph" w:customStyle="1" w:styleId="77">
    <w:name w:val="Normal1"/>
    <w:qFormat/>
    <w:uiPriority w:val="0"/>
    <w:pPr>
      <w:spacing w:line="276" w:lineRule="auto"/>
    </w:pPr>
    <w:rPr>
      <w:rFonts w:ascii="Arial" w:hAnsi="Arial" w:eastAsia="Arial" w:cs="Arial"/>
      <w:sz w:val="22"/>
      <w:szCs w:val="22"/>
      <w:lang w:val="pt-BR" w:eastAsia="pt-BR" w:bidi="ar-SA"/>
    </w:rPr>
  </w:style>
  <w:style w:type="table" w:customStyle="1" w:styleId="78">
    <w:name w:val="Tabela com grade1"/>
    <w:basedOn w:val="10"/>
    <w:qFormat/>
    <w:uiPriority w:val="39"/>
    <w:rPr>
      <w:rFonts w:asciiTheme="minorHAnsi" w:hAnsiTheme="minorHAnsi" w:eastAsiaTheme="minorHAnsi" w:cstheme="minorBidi"/>
      <w:sz w:val="22"/>
      <w:szCs w:val="22"/>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79">
    <w:name w:val="Tabela com grade2"/>
    <w:basedOn w:val="10"/>
    <w:uiPriority w:val="59"/>
    <w:rPr>
      <w:rFonts w:asciiTheme="minorHAnsi" w:hAnsiTheme="minorHAnsi" w:eastAsiaTheme="minorHAnsi" w:cstheme="minorBidi"/>
      <w:sz w:val="22"/>
      <w:szCs w:val="22"/>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customStyle="1" w:styleId="80">
    <w:name w:val="t1"/>
    <w:basedOn w:val="1"/>
    <w:qFormat/>
    <w:uiPriority w:val="0"/>
    <w:pPr>
      <w:widowControl w:val="0"/>
      <w:autoSpaceDE w:val="0"/>
      <w:autoSpaceDN w:val="0"/>
      <w:adjustRightInd w:val="0"/>
      <w:spacing w:line="240" w:lineRule="atLeast"/>
    </w:pPr>
    <w:rPr>
      <w:sz w:val="24"/>
      <w:szCs w:val="24"/>
      <w:lang w:val="en-US"/>
    </w:rPr>
  </w:style>
  <w:style w:type="character" w:customStyle="1" w:styleId="81">
    <w:name w:val="apple-converted-space"/>
    <w:qFormat/>
    <w:uiPriority w:val="0"/>
  </w:style>
  <w:style w:type="paragraph" w:customStyle="1" w:styleId="82">
    <w:name w:val="TCU - Epígrafe"/>
    <w:basedOn w:val="1"/>
    <w:qFormat/>
    <w:uiPriority w:val="0"/>
    <w:pPr>
      <w:ind w:left="2835"/>
      <w:jc w:val="both"/>
    </w:pPr>
    <w:rPr>
      <w:sz w:val="24"/>
    </w:rPr>
  </w:style>
  <w:style w:type="paragraph" w:customStyle="1" w:styleId="83">
    <w:name w:val="TCU - Sem Recuo"/>
    <w:basedOn w:val="1"/>
    <w:qFormat/>
    <w:uiPriority w:val="0"/>
    <w:pPr>
      <w:tabs>
        <w:tab w:val="left" w:pos="1134"/>
      </w:tabs>
      <w:spacing w:after="160"/>
      <w:jc w:val="both"/>
    </w:pPr>
    <w:rPr>
      <w:sz w:val="24"/>
    </w:rPr>
  </w:style>
  <w:style w:type="paragraph" w:customStyle="1" w:styleId="84">
    <w:name w:val="TCU - Rel/Voto - demais §§"/>
    <w:basedOn w:val="1"/>
    <w:qFormat/>
    <w:uiPriority w:val="0"/>
    <w:pPr>
      <w:tabs>
        <w:tab w:val="left" w:pos="1134"/>
      </w:tabs>
      <w:spacing w:after="160"/>
      <w:jc w:val="both"/>
    </w:pPr>
    <w:rPr>
      <w:sz w:val="24"/>
      <w:szCs w:val="22"/>
      <w:lang w:eastAsia="en-US"/>
    </w:rPr>
  </w:style>
  <w:style w:type="paragraph" w:customStyle="1" w:styleId="85">
    <w:name w:val="corpo de texto"/>
    <w:basedOn w:val="31"/>
    <w:qFormat/>
    <w:uiPriority w:val="0"/>
    <w:pPr>
      <w:spacing w:line="240" w:lineRule="auto"/>
      <w:ind w:firstLine="1134"/>
    </w:pPr>
    <w:rPr>
      <w:rFonts w:ascii="Times New Roman" w:hAnsi="Times New Roman"/>
    </w:rPr>
  </w:style>
  <w:style w:type="character" w:customStyle="1" w:styleId="86">
    <w:name w:val="titulo"/>
    <w:qFormat/>
    <w:uiPriority w:val="0"/>
  </w:style>
  <w:style w:type="character" w:customStyle="1" w:styleId="87">
    <w:name w:val="corpojustificado"/>
    <w:qFormat/>
    <w:uiPriority w:val="0"/>
  </w:style>
  <w:style w:type="paragraph" w:customStyle="1" w:styleId="88">
    <w:name w:val="04partenormativa"/>
    <w:basedOn w:val="1"/>
    <w:qFormat/>
    <w:uiPriority w:val="0"/>
    <w:pPr>
      <w:spacing w:before="100" w:beforeAutospacing="1" w:after="100" w:afterAutospacing="1"/>
    </w:pPr>
    <w:rPr>
      <w:sz w:val="24"/>
      <w:szCs w:val="24"/>
    </w:rPr>
  </w:style>
  <w:style w:type="paragraph" w:customStyle="1" w:styleId="89">
    <w:name w:val="Style 2"/>
    <w:basedOn w:val="1"/>
    <w:qFormat/>
    <w:uiPriority w:val="99"/>
    <w:pPr>
      <w:widowControl w:val="0"/>
      <w:autoSpaceDE w:val="0"/>
      <w:autoSpaceDN w:val="0"/>
      <w:ind w:firstLine="288"/>
      <w:jc w:val="both"/>
    </w:pPr>
    <w:rPr>
      <w:sz w:val="19"/>
      <w:szCs w:val="19"/>
    </w:rPr>
  </w:style>
  <w:style w:type="character" w:customStyle="1" w:styleId="90">
    <w:name w:val="Character Style 1"/>
    <w:qFormat/>
    <w:uiPriority w:val="99"/>
    <w:rPr>
      <w:sz w:val="19"/>
      <w:szCs w:val="19"/>
    </w:rPr>
  </w:style>
  <w:style w:type="paragraph" w:customStyle="1" w:styleId="91">
    <w:name w:val="Style 3"/>
    <w:basedOn w:val="1"/>
    <w:qFormat/>
    <w:uiPriority w:val="99"/>
    <w:pPr>
      <w:widowControl w:val="0"/>
      <w:autoSpaceDE w:val="0"/>
      <w:autoSpaceDN w:val="0"/>
      <w:spacing w:before="324" w:line="360" w:lineRule="auto"/>
      <w:ind w:right="144"/>
      <w:jc w:val="both"/>
    </w:pPr>
    <w:rPr>
      <w:rFonts w:ascii="Arial" w:hAnsi="Arial" w:cs="Arial"/>
      <w:sz w:val="23"/>
      <w:szCs w:val="23"/>
    </w:rPr>
  </w:style>
  <w:style w:type="character" w:customStyle="1" w:styleId="92">
    <w:name w:val="Character Style 2"/>
    <w:qFormat/>
    <w:uiPriority w:val="99"/>
    <w:rPr>
      <w:sz w:val="20"/>
      <w:szCs w:val="20"/>
    </w:rPr>
  </w:style>
  <w:style w:type="paragraph" w:customStyle="1" w:styleId="93">
    <w:name w:val="textbody"/>
    <w:basedOn w:val="1"/>
    <w:qFormat/>
    <w:uiPriority w:val="0"/>
    <w:pPr>
      <w:spacing w:before="100" w:beforeAutospacing="1" w:after="100" w:afterAutospacing="1"/>
    </w:pPr>
    <w:rPr>
      <w:sz w:val="24"/>
      <w:szCs w:val="24"/>
    </w:rPr>
  </w:style>
  <w:style w:type="paragraph" w:customStyle="1" w:styleId="94">
    <w:name w:val="tcu_-_transcrição"/>
    <w:basedOn w:val="1"/>
    <w:qFormat/>
    <w:uiPriority w:val="0"/>
    <w:pPr>
      <w:spacing w:before="100" w:beforeAutospacing="1" w:after="100" w:afterAutospacing="1"/>
    </w:pPr>
    <w:rPr>
      <w:sz w:val="24"/>
      <w:szCs w:val="24"/>
    </w:rPr>
  </w:style>
  <w:style w:type="paragraph" w:customStyle="1" w:styleId="95">
    <w:name w:val="tcu_-_rel/voto_-_demais_§§"/>
    <w:basedOn w:val="1"/>
    <w:qFormat/>
    <w:uiPriority w:val="0"/>
    <w:pPr>
      <w:spacing w:before="100" w:beforeAutospacing="1" w:after="100" w:afterAutospacing="1"/>
    </w:pPr>
    <w:rPr>
      <w:sz w:val="24"/>
      <w:szCs w:val="24"/>
    </w:rPr>
  </w:style>
  <w:style w:type="paragraph" w:customStyle="1" w:styleId="96">
    <w:name w:val="tcu_-_centralizado"/>
    <w:basedOn w:val="1"/>
    <w:qFormat/>
    <w:uiPriority w:val="0"/>
    <w:pPr>
      <w:spacing w:before="100" w:beforeAutospacing="1" w:after="100" w:afterAutospacing="1"/>
    </w:pPr>
    <w:rPr>
      <w:sz w:val="24"/>
      <w:szCs w:val="24"/>
    </w:rPr>
  </w:style>
  <w:style w:type="paragraph" w:customStyle="1" w:styleId="97">
    <w:name w:val="texto_justificado_recuo_primeira_linha"/>
    <w:basedOn w:val="1"/>
    <w:qFormat/>
    <w:uiPriority w:val="0"/>
    <w:pPr>
      <w:spacing w:before="100" w:beforeAutospacing="1" w:after="100" w:afterAutospacing="1"/>
    </w:pPr>
    <w:rPr>
      <w:sz w:val="24"/>
      <w:szCs w:val="24"/>
    </w:rPr>
  </w:style>
  <w:style w:type="paragraph" w:customStyle="1" w:styleId="98">
    <w:name w:val="citacao"/>
    <w:basedOn w:val="1"/>
    <w:qFormat/>
    <w:uiPriority w:val="0"/>
    <w:pPr>
      <w:spacing w:before="100" w:beforeAutospacing="1" w:after="100" w:afterAutospacing="1"/>
    </w:pPr>
    <w:rPr>
      <w:sz w:val="24"/>
      <w:szCs w:val="24"/>
    </w:rPr>
  </w:style>
  <w:style w:type="paragraph" w:customStyle="1" w:styleId="99">
    <w:name w:val="Nivel 2"/>
    <w:basedOn w:val="1"/>
    <w:link w:val="100"/>
    <w:qFormat/>
    <w:uiPriority w:val="0"/>
    <w:pPr>
      <w:spacing w:before="120" w:after="120" w:line="276" w:lineRule="auto"/>
      <w:ind w:left="4969" w:hanging="432"/>
      <w:jc w:val="both"/>
    </w:pPr>
    <w:rPr>
      <w:rFonts w:ascii="Arial" w:hAnsi="Arial" w:cs="Arial"/>
      <w:color w:val="000000"/>
    </w:rPr>
  </w:style>
  <w:style w:type="character" w:customStyle="1" w:styleId="100">
    <w:name w:val="Nivel 2 Char"/>
    <w:link w:val="99"/>
    <w:qFormat/>
    <w:locked/>
    <w:uiPriority w:val="0"/>
    <w:rPr>
      <w:rFonts w:ascii="Arial" w:hAnsi="Arial" w:cs="Arial"/>
      <w:color w:val="000000"/>
    </w:rPr>
  </w:style>
  <w:style w:type="paragraph" w:customStyle="1" w:styleId="101">
    <w:name w:val="Nivel 01"/>
    <w:basedOn w:val="2"/>
    <w:next w:val="1"/>
    <w:link w:val="102"/>
    <w:qFormat/>
    <w:uiPriority w:val="0"/>
    <w:pPr>
      <w:tabs>
        <w:tab w:val="left" w:pos="567"/>
      </w:tabs>
      <w:spacing w:before="240" w:after="0"/>
      <w:ind w:left="360" w:hanging="360"/>
      <w:jc w:val="both"/>
    </w:pPr>
    <w:rPr>
      <w:rFonts w:ascii="Arial" w:hAnsi="Arial" w:cs="Arial"/>
      <w:bCs/>
      <w:sz w:val="20"/>
      <w:szCs w:val="20"/>
    </w:rPr>
  </w:style>
  <w:style w:type="character" w:customStyle="1" w:styleId="102">
    <w:name w:val="Nivel 01 Char"/>
    <w:link w:val="101"/>
    <w:qFormat/>
    <w:uiPriority w:val="0"/>
    <w:rPr>
      <w:rFonts w:ascii="Arial" w:hAnsi="Arial" w:cs="Arial"/>
      <w:b/>
      <w:bCs/>
    </w:rPr>
  </w:style>
  <w:style w:type="paragraph" w:customStyle="1" w:styleId="103">
    <w:name w:val="Nivel 3"/>
    <w:basedOn w:val="1"/>
    <w:link w:val="104"/>
    <w:qFormat/>
    <w:uiPriority w:val="0"/>
    <w:pPr>
      <w:spacing w:before="120" w:after="120" w:line="276" w:lineRule="auto"/>
      <w:ind w:left="3198" w:hanging="504"/>
      <w:jc w:val="both"/>
    </w:pPr>
    <w:rPr>
      <w:rFonts w:ascii="Arial" w:hAnsi="Arial" w:cs="Arial"/>
      <w:color w:val="000000"/>
    </w:rPr>
  </w:style>
  <w:style w:type="character" w:customStyle="1" w:styleId="104">
    <w:name w:val="Nivel 3 Char"/>
    <w:link w:val="103"/>
    <w:qFormat/>
    <w:uiPriority w:val="0"/>
    <w:rPr>
      <w:rFonts w:ascii="Arial" w:hAnsi="Arial" w:cs="Arial"/>
      <w:color w:val="000000"/>
    </w:rPr>
  </w:style>
  <w:style w:type="paragraph" w:customStyle="1" w:styleId="105">
    <w:name w:val="Nivel_01_Titulo"/>
    <w:basedOn w:val="2"/>
    <w:next w:val="1"/>
    <w:link w:val="106"/>
    <w:qFormat/>
    <w:uiPriority w:val="0"/>
    <w:pPr>
      <w:numPr>
        <w:ilvl w:val="0"/>
        <w:numId w:val="2"/>
      </w:numPr>
      <w:tabs>
        <w:tab w:val="left" w:pos="567"/>
      </w:tabs>
      <w:spacing w:before="240" w:after="0"/>
      <w:ind w:left="360" w:hanging="990"/>
      <w:jc w:val="both"/>
    </w:pPr>
    <w:rPr>
      <w:rFonts w:ascii="Arial" w:hAnsi="Arial"/>
      <w:bCs/>
      <w:color w:val="2F5496"/>
      <w:sz w:val="20"/>
      <w:szCs w:val="20"/>
    </w:rPr>
  </w:style>
  <w:style w:type="character" w:customStyle="1" w:styleId="106">
    <w:name w:val="Nivel_01_Titulo Char"/>
    <w:link w:val="105"/>
    <w:qFormat/>
    <w:uiPriority w:val="0"/>
    <w:rPr>
      <w:rFonts w:ascii="Arial" w:hAnsi="Arial"/>
      <w:b/>
      <w:bCs/>
      <w:color w:val="2F5496"/>
    </w:rPr>
  </w:style>
  <w:style w:type="paragraph" w:customStyle="1" w:styleId="107">
    <w:name w:val="Nivel1"/>
    <w:basedOn w:val="2"/>
    <w:next w:val="1"/>
    <w:qFormat/>
    <w:uiPriority w:val="0"/>
    <w:pPr>
      <w:numPr>
        <w:ilvl w:val="0"/>
        <w:numId w:val="3"/>
      </w:numPr>
      <w:spacing w:line="276" w:lineRule="auto"/>
      <w:ind w:left="1859"/>
      <w:jc w:val="both"/>
    </w:pPr>
    <w:rPr>
      <w:rFonts w:ascii="Arial" w:hAnsi="Arial" w:cs="Arial"/>
      <w:color w:val="000000"/>
      <w:sz w:val="32"/>
      <w:szCs w:val="32"/>
      <w:lang w:eastAsia="en-US"/>
    </w:rPr>
  </w:style>
  <w:style w:type="paragraph" w:customStyle="1" w:styleId="108">
    <w:name w:val="Nível 2 -Red"/>
    <w:basedOn w:val="99"/>
    <w:link w:val="109"/>
    <w:qFormat/>
    <w:uiPriority w:val="0"/>
    <w:pPr>
      <w:numPr>
        <w:ilvl w:val="1"/>
        <w:numId w:val="2"/>
      </w:numPr>
      <w:ind w:left="4969" w:hanging="360"/>
    </w:pPr>
    <w:rPr>
      <w:i/>
      <w:iCs/>
      <w:color w:val="FF0000"/>
    </w:rPr>
  </w:style>
  <w:style w:type="character" w:customStyle="1" w:styleId="109">
    <w:name w:val="Nível 2 -Red Char"/>
    <w:link w:val="108"/>
    <w:qFormat/>
    <w:uiPriority w:val="0"/>
    <w:rPr>
      <w:rFonts w:ascii="Arial" w:hAnsi="Arial" w:cs="Arial"/>
      <w:i/>
      <w:iCs/>
      <w:color w:val="FF0000"/>
    </w:rPr>
  </w:style>
  <w:style w:type="paragraph" w:customStyle="1" w:styleId="110">
    <w:name w:val="Nível 3-R"/>
    <w:basedOn w:val="103"/>
    <w:link w:val="111"/>
    <w:qFormat/>
    <w:uiPriority w:val="0"/>
    <w:pPr>
      <w:numPr>
        <w:ilvl w:val="2"/>
        <w:numId w:val="2"/>
      </w:numPr>
    </w:pPr>
    <w:rPr>
      <w:i/>
      <w:iCs/>
      <w:color w:val="FF0000"/>
    </w:rPr>
  </w:style>
  <w:style w:type="character" w:customStyle="1" w:styleId="111">
    <w:name w:val="Nível 3-R Char"/>
    <w:link w:val="110"/>
    <w:qFormat/>
    <w:uiPriority w:val="0"/>
    <w:rPr>
      <w:rFonts w:ascii="Arial" w:hAnsi="Arial" w:cs="Arial"/>
      <w:i/>
      <w:iCs/>
      <w:color w:val="FF0000"/>
    </w:rPr>
  </w:style>
  <w:style w:type="paragraph" w:customStyle="1" w:styleId="112">
    <w:name w:val="Nível 4-R"/>
    <w:basedOn w:val="1"/>
    <w:qFormat/>
    <w:uiPriority w:val="0"/>
    <w:pPr>
      <w:numPr>
        <w:ilvl w:val="3"/>
        <w:numId w:val="2"/>
      </w:numPr>
      <w:spacing w:before="120" w:after="120" w:line="276" w:lineRule="auto"/>
      <w:ind w:left="2491" w:hanging="648"/>
      <w:jc w:val="both"/>
    </w:pPr>
    <w:rPr>
      <w:rFonts w:ascii="Arial" w:hAnsi="Arial" w:cs="Arial"/>
      <w:i/>
      <w:iCs/>
      <w:color w:val="FF0000"/>
    </w:rPr>
  </w:style>
  <w:style w:type="paragraph" w:customStyle="1" w:styleId="113">
    <w:name w:val="ou"/>
    <w:basedOn w:val="61"/>
    <w:link w:val="114"/>
    <w:qFormat/>
    <w:uiPriority w:val="0"/>
    <w:pPr>
      <w:spacing w:before="60" w:after="60" w:line="259" w:lineRule="auto"/>
      <w:ind w:left="0"/>
      <w:contextualSpacing w:val="0"/>
      <w:jc w:val="center"/>
    </w:pPr>
    <w:rPr>
      <w:rFonts w:ascii="Arial" w:hAnsi="Arial" w:eastAsia="Calibri" w:cs="Arial"/>
      <w:b/>
      <w:bCs/>
      <w:i/>
      <w:iCs/>
      <w:color w:val="FF0000"/>
      <w:sz w:val="24"/>
      <w:szCs w:val="24"/>
      <w:u w:val="single"/>
    </w:rPr>
  </w:style>
  <w:style w:type="character" w:customStyle="1" w:styleId="114">
    <w:name w:val="ou Char"/>
    <w:link w:val="113"/>
    <w:qFormat/>
    <w:uiPriority w:val="0"/>
    <w:rPr>
      <w:rFonts w:ascii="Arial" w:hAnsi="Arial" w:eastAsia="Calibri" w:cs="Arial"/>
      <w:b/>
      <w:bCs/>
      <w:i/>
      <w:iCs/>
      <w:color w:val="FF0000"/>
      <w:sz w:val="24"/>
      <w:szCs w:val="24"/>
      <w:u w:val="single"/>
    </w:rPr>
  </w:style>
  <w:style w:type="paragraph" w:customStyle="1" w:styleId="115">
    <w:name w:val="Nivel 3-erro"/>
    <w:basedOn w:val="103"/>
    <w:link w:val="116"/>
    <w:qFormat/>
    <w:uiPriority w:val="0"/>
    <w:pPr>
      <w:spacing w:line="240" w:lineRule="auto"/>
      <w:ind w:left="425"/>
    </w:pPr>
    <w:rPr>
      <w:rFonts w:cs="Tahoma"/>
      <w:color w:val="auto"/>
      <w:szCs w:val="24"/>
    </w:rPr>
  </w:style>
  <w:style w:type="character" w:customStyle="1" w:styleId="116">
    <w:name w:val="Nivel 3-erro Char"/>
    <w:link w:val="115"/>
    <w:qFormat/>
    <w:uiPriority w:val="0"/>
    <w:rPr>
      <w:rFonts w:ascii="Arial" w:hAnsi="Arial" w:cs="Tahoma"/>
      <w:szCs w:val="24"/>
    </w:rPr>
  </w:style>
  <w:style w:type="character" w:customStyle="1" w:styleId="117">
    <w:name w:val="normaltextrun"/>
    <w:basedOn w:val="9"/>
    <w:qFormat/>
    <w:uiPriority w:val="0"/>
  </w:style>
  <w:style w:type="character" w:customStyle="1" w:styleId="118">
    <w:name w:val="cf01"/>
    <w:qFormat/>
    <w:uiPriority w:val="0"/>
    <w:rPr>
      <w:rFonts w:hint="default" w:ascii="Segoe UI" w:hAnsi="Segoe UI" w:cs="Segoe UI"/>
      <w:sz w:val="18"/>
      <w:szCs w:val="18"/>
    </w:rPr>
  </w:style>
  <w:style w:type="paragraph" w:customStyle="1" w:styleId="119">
    <w:name w:val="pf0"/>
    <w:basedOn w:val="1"/>
    <w:qFormat/>
    <w:uiPriority w:val="0"/>
    <w:pPr>
      <w:spacing w:before="100" w:beforeAutospacing="1" w:after="100" w:afterAutospacing="1"/>
    </w:pPr>
    <w:rPr>
      <w:sz w:val="24"/>
      <w:szCs w:val="24"/>
    </w:rPr>
  </w:style>
  <w:style w:type="paragraph" w:customStyle="1" w:styleId="120">
    <w:name w:val="Nivel 4"/>
    <w:basedOn w:val="103"/>
    <w:link w:val="121"/>
    <w:qFormat/>
    <w:uiPriority w:val="0"/>
    <w:pPr>
      <w:ind w:left="851" w:firstLine="0"/>
    </w:pPr>
    <w:rPr>
      <w:rFonts w:eastAsia="MS Mincho"/>
      <w:color w:val="auto"/>
    </w:rPr>
  </w:style>
  <w:style w:type="character" w:customStyle="1" w:styleId="121">
    <w:name w:val="Nivel 4 Char"/>
    <w:link w:val="120"/>
    <w:qFormat/>
    <w:uiPriority w:val="0"/>
    <w:rPr>
      <w:rFonts w:ascii="Arial" w:hAnsi="Arial" w:eastAsia="MS Mincho" w:cs="Arial"/>
    </w:rPr>
  </w:style>
  <w:style w:type="paragraph" w:customStyle="1" w:styleId="122">
    <w:name w:val="Nivel 5"/>
    <w:basedOn w:val="120"/>
    <w:qFormat/>
    <w:uiPriority w:val="0"/>
    <w:pPr>
      <w:ind w:left="1276"/>
    </w:pPr>
  </w:style>
  <w:style w:type="paragraph" w:customStyle="1" w:styleId="123">
    <w:name w:val="Nivel 1"/>
    <w:basedOn w:val="99"/>
    <w:next w:val="99"/>
    <w:qFormat/>
    <w:uiPriority w:val="0"/>
    <w:pPr>
      <w:tabs>
        <w:tab w:val="left" w:pos="360"/>
      </w:tabs>
      <w:ind w:left="858"/>
    </w:pPr>
    <w:rPr>
      <w:rFonts w:ascii="Ecofont_Spranq_eco_Sans" w:hAnsi="Ecofont_Spranq_eco_Sans" w:eastAsia="Arial Unicode MS"/>
      <w:b/>
      <w:color w:val="auto"/>
    </w:rPr>
  </w:style>
  <w:style w:type="character" w:customStyle="1" w:styleId="124">
    <w:name w:val="cf11"/>
    <w:qFormat/>
    <w:uiPriority w:val="0"/>
    <w:rPr>
      <w:rFonts w:hint="default" w:ascii="Segoe UI" w:hAnsi="Segoe UI" w:cs="Segoe UI"/>
      <w:i/>
      <w:iCs/>
      <w:sz w:val="18"/>
      <w:szCs w:val="18"/>
    </w:rPr>
  </w:style>
  <w:style w:type="paragraph" w:customStyle="1" w:styleId="125">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paragraph" w:customStyle="1" w:styleId="126">
    <w:name w:val="Revisão1"/>
    <w:hidden/>
    <w:semiHidden/>
    <w:qFormat/>
    <w:uiPriority w:val="99"/>
    <w:rPr>
      <w:rFonts w:ascii="Times New Roman" w:hAnsi="Times New Roman" w:eastAsia="Times New Roman" w:cs="Times New Roman"/>
      <w:sz w:val="24"/>
      <w:szCs w:val="24"/>
      <w:lang w:val="pt-BR" w:eastAsia="pt-BR" w:bidi="ar-SA"/>
    </w:rPr>
  </w:style>
  <w:style w:type="paragraph" w:customStyle="1" w:styleId="127">
    <w:name w:val="Nível 4"/>
    <w:basedOn w:val="1"/>
    <w:qFormat/>
    <w:uiPriority w:val="0"/>
    <w:pPr>
      <w:spacing w:before="120" w:after="120" w:line="276" w:lineRule="auto"/>
      <w:ind w:left="567"/>
      <w:jc w:val="both"/>
    </w:pPr>
    <w:rPr>
      <w:rFonts w:ascii="Arial" w:hAnsi="Arial" w:cs="Arial"/>
    </w:rPr>
  </w:style>
  <w:style w:type="paragraph" w:customStyle="1" w:styleId="128">
    <w:name w:val="Recuo de corpo de texto 21"/>
    <w:basedOn w:val="1"/>
    <w:qFormat/>
    <w:uiPriority w:val="0"/>
    <w:pPr>
      <w:suppressAutoHyphens/>
      <w:spacing w:after="120" w:line="480" w:lineRule="auto"/>
      <w:ind w:left="283"/>
    </w:pPr>
    <w:rPr>
      <w:sz w:val="24"/>
      <w:szCs w:val="24"/>
      <w:lang w:eastAsia="ar-SA"/>
    </w:rPr>
  </w:style>
  <w:style w:type="paragraph" w:customStyle="1" w:styleId="129">
    <w:name w:val="Nível 3"/>
    <w:basedOn w:val="110"/>
    <w:link w:val="130"/>
    <w:qFormat/>
    <w:uiPriority w:val="0"/>
    <w:pPr>
      <w:numPr>
        <w:numId w:val="0"/>
      </w:numPr>
      <w:ind w:left="284"/>
    </w:pPr>
    <w:rPr>
      <w:i w:val="0"/>
      <w:iCs w:val="0"/>
      <w:color w:val="auto"/>
    </w:rPr>
  </w:style>
  <w:style w:type="character" w:customStyle="1" w:styleId="130">
    <w:name w:val="Nível 3 Char"/>
    <w:link w:val="129"/>
    <w:qFormat/>
    <w:uiPriority w:val="0"/>
    <w:rPr>
      <w:rFonts w:ascii="Arial" w:hAnsi="Arial" w:cs="Arial"/>
    </w:rPr>
  </w:style>
  <w:style w:type="paragraph" w:customStyle="1" w:styleId="131">
    <w:name w:val="Título 11"/>
    <w:basedOn w:val="1"/>
    <w:qFormat/>
    <w:uiPriority w:val="1"/>
    <w:pPr>
      <w:widowControl w:val="0"/>
      <w:autoSpaceDE w:val="0"/>
      <w:autoSpaceDN w:val="0"/>
      <w:ind w:left="2330" w:right="29"/>
      <w:jc w:val="center"/>
      <w:outlineLvl w:val="1"/>
    </w:pPr>
    <w:rPr>
      <w:b/>
      <w:bCs/>
      <w:sz w:val="22"/>
      <w:szCs w:val="22"/>
      <w:lang w:val="pt-PT" w:eastAsia="pt-PT" w:bidi="pt-PT"/>
    </w:rPr>
  </w:style>
  <w:style w:type="character" w:customStyle="1" w:styleId="132">
    <w:name w:val="apple-tab-span"/>
    <w:basedOn w:val="9"/>
    <w:qFormat/>
    <w:uiPriority w:val="0"/>
  </w:style>
  <w:style w:type="paragraph" w:customStyle="1" w:styleId="133">
    <w:name w:val="Heading"/>
    <w:basedOn w:val="19"/>
    <w:next w:val="18"/>
    <w:qFormat/>
    <w:uiPriority w:val="0"/>
    <w:pPr>
      <w:keepNext/>
      <w:spacing w:before="240" w:after="120"/>
    </w:pPr>
    <w:rPr>
      <w:rFonts w:ascii="Liberation Sans" w:hAnsi="Liberation Sans" w:eastAsia="Microsoft YaHei" w:cs="Mangal"/>
      <w:sz w:val="28"/>
      <w:szCs w:val="28"/>
    </w:rPr>
  </w:style>
  <w:style w:type="paragraph" w:customStyle="1" w:styleId="134">
    <w:name w:val="Index"/>
    <w:basedOn w:val="19"/>
    <w:uiPriority w:val="0"/>
    <w:pPr>
      <w:suppressLineNumbers/>
    </w:pPr>
    <w:rPr>
      <w:rFonts w:cs="Mangal"/>
    </w:rPr>
  </w:style>
  <w:style w:type="paragraph" w:customStyle="1" w:styleId="135">
    <w:name w:val="footnote description"/>
    <w:next w:val="19"/>
    <w:qFormat/>
    <w:uiPriority w:val="0"/>
    <w:pPr>
      <w:suppressAutoHyphens/>
      <w:autoSpaceDN w:val="0"/>
      <w:ind w:left="170" w:right="9" w:hanging="170"/>
      <w:jc w:val="both"/>
      <w:textAlignment w:val="baseline"/>
    </w:pPr>
    <w:rPr>
      <w:rFonts w:ascii="Liberation Serif" w:hAnsi="Liberation Serif" w:eastAsia="Liberation Serif" w:cs="Liberation Serif"/>
      <w:color w:val="000000"/>
      <w:sz w:val="16"/>
      <w:szCs w:val="22"/>
      <w:lang w:val="pt-BR" w:eastAsia="pt-BR" w:bidi="ar-SA"/>
    </w:rPr>
  </w:style>
  <w:style w:type="paragraph" w:customStyle="1" w:styleId="136">
    <w:name w:val="Footnote"/>
    <w:basedOn w:val="19"/>
    <w:qFormat/>
    <w:uiPriority w:val="0"/>
  </w:style>
  <w:style w:type="paragraph" w:customStyle="1" w:styleId="137">
    <w:name w:val="Table Contents"/>
    <w:basedOn w:val="19"/>
    <w:qFormat/>
    <w:uiPriority w:val="0"/>
    <w:pPr>
      <w:suppressLineNumbers/>
    </w:pPr>
  </w:style>
  <w:style w:type="paragraph" w:customStyle="1" w:styleId="138">
    <w:name w:val="Table Heading"/>
    <w:basedOn w:val="137"/>
    <w:uiPriority w:val="0"/>
    <w:pPr>
      <w:jc w:val="center"/>
    </w:pPr>
    <w:rPr>
      <w:b/>
      <w:bCs/>
    </w:rPr>
  </w:style>
  <w:style w:type="paragraph" w:customStyle="1" w:styleId="139">
    <w:name w:val="Header and Footer"/>
    <w:basedOn w:val="19"/>
    <w:qFormat/>
    <w:uiPriority w:val="0"/>
    <w:pPr>
      <w:suppressLineNumbers/>
      <w:tabs>
        <w:tab w:val="center" w:pos="4829"/>
        <w:tab w:val="right" w:pos="9648"/>
      </w:tabs>
    </w:pPr>
  </w:style>
  <w:style w:type="paragraph" w:customStyle="1" w:styleId="140">
    <w:name w:val="Estilo1"/>
    <w:basedOn w:val="27"/>
    <w:qFormat/>
    <w:uiPriority w:val="0"/>
    <w:pPr>
      <w:widowControl w:val="0"/>
      <w:numPr>
        <w:ilvl w:val="0"/>
        <w:numId w:val="4"/>
      </w:numPr>
      <w:tabs>
        <w:tab w:val="left" w:pos="-2880"/>
        <w:tab w:val="clear" w:pos="4419"/>
        <w:tab w:val="clear" w:pos="8838"/>
      </w:tabs>
      <w:suppressAutoHyphens/>
      <w:autoSpaceDN w:val="0"/>
      <w:spacing w:before="360" w:after="120" w:line="100" w:lineRule="atLeast"/>
      <w:jc w:val="both"/>
    </w:pPr>
    <w:rPr>
      <w:rFonts w:eastAsia="SimSun"/>
      <w:b/>
      <w:bCs/>
      <w:kern w:val="3"/>
      <w:sz w:val="24"/>
      <w:szCs w:val="24"/>
      <w:lang w:eastAsia="zh-CN"/>
    </w:rPr>
  </w:style>
  <w:style w:type="character" w:customStyle="1" w:styleId="141">
    <w:name w:val="footnote description Char"/>
    <w:qFormat/>
    <w:uiPriority w:val="0"/>
    <w:rPr>
      <w:rFonts w:ascii="Liberation Serif" w:hAnsi="Liberation Serif" w:eastAsia="Liberation Serif" w:cs="Liberation Serif"/>
      <w:color w:val="000000"/>
      <w:sz w:val="16"/>
    </w:rPr>
  </w:style>
  <w:style w:type="character" w:customStyle="1" w:styleId="142">
    <w:name w:val="footnote mark"/>
    <w:qFormat/>
    <w:uiPriority w:val="0"/>
    <w:rPr>
      <w:rFonts w:ascii="Liberation Serif" w:hAnsi="Liberation Serif" w:eastAsia="Liberation Serif" w:cs="Liberation Serif"/>
      <w:color w:val="000000"/>
      <w:position w:val="0"/>
      <w:sz w:val="16"/>
      <w:vertAlign w:val="superscript"/>
    </w:rPr>
  </w:style>
  <w:style w:type="character" w:customStyle="1" w:styleId="143">
    <w:name w:val="ListLabel 1"/>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4">
    <w:name w:val="ListLabel 2"/>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5">
    <w:name w:val="ListLabel 3"/>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6">
    <w:name w:val="ListLabel 4"/>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7">
    <w:name w:val="ListLabel 5"/>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8">
    <w:name w:val="ListLabel 6"/>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9">
    <w:name w:val="ListLabel 7"/>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0">
    <w:name w:val="ListLabel 8"/>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1">
    <w:name w:val="ListLabel 9"/>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2">
    <w:name w:val="ListLabel 10"/>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3">
    <w:name w:val="ListLabel 11"/>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4">
    <w:name w:val="ListLabel 12"/>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5">
    <w:name w:val="ListLabel 13"/>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6">
    <w:name w:val="ListLabel 14"/>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7">
    <w:name w:val="ListLabel 15"/>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8">
    <w:name w:val="ListLabel 16"/>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9">
    <w:name w:val="ListLabel 17"/>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0">
    <w:name w:val="ListLabel 18"/>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1">
    <w:name w:val="ListLabel 19"/>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2">
    <w:name w:val="ListLabel 20"/>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3">
    <w:name w:val="ListLabel 21"/>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4">
    <w:name w:val="ListLabel 22"/>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5">
    <w:name w:val="ListLabel 23"/>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6">
    <w:name w:val="ListLabel 24"/>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7">
    <w:name w:val="ListLabel 25"/>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8">
    <w:name w:val="ListLabel 26"/>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9">
    <w:name w:val="ListLabel 27"/>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0">
    <w:name w:val="ListLabel 28"/>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1">
    <w:name w:val="ListLabel 29"/>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2">
    <w:name w:val="ListLabel 30"/>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3">
    <w:name w:val="ListLabel 31"/>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4">
    <w:name w:val="ListLabel 32"/>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5">
    <w:name w:val="ListLabel 33"/>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6">
    <w:name w:val="ListLabel 34"/>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7">
    <w:name w:val="ListLabel 35"/>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8">
    <w:name w:val="ListLabel 36"/>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9">
    <w:name w:val="ListLabel 37"/>
    <w:uiPriority w:val="0"/>
    <w:rPr>
      <w:rFonts w:eastAsia="Liberation Serif" w:cs="Liberation Serif"/>
      <w:color w:val="000000"/>
      <w:position w:val="0"/>
      <w:sz w:val="22"/>
      <w:szCs w:val="22"/>
      <w:u w:val="none"/>
      <w:shd w:val="clear" w:color="auto" w:fill="auto"/>
      <w:vertAlign w:val="baseline"/>
    </w:rPr>
  </w:style>
  <w:style w:type="character" w:customStyle="1" w:styleId="180">
    <w:name w:val="ListLabel 38"/>
    <w:qFormat/>
    <w:uiPriority w:val="0"/>
    <w:rPr>
      <w:rFonts w:eastAsia="Liberation Serif" w:cs="Liberation Serif"/>
      <w:color w:val="000000"/>
      <w:position w:val="0"/>
      <w:sz w:val="22"/>
      <w:szCs w:val="22"/>
      <w:u w:val="none"/>
      <w:shd w:val="clear" w:color="auto" w:fill="auto"/>
      <w:vertAlign w:val="baseline"/>
    </w:rPr>
  </w:style>
  <w:style w:type="character" w:customStyle="1" w:styleId="181">
    <w:name w:val="ListLabel 39"/>
    <w:uiPriority w:val="0"/>
    <w:rPr>
      <w:rFonts w:eastAsia="Liberation Serif" w:cs="Liberation Serif"/>
      <w:color w:val="000000"/>
      <w:position w:val="0"/>
      <w:sz w:val="22"/>
      <w:szCs w:val="22"/>
      <w:u w:val="none"/>
      <w:shd w:val="clear" w:color="auto" w:fill="auto"/>
      <w:vertAlign w:val="baseline"/>
    </w:rPr>
  </w:style>
  <w:style w:type="character" w:customStyle="1" w:styleId="182">
    <w:name w:val="ListLabel 40"/>
    <w:qFormat/>
    <w:uiPriority w:val="0"/>
    <w:rPr>
      <w:rFonts w:eastAsia="Liberation Serif" w:cs="Liberation Serif"/>
      <w:color w:val="000000"/>
      <w:position w:val="0"/>
      <w:sz w:val="22"/>
      <w:szCs w:val="22"/>
      <w:u w:val="none"/>
      <w:shd w:val="clear" w:color="auto" w:fill="auto"/>
      <w:vertAlign w:val="baseline"/>
    </w:rPr>
  </w:style>
  <w:style w:type="character" w:customStyle="1" w:styleId="183">
    <w:name w:val="ListLabel 41"/>
    <w:qFormat/>
    <w:uiPriority w:val="0"/>
    <w:rPr>
      <w:rFonts w:eastAsia="Liberation Serif" w:cs="Liberation Serif"/>
      <w:color w:val="000000"/>
      <w:position w:val="0"/>
      <w:sz w:val="22"/>
      <w:szCs w:val="22"/>
      <w:u w:val="none"/>
      <w:shd w:val="clear" w:color="auto" w:fill="auto"/>
      <w:vertAlign w:val="baseline"/>
    </w:rPr>
  </w:style>
  <w:style w:type="character" w:customStyle="1" w:styleId="184">
    <w:name w:val="ListLabel 42"/>
    <w:qFormat/>
    <w:uiPriority w:val="0"/>
    <w:rPr>
      <w:rFonts w:eastAsia="Liberation Serif" w:cs="Liberation Serif"/>
      <w:color w:val="000000"/>
      <w:position w:val="0"/>
      <w:sz w:val="22"/>
      <w:szCs w:val="22"/>
      <w:u w:val="none"/>
      <w:shd w:val="clear" w:color="auto" w:fill="auto"/>
      <w:vertAlign w:val="baseline"/>
    </w:rPr>
  </w:style>
  <w:style w:type="character" w:customStyle="1" w:styleId="185">
    <w:name w:val="ListLabel 43"/>
    <w:uiPriority w:val="0"/>
    <w:rPr>
      <w:rFonts w:eastAsia="Liberation Serif" w:cs="Liberation Serif"/>
      <w:color w:val="000000"/>
      <w:position w:val="0"/>
      <w:sz w:val="22"/>
      <w:szCs w:val="22"/>
      <w:u w:val="none"/>
      <w:shd w:val="clear" w:color="auto" w:fill="auto"/>
      <w:vertAlign w:val="baseline"/>
    </w:rPr>
  </w:style>
  <w:style w:type="character" w:customStyle="1" w:styleId="186">
    <w:name w:val="ListLabel 44"/>
    <w:uiPriority w:val="0"/>
    <w:rPr>
      <w:rFonts w:eastAsia="Liberation Serif" w:cs="Liberation Serif"/>
      <w:color w:val="000000"/>
      <w:position w:val="0"/>
      <w:sz w:val="22"/>
      <w:szCs w:val="22"/>
      <w:u w:val="none"/>
      <w:shd w:val="clear" w:color="auto" w:fill="auto"/>
      <w:vertAlign w:val="baseline"/>
    </w:rPr>
  </w:style>
  <w:style w:type="character" w:customStyle="1" w:styleId="187">
    <w:name w:val="ListLabel 45"/>
    <w:uiPriority w:val="0"/>
    <w:rPr>
      <w:rFonts w:eastAsia="Liberation Serif" w:cs="Liberation Serif"/>
      <w:color w:val="000000"/>
      <w:position w:val="0"/>
      <w:sz w:val="22"/>
      <w:szCs w:val="22"/>
      <w:u w:val="none"/>
      <w:shd w:val="clear" w:color="auto" w:fill="auto"/>
      <w:vertAlign w:val="baseline"/>
    </w:rPr>
  </w:style>
  <w:style w:type="character" w:customStyle="1" w:styleId="188">
    <w:name w:val="ListLabel 46"/>
    <w:uiPriority w:val="0"/>
    <w:rPr>
      <w:rFonts w:eastAsia="Liberation Serif" w:cs="Liberation Serif"/>
      <w:color w:val="000000"/>
      <w:position w:val="0"/>
      <w:sz w:val="22"/>
      <w:szCs w:val="22"/>
      <w:u w:val="none"/>
      <w:shd w:val="clear" w:color="auto" w:fill="auto"/>
      <w:vertAlign w:val="baseline"/>
    </w:rPr>
  </w:style>
  <w:style w:type="character" w:customStyle="1" w:styleId="189">
    <w:name w:val="ListLabel 47"/>
    <w:uiPriority w:val="0"/>
    <w:rPr>
      <w:rFonts w:eastAsia="Liberation Serif" w:cs="Liberation Serif"/>
      <w:color w:val="000000"/>
      <w:position w:val="0"/>
      <w:sz w:val="22"/>
      <w:szCs w:val="22"/>
      <w:u w:val="none"/>
      <w:shd w:val="clear" w:color="auto" w:fill="auto"/>
      <w:vertAlign w:val="baseline"/>
    </w:rPr>
  </w:style>
  <w:style w:type="character" w:customStyle="1" w:styleId="190">
    <w:name w:val="ListLabel 48"/>
    <w:qFormat/>
    <w:uiPriority w:val="0"/>
    <w:rPr>
      <w:rFonts w:eastAsia="Liberation Serif" w:cs="Liberation Serif"/>
      <w:color w:val="000000"/>
      <w:position w:val="0"/>
      <w:sz w:val="22"/>
      <w:szCs w:val="22"/>
      <w:u w:val="none"/>
      <w:shd w:val="clear" w:color="auto" w:fill="auto"/>
      <w:vertAlign w:val="baseline"/>
    </w:rPr>
  </w:style>
  <w:style w:type="character" w:customStyle="1" w:styleId="191">
    <w:name w:val="ListLabel 49"/>
    <w:qFormat/>
    <w:uiPriority w:val="0"/>
    <w:rPr>
      <w:rFonts w:eastAsia="Liberation Serif" w:cs="Liberation Serif"/>
      <w:color w:val="000000"/>
      <w:position w:val="0"/>
      <w:sz w:val="22"/>
      <w:szCs w:val="22"/>
      <w:u w:val="none"/>
      <w:shd w:val="clear" w:color="auto" w:fill="auto"/>
      <w:vertAlign w:val="baseline"/>
    </w:rPr>
  </w:style>
  <w:style w:type="character" w:customStyle="1" w:styleId="192">
    <w:name w:val="ListLabel 50"/>
    <w:qFormat/>
    <w:uiPriority w:val="0"/>
    <w:rPr>
      <w:rFonts w:eastAsia="Liberation Serif" w:cs="Liberation Serif"/>
      <w:color w:val="000000"/>
      <w:position w:val="0"/>
      <w:sz w:val="22"/>
      <w:szCs w:val="22"/>
      <w:u w:val="none"/>
      <w:shd w:val="clear" w:color="auto" w:fill="auto"/>
      <w:vertAlign w:val="baseline"/>
    </w:rPr>
  </w:style>
  <w:style w:type="character" w:customStyle="1" w:styleId="193">
    <w:name w:val="ListLabel 51"/>
    <w:qFormat/>
    <w:uiPriority w:val="0"/>
    <w:rPr>
      <w:rFonts w:eastAsia="Liberation Serif" w:cs="Liberation Serif"/>
      <w:color w:val="000000"/>
      <w:position w:val="0"/>
      <w:sz w:val="22"/>
      <w:szCs w:val="22"/>
      <w:u w:val="none"/>
      <w:shd w:val="clear" w:color="auto" w:fill="auto"/>
      <w:vertAlign w:val="baseline"/>
    </w:rPr>
  </w:style>
  <w:style w:type="character" w:customStyle="1" w:styleId="194">
    <w:name w:val="ListLabel 52"/>
    <w:qFormat/>
    <w:uiPriority w:val="0"/>
    <w:rPr>
      <w:rFonts w:eastAsia="Liberation Serif" w:cs="Liberation Serif"/>
      <w:color w:val="000000"/>
      <w:position w:val="0"/>
      <w:sz w:val="22"/>
      <w:szCs w:val="22"/>
      <w:u w:val="none"/>
      <w:shd w:val="clear" w:color="auto" w:fill="auto"/>
      <w:vertAlign w:val="baseline"/>
    </w:rPr>
  </w:style>
  <w:style w:type="character" w:customStyle="1" w:styleId="195">
    <w:name w:val="ListLabel 53"/>
    <w:uiPriority w:val="0"/>
    <w:rPr>
      <w:rFonts w:eastAsia="Liberation Serif" w:cs="Liberation Serif"/>
      <w:color w:val="000000"/>
      <w:position w:val="0"/>
      <w:sz w:val="22"/>
      <w:szCs w:val="22"/>
      <w:u w:val="none"/>
      <w:shd w:val="clear" w:color="auto" w:fill="auto"/>
      <w:vertAlign w:val="baseline"/>
    </w:rPr>
  </w:style>
  <w:style w:type="character" w:customStyle="1" w:styleId="196">
    <w:name w:val="ListLabel 54"/>
    <w:qFormat/>
    <w:uiPriority w:val="0"/>
    <w:rPr>
      <w:rFonts w:eastAsia="Liberation Serif" w:cs="Liberation Serif"/>
      <w:color w:val="000000"/>
      <w:position w:val="0"/>
      <w:sz w:val="22"/>
      <w:szCs w:val="22"/>
      <w:u w:val="none"/>
      <w:shd w:val="clear" w:color="auto" w:fill="auto"/>
      <w:vertAlign w:val="baseline"/>
    </w:rPr>
  </w:style>
  <w:style w:type="character" w:customStyle="1" w:styleId="197">
    <w:name w:val="ListLabel 55"/>
    <w:qFormat/>
    <w:uiPriority w:val="0"/>
    <w:rPr>
      <w:rFonts w:eastAsia="Liberation Serif" w:cs="Liberation Serif"/>
      <w:color w:val="000000"/>
      <w:position w:val="0"/>
      <w:sz w:val="22"/>
      <w:szCs w:val="22"/>
      <w:u w:val="none"/>
      <w:shd w:val="clear" w:color="auto" w:fill="auto"/>
      <w:vertAlign w:val="baseline"/>
    </w:rPr>
  </w:style>
  <w:style w:type="character" w:customStyle="1" w:styleId="198">
    <w:name w:val="ListLabel 56"/>
    <w:qFormat/>
    <w:uiPriority w:val="0"/>
    <w:rPr>
      <w:rFonts w:eastAsia="Liberation Serif" w:cs="Liberation Serif"/>
      <w:color w:val="000000"/>
      <w:position w:val="0"/>
      <w:sz w:val="22"/>
      <w:szCs w:val="22"/>
      <w:u w:val="none"/>
      <w:shd w:val="clear" w:color="auto" w:fill="auto"/>
      <w:vertAlign w:val="baseline"/>
    </w:rPr>
  </w:style>
  <w:style w:type="character" w:customStyle="1" w:styleId="199">
    <w:name w:val="ListLabel 57"/>
    <w:qFormat/>
    <w:uiPriority w:val="0"/>
    <w:rPr>
      <w:rFonts w:eastAsia="Liberation Serif" w:cs="Liberation Serif"/>
      <w:color w:val="000000"/>
      <w:position w:val="0"/>
      <w:sz w:val="22"/>
      <w:szCs w:val="22"/>
      <w:u w:val="none"/>
      <w:shd w:val="clear" w:color="auto" w:fill="auto"/>
      <w:vertAlign w:val="baseline"/>
    </w:rPr>
  </w:style>
  <w:style w:type="character" w:customStyle="1" w:styleId="200">
    <w:name w:val="ListLabel 58"/>
    <w:uiPriority w:val="0"/>
    <w:rPr>
      <w:rFonts w:eastAsia="Liberation Serif" w:cs="Liberation Serif"/>
      <w:color w:val="000000"/>
      <w:position w:val="0"/>
      <w:sz w:val="22"/>
      <w:szCs w:val="22"/>
      <w:u w:val="none"/>
      <w:shd w:val="clear" w:color="auto" w:fill="auto"/>
      <w:vertAlign w:val="baseline"/>
    </w:rPr>
  </w:style>
  <w:style w:type="character" w:customStyle="1" w:styleId="201">
    <w:name w:val="ListLabel 59"/>
    <w:uiPriority w:val="0"/>
    <w:rPr>
      <w:rFonts w:eastAsia="Liberation Serif" w:cs="Liberation Serif"/>
      <w:color w:val="000000"/>
      <w:position w:val="0"/>
      <w:sz w:val="22"/>
      <w:szCs w:val="22"/>
      <w:u w:val="none"/>
      <w:shd w:val="clear" w:color="auto" w:fill="auto"/>
      <w:vertAlign w:val="baseline"/>
    </w:rPr>
  </w:style>
  <w:style w:type="character" w:customStyle="1" w:styleId="202">
    <w:name w:val="ListLabel 60"/>
    <w:uiPriority w:val="0"/>
    <w:rPr>
      <w:rFonts w:eastAsia="Liberation Serif" w:cs="Liberation Serif"/>
      <w:color w:val="000000"/>
      <w:position w:val="0"/>
      <w:sz w:val="22"/>
      <w:szCs w:val="22"/>
      <w:u w:val="none"/>
      <w:shd w:val="clear" w:color="auto" w:fill="auto"/>
      <w:vertAlign w:val="baseline"/>
    </w:rPr>
  </w:style>
  <w:style w:type="character" w:customStyle="1" w:styleId="203">
    <w:name w:val="ListLabel 61"/>
    <w:qFormat/>
    <w:uiPriority w:val="0"/>
    <w:rPr>
      <w:rFonts w:eastAsia="Liberation Serif" w:cs="Liberation Serif"/>
      <w:color w:val="000000"/>
      <w:position w:val="0"/>
      <w:sz w:val="22"/>
      <w:szCs w:val="22"/>
      <w:u w:val="none"/>
      <w:shd w:val="clear" w:color="auto" w:fill="auto"/>
      <w:vertAlign w:val="baseline"/>
    </w:rPr>
  </w:style>
  <w:style w:type="character" w:customStyle="1" w:styleId="204">
    <w:name w:val="ListLabel 62"/>
    <w:qFormat/>
    <w:uiPriority w:val="0"/>
    <w:rPr>
      <w:rFonts w:eastAsia="Liberation Serif" w:cs="Liberation Serif"/>
      <w:color w:val="000000"/>
      <w:position w:val="0"/>
      <w:sz w:val="22"/>
      <w:szCs w:val="22"/>
      <w:u w:val="none"/>
      <w:shd w:val="clear" w:color="auto" w:fill="auto"/>
      <w:vertAlign w:val="baseline"/>
    </w:rPr>
  </w:style>
  <w:style w:type="character" w:customStyle="1" w:styleId="205">
    <w:name w:val="ListLabel 63"/>
    <w:qFormat/>
    <w:uiPriority w:val="0"/>
    <w:rPr>
      <w:rFonts w:eastAsia="Liberation Serif" w:cs="Liberation Serif"/>
      <w:color w:val="000000"/>
      <w:position w:val="0"/>
      <w:sz w:val="22"/>
      <w:szCs w:val="22"/>
      <w:u w:val="none"/>
      <w:shd w:val="clear" w:color="auto" w:fill="auto"/>
      <w:vertAlign w:val="baseline"/>
    </w:rPr>
  </w:style>
  <w:style w:type="character" w:customStyle="1" w:styleId="206">
    <w:name w:val="ListLabel 64"/>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07">
    <w:name w:val="ListLabel 65"/>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08">
    <w:name w:val="ListLabel 66"/>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09">
    <w:name w:val="ListLabel 67"/>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0">
    <w:name w:val="ListLabel 68"/>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1">
    <w:name w:val="ListLabel 69"/>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2">
    <w:name w:val="ListLabel 70"/>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3">
    <w:name w:val="ListLabel 71"/>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4">
    <w:name w:val="ListLabel 72"/>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5">
    <w:name w:val="ListLabel 73"/>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16">
    <w:name w:val="ListLabel 74"/>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17">
    <w:name w:val="ListLabel 75"/>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18">
    <w:name w:val="ListLabel 76"/>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19">
    <w:name w:val="ListLabel 77"/>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0">
    <w:name w:val="ListLabel 78"/>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1">
    <w:name w:val="ListLabel 79"/>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2">
    <w:name w:val="ListLabel 80"/>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3">
    <w:name w:val="ListLabel 81"/>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4">
    <w:name w:val="Footnote Symbol"/>
    <w:qFormat/>
    <w:uiPriority w:val="0"/>
  </w:style>
  <w:style w:type="character" w:customStyle="1" w:styleId="225">
    <w:name w:val="Footnote anchor"/>
    <w:qFormat/>
    <w:uiPriority w:val="0"/>
    <w:rPr>
      <w:position w:val="0"/>
      <w:vertAlign w:val="superscript"/>
    </w:rPr>
  </w:style>
  <w:style w:type="character" w:customStyle="1" w:styleId="226">
    <w:name w:val="Bullet Symbols"/>
    <w:qFormat/>
    <w:uiPriority w:val="0"/>
    <w:rPr>
      <w:rFonts w:ascii="OpenSymbol" w:hAnsi="OpenSymbol" w:eastAsia="OpenSymbol" w:cs="OpenSymbol"/>
    </w:rPr>
  </w:style>
  <w:style w:type="character" w:customStyle="1" w:styleId="227">
    <w:name w:val="go"/>
    <w:basedOn w:val="9"/>
    <w:qFormat/>
    <w:uiPriority w:val="0"/>
  </w:style>
  <w:style w:type="character" w:customStyle="1" w:styleId="228">
    <w:name w:val="Internet link"/>
    <w:qFormat/>
    <w:uiPriority w:val="0"/>
    <w:rPr>
      <w:color w:val="000080"/>
      <w:u w:val="single"/>
    </w:rPr>
  </w:style>
  <w:style w:type="character" w:customStyle="1" w:styleId="229">
    <w:name w:val="Menção Pendente2"/>
    <w:basedOn w:val="9"/>
    <w:unhideWhenUsed/>
    <w:qFormat/>
    <w:uiPriority w:val="0"/>
    <w:rPr>
      <w:color w:val="605E5C"/>
      <w:shd w:val="clear" w:color="auto" w:fill="E1DFDD"/>
    </w:rPr>
  </w:style>
  <w:style w:type="paragraph" w:customStyle="1" w:styleId="230">
    <w:name w:val="texto"/>
    <w:qFormat/>
    <w:uiPriority w:val="0"/>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ascii="Times New Roman" w:hAnsi="Times New Roman" w:eastAsia="Times New Roman" w:cs="Times New Roman"/>
      <w:kern w:val="3"/>
      <w:lang w:val="pt-BR" w:eastAsia="zh-CN" w:bidi="ar-SA"/>
    </w:rPr>
  </w:style>
  <w:style w:type="paragraph" w:customStyle="1" w:styleId="231">
    <w:name w:val="Quotations"/>
    <w:basedOn w:val="19"/>
    <w:qFormat/>
    <w:uiPriority w:val="0"/>
    <w:pPr>
      <w:widowControl w:val="0"/>
      <w:spacing w:after="283" w:line="240" w:lineRule="auto"/>
      <w:ind w:left="567" w:right="567" w:firstLine="0"/>
      <w:jc w:val="left"/>
    </w:pPr>
    <w:rPr>
      <w:rFonts w:ascii="Times New Roman" w:hAnsi="Times New Roman" w:eastAsia="SimSun" w:cs="Tahoma"/>
      <w:color w:val="auto"/>
      <w:kern w:val="3"/>
      <w:szCs w:val="24"/>
      <w:lang w:eastAsia="zh-CN" w:bidi="hi-IN"/>
    </w:rPr>
  </w:style>
  <w:style w:type="paragraph" w:customStyle="1" w:styleId="232">
    <w:name w:val="EP Tabela"/>
    <w:basedOn w:val="1"/>
    <w:qFormat/>
    <w:uiPriority w:val="0"/>
    <w:pPr>
      <w:widowControl w:val="0"/>
      <w:suppressAutoHyphens/>
      <w:autoSpaceDN w:val="0"/>
      <w:jc w:val="center"/>
      <w:textAlignment w:val="baseline"/>
    </w:pPr>
    <w:rPr>
      <w:rFonts w:eastAsia="SimSun" w:cs="Arial"/>
      <w:b/>
      <w:kern w:val="3"/>
      <w:sz w:val="22"/>
      <w:szCs w:val="24"/>
      <w:lang w:eastAsia="ar-SA" w:bidi="hi-IN"/>
    </w:rPr>
  </w:style>
  <w:style w:type="paragraph" w:customStyle="1" w:styleId="233">
    <w:name w:val="EP Conteudotabela"/>
    <w:basedOn w:val="1"/>
    <w:qFormat/>
    <w:uiPriority w:val="0"/>
    <w:pPr>
      <w:widowControl w:val="0"/>
      <w:tabs>
        <w:tab w:val="left" w:pos="-302"/>
      </w:tabs>
      <w:suppressAutoHyphens/>
      <w:autoSpaceDN w:val="0"/>
      <w:spacing w:line="100" w:lineRule="atLeast"/>
      <w:ind w:left="23" w:firstLine="45"/>
      <w:textAlignment w:val="baseline"/>
    </w:pPr>
    <w:rPr>
      <w:rFonts w:eastAsia="SimSun" w:cs="Arial"/>
      <w:kern w:val="3"/>
      <w:sz w:val="24"/>
      <w:szCs w:val="24"/>
      <w:lang w:eastAsia="ar-SA" w:bidi="hi-IN"/>
    </w:rPr>
  </w:style>
  <w:style w:type="paragraph" w:customStyle="1" w:styleId="234">
    <w:name w:val="western"/>
    <w:basedOn w:val="1"/>
    <w:qFormat/>
    <w:uiPriority w:val="0"/>
    <w:pPr>
      <w:suppressAutoHyphens/>
      <w:autoSpaceDN w:val="0"/>
      <w:spacing w:before="100" w:after="119"/>
      <w:textAlignment w:val="baseline"/>
    </w:pPr>
    <w:rPr>
      <w:sz w:val="24"/>
      <w:szCs w:val="24"/>
    </w:rPr>
  </w:style>
  <w:style w:type="paragraph" w:customStyle="1" w:styleId="235">
    <w:name w:val="msonormal"/>
    <w:basedOn w:val="1"/>
    <w:qFormat/>
    <w:uiPriority w:val="0"/>
    <w:pPr>
      <w:spacing w:before="100" w:beforeAutospacing="1" w:after="100" w:afterAutospacing="1"/>
    </w:pPr>
    <w:rPr>
      <w:sz w:val="24"/>
      <w:szCs w:val="24"/>
    </w:rPr>
  </w:style>
  <w:style w:type="paragraph" w:customStyle="1" w:styleId="236">
    <w:name w:val="xl64"/>
    <w:basedOn w:val="1"/>
    <w:qFormat/>
    <w:uiPriority w:val="0"/>
    <w:pPr>
      <w:pBdr>
        <w:top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37">
    <w:name w:val="xl65"/>
    <w:basedOn w:val="1"/>
    <w:qFormat/>
    <w:uiPriority w:val="0"/>
    <w:pPr>
      <w:pBdr>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38">
    <w:name w:val="xl66"/>
    <w:basedOn w:val="1"/>
    <w:qFormat/>
    <w:uiPriority w:val="0"/>
    <w:pPr>
      <w:pBdr>
        <w:right w:val="single" w:color="auto" w:sz="8" w:space="0"/>
      </w:pBdr>
      <w:spacing w:before="100" w:beforeAutospacing="1" w:after="100" w:afterAutospacing="1"/>
      <w:jc w:val="center"/>
      <w:textAlignment w:val="center"/>
    </w:pPr>
    <w:rPr>
      <w:color w:val="000000"/>
      <w:sz w:val="24"/>
      <w:szCs w:val="24"/>
    </w:rPr>
  </w:style>
  <w:style w:type="paragraph" w:customStyle="1" w:styleId="239">
    <w:name w:val="xl67"/>
    <w:basedOn w:val="1"/>
    <w:qFormat/>
    <w:uiPriority w:val="0"/>
    <w:pPr>
      <w:pBdr>
        <w:left w:val="single" w:color="auto" w:sz="8" w:space="0"/>
        <w:bottom w:val="single" w:color="auto" w:sz="8" w:space="0"/>
      </w:pBdr>
      <w:spacing w:before="100" w:beforeAutospacing="1" w:after="100" w:afterAutospacing="1"/>
      <w:jc w:val="center"/>
      <w:textAlignment w:val="center"/>
    </w:pPr>
    <w:rPr>
      <w:color w:val="000000"/>
      <w:sz w:val="24"/>
      <w:szCs w:val="24"/>
    </w:rPr>
  </w:style>
  <w:style w:type="paragraph" w:customStyle="1" w:styleId="240">
    <w:name w:val="xl68"/>
    <w:basedOn w:val="1"/>
    <w:qFormat/>
    <w:uiPriority w:val="0"/>
    <w:pPr>
      <w:pBdr>
        <w:bottom w:val="single" w:color="auto" w:sz="8" w:space="0"/>
      </w:pBdr>
      <w:spacing w:before="100" w:beforeAutospacing="1" w:after="100" w:afterAutospacing="1"/>
      <w:jc w:val="center"/>
      <w:textAlignment w:val="center"/>
    </w:pPr>
    <w:rPr>
      <w:color w:val="000000"/>
      <w:sz w:val="24"/>
      <w:szCs w:val="24"/>
    </w:rPr>
  </w:style>
  <w:style w:type="paragraph" w:customStyle="1" w:styleId="241">
    <w:name w:val="xl69"/>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42">
    <w:name w:val="xl70"/>
    <w:basedOn w:val="1"/>
    <w:qFormat/>
    <w:uiPriority w:val="0"/>
    <w:pPr>
      <w:pBdr>
        <w:top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43">
    <w:name w:val="xl71"/>
    <w:basedOn w:val="1"/>
    <w:qFormat/>
    <w:uiPriority w:val="0"/>
    <w:pPr>
      <w:pBdr>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44">
    <w:name w:val="xl72"/>
    <w:basedOn w:val="1"/>
    <w:qFormat/>
    <w:uiPriority w:val="0"/>
    <w:pPr>
      <w:pBdr>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45">
    <w:name w:val="xl73"/>
    <w:basedOn w:val="1"/>
    <w:qFormat/>
    <w:uiPriority w:val="0"/>
    <w:pPr>
      <w:pBdr>
        <w:left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46">
    <w:name w:val="xl74"/>
    <w:basedOn w:val="1"/>
    <w:qFormat/>
    <w:uiPriority w:val="0"/>
    <w:pPr>
      <w:pBdr>
        <w:right w:val="single" w:color="auto" w:sz="8" w:space="0"/>
      </w:pBdr>
      <w:spacing w:before="100" w:beforeAutospacing="1" w:after="100" w:afterAutospacing="1"/>
      <w:jc w:val="center"/>
      <w:textAlignment w:val="center"/>
    </w:pPr>
    <w:rPr>
      <w:color w:val="000000"/>
      <w:sz w:val="24"/>
      <w:szCs w:val="24"/>
    </w:rPr>
  </w:style>
  <w:style w:type="paragraph" w:customStyle="1" w:styleId="247">
    <w:name w:val="xl75"/>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48">
    <w:name w:val="xl76"/>
    <w:basedOn w:val="1"/>
    <w:qFormat/>
    <w:uiPriority w:val="0"/>
    <w:pPr>
      <w:pBdr>
        <w:left w:val="single" w:color="auto" w:sz="8" w:space="0"/>
        <w:bottom w:val="single" w:color="auto" w:sz="8" w:space="0"/>
      </w:pBdr>
      <w:spacing w:before="100" w:beforeAutospacing="1" w:after="100" w:afterAutospacing="1"/>
      <w:jc w:val="center"/>
      <w:textAlignment w:val="center"/>
    </w:pPr>
    <w:rPr>
      <w:rFonts w:ascii="Arial" w:hAnsi="Arial" w:cs="Arial"/>
      <w:color w:val="000000"/>
    </w:rPr>
  </w:style>
  <w:style w:type="paragraph" w:customStyle="1" w:styleId="249">
    <w:name w:val="xl77"/>
    <w:basedOn w:val="1"/>
    <w:qFormat/>
    <w:uiPriority w:val="0"/>
    <w:pPr>
      <w:pBdr>
        <w:left w:val="single" w:color="auto" w:sz="8" w:space="0"/>
        <w:bottom w:val="single" w:color="auto" w:sz="8" w:space="0"/>
      </w:pBdr>
      <w:spacing w:before="100" w:beforeAutospacing="1" w:after="100" w:afterAutospacing="1"/>
      <w:jc w:val="center"/>
      <w:textAlignment w:val="center"/>
    </w:pPr>
    <w:rPr>
      <w:color w:val="000000"/>
      <w:sz w:val="24"/>
      <w:szCs w:val="24"/>
    </w:rPr>
  </w:style>
  <w:style w:type="paragraph" w:customStyle="1" w:styleId="250">
    <w:name w:val="xl78"/>
    <w:basedOn w:val="1"/>
    <w:qFormat/>
    <w:uiPriority w:val="0"/>
    <w:pPr>
      <w:pBdr>
        <w:left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51">
    <w:name w:val="xl79"/>
    <w:basedOn w:val="1"/>
    <w:qFormat/>
    <w:uiPriority w:val="0"/>
    <w:pPr>
      <w:spacing w:before="100" w:beforeAutospacing="1" w:after="100" w:afterAutospacing="1"/>
      <w:jc w:val="center"/>
      <w:textAlignment w:val="center"/>
    </w:pPr>
    <w:rPr>
      <w:rFonts w:ascii="Arial" w:hAnsi="Arial" w:cs="Arial"/>
      <w:color w:val="000000"/>
    </w:rPr>
  </w:style>
  <w:style w:type="paragraph" w:customStyle="1" w:styleId="252">
    <w:name w:val="xl80"/>
    <w:basedOn w:val="1"/>
    <w:qFormat/>
    <w:uiPriority w:val="0"/>
    <w:pPr>
      <w:spacing w:before="100" w:beforeAutospacing="1" w:after="100" w:afterAutospacing="1"/>
      <w:jc w:val="center"/>
      <w:textAlignment w:val="center"/>
    </w:pPr>
    <w:rPr>
      <w:color w:val="000000"/>
      <w:sz w:val="24"/>
      <w:szCs w:val="24"/>
    </w:rPr>
  </w:style>
  <w:style w:type="paragraph" w:customStyle="1" w:styleId="253">
    <w:name w:val="xl81"/>
    <w:basedOn w:val="1"/>
    <w:qFormat/>
    <w:uiPriority w:val="0"/>
    <w:pPr>
      <w:spacing w:before="100" w:beforeAutospacing="1" w:after="100" w:afterAutospacing="1"/>
      <w:jc w:val="center"/>
      <w:textAlignment w:val="center"/>
    </w:pPr>
    <w:rPr>
      <w:color w:val="000000"/>
      <w:sz w:val="24"/>
      <w:szCs w:val="24"/>
    </w:rPr>
  </w:style>
  <w:style w:type="paragraph" w:customStyle="1" w:styleId="254">
    <w:name w:val="xl82"/>
    <w:basedOn w:val="1"/>
    <w:qFormat/>
    <w:uiPriority w:val="0"/>
    <w:pPr>
      <w:pBdr>
        <w:left w:val="single" w:color="auto" w:sz="8" w:space="0"/>
        <w:bottom w:val="single" w:color="auto" w:sz="4"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55">
    <w:name w:val="xl83"/>
    <w:basedOn w:val="1"/>
    <w:qFormat/>
    <w:uiPriority w:val="0"/>
    <w:pPr>
      <w:pBdr>
        <w:bottom w:val="single" w:color="auto" w:sz="4" w:space="0"/>
        <w:right w:val="single" w:color="auto" w:sz="8" w:space="0"/>
      </w:pBdr>
      <w:spacing w:before="100" w:beforeAutospacing="1" w:after="100" w:afterAutospacing="1"/>
      <w:jc w:val="center"/>
      <w:textAlignment w:val="center"/>
    </w:pPr>
    <w:rPr>
      <w:color w:val="000000"/>
      <w:sz w:val="24"/>
      <w:szCs w:val="24"/>
    </w:rPr>
  </w:style>
  <w:style w:type="paragraph" w:customStyle="1" w:styleId="256">
    <w:name w:val="xl84"/>
    <w:basedOn w:val="1"/>
    <w:qFormat/>
    <w:uiPriority w:val="0"/>
    <w:pPr>
      <w:pBdr>
        <w:bottom w:val="single" w:color="auto" w:sz="4" w:space="0"/>
        <w:right w:val="single" w:color="auto" w:sz="8" w:space="0"/>
      </w:pBdr>
      <w:spacing w:before="100" w:beforeAutospacing="1" w:after="100" w:afterAutospacing="1"/>
      <w:jc w:val="center"/>
      <w:textAlignment w:val="center"/>
    </w:pPr>
    <w:rPr>
      <w:color w:val="000000"/>
      <w:sz w:val="24"/>
      <w:szCs w:val="24"/>
    </w:rPr>
  </w:style>
  <w:style w:type="paragraph" w:customStyle="1" w:styleId="257">
    <w:name w:val="xl85"/>
    <w:basedOn w:val="1"/>
    <w:qFormat/>
    <w:uiPriority w:val="0"/>
    <w:pPr>
      <w:pBdr>
        <w:top w:val="single" w:color="auto" w:sz="4"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58">
    <w:name w:val="xl86"/>
    <w:basedOn w:val="1"/>
    <w:qFormat/>
    <w:uiPriority w:val="0"/>
    <w:pPr>
      <w:pBdr>
        <w:top w:val="single" w:color="auto" w:sz="4"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59">
    <w:name w:val="xl87"/>
    <w:basedOn w:val="1"/>
    <w:qFormat/>
    <w:uiPriority w:val="0"/>
    <w:pPr>
      <w:pBdr>
        <w:top w:val="single" w:color="auto" w:sz="4"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60">
    <w:name w:val="xl88"/>
    <w:basedOn w:val="1"/>
    <w:qFormat/>
    <w:uiPriority w:val="0"/>
    <w:pPr>
      <w:pBdr>
        <w:top w:val="single" w:color="auto" w:sz="4" w:space="0"/>
        <w:bottom w:val="single" w:color="auto" w:sz="8" w:space="0"/>
      </w:pBdr>
      <w:spacing w:before="100" w:beforeAutospacing="1" w:after="100" w:afterAutospacing="1"/>
      <w:jc w:val="center"/>
      <w:textAlignment w:val="center"/>
    </w:pPr>
    <w:rPr>
      <w:color w:val="000000"/>
      <w:sz w:val="24"/>
      <w:szCs w:val="24"/>
    </w:rPr>
  </w:style>
  <w:style w:type="paragraph" w:customStyle="1" w:styleId="261">
    <w:name w:val="xl89"/>
    <w:basedOn w:val="1"/>
    <w:qFormat/>
    <w:uiPriority w:val="0"/>
    <w:pPr>
      <w:spacing w:before="100" w:beforeAutospacing="1" w:after="100" w:afterAutospacing="1"/>
      <w:jc w:val="center"/>
    </w:pPr>
    <w:rPr>
      <w:sz w:val="24"/>
      <w:szCs w:val="24"/>
    </w:rPr>
  </w:style>
  <w:style w:type="paragraph" w:customStyle="1" w:styleId="262">
    <w:name w:val="xl90"/>
    <w:basedOn w:val="1"/>
    <w:qFormat/>
    <w:uiPriority w:val="0"/>
    <w:pPr>
      <w:pBdr>
        <w:top w:val="single" w:color="auto" w:sz="4" w:space="0"/>
      </w:pBdr>
      <w:spacing w:before="100" w:beforeAutospacing="1" w:after="100" w:afterAutospacing="1"/>
      <w:jc w:val="center"/>
      <w:textAlignment w:val="center"/>
    </w:pPr>
    <w:rPr>
      <w:rFonts w:ascii="Arial" w:hAnsi="Arial" w:cs="Arial"/>
      <w:color w:val="000000"/>
    </w:rPr>
  </w:style>
  <w:style w:type="paragraph" w:customStyle="1" w:styleId="263">
    <w:name w:val="xl91"/>
    <w:basedOn w:val="1"/>
    <w:qFormat/>
    <w:uiPriority w:val="0"/>
    <w:pPr>
      <w:pBdr>
        <w:top w:val="single" w:color="auto" w:sz="4" w:space="0"/>
      </w:pBdr>
      <w:spacing w:before="100" w:beforeAutospacing="1" w:after="100" w:afterAutospacing="1"/>
      <w:jc w:val="center"/>
      <w:textAlignment w:val="center"/>
    </w:pPr>
    <w:rPr>
      <w:color w:val="000000"/>
      <w:sz w:val="24"/>
      <w:szCs w:val="24"/>
    </w:rPr>
  </w:style>
  <w:style w:type="paragraph" w:customStyle="1" w:styleId="264">
    <w:name w:val="xl92"/>
    <w:basedOn w:val="1"/>
    <w:qFormat/>
    <w:uiPriority w:val="0"/>
    <w:pPr>
      <w:pBdr>
        <w:top w:val="single" w:color="auto" w:sz="4" w:space="0"/>
      </w:pBdr>
      <w:spacing w:before="100" w:beforeAutospacing="1" w:after="100" w:afterAutospacing="1"/>
      <w:jc w:val="center"/>
      <w:textAlignment w:val="center"/>
    </w:pPr>
    <w:rPr>
      <w:color w:val="000000"/>
      <w:sz w:val="24"/>
      <w:szCs w:val="24"/>
    </w:rPr>
  </w:style>
  <w:style w:type="paragraph" w:customStyle="1" w:styleId="265">
    <w:name w:val="xl93"/>
    <w:basedOn w:val="1"/>
    <w:qFormat/>
    <w:uiPriority w:val="0"/>
    <w:pPr>
      <w:pBdr>
        <w:bottom w:val="single" w:color="auto" w:sz="4" w:space="0"/>
      </w:pBdr>
      <w:spacing w:before="100" w:beforeAutospacing="1" w:after="100" w:afterAutospacing="1"/>
      <w:jc w:val="center"/>
      <w:textAlignment w:val="center"/>
    </w:pPr>
    <w:rPr>
      <w:rFonts w:ascii="Arial" w:hAnsi="Arial" w:cs="Arial"/>
      <w:color w:val="000000"/>
    </w:rPr>
  </w:style>
  <w:style w:type="paragraph" w:customStyle="1" w:styleId="266">
    <w:name w:val="xl94"/>
    <w:basedOn w:val="1"/>
    <w:qFormat/>
    <w:uiPriority w:val="0"/>
    <w:pPr>
      <w:pBdr>
        <w:bottom w:val="single" w:color="auto" w:sz="4" w:space="0"/>
      </w:pBdr>
      <w:spacing w:before="100" w:beforeAutospacing="1" w:after="100" w:afterAutospacing="1"/>
      <w:jc w:val="center"/>
      <w:textAlignment w:val="center"/>
    </w:pPr>
    <w:rPr>
      <w:color w:val="000000"/>
      <w:sz w:val="24"/>
      <w:szCs w:val="24"/>
    </w:rPr>
  </w:style>
  <w:style w:type="paragraph" w:customStyle="1" w:styleId="267">
    <w:name w:val="xl95"/>
    <w:basedOn w:val="1"/>
    <w:qFormat/>
    <w:uiPriority w:val="0"/>
    <w:pPr>
      <w:pBdr>
        <w:bottom w:val="single" w:color="auto" w:sz="4" w:space="0"/>
      </w:pBdr>
      <w:spacing w:before="100" w:beforeAutospacing="1" w:after="100" w:afterAutospacing="1"/>
      <w:jc w:val="center"/>
      <w:textAlignment w:val="center"/>
    </w:pPr>
    <w:rPr>
      <w:color w:val="000000"/>
      <w:sz w:val="24"/>
      <w:szCs w:val="24"/>
    </w:rPr>
  </w:style>
  <w:style w:type="paragraph" w:customStyle="1" w:styleId="268">
    <w:name w:val="xl96"/>
    <w:basedOn w:val="1"/>
    <w:qFormat/>
    <w:uiPriority w:val="0"/>
    <w:pPr>
      <w:spacing w:before="100" w:beforeAutospacing="1" w:after="100" w:afterAutospacing="1"/>
      <w:jc w:val="center"/>
      <w:textAlignment w:val="center"/>
    </w:pPr>
    <w:rPr>
      <w:b/>
      <w:bCs/>
      <w:color w:val="000000"/>
      <w:sz w:val="24"/>
      <w:szCs w:val="24"/>
    </w:rPr>
  </w:style>
  <w:style w:type="paragraph" w:customStyle="1" w:styleId="269">
    <w:name w:val="xl9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4"/>
      <w:szCs w:val="24"/>
    </w:rPr>
  </w:style>
  <w:style w:type="paragraph" w:customStyle="1" w:styleId="270">
    <w:name w:val="xl9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4"/>
      <w:szCs w:val="24"/>
    </w:rPr>
  </w:style>
  <w:style w:type="paragraph" w:customStyle="1" w:styleId="271">
    <w:name w:val="Normal11"/>
    <w:qFormat/>
    <w:uiPriority w:val="0"/>
    <w:pPr>
      <w:widowControl w:val="0"/>
    </w:pPr>
    <w:rPr>
      <w:rFonts w:ascii="Calibri" w:hAnsi="Calibri" w:eastAsia="Calibri" w:cs="Calibri"/>
      <w:sz w:val="22"/>
      <w:szCs w:val="22"/>
      <w:lang w:val="pt-BR" w:eastAsia="pt-BR" w:bidi="ar-SA"/>
    </w:rPr>
  </w:style>
  <w:style w:type="paragraph" w:customStyle="1" w:styleId="272">
    <w:name w:val="Normal2"/>
    <w:qFormat/>
    <w:uiPriority w:val="0"/>
    <w:pPr>
      <w:widowControl w:val="0"/>
    </w:pPr>
    <w:rPr>
      <w:rFonts w:ascii="Calibri" w:hAnsi="Calibri" w:eastAsia="Calibri" w:cs="Calibri"/>
      <w:sz w:val="22"/>
      <w:szCs w:val="22"/>
      <w:lang w:val="pt-BR" w:eastAsia="pt-BR" w:bidi="ar-SA"/>
    </w:rPr>
  </w:style>
  <w:style w:type="table" w:customStyle="1" w:styleId="273">
    <w:name w:val="_Style 136"/>
    <w:basedOn w:val="60"/>
    <w:qFormat/>
    <w:uiPriority w:val="0"/>
    <w:rPr>
      <w:rFonts w:ascii="Aptos" w:hAnsi="Aptos" w:eastAsia="Aptos" w:cs="Aptos"/>
    </w:rPr>
    <w:tblPr>
      <w:tblCellMar>
        <w:left w:w="108" w:type="dxa"/>
        <w:right w:w="108" w:type="dxa"/>
      </w:tblCellMar>
    </w:tblPr>
  </w:style>
  <w:style w:type="paragraph" w:customStyle="1" w:styleId="274">
    <w:name w:val="Normal3"/>
    <w:qFormat/>
    <w:uiPriority w:val="0"/>
    <w:pPr>
      <w:widowControl w:val="0"/>
    </w:pPr>
    <w:rPr>
      <w:rFonts w:ascii="Calibri" w:hAnsi="Calibri" w:eastAsia="Calibri" w:cs="Calibri"/>
      <w:sz w:val="22"/>
      <w:szCs w:val="22"/>
      <w:lang w:val="pt-BR" w:eastAsia="pt-BR" w:bidi="ar-SA"/>
    </w:rPr>
  </w:style>
  <w:style w:type="table" w:customStyle="1" w:styleId="275">
    <w:name w:val="_Style 10"/>
    <w:basedOn w:val="60"/>
    <w:qFormat/>
    <w:uiPriority w:val="0"/>
    <w:rPr>
      <w:rFonts w:eastAsia="SimSun"/>
    </w:rPr>
    <w:tblPr>
      <w:tblCellMar>
        <w:left w:w="10" w:type="dxa"/>
        <w:right w:w="1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dGJSLzgcsFhq5+ry/kjen7xknA==">CgMxLjA4AHIhMWlCTzhycGRGTHFYMmhZc3ZCelJyNVBUMkFoRU5vQ0xu</go:docsCustomData>
</go:gDocsCustomXmlDataStorage>
</file>

<file path=customXml/itemProps1.xml><?xml version="1.0" encoding="utf-8"?>
<ds:datastoreItem xmlns:ds="http://schemas.openxmlformats.org/officeDocument/2006/customXml" ds:itemID="{9498DB4B-C8EE-4210-B905-9330BC96A181}">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109</Pages>
  <Words>29968</Words>
  <Characters>168755</Characters>
  <Lines>1438</Lines>
  <Paragraphs>408</Paragraphs>
  <TotalTime>34</TotalTime>
  <ScaleCrop>false</ScaleCrop>
  <LinksUpToDate>false</LinksUpToDate>
  <CharactersWithSpaces>197910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2026-08-24T18:37:00Z</dcterms:created>
  <dc:creator>Sabrina Guimarães</dc:creator>
  <cp:lastModifiedBy>licitacao04</cp:lastModifiedBy>
  <cp:lastPrinted>2025-09-18T12:50:00Z</cp:lastPrinted>
  <dcterms:modified xsi:type="dcterms:W3CDTF">2026-09-04T19:13:32Z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1046-12.1.0.28485</vt:lpwstr>
  </property>
  <property fmtid="{D5CDD505-2E9C-101B-9397-08002B2CF9AE}" pid="3" name="ICV">
    <vt:lpwstr>F2DCBF4F6B1841868377403D02779DDB_13</vt:lpwstr>
  </property>
  <property fmtid="{D5CDD505-2E9C-101B-9397-08002B2CF9AE}" pid="4" name="KSOTemplateDocerSaveRecord">
    <vt:lpwstr>eyJoZGlkIjoiODk5ZDUzODY0MzRjZDU1MTZjNjdmZjFjZGJkZmQ3NTUifQ==</vt:lpwstr>
  </property>
</Properties>
</file>