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32</w:t>
      </w:r>
      <w:r>
        <w:rPr>
          <w:rFonts w:ascii="Times New Roman" w:hAnsi="Times New Roman" w:cs="Times New Roman"/>
          <w:b/>
          <w:sz w:val="24"/>
          <w:szCs w:val="24"/>
        </w:rPr>
        <w:t xml:space="preserve">/2026/FMS – </w:t>
      </w:r>
      <w:r>
        <w:rPr>
          <w:rFonts w:ascii="Times New Roman" w:hAnsi="Times New Roman" w:cs="Times New Roman"/>
          <w:b/>
          <w:sz w:val="24"/>
          <w:szCs w:val="24"/>
          <w:highlight w:val="yellow"/>
        </w:rPr>
        <w:t>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0B2DE50E">
      <w:pPr>
        <w:tabs>
          <w:tab w:val="left" w:pos="555"/>
          <w:tab w:val="left" w:pos="840"/>
          <w:tab w:val="left" w:pos="1140"/>
          <w:tab w:val="left" w:pos="1395"/>
          <w:tab w:val="left" w:pos="1650"/>
          <w:tab w:val="left" w:pos="1965"/>
          <w:tab w:val="left" w:pos="2220"/>
          <w:tab w:val="left" w:pos="7336"/>
        </w:tabs>
        <w:spacing w:after="200" w:line="276" w:lineRule="auto"/>
        <w:rPr>
          <w:color w:val="000000"/>
          <w:sz w:val="24"/>
          <w:szCs w:val="24"/>
        </w:rPr>
      </w:pPr>
      <w:r>
        <w:rPr>
          <w:color w:val="000000"/>
          <w:sz w:val="24"/>
          <w:szCs w:val="24"/>
        </w:rPr>
        <w:t>Aquisição de medicamentos de A a Z, ÉTICOS, SIMILARES e GENÉRICOS, considerando o maior desconto sobre a Tabela de Preços CMED da ANVISA, para atender as demandas dos pacientes assistidos pelo Centro Assistencial e de Mandado.</w:t>
      </w:r>
    </w:p>
    <w:p w14:paraId="0D5656C5">
      <w:pPr>
        <w:spacing w:line="288" w:lineRule="auto"/>
        <w:contextualSpacing/>
        <w:jc w:val="both"/>
        <w:rPr>
          <w:b/>
          <w:bCs/>
          <w:color w:val="000000" w:themeColor="text1"/>
          <w:sz w:val="24"/>
          <w:szCs w:val="24"/>
          <w14:textFill>
            <w14:solidFill>
              <w14:schemeClr w14:val="tx1"/>
            </w14:solidFill>
          </w14:textFill>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2197391B">
      <w:pPr>
        <w:spacing w:line="288" w:lineRule="auto"/>
        <w:contextualSpacing/>
        <w:jc w:val="both"/>
        <w:rPr>
          <w:color w:val="000000" w:themeColor="text1"/>
          <w:sz w:val="24"/>
          <w:szCs w:val="24"/>
          <w14:textFill>
            <w14:solidFill>
              <w14:schemeClr w14:val="tx1"/>
            </w14:solidFill>
          </w14:textFill>
        </w:rPr>
      </w:pPr>
      <w:r>
        <w:rPr>
          <w:b/>
          <w:bCs/>
          <w:color w:val="000000" w:themeColor="text1"/>
          <w:sz w:val="24"/>
          <w:szCs w:val="24"/>
          <w:u w:val="single"/>
          <w14:textFill>
            <w14:solidFill>
              <w14:schemeClr w14:val="tx1"/>
            </w14:solidFill>
          </w14:textFill>
        </w:rPr>
        <w:t xml:space="preserve">R$ </w:t>
      </w:r>
      <w:r>
        <w:rPr>
          <w:b/>
          <w:color w:val="000000"/>
          <w:sz w:val="24"/>
          <w:szCs w:val="24"/>
          <w:u w:val="single"/>
        </w:rPr>
        <w:t>4.500.000,00</w:t>
      </w:r>
      <w:r>
        <w:rPr>
          <w:b/>
          <w:color w:val="000000"/>
          <w:sz w:val="24"/>
          <w:szCs w:val="24"/>
        </w:rPr>
        <w:t xml:space="preserve"> (quatro milhões e quinhentos mil reais).</w:t>
      </w:r>
    </w:p>
    <w:p w14:paraId="4176879E">
      <w:pPr>
        <w:spacing w:line="288" w:lineRule="auto"/>
        <w:contextualSpacing/>
        <w:jc w:val="both"/>
        <w:rPr>
          <w:color w:val="000000" w:themeColor="text1"/>
          <w:sz w:val="24"/>
          <w:szCs w:val="24"/>
          <w14:textFill>
            <w14:solidFill>
              <w14:schemeClr w14:val="tx1"/>
            </w14:solidFill>
          </w14:textFill>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color w:val="000000" w:themeColor="text1"/>
          <w:sz w:val="24"/>
          <w:szCs w:val="24"/>
          <w14:textFill>
            <w14:solidFill>
              <w14:schemeClr w14:val="tx1"/>
            </w14:solidFill>
          </w14:textFill>
        </w:rPr>
      </w:pPr>
    </w:p>
    <w:p w14:paraId="3F6A5D6A">
      <w:pPr>
        <w:spacing w:line="288" w:lineRule="auto"/>
        <w:contextualSpacing/>
        <w:jc w:val="both"/>
        <w:rPr>
          <w:b/>
          <w:bCs/>
          <w:i/>
          <w:iCs/>
          <w:color w:val="000000" w:themeColor="text1"/>
          <w:sz w:val="24"/>
          <w:szCs w:val="24"/>
          <w:u w:val="single"/>
          <w14:textFill>
            <w14:solidFill>
              <w14:schemeClr w14:val="tx1"/>
            </w14:solidFill>
          </w14:textFill>
        </w:rPr>
      </w:pPr>
      <w:r>
        <w:rPr>
          <w:b/>
          <w:bCs/>
          <w:i/>
          <w:iCs/>
          <w:color w:val="000000" w:themeColor="text1"/>
          <w:sz w:val="24"/>
          <w:szCs w:val="24"/>
          <w:u w:val="single"/>
          <w14:textFill>
            <w14:solidFill>
              <w14:schemeClr w14:val="tx1"/>
            </w14:solidFill>
          </w14:textFill>
        </w:rPr>
        <w:t xml:space="preserve">Dia </w:t>
      </w:r>
      <w:r>
        <w:rPr>
          <w:rFonts w:hint="default"/>
          <w:b/>
          <w:bCs/>
          <w:i/>
          <w:iCs/>
          <w:color w:val="000000" w:themeColor="text1"/>
          <w:sz w:val="24"/>
          <w:szCs w:val="24"/>
          <w:u w:val="single"/>
          <w:lang w:val="pt-BR"/>
          <w14:textFill>
            <w14:solidFill>
              <w14:schemeClr w14:val="tx1"/>
            </w14:solidFill>
          </w14:textFill>
        </w:rPr>
        <w:t xml:space="preserve">14/05/2026 </w:t>
      </w:r>
      <w:r>
        <w:rPr>
          <w:b/>
          <w:bCs/>
          <w:i/>
          <w:iCs/>
          <w:color w:val="000000" w:themeColor="text1"/>
          <w:sz w:val="24"/>
          <w:szCs w:val="24"/>
          <w:u w:val="single"/>
          <w14:textFill>
            <w14:solidFill>
              <w14:schemeClr w14:val="tx1"/>
            </w14:solidFill>
          </w14:textFill>
        </w:rPr>
        <w:t xml:space="preserve">às </w:t>
      </w:r>
      <w:r>
        <w:rPr>
          <w:rFonts w:hint="default"/>
          <w:b/>
          <w:bCs/>
          <w:i/>
          <w:iCs/>
          <w:color w:val="000000" w:themeColor="text1"/>
          <w:sz w:val="24"/>
          <w:szCs w:val="24"/>
          <w:u w:val="single"/>
          <w:lang w:val="pt-BR"/>
          <w14:textFill>
            <w14:solidFill>
              <w14:schemeClr w14:val="tx1"/>
            </w14:solidFill>
          </w14:textFill>
        </w:rPr>
        <w:t>10hs</w:t>
      </w:r>
      <w:r>
        <w:rPr>
          <w:b/>
          <w:bCs/>
          <w:i/>
          <w:iCs/>
          <w:color w:val="000000" w:themeColor="text1"/>
          <w:sz w:val="24"/>
          <w:szCs w:val="24"/>
          <w:u w:val="single"/>
          <w14:textFill>
            <w14:solidFill>
              <w14:schemeClr w14:val="tx1"/>
            </w14:solidFill>
          </w14:textFill>
        </w:rPr>
        <w:t xml:space="preserve"> (horário de Brasília)</w:t>
      </w:r>
    </w:p>
    <w:p w14:paraId="6E8E8A5E">
      <w:pPr>
        <w:spacing w:line="288" w:lineRule="auto"/>
        <w:contextualSpacing/>
        <w:jc w:val="both"/>
        <w:rPr>
          <w:color w:val="000000" w:themeColor="text1"/>
          <w:sz w:val="24"/>
          <w:szCs w:val="24"/>
          <w14:textFill>
            <w14:solidFill>
              <w14:schemeClr w14:val="tx1"/>
            </w14:solidFill>
          </w14:textFill>
        </w:rPr>
      </w:pPr>
    </w:p>
    <w:p w14:paraId="6D5F275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767523B9">
      <w:pPr>
        <w:spacing w:line="288" w:lineRule="auto"/>
        <w:contextualSpacing/>
        <w:jc w:val="both"/>
        <w:rPr>
          <w:sz w:val="24"/>
          <w:szCs w:val="24"/>
        </w:rPr>
      </w:pPr>
      <w:r>
        <w:rPr>
          <w:rFonts w:hint="default"/>
          <w:sz w:val="24"/>
          <w:szCs w:val="24"/>
          <w:lang w:val="pt-BR"/>
        </w:rPr>
        <w:t>MAIOR DESCONTO</w:t>
      </w:r>
      <w:bookmarkStart w:id="49" w:name="_GoBack"/>
      <w:bookmarkEnd w:id="49"/>
      <w:r>
        <w:rPr>
          <w:sz w:val="24"/>
          <w:szCs w:val="24"/>
        </w:rPr>
        <w:t xml:space="preserve"> POR ITEM</w:t>
      </w:r>
    </w:p>
    <w:p w14:paraId="06E85870">
      <w:pPr>
        <w:spacing w:line="288" w:lineRule="auto"/>
        <w:contextualSpacing/>
        <w:jc w:val="both"/>
        <w:rPr>
          <w:color w:val="000000" w:themeColor="text1"/>
          <w:sz w:val="24"/>
          <w:szCs w:val="24"/>
          <w14:textFill>
            <w14:solidFill>
              <w14:schemeClr w14:val="tx1"/>
            </w14:solidFill>
          </w14:textFill>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 E FECHADO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32</w:t>
      </w:r>
      <w:r>
        <w:rPr>
          <w:b/>
          <w:color w:val="000000" w:themeColor="text1"/>
          <w:sz w:val="24"/>
          <w:szCs w:val="24"/>
          <w14:textFill>
            <w14:solidFill>
              <w14:schemeClr w14:val="tx1"/>
            </w14:solidFill>
          </w14:textFill>
        </w:rPr>
        <w:t>/2026/FMS</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SAÚDE</w:t>
      </w:r>
      <w:r>
        <w:rPr>
          <w:iCs/>
          <w:color w:val="000000" w:themeColor="text1"/>
          <w:sz w:val="24"/>
          <w:szCs w:val="24"/>
          <w14:textFill>
            <w14:solidFill>
              <w14:schemeClr w14:val="tx1"/>
            </w14:solidFill>
          </w14:textFill>
        </w:rPr>
        <w:t xml:space="preserve">, sediada Rua Dr. Figueiredo n° 320,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VLC-020508/000572/2026,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37C53E88">
      <w:pPr>
        <w:tabs>
          <w:tab w:val="left" w:pos="555"/>
          <w:tab w:val="left" w:pos="840"/>
          <w:tab w:val="left" w:pos="1140"/>
          <w:tab w:val="left" w:pos="1395"/>
          <w:tab w:val="left" w:pos="1650"/>
          <w:tab w:val="left" w:pos="1965"/>
          <w:tab w:val="left" w:pos="2220"/>
          <w:tab w:val="left" w:pos="7336"/>
        </w:tabs>
        <w:spacing w:after="200" w:line="276" w:lineRule="auto"/>
        <w:rPr>
          <w:color w:val="000000"/>
          <w:sz w:val="24"/>
          <w:szCs w:val="24"/>
        </w:rPr>
      </w:pPr>
      <w:r>
        <w:rPr>
          <w:rFonts w:eastAsia="Cambria Math"/>
          <w:sz w:val="24"/>
          <w:szCs w:val="24"/>
        </w:rPr>
        <w:t xml:space="preserve">1.1 </w:t>
      </w:r>
      <w:r>
        <w:rPr>
          <w:color w:val="000000"/>
          <w:sz w:val="24"/>
          <w:szCs w:val="24"/>
        </w:rPr>
        <w:t>Aquisição de medicamentos de A a Z, ÉTICOS, SIMILARES e GENÉRICOS, considerando o maior desconto sobre a Tabela de Preços CMED da ANVISA, para atender as demandas dos pacientes assistidos pelo Centro Assistencial e de Mandado.</w:t>
      </w:r>
    </w:p>
    <w:p w14:paraId="6AFEC96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itens, conforme tabela abaixo.</w:t>
      </w:r>
    </w:p>
    <w:p w14:paraId="241669ED">
      <w:pPr>
        <w:widowControl w:val="0"/>
        <w:rPr>
          <w:rFonts w:ascii="Arial" w:hAnsi="Arial" w:eastAsia="Arial" w:cs="Arial"/>
          <w:color w:val="000000"/>
          <w:sz w:val="22"/>
          <w:szCs w:val="22"/>
        </w:rPr>
      </w:pPr>
    </w:p>
    <w:tbl>
      <w:tblPr>
        <w:tblStyle w:val="10"/>
        <w:tblW w:w="104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4"/>
        <w:gridCol w:w="3234"/>
        <w:gridCol w:w="3234"/>
        <w:gridCol w:w="3234"/>
      </w:tblGrid>
      <w:tr w14:paraId="6638E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765" w:type="dxa"/>
          </w:tcPr>
          <w:p w14:paraId="0AEA6964">
            <w:pPr>
              <w:widowControl w:val="0"/>
              <w:rPr>
                <w:b/>
                <w:bCs/>
                <w:color w:val="000000"/>
                <w:sz w:val="24"/>
                <w:szCs w:val="24"/>
              </w:rPr>
            </w:pPr>
            <w:r>
              <w:rPr>
                <w:b/>
                <w:bCs/>
                <w:color w:val="000000"/>
                <w:sz w:val="24"/>
                <w:szCs w:val="24"/>
              </w:rPr>
              <w:t>Item</w:t>
            </w:r>
          </w:p>
        </w:tc>
        <w:tc>
          <w:tcPr>
            <w:tcW w:w="3233" w:type="dxa"/>
          </w:tcPr>
          <w:p w14:paraId="5DD9CEF5">
            <w:pPr>
              <w:widowControl w:val="0"/>
              <w:jc w:val="center"/>
              <w:rPr>
                <w:b/>
                <w:bCs/>
                <w:color w:val="000000"/>
                <w:sz w:val="24"/>
                <w:szCs w:val="24"/>
              </w:rPr>
            </w:pPr>
            <w:r>
              <w:rPr>
                <w:b/>
                <w:bCs/>
                <w:color w:val="000000"/>
                <w:sz w:val="24"/>
                <w:szCs w:val="24"/>
              </w:rPr>
              <w:t>Descrição/Especificação</w:t>
            </w:r>
          </w:p>
        </w:tc>
        <w:tc>
          <w:tcPr>
            <w:tcW w:w="3233" w:type="dxa"/>
          </w:tcPr>
          <w:p w14:paraId="07E57E99">
            <w:pPr>
              <w:widowControl w:val="0"/>
              <w:jc w:val="center"/>
              <w:rPr>
                <w:b/>
                <w:bCs/>
                <w:color w:val="000000"/>
                <w:sz w:val="24"/>
                <w:szCs w:val="24"/>
              </w:rPr>
            </w:pPr>
            <w:r>
              <w:rPr>
                <w:b/>
                <w:bCs/>
                <w:color w:val="000000"/>
                <w:sz w:val="24"/>
                <w:szCs w:val="24"/>
              </w:rPr>
              <w:t>Unidade</w:t>
            </w:r>
          </w:p>
        </w:tc>
        <w:tc>
          <w:tcPr>
            <w:tcW w:w="3233" w:type="dxa"/>
          </w:tcPr>
          <w:p w14:paraId="0A367526">
            <w:pPr>
              <w:widowControl w:val="0"/>
              <w:jc w:val="center"/>
              <w:rPr>
                <w:b/>
                <w:bCs/>
                <w:color w:val="000000"/>
                <w:sz w:val="24"/>
                <w:szCs w:val="24"/>
              </w:rPr>
            </w:pPr>
            <w:r>
              <w:rPr>
                <w:b/>
                <w:bCs/>
                <w:color w:val="000000"/>
                <w:sz w:val="24"/>
                <w:szCs w:val="24"/>
              </w:rPr>
              <w:t>Quantidade</w:t>
            </w:r>
          </w:p>
        </w:tc>
      </w:tr>
      <w:tr w14:paraId="40E76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5" w:type="dxa"/>
          </w:tcPr>
          <w:p w14:paraId="2F884E19">
            <w:pPr>
              <w:widowControl w:val="0"/>
              <w:jc w:val="center"/>
              <w:rPr>
                <w:color w:val="000000"/>
                <w:sz w:val="24"/>
                <w:szCs w:val="24"/>
              </w:rPr>
            </w:pPr>
            <w:r>
              <w:rPr>
                <w:color w:val="000000"/>
                <w:sz w:val="24"/>
                <w:szCs w:val="24"/>
              </w:rPr>
              <w:t>1</w:t>
            </w:r>
          </w:p>
        </w:tc>
        <w:tc>
          <w:tcPr>
            <w:tcW w:w="3233" w:type="dxa"/>
          </w:tcPr>
          <w:p w14:paraId="1B28DD04">
            <w:pPr>
              <w:widowControl w:val="0"/>
              <w:rPr>
                <w:color w:val="000000"/>
                <w:sz w:val="24"/>
                <w:szCs w:val="24"/>
              </w:rPr>
            </w:pPr>
            <w:r>
              <w:rPr>
                <w:color w:val="000000"/>
                <w:sz w:val="24"/>
                <w:szCs w:val="24"/>
              </w:rPr>
              <w:t>Medicamentos de A a Z, ÉTICOS</w:t>
            </w:r>
          </w:p>
        </w:tc>
        <w:tc>
          <w:tcPr>
            <w:tcW w:w="3233" w:type="dxa"/>
          </w:tcPr>
          <w:p w14:paraId="09B3A452">
            <w:pPr>
              <w:widowControl w:val="0"/>
              <w:jc w:val="center"/>
              <w:rPr>
                <w:color w:val="000000"/>
                <w:sz w:val="24"/>
                <w:szCs w:val="24"/>
              </w:rPr>
            </w:pPr>
            <w:r>
              <w:rPr>
                <w:color w:val="000000"/>
                <w:sz w:val="24"/>
                <w:szCs w:val="24"/>
              </w:rPr>
              <w:t>Não aplicável</w:t>
            </w:r>
          </w:p>
        </w:tc>
        <w:tc>
          <w:tcPr>
            <w:tcW w:w="3233" w:type="dxa"/>
          </w:tcPr>
          <w:p w14:paraId="4BB3844D">
            <w:pPr>
              <w:widowControl w:val="0"/>
              <w:jc w:val="center"/>
              <w:rPr>
                <w:color w:val="000000"/>
                <w:sz w:val="24"/>
                <w:szCs w:val="24"/>
              </w:rPr>
            </w:pPr>
            <w:r>
              <w:rPr>
                <w:color w:val="000000"/>
                <w:sz w:val="24"/>
                <w:szCs w:val="24"/>
              </w:rPr>
              <w:t>Não aplicável</w:t>
            </w:r>
          </w:p>
        </w:tc>
      </w:tr>
      <w:tr w14:paraId="71B19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5" w:type="dxa"/>
          </w:tcPr>
          <w:p w14:paraId="0837402F">
            <w:pPr>
              <w:widowControl w:val="0"/>
              <w:jc w:val="center"/>
              <w:rPr>
                <w:color w:val="000000"/>
                <w:sz w:val="24"/>
                <w:szCs w:val="24"/>
              </w:rPr>
            </w:pPr>
            <w:r>
              <w:rPr>
                <w:color w:val="000000"/>
                <w:sz w:val="24"/>
                <w:szCs w:val="24"/>
              </w:rPr>
              <w:t>2</w:t>
            </w:r>
          </w:p>
        </w:tc>
        <w:tc>
          <w:tcPr>
            <w:tcW w:w="3233" w:type="dxa"/>
          </w:tcPr>
          <w:p w14:paraId="4AA5FED9">
            <w:pPr>
              <w:widowControl w:val="0"/>
              <w:rPr>
                <w:color w:val="000000"/>
                <w:sz w:val="24"/>
                <w:szCs w:val="24"/>
              </w:rPr>
            </w:pPr>
            <w:r>
              <w:rPr>
                <w:color w:val="000000"/>
                <w:sz w:val="24"/>
                <w:szCs w:val="24"/>
              </w:rPr>
              <w:t>Medicamentos de A a Z, SIMILARES</w:t>
            </w:r>
          </w:p>
        </w:tc>
        <w:tc>
          <w:tcPr>
            <w:tcW w:w="3233" w:type="dxa"/>
          </w:tcPr>
          <w:p w14:paraId="5D2EB860">
            <w:pPr>
              <w:widowControl w:val="0"/>
              <w:jc w:val="center"/>
              <w:rPr>
                <w:color w:val="000000"/>
                <w:sz w:val="24"/>
                <w:szCs w:val="24"/>
              </w:rPr>
            </w:pPr>
            <w:r>
              <w:rPr>
                <w:color w:val="000000"/>
                <w:sz w:val="24"/>
                <w:szCs w:val="24"/>
              </w:rPr>
              <w:t>Não aplicável</w:t>
            </w:r>
          </w:p>
        </w:tc>
        <w:tc>
          <w:tcPr>
            <w:tcW w:w="3233" w:type="dxa"/>
          </w:tcPr>
          <w:p w14:paraId="64642A24">
            <w:pPr>
              <w:widowControl w:val="0"/>
              <w:jc w:val="center"/>
              <w:rPr>
                <w:color w:val="000000"/>
                <w:sz w:val="24"/>
                <w:szCs w:val="24"/>
              </w:rPr>
            </w:pPr>
            <w:r>
              <w:rPr>
                <w:color w:val="000000"/>
                <w:sz w:val="24"/>
                <w:szCs w:val="24"/>
              </w:rPr>
              <w:t>Não aplicável</w:t>
            </w:r>
          </w:p>
        </w:tc>
      </w:tr>
      <w:tr w14:paraId="65FBB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5" w:type="dxa"/>
          </w:tcPr>
          <w:p w14:paraId="45E73849">
            <w:pPr>
              <w:widowControl w:val="0"/>
              <w:jc w:val="center"/>
              <w:rPr>
                <w:color w:val="000000"/>
                <w:sz w:val="24"/>
                <w:szCs w:val="24"/>
              </w:rPr>
            </w:pPr>
            <w:r>
              <w:rPr>
                <w:color w:val="000000"/>
                <w:sz w:val="24"/>
                <w:szCs w:val="24"/>
              </w:rPr>
              <w:t>3</w:t>
            </w:r>
          </w:p>
        </w:tc>
        <w:tc>
          <w:tcPr>
            <w:tcW w:w="3233" w:type="dxa"/>
          </w:tcPr>
          <w:p w14:paraId="5267353D">
            <w:pPr>
              <w:widowControl w:val="0"/>
              <w:rPr>
                <w:color w:val="000000"/>
                <w:sz w:val="24"/>
                <w:szCs w:val="24"/>
              </w:rPr>
            </w:pPr>
            <w:r>
              <w:rPr>
                <w:color w:val="000000"/>
                <w:sz w:val="24"/>
                <w:szCs w:val="24"/>
              </w:rPr>
              <w:t>Medicamentos de A a Z, GENÉRICOS</w:t>
            </w:r>
          </w:p>
        </w:tc>
        <w:tc>
          <w:tcPr>
            <w:tcW w:w="3233" w:type="dxa"/>
          </w:tcPr>
          <w:p w14:paraId="5C725481">
            <w:pPr>
              <w:widowControl w:val="0"/>
              <w:jc w:val="center"/>
              <w:rPr>
                <w:color w:val="000000"/>
                <w:sz w:val="24"/>
                <w:szCs w:val="24"/>
              </w:rPr>
            </w:pPr>
            <w:r>
              <w:rPr>
                <w:color w:val="000000"/>
                <w:sz w:val="24"/>
                <w:szCs w:val="24"/>
              </w:rPr>
              <w:t>Não aplicável</w:t>
            </w:r>
          </w:p>
        </w:tc>
        <w:tc>
          <w:tcPr>
            <w:tcW w:w="3233" w:type="dxa"/>
          </w:tcPr>
          <w:p w14:paraId="2920AF8F">
            <w:pPr>
              <w:widowControl w:val="0"/>
              <w:jc w:val="center"/>
              <w:rPr>
                <w:color w:val="000000"/>
                <w:sz w:val="24"/>
                <w:szCs w:val="24"/>
              </w:rPr>
            </w:pPr>
            <w:r>
              <w:rPr>
                <w:color w:val="000000"/>
                <w:sz w:val="24"/>
                <w:szCs w:val="24"/>
              </w:rPr>
              <w:t>Não aplicável</w:t>
            </w:r>
          </w:p>
        </w:tc>
      </w:tr>
    </w:tbl>
    <w:p w14:paraId="38806CF5">
      <w:pPr>
        <w:pStyle w:val="99"/>
        <w:spacing w:before="288" w:beforeLines="120" w:after="288" w:afterLines="120" w:line="288" w:lineRule="auto"/>
        <w:ind w:left="0" w:firstLine="0"/>
        <w:contextualSpacing/>
        <w:rPr>
          <w:rFonts w:asciiTheme="minorHAnsi" w:hAnsiTheme="minorHAnsi" w:cstheme="minorHAnsi"/>
          <w:b/>
          <w:bCs/>
          <w:color w:val="auto"/>
          <w:sz w:val="24"/>
          <w:szCs w:val="24"/>
        </w:rPr>
      </w:pP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4CCB1264">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7D21D1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72B3334D">
      <w:pPr>
        <w:pStyle w:val="99"/>
        <w:spacing w:before="288" w:beforeLines="120" w:after="288" w:afterLines="120" w:line="288" w:lineRule="auto"/>
        <w:ind w:left="0" w:firstLine="0"/>
        <w:contextualSpacing/>
        <w:rPr>
          <w:rFonts w:ascii="Times New Roman" w:hAnsi="Times New Roman" w:cs="Times New Roman"/>
          <w:sz w:val="24"/>
          <w:szCs w:val="24"/>
        </w:rPr>
      </w:pPr>
    </w:p>
    <w:p w14:paraId="5FC40E67">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7F6961F3">
      <w:pPr>
        <w:pStyle w:val="99"/>
        <w:spacing w:before="288" w:beforeLines="120" w:after="288" w:afterLines="120" w:line="288" w:lineRule="auto"/>
        <w:ind w:left="0" w:firstLine="0"/>
        <w:contextualSpacing/>
        <w:rPr>
          <w:rFonts w:ascii="Times New Roman" w:hAnsi="Times New Roman" w:cs="Times New Roman"/>
          <w:sz w:val="24"/>
          <w:szCs w:val="24"/>
        </w:rPr>
      </w:pPr>
    </w:p>
    <w:p w14:paraId="08DFB3F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0908F5E9">
      <w:pPr>
        <w:pStyle w:val="101"/>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37CEAEEE">
      <w:pPr>
        <w:pStyle w:val="99"/>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Saúde, situada na Rua Dr. Figueiredo, nº 320,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smscompras@yahoo.com.br</w:t>
      </w:r>
    </w:p>
    <w:p w14:paraId="0F19BEA6">
      <w:pPr>
        <w:pStyle w:val="99"/>
        <w:spacing w:line="288" w:lineRule="auto"/>
        <w:ind w:left="0" w:firstLine="0"/>
        <w:contextualSpacing/>
        <w:rPr>
          <w:rFonts w:ascii="Times New Roman" w:hAnsi="Times New Roman" w:cs="Times New Roman"/>
          <w:sz w:val="24"/>
          <w:szCs w:val="24"/>
        </w:rPr>
      </w:pPr>
    </w:p>
    <w:p w14:paraId="69B3A62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2BF9A9F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3FB32D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76DB2DF6">
      <w:pPr>
        <w:pStyle w:val="99"/>
        <w:spacing w:line="288" w:lineRule="auto"/>
        <w:ind w:left="0" w:firstLine="0"/>
        <w:contextualSpacing/>
        <w:rPr>
          <w:rFonts w:ascii="Times New Roman" w:hAnsi="Times New Roman" w:cs="Times New Roman"/>
          <w:sz w:val="24"/>
          <w:szCs w:val="24"/>
        </w:rPr>
      </w:pPr>
    </w:p>
    <w:p w14:paraId="517F22DD">
      <w:pPr>
        <w:pStyle w:val="99"/>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156952BA">
      <w:pPr>
        <w:pStyle w:val="99"/>
        <w:spacing w:line="288" w:lineRule="auto"/>
        <w:ind w:left="0" w:firstLine="0"/>
        <w:contextualSpacing/>
        <w:rPr>
          <w:rFonts w:ascii="Times New Roman" w:hAnsi="Times New Roman" w:cs="Times New Roman"/>
          <w:sz w:val="24"/>
          <w:szCs w:val="24"/>
        </w:rPr>
      </w:pPr>
    </w:p>
    <w:p w14:paraId="0497664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3F3AF720">
      <w:pPr>
        <w:pStyle w:val="99"/>
        <w:spacing w:line="288" w:lineRule="auto"/>
        <w:ind w:left="0" w:firstLine="0"/>
        <w:contextualSpacing/>
        <w:rPr>
          <w:rFonts w:ascii="Times New Roman" w:hAnsi="Times New Roman" w:cs="Times New Roman"/>
          <w:sz w:val="24"/>
          <w:szCs w:val="24"/>
        </w:rPr>
      </w:pPr>
    </w:p>
    <w:p w14:paraId="542757D9">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0461F5C7">
      <w:pPr>
        <w:pStyle w:val="99"/>
        <w:spacing w:line="288" w:lineRule="auto"/>
        <w:ind w:left="0" w:firstLine="0"/>
        <w:contextualSpacing/>
        <w:rPr>
          <w:rFonts w:ascii="Times New Roman" w:hAnsi="Times New Roman" w:cs="Times New Roman"/>
          <w:sz w:val="24"/>
          <w:szCs w:val="24"/>
        </w:rPr>
      </w:pPr>
    </w:p>
    <w:p w14:paraId="3D1E93E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91C0E9B">
      <w:pPr>
        <w:pStyle w:val="99"/>
        <w:spacing w:line="288" w:lineRule="auto"/>
        <w:ind w:left="0" w:firstLine="0"/>
        <w:contextualSpacing/>
        <w:rPr>
          <w:rFonts w:ascii="Times New Roman" w:hAnsi="Times New Roman" w:cs="Times New Roman"/>
          <w:sz w:val="24"/>
          <w:szCs w:val="24"/>
        </w:rPr>
      </w:pPr>
    </w:p>
    <w:p w14:paraId="2469316B">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29998EE">
      <w:pPr>
        <w:pStyle w:val="99"/>
        <w:spacing w:line="288" w:lineRule="auto"/>
        <w:ind w:left="0" w:firstLine="0"/>
        <w:contextualSpacing/>
        <w:rPr>
          <w:rFonts w:ascii="Times New Roman" w:hAnsi="Times New Roman" w:cs="Times New Roman"/>
          <w:sz w:val="24"/>
          <w:szCs w:val="24"/>
        </w:rPr>
      </w:pPr>
    </w:p>
    <w:p w14:paraId="098CD21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A652228">
      <w:pPr>
        <w:pStyle w:val="99"/>
        <w:spacing w:line="288" w:lineRule="auto"/>
        <w:ind w:left="0" w:firstLine="0"/>
        <w:contextualSpacing/>
        <w:rPr>
          <w:rFonts w:ascii="Times New Roman" w:hAnsi="Times New Roman" w:cs="Times New Roman"/>
          <w:sz w:val="24"/>
          <w:szCs w:val="24"/>
        </w:rPr>
      </w:pPr>
    </w:p>
    <w:p w14:paraId="14DC5C4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64CC100A">
      <w:pPr>
        <w:pStyle w:val="99"/>
        <w:spacing w:line="288" w:lineRule="auto"/>
        <w:ind w:left="0" w:firstLine="0"/>
        <w:contextualSpacing/>
        <w:rPr>
          <w:rFonts w:ascii="Times New Roman" w:hAnsi="Times New Roman" w:cs="Times New Roman"/>
          <w:sz w:val="24"/>
          <w:szCs w:val="24"/>
        </w:rPr>
      </w:pPr>
    </w:p>
    <w:p w14:paraId="03903517">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4E516495">
      <w:pPr>
        <w:pStyle w:val="99"/>
        <w:spacing w:line="288" w:lineRule="auto"/>
        <w:ind w:left="0" w:firstLine="0"/>
        <w:contextualSpacing/>
        <w:rPr>
          <w:rFonts w:ascii="Times New Roman" w:hAnsi="Times New Roman" w:cs="Times New Roman"/>
          <w:sz w:val="24"/>
          <w:szCs w:val="24"/>
        </w:rPr>
      </w:pPr>
    </w:p>
    <w:p w14:paraId="238C8EE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62542264">
      <w:pPr>
        <w:pStyle w:val="99"/>
        <w:spacing w:line="288" w:lineRule="auto"/>
        <w:ind w:left="0" w:firstLine="0"/>
        <w:contextualSpacing/>
        <w:rPr>
          <w:rFonts w:ascii="Times New Roman" w:hAnsi="Times New Roman" w:cs="Times New Roman"/>
          <w:sz w:val="24"/>
          <w:szCs w:val="24"/>
        </w:rPr>
      </w:pPr>
    </w:p>
    <w:p w14:paraId="50B83FA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476FB886">
      <w:pPr>
        <w:pStyle w:val="99"/>
        <w:spacing w:line="288" w:lineRule="auto"/>
        <w:ind w:left="0" w:firstLine="0"/>
        <w:contextualSpacing/>
        <w:rPr>
          <w:rFonts w:ascii="Times New Roman" w:hAnsi="Times New Roman" w:cs="Times New Roman"/>
          <w:sz w:val="24"/>
          <w:szCs w:val="24"/>
        </w:rPr>
      </w:pPr>
    </w:p>
    <w:p w14:paraId="2406BD01">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318D9E6A">
      <w:pPr>
        <w:pStyle w:val="99"/>
        <w:spacing w:line="288" w:lineRule="auto"/>
        <w:ind w:left="0" w:firstLine="0"/>
        <w:contextualSpacing/>
        <w:rPr>
          <w:rFonts w:ascii="Times New Roman" w:hAnsi="Times New Roman" w:cs="Times New Roman"/>
          <w:sz w:val="24"/>
          <w:szCs w:val="24"/>
        </w:rPr>
      </w:pPr>
    </w:p>
    <w:p w14:paraId="21031430">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0E2A3A73">
      <w:pPr>
        <w:pStyle w:val="99"/>
        <w:spacing w:line="288" w:lineRule="auto"/>
        <w:ind w:left="0" w:firstLine="0"/>
        <w:contextualSpacing/>
        <w:rPr>
          <w:rFonts w:ascii="Times New Roman" w:hAnsi="Times New Roman" w:cs="Times New Roman"/>
          <w:sz w:val="24"/>
          <w:szCs w:val="24"/>
        </w:rPr>
      </w:pPr>
    </w:p>
    <w:p w14:paraId="05110C6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7A163903">
      <w:pPr>
        <w:pStyle w:val="99"/>
        <w:spacing w:line="288" w:lineRule="auto"/>
        <w:ind w:left="0" w:firstLine="0"/>
        <w:contextualSpacing/>
        <w:rPr>
          <w:rFonts w:ascii="Times New Roman" w:hAnsi="Times New Roman" w:cs="Times New Roman"/>
          <w:sz w:val="24"/>
          <w:szCs w:val="24"/>
        </w:rPr>
      </w:pPr>
    </w:p>
    <w:p w14:paraId="4196279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387AB83C">
      <w:pPr>
        <w:pStyle w:val="99"/>
        <w:spacing w:line="288" w:lineRule="auto"/>
        <w:ind w:left="0" w:firstLine="0"/>
        <w:contextualSpacing/>
        <w:rPr>
          <w:rFonts w:ascii="Times New Roman" w:hAnsi="Times New Roman" w:cs="Times New Roman"/>
          <w:sz w:val="24"/>
          <w:szCs w:val="24"/>
        </w:rPr>
      </w:pPr>
    </w:p>
    <w:p w14:paraId="12079C62">
      <w:pPr>
        <w:pStyle w:val="99"/>
        <w:spacing w:before="288" w:beforeLines="120" w:after="288" w:afterLines="120" w:line="288" w:lineRule="auto"/>
        <w:ind w:left="0" w:firstLine="0"/>
        <w:contextualSpacing/>
        <w:rPr>
          <w:sz w:val="24"/>
          <w:szCs w:val="24"/>
        </w:rPr>
      </w:pPr>
      <w:r>
        <w:rPr>
          <w:rFonts w:ascii="Times New Roman" w:hAnsi="Times New Roman" w:cs="Times New Roman"/>
          <w:sz w:val="24"/>
          <w:szCs w:val="24"/>
        </w:rPr>
        <w:t>16.10.1 A subcontratação porventura realizada será integralmente custeada pelo contratado.</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64CD68A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678E9EC1">
      <w:pPr>
        <w:spacing w:line="288" w:lineRule="auto"/>
        <w:contextualSpacing/>
        <w:jc w:val="both"/>
        <w:rPr>
          <w:b/>
          <w:bCs/>
          <w:sz w:val="24"/>
          <w:szCs w:val="24"/>
        </w:rPr>
      </w:pPr>
      <w:r>
        <w:rPr>
          <w:b/>
          <w:bCs/>
          <w:sz w:val="24"/>
          <w:szCs w:val="24"/>
        </w:rPr>
        <w:t>20.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7" w:name="_Hlk183789048"/>
      <w:r>
        <w:rPr>
          <w:color w:val="000000"/>
          <w:sz w:val="24"/>
          <w:szCs w:val="24"/>
        </w:rPr>
        <w:t>2</w:t>
      </w:r>
      <w:bookmarkEnd w:id="37"/>
      <w:r>
        <w:rPr>
          <w:color w:val="000000"/>
          <w:sz w:val="24"/>
          <w:szCs w:val="24"/>
        </w:rPr>
        <w:t>0.1.1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20.1.3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20.2.1 Advertência, prevista no art. 156, I, § 2º, da Lei nº 14.133/2021, pela infração descrita no item 21.1.1,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117D4770">
      <w:pPr>
        <w:pStyle w:val="24"/>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20.5.1 a natureza e a gravidade da infração cometida;</w:t>
      </w:r>
    </w:p>
    <w:p w14:paraId="2F9A38C9">
      <w:pPr>
        <w:spacing w:line="288" w:lineRule="auto"/>
        <w:contextualSpacing/>
        <w:jc w:val="both"/>
        <w:rPr>
          <w:sz w:val="24"/>
          <w:szCs w:val="24"/>
        </w:rPr>
      </w:pPr>
      <w:r>
        <w:rPr>
          <w:sz w:val="24"/>
          <w:szCs w:val="24"/>
        </w:rPr>
        <w:t>20.5.2 as peculiaridades do caso concreto;</w:t>
      </w:r>
    </w:p>
    <w:p w14:paraId="4A814B63">
      <w:pPr>
        <w:spacing w:line="288" w:lineRule="auto"/>
        <w:contextualSpacing/>
        <w:jc w:val="both"/>
        <w:rPr>
          <w:sz w:val="24"/>
          <w:szCs w:val="24"/>
        </w:rPr>
      </w:pPr>
      <w:r>
        <w:rPr>
          <w:sz w:val="24"/>
          <w:szCs w:val="24"/>
        </w:rPr>
        <w:t>20.5.3 as circunstâncias agravantes ou atenuantes;</w:t>
      </w:r>
    </w:p>
    <w:p w14:paraId="5D360308">
      <w:pPr>
        <w:spacing w:line="288" w:lineRule="auto"/>
        <w:contextualSpacing/>
        <w:jc w:val="both"/>
        <w:rPr>
          <w:sz w:val="24"/>
          <w:szCs w:val="24"/>
        </w:rPr>
      </w:pPr>
      <w:r>
        <w:rPr>
          <w:sz w:val="24"/>
          <w:szCs w:val="24"/>
        </w:rPr>
        <w:t>20.5.4 os danos que dela provierem para a Administração Pública;</w:t>
      </w:r>
    </w:p>
    <w:p w14:paraId="7C1F4396">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20.2.1, 20.2.2 e 20.2.3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20.2.4,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20.7.2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20.8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20.10.2.1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69E4BCA1">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9418DB3">
      <w:pPr>
        <w:pStyle w:val="103"/>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sz w:val="24"/>
          <w:szCs w:val="24"/>
          <w:lang w:val="pt-BR"/>
        </w:rPr>
        <w:t>30 de abril de 2026</w:t>
      </w:r>
    </w:p>
    <w:p w14:paraId="12E60D5B">
      <w:pPr>
        <w:spacing w:before="288" w:beforeLines="120" w:after="288" w:afterLines="120" w:line="288" w:lineRule="auto"/>
        <w:contextualSpacing/>
        <w:jc w:val="center"/>
        <w:rPr>
          <w:rFonts w:eastAsia="MS Mincho"/>
          <w:b/>
          <w:color w:val="FF0000"/>
          <w:sz w:val="24"/>
          <w:szCs w:val="24"/>
        </w:rPr>
      </w:pPr>
    </w:p>
    <w:p w14:paraId="1E0E784A">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Saúde</w:t>
      </w: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6BBE26EF">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color w:val="auto"/>
          <w:szCs w:val="24"/>
        </w:rPr>
      </w:pPr>
    </w:p>
    <w:p w14:paraId="716B533F">
      <w:pPr>
        <w:spacing w:line="276" w:lineRule="auto"/>
        <w:jc w:val="both"/>
        <w:rPr>
          <w:b/>
          <w:bCs/>
          <w:color w:val="000000"/>
          <w:sz w:val="24"/>
          <w:szCs w:val="24"/>
          <w:u w:val="single"/>
        </w:rPr>
      </w:pPr>
      <w:r>
        <w:rPr>
          <w:b/>
          <w:bCs/>
          <w:color w:val="000000"/>
          <w:sz w:val="24"/>
          <w:szCs w:val="24"/>
          <w:u w:val="single"/>
        </w:rPr>
        <w:t>1 - DO OBJETO</w:t>
      </w:r>
    </w:p>
    <w:p w14:paraId="3D659DA2">
      <w:pPr>
        <w:spacing w:line="276" w:lineRule="auto"/>
        <w:jc w:val="both"/>
        <w:rPr>
          <w:b/>
          <w:bCs/>
          <w:color w:val="000000"/>
          <w:sz w:val="24"/>
          <w:szCs w:val="24"/>
          <w:u w:val="single"/>
        </w:rPr>
      </w:pPr>
    </w:p>
    <w:p w14:paraId="7E5D3287">
      <w:pPr>
        <w:tabs>
          <w:tab w:val="left" w:pos="555"/>
          <w:tab w:val="left" w:pos="840"/>
          <w:tab w:val="left" w:pos="1140"/>
          <w:tab w:val="left" w:pos="1395"/>
          <w:tab w:val="left" w:pos="1650"/>
          <w:tab w:val="left" w:pos="1965"/>
          <w:tab w:val="left" w:pos="2220"/>
          <w:tab w:val="left" w:pos="7336"/>
        </w:tabs>
        <w:spacing w:after="200" w:line="276" w:lineRule="auto"/>
        <w:rPr>
          <w:color w:val="000000"/>
          <w:sz w:val="24"/>
          <w:szCs w:val="24"/>
        </w:rPr>
      </w:pPr>
      <w:r>
        <w:rPr>
          <w:color w:val="000000"/>
          <w:sz w:val="24"/>
          <w:szCs w:val="24"/>
        </w:rPr>
        <w:t>O presente Termo de Referência tem por objeto a contratação por registro de preço para eventual e futura aquisição de medicamentos de A a Z, ÉTICOS, SIMILARES e GENÉRICOS, considerando o maior desconto sobre a Tabela de Preços CMED da ANVISA, para atender as demandas dos pacientes assistidos pelo Centro Assistencial e de Mandado.</w:t>
      </w:r>
    </w:p>
    <w:p w14:paraId="7A836818">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color w:val="auto"/>
          <w:szCs w:val="24"/>
        </w:rPr>
      </w:pPr>
    </w:p>
    <w:p w14:paraId="52E2E877">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64D4DA77">
      <w:pPr>
        <w:numPr>
          <w:ilvl w:val="1"/>
          <w:numId w:val="6"/>
        </w:numPr>
        <w:spacing w:line="276" w:lineRule="auto"/>
        <w:jc w:val="both"/>
        <w:rPr>
          <w:color w:val="000000"/>
          <w:sz w:val="24"/>
          <w:szCs w:val="22"/>
        </w:rPr>
      </w:pPr>
      <w:r>
        <w:rPr>
          <w:color w:val="000000"/>
          <w:sz w:val="24"/>
          <w:szCs w:val="22"/>
        </w:rPr>
        <w:t xml:space="preserve">– </w:t>
      </w:r>
      <w:r>
        <w:rPr>
          <w:b/>
          <w:bCs/>
          <w:color w:val="000000"/>
          <w:sz w:val="24"/>
          <w:szCs w:val="22"/>
        </w:rPr>
        <w:t>Descrição</w:t>
      </w:r>
      <w:r>
        <w:rPr>
          <w:color w:val="000000"/>
          <w:sz w:val="24"/>
          <w:szCs w:val="22"/>
        </w:rPr>
        <w:t>:</w:t>
      </w:r>
    </w:p>
    <w:p w14:paraId="54CDE99C">
      <w:pPr>
        <w:widowControl w:val="0"/>
        <w:rPr>
          <w:rFonts w:ascii="Arial" w:hAnsi="Arial" w:eastAsia="Arial" w:cs="Arial"/>
          <w:color w:val="000000"/>
          <w:sz w:val="22"/>
          <w:szCs w:val="22"/>
        </w:rPr>
      </w:pPr>
    </w:p>
    <w:tbl>
      <w:tblPr>
        <w:tblStyle w:val="10"/>
        <w:tblW w:w="104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4"/>
        <w:gridCol w:w="3234"/>
        <w:gridCol w:w="3234"/>
        <w:gridCol w:w="3234"/>
      </w:tblGrid>
      <w:tr w14:paraId="494AB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765" w:type="dxa"/>
          </w:tcPr>
          <w:p w14:paraId="7A87F277">
            <w:pPr>
              <w:widowControl w:val="0"/>
              <w:rPr>
                <w:b/>
                <w:bCs/>
                <w:color w:val="000000"/>
                <w:sz w:val="24"/>
                <w:szCs w:val="24"/>
              </w:rPr>
            </w:pPr>
            <w:r>
              <w:rPr>
                <w:b/>
                <w:bCs/>
                <w:color w:val="000000"/>
                <w:sz w:val="24"/>
                <w:szCs w:val="24"/>
              </w:rPr>
              <w:t>Item</w:t>
            </w:r>
          </w:p>
        </w:tc>
        <w:tc>
          <w:tcPr>
            <w:tcW w:w="3233" w:type="dxa"/>
          </w:tcPr>
          <w:p w14:paraId="4C6DB58B">
            <w:pPr>
              <w:widowControl w:val="0"/>
              <w:rPr>
                <w:b/>
                <w:bCs/>
                <w:color w:val="000000"/>
                <w:sz w:val="24"/>
                <w:szCs w:val="24"/>
              </w:rPr>
            </w:pPr>
            <w:r>
              <w:rPr>
                <w:b/>
                <w:bCs/>
                <w:color w:val="000000"/>
                <w:sz w:val="24"/>
                <w:szCs w:val="24"/>
              </w:rPr>
              <w:t>Descrição/Especificação</w:t>
            </w:r>
          </w:p>
        </w:tc>
        <w:tc>
          <w:tcPr>
            <w:tcW w:w="3233" w:type="dxa"/>
          </w:tcPr>
          <w:p w14:paraId="27DA6825">
            <w:pPr>
              <w:widowControl w:val="0"/>
              <w:rPr>
                <w:b/>
                <w:bCs/>
                <w:color w:val="000000"/>
                <w:sz w:val="24"/>
                <w:szCs w:val="24"/>
              </w:rPr>
            </w:pPr>
            <w:r>
              <w:rPr>
                <w:b/>
                <w:bCs/>
                <w:color w:val="000000"/>
                <w:sz w:val="24"/>
                <w:szCs w:val="24"/>
              </w:rPr>
              <w:t>Unidade</w:t>
            </w:r>
          </w:p>
        </w:tc>
        <w:tc>
          <w:tcPr>
            <w:tcW w:w="3233" w:type="dxa"/>
          </w:tcPr>
          <w:p w14:paraId="00DA1455">
            <w:pPr>
              <w:widowControl w:val="0"/>
              <w:rPr>
                <w:b/>
                <w:bCs/>
                <w:color w:val="000000"/>
                <w:sz w:val="24"/>
                <w:szCs w:val="24"/>
              </w:rPr>
            </w:pPr>
            <w:r>
              <w:rPr>
                <w:b/>
                <w:bCs/>
                <w:color w:val="000000"/>
                <w:sz w:val="24"/>
                <w:szCs w:val="24"/>
              </w:rPr>
              <w:t>Quantidade</w:t>
            </w:r>
          </w:p>
        </w:tc>
      </w:tr>
      <w:tr w14:paraId="4AF1E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5" w:type="dxa"/>
          </w:tcPr>
          <w:p w14:paraId="53B084D1">
            <w:pPr>
              <w:widowControl w:val="0"/>
              <w:rPr>
                <w:color w:val="000000"/>
                <w:sz w:val="24"/>
                <w:szCs w:val="24"/>
              </w:rPr>
            </w:pPr>
            <w:r>
              <w:rPr>
                <w:color w:val="000000"/>
                <w:sz w:val="24"/>
                <w:szCs w:val="24"/>
              </w:rPr>
              <w:t>1</w:t>
            </w:r>
          </w:p>
        </w:tc>
        <w:tc>
          <w:tcPr>
            <w:tcW w:w="3233" w:type="dxa"/>
          </w:tcPr>
          <w:p w14:paraId="35E415F3">
            <w:pPr>
              <w:widowControl w:val="0"/>
              <w:rPr>
                <w:color w:val="000000"/>
                <w:sz w:val="24"/>
                <w:szCs w:val="24"/>
              </w:rPr>
            </w:pPr>
            <w:r>
              <w:rPr>
                <w:color w:val="000000"/>
                <w:sz w:val="24"/>
                <w:szCs w:val="24"/>
              </w:rPr>
              <w:t>Medicamentos de A a Z, ÉTICOS</w:t>
            </w:r>
          </w:p>
        </w:tc>
        <w:tc>
          <w:tcPr>
            <w:tcW w:w="3233" w:type="dxa"/>
          </w:tcPr>
          <w:p w14:paraId="0A2AE4D2">
            <w:pPr>
              <w:widowControl w:val="0"/>
              <w:jc w:val="center"/>
              <w:rPr>
                <w:color w:val="000000"/>
                <w:sz w:val="24"/>
                <w:szCs w:val="24"/>
              </w:rPr>
            </w:pPr>
            <w:r>
              <w:rPr>
                <w:color w:val="000000"/>
                <w:sz w:val="24"/>
                <w:szCs w:val="24"/>
              </w:rPr>
              <w:t>Não aplicável</w:t>
            </w:r>
          </w:p>
        </w:tc>
        <w:tc>
          <w:tcPr>
            <w:tcW w:w="3233" w:type="dxa"/>
          </w:tcPr>
          <w:p w14:paraId="2A990217">
            <w:pPr>
              <w:widowControl w:val="0"/>
              <w:jc w:val="center"/>
              <w:rPr>
                <w:color w:val="000000"/>
                <w:sz w:val="24"/>
                <w:szCs w:val="24"/>
              </w:rPr>
            </w:pPr>
            <w:r>
              <w:rPr>
                <w:color w:val="000000"/>
                <w:sz w:val="24"/>
                <w:szCs w:val="24"/>
              </w:rPr>
              <w:t>Não aplicável</w:t>
            </w:r>
          </w:p>
        </w:tc>
      </w:tr>
      <w:tr w14:paraId="1CEA8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5" w:type="dxa"/>
          </w:tcPr>
          <w:p w14:paraId="3E8BE460">
            <w:pPr>
              <w:widowControl w:val="0"/>
              <w:rPr>
                <w:color w:val="000000"/>
                <w:sz w:val="24"/>
                <w:szCs w:val="24"/>
              </w:rPr>
            </w:pPr>
            <w:r>
              <w:rPr>
                <w:color w:val="000000"/>
                <w:sz w:val="24"/>
                <w:szCs w:val="24"/>
              </w:rPr>
              <w:t>2</w:t>
            </w:r>
          </w:p>
        </w:tc>
        <w:tc>
          <w:tcPr>
            <w:tcW w:w="3233" w:type="dxa"/>
          </w:tcPr>
          <w:p w14:paraId="17C510B8">
            <w:pPr>
              <w:widowControl w:val="0"/>
              <w:rPr>
                <w:color w:val="000000"/>
                <w:sz w:val="24"/>
                <w:szCs w:val="24"/>
              </w:rPr>
            </w:pPr>
            <w:r>
              <w:rPr>
                <w:color w:val="000000"/>
                <w:sz w:val="24"/>
                <w:szCs w:val="24"/>
              </w:rPr>
              <w:t>Medicamentos de A a Z, SIMILARES</w:t>
            </w:r>
          </w:p>
        </w:tc>
        <w:tc>
          <w:tcPr>
            <w:tcW w:w="3233" w:type="dxa"/>
          </w:tcPr>
          <w:p w14:paraId="7E1F0E26">
            <w:pPr>
              <w:widowControl w:val="0"/>
              <w:jc w:val="center"/>
              <w:rPr>
                <w:color w:val="000000"/>
                <w:sz w:val="24"/>
                <w:szCs w:val="24"/>
              </w:rPr>
            </w:pPr>
            <w:r>
              <w:rPr>
                <w:color w:val="000000"/>
                <w:sz w:val="24"/>
                <w:szCs w:val="24"/>
              </w:rPr>
              <w:t>Não aplicável</w:t>
            </w:r>
          </w:p>
        </w:tc>
        <w:tc>
          <w:tcPr>
            <w:tcW w:w="3233" w:type="dxa"/>
          </w:tcPr>
          <w:p w14:paraId="086EC790">
            <w:pPr>
              <w:widowControl w:val="0"/>
              <w:jc w:val="center"/>
              <w:rPr>
                <w:color w:val="000000"/>
                <w:sz w:val="24"/>
                <w:szCs w:val="24"/>
              </w:rPr>
            </w:pPr>
            <w:r>
              <w:rPr>
                <w:color w:val="000000"/>
                <w:sz w:val="24"/>
                <w:szCs w:val="24"/>
              </w:rPr>
              <w:t>Não aplicável</w:t>
            </w:r>
          </w:p>
        </w:tc>
      </w:tr>
      <w:tr w14:paraId="56605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5" w:type="dxa"/>
          </w:tcPr>
          <w:p w14:paraId="6C5374F8">
            <w:pPr>
              <w:widowControl w:val="0"/>
              <w:rPr>
                <w:color w:val="000000"/>
                <w:sz w:val="24"/>
                <w:szCs w:val="24"/>
              </w:rPr>
            </w:pPr>
            <w:r>
              <w:rPr>
                <w:color w:val="000000"/>
                <w:sz w:val="24"/>
                <w:szCs w:val="24"/>
              </w:rPr>
              <w:t>3</w:t>
            </w:r>
          </w:p>
        </w:tc>
        <w:tc>
          <w:tcPr>
            <w:tcW w:w="3233" w:type="dxa"/>
          </w:tcPr>
          <w:p w14:paraId="58BB3C50">
            <w:pPr>
              <w:widowControl w:val="0"/>
              <w:rPr>
                <w:color w:val="000000"/>
                <w:sz w:val="24"/>
                <w:szCs w:val="24"/>
              </w:rPr>
            </w:pPr>
            <w:r>
              <w:rPr>
                <w:color w:val="000000"/>
                <w:sz w:val="24"/>
                <w:szCs w:val="24"/>
              </w:rPr>
              <w:t>Medicamentos de A a Z, GENÉRICOS</w:t>
            </w:r>
          </w:p>
        </w:tc>
        <w:tc>
          <w:tcPr>
            <w:tcW w:w="3233" w:type="dxa"/>
          </w:tcPr>
          <w:p w14:paraId="2205AA66">
            <w:pPr>
              <w:widowControl w:val="0"/>
              <w:jc w:val="center"/>
              <w:rPr>
                <w:color w:val="000000"/>
                <w:sz w:val="24"/>
                <w:szCs w:val="24"/>
              </w:rPr>
            </w:pPr>
            <w:r>
              <w:rPr>
                <w:color w:val="000000"/>
                <w:sz w:val="24"/>
                <w:szCs w:val="24"/>
              </w:rPr>
              <w:t>Não aplicável</w:t>
            </w:r>
          </w:p>
        </w:tc>
        <w:tc>
          <w:tcPr>
            <w:tcW w:w="3233" w:type="dxa"/>
          </w:tcPr>
          <w:p w14:paraId="4E66BCA8">
            <w:pPr>
              <w:widowControl w:val="0"/>
              <w:jc w:val="center"/>
              <w:rPr>
                <w:color w:val="000000"/>
                <w:sz w:val="24"/>
                <w:szCs w:val="24"/>
              </w:rPr>
            </w:pPr>
            <w:r>
              <w:rPr>
                <w:color w:val="000000"/>
                <w:sz w:val="24"/>
                <w:szCs w:val="24"/>
              </w:rPr>
              <w:t>Não aplicável</w:t>
            </w:r>
          </w:p>
        </w:tc>
      </w:tr>
    </w:tbl>
    <w:p w14:paraId="49C23663">
      <w:pPr>
        <w:widowControl w:val="0"/>
        <w:spacing w:before="240" w:after="240"/>
        <w:rPr>
          <w:color w:val="0D0D0D"/>
        </w:rPr>
      </w:pPr>
    </w:p>
    <w:p w14:paraId="3AAD5F30">
      <w:pPr>
        <w:numPr>
          <w:ilvl w:val="1"/>
          <w:numId w:val="6"/>
        </w:numPr>
        <w:rPr>
          <w:color w:val="0D0D0D"/>
          <w:sz w:val="24"/>
          <w:szCs w:val="24"/>
        </w:rPr>
      </w:pPr>
      <w:r>
        <w:rPr>
          <w:color w:val="0D0D0D"/>
          <w:sz w:val="24"/>
          <w:szCs w:val="24"/>
        </w:rPr>
        <w:t>- O contrato terá vigência de doze meses.</w:t>
      </w:r>
    </w:p>
    <w:p w14:paraId="28298B82">
      <w:pPr>
        <w:rPr>
          <w:color w:val="0D0D0D"/>
          <w:sz w:val="24"/>
          <w:szCs w:val="24"/>
        </w:rPr>
      </w:pPr>
    </w:p>
    <w:p w14:paraId="5CD9B040">
      <w:pPr>
        <w:rPr>
          <w:b/>
          <w:bCs/>
          <w:color w:val="0D0D0D"/>
          <w:sz w:val="24"/>
          <w:szCs w:val="24"/>
          <w:u w:val="single"/>
        </w:rPr>
      </w:pPr>
    </w:p>
    <w:p w14:paraId="264B5FAB">
      <w:pPr>
        <w:rPr>
          <w:color w:val="0D0D0D"/>
          <w:sz w:val="24"/>
          <w:szCs w:val="24"/>
          <w:u w:val="single"/>
        </w:rPr>
      </w:pPr>
      <w:r>
        <w:rPr>
          <w:b/>
          <w:bCs/>
          <w:color w:val="0D0D0D"/>
          <w:sz w:val="24"/>
          <w:szCs w:val="24"/>
          <w:u w:val="single"/>
        </w:rPr>
        <w:t>2 - JUSTIFICATIVA</w:t>
      </w:r>
    </w:p>
    <w:p w14:paraId="34A1E37C">
      <w:pPr>
        <w:rPr>
          <w:color w:val="000000"/>
          <w:sz w:val="24"/>
          <w:szCs w:val="24"/>
        </w:rPr>
      </w:pPr>
    </w:p>
    <w:p w14:paraId="41A0E703">
      <w:pPr>
        <w:spacing w:before="240" w:after="240"/>
        <w:jc w:val="both"/>
        <w:rPr>
          <w:color w:val="000000"/>
          <w:sz w:val="24"/>
          <w:szCs w:val="24"/>
        </w:rPr>
      </w:pPr>
      <w:r>
        <w:rPr>
          <w:color w:val="000000"/>
          <w:sz w:val="24"/>
          <w:szCs w:val="24"/>
        </w:rPr>
        <w:t>A presente contratação tem por finalidade a formação de Registro de Preços, visando à aquisição eventual e futura de medicamentos éticos, similares e genéricos de A a Z, com julgamento baseado no maior percentual de desconto sobre a Tabela de Preços CMED/ANVISA, para atendimento das demandas do Centro Assistencial e de Mandado da Secretaria Municipal de Saúde de Valença/RJ.</w:t>
      </w:r>
    </w:p>
    <w:p w14:paraId="54CB2532">
      <w:pPr>
        <w:spacing w:before="240" w:after="240"/>
        <w:jc w:val="both"/>
        <w:rPr>
          <w:color w:val="000000"/>
          <w:sz w:val="24"/>
          <w:szCs w:val="24"/>
        </w:rPr>
      </w:pPr>
      <w:r>
        <w:rPr>
          <w:color w:val="000000"/>
          <w:sz w:val="24"/>
          <w:szCs w:val="24"/>
        </w:rPr>
        <w:t>A necessidade do objeto decorre do caráter essencial e contínuo do fornecimento de medicamentos éticos para pacientes atendidos pelo Município, muitos dos quais amparados por decisões judiciais que impõem a disponibilização imediata e regular dos itens prescritos em seus tratamentos. A imprevisibilidade dessas demandas, associada à natureza dinâmica do consumo farmacêutico assistencial, inviabiliza soluções de compra baseadas em quantificações fixas ou ações isoladas de aquisição.</w:t>
      </w:r>
    </w:p>
    <w:p w14:paraId="105ED778">
      <w:pPr>
        <w:spacing w:before="240" w:after="240"/>
        <w:jc w:val="both"/>
        <w:rPr>
          <w:color w:val="000000"/>
          <w:sz w:val="24"/>
          <w:szCs w:val="24"/>
        </w:rPr>
      </w:pPr>
      <w:r>
        <w:rPr>
          <w:color w:val="000000"/>
          <w:sz w:val="24"/>
          <w:szCs w:val="24"/>
        </w:rPr>
        <w:t>A adoção de Registro de Preços próprio mostra-se tecnicamente adequada, conforme demonstrado no Estudo Técnico Preliminar, pois possibilita aquisições fracionadas conforme a necessidade real, evitando desperdícios, vencimentos de produtos, custos elevadíssimos com compras emergenciais e garantindo agilidade no atendimento de solicitações urgentes e judiciais. Além disso, a padronização dos preços com base no maior desconto ofertado sobre a Tabela CMED assegura economicidade, transparência e previsibilidade dos valores praticados.</w:t>
      </w:r>
    </w:p>
    <w:p w14:paraId="217CC414">
      <w:pPr>
        <w:spacing w:before="240" w:after="240"/>
        <w:jc w:val="both"/>
        <w:rPr>
          <w:color w:val="000000"/>
          <w:sz w:val="24"/>
          <w:szCs w:val="24"/>
        </w:rPr>
      </w:pPr>
      <w:r>
        <w:rPr>
          <w:color w:val="000000"/>
          <w:sz w:val="24"/>
          <w:szCs w:val="24"/>
        </w:rPr>
        <w:t>Outras soluções previamente analisadas – como compras diretas por demanda, pregão para compra única de grandes quantitativos, contratações emergenciais contínuas ou adesão exclusiva a atas de outros órgãos – foram consideradas inadequadas ou insuficientes por não atenderem simultaneamente aos critérios técnicos, legais, operacionais, econômicos e assistenciais. Tais alternativas apresentaram riscos significativos, incluindo morosidade processual, sobrepreço, dependência de disponibilidade de outras unidades gestoras, impossibilidade de prever quantitativos e potencial descontinuidade terapêutica.</w:t>
      </w:r>
    </w:p>
    <w:p w14:paraId="4A7AF08F">
      <w:pPr>
        <w:spacing w:before="240" w:after="240"/>
        <w:jc w:val="both"/>
        <w:rPr>
          <w:color w:val="000000"/>
          <w:sz w:val="24"/>
          <w:szCs w:val="24"/>
        </w:rPr>
      </w:pPr>
      <w:r>
        <w:rPr>
          <w:color w:val="000000"/>
          <w:sz w:val="24"/>
          <w:szCs w:val="24"/>
        </w:rPr>
        <w:t>A presente contratação, portanto, atende aos princípios da economicidade, eficiência, segurança jurídica e planejamento, além de garantir a continuidade do tratamento farmacoterapêutico dos pacientes, conforme determinações legais e sanitárias. A solução adotada reduz riscos de desabastecimento, otimiza o uso dos recursos públicos e assegura atendimento tempestivo das demandas assistenciais e judiciais.</w:t>
      </w:r>
    </w:p>
    <w:p w14:paraId="696B67C0">
      <w:pPr>
        <w:spacing w:before="240" w:after="240"/>
        <w:jc w:val="both"/>
        <w:rPr>
          <w:color w:val="000000"/>
          <w:sz w:val="24"/>
          <w:szCs w:val="24"/>
        </w:rPr>
      </w:pPr>
      <w:r>
        <w:rPr>
          <w:color w:val="000000"/>
          <w:sz w:val="24"/>
          <w:szCs w:val="24"/>
        </w:rPr>
        <w:t>Dessa forma, justifica-se plenamente a realização do processo licitatório para formação de Registro de Preços próprio, na forma e condições definidas neste Termo de Referência, em conformidade com o Estudo Técnico Preliminar e as diretrizes da Lei nº 14.133/2021.</w:t>
      </w:r>
    </w:p>
    <w:p w14:paraId="58782DBB">
      <w:pPr>
        <w:jc w:val="both"/>
        <w:rPr>
          <w:color w:val="000000"/>
          <w:sz w:val="24"/>
          <w:szCs w:val="24"/>
        </w:rPr>
      </w:pPr>
    </w:p>
    <w:p w14:paraId="157F37E0">
      <w:pPr>
        <w:rPr>
          <w:color w:val="000000"/>
          <w:sz w:val="24"/>
          <w:szCs w:val="24"/>
        </w:rPr>
      </w:pPr>
      <w:r>
        <w:rPr>
          <w:b/>
          <w:bCs/>
          <w:color w:val="000000"/>
          <w:sz w:val="24"/>
          <w:szCs w:val="24"/>
          <w:u w:val="single"/>
        </w:rPr>
        <w:t>3- CONDIÇÕES DE FORNECIMENTO</w:t>
      </w:r>
    </w:p>
    <w:p w14:paraId="4C8F5727">
      <w:pPr>
        <w:spacing w:after="240"/>
        <w:ind w:firstLine="1080"/>
        <w:rPr>
          <w:b/>
          <w:bCs/>
          <w:color w:val="000000"/>
          <w:sz w:val="24"/>
          <w:szCs w:val="24"/>
        </w:rPr>
      </w:pPr>
    </w:p>
    <w:p w14:paraId="320F57A6">
      <w:pPr>
        <w:spacing w:after="240"/>
        <w:rPr>
          <w:color w:val="000000"/>
          <w:sz w:val="24"/>
          <w:szCs w:val="24"/>
        </w:rPr>
      </w:pPr>
      <w:r>
        <w:rPr>
          <w:color w:val="000000"/>
          <w:sz w:val="24"/>
          <w:szCs w:val="24"/>
        </w:rPr>
        <w:t>3.1 -</w:t>
      </w:r>
      <w:r>
        <w:rPr>
          <w:b/>
          <w:bCs/>
          <w:color w:val="000000"/>
          <w:sz w:val="24"/>
          <w:szCs w:val="24"/>
        </w:rPr>
        <w:t xml:space="preserve"> Forma de fornecimento</w:t>
      </w:r>
      <w:r>
        <w:rPr>
          <w:b/>
          <w:bCs/>
          <w:color w:val="000000"/>
          <w:sz w:val="24"/>
          <w:szCs w:val="24"/>
        </w:rPr>
        <w:br w:type="textWrapping"/>
      </w:r>
      <w:r>
        <w:rPr>
          <w:color w:val="000000"/>
          <w:sz w:val="24"/>
          <w:szCs w:val="24"/>
        </w:rPr>
        <w:t xml:space="preserve">O fornecimento dos medicamentos será realizado de forma </w:t>
      </w:r>
      <w:r>
        <w:rPr>
          <w:i/>
          <w:iCs/>
          <w:color w:val="000000"/>
          <w:sz w:val="24"/>
          <w:szCs w:val="24"/>
        </w:rPr>
        <w:t>parcelada</w:t>
      </w:r>
      <w:r>
        <w:rPr>
          <w:color w:val="000000"/>
          <w:sz w:val="24"/>
          <w:szCs w:val="24"/>
        </w:rPr>
        <w:t>, mediante solicitações emitidas pelo Centro Assistencial e de Mandado, de acordo com a necessidade real dos pacientes e a disponibilidade orçamentária, durante toda a vigência da Ata de Registro de Preços.</w:t>
      </w:r>
    </w:p>
    <w:p w14:paraId="11A2450A">
      <w:pPr>
        <w:spacing w:after="240"/>
        <w:rPr>
          <w:color w:val="000000"/>
          <w:sz w:val="24"/>
          <w:szCs w:val="24"/>
        </w:rPr>
      </w:pPr>
      <w:r>
        <w:rPr>
          <w:color w:val="000000"/>
          <w:sz w:val="24"/>
          <w:szCs w:val="24"/>
        </w:rPr>
        <w:t>3.2 -</w:t>
      </w:r>
      <w:r>
        <w:rPr>
          <w:b/>
          <w:bCs/>
          <w:color w:val="000000"/>
          <w:sz w:val="24"/>
          <w:szCs w:val="24"/>
        </w:rPr>
        <w:t xml:space="preserve"> Entrega sob demanda</w:t>
      </w:r>
      <w:r>
        <w:rPr>
          <w:b/>
          <w:bCs/>
          <w:color w:val="000000"/>
          <w:sz w:val="24"/>
          <w:szCs w:val="24"/>
        </w:rPr>
        <w:br w:type="textWrapping"/>
      </w:r>
      <w:r>
        <w:rPr>
          <w:color w:val="000000"/>
          <w:sz w:val="24"/>
          <w:szCs w:val="24"/>
        </w:rPr>
        <w:t>As entregas ocorrerão apenas quando requisitadas pela Administração, não havendo garantia de aquisição mínima. A quantidade solicitada poderá variar conforme demandas assistenciais e judiciais, respeitando-se os limites estabelecidos na Ata.</w:t>
      </w:r>
    </w:p>
    <w:p w14:paraId="193F39EC">
      <w:pPr>
        <w:spacing w:after="240"/>
        <w:rPr>
          <w:color w:val="000000"/>
          <w:sz w:val="24"/>
          <w:szCs w:val="24"/>
        </w:rPr>
      </w:pPr>
      <w:r>
        <w:rPr>
          <w:color w:val="000000"/>
          <w:sz w:val="24"/>
          <w:szCs w:val="24"/>
        </w:rPr>
        <w:t>3.3 -</w:t>
      </w:r>
      <w:r>
        <w:rPr>
          <w:b/>
          <w:bCs/>
          <w:color w:val="000000"/>
          <w:sz w:val="24"/>
          <w:szCs w:val="24"/>
        </w:rPr>
        <w:t xml:space="preserve"> Prazos de entrega</w:t>
      </w:r>
      <w:r>
        <w:rPr>
          <w:b/>
          <w:bCs/>
          <w:color w:val="000000"/>
          <w:sz w:val="24"/>
          <w:szCs w:val="24"/>
        </w:rPr>
        <w:br w:type="textWrapping"/>
      </w:r>
      <w:r>
        <w:rPr>
          <w:color w:val="000000"/>
          <w:sz w:val="24"/>
          <w:szCs w:val="24"/>
        </w:rPr>
        <w:t>O fornecedor deverá entregar os medicamentos no prazo máximo de 10 (dez) dias úteis, contados a partir do recebimento da Nota de Empenho ou Autorização de Fornecimento.</w:t>
      </w:r>
    </w:p>
    <w:p w14:paraId="299DC96F">
      <w:pPr>
        <w:numPr>
          <w:ilvl w:val="0"/>
          <w:numId w:val="7"/>
        </w:numPr>
        <w:spacing w:before="240" w:after="240"/>
        <w:ind w:firstLine="360"/>
        <w:rPr>
          <w:color w:val="000000"/>
          <w:sz w:val="24"/>
          <w:szCs w:val="24"/>
        </w:rPr>
      </w:pPr>
      <w:r>
        <w:rPr>
          <w:color w:val="000000"/>
          <w:sz w:val="24"/>
          <w:szCs w:val="24"/>
        </w:rPr>
        <w:t>Para itens vinculados a decisões judiciais, poderá ser exigido prazo reduzido, devendo o fornecedor garantir atendimento prioritário, sem prejuízo aos demais itens contratados.</w:t>
      </w:r>
    </w:p>
    <w:p w14:paraId="254571BB">
      <w:pPr>
        <w:spacing w:after="240"/>
        <w:rPr>
          <w:color w:val="000000"/>
          <w:sz w:val="24"/>
          <w:szCs w:val="24"/>
        </w:rPr>
      </w:pPr>
      <w:r>
        <w:rPr>
          <w:color w:val="000000"/>
          <w:sz w:val="24"/>
          <w:szCs w:val="24"/>
        </w:rPr>
        <w:t>3.4 -</w:t>
      </w:r>
      <w:r>
        <w:rPr>
          <w:b/>
          <w:bCs/>
          <w:color w:val="000000"/>
          <w:sz w:val="24"/>
          <w:szCs w:val="24"/>
        </w:rPr>
        <w:t xml:space="preserve"> Local de entrega</w:t>
      </w:r>
      <w:r>
        <w:rPr>
          <w:b/>
          <w:bCs/>
          <w:color w:val="000000"/>
          <w:sz w:val="24"/>
          <w:szCs w:val="24"/>
        </w:rPr>
        <w:br w:type="textWrapping"/>
      </w:r>
      <w:r>
        <w:rPr>
          <w:color w:val="000000"/>
          <w:sz w:val="24"/>
          <w:szCs w:val="24"/>
        </w:rPr>
        <w:t>As entregas serão realizadas no endereço indicado pela Secretaria Municipal de Saúde de Valença/RJ,no envio da Nota de Empenho, conforme especificado no pedido de fornecimento, em local adequado para conferência, armazenamento e recebimento dos produtos.</w:t>
      </w:r>
    </w:p>
    <w:p w14:paraId="7428D491">
      <w:pPr>
        <w:spacing w:after="240"/>
        <w:rPr>
          <w:color w:val="000000"/>
          <w:sz w:val="24"/>
          <w:szCs w:val="24"/>
        </w:rPr>
      </w:pPr>
      <w:r>
        <w:rPr>
          <w:color w:val="000000"/>
          <w:sz w:val="24"/>
          <w:szCs w:val="24"/>
        </w:rPr>
        <w:t>3.5 -</w:t>
      </w:r>
      <w:r>
        <w:rPr>
          <w:b/>
          <w:bCs/>
          <w:color w:val="000000"/>
          <w:sz w:val="24"/>
          <w:szCs w:val="24"/>
        </w:rPr>
        <w:t xml:space="preserve"> Transporte e armazenamento</w:t>
      </w:r>
      <w:r>
        <w:rPr>
          <w:b/>
          <w:bCs/>
          <w:color w:val="000000"/>
          <w:sz w:val="24"/>
          <w:szCs w:val="24"/>
        </w:rPr>
        <w:br w:type="textWrapping"/>
      </w:r>
      <w:r>
        <w:rPr>
          <w:color w:val="000000"/>
          <w:sz w:val="24"/>
          <w:szCs w:val="24"/>
        </w:rPr>
        <w:t xml:space="preserve"> O transporte deverá obedecer às Boas Práticas de Distribuição e Armazenamento de medicamentos, observando:</w:t>
      </w:r>
    </w:p>
    <w:p w14:paraId="5D6FC35F">
      <w:pPr>
        <w:numPr>
          <w:ilvl w:val="0"/>
          <w:numId w:val="8"/>
        </w:numPr>
        <w:spacing w:before="240"/>
        <w:ind w:firstLine="360"/>
        <w:rPr>
          <w:color w:val="000000"/>
          <w:sz w:val="24"/>
          <w:szCs w:val="24"/>
        </w:rPr>
      </w:pPr>
      <w:r>
        <w:rPr>
          <w:color w:val="000000"/>
          <w:sz w:val="24"/>
          <w:szCs w:val="24"/>
        </w:rPr>
        <w:t>controle de temperatura;</w:t>
      </w:r>
      <w:r>
        <w:rPr>
          <w:color w:val="000000"/>
          <w:sz w:val="24"/>
          <w:szCs w:val="24"/>
        </w:rPr>
        <w:br w:type="textWrapping"/>
      </w:r>
    </w:p>
    <w:p w14:paraId="23A707BA">
      <w:pPr>
        <w:numPr>
          <w:ilvl w:val="0"/>
          <w:numId w:val="8"/>
        </w:numPr>
        <w:ind w:firstLine="360"/>
        <w:rPr>
          <w:color w:val="000000"/>
          <w:sz w:val="24"/>
          <w:szCs w:val="24"/>
        </w:rPr>
      </w:pPr>
      <w:r>
        <w:rPr>
          <w:color w:val="000000"/>
          <w:sz w:val="24"/>
          <w:szCs w:val="24"/>
        </w:rPr>
        <w:t>integridade física e inviolabilidade das embalagens;</w:t>
      </w:r>
      <w:r>
        <w:rPr>
          <w:color w:val="000000"/>
          <w:sz w:val="24"/>
          <w:szCs w:val="24"/>
        </w:rPr>
        <w:br w:type="textWrapping"/>
      </w:r>
    </w:p>
    <w:p w14:paraId="59E039D8">
      <w:pPr>
        <w:numPr>
          <w:ilvl w:val="0"/>
          <w:numId w:val="8"/>
        </w:numPr>
        <w:ind w:firstLine="360"/>
        <w:rPr>
          <w:color w:val="000000"/>
          <w:sz w:val="24"/>
          <w:szCs w:val="24"/>
        </w:rPr>
      </w:pPr>
      <w:r>
        <w:rPr>
          <w:color w:val="000000"/>
          <w:sz w:val="24"/>
          <w:szCs w:val="24"/>
        </w:rPr>
        <w:t>rastreabilidade do lote;</w:t>
      </w:r>
      <w:r>
        <w:rPr>
          <w:color w:val="000000"/>
          <w:sz w:val="24"/>
          <w:szCs w:val="24"/>
        </w:rPr>
        <w:br w:type="textWrapping"/>
      </w:r>
    </w:p>
    <w:p w14:paraId="0A17F40E">
      <w:pPr>
        <w:numPr>
          <w:ilvl w:val="0"/>
          <w:numId w:val="8"/>
        </w:numPr>
        <w:ind w:firstLine="360"/>
        <w:rPr>
          <w:color w:val="000000"/>
          <w:sz w:val="24"/>
          <w:szCs w:val="24"/>
        </w:rPr>
      </w:pPr>
      <w:r>
        <w:rPr>
          <w:color w:val="000000"/>
          <w:sz w:val="24"/>
          <w:szCs w:val="24"/>
        </w:rPr>
        <w:t>conformidade com normas sanitárias vigentes;</w:t>
      </w:r>
      <w:r>
        <w:rPr>
          <w:color w:val="000000"/>
          <w:sz w:val="24"/>
          <w:szCs w:val="24"/>
        </w:rPr>
        <w:br w:type="textWrapping"/>
      </w:r>
    </w:p>
    <w:p w14:paraId="53FA75BB">
      <w:pPr>
        <w:numPr>
          <w:ilvl w:val="0"/>
          <w:numId w:val="8"/>
        </w:numPr>
        <w:spacing w:after="240"/>
        <w:ind w:firstLine="360"/>
        <w:rPr>
          <w:color w:val="000000"/>
          <w:sz w:val="24"/>
          <w:szCs w:val="24"/>
        </w:rPr>
      </w:pPr>
      <w:r>
        <w:rPr>
          <w:color w:val="000000"/>
          <w:sz w:val="24"/>
          <w:szCs w:val="24"/>
        </w:rPr>
        <w:t>apresentação da documentação correspondente (DANFE, laudos, certificados, quando aplicáveis).</w:t>
      </w:r>
    </w:p>
    <w:p w14:paraId="4A836D0F">
      <w:pPr>
        <w:spacing w:after="240"/>
        <w:rPr>
          <w:color w:val="000000"/>
          <w:sz w:val="24"/>
          <w:szCs w:val="24"/>
        </w:rPr>
      </w:pPr>
      <w:r>
        <w:rPr>
          <w:color w:val="000000"/>
          <w:sz w:val="24"/>
          <w:szCs w:val="24"/>
        </w:rPr>
        <w:t>3.6 -</w:t>
      </w:r>
      <w:r>
        <w:rPr>
          <w:b/>
          <w:bCs/>
          <w:color w:val="000000"/>
          <w:sz w:val="24"/>
          <w:szCs w:val="24"/>
        </w:rPr>
        <w:t xml:space="preserve"> Validade mínima dos produtos</w:t>
      </w:r>
      <w:r>
        <w:rPr>
          <w:b/>
          <w:bCs/>
          <w:color w:val="000000"/>
          <w:sz w:val="24"/>
          <w:szCs w:val="24"/>
        </w:rPr>
        <w:br w:type="textWrapping"/>
      </w:r>
      <w:r>
        <w:rPr>
          <w:color w:val="000000"/>
          <w:sz w:val="24"/>
          <w:szCs w:val="24"/>
        </w:rPr>
        <w:t>Os medicamentos deverão ser entregues com prazo de validade mínimo de 12 meses no momento da entrega, salvo impossibilidade técnica devidamente justificada e aceita pela Administração. Produtos que não atendam ao prazo mínimo ou apresentem alterações físico-químicas não serão recebidos.</w:t>
      </w:r>
      <w:r>
        <w:rPr>
          <w:color w:val="000000"/>
          <w:sz w:val="24"/>
          <w:szCs w:val="24"/>
        </w:rPr>
        <w:br w:type="textWrapping"/>
      </w:r>
    </w:p>
    <w:p w14:paraId="2EFBC865">
      <w:pPr>
        <w:spacing w:after="240"/>
        <w:rPr>
          <w:color w:val="000000"/>
          <w:sz w:val="24"/>
          <w:szCs w:val="24"/>
        </w:rPr>
      </w:pPr>
      <w:r>
        <w:rPr>
          <w:color w:val="000000"/>
          <w:sz w:val="24"/>
          <w:szCs w:val="24"/>
        </w:rPr>
        <w:t>3.7 -</w:t>
      </w:r>
      <w:r>
        <w:rPr>
          <w:b/>
          <w:bCs/>
          <w:color w:val="000000"/>
          <w:sz w:val="24"/>
          <w:szCs w:val="24"/>
        </w:rPr>
        <w:t xml:space="preserve"> Conformidade com a Tabela CMED/ANVISA</w:t>
      </w:r>
      <w:r>
        <w:rPr>
          <w:b/>
          <w:bCs/>
          <w:color w:val="000000"/>
          <w:sz w:val="24"/>
          <w:szCs w:val="24"/>
        </w:rPr>
        <w:br w:type="textWrapping"/>
      </w:r>
      <w:r>
        <w:rPr>
          <w:color w:val="000000"/>
          <w:sz w:val="24"/>
          <w:szCs w:val="24"/>
        </w:rPr>
        <w:t>Os preços deverão obedecer rigorosamente ao percentual de desconto contratado, aplicável sobre a Tabela CMED/ANVISA vigente no ato de cada fornecimento. Valores incompatíveis, divergentes ou superiores aos permitidos serão rejeitados.</w:t>
      </w:r>
    </w:p>
    <w:p w14:paraId="0C438C68">
      <w:pPr>
        <w:spacing w:after="240"/>
        <w:rPr>
          <w:color w:val="000000"/>
          <w:sz w:val="24"/>
          <w:szCs w:val="24"/>
        </w:rPr>
      </w:pPr>
      <w:r>
        <w:rPr>
          <w:color w:val="000000"/>
          <w:sz w:val="24"/>
          <w:szCs w:val="24"/>
        </w:rPr>
        <w:t>3.8 -</w:t>
      </w:r>
      <w:r>
        <w:rPr>
          <w:b/>
          <w:bCs/>
          <w:color w:val="000000"/>
          <w:sz w:val="24"/>
          <w:szCs w:val="24"/>
        </w:rPr>
        <w:t xml:space="preserve"> Registro sanitário e qualidade</w:t>
      </w:r>
      <w:r>
        <w:rPr>
          <w:b/>
          <w:bCs/>
          <w:color w:val="000000"/>
          <w:sz w:val="24"/>
          <w:szCs w:val="24"/>
        </w:rPr>
        <w:br w:type="textWrapping"/>
      </w:r>
      <w:r>
        <w:rPr>
          <w:color w:val="000000"/>
          <w:sz w:val="24"/>
          <w:szCs w:val="24"/>
        </w:rPr>
        <w:t>Todos os produtos deverão possuir registro válido na ANVISA, acompanhados de informações de lote, fabricante e demais requisitos técnicos.</w:t>
      </w:r>
      <w:r>
        <w:rPr>
          <w:color w:val="000000"/>
          <w:sz w:val="24"/>
          <w:szCs w:val="24"/>
        </w:rPr>
        <w:br w:type="textWrapping"/>
      </w:r>
      <w:r>
        <w:rPr>
          <w:color w:val="000000"/>
          <w:sz w:val="24"/>
          <w:szCs w:val="24"/>
        </w:rPr>
        <w:t xml:space="preserve"> A Administração poderá exigir, a qualquer tempo, laudos de análise, boletins de conformidade e certificados emitidos pelo fabricante ou órgão competente.</w:t>
      </w:r>
    </w:p>
    <w:p w14:paraId="166E30B9">
      <w:pPr>
        <w:spacing w:after="240"/>
        <w:rPr>
          <w:color w:val="000000"/>
          <w:sz w:val="24"/>
          <w:szCs w:val="24"/>
        </w:rPr>
      </w:pPr>
      <w:r>
        <w:rPr>
          <w:color w:val="000000"/>
          <w:sz w:val="24"/>
          <w:szCs w:val="24"/>
        </w:rPr>
        <w:t>3.9 -</w:t>
      </w:r>
      <w:r>
        <w:rPr>
          <w:b/>
          <w:bCs/>
          <w:color w:val="000000"/>
          <w:sz w:val="24"/>
          <w:szCs w:val="24"/>
        </w:rPr>
        <w:t xml:space="preserve"> Substituição de produtos</w:t>
      </w:r>
      <w:r>
        <w:rPr>
          <w:b/>
          <w:bCs/>
          <w:color w:val="000000"/>
          <w:sz w:val="24"/>
          <w:szCs w:val="24"/>
        </w:rPr>
        <w:br w:type="textWrapping"/>
      </w:r>
      <w:r>
        <w:rPr>
          <w:color w:val="000000"/>
          <w:sz w:val="24"/>
          <w:szCs w:val="24"/>
        </w:rPr>
        <w:t>Caso seja identificada qualquer irregularidade, divergência ou avaria no produto entregue, o fornecedor deverá realizar a substituição imediata, em até 24 horas, sem custos adicionais para a Administração, não sendo permitida compensação ou abatimento.</w:t>
      </w:r>
    </w:p>
    <w:p w14:paraId="1C4FF2DD">
      <w:pPr>
        <w:spacing w:after="240"/>
        <w:rPr>
          <w:color w:val="000000"/>
          <w:sz w:val="24"/>
          <w:szCs w:val="24"/>
        </w:rPr>
      </w:pPr>
      <w:r>
        <w:rPr>
          <w:color w:val="000000"/>
          <w:sz w:val="24"/>
          <w:szCs w:val="24"/>
        </w:rPr>
        <w:t>3.10 -</w:t>
      </w:r>
      <w:r>
        <w:rPr>
          <w:b/>
          <w:bCs/>
          <w:color w:val="000000"/>
          <w:sz w:val="24"/>
          <w:szCs w:val="24"/>
        </w:rPr>
        <w:t xml:space="preserve"> Responsabilidade técnica</w:t>
      </w:r>
      <w:r>
        <w:rPr>
          <w:b/>
          <w:bCs/>
          <w:color w:val="000000"/>
          <w:sz w:val="24"/>
          <w:szCs w:val="24"/>
        </w:rPr>
        <w:br w:type="textWrapping"/>
      </w:r>
      <w:r>
        <w:rPr>
          <w:color w:val="000000"/>
          <w:sz w:val="24"/>
          <w:szCs w:val="24"/>
        </w:rPr>
        <w:t>O fornecedor deverá manter estrutura técnica adequada para atender às exigências contratuais, dispondo de responsável técnico registrado no conselho profissional competente (CRF ou equivalente), além de garantir condições de segurança, higiene e controle sanitário em todas as etapas de logística.</w:t>
      </w:r>
    </w:p>
    <w:p w14:paraId="4224D0F7">
      <w:pPr>
        <w:spacing w:after="240"/>
        <w:rPr>
          <w:color w:val="000000"/>
          <w:sz w:val="24"/>
          <w:szCs w:val="24"/>
        </w:rPr>
      </w:pPr>
      <w:r>
        <w:rPr>
          <w:color w:val="000000"/>
          <w:sz w:val="24"/>
          <w:szCs w:val="24"/>
        </w:rPr>
        <w:t>3.11 -</w:t>
      </w:r>
      <w:r>
        <w:rPr>
          <w:b/>
          <w:bCs/>
          <w:color w:val="000000"/>
          <w:sz w:val="24"/>
          <w:szCs w:val="24"/>
        </w:rPr>
        <w:t xml:space="preserve"> Atendimento às demandas judiciais</w:t>
      </w:r>
      <w:r>
        <w:rPr>
          <w:b/>
          <w:bCs/>
          <w:color w:val="000000"/>
          <w:sz w:val="24"/>
          <w:szCs w:val="24"/>
        </w:rPr>
        <w:br w:type="textWrapping"/>
      </w:r>
      <w:r>
        <w:rPr>
          <w:color w:val="000000"/>
          <w:sz w:val="24"/>
          <w:szCs w:val="24"/>
        </w:rPr>
        <w:t>Os pedidos motivados por decisões judiciais deverão ser atendidos com prioridade absoluta, garantindo a continuidade do tratamento do paciente, sob pena de penalidades contratuais e responsabilização legal.</w:t>
      </w:r>
    </w:p>
    <w:p w14:paraId="197174EA">
      <w:pPr>
        <w:spacing w:after="240"/>
        <w:rPr>
          <w:b/>
          <w:bCs/>
          <w:color w:val="000000"/>
          <w:sz w:val="24"/>
          <w:szCs w:val="24"/>
        </w:rPr>
      </w:pPr>
      <w:r>
        <w:rPr>
          <w:color w:val="000000"/>
          <w:sz w:val="24"/>
          <w:szCs w:val="24"/>
        </w:rPr>
        <w:t>3.12 -</w:t>
      </w:r>
      <w:r>
        <w:rPr>
          <w:b/>
          <w:bCs/>
          <w:color w:val="000000"/>
          <w:sz w:val="24"/>
          <w:szCs w:val="24"/>
        </w:rPr>
        <w:t xml:space="preserve"> Documentação exigida no ato da entrega</w:t>
      </w:r>
    </w:p>
    <w:p w14:paraId="309EFF0A">
      <w:pPr>
        <w:spacing w:after="240"/>
        <w:rPr>
          <w:color w:val="000000"/>
          <w:sz w:val="24"/>
          <w:szCs w:val="24"/>
        </w:rPr>
      </w:pPr>
      <w:r>
        <w:rPr>
          <w:color w:val="000000"/>
          <w:sz w:val="24"/>
          <w:szCs w:val="24"/>
        </w:rPr>
        <w:t>O fornecedor deverá apresentar, junto com cada entrega:</w:t>
      </w:r>
    </w:p>
    <w:p w14:paraId="5EAAE7CA">
      <w:pPr>
        <w:numPr>
          <w:ilvl w:val="0"/>
          <w:numId w:val="9"/>
        </w:numPr>
        <w:spacing w:before="240"/>
        <w:ind w:firstLine="360"/>
        <w:rPr>
          <w:color w:val="000000"/>
          <w:sz w:val="24"/>
          <w:szCs w:val="24"/>
        </w:rPr>
      </w:pPr>
      <w:r>
        <w:rPr>
          <w:color w:val="000000"/>
          <w:sz w:val="24"/>
          <w:szCs w:val="24"/>
        </w:rPr>
        <w:t>Nota fiscal compatível com o item solicitado;</w:t>
      </w:r>
      <w:r>
        <w:rPr>
          <w:color w:val="000000"/>
          <w:sz w:val="24"/>
          <w:szCs w:val="24"/>
        </w:rPr>
        <w:br w:type="textWrapping"/>
      </w:r>
    </w:p>
    <w:p w14:paraId="5D8B2352">
      <w:pPr>
        <w:numPr>
          <w:ilvl w:val="0"/>
          <w:numId w:val="9"/>
        </w:numPr>
        <w:ind w:firstLine="360"/>
        <w:rPr>
          <w:color w:val="000000"/>
          <w:sz w:val="24"/>
          <w:szCs w:val="24"/>
        </w:rPr>
      </w:pPr>
      <w:r>
        <w:rPr>
          <w:color w:val="000000"/>
          <w:sz w:val="24"/>
          <w:szCs w:val="24"/>
        </w:rPr>
        <w:t>Comprovante de situação fiscal regular;</w:t>
      </w:r>
      <w:r>
        <w:rPr>
          <w:color w:val="000000"/>
          <w:sz w:val="24"/>
          <w:szCs w:val="24"/>
        </w:rPr>
        <w:br w:type="textWrapping"/>
      </w:r>
    </w:p>
    <w:p w14:paraId="3DD6F30E">
      <w:pPr>
        <w:numPr>
          <w:ilvl w:val="0"/>
          <w:numId w:val="9"/>
        </w:numPr>
        <w:ind w:firstLine="360"/>
        <w:rPr>
          <w:color w:val="000000"/>
          <w:sz w:val="24"/>
          <w:szCs w:val="24"/>
        </w:rPr>
      </w:pPr>
      <w:r>
        <w:rPr>
          <w:color w:val="000000"/>
          <w:sz w:val="24"/>
          <w:szCs w:val="24"/>
        </w:rPr>
        <w:t>Certificado de Boas Práticas de Fabricação/Distribuição (quando aplicável);</w:t>
      </w:r>
      <w:r>
        <w:rPr>
          <w:color w:val="000000"/>
          <w:sz w:val="24"/>
          <w:szCs w:val="24"/>
        </w:rPr>
        <w:br w:type="textWrapping"/>
      </w:r>
    </w:p>
    <w:p w14:paraId="7A3739FF">
      <w:pPr>
        <w:numPr>
          <w:ilvl w:val="0"/>
          <w:numId w:val="9"/>
        </w:numPr>
        <w:spacing w:after="240"/>
        <w:ind w:firstLine="360"/>
        <w:rPr>
          <w:color w:val="000000"/>
          <w:sz w:val="24"/>
          <w:szCs w:val="24"/>
        </w:rPr>
      </w:pPr>
      <w:r>
        <w:rPr>
          <w:color w:val="000000"/>
          <w:sz w:val="24"/>
          <w:szCs w:val="24"/>
        </w:rPr>
        <w:t>Comprovação de lote, validade e registro ANVISA.</w:t>
      </w:r>
    </w:p>
    <w:p w14:paraId="33B8EAA4">
      <w:pPr>
        <w:jc w:val="both"/>
        <w:rPr>
          <w:color w:val="000000"/>
          <w:sz w:val="24"/>
          <w:szCs w:val="24"/>
        </w:rPr>
      </w:pPr>
    </w:p>
    <w:p w14:paraId="580E6AEC">
      <w:pPr>
        <w:rPr>
          <w:color w:val="000000"/>
          <w:sz w:val="24"/>
          <w:szCs w:val="24"/>
        </w:rPr>
      </w:pPr>
      <w:r>
        <w:rPr>
          <w:b/>
          <w:bCs/>
          <w:color w:val="000000"/>
          <w:sz w:val="24"/>
          <w:szCs w:val="24"/>
          <w:u w:val="single"/>
        </w:rPr>
        <w:t>4- RECEBIMENTO E CRITÉRIO DE ACEITAÇÃO</w:t>
      </w:r>
    </w:p>
    <w:p w14:paraId="3C28B54E">
      <w:pPr>
        <w:spacing w:before="240" w:after="240" w:line="276" w:lineRule="auto"/>
        <w:jc w:val="both"/>
        <w:rPr>
          <w:color w:val="000000"/>
          <w:sz w:val="24"/>
          <w:szCs w:val="24"/>
        </w:rPr>
      </w:pPr>
      <w:r>
        <w:rPr>
          <w:color w:val="000000"/>
          <w:sz w:val="24"/>
          <w:szCs w:val="24"/>
        </w:rPr>
        <w:t>O recebimento dos medicamentos será realizado em duas etapas, provisória e definitiva, conforme as disposições da Lei nº 14.133/2021. O recebimento provisório ocorrerá no ato da entrega, mediante conferência física e documental pela equipe do Centro Assistencial e de Mandado, incluindo verificação da quantidade entregue, integridade das embalagens, conformidade da apresentação, concentração e forma farmacêutica, além da conferência da Nota Fiscal e demais documentos obrigatórios, como registro sanitário, informações de lote e validade. Produtos com avarias, divergências evidentes ou ausência de documentação poderão ser recusados de imediato.</w:t>
      </w:r>
    </w:p>
    <w:p w14:paraId="00C03573">
      <w:pPr>
        <w:spacing w:before="240" w:after="240" w:line="276" w:lineRule="auto"/>
        <w:jc w:val="both"/>
        <w:rPr>
          <w:color w:val="000000"/>
          <w:sz w:val="24"/>
          <w:szCs w:val="24"/>
        </w:rPr>
      </w:pPr>
      <w:r>
        <w:rPr>
          <w:color w:val="000000"/>
          <w:sz w:val="24"/>
          <w:szCs w:val="24"/>
        </w:rPr>
        <w:t>O recebimento definitivo será realizado após análise técnica e sanitária dos itens entregues, no prazo de até cinco dias úteis, observando critérios de aceitação que incluem conformidade total com as especificações solicitadas, prazo de validade mínimo de 12 meses (salvo exceção justificada e aceita pela Administração), condições adequadas de transporte e armazenamento segundo as Boas Práticas de Distribuição, integridade das embalagens e ausência de qualquer sinal de dano ou contaminação. Também será verificada a conformidade dos preços praticados com o percentual de desconto contratado sobre a Tabela CMED/ANVISA, bem como a regularidade sanitária dos produtos, que devem possuir registro ativo na ANVISA. Toda a documentação obrigatória deverá acompanhar a entrega, incluindo Nota Fiscal, lote, validade e laudos de qualidade quando aplicáveis.</w:t>
      </w:r>
    </w:p>
    <w:p w14:paraId="68CF3486">
      <w:pPr>
        <w:spacing w:before="240" w:after="240" w:line="276" w:lineRule="auto"/>
        <w:jc w:val="both"/>
        <w:rPr>
          <w:color w:val="000000"/>
          <w:sz w:val="24"/>
          <w:szCs w:val="24"/>
        </w:rPr>
      </w:pPr>
      <w:r>
        <w:rPr>
          <w:color w:val="000000"/>
          <w:sz w:val="24"/>
          <w:szCs w:val="24"/>
        </w:rPr>
        <w:t>Caso sejam constatadas irregularidades, como divergência entre o produto solicitado e o entregue, validade inferior ao permitido, avarias, não conformidades técnicas, violação das condições sanitárias ou preços incompatíveis com o desconto contratado, a empresa será notificada e deverá proceder à substituição imediata dos itens, no prazo máximo de 48 horas, sem ônus adicional para a Administração. O não atendimento da substituição poderá acarretar glosa da Nota Fiscal e aplicação das penalidades previstas na legislação, sem prejuízo das demais medidas administrativas cabíveis.</w:t>
      </w:r>
    </w:p>
    <w:p w14:paraId="701ED7E9">
      <w:pPr>
        <w:rPr>
          <w:b/>
          <w:bCs/>
          <w:color w:val="000000"/>
          <w:sz w:val="24"/>
          <w:szCs w:val="24"/>
          <w:u w:val="single"/>
        </w:rPr>
      </w:pPr>
    </w:p>
    <w:p w14:paraId="6A4E0C23">
      <w:pPr>
        <w:rPr>
          <w:color w:val="000000"/>
          <w:sz w:val="24"/>
          <w:szCs w:val="24"/>
        </w:rPr>
      </w:pPr>
      <w:r>
        <w:rPr>
          <w:b/>
          <w:bCs/>
          <w:color w:val="000000"/>
          <w:sz w:val="24"/>
          <w:szCs w:val="24"/>
          <w:u w:val="single"/>
        </w:rPr>
        <w:t>5- OBRIGAÇÕES DA CONTRATADA</w:t>
      </w:r>
    </w:p>
    <w:p w14:paraId="4F349CB7">
      <w:pPr>
        <w:spacing w:before="240" w:after="240"/>
        <w:jc w:val="both"/>
        <w:rPr>
          <w:color w:val="000000"/>
          <w:sz w:val="24"/>
          <w:szCs w:val="24"/>
        </w:rPr>
      </w:pPr>
      <w:r>
        <w:rPr>
          <w:color w:val="000000"/>
          <w:sz w:val="24"/>
          <w:szCs w:val="24"/>
        </w:rPr>
        <w:t>A contratada deverá fornecer os medicamentos de acordo com as especificações constantes deste Termo de Referência, garantindo conformidade integral com a apresentação, forma farmacêutica, concentração, registro sanitário e condições técnicas exigidas. Caberá à empresa observar rigorosamente o percentual de desconto ofertado sobre a Tabela CMED/ANVISA, aplicando-o a cada fornecimento durante toda a vigência da Ata de Registro de Preços, respeitando as atualizações periódicas da tabela e as regras de precificação vigentes. A contratada será responsável por realizar as entregas nos prazos estabelecidos, atendendo de forma prioritária às solicitações vinculadas a demandas assistenciais urgentes e decisões judiciais, assegurando a continuidade do tratamento dos pacientes.</w:t>
      </w:r>
    </w:p>
    <w:p w14:paraId="306CF7F1">
      <w:pPr>
        <w:spacing w:before="240" w:after="240"/>
        <w:jc w:val="both"/>
        <w:rPr>
          <w:color w:val="000000"/>
          <w:sz w:val="24"/>
          <w:szCs w:val="24"/>
        </w:rPr>
      </w:pPr>
      <w:r>
        <w:rPr>
          <w:color w:val="000000"/>
          <w:sz w:val="24"/>
          <w:szCs w:val="24"/>
        </w:rPr>
        <w:t>A empresa deverá garantir que o transporte, armazenamento e manuseio dos medicamentos atendam às Boas Práticas de Distribuição, preservando a integridade das embalagens e mantendo as condições adequadas de temperatura, umidade e rastreabilidade. Todos os produtos entregues deverão possuir prazo de validade mínimo de 12 meses e estar devidamente registrados na ANVISA, sendo obrigatória a apresentação, sempre que solicitado, de notas fiscais compatíveis, laudos de qualidade, certificados e demais documentos exigidos pela fiscalização.</w:t>
      </w:r>
    </w:p>
    <w:p w14:paraId="5F709BC3">
      <w:pPr>
        <w:spacing w:before="240" w:after="240"/>
        <w:jc w:val="both"/>
        <w:rPr>
          <w:color w:val="000000"/>
          <w:sz w:val="24"/>
          <w:szCs w:val="24"/>
        </w:rPr>
      </w:pPr>
      <w:r>
        <w:rPr>
          <w:color w:val="000000"/>
          <w:sz w:val="24"/>
          <w:szCs w:val="24"/>
        </w:rPr>
        <w:t>É obrigação da contratada substituir imediatamente, sem ônus adicional para a Administração, quaisquer itens que apresentem irregularidades, tais como avarias, divergências de especificação, validade inferior à permitida, desconformidade sanitária ou inadequação técnica. A contratada deverá manter atualizadas todas as suas certidões fiscais, trabalhistas e sanitárias exigidas para participação e execução do contrato, bem como garantir a manutenção dos requisitos de habilitação durante toda a vigência da Ata.</w:t>
      </w:r>
    </w:p>
    <w:p w14:paraId="7E145F0E">
      <w:pPr>
        <w:spacing w:before="240" w:after="240"/>
        <w:jc w:val="both"/>
        <w:rPr>
          <w:color w:val="000000"/>
          <w:sz w:val="24"/>
          <w:szCs w:val="24"/>
        </w:rPr>
      </w:pPr>
      <w:r>
        <w:rPr>
          <w:color w:val="000000"/>
          <w:sz w:val="24"/>
          <w:szCs w:val="24"/>
        </w:rPr>
        <w:t>A empresa deverá ainda manter canal de comunicação eficaz com a Administração, disponibilizando contato para tratativas operacionais e eventuais emergências, além de assegurar total cooperação com a fiscalização designada, fornecendo informações, documentos e acesso para verificação sempre que solicitado. Por fim, é responsabilidade da contratada cumprir integralmente as obrigações previstas na legislação aplicável, especialmente a Lei nº 14.133/2021, respondendo civil, administrativa e operacionalmente por quaisquer prejuízos decorrentes de descumprimento das condições pactuadas.</w:t>
      </w:r>
    </w:p>
    <w:p w14:paraId="6E8F8668">
      <w:pPr>
        <w:jc w:val="both"/>
        <w:rPr>
          <w:color w:val="000000"/>
          <w:sz w:val="24"/>
          <w:szCs w:val="24"/>
        </w:rPr>
      </w:pPr>
      <w:r>
        <w:rPr>
          <w:b/>
          <w:bCs/>
          <w:color w:val="000000"/>
          <w:sz w:val="24"/>
          <w:szCs w:val="24"/>
          <w:u w:val="single"/>
        </w:rPr>
        <w:t>6 – OBRIGAÇÕES DA CONTRATANTE</w:t>
      </w:r>
    </w:p>
    <w:p w14:paraId="13243A65">
      <w:pPr>
        <w:spacing w:before="240" w:after="240"/>
        <w:rPr>
          <w:color w:val="000000"/>
          <w:sz w:val="24"/>
          <w:szCs w:val="24"/>
        </w:rPr>
      </w:pPr>
      <w:r>
        <w:rPr>
          <w:color w:val="000000"/>
          <w:sz w:val="24"/>
          <w:szCs w:val="24"/>
        </w:rPr>
        <w:t>Compete à contratante assegurar as condições necessárias para o regular recebimento e conferência dos medicamentos fornecidos, disponibilizando equipe técnica responsável pela fiscalização, registro e avaliação da conformidade dos itens entregues. A contratante deverá emitir as Notas de Empenho ou Autorizações de Fornecimento contendo todas as informações indispensáveis para a execução do pedido, indicando local, horários e responsável pelo recebimento, bem como comunicar à contratada quaisquer alterações relevantes relacionadas ao fornecimento, prazo ou especificações.</w:t>
      </w:r>
    </w:p>
    <w:p w14:paraId="6FE0FCD8">
      <w:pPr>
        <w:spacing w:before="240" w:after="240"/>
        <w:rPr>
          <w:color w:val="000000"/>
          <w:sz w:val="24"/>
          <w:szCs w:val="24"/>
        </w:rPr>
      </w:pPr>
      <w:r>
        <w:rPr>
          <w:color w:val="000000"/>
          <w:sz w:val="24"/>
          <w:szCs w:val="24"/>
        </w:rPr>
        <w:t>A contratante se compromete a realizar a conferência física e documental no ato da entrega, verificando embalagem, integridade, validade, lote, conformidade com a Nota de Empenho e demais requisitos técnicos, além de promover o recebimento provisório e definitivo conforme as normas aplicáveis. Caberá também à Administração registrar eventuais irregularidades, comunicar à contratada para substituição dos itens e acompanhar o cumprimento dos prazos estabelecidos.</w:t>
      </w:r>
    </w:p>
    <w:p w14:paraId="2550E79A">
      <w:pPr>
        <w:spacing w:before="240" w:after="240"/>
        <w:rPr>
          <w:color w:val="000000"/>
          <w:sz w:val="24"/>
          <w:szCs w:val="24"/>
        </w:rPr>
      </w:pPr>
      <w:r>
        <w:rPr>
          <w:color w:val="000000"/>
          <w:sz w:val="24"/>
          <w:szCs w:val="24"/>
        </w:rPr>
        <w:t>É responsabilidade do contratante disponibilizar informações técnicas necessárias à execução do fornecimento, incluindo esclarecimentos sobre apresentações, unidades de consumo, demandas assistenciais e prioridades decorrentes de decisões judiciais. A contratante deverá assegurar o pagamento dos produtos recebidos em conformidade com as condições contratadas, observados os prazos legais e a correta liquidação da despesa mediante apresentação de documentação fiscal regular.</w:t>
      </w:r>
    </w:p>
    <w:p w14:paraId="2BD1BF9C">
      <w:pPr>
        <w:spacing w:before="240" w:after="240"/>
        <w:rPr>
          <w:color w:val="000000"/>
          <w:sz w:val="24"/>
          <w:szCs w:val="24"/>
        </w:rPr>
      </w:pPr>
      <w:r>
        <w:rPr>
          <w:color w:val="000000"/>
          <w:sz w:val="24"/>
          <w:szCs w:val="24"/>
        </w:rPr>
        <w:t>A contratante deverá ainda acompanhar a execução contratual por meio dos fiscais designados, que deverão registrar ocorrências, solicitar documentos, verificar conformidade com a Tabela CMED/ANVISA, monitorar prazos e comunicar formalmente quaisquer descumprimentos. Também é obrigação da contratante proporcionar à contratada o acesso às informações indispensáveis ao cumprimento de suas obrigações, mantendo comunicação adequada, transparente e tempestiva. Por fim, a contratante deverá cumprir todas as disposições legais aplicáveis, garantir que a execução contratual observe o interesse público e zelar pela manutenção das condições administrativas, técnicas e operacionais necessárias ao abastecimento regular dos pacientes.</w:t>
      </w:r>
    </w:p>
    <w:p w14:paraId="28B09426">
      <w:pPr>
        <w:jc w:val="both"/>
        <w:rPr>
          <w:color w:val="000000"/>
          <w:sz w:val="24"/>
          <w:szCs w:val="24"/>
        </w:rPr>
      </w:pPr>
      <w:r>
        <w:rPr>
          <w:b/>
          <w:bCs/>
          <w:color w:val="000000"/>
          <w:sz w:val="24"/>
          <w:szCs w:val="24"/>
          <w:u w:val="single"/>
        </w:rPr>
        <w:t>7 – GARANTIA E MEDIDAS ACAUTELADORAS</w:t>
      </w:r>
    </w:p>
    <w:p w14:paraId="19302C6E">
      <w:pPr>
        <w:spacing w:before="240" w:after="240"/>
        <w:jc w:val="both"/>
        <w:rPr>
          <w:color w:val="000000"/>
          <w:sz w:val="24"/>
          <w:szCs w:val="24"/>
        </w:rPr>
      </w:pPr>
      <w:r>
        <w:rPr>
          <w:color w:val="000000"/>
          <w:sz w:val="24"/>
          <w:szCs w:val="24"/>
        </w:rPr>
        <w:t>A contratada deverá garantir a plena execução do objeto, respondendo pela qualidade, integridade, regularidade sanitária e conformidade dos medicamentos fornecidos, bem como pela observância dos prazos, descontos contratados e demais condições pactuadas. A Administração poderá exigir, sempre que necessário, medidas acauteladoras destinadas a assegurar o cumprimento das obrigações assumidas, especialmente nos casos de entregas emergenciais, fornecimentos vinculados a decisões judiciais, risco de descontinuidade terapêutica ou histórico de descumprimentos pela contratada.</w:t>
      </w:r>
    </w:p>
    <w:p w14:paraId="68253B65">
      <w:pPr>
        <w:spacing w:before="240" w:after="240"/>
        <w:jc w:val="both"/>
        <w:rPr>
          <w:color w:val="000000"/>
          <w:sz w:val="24"/>
          <w:szCs w:val="24"/>
        </w:rPr>
      </w:pPr>
      <w:r>
        <w:rPr>
          <w:color w:val="000000"/>
          <w:sz w:val="24"/>
          <w:szCs w:val="24"/>
        </w:rPr>
        <w:t>As medidas acauteladoras poderão incluir, a critério da Administração e conforme a legislação vigente, a exigência de comprovação adicional de origem e rastreabilidade dos medicamentos, apresentação de laudos técnicos ou relatórios sanitários suplementares, reforço documental que comprove a regularidade do produto junto à ANVISA, bem como a substituição imediata de itens que apresentem qualquer indício de irregularidade. A contratante poderá ainda exigir, quando justificado, que a contratada mantenha estoque mínimo de segurança ou garanta disponibilidade operacional suficiente para atendimento prioritário de demandas urgentes ou judiciais, evitando descontinuidade no tratamento dos pacientes.</w:t>
      </w:r>
    </w:p>
    <w:p w14:paraId="77647DCF">
      <w:pPr>
        <w:spacing w:before="240" w:after="240"/>
        <w:jc w:val="both"/>
        <w:rPr>
          <w:color w:val="000000"/>
          <w:sz w:val="24"/>
          <w:szCs w:val="24"/>
        </w:rPr>
      </w:pPr>
      <w:r>
        <w:rPr>
          <w:color w:val="000000"/>
          <w:sz w:val="24"/>
          <w:szCs w:val="24"/>
        </w:rPr>
        <w:t>A contratada será integralmente responsável por quaisquer danos decorrentes do fornecimento de produtos inadequados, vencidos, avariados, irregulares ou em desconformidade com as condições pactuadas, incluindo prejuízos financeiros, riscos sanitários ou comprometimento do tratamento dos pacientes. A ausência de medidas corretivas ou a recorrência de falhas poderá ensejar a adoção de sanções previstas na Lei nº 14.133/2021, sem prejuízo da aplicação de glosas, ressarcimentos ou demais providências administrativas cabíveis.</w:t>
      </w:r>
    </w:p>
    <w:p w14:paraId="44FFC679">
      <w:pPr>
        <w:spacing w:before="240" w:after="240"/>
        <w:jc w:val="both"/>
        <w:rPr>
          <w:color w:val="000000"/>
          <w:sz w:val="24"/>
          <w:szCs w:val="24"/>
        </w:rPr>
      </w:pPr>
      <w:r>
        <w:rPr>
          <w:color w:val="000000"/>
          <w:sz w:val="24"/>
          <w:szCs w:val="24"/>
        </w:rPr>
        <w:t>A Administração reserva-se o direito de realizar diligências, solicitar comprovações adicionais e promover verificações técnicas sempre que houver indícios de risco à execução contratual, aplicando medidas preventivas ou restritivas destinadas a preservar a regularidade do abastecimento e o interesse público. Tais medidas têm caráter instrumental e não excluem a responsabilidade integral da contratada pela execução adequada do objeto.</w:t>
      </w:r>
    </w:p>
    <w:p w14:paraId="236DEA8C">
      <w:pPr>
        <w:jc w:val="both"/>
        <w:rPr>
          <w:color w:val="000000"/>
          <w:sz w:val="24"/>
          <w:szCs w:val="24"/>
        </w:rPr>
      </w:pPr>
      <w:r>
        <w:rPr>
          <w:b/>
          <w:bCs/>
          <w:color w:val="000000"/>
          <w:sz w:val="24"/>
          <w:szCs w:val="24"/>
          <w:u w:val="single"/>
        </w:rPr>
        <w:t>8 – CONTROLE DA EXECUÇÃO</w:t>
      </w:r>
    </w:p>
    <w:p w14:paraId="4ACBC77D">
      <w:pPr>
        <w:rPr>
          <w:color w:val="000000"/>
          <w:sz w:val="24"/>
          <w:szCs w:val="24"/>
        </w:rPr>
      </w:pPr>
    </w:p>
    <w:p w14:paraId="06B0DCF5">
      <w:pPr>
        <w:jc w:val="both"/>
        <w:rPr>
          <w:color w:val="000000"/>
          <w:sz w:val="24"/>
          <w:szCs w:val="24"/>
        </w:rPr>
      </w:pPr>
      <w:r>
        <w:rPr>
          <w:color w:val="000000"/>
          <w:sz w:val="24"/>
          <w:szCs w:val="24"/>
        </w:rPr>
        <w:t>8.1 - A fiscalização da contratação será exercida por um representante da Administração ou pelo respectivo substituto, ao qual competirá realizar a fiscalização técnica, administrativa e setorial, dirimindo todas as dúvidas que surgirem no curso da execução do contrato, e de tudo dará ciência à Administração, na pessoa do (a) Gestor (a) de Contratos.</w:t>
      </w:r>
    </w:p>
    <w:p w14:paraId="4A194E9D">
      <w:pPr>
        <w:jc w:val="both"/>
        <w:rPr>
          <w:color w:val="000000"/>
          <w:sz w:val="24"/>
          <w:szCs w:val="24"/>
        </w:rPr>
      </w:pPr>
      <w:r>
        <w:rPr>
          <w:color w:val="000000"/>
          <w:sz w:val="24"/>
          <w:szCs w:val="24"/>
        </w:rPr>
        <w:tab/>
      </w:r>
      <w:r>
        <w:rPr>
          <w:color w:val="000000"/>
          <w:sz w:val="24"/>
          <w:szCs w:val="24"/>
        </w:rPr>
        <w:t>8.1.1 - O representante da Contratante deverá ter a experiência necessária para o acompanhamento e controle da execução do contrato.</w:t>
      </w:r>
    </w:p>
    <w:p w14:paraId="47E9ABEF">
      <w:pPr>
        <w:jc w:val="both"/>
        <w:rPr>
          <w:color w:val="000000"/>
          <w:sz w:val="24"/>
          <w:szCs w:val="24"/>
        </w:rPr>
      </w:pPr>
      <w:r>
        <w:rPr>
          <w:color w:val="000000"/>
          <w:sz w:val="24"/>
          <w:szCs w:val="24"/>
        </w:rPr>
        <w:t>8.2 - O contrato deverá ser executado fielmente pelas partes, de acordo com as cláusulas avençadas e as normas da Lei nº 14.133, de 2021, e cada parte responderá pelas consequências de sua inexecução total ou parcial.</w:t>
      </w:r>
    </w:p>
    <w:p w14:paraId="6A75D3ED">
      <w:pPr>
        <w:jc w:val="both"/>
        <w:rPr>
          <w:color w:val="000000"/>
          <w:sz w:val="24"/>
          <w:szCs w:val="24"/>
        </w:rPr>
      </w:pPr>
      <w:r>
        <w:rPr>
          <w:color w:val="000000"/>
          <w:sz w:val="24"/>
          <w:szCs w:val="24"/>
        </w:rPr>
        <w:t>8.3 - As comunicações entre a contratante e a contratada deverão ser realizadas por escrito, preferencialmente via e-mail, admitindo-se subsidiariamente o uso de mensagem eletrônica (ex: whatsapp) para esse fim.</w:t>
      </w:r>
    </w:p>
    <w:p w14:paraId="45501EB6">
      <w:pPr>
        <w:jc w:val="both"/>
        <w:rPr>
          <w:color w:val="000000"/>
          <w:sz w:val="24"/>
          <w:szCs w:val="24"/>
        </w:rPr>
      </w:pPr>
      <w:r>
        <w:rPr>
          <w:color w:val="000000"/>
          <w:sz w:val="24"/>
          <w:szCs w:val="24"/>
        </w:rPr>
        <w:t>8.4 - 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 de 2021.</w:t>
      </w:r>
    </w:p>
    <w:p w14:paraId="2DB7105F">
      <w:pPr>
        <w:jc w:val="both"/>
        <w:rPr>
          <w:color w:val="000000"/>
          <w:sz w:val="24"/>
          <w:szCs w:val="24"/>
        </w:rPr>
      </w:pPr>
      <w:r>
        <w:rPr>
          <w:color w:val="000000"/>
          <w:sz w:val="24"/>
          <w:szCs w:val="24"/>
        </w:rPr>
        <w:t>8.5 -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ao Gestor de Contratos para as providências cabíveis.</w:t>
      </w:r>
    </w:p>
    <w:p w14:paraId="62FBE7B3">
      <w:pPr>
        <w:jc w:val="both"/>
        <w:rPr>
          <w:color w:val="000000"/>
          <w:sz w:val="24"/>
          <w:szCs w:val="24"/>
        </w:rPr>
      </w:pPr>
    </w:p>
    <w:p w14:paraId="74F49A09">
      <w:pPr>
        <w:jc w:val="both"/>
        <w:rPr>
          <w:color w:val="000000"/>
          <w:sz w:val="24"/>
          <w:szCs w:val="24"/>
        </w:rPr>
      </w:pPr>
      <w:r>
        <w:rPr>
          <w:b/>
          <w:bCs/>
          <w:color w:val="000000"/>
          <w:sz w:val="24"/>
          <w:szCs w:val="24"/>
        </w:rPr>
        <w:t xml:space="preserve">9 – </w:t>
      </w:r>
      <w:r>
        <w:rPr>
          <w:b/>
          <w:bCs/>
          <w:color w:val="000000"/>
          <w:sz w:val="24"/>
          <w:szCs w:val="24"/>
          <w:u w:val="single"/>
        </w:rPr>
        <w:t>DA GESTÃO DOS CONTRATOS</w:t>
      </w:r>
    </w:p>
    <w:p w14:paraId="66C64D91">
      <w:pPr>
        <w:jc w:val="both"/>
        <w:rPr>
          <w:color w:val="000000"/>
          <w:sz w:val="24"/>
          <w:szCs w:val="24"/>
        </w:rPr>
      </w:pPr>
    </w:p>
    <w:p w14:paraId="609AAF15">
      <w:pPr>
        <w:jc w:val="both"/>
        <w:rPr>
          <w:color w:val="000000"/>
          <w:sz w:val="24"/>
          <w:szCs w:val="24"/>
        </w:rPr>
      </w:pPr>
      <w:r>
        <w:rPr>
          <w:color w:val="000000"/>
          <w:sz w:val="24"/>
          <w:szCs w:val="24"/>
        </w:rPr>
        <w:t xml:space="preserve">9.1 - O gestor do contrato coordena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w:t>
      </w:r>
    </w:p>
    <w:p w14:paraId="293B98B0">
      <w:pPr>
        <w:jc w:val="both"/>
        <w:rPr>
          <w:color w:val="000000"/>
          <w:sz w:val="24"/>
          <w:szCs w:val="24"/>
        </w:rPr>
      </w:pPr>
      <w:r>
        <w:rPr>
          <w:color w:val="000000"/>
          <w:sz w:val="24"/>
          <w:szCs w:val="24"/>
        </w:rPr>
        <w:t xml:space="preserve">9.2 -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6E5D6C87">
      <w:pPr>
        <w:jc w:val="both"/>
        <w:rPr>
          <w:color w:val="000000"/>
          <w:sz w:val="24"/>
          <w:szCs w:val="24"/>
        </w:rPr>
      </w:pPr>
      <w:r>
        <w:rPr>
          <w:color w:val="000000"/>
          <w:sz w:val="24"/>
          <w:szCs w:val="24"/>
        </w:rPr>
        <w:t xml:space="preserve">9.3 - O gestor do contrato acompanhará a manutenção das condições de habilitação da contratada, para fins de empenho de despesa e pagamento, e anotará os problemas que obstam o fluxo normal da liquidação e do pagamento da despesa no relatório de riscos eventuais. (Decreto nº 11.246, de 2022, art. 21, III). </w:t>
      </w:r>
    </w:p>
    <w:p w14:paraId="11197A05">
      <w:pPr>
        <w:jc w:val="both"/>
        <w:rPr>
          <w:color w:val="000000"/>
          <w:sz w:val="24"/>
          <w:szCs w:val="24"/>
        </w:rPr>
      </w:pPr>
      <w:r>
        <w:rPr>
          <w:color w:val="000000"/>
          <w:sz w:val="24"/>
          <w:szCs w:val="24"/>
        </w:rPr>
        <w:t xml:space="preserve">9.4 -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96AD8C7">
      <w:pPr>
        <w:jc w:val="both"/>
        <w:rPr>
          <w:color w:val="000000"/>
          <w:sz w:val="24"/>
          <w:szCs w:val="24"/>
        </w:rPr>
      </w:pPr>
      <w:r>
        <w:rPr>
          <w:color w:val="000000"/>
          <w:sz w:val="24"/>
          <w:szCs w:val="24"/>
        </w:rPr>
        <w:t xml:space="preserve">9.5 -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30AFE4B">
      <w:pPr>
        <w:jc w:val="both"/>
        <w:rPr>
          <w:color w:val="000000"/>
          <w:sz w:val="24"/>
          <w:szCs w:val="24"/>
        </w:rPr>
      </w:pPr>
      <w:r>
        <w:rPr>
          <w:color w:val="000000"/>
          <w:sz w:val="24"/>
          <w:szCs w:val="24"/>
        </w:rPr>
        <w:t xml:space="preserve">9.6 -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47CA5F55">
      <w:pPr>
        <w:jc w:val="both"/>
        <w:rPr>
          <w:color w:val="000000"/>
          <w:sz w:val="24"/>
          <w:szCs w:val="24"/>
        </w:rPr>
      </w:pPr>
    </w:p>
    <w:p w14:paraId="39B822C9">
      <w:pPr>
        <w:jc w:val="both"/>
        <w:rPr>
          <w:color w:val="000000"/>
          <w:sz w:val="24"/>
          <w:szCs w:val="24"/>
        </w:rPr>
      </w:pPr>
      <w:r>
        <w:rPr>
          <w:b/>
          <w:bCs/>
          <w:color w:val="000000"/>
          <w:sz w:val="24"/>
          <w:szCs w:val="24"/>
          <w:u w:val="single"/>
        </w:rPr>
        <w:t>10 – DAS INFRAÇÕES E SANÇÕES ADMINISTRATIVAS</w:t>
      </w:r>
    </w:p>
    <w:p w14:paraId="681B49DD">
      <w:pPr>
        <w:spacing w:before="240" w:after="240"/>
        <w:jc w:val="both"/>
        <w:rPr>
          <w:color w:val="000000"/>
          <w:sz w:val="24"/>
          <w:szCs w:val="24"/>
        </w:rPr>
      </w:pPr>
      <w:r>
        <w:rPr>
          <w:color w:val="000000"/>
          <w:sz w:val="24"/>
          <w:szCs w:val="24"/>
        </w:rPr>
        <w:t>A Contratada estará sujeita às infrações administrativas em caso de descumprimento das obrigações assumidas A contratada estará sujeita às sanções administrativas previstas na legislação vigente sempre que praticar infrações que comprometam a execução adequada do objeto, o cumprimento das obrigações contratuais ou a regularidade do fornecimento dos medicamentos. Constituem infrações, entre outras, o fornecimento de produtos em desacordo com as especificações contratadas, a entrega de medicamentos com validade inferior à permitida, a inobservância dos prazos estabelecidos, a apresentação de documentação irregular, a recusa injustificada em substituir itens considerados inadequados pela Administração, a prática de sobrepreço em relação ao desconto contratado sobre a Tabela CMED/ANVISA, bem como qualquer conduta que prejudique a continuidade do tratamento dos pacientes ou o atendimento de decisões judiciais.</w:t>
      </w:r>
    </w:p>
    <w:p w14:paraId="79EDA31C">
      <w:pPr>
        <w:spacing w:before="240" w:after="240"/>
        <w:jc w:val="both"/>
        <w:rPr>
          <w:color w:val="000000"/>
          <w:sz w:val="24"/>
          <w:szCs w:val="24"/>
        </w:rPr>
      </w:pPr>
      <w:r>
        <w:rPr>
          <w:color w:val="000000"/>
          <w:sz w:val="24"/>
          <w:szCs w:val="24"/>
        </w:rPr>
        <w:t>O descumprimento das obrigações poderá acarretar a aplicação das sanções previstas na Lei nº 14.133/2021, que incluem advertência, multa, impedimento de licitar e contratar, e declaração de inidoneidade, conforme gravidade da infração e reincidência. A advertência será aplicada nos casos de infrações de menor impacto, caracterizadas por irregularidades formais ou operacionais que não comprometam gravemente a execução contratual. A multa poderá ser aplicada de forma isolada ou cumulativa com outras penalidades, alcançando hipóteses de atraso injustificado na entrega, fornecimento de produtos inadequados ou descumprimento de determinações administrativas, observando-se os percentuais definidos no contrato ou na legislação.</w:t>
      </w:r>
    </w:p>
    <w:p w14:paraId="2C9764BB">
      <w:pPr>
        <w:spacing w:before="240" w:after="240"/>
        <w:jc w:val="both"/>
        <w:rPr>
          <w:color w:val="000000"/>
          <w:sz w:val="24"/>
          <w:szCs w:val="24"/>
        </w:rPr>
      </w:pPr>
      <w:r>
        <w:rPr>
          <w:color w:val="000000"/>
          <w:sz w:val="24"/>
          <w:szCs w:val="24"/>
        </w:rPr>
        <w:t>Nos casos de infrações graves que comprometam a execução do objeto, causem prejuízo ao erário, afetem a integridade do tratamento dos pacientes ou configurem recusa reiterada de cumprimento das obrigações, poderá ser aplicada a penalidade de impedimento de licitar e contratar com a Administração Pública por até três anos. Em situações de maior gravidade, como práticas fraudulentas, atentatórias à probidade administrativa ou que causem dano relevante ao interesse público, poderá ser aplicada a declaração de inidoneidade, com efeitos em toda a Administração Pública enquanto persistirem os motivos determinantes.</w:t>
      </w:r>
    </w:p>
    <w:p w14:paraId="470021A4">
      <w:pPr>
        <w:spacing w:before="240" w:after="240"/>
        <w:jc w:val="both"/>
        <w:rPr>
          <w:color w:val="000000"/>
          <w:sz w:val="24"/>
          <w:szCs w:val="24"/>
        </w:rPr>
      </w:pPr>
      <w:r>
        <w:rPr>
          <w:color w:val="000000"/>
          <w:sz w:val="24"/>
          <w:szCs w:val="24"/>
        </w:rPr>
        <w:t>A aplicação das sanções observará o contraditório e a ampla defesa, mediante prévia notificação da contratada para apresentação de justificativas no prazo fixado pela Administração. As penalidades aplicadas não excluem a obrigação de reparação integral dos danos causados, nem impedem a adoção de medidas administrativas adicionais, como glosas, cancelamento de empenho, rescisão contratual ou acionamento das garantias quando existentes. A reincidência em infrações poderá ensejar agravamento das penalidades e registro de desempenho insatisfatório nos cadastros competentes.</w:t>
      </w:r>
    </w:p>
    <w:p w14:paraId="6B1763E5">
      <w:pPr>
        <w:rPr>
          <w:color w:val="000000"/>
        </w:rPr>
      </w:pPr>
    </w:p>
    <w:p w14:paraId="7B6047CA">
      <w:pPr>
        <w:jc w:val="both"/>
        <w:rPr>
          <w:b/>
          <w:bCs/>
          <w:color w:val="000000"/>
          <w:sz w:val="22"/>
          <w:szCs w:val="22"/>
          <w:u w:val="single"/>
        </w:rPr>
      </w:pPr>
      <w:r>
        <w:rPr>
          <w:b/>
          <w:bCs/>
          <w:color w:val="000000"/>
          <w:sz w:val="22"/>
          <w:szCs w:val="22"/>
          <w:u w:val="single"/>
        </w:rPr>
        <w:t>11 – VALOR ESTIMADO DA CONTRATAÇÃO</w:t>
      </w:r>
    </w:p>
    <w:p w14:paraId="37AF1D79">
      <w:pPr>
        <w:jc w:val="both"/>
        <w:rPr>
          <w:b/>
          <w:bCs/>
          <w:color w:val="000000"/>
          <w:sz w:val="22"/>
          <w:szCs w:val="22"/>
          <w:u w:val="single"/>
        </w:rPr>
      </w:pPr>
    </w:p>
    <w:p w14:paraId="540A85FE">
      <w:pPr>
        <w:widowControl w:val="0"/>
        <w:rPr>
          <w:rFonts w:ascii="Arial" w:hAnsi="Arial" w:eastAsia="Arial" w:cs="Arial"/>
          <w:color w:val="000000"/>
          <w:sz w:val="22"/>
          <w:szCs w:val="22"/>
        </w:rPr>
      </w:pPr>
    </w:p>
    <w:sdt>
      <w:sdtPr>
        <w:tag w:val="goog_rdk_0"/>
        <w:id w:val="755734614"/>
        <w:lock w:val="contentLocked"/>
      </w:sdtPr>
      <w:sdtContent>
        <w:tbl>
          <w:tblPr>
            <w:tblStyle w:val="10"/>
            <w:tblW w:w="104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5"/>
            <w:gridCol w:w="2595"/>
            <w:gridCol w:w="1020"/>
            <w:gridCol w:w="1335"/>
            <w:gridCol w:w="2355"/>
            <w:gridCol w:w="2460"/>
          </w:tblGrid>
          <w:tr w14:paraId="2F095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705" w:type="dxa"/>
              </w:tcPr>
              <w:p w14:paraId="32C355B7">
                <w:pPr>
                  <w:widowControl w:val="0"/>
                  <w:rPr>
                    <w:b/>
                    <w:bCs/>
                    <w:color w:val="000000"/>
                  </w:rPr>
                </w:pPr>
                <w:r>
                  <w:rPr>
                    <w:b/>
                    <w:bCs/>
                    <w:color w:val="000000"/>
                  </w:rPr>
                  <w:t>Item</w:t>
                </w:r>
              </w:p>
            </w:tc>
            <w:tc>
              <w:tcPr>
                <w:tcW w:w="2595" w:type="dxa"/>
              </w:tcPr>
              <w:p w14:paraId="0ABC0B4D">
                <w:pPr>
                  <w:widowControl w:val="0"/>
                  <w:rPr>
                    <w:b/>
                    <w:bCs/>
                    <w:color w:val="000000"/>
                  </w:rPr>
                </w:pPr>
                <w:r>
                  <w:rPr>
                    <w:b/>
                    <w:bCs/>
                    <w:color w:val="000000"/>
                  </w:rPr>
                  <w:t>Descrição/Especificação</w:t>
                </w:r>
              </w:p>
            </w:tc>
            <w:tc>
              <w:tcPr>
                <w:tcW w:w="1020" w:type="dxa"/>
              </w:tcPr>
              <w:p w14:paraId="6B0A36D4">
                <w:pPr>
                  <w:widowControl w:val="0"/>
                  <w:rPr>
                    <w:b/>
                    <w:bCs/>
                    <w:color w:val="000000"/>
                  </w:rPr>
                </w:pPr>
                <w:r>
                  <w:rPr>
                    <w:b/>
                    <w:bCs/>
                    <w:color w:val="000000"/>
                  </w:rPr>
                  <w:t>Unidade</w:t>
                </w:r>
              </w:p>
            </w:tc>
            <w:tc>
              <w:tcPr>
                <w:tcW w:w="1335" w:type="dxa"/>
              </w:tcPr>
              <w:p w14:paraId="01E64327">
                <w:pPr>
                  <w:widowControl w:val="0"/>
                  <w:rPr>
                    <w:b/>
                    <w:bCs/>
                    <w:color w:val="000000"/>
                  </w:rPr>
                </w:pPr>
                <w:r>
                  <w:rPr>
                    <w:b/>
                    <w:bCs/>
                    <w:color w:val="000000"/>
                  </w:rPr>
                  <w:t>Quantidade</w:t>
                </w:r>
              </w:p>
            </w:tc>
            <w:tc>
              <w:tcPr>
                <w:tcW w:w="2355" w:type="dxa"/>
              </w:tcPr>
              <w:p w14:paraId="79AAE470">
                <w:pPr>
                  <w:widowControl w:val="0"/>
                  <w:rPr>
                    <w:b/>
                    <w:bCs/>
                    <w:color w:val="000000"/>
                  </w:rPr>
                </w:pPr>
                <w:r>
                  <w:rPr>
                    <w:b/>
                    <w:bCs/>
                    <w:color w:val="000000"/>
                  </w:rPr>
                  <w:t>Percentual de desconto estimado</w:t>
                </w:r>
              </w:p>
            </w:tc>
            <w:tc>
              <w:tcPr>
                <w:tcW w:w="2460" w:type="dxa"/>
              </w:tcPr>
              <w:p w14:paraId="2C0AA283">
                <w:pPr>
                  <w:widowControl w:val="0"/>
                  <w:rPr>
                    <w:b/>
                    <w:bCs/>
                    <w:color w:val="000000"/>
                  </w:rPr>
                </w:pPr>
                <w:r>
                  <w:rPr>
                    <w:b/>
                    <w:bCs/>
                    <w:color w:val="000000"/>
                  </w:rPr>
                  <w:t>Valor estimado da Contratação</w:t>
                </w:r>
              </w:p>
            </w:tc>
          </w:tr>
          <w:tr w14:paraId="2E6F2F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05" w:type="dxa"/>
              </w:tcPr>
              <w:p w14:paraId="14306DDC">
                <w:pPr>
                  <w:widowControl w:val="0"/>
                  <w:rPr>
                    <w:color w:val="000000"/>
                    <w:sz w:val="18"/>
                    <w:szCs w:val="18"/>
                  </w:rPr>
                </w:pPr>
                <w:r>
                  <w:rPr>
                    <w:color w:val="000000"/>
                    <w:sz w:val="18"/>
                    <w:szCs w:val="18"/>
                  </w:rPr>
                  <w:t>1</w:t>
                </w:r>
              </w:p>
            </w:tc>
            <w:tc>
              <w:tcPr>
                <w:tcW w:w="2595" w:type="dxa"/>
              </w:tcPr>
              <w:p w14:paraId="20F35196">
                <w:pPr>
                  <w:widowControl w:val="0"/>
                  <w:rPr>
                    <w:color w:val="000000"/>
                    <w:sz w:val="18"/>
                    <w:szCs w:val="18"/>
                  </w:rPr>
                </w:pPr>
                <w:r>
                  <w:rPr>
                    <w:color w:val="000000"/>
                    <w:sz w:val="18"/>
                    <w:szCs w:val="18"/>
                  </w:rPr>
                  <w:t>Medicamentos de A a Z, ÉTICOS</w:t>
                </w:r>
              </w:p>
            </w:tc>
            <w:tc>
              <w:tcPr>
                <w:tcW w:w="1020" w:type="dxa"/>
              </w:tcPr>
              <w:p w14:paraId="318DB7F7">
                <w:pPr>
                  <w:widowControl w:val="0"/>
                  <w:jc w:val="center"/>
                  <w:rPr>
                    <w:color w:val="000000"/>
                    <w:sz w:val="18"/>
                    <w:szCs w:val="18"/>
                  </w:rPr>
                </w:pPr>
                <w:r>
                  <w:rPr>
                    <w:color w:val="000000"/>
                    <w:sz w:val="18"/>
                    <w:szCs w:val="18"/>
                  </w:rPr>
                  <w:t>Não aplicável</w:t>
                </w:r>
              </w:p>
            </w:tc>
            <w:tc>
              <w:tcPr>
                <w:tcW w:w="1335" w:type="dxa"/>
              </w:tcPr>
              <w:p w14:paraId="24D75BB8">
                <w:pPr>
                  <w:widowControl w:val="0"/>
                  <w:jc w:val="center"/>
                  <w:rPr>
                    <w:color w:val="000000"/>
                    <w:sz w:val="18"/>
                    <w:szCs w:val="18"/>
                  </w:rPr>
                </w:pPr>
                <w:r>
                  <w:rPr>
                    <w:color w:val="000000"/>
                    <w:sz w:val="18"/>
                    <w:szCs w:val="18"/>
                  </w:rPr>
                  <w:t>Não aplicável</w:t>
                </w:r>
              </w:p>
            </w:tc>
            <w:tc>
              <w:tcPr>
                <w:tcW w:w="2355" w:type="dxa"/>
              </w:tcPr>
              <w:p w14:paraId="74E66547">
                <w:pPr>
                  <w:widowControl w:val="0"/>
                  <w:jc w:val="center"/>
                  <w:rPr>
                    <w:color w:val="000000"/>
                    <w:sz w:val="18"/>
                    <w:szCs w:val="18"/>
                  </w:rPr>
                </w:pPr>
                <w:r>
                  <w:rPr>
                    <w:color w:val="000000"/>
                    <w:sz w:val="18"/>
                    <w:szCs w:val="18"/>
                  </w:rPr>
                  <w:t>6%</w:t>
                </w:r>
              </w:p>
            </w:tc>
            <w:tc>
              <w:tcPr>
                <w:tcW w:w="2460" w:type="dxa"/>
              </w:tcPr>
              <w:p w14:paraId="45C840EA">
                <w:pPr>
                  <w:widowControl w:val="0"/>
                  <w:jc w:val="center"/>
                  <w:rPr>
                    <w:color w:val="000000"/>
                    <w:sz w:val="18"/>
                    <w:szCs w:val="18"/>
                  </w:rPr>
                </w:pPr>
                <w:r>
                  <w:rPr>
                    <w:color w:val="000000"/>
                    <w:sz w:val="18"/>
                    <w:szCs w:val="18"/>
                  </w:rPr>
                  <w:t>R$1.500.000,00</w:t>
                </w:r>
              </w:p>
            </w:tc>
          </w:tr>
          <w:tr w14:paraId="16D65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05" w:type="dxa"/>
              </w:tcPr>
              <w:p w14:paraId="7A6C9142">
                <w:pPr>
                  <w:widowControl w:val="0"/>
                  <w:rPr>
                    <w:color w:val="000000"/>
                    <w:sz w:val="18"/>
                    <w:szCs w:val="18"/>
                  </w:rPr>
                </w:pPr>
                <w:r>
                  <w:rPr>
                    <w:color w:val="000000"/>
                    <w:sz w:val="18"/>
                    <w:szCs w:val="18"/>
                  </w:rPr>
                  <w:t>2</w:t>
                </w:r>
              </w:p>
            </w:tc>
            <w:tc>
              <w:tcPr>
                <w:tcW w:w="2595" w:type="dxa"/>
              </w:tcPr>
              <w:p w14:paraId="320D9022">
                <w:pPr>
                  <w:widowControl w:val="0"/>
                  <w:rPr>
                    <w:color w:val="000000"/>
                    <w:sz w:val="18"/>
                    <w:szCs w:val="18"/>
                  </w:rPr>
                </w:pPr>
                <w:r>
                  <w:rPr>
                    <w:color w:val="000000"/>
                    <w:sz w:val="18"/>
                    <w:szCs w:val="18"/>
                  </w:rPr>
                  <w:t>Medicamentos de A a Z, SIMILARES</w:t>
                </w:r>
              </w:p>
            </w:tc>
            <w:tc>
              <w:tcPr>
                <w:tcW w:w="1020" w:type="dxa"/>
              </w:tcPr>
              <w:p w14:paraId="4D5F2545">
                <w:pPr>
                  <w:widowControl w:val="0"/>
                  <w:jc w:val="center"/>
                  <w:rPr>
                    <w:color w:val="000000"/>
                    <w:sz w:val="18"/>
                    <w:szCs w:val="18"/>
                  </w:rPr>
                </w:pPr>
                <w:r>
                  <w:rPr>
                    <w:color w:val="000000"/>
                    <w:sz w:val="18"/>
                    <w:szCs w:val="18"/>
                  </w:rPr>
                  <w:t>Não aplicável</w:t>
                </w:r>
              </w:p>
            </w:tc>
            <w:tc>
              <w:tcPr>
                <w:tcW w:w="1335" w:type="dxa"/>
              </w:tcPr>
              <w:p w14:paraId="56259564">
                <w:pPr>
                  <w:widowControl w:val="0"/>
                  <w:jc w:val="center"/>
                  <w:rPr>
                    <w:color w:val="000000"/>
                    <w:sz w:val="18"/>
                    <w:szCs w:val="18"/>
                  </w:rPr>
                </w:pPr>
                <w:r>
                  <w:rPr>
                    <w:color w:val="000000"/>
                    <w:sz w:val="18"/>
                    <w:szCs w:val="18"/>
                  </w:rPr>
                  <w:t>Não aplicável</w:t>
                </w:r>
              </w:p>
            </w:tc>
            <w:tc>
              <w:tcPr>
                <w:tcW w:w="2355" w:type="dxa"/>
              </w:tcPr>
              <w:p w14:paraId="7AE1088C">
                <w:pPr>
                  <w:widowControl w:val="0"/>
                  <w:jc w:val="center"/>
                  <w:rPr>
                    <w:color w:val="000000"/>
                    <w:sz w:val="18"/>
                    <w:szCs w:val="18"/>
                  </w:rPr>
                </w:pPr>
                <w:r>
                  <w:rPr>
                    <w:color w:val="000000"/>
                    <w:sz w:val="18"/>
                    <w:szCs w:val="18"/>
                  </w:rPr>
                  <w:t>18%</w:t>
                </w:r>
              </w:p>
            </w:tc>
            <w:tc>
              <w:tcPr>
                <w:tcW w:w="2460" w:type="dxa"/>
              </w:tcPr>
              <w:p w14:paraId="2611E04B">
                <w:pPr>
                  <w:widowControl w:val="0"/>
                  <w:jc w:val="center"/>
                  <w:rPr>
                    <w:color w:val="000000"/>
                    <w:sz w:val="18"/>
                    <w:szCs w:val="18"/>
                  </w:rPr>
                </w:pPr>
                <w:r>
                  <w:rPr>
                    <w:color w:val="000000"/>
                    <w:sz w:val="18"/>
                    <w:szCs w:val="18"/>
                  </w:rPr>
                  <w:t>R$1.500.000,00</w:t>
                </w:r>
              </w:p>
            </w:tc>
          </w:tr>
          <w:tr w14:paraId="68223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05" w:type="dxa"/>
              </w:tcPr>
              <w:p w14:paraId="374B1639">
                <w:pPr>
                  <w:widowControl w:val="0"/>
                  <w:rPr>
                    <w:color w:val="000000"/>
                    <w:sz w:val="18"/>
                    <w:szCs w:val="18"/>
                  </w:rPr>
                </w:pPr>
                <w:r>
                  <w:rPr>
                    <w:color w:val="000000"/>
                    <w:sz w:val="18"/>
                    <w:szCs w:val="18"/>
                  </w:rPr>
                  <w:t>3</w:t>
                </w:r>
              </w:p>
            </w:tc>
            <w:tc>
              <w:tcPr>
                <w:tcW w:w="2595" w:type="dxa"/>
              </w:tcPr>
              <w:p w14:paraId="56A06731">
                <w:pPr>
                  <w:widowControl w:val="0"/>
                  <w:rPr>
                    <w:color w:val="000000"/>
                    <w:sz w:val="18"/>
                    <w:szCs w:val="18"/>
                  </w:rPr>
                </w:pPr>
                <w:r>
                  <w:rPr>
                    <w:color w:val="000000"/>
                    <w:sz w:val="18"/>
                    <w:szCs w:val="18"/>
                  </w:rPr>
                  <w:t>Medicamentos de A a Z, GENÉRICOS</w:t>
                </w:r>
              </w:p>
            </w:tc>
            <w:tc>
              <w:tcPr>
                <w:tcW w:w="1020" w:type="dxa"/>
              </w:tcPr>
              <w:p w14:paraId="62A39E83">
                <w:pPr>
                  <w:widowControl w:val="0"/>
                  <w:jc w:val="center"/>
                  <w:rPr>
                    <w:color w:val="000000"/>
                    <w:sz w:val="18"/>
                    <w:szCs w:val="18"/>
                  </w:rPr>
                </w:pPr>
                <w:r>
                  <w:rPr>
                    <w:color w:val="000000"/>
                    <w:sz w:val="18"/>
                    <w:szCs w:val="18"/>
                  </w:rPr>
                  <w:t>Não aplicável</w:t>
                </w:r>
              </w:p>
            </w:tc>
            <w:tc>
              <w:tcPr>
                <w:tcW w:w="1335" w:type="dxa"/>
              </w:tcPr>
              <w:p w14:paraId="3A04EE04">
                <w:pPr>
                  <w:widowControl w:val="0"/>
                  <w:jc w:val="center"/>
                  <w:rPr>
                    <w:color w:val="000000"/>
                    <w:sz w:val="18"/>
                    <w:szCs w:val="18"/>
                  </w:rPr>
                </w:pPr>
                <w:r>
                  <w:rPr>
                    <w:color w:val="000000"/>
                    <w:sz w:val="18"/>
                    <w:szCs w:val="18"/>
                  </w:rPr>
                  <w:t>Não aplicável</w:t>
                </w:r>
              </w:p>
            </w:tc>
            <w:tc>
              <w:tcPr>
                <w:tcW w:w="2355" w:type="dxa"/>
              </w:tcPr>
              <w:p w14:paraId="6A2BF4E7">
                <w:pPr>
                  <w:widowControl w:val="0"/>
                  <w:jc w:val="center"/>
                  <w:rPr>
                    <w:color w:val="000000"/>
                    <w:sz w:val="18"/>
                    <w:szCs w:val="18"/>
                  </w:rPr>
                </w:pPr>
                <w:r>
                  <w:rPr>
                    <w:color w:val="000000"/>
                    <w:sz w:val="18"/>
                    <w:szCs w:val="18"/>
                  </w:rPr>
                  <w:t>17,50%</w:t>
                </w:r>
              </w:p>
            </w:tc>
            <w:tc>
              <w:tcPr>
                <w:tcW w:w="2460" w:type="dxa"/>
              </w:tcPr>
              <w:p w14:paraId="335F3FE0">
                <w:pPr>
                  <w:widowControl w:val="0"/>
                  <w:jc w:val="center"/>
                  <w:rPr>
                    <w:color w:val="000000"/>
                    <w:sz w:val="18"/>
                    <w:szCs w:val="18"/>
                  </w:rPr>
                </w:pPr>
                <w:r>
                  <w:rPr>
                    <w:color w:val="000000"/>
                    <w:sz w:val="18"/>
                    <w:szCs w:val="18"/>
                  </w:rPr>
                  <w:t>R$1.500.000,00</w:t>
                </w:r>
              </w:p>
            </w:tc>
          </w:tr>
        </w:tbl>
      </w:sdtContent>
    </w:sdt>
    <w:p w14:paraId="0350F17F">
      <w:pPr>
        <w:rPr>
          <w:color w:val="000000"/>
        </w:rPr>
      </w:pPr>
    </w:p>
    <w:p w14:paraId="534D581F">
      <w:pPr>
        <w:jc w:val="both"/>
        <w:rPr>
          <w:color w:val="000000"/>
          <w:sz w:val="24"/>
          <w:szCs w:val="24"/>
        </w:rPr>
      </w:pPr>
      <w:r>
        <w:rPr>
          <w:color w:val="000000"/>
          <w:sz w:val="24"/>
          <w:szCs w:val="24"/>
        </w:rPr>
        <w:t>11.1 - R$4.500.000,00 (quatro milhões e quinhentos mil reais).</w:t>
      </w:r>
    </w:p>
    <w:p w14:paraId="593A85F0">
      <w:pPr>
        <w:spacing w:after="240"/>
        <w:rPr>
          <w:color w:val="000000"/>
          <w:sz w:val="24"/>
          <w:szCs w:val="24"/>
        </w:rPr>
      </w:pPr>
      <w:r>
        <w:rPr>
          <w:color w:val="000000"/>
          <w:sz w:val="24"/>
          <w:szCs w:val="24"/>
        </w:rPr>
        <w:br w:type="textWrapping"/>
      </w:r>
      <w:r>
        <w:rPr>
          <w:color w:val="000000"/>
          <w:sz w:val="24"/>
          <w:szCs w:val="24"/>
        </w:rPr>
        <w:t>Valença, 23 de março de 2026.</w:t>
      </w:r>
    </w:p>
    <w:p w14:paraId="35312F84">
      <w:pPr>
        <w:jc w:val="both"/>
        <w:rPr>
          <w:color w:val="000000"/>
        </w:rPr>
      </w:pPr>
    </w:p>
    <w:p w14:paraId="3AF8A0F0">
      <w:pPr>
        <w:spacing w:after="200" w:line="276" w:lineRule="auto"/>
        <w:rPr>
          <w:color w:val="000000"/>
        </w:rPr>
      </w:pPr>
    </w:p>
    <w:p w14:paraId="6F42E3B0">
      <w:pPr>
        <w:spacing w:after="120" w:line="276" w:lineRule="auto"/>
        <w:jc w:val="center"/>
        <w:rPr>
          <w:rFonts w:ascii="Arial" w:hAnsi="Arial" w:eastAsia="Arial" w:cs="Arial"/>
          <w:color w:val="000000"/>
          <w:sz w:val="24"/>
          <w:szCs w:val="24"/>
        </w:rPr>
      </w:pPr>
      <w:r>
        <w:rPr>
          <w:rFonts w:ascii="Arial" w:hAnsi="Arial" w:eastAsia="Arial" w:cs="Arial"/>
          <w:color w:val="000000"/>
          <w:sz w:val="24"/>
          <w:szCs w:val="24"/>
        </w:rPr>
        <w:t>_____________________________________________________</w:t>
      </w:r>
    </w:p>
    <w:p w14:paraId="7425C23B">
      <w:pPr>
        <w:widowControl w:val="0"/>
        <w:jc w:val="center"/>
        <w:rPr>
          <w:color w:val="000000"/>
          <w:sz w:val="24"/>
          <w:szCs w:val="24"/>
        </w:rPr>
      </w:pPr>
      <w:r>
        <w:rPr>
          <w:color w:val="000000"/>
          <w:sz w:val="24"/>
          <w:szCs w:val="24"/>
        </w:rPr>
        <w:t>Eduardo Eiji Rodrigues Okabayashi</w:t>
      </w:r>
    </w:p>
    <w:p w14:paraId="679955D4">
      <w:pPr>
        <w:jc w:val="center"/>
        <w:rPr>
          <w:color w:val="000000"/>
          <w:sz w:val="24"/>
          <w:szCs w:val="24"/>
        </w:rPr>
      </w:pPr>
      <w:r>
        <w:rPr>
          <w:color w:val="000000"/>
          <w:sz w:val="24"/>
          <w:szCs w:val="24"/>
        </w:rPr>
        <w:t>Coordenador do Almoxarifado da Saúde</w:t>
      </w:r>
    </w:p>
    <w:p w14:paraId="4507CBFC">
      <w:pPr>
        <w:jc w:val="center"/>
        <w:rPr>
          <w:sz w:val="24"/>
          <w:szCs w:val="24"/>
        </w:rPr>
      </w:pPr>
      <w:r>
        <w:rPr>
          <w:color w:val="000000"/>
          <w:sz w:val="24"/>
          <w:szCs w:val="24"/>
        </w:rPr>
        <w:t>Matrícula - 211.930</w:t>
      </w:r>
    </w:p>
    <w:p w14:paraId="195F873F">
      <w:pPr>
        <w:spacing w:before="288" w:beforeLines="120" w:after="288" w:afterLines="120" w:line="288" w:lineRule="auto"/>
        <w:ind w:left="284"/>
        <w:contextualSpacing/>
        <w:jc w:val="center"/>
        <w:rPr>
          <w:rFonts w:eastAsia="MS Mincho"/>
          <w:b/>
          <w:sz w:val="24"/>
          <w:szCs w:val="24"/>
        </w:rPr>
      </w:pPr>
    </w:p>
    <w:p w14:paraId="5835ED38">
      <w:pPr>
        <w:spacing w:before="288" w:beforeLines="120" w:after="288" w:afterLines="120" w:line="288" w:lineRule="auto"/>
        <w:ind w:left="284"/>
        <w:contextualSpacing/>
        <w:jc w:val="center"/>
        <w:rPr>
          <w:rFonts w:eastAsia="MS Mincho"/>
          <w:b/>
          <w:sz w:val="24"/>
          <w:szCs w:val="24"/>
        </w:rPr>
      </w:pPr>
    </w:p>
    <w:p w14:paraId="21E3FFA2">
      <w:pPr>
        <w:spacing w:before="288" w:beforeLines="120" w:after="288" w:afterLines="120" w:line="288" w:lineRule="auto"/>
        <w:ind w:left="284"/>
        <w:contextualSpacing/>
        <w:jc w:val="center"/>
        <w:rPr>
          <w:rFonts w:eastAsia="MS Mincho"/>
          <w:b/>
          <w:sz w:val="24"/>
          <w:szCs w:val="24"/>
        </w:rPr>
      </w:pPr>
    </w:p>
    <w:p w14:paraId="1CF19588">
      <w:pPr>
        <w:spacing w:before="288" w:beforeLines="120" w:after="288" w:afterLines="120" w:line="288" w:lineRule="auto"/>
        <w:ind w:left="284"/>
        <w:contextualSpacing/>
        <w:jc w:val="center"/>
        <w:rPr>
          <w:rFonts w:eastAsia="MS Mincho"/>
          <w:b/>
          <w:sz w:val="24"/>
          <w:szCs w:val="24"/>
        </w:rPr>
      </w:pP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4308E379">
      <w:pPr>
        <w:ind w:left="284"/>
        <w:jc w:val="center"/>
        <w:rPr>
          <w:b/>
          <w:sz w:val="24"/>
          <w:szCs w:val="24"/>
          <w:u w:val="single"/>
        </w:rPr>
      </w:pPr>
    </w:p>
    <w:p w14:paraId="470B72CC">
      <w:pPr>
        <w:ind w:left="284"/>
        <w:jc w:val="center"/>
        <w:rPr>
          <w:b/>
          <w:sz w:val="24"/>
          <w:szCs w:val="24"/>
          <w:u w:val="single"/>
        </w:rPr>
      </w:pPr>
    </w:p>
    <w:p w14:paraId="56F0EA04">
      <w:pPr>
        <w:spacing w:before="288" w:beforeLines="120" w:after="288" w:afterLines="120" w:line="288" w:lineRule="auto"/>
        <w:contextualSpacing/>
        <w:rPr>
          <w:sz w:val="16"/>
          <w:szCs w:val="16"/>
        </w:rPr>
      </w:pPr>
    </w:p>
    <w:p w14:paraId="7432C3FE">
      <w:pPr>
        <w:spacing w:before="288" w:beforeLines="120" w:after="288" w:afterLines="120" w:line="288" w:lineRule="auto"/>
        <w:contextualSpacing/>
        <w:rPr>
          <w:sz w:val="16"/>
          <w:szCs w:val="16"/>
        </w:rPr>
      </w:pPr>
    </w:p>
    <w:p w14:paraId="0DEE7333">
      <w:pPr>
        <w:widowControl w:val="0"/>
        <w:jc w:val="both"/>
        <w:rPr>
          <w:b/>
          <w:bCs/>
          <w:color w:val="000000"/>
          <w:sz w:val="24"/>
          <w:szCs w:val="24"/>
        </w:rPr>
      </w:pPr>
      <w:r>
        <w:rPr>
          <w:b/>
          <w:bCs/>
          <w:color w:val="000000"/>
          <w:sz w:val="24"/>
          <w:szCs w:val="24"/>
        </w:rPr>
        <w:t>INTRODUÇÃO</w:t>
      </w:r>
    </w:p>
    <w:p w14:paraId="0FC62D05">
      <w:pPr>
        <w:widowControl w:val="0"/>
        <w:jc w:val="both"/>
        <w:rPr>
          <w:color w:val="000000"/>
          <w:sz w:val="24"/>
          <w:szCs w:val="24"/>
          <w:highlight w:val="white"/>
        </w:rPr>
      </w:pPr>
    </w:p>
    <w:p w14:paraId="40B9C2DA">
      <w:pPr>
        <w:widowControl w:val="0"/>
        <w:jc w:val="both"/>
        <w:rPr>
          <w:color w:val="000000"/>
          <w:sz w:val="24"/>
          <w:szCs w:val="24"/>
          <w:highlight w:val="white"/>
        </w:rPr>
      </w:pPr>
      <w:r>
        <w:rPr>
          <w:color w:val="000000"/>
          <w:sz w:val="24"/>
          <w:szCs w:val="24"/>
          <w:highlight w:val="white"/>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3174FB37">
      <w:pPr>
        <w:widowControl w:val="0"/>
        <w:jc w:val="both"/>
        <w:rPr>
          <w:color w:val="000000"/>
          <w:sz w:val="24"/>
          <w:szCs w:val="24"/>
          <w:highlight w:val="white"/>
        </w:rPr>
      </w:pPr>
    </w:p>
    <w:p w14:paraId="6FD63489">
      <w:pPr>
        <w:widowControl w:val="0"/>
        <w:jc w:val="both"/>
        <w:rPr>
          <w:color w:val="000000"/>
          <w:sz w:val="24"/>
          <w:szCs w:val="24"/>
          <w:highlight w:val="white"/>
        </w:rPr>
      </w:pPr>
      <w:r>
        <w:rPr>
          <w:color w:val="000000"/>
          <w:sz w:val="24"/>
          <w:szCs w:val="24"/>
          <w:highlight w:val="white"/>
        </w:rPr>
        <w:t>O ETP tem por objetivo identificar e analisar os cenários para o atendimento de demanda registrada no</w:t>
      </w:r>
      <w:r>
        <w:rPr>
          <w:color w:val="000000"/>
          <w:sz w:val="24"/>
          <w:szCs w:val="24"/>
        </w:rPr>
        <w:t xml:space="preserve"> </w:t>
      </w:r>
      <w:r>
        <w:rPr>
          <w:color w:val="000000"/>
          <w:sz w:val="24"/>
          <w:szCs w:val="24"/>
          <w:highlight w:val="white"/>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07AA5785">
      <w:pPr>
        <w:widowControl w:val="0"/>
        <w:jc w:val="both"/>
        <w:rPr>
          <w:color w:val="000000"/>
          <w:sz w:val="24"/>
          <w:szCs w:val="24"/>
          <w:highlight w:val="white"/>
        </w:rPr>
      </w:pPr>
    </w:p>
    <w:p w14:paraId="2CEC4496">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INFORMAÇÕES BÁSICAS</w:t>
      </w:r>
    </w:p>
    <w:p w14:paraId="7F0FFBF7">
      <w:pPr>
        <w:widowControl w:val="0"/>
        <w:rPr>
          <w:color w:val="000000"/>
          <w:sz w:val="24"/>
          <w:szCs w:val="24"/>
        </w:rPr>
      </w:pPr>
      <w:r>
        <w:rPr>
          <w:b/>
          <w:bCs/>
          <w:color w:val="000000"/>
          <w:sz w:val="24"/>
          <w:szCs w:val="24"/>
        </w:rPr>
        <w:t>Processo Administrativo nº</w:t>
      </w:r>
      <w:r>
        <w:rPr>
          <w:color w:val="000000"/>
          <w:sz w:val="24"/>
          <w:szCs w:val="24"/>
        </w:rPr>
        <w:t xml:space="preserve">: </w:t>
      </w:r>
      <w:r>
        <w:rPr>
          <w:color w:val="000000"/>
          <w:sz w:val="24"/>
          <w:szCs w:val="24"/>
          <w:highlight w:val="white"/>
        </w:rPr>
        <w:t>VLC-020508/000572/2026</w:t>
      </w:r>
    </w:p>
    <w:p w14:paraId="23422BE4">
      <w:pPr>
        <w:widowControl w:val="0"/>
        <w:rPr>
          <w:color w:val="000000"/>
          <w:sz w:val="24"/>
          <w:szCs w:val="24"/>
        </w:rPr>
      </w:pPr>
    </w:p>
    <w:p w14:paraId="3C9A98BA">
      <w:pPr>
        <w:widowControl w:val="0"/>
        <w:rPr>
          <w:b/>
          <w:bCs/>
          <w:color w:val="000000"/>
          <w:sz w:val="24"/>
          <w:szCs w:val="24"/>
        </w:rPr>
      </w:pPr>
      <w:r>
        <w:rPr>
          <w:b/>
          <w:bCs/>
          <w:color w:val="000000"/>
          <w:sz w:val="24"/>
          <w:szCs w:val="24"/>
        </w:rPr>
        <w:t>Objeto</w:t>
      </w:r>
      <w:r>
        <w:rPr>
          <w:color w:val="000000"/>
          <w:sz w:val="24"/>
          <w:szCs w:val="24"/>
        </w:rPr>
        <w:t xml:space="preserve">: A contratação visa o registro de preço para eventual e futura aquisição de medicamentos de A a Z, </w:t>
      </w:r>
      <w:r>
        <w:rPr>
          <w:rFonts w:eastAsia="Arial"/>
          <w:color w:val="000000"/>
          <w:sz w:val="24"/>
          <w:szCs w:val="24"/>
        </w:rPr>
        <w:t>ÉTICOS, SIMILARES e GENÉRICOS</w:t>
      </w:r>
      <w:r>
        <w:rPr>
          <w:color w:val="000000"/>
          <w:sz w:val="24"/>
          <w:szCs w:val="24"/>
        </w:rPr>
        <w:t>, considerando o maior desconto sobre a Tabela de Preços CMED da ANVISA, para atender as demandas dos pacientes assistidos pelo Centro Assistencial e de Mandado.</w:t>
      </w:r>
    </w:p>
    <w:p w14:paraId="11E1FBAD">
      <w:pPr>
        <w:widowControl w:val="0"/>
        <w:rPr>
          <w:color w:val="FF0000"/>
          <w:sz w:val="24"/>
          <w:szCs w:val="24"/>
        </w:rPr>
      </w:pPr>
    </w:p>
    <w:p w14:paraId="2580E91A">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DESCRIÇÃO DA NECESSIDADE</w:t>
      </w:r>
    </w:p>
    <w:p w14:paraId="5D7B4856">
      <w:pPr>
        <w:spacing w:before="240" w:after="240"/>
        <w:jc w:val="both"/>
        <w:rPr>
          <w:color w:val="000000"/>
          <w:sz w:val="24"/>
          <w:szCs w:val="24"/>
        </w:rPr>
      </w:pPr>
      <w:r>
        <w:rPr>
          <w:color w:val="000000"/>
          <w:sz w:val="24"/>
          <w:szCs w:val="24"/>
        </w:rPr>
        <w:t>A presente contratação tem por finalidade atender, de forma contínua e tempestiva, às demandas assistenciais de medicamentos éticos, similares e genéricos destinados aos pacientes vinculados ao Centro Assistencial e de Mandado da Secretaria Municipal de Saúde de Valença. Trata-se de aquisição essencial para garantir a execução de tratamentos prescritos judicialmente, por determinação dos protocolos clínicos vigentes, bem como para assegurar a regularidade e efetividade dos cuidados farmacoterapêuticos prestados.</w:t>
      </w:r>
    </w:p>
    <w:p w14:paraId="5D92E66E">
      <w:pPr>
        <w:spacing w:before="240" w:after="240"/>
        <w:jc w:val="both"/>
        <w:rPr>
          <w:color w:val="000000"/>
          <w:sz w:val="24"/>
          <w:szCs w:val="24"/>
        </w:rPr>
      </w:pPr>
      <w:r>
        <w:rPr>
          <w:color w:val="000000"/>
          <w:sz w:val="24"/>
          <w:szCs w:val="24"/>
        </w:rPr>
        <w:t>Diante da natureza dinâmica e imprevisível das demandas assistenciais decorrentes de ordens judiciais, bem como da necessidade de assegurar resposta imediata nas situações de urgência e continuidade do tratamento medicamentoso, faz-se necessária a formação de registro de preços contemplando medicamentos éticos, similares e genéricos de A a Z, observando o maior desconto ofertado sobre a Tabela de Preços CMED/ANVISA. Esse critério visa assegurar economicidade à Administração, padronização dos valores de aquisição e controle adequado dos custos praticados no mercado farmacêutico.</w:t>
      </w:r>
    </w:p>
    <w:p w14:paraId="679EE5F9">
      <w:pPr>
        <w:spacing w:before="240" w:after="240"/>
        <w:jc w:val="both"/>
        <w:rPr>
          <w:color w:val="000000"/>
          <w:sz w:val="24"/>
          <w:szCs w:val="24"/>
        </w:rPr>
      </w:pPr>
      <w:r>
        <w:rPr>
          <w:color w:val="000000"/>
          <w:sz w:val="24"/>
          <w:szCs w:val="24"/>
        </w:rPr>
        <w:t>A inexistência de um contrato vigente que contemple a ampla gama de medicamentos éticos com preços atualizados pode comprometer o atendimento de pacientes em situação de vulnerabilidade clínica, gerar descontinuidade terapêutica, elevar o risco de judicialização e ocasionar prejuízos à saúde pública. Ademais, a interrupção ou atraso no fornecimento de medicamentos de uso contínuo representa risco sanitário grave, podendo acarretar descompensações clínicas, internações e agravamento do quadro de saúde do paciente.</w:t>
      </w:r>
    </w:p>
    <w:p w14:paraId="55E95D65">
      <w:pPr>
        <w:spacing w:before="240" w:after="240"/>
        <w:jc w:val="both"/>
        <w:rPr>
          <w:color w:val="000000"/>
          <w:sz w:val="24"/>
          <w:szCs w:val="24"/>
        </w:rPr>
      </w:pPr>
      <w:r>
        <w:rPr>
          <w:color w:val="000000"/>
          <w:sz w:val="24"/>
          <w:szCs w:val="24"/>
        </w:rPr>
        <w:t>Portanto, a contratação se revela necessária para: (i) assegurar o abastecimento regular de medicamentos éticos, similares e genéricos; (ii) atender demandas emergenciais e judiciais; (iii) promover a economicidade mediante desconto sobre a Tabela CMED; e (iv) garantir a continuidade do tratamento dos pacientes assistidos, conforme responsabilidade legal e sanitária do Município.</w:t>
      </w:r>
    </w:p>
    <w:p w14:paraId="74B0C0A8">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rPr>
      </w:pPr>
      <w:r>
        <w:rPr>
          <w:b/>
          <w:bCs/>
          <w:color w:val="000000"/>
        </w:rPr>
        <w:t>ÁREA REQUISITANTE</w:t>
      </w:r>
    </w:p>
    <w:sdt>
      <w:sdtPr>
        <w:tag w:val="goog_rdk_0"/>
        <w:id w:val="-1639161642"/>
        <w:lock w:val="contentLocked"/>
      </w:sdtPr>
      <w:sdtContent>
        <w:tbl>
          <w:tblPr>
            <w:tblStyle w:val="10"/>
            <w:tblW w:w="10410" w:type="dxa"/>
            <w:tblInd w:w="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90"/>
            <w:gridCol w:w="3345"/>
            <w:gridCol w:w="3375"/>
          </w:tblGrid>
          <w:tr w14:paraId="788F0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3690" w:type="dxa"/>
              </w:tcPr>
              <w:p w14:paraId="3BDBEC7C">
                <w:pPr>
                  <w:widowControl w:val="0"/>
                  <w:tabs>
                    <w:tab w:val="center" w:pos="4819"/>
                    <w:tab w:val="right" w:pos="9638"/>
                  </w:tabs>
                  <w:jc w:val="center"/>
                  <w:rPr>
                    <w:b/>
                    <w:bCs/>
                    <w:color w:val="000000"/>
                  </w:rPr>
                </w:pPr>
                <w:r>
                  <w:rPr>
                    <w:b/>
                    <w:bCs/>
                    <w:color w:val="000000"/>
                  </w:rPr>
                  <w:t xml:space="preserve">Identificação da Área requisitante </w:t>
                </w:r>
              </w:p>
            </w:tc>
            <w:tc>
              <w:tcPr>
                <w:tcW w:w="3345" w:type="dxa"/>
              </w:tcPr>
              <w:p w14:paraId="7F0C29D5">
                <w:pPr>
                  <w:widowControl w:val="0"/>
                  <w:tabs>
                    <w:tab w:val="center" w:pos="4819"/>
                    <w:tab w:val="right" w:pos="9638"/>
                  </w:tabs>
                  <w:jc w:val="center"/>
                  <w:rPr>
                    <w:b/>
                    <w:bCs/>
                    <w:color w:val="000000"/>
                  </w:rPr>
                </w:pPr>
                <w:r>
                  <w:rPr>
                    <w:b/>
                    <w:bCs/>
                    <w:color w:val="000000"/>
                  </w:rPr>
                  <w:t>Nome do responsável</w:t>
                </w:r>
              </w:p>
            </w:tc>
            <w:tc>
              <w:tcPr>
                <w:tcW w:w="3375" w:type="dxa"/>
              </w:tcPr>
              <w:p w14:paraId="10ADD9F3">
                <w:pPr>
                  <w:widowControl w:val="0"/>
                  <w:tabs>
                    <w:tab w:val="center" w:pos="4819"/>
                    <w:tab w:val="right" w:pos="9638"/>
                  </w:tabs>
                  <w:jc w:val="center"/>
                  <w:rPr>
                    <w:b/>
                    <w:bCs/>
                    <w:color w:val="000000"/>
                  </w:rPr>
                </w:pPr>
                <w:r>
                  <w:rPr>
                    <w:b/>
                    <w:bCs/>
                    <w:color w:val="000000"/>
                  </w:rPr>
                  <w:t>Função</w:t>
                </w:r>
              </w:p>
            </w:tc>
          </w:tr>
          <w:tr w14:paraId="4434F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trPr>
            <w:tc>
              <w:tcPr>
                <w:tcW w:w="3690" w:type="dxa"/>
              </w:tcPr>
              <w:p w14:paraId="21D80732">
                <w:pPr>
                  <w:widowControl w:val="0"/>
                  <w:tabs>
                    <w:tab w:val="center" w:pos="4819"/>
                    <w:tab w:val="right" w:pos="9638"/>
                  </w:tabs>
                  <w:rPr>
                    <w:color w:val="000000"/>
                  </w:rPr>
                </w:pPr>
                <w:r>
                  <w:rPr>
                    <w:color w:val="000000"/>
                  </w:rPr>
                  <w:t>Centro Assistencial e de Mandado</w:t>
                </w:r>
              </w:p>
            </w:tc>
            <w:tc>
              <w:tcPr>
                <w:tcW w:w="3345" w:type="dxa"/>
              </w:tcPr>
              <w:p w14:paraId="7798E001">
                <w:pPr>
                  <w:widowControl w:val="0"/>
                  <w:rPr>
                    <w:color w:val="000000"/>
                    <w:sz w:val="22"/>
                    <w:szCs w:val="22"/>
                  </w:rPr>
                </w:pPr>
                <w:r>
                  <w:rPr>
                    <w:color w:val="000000"/>
                  </w:rPr>
                  <w:t>Eduardo Eiji Rodrigues Okabayashi</w:t>
                </w:r>
              </w:p>
            </w:tc>
            <w:tc>
              <w:tcPr>
                <w:tcW w:w="3375" w:type="dxa"/>
              </w:tcPr>
              <w:p w14:paraId="3ED67435">
                <w:pPr>
                  <w:widowControl w:val="0"/>
                  <w:tabs>
                    <w:tab w:val="center" w:pos="4819"/>
                    <w:tab w:val="right" w:pos="9638"/>
                  </w:tabs>
                  <w:rPr>
                    <w:color w:val="000000"/>
                  </w:rPr>
                </w:pPr>
                <w:r>
                  <w:rPr>
                    <w:color w:val="000000"/>
                  </w:rPr>
                  <w:t>Coordenador do Almoxarifado da Saúde</w:t>
                </w:r>
              </w:p>
            </w:tc>
          </w:tr>
        </w:tbl>
      </w:sdtContent>
    </w:sdt>
    <w:p w14:paraId="3F6EAA40">
      <w:pPr>
        <w:widowControl w:val="0"/>
        <w:tabs>
          <w:tab w:val="left" w:pos="582"/>
          <w:tab w:val="left" w:pos="867"/>
          <w:tab w:val="left" w:pos="1167"/>
          <w:tab w:val="left" w:pos="1422"/>
          <w:tab w:val="left" w:pos="1677"/>
          <w:tab w:val="left" w:pos="1992"/>
          <w:tab w:val="left" w:pos="2247"/>
          <w:tab w:val="left" w:pos="7363"/>
        </w:tabs>
        <w:jc w:val="both"/>
        <w:rPr>
          <w:color w:val="FF3333"/>
        </w:rPr>
      </w:pPr>
    </w:p>
    <w:p w14:paraId="1386368A">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NECESSIDADES DE NEGÓCIO</w:t>
      </w:r>
    </w:p>
    <w:p w14:paraId="1EE70515">
      <w:pPr>
        <w:widowControl w:val="0"/>
        <w:tabs>
          <w:tab w:val="left" w:pos="555"/>
          <w:tab w:val="left" w:pos="840"/>
          <w:tab w:val="left" w:pos="1140"/>
          <w:tab w:val="left" w:pos="1395"/>
          <w:tab w:val="left" w:pos="1650"/>
          <w:tab w:val="left" w:pos="1965"/>
          <w:tab w:val="left" w:pos="2220"/>
          <w:tab w:val="left" w:pos="7336"/>
        </w:tabs>
        <w:spacing w:before="240" w:after="240"/>
        <w:rPr>
          <w:color w:val="000000"/>
          <w:sz w:val="24"/>
          <w:szCs w:val="24"/>
        </w:rPr>
      </w:pPr>
      <w:r>
        <w:rPr>
          <w:color w:val="000000"/>
          <w:sz w:val="24"/>
          <w:szCs w:val="24"/>
        </w:rPr>
        <w:t>A Secretaria Municipal de Saúde de Valença necessita garantir o acesso contínuo, regular e tempestivo a medicamentos éticos para atendimento dos pacientes acompanhados pelo Centro Assistencial e de Mandado, incluindo aqueles amparados por decisões judiciais que determinam o fornecimento imediato e ininterrupto de tratamentos farmacológicos específicos.</w:t>
      </w:r>
    </w:p>
    <w:p w14:paraId="1FBAABE8">
      <w:pPr>
        <w:widowControl w:val="0"/>
        <w:tabs>
          <w:tab w:val="left" w:pos="555"/>
          <w:tab w:val="left" w:pos="840"/>
          <w:tab w:val="left" w:pos="1140"/>
          <w:tab w:val="left" w:pos="1395"/>
          <w:tab w:val="left" w:pos="1650"/>
          <w:tab w:val="left" w:pos="1965"/>
          <w:tab w:val="left" w:pos="2220"/>
          <w:tab w:val="left" w:pos="7336"/>
        </w:tabs>
        <w:spacing w:before="240" w:after="240"/>
        <w:rPr>
          <w:color w:val="000000"/>
          <w:sz w:val="24"/>
          <w:szCs w:val="24"/>
        </w:rPr>
      </w:pPr>
      <w:r>
        <w:rPr>
          <w:color w:val="000000"/>
          <w:sz w:val="24"/>
          <w:szCs w:val="24"/>
        </w:rPr>
        <w:t>O atendimento às decisões judiciais constitui obrigação legal e direta da Administração Pública, sendo imprescindível evitar atrasos, interrupções ou descumprimentos que possam acarretar penalidades, multas, responsabilização dos gestores e agravamento das condições clínicas dos pacientes. Assim, a manutenção de fluxo regular de medicamentos éticos de A a Z é requisito essencial para que a Secretaria cumpra integralmente suas atribuições legais, sanitárias e judiciais.</w:t>
      </w:r>
    </w:p>
    <w:p w14:paraId="57619C60">
      <w:pPr>
        <w:widowControl w:val="0"/>
        <w:tabs>
          <w:tab w:val="left" w:pos="555"/>
          <w:tab w:val="left" w:pos="840"/>
          <w:tab w:val="left" w:pos="1140"/>
          <w:tab w:val="left" w:pos="1395"/>
          <w:tab w:val="left" w:pos="1650"/>
          <w:tab w:val="left" w:pos="1965"/>
          <w:tab w:val="left" w:pos="2220"/>
          <w:tab w:val="left" w:pos="7336"/>
        </w:tabs>
        <w:spacing w:before="240" w:after="240"/>
        <w:rPr>
          <w:color w:val="000000"/>
          <w:sz w:val="24"/>
          <w:szCs w:val="24"/>
        </w:rPr>
      </w:pPr>
      <w:r>
        <w:rPr>
          <w:color w:val="000000"/>
          <w:sz w:val="24"/>
          <w:szCs w:val="24"/>
        </w:rPr>
        <w:t>O negócio principal do Centro é a prestação de assistência farmacêutica integral, eficaz e juridicamente responsável e depende de um instrumento que viabilize o fornecimento imediato de medicamentos, com valores economicamente vantajosos e condições uniformes. Sem a formalização de um registro de preços baseado no maior desconto sobre a Tabela CMED/ANVISA, a Administração pode ficar sujeita a compras emergenciais, fragmentadas e mais onerosas, além de riscos de não cumprimento de decisões judiciais e de interrupção da terapêutica.</w:t>
      </w:r>
    </w:p>
    <w:p w14:paraId="56B8F873">
      <w:pPr>
        <w:widowControl w:val="0"/>
        <w:tabs>
          <w:tab w:val="left" w:pos="555"/>
          <w:tab w:val="left" w:pos="840"/>
          <w:tab w:val="left" w:pos="1140"/>
          <w:tab w:val="left" w:pos="1395"/>
          <w:tab w:val="left" w:pos="1650"/>
          <w:tab w:val="left" w:pos="1965"/>
          <w:tab w:val="left" w:pos="2220"/>
          <w:tab w:val="left" w:pos="7336"/>
        </w:tabs>
        <w:spacing w:before="240" w:after="240"/>
        <w:rPr>
          <w:rFonts w:ascii="Calibri" w:hAnsi="Calibri" w:eastAsia="Calibri" w:cs="Calibri"/>
          <w:color w:val="000000"/>
          <w:sz w:val="24"/>
          <w:szCs w:val="24"/>
        </w:rPr>
      </w:pPr>
      <w:r>
        <w:rPr>
          <w:color w:val="000000"/>
          <w:sz w:val="24"/>
          <w:szCs w:val="24"/>
        </w:rPr>
        <w:t>Portanto, a necessidade de negócio consiste em estabelecer um instrumento de contratação que assegure, com previsibilidade, economicidade, eficiência e conformidade legal e judicial, o fornecimento contínuo de medicamentos éticos indispensáveis à execução dos serviços do Centro Assistencial e de Mandado. Isso garante a continuidade terapêutica, o cumprimento de determinações judiciais e a missão institucional da Secretaria de Saúde.</w:t>
      </w:r>
      <w:r>
        <w:rPr>
          <w:color w:val="000000"/>
          <w:sz w:val="24"/>
          <w:szCs w:val="24"/>
        </w:rPr>
        <w:br w:type="textWrapping"/>
      </w:r>
    </w:p>
    <w:p w14:paraId="11202AFF">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ESTIMATIVA DA DEMANDA - QUANTIDADE DE BENS E SERVIÇOS</w:t>
      </w:r>
    </w:p>
    <w:p w14:paraId="1A1E3C99">
      <w:pPr>
        <w:widowControl w:val="0"/>
        <w:rPr>
          <w:rFonts w:ascii="Arial" w:hAnsi="Arial" w:eastAsia="Arial" w:cs="Arial"/>
          <w:color w:val="000000"/>
          <w:sz w:val="22"/>
          <w:szCs w:val="22"/>
        </w:rPr>
      </w:pPr>
    </w:p>
    <w:tbl>
      <w:tblPr>
        <w:tblStyle w:val="10"/>
        <w:tblW w:w="104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4"/>
        <w:gridCol w:w="3234"/>
        <w:gridCol w:w="3234"/>
        <w:gridCol w:w="3234"/>
      </w:tblGrid>
      <w:tr w14:paraId="44479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765" w:type="dxa"/>
          </w:tcPr>
          <w:p w14:paraId="150789C2">
            <w:pPr>
              <w:widowControl w:val="0"/>
              <w:rPr>
                <w:b/>
                <w:bCs/>
                <w:color w:val="000000"/>
              </w:rPr>
            </w:pPr>
            <w:r>
              <w:rPr>
                <w:b/>
                <w:bCs/>
                <w:color w:val="000000"/>
              </w:rPr>
              <w:t>Item</w:t>
            </w:r>
          </w:p>
        </w:tc>
        <w:tc>
          <w:tcPr>
            <w:tcW w:w="3233" w:type="dxa"/>
          </w:tcPr>
          <w:p w14:paraId="5D3C9896">
            <w:pPr>
              <w:widowControl w:val="0"/>
              <w:rPr>
                <w:b/>
                <w:bCs/>
                <w:color w:val="000000"/>
              </w:rPr>
            </w:pPr>
            <w:r>
              <w:rPr>
                <w:b/>
                <w:bCs/>
                <w:color w:val="000000"/>
              </w:rPr>
              <w:t>Descrição/Especificação</w:t>
            </w:r>
          </w:p>
        </w:tc>
        <w:tc>
          <w:tcPr>
            <w:tcW w:w="3233" w:type="dxa"/>
          </w:tcPr>
          <w:p w14:paraId="78B6ACC6">
            <w:pPr>
              <w:widowControl w:val="0"/>
              <w:rPr>
                <w:b/>
                <w:bCs/>
                <w:color w:val="000000"/>
              </w:rPr>
            </w:pPr>
            <w:r>
              <w:rPr>
                <w:b/>
                <w:bCs/>
                <w:color w:val="000000"/>
              </w:rPr>
              <w:t>Unidade</w:t>
            </w:r>
          </w:p>
        </w:tc>
        <w:tc>
          <w:tcPr>
            <w:tcW w:w="3233" w:type="dxa"/>
          </w:tcPr>
          <w:p w14:paraId="130F128E">
            <w:pPr>
              <w:widowControl w:val="0"/>
              <w:rPr>
                <w:b/>
                <w:bCs/>
                <w:color w:val="000000"/>
              </w:rPr>
            </w:pPr>
            <w:r>
              <w:rPr>
                <w:b/>
                <w:bCs/>
                <w:color w:val="000000"/>
              </w:rPr>
              <w:t>Quantidade</w:t>
            </w:r>
          </w:p>
        </w:tc>
      </w:tr>
      <w:tr w14:paraId="1BA1A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5" w:type="dxa"/>
          </w:tcPr>
          <w:p w14:paraId="0985E8EF">
            <w:pPr>
              <w:widowControl w:val="0"/>
              <w:rPr>
                <w:color w:val="000000"/>
                <w:sz w:val="18"/>
                <w:szCs w:val="18"/>
              </w:rPr>
            </w:pPr>
            <w:r>
              <w:rPr>
                <w:color w:val="000000"/>
                <w:sz w:val="18"/>
                <w:szCs w:val="18"/>
              </w:rPr>
              <w:t>1</w:t>
            </w:r>
          </w:p>
        </w:tc>
        <w:tc>
          <w:tcPr>
            <w:tcW w:w="3233" w:type="dxa"/>
          </w:tcPr>
          <w:p w14:paraId="7145C3C1">
            <w:pPr>
              <w:widowControl w:val="0"/>
              <w:rPr>
                <w:color w:val="000000"/>
                <w:sz w:val="18"/>
                <w:szCs w:val="18"/>
              </w:rPr>
            </w:pPr>
            <w:r>
              <w:rPr>
                <w:color w:val="000000"/>
                <w:sz w:val="18"/>
                <w:szCs w:val="18"/>
              </w:rPr>
              <w:t>Medicamentos de A a Z, ÉTICOS</w:t>
            </w:r>
          </w:p>
        </w:tc>
        <w:tc>
          <w:tcPr>
            <w:tcW w:w="3233" w:type="dxa"/>
          </w:tcPr>
          <w:p w14:paraId="1C73C664">
            <w:pPr>
              <w:widowControl w:val="0"/>
              <w:jc w:val="center"/>
              <w:rPr>
                <w:color w:val="000000"/>
                <w:sz w:val="18"/>
                <w:szCs w:val="18"/>
              </w:rPr>
            </w:pPr>
            <w:r>
              <w:rPr>
                <w:color w:val="000000"/>
                <w:sz w:val="18"/>
                <w:szCs w:val="18"/>
              </w:rPr>
              <w:t>Não aplicável</w:t>
            </w:r>
          </w:p>
        </w:tc>
        <w:tc>
          <w:tcPr>
            <w:tcW w:w="3233" w:type="dxa"/>
          </w:tcPr>
          <w:p w14:paraId="208EA6CC">
            <w:pPr>
              <w:widowControl w:val="0"/>
              <w:jc w:val="center"/>
              <w:rPr>
                <w:color w:val="000000"/>
                <w:sz w:val="18"/>
                <w:szCs w:val="18"/>
              </w:rPr>
            </w:pPr>
            <w:r>
              <w:rPr>
                <w:color w:val="000000"/>
                <w:sz w:val="18"/>
                <w:szCs w:val="18"/>
              </w:rPr>
              <w:t>Não aplicável</w:t>
            </w:r>
          </w:p>
        </w:tc>
      </w:tr>
      <w:tr w14:paraId="0FB7E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5" w:type="dxa"/>
          </w:tcPr>
          <w:p w14:paraId="24032C7F">
            <w:pPr>
              <w:widowControl w:val="0"/>
              <w:rPr>
                <w:color w:val="000000"/>
                <w:sz w:val="18"/>
                <w:szCs w:val="18"/>
              </w:rPr>
            </w:pPr>
            <w:r>
              <w:rPr>
                <w:color w:val="000000"/>
                <w:sz w:val="18"/>
                <w:szCs w:val="18"/>
              </w:rPr>
              <w:t>2</w:t>
            </w:r>
          </w:p>
        </w:tc>
        <w:tc>
          <w:tcPr>
            <w:tcW w:w="3233" w:type="dxa"/>
          </w:tcPr>
          <w:p w14:paraId="28CED8F5">
            <w:pPr>
              <w:widowControl w:val="0"/>
              <w:rPr>
                <w:color w:val="000000"/>
                <w:sz w:val="18"/>
                <w:szCs w:val="18"/>
              </w:rPr>
            </w:pPr>
            <w:r>
              <w:rPr>
                <w:color w:val="000000"/>
                <w:sz w:val="18"/>
                <w:szCs w:val="18"/>
              </w:rPr>
              <w:t>Medicamentos de A a Z, SIMILARES</w:t>
            </w:r>
          </w:p>
        </w:tc>
        <w:tc>
          <w:tcPr>
            <w:tcW w:w="3233" w:type="dxa"/>
          </w:tcPr>
          <w:p w14:paraId="2265FA29">
            <w:pPr>
              <w:widowControl w:val="0"/>
              <w:jc w:val="center"/>
              <w:rPr>
                <w:color w:val="000000"/>
                <w:sz w:val="18"/>
                <w:szCs w:val="18"/>
              </w:rPr>
            </w:pPr>
            <w:r>
              <w:rPr>
                <w:color w:val="000000"/>
                <w:sz w:val="18"/>
                <w:szCs w:val="18"/>
              </w:rPr>
              <w:t>Não aplicável</w:t>
            </w:r>
          </w:p>
        </w:tc>
        <w:tc>
          <w:tcPr>
            <w:tcW w:w="3233" w:type="dxa"/>
          </w:tcPr>
          <w:p w14:paraId="3D3AB17D">
            <w:pPr>
              <w:widowControl w:val="0"/>
              <w:jc w:val="center"/>
              <w:rPr>
                <w:color w:val="000000"/>
                <w:sz w:val="18"/>
                <w:szCs w:val="18"/>
              </w:rPr>
            </w:pPr>
            <w:r>
              <w:rPr>
                <w:color w:val="000000"/>
                <w:sz w:val="18"/>
                <w:szCs w:val="18"/>
              </w:rPr>
              <w:t>Não aplicável</w:t>
            </w:r>
          </w:p>
        </w:tc>
      </w:tr>
      <w:tr w14:paraId="350EE9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765" w:type="dxa"/>
          </w:tcPr>
          <w:p w14:paraId="1CAEC014">
            <w:pPr>
              <w:widowControl w:val="0"/>
              <w:rPr>
                <w:color w:val="000000"/>
                <w:sz w:val="18"/>
                <w:szCs w:val="18"/>
              </w:rPr>
            </w:pPr>
            <w:r>
              <w:rPr>
                <w:color w:val="000000"/>
                <w:sz w:val="18"/>
                <w:szCs w:val="18"/>
              </w:rPr>
              <w:t>3</w:t>
            </w:r>
          </w:p>
        </w:tc>
        <w:tc>
          <w:tcPr>
            <w:tcW w:w="3233" w:type="dxa"/>
          </w:tcPr>
          <w:p w14:paraId="770B8AB7">
            <w:pPr>
              <w:widowControl w:val="0"/>
              <w:rPr>
                <w:color w:val="000000"/>
                <w:sz w:val="18"/>
                <w:szCs w:val="18"/>
              </w:rPr>
            </w:pPr>
            <w:r>
              <w:rPr>
                <w:color w:val="000000"/>
                <w:sz w:val="18"/>
                <w:szCs w:val="18"/>
              </w:rPr>
              <w:t>Medicamentos de A a Z, GENÉRICOS</w:t>
            </w:r>
          </w:p>
        </w:tc>
        <w:tc>
          <w:tcPr>
            <w:tcW w:w="3233" w:type="dxa"/>
          </w:tcPr>
          <w:p w14:paraId="10D58B50">
            <w:pPr>
              <w:widowControl w:val="0"/>
              <w:jc w:val="center"/>
              <w:rPr>
                <w:color w:val="000000"/>
                <w:sz w:val="18"/>
                <w:szCs w:val="18"/>
              </w:rPr>
            </w:pPr>
            <w:r>
              <w:rPr>
                <w:color w:val="000000"/>
                <w:sz w:val="18"/>
                <w:szCs w:val="18"/>
              </w:rPr>
              <w:t>Não aplicável</w:t>
            </w:r>
          </w:p>
        </w:tc>
        <w:tc>
          <w:tcPr>
            <w:tcW w:w="3233" w:type="dxa"/>
          </w:tcPr>
          <w:p w14:paraId="6B4E4737">
            <w:pPr>
              <w:widowControl w:val="0"/>
              <w:jc w:val="center"/>
              <w:rPr>
                <w:color w:val="000000"/>
                <w:sz w:val="18"/>
                <w:szCs w:val="18"/>
              </w:rPr>
            </w:pPr>
            <w:r>
              <w:rPr>
                <w:color w:val="000000"/>
                <w:sz w:val="18"/>
                <w:szCs w:val="18"/>
              </w:rPr>
              <w:t>Não aplicável</w:t>
            </w:r>
          </w:p>
        </w:tc>
      </w:tr>
    </w:tbl>
    <w:p w14:paraId="183177D4">
      <w:pPr>
        <w:widowControl w:val="0"/>
        <w:spacing w:before="240" w:after="240"/>
        <w:rPr>
          <w:b/>
          <w:bCs/>
          <w:color w:val="000000"/>
          <w:sz w:val="24"/>
          <w:szCs w:val="24"/>
        </w:rPr>
      </w:pPr>
      <w:r>
        <w:rPr>
          <w:b/>
          <w:bCs/>
          <w:color w:val="000000"/>
          <w:sz w:val="24"/>
          <w:szCs w:val="24"/>
        </w:rPr>
        <w:t>Condições de fornecimento:</w:t>
      </w:r>
    </w:p>
    <w:p w14:paraId="3CCEB91D">
      <w:pPr>
        <w:widowControl w:val="0"/>
        <w:spacing w:before="240" w:after="240"/>
        <w:rPr>
          <w:color w:val="000000"/>
          <w:sz w:val="24"/>
          <w:szCs w:val="24"/>
        </w:rPr>
      </w:pPr>
      <w:r>
        <w:rPr>
          <w:color w:val="000000"/>
          <w:sz w:val="24"/>
          <w:szCs w:val="24"/>
        </w:rPr>
        <w:t>5.1 -</w:t>
      </w:r>
      <w:r>
        <w:rPr>
          <w:b/>
          <w:bCs/>
          <w:color w:val="000000"/>
          <w:sz w:val="24"/>
          <w:szCs w:val="24"/>
        </w:rPr>
        <w:t xml:space="preserve"> Entrega sob demanda (eventual e futura)</w:t>
      </w:r>
      <w:r>
        <w:rPr>
          <w:b/>
          <w:bCs/>
          <w:color w:val="000000"/>
          <w:sz w:val="24"/>
          <w:szCs w:val="24"/>
        </w:rPr>
        <w:br w:type="textWrapping"/>
      </w:r>
      <w:r>
        <w:rPr>
          <w:color w:val="000000"/>
          <w:sz w:val="24"/>
          <w:szCs w:val="24"/>
        </w:rPr>
        <w:t xml:space="preserve"> O fornecimento dos medicamentos ocorrerá de forma parcelada, mediante solicitações emitidas pelo Centro Assistencial e de Mandado, conforme necessidade real e disponibilidade orçamentária, dentro da vigência da Ata de Registro de Preços.</w:t>
      </w:r>
    </w:p>
    <w:p w14:paraId="61A050BE">
      <w:pPr>
        <w:widowControl w:val="0"/>
        <w:spacing w:before="240" w:after="240"/>
        <w:rPr>
          <w:color w:val="000000"/>
          <w:sz w:val="24"/>
          <w:szCs w:val="24"/>
        </w:rPr>
      </w:pPr>
      <w:r>
        <w:rPr>
          <w:color w:val="000000"/>
          <w:sz w:val="24"/>
          <w:szCs w:val="24"/>
        </w:rPr>
        <w:t>5.2 -</w:t>
      </w:r>
      <w:r>
        <w:rPr>
          <w:b/>
          <w:bCs/>
          <w:color w:val="000000"/>
          <w:sz w:val="24"/>
          <w:szCs w:val="24"/>
        </w:rPr>
        <w:t xml:space="preserve"> Prazos de entrega</w:t>
      </w:r>
      <w:r>
        <w:rPr>
          <w:b/>
          <w:bCs/>
          <w:color w:val="000000"/>
          <w:sz w:val="24"/>
          <w:szCs w:val="24"/>
        </w:rPr>
        <w:br w:type="textWrapping"/>
      </w:r>
      <w:r>
        <w:rPr>
          <w:color w:val="000000"/>
          <w:sz w:val="24"/>
          <w:szCs w:val="24"/>
        </w:rPr>
        <w:t>O fornecedor deverá realizar a entrega dos medicamentos no prazo máximo estabelecido no Termo de Referência/ARP, contado a partir do recebimento da Nota de Empenho ou da Autorização de Fornecimento. Considerando o caráter assistencial, poderão ser exigidos prazos reduzidos para itens de alta criticidade ou vinculados a decisões judiciais.</w:t>
      </w:r>
    </w:p>
    <w:p w14:paraId="5E46869A">
      <w:pPr>
        <w:widowControl w:val="0"/>
        <w:spacing w:before="240" w:after="240"/>
        <w:rPr>
          <w:color w:val="000000"/>
          <w:sz w:val="24"/>
          <w:szCs w:val="24"/>
        </w:rPr>
      </w:pPr>
      <w:r>
        <w:rPr>
          <w:color w:val="000000"/>
          <w:sz w:val="24"/>
          <w:szCs w:val="24"/>
        </w:rPr>
        <w:t>5.3 -</w:t>
      </w:r>
      <w:r>
        <w:rPr>
          <w:b/>
          <w:bCs/>
          <w:color w:val="000000"/>
          <w:sz w:val="24"/>
          <w:szCs w:val="24"/>
        </w:rPr>
        <w:t xml:space="preserve"> Local de entrega</w:t>
      </w:r>
      <w:r>
        <w:rPr>
          <w:b/>
          <w:bCs/>
          <w:color w:val="000000"/>
          <w:sz w:val="24"/>
          <w:szCs w:val="24"/>
        </w:rPr>
        <w:br w:type="textWrapping"/>
      </w:r>
      <w:r>
        <w:rPr>
          <w:color w:val="000000"/>
          <w:sz w:val="24"/>
          <w:szCs w:val="24"/>
        </w:rPr>
        <w:t>Os medicamentos deverão ser entregues no endereço indicado pela Secretaria Municipal de Saúde de Valença, no envio da Nota de Empenho, em local adequado para conferência, armazenamento e recebimento, com eventuais variações conforme determinação específica do Centro Assistencial e de Mandado.</w:t>
      </w:r>
    </w:p>
    <w:p w14:paraId="52A6AC45">
      <w:pPr>
        <w:widowControl w:val="0"/>
        <w:spacing w:before="240" w:after="240"/>
        <w:rPr>
          <w:color w:val="000000"/>
          <w:sz w:val="24"/>
          <w:szCs w:val="24"/>
        </w:rPr>
      </w:pPr>
      <w:r>
        <w:rPr>
          <w:color w:val="000000"/>
          <w:sz w:val="24"/>
          <w:szCs w:val="24"/>
        </w:rPr>
        <w:t>5.4 -</w:t>
      </w:r>
      <w:r>
        <w:rPr>
          <w:b/>
          <w:bCs/>
          <w:color w:val="000000"/>
          <w:sz w:val="24"/>
          <w:szCs w:val="24"/>
        </w:rPr>
        <w:t xml:space="preserve"> Condições de transporte e armazenamento</w:t>
      </w:r>
      <w:r>
        <w:rPr>
          <w:b/>
          <w:bCs/>
          <w:color w:val="000000"/>
          <w:sz w:val="24"/>
          <w:szCs w:val="24"/>
        </w:rPr>
        <w:br w:type="textWrapping"/>
      </w:r>
      <w:r>
        <w:rPr>
          <w:color w:val="000000"/>
          <w:sz w:val="24"/>
          <w:szCs w:val="24"/>
        </w:rPr>
        <w:t>O transporte deverá observar as boas práticas de distribuição e transporte de medicamentos, incluindo controle de temperatura, integridade das embalagens, rastreabilidade e apresentação de documentação sanitária exigida.</w:t>
      </w:r>
    </w:p>
    <w:p w14:paraId="5F2BA33D">
      <w:pPr>
        <w:widowControl w:val="0"/>
        <w:spacing w:before="240" w:after="240"/>
        <w:rPr>
          <w:color w:val="000000"/>
          <w:sz w:val="24"/>
          <w:szCs w:val="24"/>
        </w:rPr>
      </w:pPr>
      <w:r>
        <w:rPr>
          <w:color w:val="000000"/>
          <w:sz w:val="24"/>
          <w:szCs w:val="24"/>
        </w:rPr>
        <w:t>5.5 -</w:t>
      </w:r>
      <w:r>
        <w:rPr>
          <w:b/>
          <w:bCs/>
          <w:color w:val="000000"/>
          <w:sz w:val="24"/>
          <w:szCs w:val="24"/>
        </w:rPr>
        <w:t xml:space="preserve"> Validade dos produtos</w:t>
      </w:r>
      <w:r>
        <w:rPr>
          <w:b/>
          <w:bCs/>
          <w:color w:val="000000"/>
          <w:sz w:val="24"/>
          <w:szCs w:val="24"/>
        </w:rPr>
        <w:br w:type="textWrapping"/>
      </w:r>
      <w:r>
        <w:rPr>
          <w:color w:val="000000"/>
          <w:sz w:val="24"/>
          <w:szCs w:val="24"/>
        </w:rPr>
        <w:t>Os medicamentos deverão ser entregues com prazo de validade mínimo de 12 meses, salvo impossibilidade técnica inerente ao produto, devidamente justificada e aceita pela Administração. Não serão aceitos produtos com prazos vencidos em prazo inferior ao definido ou em condições inadequadas de conservação.</w:t>
      </w:r>
    </w:p>
    <w:p w14:paraId="282242A3">
      <w:pPr>
        <w:widowControl w:val="0"/>
        <w:spacing w:before="240" w:after="240"/>
        <w:rPr>
          <w:color w:val="000000"/>
          <w:sz w:val="24"/>
          <w:szCs w:val="24"/>
        </w:rPr>
      </w:pPr>
      <w:r>
        <w:rPr>
          <w:color w:val="000000"/>
          <w:sz w:val="24"/>
          <w:szCs w:val="24"/>
        </w:rPr>
        <w:t>5.6 -</w:t>
      </w:r>
      <w:r>
        <w:rPr>
          <w:b/>
          <w:bCs/>
          <w:color w:val="000000"/>
          <w:sz w:val="24"/>
          <w:szCs w:val="24"/>
        </w:rPr>
        <w:t xml:space="preserve"> Conformidade com a Tabela CMED/ANVISA</w:t>
      </w:r>
      <w:r>
        <w:rPr>
          <w:b/>
          <w:bCs/>
          <w:color w:val="000000"/>
          <w:sz w:val="24"/>
          <w:szCs w:val="24"/>
        </w:rPr>
        <w:br w:type="textWrapping"/>
      </w:r>
      <w:r>
        <w:rPr>
          <w:color w:val="000000"/>
          <w:sz w:val="24"/>
          <w:szCs w:val="24"/>
        </w:rPr>
        <w:t>O fornecedor deverá observar rigorosamente o desconto contratado sobre a Tabela CMED/ANVISA, sendo obrigatório o respeito aos preços vigentes no ato de cada fornecimento, conforme regras de precificação e ajuste regulatório.</w:t>
      </w:r>
    </w:p>
    <w:p w14:paraId="45633B22">
      <w:pPr>
        <w:widowControl w:val="0"/>
        <w:spacing w:before="240" w:after="240"/>
        <w:rPr>
          <w:color w:val="000000"/>
          <w:sz w:val="24"/>
          <w:szCs w:val="24"/>
        </w:rPr>
      </w:pPr>
      <w:r>
        <w:rPr>
          <w:color w:val="000000"/>
          <w:sz w:val="24"/>
          <w:szCs w:val="24"/>
        </w:rPr>
        <w:t>5.7 -</w:t>
      </w:r>
      <w:r>
        <w:rPr>
          <w:b/>
          <w:bCs/>
          <w:color w:val="000000"/>
          <w:sz w:val="24"/>
          <w:szCs w:val="24"/>
        </w:rPr>
        <w:t xml:space="preserve"> Qualidade e regularidade do registro sanitário</w:t>
      </w:r>
      <w:r>
        <w:rPr>
          <w:b/>
          <w:bCs/>
          <w:color w:val="000000"/>
          <w:sz w:val="24"/>
          <w:szCs w:val="24"/>
        </w:rPr>
        <w:br w:type="textWrapping"/>
      </w:r>
      <w:r>
        <w:rPr>
          <w:color w:val="000000"/>
          <w:sz w:val="24"/>
          <w:szCs w:val="24"/>
        </w:rPr>
        <w:t>Todos os medicamentos devem possuir registro válido na ANVISA, atender às normas sanitárias aplicáveis e estar em conformidade com padrões técnicos exigidos para medicamentos éticos.</w:t>
      </w:r>
    </w:p>
    <w:p w14:paraId="0AE071FA">
      <w:pPr>
        <w:widowControl w:val="0"/>
        <w:spacing w:before="240" w:after="240"/>
        <w:rPr>
          <w:color w:val="000000"/>
          <w:sz w:val="24"/>
          <w:szCs w:val="24"/>
        </w:rPr>
      </w:pPr>
      <w:r>
        <w:rPr>
          <w:color w:val="000000"/>
          <w:sz w:val="24"/>
          <w:szCs w:val="24"/>
        </w:rPr>
        <w:t>5.8 -</w:t>
      </w:r>
      <w:r>
        <w:rPr>
          <w:b/>
          <w:bCs/>
          <w:color w:val="000000"/>
          <w:sz w:val="24"/>
          <w:szCs w:val="24"/>
        </w:rPr>
        <w:t xml:space="preserve"> Responsabilidade técnica e documentação</w:t>
      </w:r>
      <w:r>
        <w:rPr>
          <w:b/>
          <w:bCs/>
          <w:color w:val="000000"/>
          <w:sz w:val="24"/>
          <w:szCs w:val="24"/>
        </w:rPr>
        <w:br w:type="textWrapping"/>
      </w:r>
      <w:r>
        <w:rPr>
          <w:color w:val="000000"/>
          <w:sz w:val="24"/>
          <w:szCs w:val="24"/>
        </w:rPr>
        <w:t>O fornecedor deverá apresentar, sempre que solicitado:</w:t>
      </w:r>
    </w:p>
    <w:p w14:paraId="5F814981">
      <w:pPr>
        <w:widowControl w:val="0"/>
        <w:numPr>
          <w:ilvl w:val="0"/>
          <w:numId w:val="11"/>
        </w:numPr>
        <w:ind w:firstLine="360"/>
        <w:rPr>
          <w:color w:val="000000"/>
          <w:sz w:val="24"/>
          <w:szCs w:val="24"/>
        </w:rPr>
      </w:pPr>
      <w:r>
        <w:rPr>
          <w:color w:val="000000"/>
          <w:sz w:val="24"/>
          <w:szCs w:val="24"/>
        </w:rPr>
        <w:t>Nota fiscal compatível com o item solicitado;</w:t>
      </w:r>
      <w:r>
        <w:rPr>
          <w:color w:val="000000"/>
          <w:sz w:val="24"/>
          <w:szCs w:val="24"/>
        </w:rPr>
        <w:br w:type="textWrapping"/>
      </w:r>
    </w:p>
    <w:p w14:paraId="7DEDB0DA">
      <w:pPr>
        <w:widowControl w:val="0"/>
        <w:numPr>
          <w:ilvl w:val="0"/>
          <w:numId w:val="11"/>
        </w:numPr>
        <w:ind w:firstLine="360"/>
        <w:rPr>
          <w:color w:val="000000"/>
          <w:sz w:val="24"/>
          <w:szCs w:val="24"/>
        </w:rPr>
      </w:pPr>
      <w:r>
        <w:rPr>
          <w:color w:val="000000"/>
          <w:sz w:val="24"/>
          <w:szCs w:val="24"/>
        </w:rPr>
        <w:t>Laudos de qualidade quando aplicável;</w:t>
      </w:r>
      <w:r>
        <w:rPr>
          <w:color w:val="000000"/>
          <w:sz w:val="24"/>
          <w:szCs w:val="24"/>
        </w:rPr>
        <w:br w:type="textWrapping"/>
      </w:r>
    </w:p>
    <w:p w14:paraId="22A696FB">
      <w:pPr>
        <w:widowControl w:val="0"/>
        <w:numPr>
          <w:ilvl w:val="0"/>
          <w:numId w:val="11"/>
        </w:numPr>
        <w:ind w:firstLine="360"/>
        <w:rPr>
          <w:color w:val="000000"/>
          <w:sz w:val="24"/>
          <w:szCs w:val="24"/>
        </w:rPr>
      </w:pPr>
      <w:r>
        <w:rPr>
          <w:color w:val="000000"/>
          <w:sz w:val="24"/>
          <w:szCs w:val="24"/>
        </w:rPr>
        <w:t>Certificados de garantia;</w:t>
      </w:r>
      <w:r>
        <w:rPr>
          <w:color w:val="000000"/>
          <w:sz w:val="24"/>
          <w:szCs w:val="24"/>
        </w:rPr>
        <w:br w:type="textWrapping"/>
      </w:r>
    </w:p>
    <w:p w14:paraId="6BFAD15B">
      <w:pPr>
        <w:widowControl w:val="0"/>
        <w:numPr>
          <w:ilvl w:val="0"/>
          <w:numId w:val="11"/>
        </w:numPr>
        <w:ind w:firstLine="360"/>
        <w:rPr>
          <w:color w:val="000000"/>
          <w:sz w:val="24"/>
          <w:szCs w:val="24"/>
        </w:rPr>
      </w:pPr>
      <w:r>
        <w:rPr>
          <w:color w:val="000000"/>
          <w:sz w:val="24"/>
          <w:szCs w:val="24"/>
        </w:rPr>
        <w:t>Comprovações de regularidade fiscal e sanitária.</w:t>
      </w:r>
    </w:p>
    <w:p w14:paraId="103E766A">
      <w:pPr>
        <w:widowControl w:val="0"/>
        <w:spacing w:before="240" w:after="240"/>
        <w:rPr>
          <w:color w:val="000000"/>
          <w:sz w:val="24"/>
          <w:szCs w:val="24"/>
        </w:rPr>
      </w:pPr>
      <w:r>
        <w:rPr>
          <w:color w:val="000000"/>
          <w:sz w:val="24"/>
          <w:szCs w:val="24"/>
        </w:rPr>
        <w:t>5.9 -</w:t>
      </w:r>
      <w:r>
        <w:rPr>
          <w:b/>
          <w:bCs/>
          <w:color w:val="000000"/>
          <w:sz w:val="24"/>
          <w:szCs w:val="24"/>
        </w:rPr>
        <w:t xml:space="preserve"> Substituição de produtos</w:t>
      </w:r>
      <w:r>
        <w:rPr>
          <w:b/>
          <w:bCs/>
          <w:color w:val="000000"/>
          <w:sz w:val="24"/>
          <w:szCs w:val="24"/>
        </w:rPr>
        <w:br w:type="textWrapping"/>
      </w:r>
      <w:r>
        <w:rPr>
          <w:color w:val="000000"/>
          <w:sz w:val="24"/>
          <w:szCs w:val="24"/>
        </w:rPr>
        <w:t>Caso seja constatado qualquer tipo de irregularidade, avaria ou divergência entre o produto solicitado e o entregue, a empresa deverá realizar a substituição imediata, sem ônus adicional para a Administração.</w:t>
      </w:r>
      <w:r>
        <w:rPr>
          <w:color w:val="000000"/>
          <w:sz w:val="24"/>
          <w:szCs w:val="24"/>
        </w:rPr>
        <w:br w:type="textWrapping"/>
      </w:r>
    </w:p>
    <w:p w14:paraId="475178C7">
      <w:pPr>
        <w:widowControl w:val="0"/>
        <w:spacing w:before="240" w:after="240"/>
        <w:rPr>
          <w:b/>
          <w:bCs/>
          <w:color w:val="000000"/>
          <w:sz w:val="24"/>
          <w:szCs w:val="24"/>
        </w:rPr>
      </w:pPr>
      <w:r>
        <w:rPr>
          <w:color w:val="000000"/>
          <w:sz w:val="24"/>
          <w:szCs w:val="24"/>
        </w:rPr>
        <w:t>5.10 -</w:t>
      </w:r>
      <w:r>
        <w:rPr>
          <w:b/>
          <w:bCs/>
          <w:color w:val="000000"/>
          <w:sz w:val="24"/>
          <w:szCs w:val="24"/>
        </w:rPr>
        <w:t xml:space="preserve"> Atendimento às determinações judiciais</w:t>
      </w:r>
      <w:r>
        <w:rPr>
          <w:b/>
          <w:bCs/>
          <w:color w:val="000000"/>
          <w:sz w:val="24"/>
          <w:szCs w:val="24"/>
        </w:rPr>
        <w:br w:type="textWrapping"/>
      </w:r>
      <w:r>
        <w:rPr>
          <w:color w:val="000000"/>
          <w:sz w:val="24"/>
          <w:szCs w:val="24"/>
        </w:rPr>
        <w:t>Em solicitações emergenciais vinculadas a decisões judiciais, o fornecedor deverá atender em caráter prioritário, observando os prazos e condições definidos para garantir a continuidade do tratamento dos pacientes.</w:t>
      </w:r>
    </w:p>
    <w:p w14:paraId="1B9353F2">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LEVANTAMENTO DE SOLUÇÕES</w:t>
      </w:r>
    </w:p>
    <w:p w14:paraId="7E0822BB">
      <w:pPr>
        <w:spacing w:before="240" w:after="240"/>
        <w:jc w:val="both"/>
        <w:rPr>
          <w:color w:val="000000"/>
          <w:sz w:val="24"/>
          <w:szCs w:val="24"/>
        </w:rPr>
      </w:pPr>
      <w:r>
        <w:rPr>
          <w:color w:val="000000"/>
          <w:sz w:val="24"/>
          <w:szCs w:val="24"/>
        </w:rPr>
        <w:t>Para atendimento da necessidade de aquisição de medicamentos éticos, similares e genéricos de A a Z, considerando o maior desconto sobre a Tabela CMED/ANVISA e contemplando a urgência associada às demandas assistenciais e às decisões judiciais, foram analisadas as seguintes soluções possíveis:</w:t>
      </w:r>
    </w:p>
    <w:p w14:paraId="19296C80">
      <w:pPr>
        <w:jc w:val="both"/>
        <w:rPr>
          <w:b/>
          <w:bCs/>
          <w:color w:val="000000"/>
          <w:sz w:val="24"/>
          <w:szCs w:val="24"/>
        </w:rPr>
      </w:pPr>
      <w:r>
        <w:rPr>
          <w:color w:val="000000"/>
          <w:sz w:val="24"/>
          <w:szCs w:val="24"/>
        </w:rPr>
        <w:t>6.1 -</w:t>
      </w:r>
      <w:r>
        <w:rPr>
          <w:b/>
          <w:bCs/>
          <w:color w:val="000000"/>
          <w:sz w:val="24"/>
          <w:szCs w:val="24"/>
        </w:rPr>
        <w:t xml:space="preserve"> Aquisição direta por demanda (compra imediata)</w:t>
      </w:r>
    </w:p>
    <w:p w14:paraId="65343B0C">
      <w:pPr>
        <w:jc w:val="both"/>
        <w:rPr>
          <w:color w:val="000000"/>
          <w:sz w:val="24"/>
          <w:szCs w:val="24"/>
        </w:rPr>
      </w:pPr>
      <w:r>
        <w:rPr>
          <w:b/>
          <w:bCs/>
          <w:color w:val="000000"/>
          <w:sz w:val="24"/>
          <w:szCs w:val="24"/>
        </w:rPr>
        <w:t>Descrição:</w:t>
      </w:r>
      <w:r>
        <w:rPr>
          <w:color w:val="000000"/>
          <w:sz w:val="24"/>
          <w:szCs w:val="24"/>
        </w:rPr>
        <w:t xml:space="preserve"> Realização de compras individuais sempre que houver necessidade, sem instrumento de registro de preços.</w:t>
      </w:r>
    </w:p>
    <w:p w14:paraId="1FCA1F51">
      <w:pPr>
        <w:jc w:val="both"/>
        <w:rPr>
          <w:color w:val="000000"/>
          <w:sz w:val="24"/>
          <w:szCs w:val="24"/>
        </w:rPr>
      </w:pPr>
    </w:p>
    <w:p w14:paraId="282025BE">
      <w:pPr>
        <w:jc w:val="both"/>
        <w:rPr>
          <w:color w:val="000000"/>
          <w:sz w:val="24"/>
          <w:szCs w:val="24"/>
        </w:rPr>
      </w:pPr>
      <w:r>
        <w:rPr>
          <w:b/>
          <w:bCs/>
          <w:color w:val="000000"/>
          <w:sz w:val="24"/>
          <w:szCs w:val="24"/>
        </w:rPr>
        <w:t xml:space="preserve">Vantagens: </w:t>
      </w:r>
      <w:r>
        <w:rPr>
          <w:color w:val="000000"/>
          <w:sz w:val="24"/>
          <w:szCs w:val="24"/>
        </w:rPr>
        <w:t>Possibilidade de atender imediatamente situações emergenciais.</w:t>
      </w:r>
    </w:p>
    <w:p w14:paraId="7454B027">
      <w:pPr>
        <w:jc w:val="both"/>
        <w:rPr>
          <w:color w:val="000000"/>
          <w:sz w:val="24"/>
          <w:szCs w:val="24"/>
        </w:rPr>
      </w:pPr>
    </w:p>
    <w:p w14:paraId="6FF6C8F8">
      <w:pPr>
        <w:jc w:val="both"/>
        <w:rPr>
          <w:b/>
          <w:bCs/>
          <w:color w:val="000000"/>
          <w:sz w:val="24"/>
          <w:szCs w:val="24"/>
        </w:rPr>
      </w:pPr>
      <w:r>
        <w:rPr>
          <w:b/>
          <w:bCs/>
          <w:color w:val="000000"/>
          <w:sz w:val="24"/>
          <w:szCs w:val="24"/>
        </w:rPr>
        <w:t>Desvantagens/limitações:</w:t>
      </w:r>
    </w:p>
    <w:p w14:paraId="6988B539">
      <w:pPr>
        <w:numPr>
          <w:ilvl w:val="0"/>
          <w:numId w:val="12"/>
        </w:numPr>
        <w:ind w:firstLine="360"/>
        <w:rPr>
          <w:color w:val="000000"/>
          <w:sz w:val="24"/>
          <w:szCs w:val="24"/>
        </w:rPr>
      </w:pPr>
      <w:r>
        <w:rPr>
          <w:color w:val="000000"/>
          <w:sz w:val="24"/>
          <w:szCs w:val="24"/>
        </w:rPr>
        <w:t>Processo mais moroso para cada item, exigindo abertura de procedimento a cada demanda.</w:t>
      </w:r>
      <w:r>
        <w:rPr>
          <w:color w:val="000000"/>
          <w:sz w:val="24"/>
          <w:szCs w:val="24"/>
        </w:rPr>
        <w:br w:type="textWrapping"/>
      </w:r>
    </w:p>
    <w:p w14:paraId="3C9D3189">
      <w:pPr>
        <w:numPr>
          <w:ilvl w:val="0"/>
          <w:numId w:val="12"/>
        </w:numPr>
        <w:ind w:firstLine="360"/>
        <w:rPr>
          <w:color w:val="000000"/>
          <w:sz w:val="24"/>
          <w:szCs w:val="24"/>
        </w:rPr>
      </w:pPr>
      <w:r>
        <w:rPr>
          <w:color w:val="000000"/>
          <w:sz w:val="24"/>
          <w:szCs w:val="24"/>
        </w:rPr>
        <w:t>Elevada probabilidade de preços superiores devido à ausência de concorrência ampliada.</w:t>
      </w:r>
      <w:r>
        <w:rPr>
          <w:color w:val="000000"/>
          <w:sz w:val="24"/>
          <w:szCs w:val="24"/>
        </w:rPr>
        <w:br w:type="textWrapping"/>
      </w:r>
    </w:p>
    <w:p w14:paraId="758228D6">
      <w:pPr>
        <w:numPr>
          <w:ilvl w:val="0"/>
          <w:numId w:val="12"/>
        </w:numPr>
        <w:ind w:firstLine="360"/>
        <w:rPr>
          <w:color w:val="000000"/>
          <w:sz w:val="24"/>
          <w:szCs w:val="24"/>
        </w:rPr>
      </w:pPr>
      <w:r>
        <w:rPr>
          <w:color w:val="000000"/>
          <w:sz w:val="24"/>
          <w:szCs w:val="24"/>
        </w:rPr>
        <w:t>Risco de descontinuidade terapêutica em razão do tempo de tramitação.</w:t>
      </w:r>
      <w:r>
        <w:rPr>
          <w:color w:val="000000"/>
          <w:sz w:val="24"/>
          <w:szCs w:val="24"/>
        </w:rPr>
        <w:br w:type="textWrapping"/>
      </w:r>
    </w:p>
    <w:p w14:paraId="1D65924E">
      <w:pPr>
        <w:numPr>
          <w:ilvl w:val="0"/>
          <w:numId w:val="12"/>
        </w:numPr>
        <w:ind w:firstLine="360"/>
        <w:rPr>
          <w:color w:val="000000"/>
          <w:sz w:val="24"/>
          <w:szCs w:val="24"/>
        </w:rPr>
      </w:pPr>
      <w:r>
        <w:rPr>
          <w:color w:val="000000"/>
          <w:sz w:val="24"/>
          <w:szCs w:val="24"/>
        </w:rPr>
        <w:t>Dificuldade de estimar quantitativos e programar orçamentos.</w:t>
      </w:r>
      <w:r>
        <w:rPr>
          <w:color w:val="000000"/>
          <w:sz w:val="24"/>
          <w:szCs w:val="24"/>
        </w:rPr>
        <w:br w:type="textWrapping"/>
      </w:r>
    </w:p>
    <w:p w14:paraId="5CAA77DA">
      <w:pPr>
        <w:numPr>
          <w:ilvl w:val="0"/>
          <w:numId w:val="12"/>
        </w:numPr>
        <w:ind w:firstLine="360"/>
        <w:rPr>
          <w:color w:val="000000"/>
          <w:sz w:val="24"/>
          <w:szCs w:val="24"/>
        </w:rPr>
      </w:pPr>
      <w:r>
        <w:rPr>
          <w:color w:val="000000"/>
          <w:sz w:val="24"/>
          <w:szCs w:val="24"/>
        </w:rPr>
        <w:t>Alto risco de descumprimento de decisões judiciais por atraso no trâmite.</w:t>
      </w:r>
      <w:r>
        <w:rPr>
          <w:color w:val="000000"/>
          <w:sz w:val="24"/>
          <w:szCs w:val="24"/>
        </w:rPr>
        <w:br w:type="textWrapping"/>
      </w:r>
    </w:p>
    <w:p w14:paraId="12C4C4E8">
      <w:pPr>
        <w:jc w:val="both"/>
        <w:rPr>
          <w:color w:val="000000"/>
          <w:sz w:val="24"/>
          <w:szCs w:val="24"/>
        </w:rPr>
      </w:pPr>
      <w:r>
        <w:rPr>
          <w:b/>
          <w:bCs/>
          <w:color w:val="000000"/>
          <w:sz w:val="24"/>
          <w:szCs w:val="24"/>
        </w:rPr>
        <w:t>Conclusão:</w:t>
      </w:r>
      <w:r>
        <w:rPr>
          <w:color w:val="000000"/>
          <w:sz w:val="24"/>
          <w:szCs w:val="24"/>
        </w:rPr>
        <w:t xml:space="preserve"> </w:t>
      </w:r>
      <w:r>
        <w:rPr>
          <w:b/>
          <w:bCs/>
          <w:color w:val="000000"/>
          <w:sz w:val="24"/>
          <w:szCs w:val="24"/>
        </w:rPr>
        <w:t>Solução inviável</w:t>
      </w:r>
      <w:r>
        <w:rPr>
          <w:color w:val="000000"/>
          <w:sz w:val="24"/>
          <w:szCs w:val="24"/>
        </w:rPr>
        <w:t xml:space="preserve"> para a rotina assistencial e judicial da Secretaria pela morosidade, alto custo e risco de interrupção do atendimento.</w:t>
      </w:r>
    </w:p>
    <w:p w14:paraId="21C2C28A">
      <w:pPr>
        <w:jc w:val="both"/>
        <w:rPr>
          <w:color w:val="000000"/>
        </w:rPr>
      </w:pPr>
    </w:p>
    <w:p w14:paraId="47ADDBD5">
      <w:pPr>
        <w:jc w:val="both"/>
        <w:rPr>
          <w:b/>
          <w:bCs/>
          <w:color w:val="000000"/>
          <w:sz w:val="24"/>
          <w:szCs w:val="24"/>
        </w:rPr>
      </w:pPr>
      <w:r>
        <w:rPr>
          <w:b/>
          <w:color w:val="000000"/>
          <w:sz w:val="24"/>
          <w:szCs w:val="24"/>
        </w:rPr>
        <w:t>6.2</w:t>
      </w:r>
      <w:r>
        <w:rPr>
          <w:color w:val="000000"/>
          <w:sz w:val="24"/>
          <w:szCs w:val="24"/>
        </w:rPr>
        <w:t xml:space="preserve"> -</w:t>
      </w:r>
      <w:r>
        <w:rPr>
          <w:b/>
          <w:bCs/>
          <w:color w:val="000000"/>
          <w:sz w:val="24"/>
          <w:szCs w:val="24"/>
        </w:rPr>
        <w:t xml:space="preserve"> Pregão eletrônico convencional para compra única</w:t>
      </w:r>
    </w:p>
    <w:p w14:paraId="73D760F4">
      <w:pPr>
        <w:jc w:val="both"/>
        <w:rPr>
          <w:b/>
          <w:bCs/>
          <w:color w:val="000000"/>
          <w:sz w:val="24"/>
          <w:szCs w:val="24"/>
        </w:rPr>
      </w:pPr>
    </w:p>
    <w:p w14:paraId="28AF6408">
      <w:pPr>
        <w:jc w:val="both"/>
        <w:rPr>
          <w:color w:val="000000"/>
          <w:sz w:val="24"/>
          <w:szCs w:val="24"/>
        </w:rPr>
      </w:pPr>
      <w:r>
        <w:rPr>
          <w:b/>
          <w:bCs/>
          <w:color w:val="000000"/>
          <w:sz w:val="24"/>
          <w:szCs w:val="24"/>
        </w:rPr>
        <w:t>Descrição:</w:t>
      </w:r>
      <w:r>
        <w:rPr>
          <w:color w:val="000000"/>
          <w:sz w:val="24"/>
          <w:szCs w:val="24"/>
        </w:rPr>
        <w:t xml:space="preserve"> Realização de pregão único para aquisição de quantitativos estimados para todo o período.</w:t>
      </w:r>
    </w:p>
    <w:p w14:paraId="6B9D5641">
      <w:pPr>
        <w:jc w:val="both"/>
        <w:rPr>
          <w:color w:val="000000"/>
          <w:sz w:val="24"/>
          <w:szCs w:val="24"/>
        </w:rPr>
      </w:pPr>
    </w:p>
    <w:p w14:paraId="0E02E32B">
      <w:pPr>
        <w:jc w:val="both"/>
        <w:rPr>
          <w:b/>
          <w:bCs/>
          <w:color w:val="000000"/>
          <w:sz w:val="24"/>
          <w:szCs w:val="24"/>
        </w:rPr>
      </w:pPr>
      <w:r>
        <w:rPr>
          <w:b/>
          <w:bCs/>
          <w:color w:val="000000"/>
          <w:sz w:val="24"/>
          <w:szCs w:val="24"/>
        </w:rPr>
        <w:t>Vantagens:</w:t>
      </w:r>
    </w:p>
    <w:p w14:paraId="1FD19D4C">
      <w:pPr>
        <w:numPr>
          <w:ilvl w:val="0"/>
          <w:numId w:val="13"/>
        </w:numPr>
        <w:ind w:firstLine="360"/>
        <w:rPr>
          <w:color w:val="000000"/>
          <w:sz w:val="24"/>
          <w:szCs w:val="24"/>
        </w:rPr>
      </w:pPr>
      <w:r>
        <w:rPr>
          <w:color w:val="000000"/>
          <w:sz w:val="24"/>
          <w:szCs w:val="24"/>
        </w:rPr>
        <w:t>Possibilidade de contratação com preços competitivos no momento do certame.</w:t>
      </w:r>
      <w:r>
        <w:rPr>
          <w:color w:val="000000"/>
          <w:sz w:val="24"/>
          <w:szCs w:val="24"/>
        </w:rPr>
        <w:br w:type="textWrapping"/>
      </w:r>
    </w:p>
    <w:p w14:paraId="478C3AAF">
      <w:pPr>
        <w:numPr>
          <w:ilvl w:val="0"/>
          <w:numId w:val="13"/>
        </w:numPr>
        <w:ind w:firstLine="360"/>
        <w:rPr>
          <w:color w:val="000000"/>
          <w:sz w:val="24"/>
          <w:szCs w:val="24"/>
        </w:rPr>
      </w:pPr>
      <w:r>
        <w:rPr>
          <w:color w:val="000000"/>
          <w:sz w:val="24"/>
          <w:szCs w:val="24"/>
        </w:rPr>
        <w:t>Padronização de valores e condições contratuais.</w:t>
      </w:r>
    </w:p>
    <w:p w14:paraId="69B42FC0">
      <w:pPr>
        <w:ind w:firstLine="720"/>
        <w:rPr>
          <w:color w:val="000000"/>
          <w:sz w:val="24"/>
          <w:szCs w:val="24"/>
        </w:rPr>
      </w:pPr>
    </w:p>
    <w:p w14:paraId="4098D355">
      <w:pPr>
        <w:jc w:val="both"/>
        <w:rPr>
          <w:b/>
          <w:bCs/>
          <w:color w:val="000000"/>
          <w:sz w:val="24"/>
          <w:szCs w:val="24"/>
        </w:rPr>
      </w:pPr>
      <w:r>
        <w:rPr>
          <w:b/>
          <w:bCs/>
          <w:color w:val="000000"/>
          <w:sz w:val="24"/>
          <w:szCs w:val="24"/>
        </w:rPr>
        <w:t>Desvantagens/limitações:</w:t>
      </w:r>
    </w:p>
    <w:p w14:paraId="41F04403">
      <w:pPr>
        <w:numPr>
          <w:ilvl w:val="0"/>
          <w:numId w:val="14"/>
        </w:numPr>
        <w:ind w:firstLine="360"/>
        <w:rPr>
          <w:color w:val="000000"/>
          <w:sz w:val="24"/>
          <w:szCs w:val="24"/>
        </w:rPr>
      </w:pPr>
      <w:r>
        <w:rPr>
          <w:color w:val="000000"/>
          <w:sz w:val="24"/>
          <w:szCs w:val="24"/>
        </w:rPr>
        <w:t>Necessidade de prever quantitativos exatos para o período, o que não é possível diante da imprevisibilidade das demandas clínicas e judiciais.</w:t>
      </w:r>
      <w:r>
        <w:rPr>
          <w:color w:val="000000"/>
          <w:sz w:val="24"/>
          <w:szCs w:val="24"/>
        </w:rPr>
        <w:br w:type="textWrapping"/>
      </w:r>
    </w:p>
    <w:p w14:paraId="396E02A7">
      <w:pPr>
        <w:numPr>
          <w:ilvl w:val="0"/>
          <w:numId w:val="14"/>
        </w:numPr>
        <w:ind w:firstLine="360"/>
        <w:rPr>
          <w:color w:val="000000"/>
          <w:sz w:val="24"/>
          <w:szCs w:val="24"/>
        </w:rPr>
      </w:pPr>
      <w:r>
        <w:rPr>
          <w:color w:val="000000"/>
          <w:sz w:val="24"/>
          <w:szCs w:val="24"/>
        </w:rPr>
        <w:t>Risco de superdimensionamento (gerando estoque excedente e perdas) ou subdimensionamento (gerando novas licitações).</w:t>
      </w:r>
      <w:r>
        <w:rPr>
          <w:color w:val="000000"/>
          <w:sz w:val="24"/>
          <w:szCs w:val="24"/>
        </w:rPr>
        <w:br w:type="textWrapping"/>
      </w:r>
    </w:p>
    <w:p w14:paraId="4C689928">
      <w:pPr>
        <w:numPr>
          <w:ilvl w:val="0"/>
          <w:numId w:val="14"/>
        </w:numPr>
        <w:ind w:firstLine="360"/>
        <w:rPr>
          <w:color w:val="000000"/>
          <w:sz w:val="24"/>
          <w:szCs w:val="24"/>
        </w:rPr>
      </w:pPr>
      <w:r>
        <w:rPr>
          <w:color w:val="000000"/>
          <w:sz w:val="24"/>
          <w:szCs w:val="24"/>
        </w:rPr>
        <w:t>Compromete economicidade ao exigir estoque elevado e imediato.</w:t>
      </w:r>
    </w:p>
    <w:p w14:paraId="63C88139">
      <w:pPr>
        <w:ind w:firstLine="720"/>
        <w:rPr>
          <w:color w:val="000000"/>
          <w:sz w:val="24"/>
          <w:szCs w:val="24"/>
        </w:rPr>
      </w:pPr>
    </w:p>
    <w:p w14:paraId="1E1264EA">
      <w:pPr>
        <w:jc w:val="both"/>
        <w:rPr>
          <w:color w:val="000000"/>
          <w:sz w:val="24"/>
          <w:szCs w:val="24"/>
        </w:rPr>
      </w:pPr>
      <w:r>
        <w:rPr>
          <w:b/>
          <w:bCs/>
          <w:color w:val="000000"/>
          <w:sz w:val="24"/>
          <w:szCs w:val="24"/>
        </w:rPr>
        <w:t>Conclusão:</w:t>
      </w:r>
      <w:r>
        <w:rPr>
          <w:color w:val="000000"/>
          <w:sz w:val="24"/>
          <w:szCs w:val="24"/>
        </w:rPr>
        <w:t xml:space="preserve"> Parcialmente viável, porém </w:t>
      </w:r>
      <w:r>
        <w:rPr>
          <w:b/>
          <w:bCs/>
          <w:color w:val="000000"/>
          <w:sz w:val="24"/>
          <w:szCs w:val="24"/>
        </w:rPr>
        <w:t>não recomendada</w:t>
      </w:r>
      <w:r>
        <w:rPr>
          <w:color w:val="000000"/>
          <w:sz w:val="24"/>
          <w:szCs w:val="24"/>
        </w:rPr>
        <w:t>, devido à imprevisibilidade do consumo e ao alto custo de estoque.</w:t>
      </w:r>
    </w:p>
    <w:p w14:paraId="42B62C7D">
      <w:pPr>
        <w:jc w:val="both"/>
        <w:rPr>
          <w:color w:val="000000"/>
          <w:sz w:val="24"/>
          <w:szCs w:val="24"/>
        </w:rPr>
      </w:pPr>
    </w:p>
    <w:p w14:paraId="61D59C30">
      <w:pPr>
        <w:jc w:val="both"/>
        <w:rPr>
          <w:b/>
          <w:bCs/>
          <w:color w:val="000000"/>
          <w:sz w:val="24"/>
          <w:szCs w:val="24"/>
        </w:rPr>
      </w:pPr>
      <w:r>
        <w:rPr>
          <w:color w:val="000000"/>
          <w:sz w:val="24"/>
          <w:szCs w:val="24"/>
        </w:rPr>
        <w:t>6.3 -</w:t>
      </w:r>
      <w:r>
        <w:rPr>
          <w:b/>
          <w:bCs/>
          <w:color w:val="000000"/>
          <w:sz w:val="24"/>
          <w:szCs w:val="24"/>
        </w:rPr>
        <w:t xml:space="preserve"> Contratação por dispensa emergencial</w:t>
      </w:r>
    </w:p>
    <w:p w14:paraId="5AD5C30A">
      <w:pPr>
        <w:jc w:val="both"/>
        <w:rPr>
          <w:b/>
          <w:bCs/>
          <w:color w:val="000000"/>
          <w:sz w:val="24"/>
          <w:szCs w:val="24"/>
        </w:rPr>
      </w:pPr>
    </w:p>
    <w:p w14:paraId="55A83C29">
      <w:pPr>
        <w:jc w:val="both"/>
        <w:rPr>
          <w:color w:val="000000"/>
          <w:sz w:val="24"/>
          <w:szCs w:val="24"/>
        </w:rPr>
      </w:pPr>
      <w:r>
        <w:rPr>
          <w:b/>
          <w:bCs/>
          <w:color w:val="000000"/>
          <w:sz w:val="24"/>
          <w:szCs w:val="24"/>
        </w:rPr>
        <w:t>Descrição:</w:t>
      </w:r>
      <w:r>
        <w:rPr>
          <w:color w:val="000000"/>
          <w:sz w:val="24"/>
          <w:szCs w:val="24"/>
        </w:rPr>
        <w:t xml:space="preserve"> Contratação emergencial, por dispensa de licitação, para atender demandas imediatas.</w:t>
      </w:r>
    </w:p>
    <w:p w14:paraId="3218CF75">
      <w:pPr>
        <w:jc w:val="both"/>
        <w:rPr>
          <w:color w:val="000000"/>
          <w:sz w:val="24"/>
          <w:szCs w:val="24"/>
        </w:rPr>
      </w:pPr>
    </w:p>
    <w:p w14:paraId="7CDB77D1">
      <w:pPr>
        <w:jc w:val="both"/>
        <w:rPr>
          <w:b/>
          <w:bCs/>
          <w:color w:val="000000"/>
          <w:sz w:val="24"/>
          <w:szCs w:val="24"/>
        </w:rPr>
      </w:pPr>
      <w:r>
        <w:rPr>
          <w:b/>
          <w:bCs/>
          <w:color w:val="000000"/>
          <w:sz w:val="24"/>
          <w:szCs w:val="24"/>
        </w:rPr>
        <w:t>Vantagens:</w:t>
      </w:r>
    </w:p>
    <w:p w14:paraId="0A909599">
      <w:pPr>
        <w:numPr>
          <w:ilvl w:val="0"/>
          <w:numId w:val="15"/>
        </w:numPr>
        <w:ind w:firstLine="360"/>
        <w:rPr>
          <w:color w:val="000000"/>
          <w:sz w:val="24"/>
          <w:szCs w:val="24"/>
        </w:rPr>
      </w:pPr>
      <w:r>
        <w:rPr>
          <w:color w:val="000000"/>
          <w:sz w:val="24"/>
          <w:szCs w:val="24"/>
        </w:rPr>
        <w:t>Rapidez em situações críticas.</w:t>
      </w:r>
      <w:r>
        <w:rPr>
          <w:color w:val="000000"/>
          <w:sz w:val="24"/>
          <w:szCs w:val="24"/>
        </w:rPr>
        <w:br w:type="textWrapping"/>
      </w:r>
    </w:p>
    <w:p w14:paraId="67C7CE0B">
      <w:pPr>
        <w:numPr>
          <w:ilvl w:val="0"/>
          <w:numId w:val="15"/>
        </w:numPr>
        <w:ind w:firstLine="360"/>
        <w:rPr>
          <w:color w:val="000000"/>
          <w:sz w:val="24"/>
          <w:szCs w:val="24"/>
        </w:rPr>
      </w:pPr>
      <w:r>
        <w:rPr>
          <w:color w:val="000000"/>
          <w:sz w:val="24"/>
          <w:szCs w:val="24"/>
        </w:rPr>
        <w:t>Adequada para casos pontuais emergenciais.</w:t>
      </w:r>
    </w:p>
    <w:p w14:paraId="7738766D">
      <w:pPr>
        <w:ind w:firstLine="720"/>
        <w:rPr>
          <w:color w:val="000000"/>
          <w:sz w:val="24"/>
          <w:szCs w:val="24"/>
        </w:rPr>
      </w:pPr>
    </w:p>
    <w:p w14:paraId="4C242C28">
      <w:pPr>
        <w:jc w:val="both"/>
        <w:rPr>
          <w:b/>
          <w:bCs/>
          <w:color w:val="000000"/>
          <w:sz w:val="24"/>
          <w:szCs w:val="24"/>
        </w:rPr>
      </w:pPr>
      <w:r>
        <w:rPr>
          <w:b/>
          <w:bCs/>
          <w:color w:val="000000"/>
          <w:sz w:val="24"/>
          <w:szCs w:val="24"/>
        </w:rPr>
        <w:t>Desvantagens/limitações:</w:t>
      </w:r>
    </w:p>
    <w:p w14:paraId="22BEDE6A">
      <w:pPr>
        <w:numPr>
          <w:ilvl w:val="0"/>
          <w:numId w:val="16"/>
        </w:numPr>
        <w:ind w:firstLine="360"/>
        <w:rPr>
          <w:color w:val="000000"/>
          <w:sz w:val="24"/>
          <w:szCs w:val="24"/>
        </w:rPr>
      </w:pPr>
      <w:r>
        <w:rPr>
          <w:color w:val="000000"/>
          <w:sz w:val="24"/>
          <w:szCs w:val="24"/>
        </w:rPr>
        <w:t>Não garante economicidade.</w:t>
      </w:r>
      <w:r>
        <w:rPr>
          <w:color w:val="000000"/>
          <w:sz w:val="24"/>
          <w:szCs w:val="24"/>
        </w:rPr>
        <w:br w:type="textWrapping"/>
      </w:r>
    </w:p>
    <w:p w14:paraId="0F6740DB">
      <w:pPr>
        <w:numPr>
          <w:ilvl w:val="0"/>
          <w:numId w:val="16"/>
        </w:numPr>
        <w:ind w:firstLine="360"/>
        <w:rPr>
          <w:color w:val="000000"/>
          <w:sz w:val="24"/>
          <w:szCs w:val="24"/>
        </w:rPr>
      </w:pPr>
      <w:r>
        <w:rPr>
          <w:color w:val="000000"/>
          <w:sz w:val="24"/>
          <w:szCs w:val="24"/>
        </w:rPr>
        <w:t>Contratação excepcional, não podendo ser utilizada como solução permanente.</w:t>
      </w:r>
      <w:r>
        <w:rPr>
          <w:color w:val="000000"/>
          <w:sz w:val="24"/>
          <w:szCs w:val="24"/>
        </w:rPr>
        <w:br w:type="textWrapping"/>
      </w:r>
    </w:p>
    <w:p w14:paraId="072FDBD1">
      <w:pPr>
        <w:numPr>
          <w:ilvl w:val="0"/>
          <w:numId w:val="16"/>
        </w:numPr>
        <w:ind w:firstLine="360"/>
        <w:rPr>
          <w:color w:val="000000"/>
          <w:sz w:val="24"/>
          <w:szCs w:val="24"/>
        </w:rPr>
      </w:pPr>
      <w:r>
        <w:rPr>
          <w:color w:val="000000"/>
          <w:sz w:val="24"/>
          <w:szCs w:val="24"/>
        </w:rPr>
        <w:t>Elevado risco de sobrepreço e fragilização administrativa.</w:t>
      </w:r>
      <w:r>
        <w:rPr>
          <w:color w:val="000000"/>
          <w:sz w:val="24"/>
          <w:szCs w:val="24"/>
        </w:rPr>
        <w:br w:type="textWrapping"/>
      </w:r>
    </w:p>
    <w:p w14:paraId="521094A0">
      <w:pPr>
        <w:numPr>
          <w:ilvl w:val="0"/>
          <w:numId w:val="16"/>
        </w:numPr>
        <w:ind w:firstLine="360"/>
        <w:rPr>
          <w:color w:val="000000"/>
          <w:sz w:val="24"/>
          <w:szCs w:val="24"/>
        </w:rPr>
      </w:pPr>
      <w:r>
        <w:rPr>
          <w:color w:val="000000"/>
          <w:sz w:val="24"/>
          <w:szCs w:val="24"/>
        </w:rPr>
        <w:t>Uso recorrente configura irregularidade e afronta ao princípio da contratação pública planejada.</w:t>
      </w:r>
    </w:p>
    <w:p w14:paraId="6122A4B3">
      <w:pPr>
        <w:spacing w:before="240" w:after="240"/>
        <w:jc w:val="both"/>
        <w:rPr>
          <w:color w:val="000000"/>
          <w:sz w:val="24"/>
          <w:szCs w:val="24"/>
        </w:rPr>
      </w:pPr>
      <w:r>
        <w:rPr>
          <w:b/>
          <w:bCs/>
          <w:color w:val="000000"/>
          <w:sz w:val="24"/>
          <w:szCs w:val="24"/>
        </w:rPr>
        <w:t>Conclusão:</w:t>
      </w:r>
      <w:r>
        <w:rPr>
          <w:color w:val="000000"/>
          <w:sz w:val="24"/>
          <w:szCs w:val="24"/>
        </w:rPr>
        <w:t xml:space="preserve"> </w:t>
      </w:r>
      <w:r>
        <w:rPr>
          <w:b/>
          <w:bCs/>
          <w:color w:val="000000"/>
          <w:sz w:val="24"/>
          <w:szCs w:val="24"/>
        </w:rPr>
        <w:t>Não viável como solução contínua</w:t>
      </w:r>
      <w:r>
        <w:rPr>
          <w:color w:val="000000"/>
          <w:sz w:val="24"/>
          <w:szCs w:val="24"/>
        </w:rPr>
        <w:t>; deve ser utilizada apenas excepcionalmente, quando não houver ARP vigente.</w:t>
      </w:r>
    </w:p>
    <w:p w14:paraId="09155A6C">
      <w:pPr>
        <w:jc w:val="both"/>
        <w:rPr>
          <w:b/>
          <w:bCs/>
          <w:color w:val="000000"/>
          <w:sz w:val="24"/>
          <w:szCs w:val="24"/>
        </w:rPr>
      </w:pPr>
      <w:r>
        <w:rPr>
          <w:color w:val="000000"/>
          <w:sz w:val="24"/>
          <w:szCs w:val="24"/>
        </w:rPr>
        <w:t>6.4 -</w:t>
      </w:r>
      <w:r>
        <w:rPr>
          <w:b/>
          <w:bCs/>
          <w:color w:val="000000"/>
          <w:sz w:val="24"/>
          <w:szCs w:val="24"/>
        </w:rPr>
        <w:t xml:space="preserve"> Adesão a Ata de Registro de Preços existente (carona)</w:t>
      </w:r>
    </w:p>
    <w:p w14:paraId="133A8A39">
      <w:pPr>
        <w:jc w:val="both"/>
        <w:rPr>
          <w:b/>
          <w:bCs/>
          <w:color w:val="000000"/>
          <w:sz w:val="24"/>
          <w:szCs w:val="24"/>
        </w:rPr>
      </w:pPr>
    </w:p>
    <w:p w14:paraId="47D56DE5">
      <w:pPr>
        <w:jc w:val="both"/>
        <w:rPr>
          <w:color w:val="000000"/>
          <w:sz w:val="24"/>
          <w:szCs w:val="24"/>
        </w:rPr>
      </w:pPr>
      <w:r>
        <w:rPr>
          <w:b/>
          <w:bCs/>
          <w:color w:val="000000"/>
          <w:sz w:val="24"/>
          <w:szCs w:val="24"/>
        </w:rPr>
        <w:t>Descrição:</w:t>
      </w:r>
      <w:r>
        <w:rPr>
          <w:color w:val="000000"/>
          <w:sz w:val="24"/>
          <w:szCs w:val="24"/>
        </w:rPr>
        <w:t xml:space="preserve"> Utilização de ata de outro órgão, desde que compatível e vantajosa.</w:t>
      </w:r>
    </w:p>
    <w:p w14:paraId="61E5C514">
      <w:pPr>
        <w:jc w:val="both"/>
        <w:rPr>
          <w:color w:val="000000"/>
          <w:sz w:val="24"/>
          <w:szCs w:val="24"/>
        </w:rPr>
      </w:pPr>
    </w:p>
    <w:p w14:paraId="46C676C4">
      <w:pPr>
        <w:jc w:val="both"/>
        <w:rPr>
          <w:b/>
          <w:bCs/>
          <w:color w:val="000000"/>
          <w:sz w:val="24"/>
          <w:szCs w:val="24"/>
        </w:rPr>
      </w:pPr>
      <w:r>
        <w:rPr>
          <w:b/>
          <w:bCs/>
          <w:color w:val="000000"/>
          <w:sz w:val="24"/>
          <w:szCs w:val="24"/>
        </w:rPr>
        <w:t>Vantagens:</w:t>
      </w:r>
    </w:p>
    <w:p w14:paraId="46C729A0">
      <w:pPr>
        <w:numPr>
          <w:ilvl w:val="0"/>
          <w:numId w:val="17"/>
        </w:numPr>
        <w:ind w:firstLine="360"/>
        <w:rPr>
          <w:color w:val="000000"/>
          <w:sz w:val="24"/>
          <w:szCs w:val="24"/>
        </w:rPr>
      </w:pPr>
      <w:r>
        <w:rPr>
          <w:color w:val="000000"/>
          <w:sz w:val="24"/>
          <w:szCs w:val="24"/>
        </w:rPr>
        <w:t>Agilidade no acesso aos itens.</w:t>
      </w:r>
      <w:r>
        <w:rPr>
          <w:color w:val="000000"/>
          <w:sz w:val="24"/>
          <w:szCs w:val="24"/>
        </w:rPr>
        <w:br w:type="textWrapping"/>
      </w:r>
    </w:p>
    <w:p w14:paraId="6194B298">
      <w:pPr>
        <w:numPr>
          <w:ilvl w:val="0"/>
          <w:numId w:val="17"/>
        </w:numPr>
        <w:ind w:firstLine="360"/>
        <w:rPr>
          <w:color w:val="000000"/>
          <w:sz w:val="24"/>
          <w:szCs w:val="24"/>
        </w:rPr>
      </w:pPr>
      <w:r>
        <w:rPr>
          <w:color w:val="000000"/>
          <w:sz w:val="24"/>
          <w:szCs w:val="24"/>
        </w:rPr>
        <w:t>Possibilidade de aproveitar preços e condições pré-estabelecidos.</w:t>
      </w:r>
      <w:r>
        <w:rPr>
          <w:color w:val="000000"/>
          <w:sz w:val="24"/>
          <w:szCs w:val="24"/>
        </w:rPr>
        <w:br w:type="textWrapping"/>
      </w:r>
    </w:p>
    <w:p w14:paraId="20945866">
      <w:pPr>
        <w:numPr>
          <w:ilvl w:val="0"/>
          <w:numId w:val="17"/>
        </w:numPr>
        <w:ind w:firstLine="360"/>
        <w:rPr>
          <w:color w:val="000000"/>
          <w:sz w:val="24"/>
          <w:szCs w:val="24"/>
        </w:rPr>
      </w:pPr>
      <w:r>
        <w:rPr>
          <w:color w:val="000000"/>
          <w:sz w:val="24"/>
          <w:szCs w:val="24"/>
        </w:rPr>
        <w:t>Menor custo operacional por eliminar a fase de licitação própria.</w:t>
      </w:r>
    </w:p>
    <w:p w14:paraId="760FF919">
      <w:pPr>
        <w:ind w:firstLine="720"/>
        <w:rPr>
          <w:color w:val="000000"/>
          <w:sz w:val="24"/>
          <w:szCs w:val="24"/>
        </w:rPr>
      </w:pPr>
    </w:p>
    <w:p w14:paraId="5DD42F30">
      <w:pPr>
        <w:jc w:val="both"/>
        <w:rPr>
          <w:b/>
          <w:bCs/>
          <w:color w:val="000000"/>
          <w:sz w:val="24"/>
          <w:szCs w:val="24"/>
        </w:rPr>
      </w:pPr>
      <w:r>
        <w:rPr>
          <w:b/>
          <w:bCs/>
          <w:color w:val="000000"/>
          <w:sz w:val="24"/>
          <w:szCs w:val="24"/>
        </w:rPr>
        <w:t>Desvantagens/limitações:</w:t>
      </w:r>
    </w:p>
    <w:p w14:paraId="30232F10">
      <w:pPr>
        <w:numPr>
          <w:ilvl w:val="0"/>
          <w:numId w:val="18"/>
        </w:numPr>
        <w:ind w:firstLine="360"/>
        <w:rPr>
          <w:color w:val="000000"/>
          <w:sz w:val="24"/>
          <w:szCs w:val="24"/>
        </w:rPr>
      </w:pPr>
      <w:r>
        <w:rPr>
          <w:color w:val="000000"/>
          <w:sz w:val="24"/>
          <w:szCs w:val="24"/>
        </w:rPr>
        <w:t>Limitações de quantitativo por saldo da ata original.</w:t>
      </w:r>
      <w:r>
        <w:rPr>
          <w:color w:val="000000"/>
          <w:sz w:val="24"/>
          <w:szCs w:val="24"/>
        </w:rPr>
        <w:br w:type="textWrapping"/>
      </w:r>
    </w:p>
    <w:p w14:paraId="50D13E7F">
      <w:pPr>
        <w:numPr>
          <w:ilvl w:val="0"/>
          <w:numId w:val="18"/>
        </w:numPr>
        <w:ind w:firstLine="360"/>
        <w:rPr>
          <w:color w:val="000000"/>
          <w:sz w:val="24"/>
          <w:szCs w:val="24"/>
        </w:rPr>
      </w:pPr>
      <w:r>
        <w:rPr>
          <w:color w:val="000000"/>
          <w:sz w:val="24"/>
          <w:szCs w:val="24"/>
        </w:rPr>
        <w:t>Eventual incompatibilidade de itens, marcas ou especificações.</w:t>
      </w:r>
      <w:r>
        <w:rPr>
          <w:color w:val="000000"/>
          <w:sz w:val="24"/>
          <w:szCs w:val="24"/>
        </w:rPr>
        <w:br w:type="textWrapping"/>
      </w:r>
    </w:p>
    <w:p w14:paraId="06576522">
      <w:pPr>
        <w:numPr>
          <w:ilvl w:val="0"/>
          <w:numId w:val="18"/>
        </w:numPr>
        <w:ind w:firstLine="360"/>
        <w:rPr>
          <w:color w:val="000000"/>
          <w:sz w:val="24"/>
          <w:szCs w:val="24"/>
        </w:rPr>
      </w:pPr>
      <w:r>
        <w:rPr>
          <w:color w:val="000000"/>
          <w:sz w:val="24"/>
          <w:szCs w:val="24"/>
        </w:rPr>
        <w:t>Necessidade de comprovar vantajosidade do preço e aderência ao objeto.</w:t>
      </w:r>
      <w:r>
        <w:rPr>
          <w:color w:val="000000"/>
          <w:sz w:val="24"/>
          <w:szCs w:val="24"/>
        </w:rPr>
        <w:br w:type="textWrapping"/>
      </w:r>
    </w:p>
    <w:p w14:paraId="61CF7868">
      <w:pPr>
        <w:numPr>
          <w:ilvl w:val="0"/>
          <w:numId w:val="18"/>
        </w:numPr>
        <w:ind w:firstLine="360"/>
        <w:rPr>
          <w:color w:val="000000"/>
          <w:sz w:val="24"/>
          <w:szCs w:val="24"/>
        </w:rPr>
      </w:pPr>
      <w:r>
        <w:rPr>
          <w:color w:val="000000"/>
          <w:sz w:val="24"/>
          <w:szCs w:val="24"/>
        </w:rPr>
        <w:t>Dependência da disponibilidade da ata originária.</w:t>
      </w:r>
    </w:p>
    <w:p w14:paraId="6F4B0A51">
      <w:pPr>
        <w:ind w:firstLine="720"/>
        <w:rPr>
          <w:color w:val="000000"/>
          <w:sz w:val="24"/>
          <w:szCs w:val="24"/>
        </w:rPr>
      </w:pPr>
    </w:p>
    <w:p w14:paraId="2CD7ABC8">
      <w:pPr>
        <w:jc w:val="both"/>
        <w:rPr>
          <w:color w:val="000000"/>
          <w:sz w:val="24"/>
          <w:szCs w:val="24"/>
        </w:rPr>
      </w:pPr>
      <w:r>
        <w:rPr>
          <w:b/>
          <w:bCs/>
          <w:color w:val="000000"/>
          <w:sz w:val="24"/>
          <w:szCs w:val="24"/>
        </w:rPr>
        <w:t>Conclusão:</w:t>
      </w:r>
      <w:r>
        <w:rPr>
          <w:color w:val="000000"/>
          <w:sz w:val="24"/>
          <w:szCs w:val="24"/>
        </w:rPr>
        <w:t xml:space="preserve"> Viável como solução complementar, desde que cumpridos requisitos legais e comprovada economicidade. Não substitui a necessidade de instrumento próprio quando a demanda é contínua e extensa.</w:t>
      </w:r>
    </w:p>
    <w:p w14:paraId="68E5CFED">
      <w:pPr>
        <w:jc w:val="both"/>
        <w:rPr>
          <w:color w:val="000000"/>
          <w:sz w:val="24"/>
          <w:szCs w:val="24"/>
        </w:rPr>
      </w:pPr>
    </w:p>
    <w:p w14:paraId="5366A0BF">
      <w:pPr>
        <w:jc w:val="both"/>
        <w:rPr>
          <w:b/>
          <w:bCs/>
          <w:color w:val="000000"/>
          <w:sz w:val="24"/>
          <w:szCs w:val="24"/>
        </w:rPr>
      </w:pPr>
      <w:r>
        <w:rPr>
          <w:color w:val="000000"/>
          <w:sz w:val="24"/>
          <w:szCs w:val="24"/>
        </w:rPr>
        <w:t>6.5 -</w:t>
      </w:r>
      <w:r>
        <w:rPr>
          <w:b/>
          <w:bCs/>
          <w:color w:val="000000"/>
          <w:sz w:val="24"/>
          <w:szCs w:val="24"/>
        </w:rPr>
        <w:t xml:space="preserve"> Realização de Registro de Preços próprio (Pregão para SRP)</w:t>
      </w:r>
    </w:p>
    <w:p w14:paraId="23319D93">
      <w:pPr>
        <w:jc w:val="both"/>
        <w:rPr>
          <w:b/>
          <w:bCs/>
          <w:color w:val="000000"/>
          <w:sz w:val="24"/>
          <w:szCs w:val="24"/>
        </w:rPr>
      </w:pPr>
    </w:p>
    <w:p w14:paraId="4176D03E">
      <w:pPr>
        <w:jc w:val="both"/>
        <w:rPr>
          <w:color w:val="000000"/>
          <w:sz w:val="24"/>
          <w:szCs w:val="24"/>
        </w:rPr>
      </w:pPr>
      <w:r>
        <w:rPr>
          <w:b/>
          <w:bCs/>
          <w:color w:val="000000"/>
          <w:sz w:val="24"/>
          <w:szCs w:val="24"/>
        </w:rPr>
        <w:t>Descrição:</w:t>
      </w:r>
      <w:r>
        <w:rPr>
          <w:color w:val="000000"/>
          <w:sz w:val="24"/>
          <w:szCs w:val="24"/>
        </w:rPr>
        <w:t xml:space="preserve"> Realização de processo licitatório na modalidade pregão, visando formar Ata de Registro de Preço específica.</w:t>
      </w:r>
    </w:p>
    <w:p w14:paraId="061FAB13">
      <w:pPr>
        <w:jc w:val="both"/>
        <w:rPr>
          <w:color w:val="000000"/>
          <w:sz w:val="24"/>
          <w:szCs w:val="24"/>
        </w:rPr>
      </w:pPr>
    </w:p>
    <w:p w14:paraId="07F2B57F">
      <w:pPr>
        <w:jc w:val="both"/>
        <w:rPr>
          <w:b/>
          <w:bCs/>
          <w:color w:val="000000"/>
          <w:sz w:val="24"/>
          <w:szCs w:val="24"/>
        </w:rPr>
      </w:pPr>
      <w:r>
        <w:rPr>
          <w:b/>
          <w:bCs/>
          <w:color w:val="000000"/>
          <w:sz w:val="24"/>
          <w:szCs w:val="24"/>
        </w:rPr>
        <w:t>Vantagens:</w:t>
      </w:r>
    </w:p>
    <w:p w14:paraId="05298874">
      <w:pPr>
        <w:numPr>
          <w:ilvl w:val="0"/>
          <w:numId w:val="19"/>
        </w:numPr>
        <w:ind w:firstLine="360"/>
        <w:rPr>
          <w:color w:val="000000"/>
          <w:sz w:val="24"/>
          <w:szCs w:val="24"/>
        </w:rPr>
      </w:pPr>
      <w:r>
        <w:rPr>
          <w:color w:val="000000"/>
          <w:sz w:val="24"/>
          <w:szCs w:val="24"/>
        </w:rPr>
        <w:t>Adequação à natureza eventual e futura da demanda.</w:t>
      </w:r>
      <w:r>
        <w:rPr>
          <w:color w:val="000000"/>
          <w:sz w:val="24"/>
          <w:szCs w:val="24"/>
        </w:rPr>
        <w:br w:type="textWrapping"/>
      </w:r>
    </w:p>
    <w:p w14:paraId="25649047">
      <w:pPr>
        <w:numPr>
          <w:ilvl w:val="0"/>
          <w:numId w:val="19"/>
        </w:numPr>
        <w:ind w:firstLine="360"/>
        <w:rPr>
          <w:color w:val="000000"/>
          <w:sz w:val="24"/>
          <w:szCs w:val="24"/>
        </w:rPr>
      </w:pPr>
      <w:r>
        <w:rPr>
          <w:color w:val="000000"/>
          <w:sz w:val="24"/>
          <w:szCs w:val="24"/>
        </w:rPr>
        <w:t>Flexibilidade para aquisição conforme necessidade real, sem superestimar estoque.</w:t>
      </w:r>
      <w:r>
        <w:rPr>
          <w:color w:val="000000"/>
          <w:sz w:val="24"/>
          <w:szCs w:val="24"/>
        </w:rPr>
        <w:br w:type="textWrapping"/>
      </w:r>
    </w:p>
    <w:p w14:paraId="1DFFA7DF">
      <w:pPr>
        <w:numPr>
          <w:ilvl w:val="0"/>
          <w:numId w:val="19"/>
        </w:numPr>
        <w:ind w:firstLine="360"/>
        <w:rPr>
          <w:color w:val="000000"/>
          <w:sz w:val="24"/>
          <w:szCs w:val="24"/>
        </w:rPr>
      </w:pPr>
      <w:r>
        <w:rPr>
          <w:color w:val="000000"/>
          <w:sz w:val="24"/>
          <w:szCs w:val="24"/>
        </w:rPr>
        <w:t>Possibilidade de contratar o maior desconto sobre Tabela CMED/ANVISA.</w:t>
      </w:r>
      <w:r>
        <w:rPr>
          <w:color w:val="000000"/>
          <w:sz w:val="24"/>
          <w:szCs w:val="24"/>
        </w:rPr>
        <w:br w:type="textWrapping"/>
      </w:r>
    </w:p>
    <w:p w14:paraId="73D7D2B3">
      <w:pPr>
        <w:numPr>
          <w:ilvl w:val="0"/>
          <w:numId w:val="19"/>
        </w:numPr>
        <w:ind w:firstLine="360"/>
        <w:rPr>
          <w:color w:val="000000"/>
          <w:sz w:val="24"/>
          <w:szCs w:val="24"/>
        </w:rPr>
      </w:pPr>
      <w:r>
        <w:rPr>
          <w:color w:val="000000"/>
          <w:sz w:val="24"/>
          <w:szCs w:val="24"/>
        </w:rPr>
        <w:t>Permite programação orçamentária mais eficiente.</w:t>
      </w:r>
      <w:r>
        <w:rPr>
          <w:color w:val="000000"/>
          <w:sz w:val="24"/>
          <w:szCs w:val="24"/>
        </w:rPr>
        <w:br w:type="textWrapping"/>
      </w:r>
    </w:p>
    <w:p w14:paraId="39BB222D">
      <w:pPr>
        <w:numPr>
          <w:ilvl w:val="0"/>
          <w:numId w:val="19"/>
        </w:numPr>
        <w:ind w:firstLine="360"/>
        <w:rPr>
          <w:color w:val="000000"/>
          <w:sz w:val="24"/>
          <w:szCs w:val="24"/>
        </w:rPr>
      </w:pPr>
      <w:r>
        <w:rPr>
          <w:color w:val="000000"/>
          <w:sz w:val="24"/>
          <w:szCs w:val="24"/>
        </w:rPr>
        <w:t>Garante segurança jurídica e conformidade com decisões judiciais.</w:t>
      </w:r>
      <w:r>
        <w:rPr>
          <w:color w:val="000000"/>
          <w:sz w:val="24"/>
          <w:szCs w:val="24"/>
        </w:rPr>
        <w:br w:type="textWrapping"/>
      </w:r>
    </w:p>
    <w:p w14:paraId="5B1AE9A5">
      <w:pPr>
        <w:numPr>
          <w:ilvl w:val="0"/>
          <w:numId w:val="19"/>
        </w:numPr>
        <w:ind w:firstLine="360"/>
        <w:rPr>
          <w:color w:val="000000"/>
          <w:sz w:val="24"/>
          <w:szCs w:val="24"/>
        </w:rPr>
      </w:pPr>
      <w:r>
        <w:rPr>
          <w:color w:val="000000"/>
          <w:sz w:val="24"/>
          <w:szCs w:val="24"/>
        </w:rPr>
        <w:t>Reduz risco de desabastecimento.</w:t>
      </w:r>
      <w:r>
        <w:rPr>
          <w:color w:val="000000"/>
          <w:sz w:val="24"/>
          <w:szCs w:val="24"/>
        </w:rPr>
        <w:br w:type="textWrapping"/>
      </w:r>
    </w:p>
    <w:p w14:paraId="32823BDB">
      <w:pPr>
        <w:numPr>
          <w:ilvl w:val="0"/>
          <w:numId w:val="19"/>
        </w:numPr>
        <w:ind w:firstLine="360"/>
        <w:rPr>
          <w:color w:val="000000"/>
          <w:sz w:val="24"/>
          <w:szCs w:val="24"/>
        </w:rPr>
      </w:pPr>
      <w:r>
        <w:rPr>
          <w:color w:val="000000"/>
          <w:sz w:val="24"/>
          <w:szCs w:val="24"/>
        </w:rPr>
        <w:t>Economia em razão de preços padronizados e competitivos.</w:t>
      </w:r>
      <w:r>
        <w:rPr>
          <w:color w:val="000000"/>
          <w:sz w:val="24"/>
          <w:szCs w:val="24"/>
        </w:rPr>
        <w:br w:type="textWrapping"/>
      </w:r>
    </w:p>
    <w:p w14:paraId="493EFD07">
      <w:pPr>
        <w:jc w:val="both"/>
        <w:rPr>
          <w:b/>
          <w:bCs/>
          <w:color w:val="000000"/>
          <w:sz w:val="24"/>
          <w:szCs w:val="24"/>
        </w:rPr>
      </w:pPr>
      <w:r>
        <w:rPr>
          <w:b/>
          <w:bCs/>
          <w:color w:val="000000"/>
          <w:sz w:val="24"/>
          <w:szCs w:val="24"/>
        </w:rPr>
        <w:t>Limitações:</w:t>
      </w:r>
    </w:p>
    <w:p w14:paraId="107DBF6D">
      <w:pPr>
        <w:numPr>
          <w:ilvl w:val="0"/>
          <w:numId w:val="20"/>
        </w:numPr>
        <w:ind w:firstLine="360"/>
        <w:rPr>
          <w:color w:val="000000"/>
          <w:sz w:val="24"/>
          <w:szCs w:val="24"/>
        </w:rPr>
      </w:pPr>
      <w:r>
        <w:rPr>
          <w:color w:val="000000"/>
          <w:sz w:val="24"/>
          <w:szCs w:val="24"/>
        </w:rPr>
        <w:t>Exige planejamento inicial e análise técnica adequada.</w:t>
      </w:r>
      <w:r>
        <w:rPr>
          <w:color w:val="000000"/>
          <w:sz w:val="24"/>
          <w:szCs w:val="24"/>
        </w:rPr>
        <w:br w:type="textWrapping"/>
      </w:r>
    </w:p>
    <w:p w14:paraId="43256FD2">
      <w:pPr>
        <w:numPr>
          <w:ilvl w:val="0"/>
          <w:numId w:val="20"/>
        </w:numPr>
        <w:ind w:firstLine="360"/>
        <w:rPr>
          <w:color w:val="000000"/>
          <w:sz w:val="24"/>
          <w:szCs w:val="24"/>
        </w:rPr>
      </w:pPr>
      <w:r>
        <w:rPr>
          <w:color w:val="000000"/>
          <w:sz w:val="24"/>
          <w:szCs w:val="24"/>
        </w:rPr>
        <w:t>Demanda participação e adesão efetiva do mercado licitante.</w:t>
      </w:r>
      <w:r>
        <w:rPr>
          <w:color w:val="000000"/>
          <w:sz w:val="24"/>
          <w:szCs w:val="24"/>
        </w:rPr>
        <w:br w:type="textWrapping"/>
      </w:r>
    </w:p>
    <w:p w14:paraId="0E3FA01C">
      <w:pPr>
        <w:jc w:val="both"/>
        <w:rPr>
          <w:color w:val="000000"/>
          <w:sz w:val="24"/>
          <w:szCs w:val="24"/>
        </w:rPr>
      </w:pPr>
      <w:r>
        <w:rPr>
          <w:b/>
          <w:bCs/>
          <w:color w:val="000000"/>
          <w:sz w:val="24"/>
          <w:szCs w:val="24"/>
        </w:rPr>
        <w:t>Conclusão:</w:t>
      </w:r>
      <w:r>
        <w:rPr>
          <w:color w:val="000000"/>
          <w:sz w:val="24"/>
          <w:szCs w:val="24"/>
        </w:rPr>
        <w:t xml:space="preserve"> </w:t>
      </w:r>
      <w:r>
        <w:rPr>
          <w:b/>
          <w:bCs/>
          <w:color w:val="000000"/>
          <w:sz w:val="24"/>
          <w:szCs w:val="24"/>
        </w:rPr>
        <w:t>Solução mais adequada e recomendada</w:t>
      </w:r>
      <w:r>
        <w:rPr>
          <w:color w:val="000000"/>
          <w:sz w:val="24"/>
          <w:szCs w:val="24"/>
        </w:rPr>
        <w:t>, por atender plenamente os princípios do planejamento, economicidade, eficiência e continuidade do tratamento farmacoterapêutico, além de garantir cumprimento das determinações judiciais.</w:t>
      </w:r>
    </w:p>
    <w:p w14:paraId="39EE1D53">
      <w:pPr>
        <w:jc w:val="both"/>
        <w:rPr>
          <w:color w:val="000000"/>
          <w:sz w:val="24"/>
          <w:szCs w:val="24"/>
        </w:rPr>
      </w:pPr>
    </w:p>
    <w:p w14:paraId="7EE7DA1B">
      <w:pPr>
        <w:jc w:val="both"/>
        <w:rPr>
          <w:b/>
          <w:bCs/>
          <w:color w:val="000000"/>
          <w:sz w:val="24"/>
          <w:szCs w:val="24"/>
        </w:rPr>
      </w:pPr>
      <w:r>
        <w:rPr>
          <w:color w:val="000000"/>
          <w:sz w:val="24"/>
          <w:szCs w:val="24"/>
        </w:rPr>
        <w:t xml:space="preserve">6.6 - </w:t>
      </w:r>
      <w:r>
        <w:rPr>
          <w:b/>
          <w:bCs/>
          <w:color w:val="000000"/>
          <w:sz w:val="24"/>
          <w:szCs w:val="24"/>
        </w:rPr>
        <w:t>Conclusão do levantamento de soluções</w:t>
      </w:r>
    </w:p>
    <w:p w14:paraId="1FA73FA9">
      <w:pPr>
        <w:jc w:val="both"/>
        <w:rPr>
          <w:color w:val="000000"/>
          <w:sz w:val="24"/>
          <w:szCs w:val="24"/>
        </w:rPr>
      </w:pPr>
      <w:r>
        <w:rPr>
          <w:color w:val="000000"/>
          <w:sz w:val="24"/>
          <w:szCs w:val="24"/>
        </w:rPr>
        <w:t>Após a análise das alternativas disponíveis, identificou-se que a opção mais vantajosa para a Administração é a formação de Registro de Preços próprio, estruturado para aquisição eventual e futura de medicamentos éticos, similares e genéricos de A a Z, com base no maior desconto sobre a Tabela CMED/ANVISA. Essa solução atende às demandas assistenciais e judiciais, proporciona economicidade, previsibilidade e segurança jurídica, e minimiza riscos operacionais e sanitários.</w:t>
      </w:r>
    </w:p>
    <w:p w14:paraId="6E4207FD">
      <w:pPr>
        <w:jc w:val="both"/>
        <w:rPr>
          <w:color w:val="000000"/>
          <w:sz w:val="24"/>
          <w:szCs w:val="24"/>
          <w:highlight w:val="white"/>
        </w:rPr>
      </w:pPr>
    </w:p>
    <w:p w14:paraId="76396DB1">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REGISTRO DE SOLUÇÕES CONSIDERADAS INVIÁVEIS</w:t>
      </w:r>
    </w:p>
    <w:p w14:paraId="14321803">
      <w:pPr>
        <w:widowControl w:val="0"/>
        <w:tabs>
          <w:tab w:val="left" w:pos="555"/>
          <w:tab w:val="left" w:pos="840"/>
          <w:tab w:val="left" w:pos="1140"/>
          <w:tab w:val="left" w:pos="1395"/>
          <w:tab w:val="left" w:pos="1650"/>
          <w:tab w:val="left" w:pos="1965"/>
          <w:tab w:val="left" w:pos="2220"/>
          <w:tab w:val="left" w:pos="7336"/>
        </w:tabs>
        <w:spacing w:before="240" w:after="240"/>
        <w:jc w:val="both"/>
        <w:rPr>
          <w:color w:val="000000"/>
          <w:sz w:val="24"/>
          <w:szCs w:val="24"/>
        </w:rPr>
      </w:pPr>
      <w:r>
        <w:rPr>
          <w:color w:val="000000"/>
          <w:sz w:val="24"/>
          <w:szCs w:val="24"/>
        </w:rPr>
        <w:t>Durante o processo de análise e levantamento de alternativas para atendimento à necessidade de aquisição eventual e futura de medicamentos éticos, similares e genéricos de A a Z, considerando o maior desconto sobre a Tabela CMED/ANVISA, foram avaliadas as seguintes soluções, posteriormente classificadas como inviáveis:</w:t>
      </w:r>
    </w:p>
    <w:p w14:paraId="60CFF68A">
      <w:pPr>
        <w:widowControl w:val="0"/>
        <w:tabs>
          <w:tab w:val="left" w:pos="555"/>
          <w:tab w:val="left" w:pos="840"/>
          <w:tab w:val="left" w:pos="1140"/>
          <w:tab w:val="left" w:pos="1395"/>
          <w:tab w:val="left" w:pos="1650"/>
          <w:tab w:val="left" w:pos="1965"/>
          <w:tab w:val="left" w:pos="2220"/>
          <w:tab w:val="left" w:pos="7336"/>
        </w:tabs>
        <w:jc w:val="both"/>
        <w:rPr>
          <w:b/>
          <w:bCs/>
          <w:color w:val="000000"/>
          <w:sz w:val="24"/>
          <w:szCs w:val="24"/>
        </w:rPr>
      </w:pPr>
      <w:r>
        <w:rPr>
          <w:color w:val="000000"/>
          <w:sz w:val="24"/>
          <w:szCs w:val="24"/>
        </w:rPr>
        <w:t>7.1 -</w:t>
      </w:r>
      <w:r>
        <w:rPr>
          <w:b/>
          <w:bCs/>
          <w:color w:val="000000"/>
          <w:sz w:val="24"/>
          <w:szCs w:val="24"/>
        </w:rPr>
        <w:t xml:space="preserve"> Aquisição direta por demanda (compra individual sem registro de preços)</w:t>
      </w:r>
    </w:p>
    <w:p w14:paraId="253208F7">
      <w:pPr>
        <w:widowControl w:val="0"/>
        <w:tabs>
          <w:tab w:val="left" w:pos="555"/>
          <w:tab w:val="left" w:pos="840"/>
          <w:tab w:val="left" w:pos="1140"/>
          <w:tab w:val="left" w:pos="1395"/>
          <w:tab w:val="left" w:pos="1650"/>
          <w:tab w:val="left" w:pos="1965"/>
          <w:tab w:val="left" w:pos="2220"/>
          <w:tab w:val="left" w:pos="7336"/>
        </w:tabs>
        <w:spacing w:before="240" w:after="240"/>
        <w:jc w:val="both"/>
        <w:rPr>
          <w:color w:val="000000"/>
          <w:sz w:val="24"/>
          <w:szCs w:val="24"/>
        </w:rPr>
      </w:pPr>
      <w:r>
        <w:rPr>
          <w:b/>
          <w:bCs/>
          <w:color w:val="000000"/>
          <w:sz w:val="24"/>
          <w:szCs w:val="24"/>
        </w:rPr>
        <w:t>Motivo da inviabilidade:</w:t>
      </w:r>
      <w:r>
        <w:rPr>
          <w:b/>
          <w:bCs/>
          <w:color w:val="000000"/>
          <w:sz w:val="24"/>
          <w:szCs w:val="24"/>
        </w:rPr>
        <w:br w:type="textWrapping"/>
      </w:r>
      <w:r>
        <w:rPr>
          <w:color w:val="000000"/>
          <w:sz w:val="24"/>
          <w:szCs w:val="24"/>
        </w:rPr>
        <w:t xml:space="preserve"> Este modelo exige abertura e tramitação de processo administrativo a cada necessidade de fornecimento, o que compromete a tempestividade do atendimento assistencial e, principalmente, o cumprimento das decisões judiciais que demandam fornecimento imediato. A solução gera fragmentação das compras, dificulta o planejamento orçamentário e aumenta o risco de aquisição por valores superiores aos praticados no mercado, configurando ineficiência e risco de descontinuidade terapêutica.</w:t>
      </w:r>
    </w:p>
    <w:p w14:paraId="0B8EB6BD">
      <w:pPr>
        <w:widowControl w:val="0"/>
        <w:tabs>
          <w:tab w:val="left" w:pos="555"/>
          <w:tab w:val="left" w:pos="840"/>
          <w:tab w:val="left" w:pos="1140"/>
          <w:tab w:val="left" w:pos="1395"/>
          <w:tab w:val="left" w:pos="1650"/>
          <w:tab w:val="left" w:pos="1965"/>
          <w:tab w:val="left" w:pos="2220"/>
          <w:tab w:val="left" w:pos="7336"/>
        </w:tabs>
        <w:jc w:val="both"/>
        <w:rPr>
          <w:b/>
          <w:bCs/>
          <w:color w:val="000000"/>
          <w:sz w:val="24"/>
          <w:szCs w:val="24"/>
        </w:rPr>
      </w:pPr>
      <w:r>
        <w:rPr>
          <w:color w:val="000000"/>
          <w:sz w:val="24"/>
          <w:szCs w:val="24"/>
        </w:rPr>
        <w:t>7.2 -</w:t>
      </w:r>
      <w:r>
        <w:rPr>
          <w:b/>
          <w:bCs/>
          <w:color w:val="000000"/>
          <w:sz w:val="24"/>
          <w:szCs w:val="24"/>
        </w:rPr>
        <w:t xml:space="preserve"> Pregão eletrônico para compra única de grandes quantitativos</w:t>
      </w:r>
    </w:p>
    <w:p w14:paraId="7D051D50">
      <w:pPr>
        <w:widowControl w:val="0"/>
        <w:tabs>
          <w:tab w:val="left" w:pos="555"/>
          <w:tab w:val="left" w:pos="840"/>
          <w:tab w:val="left" w:pos="1140"/>
          <w:tab w:val="left" w:pos="1395"/>
          <w:tab w:val="left" w:pos="1650"/>
          <w:tab w:val="left" w:pos="1965"/>
          <w:tab w:val="left" w:pos="2220"/>
          <w:tab w:val="left" w:pos="7336"/>
        </w:tabs>
        <w:spacing w:before="240" w:after="240"/>
        <w:jc w:val="both"/>
        <w:rPr>
          <w:color w:val="000000"/>
          <w:sz w:val="24"/>
          <w:szCs w:val="24"/>
        </w:rPr>
      </w:pPr>
      <w:r>
        <w:rPr>
          <w:b/>
          <w:bCs/>
          <w:color w:val="000000"/>
          <w:sz w:val="24"/>
          <w:szCs w:val="24"/>
        </w:rPr>
        <w:t>Motivo da inviabilidade:</w:t>
      </w:r>
      <w:r>
        <w:rPr>
          <w:b/>
          <w:bCs/>
          <w:color w:val="000000"/>
          <w:sz w:val="24"/>
          <w:szCs w:val="24"/>
        </w:rPr>
        <w:br w:type="textWrapping"/>
      </w:r>
      <w:r>
        <w:rPr>
          <w:color w:val="000000"/>
          <w:sz w:val="24"/>
          <w:szCs w:val="24"/>
        </w:rPr>
        <w:t xml:space="preserve"> A demanda por medicamentos é variável, imprevisível e depende de decisões judiciais que podem surgir a qualquer momento, impedindo a definição precisa de quantitativos. A compra única pode gerar super estoque, risco de vencimento, armazenamento inadequado ou subestoque com necessidade de nova licitação. A solução não atende ao princípio da economicidade quando comparada ao modelo de registro de preços e compromete a continuidade do abastecimento.</w:t>
      </w:r>
    </w:p>
    <w:p w14:paraId="48429028">
      <w:pPr>
        <w:widowControl w:val="0"/>
        <w:tabs>
          <w:tab w:val="left" w:pos="555"/>
          <w:tab w:val="left" w:pos="840"/>
          <w:tab w:val="left" w:pos="1140"/>
          <w:tab w:val="left" w:pos="1395"/>
          <w:tab w:val="left" w:pos="1650"/>
          <w:tab w:val="left" w:pos="1965"/>
          <w:tab w:val="left" w:pos="2220"/>
          <w:tab w:val="left" w:pos="7336"/>
        </w:tabs>
        <w:jc w:val="both"/>
        <w:rPr>
          <w:b/>
          <w:bCs/>
          <w:color w:val="000000"/>
          <w:sz w:val="24"/>
          <w:szCs w:val="24"/>
        </w:rPr>
      </w:pPr>
      <w:r>
        <w:rPr>
          <w:color w:val="000000"/>
          <w:sz w:val="24"/>
          <w:szCs w:val="24"/>
        </w:rPr>
        <w:t>7.3 -</w:t>
      </w:r>
      <w:r>
        <w:rPr>
          <w:b/>
          <w:bCs/>
          <w:color w:val="000000"/>
          <w:sz w:val="24"/>
          <w:szCs w:val="24"/>
        </w:rPr>
        <w:t xml:space="preserve"> Contratação emergencial por dispensa de licitação como solução permanente</w:t>
      </w:r>
    </w:p>
    <w:p w14:paraId="3CA11F61">
      <w:pPr>
        <w:widowControl w:val="0"/>
        <w:tabs>
          <w:tab w:val="left" w:pos="555"/>
          <w:tab w:val="left" w:pos="840"/>
          <w:tab w:val="left" w:pos="1140"/>
          <w:tab w:val="left" w:pos="1395"/>
          <w:tab w:val="left" w:pos="1650"/>
          <w:tab w:val="left" w:pos="1965"/>
          <w:tab w:val="left" w:pos="2220"/>
          <w:tab w:val="left" w:pos="7336"/>
        </w:tabs>
        <w:spacing w:before="240" w:after="240"/>
        <w:jc w:val="both"/>
        <w:rPr>
          <w:color w:val="000000"/>
          <w:sz w:val="24"/>
          <w:szCs w:val="24"/>
        </w:rPr>
      </w:pPr>
      <w:r>
        <w:rPr>
          <w:b/>
          <w:bCs/>
          <w:color w:val="000000"/>
          <w:sz w:val="24"/>
          <w:szCs w:val="24"/>
        </w:rPr>
        <w:t>Motivo da inviabilidade:</w:t>
      </w:r>
      <w:r>
        <w:rPr>
          <w:b/>
          <w:bCs/>
          <w:color w:val="000000"/>
          <w:sz w:val="24"/>
          <w:szCs w:val="24"/>
        </w:rPr>
        <w:br w:type="textWrapping"/>
      </w:r>
      <w:r>
        <w:rPr>
          <w:color w:val="000000"/>
          <w:sz w:val="24"/>
          <w:szCs w:val="24"/>
        </w:rPr>
        <w:t xml:space="preserve"> Embora adequada para situações pontuais de urgência, a contratação emergencial não pode ser utilizada como solução contínua. O uso reiterado desse instrumento violaria o dever de planejamento, fragilizaria a gestão pública, aumentaria o risco de sobrepreço e exporia a Administração a questionamentos pelos órgãos de controle. Além disso, não garante competitividade e não se presta a atender de forma adequada a demanda regular do Centro Assistencial e de Mandado.</w:t>
      </w:r>
    </w:p>
    <w:p w14:paraId="0C3DA5B5">
      <w:pPr>
        <w:widowControl w:val="0"/>
        <w:tabs>
          <w:tab w:val="left" w:pos="555"/>
          <w:tab w:val="left" w:pos="840"/>
          <w:tab w:val="left" w:pos="1140"/>
          <w:tab w:val="left" w:pos="1395"/>
          <w:tab w:val="left" w:pos="1650"/>
          <w:tab w:val="left" w:pos="1965"/>
          <w:tab w:val="left" w:pos="2220"/>
          <w:tab w:val="left" w:pos="7336"/>
        </w:tabs>
        <w:jc w:val="both"/>
        <w:rPr>
          <w:b/>
          <w:bCs/>
          <w:color w:val="000000"/>
          <w:sz w:val="24"/>
          <w:szCs w:val="24"/>
        </w:rPr>
      </w:pPr>
      <w:r>
        <w:rPr>
          <w:color w:val="000000"/>
          <w:sz w:val="24"/>
          <w:szCs w:val="24"/>
        </w:rPr>
        <w:t>7.4 -</w:t>
      </w:r>
      <w:r>
        <w:rPr>
          <w:b/>
          <w:bCs/>
          <w:color w:val="000000"/>
          <w:sz w:val="24"/>
          <w:szCs w:val="24"/>
        </w:rPr>
        <w:t xml:space="preserve"> Utilização exclusiva de adesão a Ata de Registro de Preços de outro órgão (carona)</w:t>
      </w:r>
    </w:p>
    <w:p w14:paraId="340ABF96">
      <w:pPr>
        <w:widowControl w:val="0"/>
        <w:tabs>
          <w:tab w:val="left" w:pos="555"/>
          <w:tab w:val="left" w:pos="840"/>
          <w:tab w:val="left" w:pos="1140"/>
          <w:tab w:val="left" w:pos="1395"/>
          <w:tab w:val="left" w:pos="1650"/>
          <w:tab w:val="left" w:pos="1965"/>
          <w:tab w:val="left" w:pos="2220"/>
          <w:tab w:val="left" w:pos="7336"/>
        </w:tabs>
        <w:spacing w:before="240" w:after="240"/>
        <w:jc w:val="both"/>
        <w:rPr>
          <w:color w:val="000000"/>
          <w:sz w:val="24"/>
          <w:szCs w:val="24"/>
        </w:rPr>
      </w:pPr>
      <w:r>
        <w:rPr>
          <w:b/>
          <w:bCs/>
          <w:color w:val="000000"/>
          <w:sz w:val="24"/>
          <w:szCs w:val="24"/>
        </w:rPr>
        <w:t>Motivo da inviabilidade:</w:t>
      </w:r>
      <w:r>
        <w:rPr>
          <w:b/>
          <w:bCs/>
          <w:color w:val="000000"/>
          <w:sz w:val="24"/>
          <w:szCs w:val="24"/>
        </w:rPr>
        <w:br w:type="textWrapping"/>
      </w:r>
      <w:r>
        <w:rPr>
          <w:color w:val="000000"/>
          <w:sz w:val="24"/>
          <w:szCs w:val="24"/>
        </w:rPr>
        <w:t xml:space="preserve"> A adesão a ata de outro órgão pode ser utilizada de forma complementar, mas não como solução definitiva. Há limitações de saldo, disponibilidade, escopo e compatibilidade de itens. A dependência de outra unidade gestora compromete a previsibilidade do abastecimento e não assegura autonomia para atender as demandas judiciais que exigem fornecimento imediato. Além disso, nem sempre a ata original contempla o maior desconto sobre a Tabela CMED.</w:t>
      </w:r>
    </w:p>
    <w:p w14:paraId="1B64A520">
      <w:pPr>
        <w:widowControl w:val="0"/>
        <w:tabs>
          <w:tab w:val="left" w:pos="555"/>
          <w:tab w:val="left" w:pos="840"/>
          <w:tab w:val="left" w:pos="1140"/>
          <w:tab w:val="left" w:pos="1395"/>
          <w:tab w:val="left" w:pos="1650"/>
          <w:tab w:val="left" w:pos="1965"/>
          <w:tab w:val="left" w:pos="2220"/>
          <w:tab w:val="left" w:pos="7336"/>
        </w:tabs>
        <w:jc w:val="both"/>
        <w:rPr>
          <w:b/>
          <w:bCs/>
          <w:color w:val="000000"/>
          <w:sz w:val="24"/>
          <w:szCs w:val="24"/>
        </w:rPr>
      </w:pPr>
      <w:r>
        <w:rPr>
          <w:b/>
          <w:bCs/>
          <w:color w:val="000000"/>
          <w:sz w:val="24"/>
          <w:szCs w:val="24"/>
        </w:rPr>
        <w:t>Conclusão do registro de inviabilidade</w:t>
      </w:r>
    </w:p>
    <w:p w14:paraId="45CA7F3E">
      <w:pPr>
        <w:widowControl w:val="0"/>
        <w:tabs>
          <w:tab w:val="left" w:pos="555"/>
          <w:tab w:val="left" w:pos="840"/>
          <w:tab w:val="left" w:pos="1140"/>
          <w:tab w:val="left" w:pos="1395"/>
          <w:tab w:val="left" w:pos="1650"/>
          <w:tab w:val="left" w:pos="1965"/>
          <w:tab w:val="left" w:pos="2220"/>
          <w:tab w:val="left" w:pos="7336"/>
        </w:tabs>
        <w:spacing w:before="240" w:after="240"/>
        <w:jc w:val="both"/>
        <w:rPr>
          <w:color w:val="000000"/>
          <w:sz w:val="24"/>
          <w:szCs w:val="24"/>
        </w:rPr>
      </w:pPr>
      <w:r>
        <w:rPr>
          <w:color w:val="000000"/>
          <w:sz w:val="24"/>
          <w:szCs w:val="24"/>
        </w:rPr>
        <w:t>As soluções acima foram consideradas inviáveis ou insuficientes por não atenderem simultaneamente aos requisitos de economicidade, eficiência, continuidade terapêutica, previsibilidade operacional e cumprimento das decisões judiciais. Assim, resta justificada a necessidade da adoção do modelo de registro de preços próprio como a alternativa tecnicamente mais adequada e segura para a Administração.</w:t>
      </w:r>
    </w:p>
    <w:p w14:paraId="04804C16">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ESTIMATIVA DE CUSTO TOTAL DA CONTRATAÇÃO</w:t>
      </w:r>
    </w:p>
    <w:p w14:paraId="48F3A44F">
      <w:pPr>
        <w:widowControl w:val="0"/>
        <w:rPr>
          <w:rFonts w:ascii="Arial" w:hAnsi="Arial" w:eastAsia="Arial" w:cs="Arial"/>
          <w:color w:val="000000"/>
          <w:sz w:val="22"/>
          <w:szCs w:val="22"/>
        </w:rPr>
      </w:pPr>
    </w:p>
    <w:sdt>
      <w:sdtPr>
        <w:tag w:val="goog_rdk_1"/>
        <w:id w:val="1878813775"/>
        <w:lock w:val="contentLocked"/>
      </w:sdtPr>
      <w:sdtContent>
        <w:tbl>
          <w:tblPr>
            <w:tblStyle w:val="10"/>
            <w:tblW w:w="104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2595"/>
            <w:gridCol w:w="1005"/>
            <w:gridCol w:w="1335"/>
            <w:gridCol w:w="2415"/>
            <w:gridCol w:w="2460"/>
          </w:tblGrid>
          <w:tr w14:paraId="101FA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jc w:val="center"/>
            </w:trPr>
            <w:tc>
              <w:tcPr>
                <w:tcW w:w="660" w:type="dxa"/>
              </w:tcPr>
              <w:p w14:paraId="45F34D01">
                <w:pPr>
                  <w:widowControl w:val="0"/>
                  <w:rPr>
                    <w:b/>
                    <w:bCs/>
                    <w:color w:val="000000"/>
                  </w:rPr>
                </w:pPr>
                <w:r>
                  <w:rPr>
                    <w:b/>
                    <w:bCs/>
                    <w:color w:val="000000"/>
                  </w:rPr>
                  <w:t>Item</w:t>
                </w:r>
              </w:p>
            </w:tc>
            <w:tc>
              <w:tcPr>
                <w:tcW w:w="2595" w:type="dxa"/>
              </w:tcPr>
              <w:p w14:paraId="21DE0531">
                <w:pPr>
                  <w:widowControl w:val="0"/>
                  <w:rPr>
                    <w:b/>
                    <w:bCs/>
                    <w:color w:val="000000"/>
                  </w:rPr>
                </w:pPr>
                <w:r>
                  <w:rPr>
                    <w:b/>
                    <w:bCs/>
                    <w:color w:val="000000"/>
                  </w:rPr>
                  <w:t>Descrição/Especificação</w:t>
                </w:r>
              </w:p>
            </w:tc>
            <w:tc>
              <w:tcPr>
                <w:tcW w:w="1005" w:type="dxa"/>
              </w:tcPr>
              <w:p w14:paraId="5D79FCDE">
                <w:pPr>
                  <w:widowControl w:val="0"/>
                  <w:rPr>
                    <w:b/>
                    <w:bCs/>
                    <w:color w:val="000000"/>
                  </w:rPr>
                </w:pPr>
                <w:r>
                  <w:rPr>
                    <w:b/>
                    <w:bCs/>
                    <w:color w:val="000000"/>
                  </w:rPr>
                  <w:t>Unidade</w:t>
                </w:r>
              </w:p>
            </w:tc>
            <w:tc>
              <w:tcPr>
                <w:tcW w:w="1335" w:type="dxa"/>
              </w:tcPr>
              <w:p w14:paraId="2BE6C936">
                <w:pPr>
                  <w:widowControl w:val="0"/>
                  <w:rPr>
                    <w:b/>
                    <w:bCs/>
                    <w:color w:val="000000"/>
                  </w:rPr>
                </w:pPr>
                <w:r>
                  <w:rPr>
                    <w:b/>
                    <w:bCs/>
                    <w:color w:val="000000"/>
                  </w:rPr>
                  <w:t>Quantidade</w:t>
                </w:r>
              </w:p>
            </w:tc>
            <w:tc>
              <w:tcPr>
                <w:tcW w:w="2415" w:type="dxa"/>
              </w:tcPr>
              <w:p w14:paraId="4FC1DA0F">
                <w:pPr>
                  <w:widowControl w:val="0"/>
                  <w:rPr>
                    <w:b/>
                    <w:bCs/>
                    <w:color w:val="000000"/>
                  </w:rPr>
                </w:pPr>
                <w:r>
                  <w:rPr>
                    <w:b/>
                    <w:bCs/>
                    <w:color w:val="000000"/>
                  </w:rPr>
                  <w:t>Percentual de desconto estimado</w:t>
                </w:r>
              </w:p>
            </w:tc>
            <w:tc>
              <w:tcPr>
                <w:tcW w:w="2460" w:type="dxa"/>
              </w:tcPr>
              <w:p w14:paraId="5AD74930">
                <w:pPr>
                  <w:widowControl w:val="0"/>
                  <w:rPr>
                    <w:b/>
                    <w:bCs/>
                    <w:color w:val="000000"/>
                  </w:rPr>
                </w:pPr>
                <w:r>
                  <w:rPr>
                    <w:b/>
                    <w:bCs/>
                    <w:color w:val="000000"/>
                  </w:rPr>
                  <w:t>Valor estimado da Contratação</w:t>
                </w:r>
              </w:p>
            </w:tc>
          </w:tr>
          <w:tr w14:paraId="32D4B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660" w:type="dxa"/>
              </w:tcPr>
              <w:p w14:paraId="29F6B70A">
                <w:pPr>
                  <w:widowControl w:val="0"/>
                  <w:rPr>
                    <w:color w:val="000000"/>
                    <w:sz w:val="18"/>
                    <w:szCs w:val="18"/>
                  </w:rPr>
                </w:pPr>
                <w:r>
                  <w:rPr>
                    <w:color w:val="000000"/>
                    <w:sz w:val="18"/>
                    <w:szCs w:val="18"/>
                  </w:rPr>
                  <w:t>1</w:t>
                </w:r>
              </w:p>
            </w:tc>
            <w:tc>
              <w:tcPr>
                <w:tcW w:w="2595" w:type="dxa"/>
              </w:tcPr>
              <w:p w14:paraId="78D8BE5D">
                <w:pPr>
                  <w:widowControl w:val="0"/>
                  <w:rPr>
                    <w:color w:val="000000"/>
                    <w:sz w:val="18"/>
                    <w:szCs w:val="18"/>
                  </w:rPr>
                </w:pPr>
                <w:r>
                  <w:rPr>
                    <w:color w:val="000000"/>
                    <w:sz w:val="18"/>
                    <w:szCs w:val="18"/>
                  </w:rPr>
                  <w:t>Medicamentos de A a Z, ÉTICOS</w:t>
                </w:r>
              </w:p>
            </w:tc>
            <w:tc>
              <w:tcPr>
                <w:tcW w:w="1005" w:type="dxa"/>
              </w:tcPr>
              <w:p w14:paraId="2E0BFDC8">
                <w:pPr>
                  <w:widowControl w:val="0"/>
                  <w:jc w:val="center"/>
                  <w:rPr>
                    <w:color w:val="000000"/>
                    <w:sz w:val="18"/>
                    <w:szCs w:val="18"/>
                  </w:rPr>
                </w:pPr>
                <w:r>
                  <w:rPr>
                    <w:color w:val="000000"/>
                    <w:sz w:val="18"/>
                    <w:szCs w:val="18"/>
                  </w:rPr>
                  <w:t>Não aplicável</w:t>
                </w:r>
              </w:p>
            </w:tc>
            <w:tc>
              <w:tcPr>
                <w:tcW w:w="1335" w:type="dxa"/>
              </w:tcPr>
              <w:p w14:paraId="1D13AF36">
                <w:pPr>
                  <w:widowControl w:val="0"/>
                  <w:jc w:val="center"/>
                  <w:rPr>
                    <w:color w:val="000000"/>
                    <w:sz w:val="18"/>
                    <w:szCs w:val="18"/>
                  </w:rPr>
                </w:pPr>
                <w:r>
                  <w:rPr>
                    <w:color w:val="000000"/>
                    <w:sz w:val="18"/>
                    <w:szCs w:val="18"/>
                  </w:rPr>
                  <w:t>Não aplicável</w:t>
                </w:r>
              </w:p>
            </w:tc>
            <w:tc>
              <w:tcPr>
                <w:tcW w:w="2415" w:type="dxa"/>
              </w:tcPr>
              <w:p w14:paraId="17355E05">
                <w:pPr>
                  <w:widowControl w:val="0"/>
                  <w:jc w:val="center"/>
                  <w:rPr>
                    <w:color w:val="000000"/>
                    <w:sz w:val="18"/>
                    <w:szCs w:val="18"/>
                  </w:rPr>
                </w:pPr>
                <w:r>
                  <w:rPr>
                    <w:color w:val="000000"/>
                    <w:sz w:val="18"/>
                    <w:szCs w:val="18"/>
                  </w:rPr>
                  <w:t>6%</w:t>
                </w:r>
              </w:p>
            </w:tc>
            <w:tc>
              <w:tcPr>
                <w:tcW w:w="2460" w:type="dxa"/>
              </w:tcPr>
              <w:p w14:paraId="7564B084">
                <w:pPr>
                  <w:widowControl w:val="0"/>
                  <w:jc w:val="center"/>
                  <w:rPr>
                    <w:color w:val="000000"/>
                    <w:sz w:val="18"/>
                    <w:szCs w:val="18"/>
                  </w:rPr>
                </w:pPr>
                <w:r>
                  <w:rPr>
                    <w:color w:val="000000"/>
                    <w:sz w:val="18"/>
                    <w:szCs w:val="18"/>
                  </w:rPr>
                  <w:t>R$1.500.000,00</w:t>
                </w:r>
              </w:p>
            </w:tc>
          </w:tr>
          <w:tr w14:paraId="0437B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660" w:type="dxa"/>
              </w:tcPr>
              <w:p w14:paraId="263681DE">
                <w:pPr>
                  <w:widowControl w:val="0"/>
                  <w:rPr>
                    <w:color w:val="000000"/>
                    <w:sz w:val="18"/>
                    <w:szCs w:val="18"/>
                  </w:rPr>
                </w:pPr>
                <w:r>
                  <w:rPr>
                    <w:color w:val="000000"/>
                    <w:sz w:val="18"/>
                    <w:szCs w:val="18"/>
                  </w:rPr>
                  <w:t>2</w:t>
                </w:r>
              </w:p>
            </w:tc>
            <w:tc>
              <w:tcPr>
                <w:tcW w:w="2595" w:type="dxa"/>
              </w:tcPr>
              <w:p w14:paraId="1420F0ED">
                <w:pPr>
                  <w:widowControl w:val="0"/>
                  <w:rPr>
                    <w:color w:val="000000"/>
                    <w:sz w:val="18"/>
                    <w:szCs w:val="18"/>
                  </w:rPr>
                </w:pPr>
                <w:r>
                  <w:rPr>
                    <w:color w:val="000000"/>
                    <w:sz w:val="18"/>
                    <w:szCs w:val="18"/>
                  </w:rPr>
                  <w:t>Medicamentos de A a Z, SIMILARES</w:t>
                </w:r>
              </w:p>
            </w:tc>
            <w:tc>
              <w:tcPr>
                <w:tcW w:w="1005" w:type="dxa"/>
              </w:tcPr>
              <w:p w14:paraId="4EC76E51">
                <w:pPr>
                  <w:widowControl w:val="0"/>
                  <w:jc w:val="center"/>
                  <w:rPr>
                    <w:color w:val="000000"/>
                    <w:sz w:val="18"/>
                    <w:szCs w:val="18"/>
                  </w:rPr>
                </w:pPr>
                <w:r>
                  <w:rPr>
                    <w:color w:val="000000"/>
                    <w:sz w:val="18"/>
                    <w:szCs w:val="18"/>
                  </w:rPr>
                  <w:t>Não aplicável</w:t>
                </w:r>
              </w:p>
            </w:tc>
            <w:tc>
              <w:tcPr>
                <w:tcW w:w="1335" w:type="dxa"/>
              </w:tcPr>
              <w:p w14:paraId="53DFF86F">
                <w:pPr>
                  <w:widowControl w:val="0"/>
                  <w:jc w:val="center"/>
                  <w:rPr>
                    <w:color w:val="000000"/>
                    <w:sz w:val="18"/>
                    <w:szCs w:val="18"/>
                  </w:rPr>
                </w:pPr>
                <w:r>
                  <w:rPr>
                    <w:color w:val="000000"/>
                    <w:sz w:val="18"/>
                    <w:szCs w:val="18"/>
                  </w:rPr>
                  <w:t>Não aplicável</w:t>
                </w:r>
              </w:p>
            </w:tc>
            <w:tc>
              <w:tcPr>
                <w:tcW w:w="2415" w:type="dxa"/>
              </w:tcPr>
              <w:p w14:paraId="524AA073">
                <w:pPr>
                  <w:widowControl w:val="0"/>
                  <w:jc w:val="center"/>
                  <w:rPr>
                    <w:color w:val="000000"/>
                    <w:sz w:val="18"/>
                    <w:szCs w:val="18"/>
                  </w:rPr>
                </w:pPr>
                <w:r>
                  <w:rPr>
                    <w:color w:val="000000"/>
                    <w:sz w:val="18"/>
                    <w:szCs w:val="18"/>
                  </w:rPr>
                  <w:t>18%</w:t>
                </w:r>
              </w:p>
            </w:tc>
            <w:tc>
              <w:tcPr>
                <w:tcW w:w="2460" w:type="dxa"/>
              </w:tcPr>
              <w:p w14:paraId="13FA4BB9">
                <w:pPr>
                  <w:widowControl w:val="0"/>
                  <w:jc w:val="center"/>
                  <w:rPr>
                    <w:color w:val="000000"/>
                    <w:sz w:val="18"/>
                    <w:szCs w:val="18"/>
                  </w:rPr>
                </w:pPr>
                <w:r>
                  <w:rPr>
                    <w:color w:val="000000"/>
                    <w:sz w:val="18"/>
                    <w:szCs w:val="18"/>
                  </w:rPr>
                  <w:t>R$1.500.000,00</w:t>
                </w:r>
              </w:p>
            </w:tc>
          </w:tr>
          <w:tr w14:paraId="749E9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660" w:type="dxa"/>
              </w:tcPr>
              <w:p w14:paraId="68E451AC">
                <w:pPr>
                  <w:widowControl w:val="0"/>
                  <w:rPr>
                    <w:color w:val="000000"/>
                    <w:sz w:val="18"/>
                    <w:szCs w:val="18"/>
                  </w:rPr>
                </w:pPr>
                <w:r>
                  <w:rPr>
                    <w:color w:val="000000"/>
                    <w:sz w:val="18"/>
                    <w:szCs w:val="18"/>
                  </w:rPr>
                  <w:t>3</w:t>
                </w:r>
              </w:p>
            </w:tc>
            <w:tc>
              <w:tcPr>
                <w:tcW w:w="2595" w:type="dxa"/>
              </w:tcPr>
              <w:p w14:paraId="1A1E2381">
                <w:pPr>
                  <w:widowControl w:val="0"/>
                  <w:rPr>
                    <w:color w:val="000000"/>
                    <w:sz w:val="18"/>
                    <w:szCs w:val="18"/>
                  </w:rPr>
                </w:pPr>
                <w:r>
                  <w:rPr>
                    <w:color w:val="000000"/>
                    <w:sz w:val="18"/>
                    <w:szCs w:val="18"/>
                  </w:rPr>
                  <w:t>Medicamentos de A a Z, GENÉRICOS</w:t>
                </w:r>
              </w:p>
            </w:tc>
            <w:tc>
              <w:tcPr>
                <w:tcW w:w="1005" w:type="dxa"/>
              </w:tcPr>
              <w:p w14:paraId="1144D48C">
                <w:pPr>
                  <w:widowControl w:val="0"/>
                  <w:jc w:val="center"/>
                  <w:rPr>
                    <w:color w:val="000000"/>
                    <w:sz w:val="18"/>
                    <w:szCs w:val="18"/>
                  </w:rPr>
                </w:pPr>
                <w:r>
                  <w:rPr>
                    <w:color w:val="000000"/>
                    <w:sz w:val="18"/>
                    <w:szCs w:val="18"/>
                  </w:rPr>
                  <w:t>Não aplicável</w:t>
                </w:r>
              </w:p>
            </w:tc>
            <w:tc>
              <w:tcPr>
                <w:tcW w:w="1335" w:type="dxa"/>
              </w:tcPr>
              <w:p w14:paraId="189AB9AE">
                <w:pPr>
                  <w:widowControl w:val="0"/>
                  <w:jc w:val="center"/>
                  <w:rPr>
                    <w:color w:val="000000"/>
                    <w:sz w:val="18"/>
                    <w:szCs w:val="18"/>
                  </w:rPr>
                </w:pPr>
                <w:r>
                  <w:rPr>
                    <w:color w:val="000000"/>
                    <w:sz w:val="18"/>
                    <w:szCs w:val="18"/>
                  </w:rPr>
                  <w:t>Não aplicável</w:t>
                </w:r>
              </w:p>
            </w:tc>
            <w:tc>
              <w:tcPr>
                <w:tcW w:w="2415" w:type="dxa"/>
              </w:tcPr>
              <w:p w14:paraId="02D2123F">
                <w:pPr>
                  <w:widowControl w:val="0"/>
                  <w:jc w:val="center"/>
                  <w:rPr>
                    <w:color w:val="000000"/>
                    <w:sz w:val="18"/>
                    <w:szCs w:val="18"/>
                  </w:rPr>
                </w:pPr>
                <w:r>
                  <w:rPr>
                    <w:color w:val="000000"/>
                    <w:sz w:val="18"/>
                    <w:szCs w:val="18"/>
                  </w:rPr>
                  <w:t>17,50%</w:t>
                </w:r>
              </w:p>
            </w:tc>
            <w:tc>
              <w:tcPr>
                <w:tcW w:w="2460" w:type="dxa"/>
              </w:tcPr>
              <w:p w14:paraId="501299AE">
                <w:pPr>
                  <w:widowControl w:val="0"/>
                  <w:jc w:val="center"/>
                  <w:rPr>
                    <w:color w:val="000000"/>
                    <w:sz w:val="18"/>
                    <w:szCs w:val="18"/>
                  </w:rPr>
                </w:pPr>
                <w:r>
                  <w:rPr>
                    <w:color w:val="000000"/>
                    <w:sz w:val="18"/>
                    <w:szCs w:val="18"/>
                  </w:rPr>
                  <w:t>R$1.500.000,00</w:t>
                </w:r>
              </w:p>
            </w:tc>
          </w:tr>
        </w:tbl>
      </w:sdtContent>
    </w:sdt>
    <w:p w14:paraId="03B30A14">
      <w:pPr>
        <w:widowControl w:val="0"/>
        <w:tabs>
          <w:tab w:val="left" w:pos="555"/>
          <w:tab w:val="left" w:pos="840"/>
          <w:tab w:val="left" w:pos="1140"/>
          <w:tab w:val="left" w:pos="1395"/>
          <w:tab w:val="left" w:pos="1650"/>
          <w:tab w:val="left" w:pos="1965"/>
          <w:tab w:val="left" w:pos="2220"/>
          <w:tab w:val="left" w:pos="7336"/>
        </w:tabs>
        <w:spacing w:before="120" w:after="120"/>
        <w:jc w:val="both"/>
        <w:rPr>
          <w:color w:val="000000"/>
          <w:sz w:val="24"/>
          <w:szCs w:val="24"/>
        </w:rPr>
      </w:pPr>
      <w:r>
        <w:rPr>
          <w:color w:val="000000"/>
          <w:sz w:val="24"/>
          <w:szCs w:val="24"/>
        </w:rPr>
        <w:t xml:space="preserve">Em anexo segue o mapa estimativo e a pesquisa de preço realizadas para a contratação. </w:t>
      </w:r>
    </w:p>
    <w:p w14:paraId="06964BC1">
      <w:pPr>
        <w:widowControl w:val="0"/>
        <w:tabs>
          <w:tab w:val="left" w:pos="555"/>
          <w:tab w:val="left" w:pos="840"/>
          <w:tab w:val="left" w:pos="1140"/>
          <w:tab w:val="left" w:pos="1395"/>
          <w:tab w:val="left" w:pos="1650"/>
          <w:tab w:val="left" w:pos="1965"/>
          <w:tab w:val="left" w:pos="2220"/>
          <w:tab w:val="left" w:pos="7336"/>
        </w:tabs>
        <w:spacing w:before="57" w:after="57"/>
        <w:jc w:val="both"/>
        <w:rPr>
          <w:color w:val="0000FF"/>
          <w:sz w:val="24"/>
          <w:szCs w:val="24"/>
        </w:rPr>
      </w:pPr>
    </w:p>
    <w:p w14:paraId="4EE4DE37">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JUSTIFICATIVA TÉCNICA DA ESCOLHA DA SOLUÇÃO</w:t>
      </w:r>
    </w:p>
    <w:p w14:paraId="3D2DB92D">
      <w:pPr>
        <w:widowControl w:val="0"/>
        <w:spacing w:before="240" w:after="240"/>
        <w:jc w:val="both"/>
        <w:rPr>
          <w:color w:val="000000"/>
          <w:sz w:val="24"/>
          <w:szCs w:val="24"/>
        </w:rPr>
      </w:pPr>
      <w:r>
        <w:rPr>
          <w:color w:val="000000"/>
          <w:sz w:val="24"/>
          <w:szCs w:val="24"/>
        </w:rPr>
        <w:t>A solução selecionada consiste na realização de processo licitatório para formação de Registro de Preços próprio, destinado à aquisição eventual e futura de medicamentos éticos, similares e genéricos de A a Z, considerando o maior desconto sobre a Tabela CMED/ANVISA. A escolha fundamenta-se em critérios técnicos, legais e operacionais que asseguram plena aderência às necessidades da Secretaria Municipal de Saúde de Valença.</w:t>
      </w:r>
    </w:p>
    <w:p w14:paraId="1E25BAFB">
      <w:pPr>
        <w:widowControl w:val="0"/>
        <w:spacing w:before="240" w:after="240"/>
        <w:jc w:val="both"/>
        <w:rPr>
          <w:color w:val="000000"/>
          <w:sz w:val="24"/>
          <w:szCs w:val="24"/>
        </w:rPr>
      </w:pPr>
      <w:r>
        <w:rPr>
          <w:color w:val="000000"/>
          <w:sz w:val="24"/>
          <w:szCs w:val="24"/>
        </w:rPr>
        <w:t>Inicialmente, a modalidade de Registro de Preços demonstra-se a alternativa mais adequada diante da imprevisibilidade do consumo desses medicamentos, que se origina tanto de demandas assistenciais rotineiras quanto de decisões judiciais que determinam a entrega imediata de tratamentos específicos. Tal característica inviabiliza a adoção de modelos que exigem quantificação precisa e compra em lotes fixos, como pregões para aquisição única, e inviabiliza também compras fragmentadas por processo individual.</w:t>
      </w:r>
    </w:p>
    <w:p w14:paraId="2882FB8A">
      <w:pPr>
        <w:widowControl w:val="0"/>
        <w:spacing w:before="240" w:after="240"/>
        <w:jc w:val="both"/>
        <w:rPr>
          <w:color w:val="000000"/>
          <w:sz w:val="24"/>
          <w:szCs w:val="24"/>
        </w:rPr>
      </w:pPr>
      <w:r>
        <w:rPr>
          <w:color w:val="000000"/>
          <w:sz w:val="24"/>
          <w:szCs w:val="24"/>
        </w:rPr>
        <w:t>Além disso, o Registro de Preços permite que a Administração faça aquisições apenas quando houver necessidade real, evitando superdimensionamento e perdas por vencimento, ao mesmo tempo em que garante agilidade e previsibilidade operacional para responder aos casos emergenciais. Trata-se de solução que otimiza o planejamento orçamentário e assegura eficiência na gestão de estoques, reduzindo riscos de desabastecimento.</w:t>
      </w:r>
    </w:p>
    <w:p w14:paraId="43F89421">
      <w:pPr>
        <w:widowControl w:val="0"/>
        <w:spacing w:before="240" w:after="240"/>
        <w:jc w:val="both"/>
        <w:rPr>
          <w:color w:val="000000"/>
          <w:sz w:val="24"/>
          <w:szCs w:val="24"/>
        </w:rPr>
      </w:pPr>
      <w:r>
        <w:rPr>
          <w:color w:val="000000"/>
          <w:sz w:val="24"/>
          <w:szCs w:val="24"/>
        </w:rPr>
        <w:t>Outro fator determinante é a economicidade proporcionada pela adoção do critério de maior desconto sobre a Tabela de Preços CMED/ANVISA, parâmetro regulatório que assegura transparência, previsibilidade e competitividade entre fornecedores. A padronização por desconto habilita a Secretaria a obter o menor valor possível em cada fornecimento, mantendo conformidade com as atualizações da CMED e preservando o interesse público na redução de custos.</w:t>
      </w:r>
    </w:p>
    <w:p w14:paraId="32579C44">
      <w:pPr>
        <w:widowControl w:val="0"/>
        <w:spacing w:before="240" w:after="240"/>
        <w:jc w:val="both"/>
        <w:rPr>
          <w:color w:val="000000"/>
          <w:sz w:val="24"/>
          <w:szCs w:val="24"/>
        </w:rPr>
      </w:pPr>
      <w:r>
        <w:rPr>
          <w:color w:val="000000"/>
          <w:sz w:val="24"/>
          <w:szCs w:val="24"/>
        </w:rPr>
        <w:t>As alternativas avaliadas foram aquisições diretas, pregão para compra única, contratação emergencial contínua ou adesão exclusiva a atas existentes e apresentam riscos significativos, como morosidade, preços elevados, incapacidade de prever demanda, dependência de saldo de outra ata e risco de violação ao dever de planejamento. Tais riscos repercutem diretamente no atendimento dos pacientes e no cumprimento de ordens judiciais.</w:t>
      </w:r>
    </w:p>
    <w:p w14:paraId="6612B438">
      <w:pPr>
        <w:widowControl w:val="0"/>
        <w:spacing w:before="240" w:after="240"/>
        <w:jc w:val="both"/>
        <w:rPr>
          <w:color w:val="0000FF"/>
          <w:sz w:val="24"/>
          <w:szCs w:val="24"/>
        </w:rPr>
      </w:pPr>
      <w:r>
        <w:rPr>
          <w:color w:val="000000"/>
          <w:sz w:val="24"/>
          <w:szCs w:val="24"/>
        </w:rPr>
        <w:t>Portanto, a solução escolhida atende integralmente aos princípios da eficiência, economicidade, legalidade e continuidade do serviço público, garantindo a segurança terapêutica dos pacientes e a regularidade no cumprimento das obrigações administrativas e judiciais. Assim, tecnicamente, a adoção do Registro de Preços próprio constitui a alternativa mais robusta, eficaz e alinhada às necessidades e responsabilidades da Secretaria Municipal de Saúde.</w:t>
      </w:r>
    </w:p>
    <w:p w14:paraId="7698A82D">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jc w:val="both"/>
        <w:rPr>
          <w:b/>
          <w:bCs/>
          <w:color w:val="000000"/>
          <w:sz w:val="24"/>
          <w:szCs w:val="24"/>
        </w:rPr>
      </w:pPr>
      <w:r>
        <w:rPr>
          <w:b/>
          <w:bCs/>
          <w:color w:val="000000"/>
          <w:sz w:val="24"/>
          <w:szCs w:val="24"/>
        </w:rPr>
        <w:t>JUSTIFICATIVA ECONÔMICA DA ESCOLHA DA SOLUÇÃO</w:t>
      </w:r>
    </w:p>
    <w:p w14:paraId="5978AC66">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A opção pela formação de Registro de Preços próprio para aquisição eventual e futura de medicamentos éticos, similares e genéricos de A a Z, com base no maior desconto aplicado sobre a Tabela CMED/ANVISA, revela-se a solução economicamente mais vantajosa para a Secretaria Municipal de Saúde de Valença.</w:t>
      </w:r>
    </w:p>
    <w:p w14:paraId="057AAE2F">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Primeiramente, o critério de julgamento baseado no maior percentual de desconto sobre a Tabela CMED, que constitui referência oficial regulatória estabelecida pela ANVISA, assegura que os preços praticados em cada fornecimento sejam sistematicamente inferiores aos valores de referência do mercado. Essa sistemática evita variações injustificadas e permite que o Município adquira medicamentos com economia real e mensurável, mantendo aderência às atualizações periódicas da CMED sem necessidade de renegociação contratual.</w:t>
      </w:r>
    </w:p>
    <w:p w14:paraId="4E78EE7B">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Adicionalmente, o modelo de Registro de Preços elimina a necessidade de aquisição antecipada de grandes quantidades, evitando estoques elevados, perdas por vencimento e imobilização indevida de recursos orçamentários. Ao permitir compras somente quando houver demanda efetiva, a solução reduz desperdícios e otimiza o uso dos recursos públicos, resultando em melhor planejamento financeiro e maior eficiência na alocação orçamentária.</w:t>
      </w:r>
    </w:p>
    <w:p w14:paraId="1061C160">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Durante a análise comparativa do mercado, constatou-se que, embora alguns itens isolados apresentassem propostas de desconto menos vantajosas em comparação com outras soluções avaliadas, o conjunto global da Ata demonstrou-se significativamente mais vantajoso no seu todo. Ou seja, a média ponderada dos descontos oferecidos, aliada à amplitude dos itens contemplados e à previsibilidade da execução, proporciona redução expressiva dos custos totais da assistência farmacêutica. Assim, mesmo com variações pontuais em determinados medicamentos, o pacote completo de itens ofertado na Ata gera economia líquida superior.</w:t>
      </w:r>
    </w:p>
    <w:p w14:paraId="11442771">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Outro aspecto econômico relevante é a redução de custos administrativos e operacionais: ao centralizar a contratação em um único processo de Registro de Preços, evita-se a repetição de licitações individualizadas, reduzindo despesas com processamento administrativo, publicações, análises, recursos e tramitações burocráticas. Além disso, o SRP permite adesão a outros órgãos interessados, gerando maior escala e potencial para melhores condições comerciais.</w:t>
      </w:r>
    </w:p>
    <w:p w14:paraId="7EA9C9ED">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A solução também minimiza o risco de compras emergenciais, frequentemente realizadas a preços superiores devido à urgência associada a decisões judiciais ou desabastecimentos inesperados. Ao preservar a regularidade do fornecimento, o Município reduz significativamente o risco de adquirir itens por valores inflacionados, o que impacta diretamente na economia pública.</w:t>
      </w:r>
    </w:p>
    <w:p w14:paraId="52B48BEC">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Por todas essas razões a vantajosidade global dos descontos, otimização de recursos, evitação de desperdícios, redução de custos operacionais e prevenção de sobrepreço em compras emergenciais, a formação do Registro de Preços próprio configura-se como a solução economicamente mais adequada para atender às necessidades assistenciais e judiciais da Secretaria Municipal de Saúde.</w:t>
      </w:r>
    </w:p>
    <w:p w14:paraId="7368BC44">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p>
    <w:p w14:paraId="140B6D40">
      <w:pPr>
        <w:widowControl w:val="0"/>
        <w:numPr>
          <w:ilvl w:val="0"/>
          <w:numId w:val="10"/>
        </w:numPr>
        <w:tabs>
          <w:tab w:val="left" w:pos="582"/>
          <w:tab w:val="left" w:pos="867"/>
          <w:tab w:val="left" w:pos="1167"/>
          <w:tab w:val="left" w:pos="1422"/>
          <w:tab w:val="left" w:pos="1677"/>
          <w:tab w:val="left" w:pos="1992"/>
          <w:tab w:val="left" w:pos="2247"/>
          <w:tab w:val="left" w:pos="7363"/>
        </w:tabs>
        <w:rPr>
          <w:b/>
          <w:bCs/>
          <w:color w:val="000000"/>
          <w:sz w:val="24"/>
          <w:szCs w:val="24"/>
        </w:rPr>
      </w:pPr>
      <w:r>
        <w:rPr>
          <w:b/>
          <w:bCs/>
          <w:color w:val="000000"/>
          <w:sz w:val="24"/>
          <w:szCs w:val="24"/>
        </w:rPr>
        <w:t>DO PARCELAMENTO DA CONTRATAÇÃO DECORRENTE DE ASPECTOS TÉCNICOS</w:t>
      </w:r>
    </w:p>
    <w:p w14:paraId="156ADD23">
      <w:pPr>
        <w:widowControl w:val="0"/>
        <w:tabs>
          <w:tab w:val="left" w:pos="582"/>
          <w:tab w:val="left" w:pos="867"/>
          <w:tab w:val="left" w:pos="1167"/>
          <w:tab w:val="left" w:pos="1422"/>
          <w:tab w:val="left" w:pos="1677"/>
          <w:tab w:val="left" w:pos="1992"/>
          <w:tab w:val="left" w:pos="2247"/>
          <w:tab w:val="left" w:pos="7363"/>
        </w:tabs>
        <w:ind w:left="360"/>
        <w:rPr>
          <w:b/>
          <w:bCs/>
          <w:color w:val="000000"/>
          <w:sz w:val="24"/>
          <w:szCs w:val="24"/>
        </w:rPr>
      </w:pPr>
    </w:p>
    <w:p w14:paraId="3FB233A0">
      <w:pPr>
        <w:widowControl w:val="0"/>
        <w:tabs>
          <w:tab w:val="left" w:pos="582"/>
          <w:tab w:val="left" w:pos="867"/>
          <w:tab w:val="left" w:pos="1167"/>
          <w:tab w:val="left" w:pos="1422"/>
          <w:tab w:val="left" w:pos="1677"/>
          <w:tab w:val="left" w:pos="1992"/>
          <w:tab w:val="left" w:pos="2247"/>
          <w:tab w:val="left" w:pos="7363"/>
        </w:tabs>
        <w:rPr>
          <w:color w:val="000000"/>
          <w:sz w:val="24"/>
          <w:szCs w:val="24"/>
        </w:rPr>
      </w:pPr>
      <w:r>
        <w:rPr>
          <w:color w:val="000000"/>
          <w:sz w:val="24"/>
          <w:szCs w:val="24"/>
        </w:rPr>
        <w:tab/>
      </w:r>
      <w:r>
        <w:rPr>
          <w:color w:val="000000"/>
          <w:sz w:val="24"/>
          <w:szCs w:val="24"/>
        </w:rPr>
        <w:t>O objeto em referência para  aquisição eventual e futura de medicamentos éticos, similares e genéricos de A a Z, apresenta ampla diversidade de itens, com distintas apresentações farmacêuticas, concentrações, formas de uso, indicações terapêuticas e necessidades clínicas. Diante dessa heterogeneidade técnica, torna-se indispensável o parcelamento da contratação, de modo a garantir a eficiência, a economicidade e a adequada execução contratual.</w:t>
      </w:r>
    </w:p>
    <w:p w14:paraId="32734589">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O parcelamento atende ao princípio da competitividade, uma vez que permite que fornecedores especializados em determinados grupos de medicamentos possam participar do certame, sem serem obrigados a ofertar toda a gama completa do objeto. Isso amplia a concorrência, reduz barreiras de entrada e favorece a obtenção de descontos mais vantajosos sobre a Tabela CMED/ANVISA.</w:t>
      </w:r>
    </w:p>
    <w:p w14:paraId="0B3F6C65">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Do ponto de vista técnico, o agrupamento de itens deve seguir critérios de similaridade farmacotécnica, farmacológica e de mercado, evitando a formação de lotes incompatíveis que poderiam prejudicar a participação de empresas e limitar a competitividade. A segmentação por itens ou lotes tecnicamente coerentes permite que a Administração obtenha produtos com qualidade adequada, preços compatíveis e condições logísticas equilibradas.</w:t>
      </w:r>
    </w:p>
    <w:p w14:paraId="1B2E0715">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Além disso, a natureza dinâmica das demandas assistenciais e das decisões judiciais relativas ao fornecimento de medicamentos exige flexibilidade operacional. O parcelamento possibilita a aquisição pontual de itens específicos, conforme necessidade real do paciente, evitando a compra excessiva de produtos e reduzindo o risco de perdas por vencimento ou inadequação técnica.</w:t>
      </w:r>
    </w:p>
    <w:p w14:paraId="4FD2606F">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Também se destaca que o parcelamento favorece o cumprimento das obrigações judiciais com maior celeridade, permitindo que a Administração adquira apenas o item necessário, no momento necessário, sem a necessidade de abarcar produtos desnecessários ou inapropriados dentro de um conjunto maior.</w:t>
      </w:r>
    </w:p>
    <w:p w14:paraId="54CA57D1">
      <w:pPr>
        <w:widowControl w:val="0"/>
        <w:tabs>
          <w:tab w:val="left" w:pos="582"/>
          <w:tab w:val="left" w:pos="867"/>
          <w:tab w:val="left" w:pos="1167"/>
          <w:tab w:val="left" w:pos="1422"/>
          <w:tab w:val="left" w:pos="1677"/>
          <w:tab w:val="left" w:pos="1992"/>
          <w:tab w:val="left" w:pos="2247"/>
          <w:tab w:val="left" w:pos="7363"/>
        </w:tabs>
        <w:spacing w:before="240" w:after="240"/>
        <w:rPr>
          <w:color w:val="000000"/>
          <w:sz w:val="24"/>
          <w:szCs w:val="24"/>
        </w:rPr>
      </w:pPr>
      <w:r>
        <w:rPr>
          <w:color w:val="000000"/>
          <w:sz w:val="24"/>
          <w:szCs w:val="24"/>
        </w:rPr>
        <w:t>Por fim, a legislação de regência e as orientações dos órgãos de controle recomendam que a Administração evite a aglutinação indevida de itens que possam restringir a competição. Assim, o parcelamento da contratação decorre diretamente de exigências técnicas, de mercado e operacionais, revelando-se a forma mais vantajosa, eficiente e alinhada aos princípios da economicidade e da competitividade.</w:t>
      </w:r>
    </w:p>
    <w:p w14:paraId="7197D06E">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BENEFÍCIOS A SEREM ALCANÇADOS COM A CONTRATAÇÃO</w:t>
      </w:r>
    </w:p>
    <w:p w14:paraId="6823EE31">
      <w:pPr>
        <w:widowControl w:val="0"/>
        <w:tabs>
          <w:tab w:val="left" w:pos="582"/>
          <w:tab w:val="left" w:pos="867"/>
          <w:tab w:val="left" w:pos="1167"/>
          <w:tab w:val="left" w:pos="1422"/>
          <w:tab w:val="left" w:pos="1677"/>
          <w:tab w:val="left" w:pos="1992"/>
          <w:tab w:val="left" w:pos="2247"/>
          <w:tab w:val="left" w:pos="7363"/>
        </w:tabs>
        <w:spacing w:before="240" w:after="240"/>
        <w:jc w:val="both"/>
        <w:rPr>
          <w:color w:val="000000"/>
          <w:sz w:val="24"/>
          <w:szCs w:val="24"/>
        </w:rPr>
      </w:pPr>
      <w:r>
        <w:rPr>
          <w:color w:val="000000"/>
          <w:sz w:val="24"/>
          <w:szCs w:val="24"/>
        </w:rPr>
        <w:t>A contratação para registro de preços visando à aquisição eventual e futura de medicamentos éticos, similares e genéricos de A a Z, com base no maior desconto sobre a Tabela CMED/ANVISA, proporcionará uma série de benefícios concretos à Administração Pública, assegurando melhorias operacionais, econômicas e assistenciais.</w:t>
      </w:r>
    </w:p>
    <w:p w14:paraId="4575ACBC">
      <w:pPr>
        <w:widowControl w:val="0"/>
        <w:tabs>
          <w:tab w:val="left" w:pos="582"/>
          <w:tab w:val="left" w:pos="867"/>
          <w:tab w:val="left" w:pos="1167"/>
          <w:tab w:val="left" w:pos="1422"/>
          <w:tab w:val="left" w:pos="1677"/>
          <w:tab w:val="left" w:pos="1992"/>
          <w:tab w:val="left" w:pos="2247"/>
          <w:tab w:val="left" w:pos="7363"/>
        </w:tabs>
        <w:spacing w:before="240" w:after="240"/>
        <w:jc w:val="both"/>
        <w:rPr>
          <w:color w:val="000000"/>
          <w:sz w:val="24"/>
          <w:szCs w:val="24"/>
        </w:rPr>
      </w:pPr>
      <w:r>
        <w:rPr>
          <w:color w:val="000000"/>
          <w:sz w:val="24"/>
          <w:szCs w:val="24"/>
        </w:rPr>
        <w:t>Em primeiro lugar, destaca-se a garantia de continuidade no tratamento farmacoterapêutico dos pacientes atendidos pelo Centro Assistencial e de Mandado, incluindo aqueles amparados por decisões judiciais que exigem fornecimento imediato. A regularidade do abastecimento reduz o risco de interrupções terapêuticas e previne agravamentos clínicos, cumprindo a missão institucional da Secretaria e as obrigações legais impostas.</w:t>
      </w:r>
    </w:p>
    <w:p w14:paraId="4E708775">
      <w:pPr>
        <w:widowControl w:val="0"/>
        <w:tabs>
          <w:tab w:val="left" w:pos="582"/>
          <w:tab w:val="left" w:pos="867"/>
          <w:tab w:val="left" w:pos="1167"/>
          <w:tab w:val="left" w:pos="1422"/>
          <w:tab w:val="left" w:pos="1677"/>
          <w:tab w:val="left" w:pos="1992"/>
          <w:tab w:val="left" w:pos="2247"/>
          <w:tab w:val="left" w:pos="7363"/>
        </w:tabs>
        <w:spacing w:before="240" w:after="240"/>
        <w:jc w:val="both"/>
        <w:rPr>
          <w:color w:val="000000"/>
          <w:sz w:val="24"/>
          <w:szCs w:val="24"/>
        </w:rPr>
      </w:pPr>
      <w:r>
        <w:rPr>
          <w:color w:val="000000"/>
          <w:sz w:val="24"/>
          <w:szCs w:val="24"/>
        </w:rPr>
        <w:t>Do ponto de vista econômico, a contratação traz redução de custos diretos, decorrente da competitividade criada pelo critério de julgamento baseado no maior desconto sobre a Tabela CMED/ANVISA. Esse mecanismo assegura que a Administração adquira medicamentos por valores inferiores aos limites regulados, com atualizações automáticas conforme a CMED, resultando em economia contínua ao longo da vigência da Ata.</w:t>
      </w:r>
    </w:p>
    <w:p w14:paraId="4E096134">
      <w:pPr>
        <w:widowControl w:val="0"/>
        <w:tabs>
          <w:tab w:val="left" w:pos="582"/>
          <w:tab w:val="left" w:pos="867"/>
          <w:tab w:val="left" w:pos="1167"/>
          <w:tab w:val="left" w:pos="1422"/>
          <w:tab w:val="left" w:pos="1677"/>
          <w:tab w:val="left" w:pos="1992"/>
          <w:tab w:val="left" w:pos="2247"/>
          <w:tab w:val="left" w:pos="7363"/>
        </w:tabs>
        <w:spacing w:before="240" w:after="240"/>
        <w:jc w:val="both"/>
        <w:rPr>
          <w:color w:val="000000"/>
          <w:sz w:val="24"/>
          <w:szCs w:val="24"/>
        </w:rPr>
      </w:pPr>
      <w:r>
        <w:rPr>
          <w:color w:val="000000"/>
          <w:sz w:val="24"/>
          <w:szCs w:val="24"/>
        </w:rPr>
        <w:t>A adoção do Sistema de Registro de Preços também gerará racionalização de despesas e melhor planejamento orçamentário, uma vez que as aquisições ocorrerão apenas quando houver demanda efetiva. Essa característica elimina a necessidade de estoques volumosos, reduz perdas por vencimento e otimiza a utilização dos recursos públicos.</w:t>
      </w:r>
    </w:p>
    <w:p w14:paraId="58E2EF97">
      <w:pPr>
        <w:widowControl w:val="0"/>
        <w:tabs>
          <w:tab w:val="left" w:pos="582"/>
          <w:tab w:val="left" w:pos="867"/>
          <w:tab w:val="left" w:pos="1167"/>
          <w:tab w:val="left" w:pos="1422"/>
          <w:tab w:val="left" w:pos="1677"/>
          <w:tab w:val="left" w:pos="1992"/>
          <w:tab w:val="left" w:pos="2247"/>
          <w:tab w:val="left" w:pos="7363"/>
        </w:tabs>
        <w:spacing w:before="240" w:after="240"/>
        <w:jc w:val="both"/>
        <w:rPr>
          <w:color w:val="000000"/>
          <w:sz w:val="24"/>
          <w:szCs w:val="24"/>
        </w:rPr>
      </w:pPr>
      <w:r>
        <w:rPr>
          <w:color w:val="000000"/>
          <w:sz w:val="24"/>
          <w:szCs w:val="24"/>
        </w:rPr>
        <w:t>No âmbito administrativo, haverá redução da carga burocrática por evitar a abertura de processos licitatórios sucessivos ou contratações emergenciais fragmentadas, as quais são mais onerosas e implicam riscos de sobrepreço. A centralização das condições de fornecimento e dos preços em uma Ata simplifica o fluxo de solicitações internas e aumenta a eficiência dos processos de compra.</w:t>
      </w:r>
    </w:p>
    <w:p w14:paraId="150E5CAF">
      <w:pPr>
        <w:widowControl w:val="0"/>
        <w:tabs>
          <w:tab w:val="left" w:pos="582"/>
          <w:tab w:val="left" w:pos="867"/>
          <w:tab w:val="left" w:pos="1167"/>
          <w:tab w:val="left" w:pos="1422"/>
          <w:tab w:val="left" w:pos="1677"/>
          <w:tab w:val="left" w:pos="1992"/>
          <w:tab w:val="left" w:pos="2247"/>
          <w:tab w:val="left" w:pos="7363"/>
        </w:tabs>
        <w:spacing w:before="240" w:after="240"/>
        <w:jc w:val="both"/>
        <w:rPr>
          <w:color w:val="000000"/>
          <w:sz w:val="24"/>
          <w:szCs w:val="24"/>
        </w:rPr>
      </w:pPr>
      <w:r>
        <w:rPr>
          <w:color w:val="000000"/>
          <w:sz w:val="24"/>
          <w:szCs w:val="24"/>
        </w:rPr>
        <w:t>A contratação também melhora a segurança jurídica da Administração, pois reforça o cumprimento de decisões judiciais, mitiga riscos de responsabilização de gestores e evidencia planejamento adequado, em consonância com as normas da nova Lei de Licitações e com orientações dos órgãos de controle.</w:t>
      </w:r>
    </w:p>
    <w:p w14:paraId="63065D78">
      <w:pPr>
        <w:widowControl w:val="0"/>
        <w:tabs>
          <w:tab w:val="left" w:pos="582"/>
          <w:tab w:val="left" w:pos="867"/>
          <w:tab w:val="left" w:pos="1167"/>
          <w:tab w:val="left" w:pos="1422"/>
          <w:tab w:val="left" w:pos="1677"/>
          <w:tab w:val="left" w:pos="1992"/>
          <w:tab w:val="left" w:pos="2247"/>
          <w:tab w:val="left" w:pos="7363"/>
        </w:tabs>
        <w:spacing w:before="240" w:after="240"/>
        <w:jc w:val="both"/>
        <w:rPr>
          <w:color w:val="000000"/>
          <w:sz w:val="24"/>
          <w:szCs w:val="24"/>
        </w:rPr>
      </w:pPr>
      <w:r>
        <w:rPr>
          <w:color w:val="000000"/>
          <w:sz w:val="24"/>
          <w:szCs w:val="24"/>
        </w:rPr>
        <w:t>Por fim, a formação de uma Ata de Registro de Preço própria amplia a competitividade de mercado, permitindo a participação de fornecedores com variadas especialidades, sem restringir a disputa a poucos agentes. Isso fortalece a transparência, a isonomia e a qualidade técnica dos produtos adquiridos.</w:t>
      </w:r>
    </w:p>
    <w:p w14:paraId="063CB1C5">
      <w:pPr>
        <w:widowControl w:val="0"/>
        <w:tabs>
          <w:tab w:val="left" w:pos="582"/>
          <w:tab w:val="left" w:pos="867"/>
          <w:tab w:val="left" w:pos="1167"/>
          <w:tab w:val="left" w:pos="1422"/>
          <w:tab w:val="left" w:pos="1677"/>
          <w:tab w:val="left" w:pos="1992"/>
          <w:tab w:val="left" w:pos="2247"/>
          <w:tab w:val="left" w:pos="7363"/>
        </w:tabs>
        <w:spacing w:before="240" w:after="240"/>
        <w:jc w:val="both"/>
        <w:rPr>
          <w:color w:val="000000"/>
          <w:sz w:val="24"/>
          <w:szCs w:val="24"/>
        </w:rPr>
      </w:pPr>
      <w:r>
        <w:rPr>
          <w:color w:val="000000"/>
          <w:sz w:val="24"/>
          <w:szCs w:val="24"/>
        </w:rPr>
        <w:t>Dessa forma, os benefícios a serem alcançados abrangem não apenas economia de recursos, mas também eficiência administrativa, segurança jurídica, continuidade assistencial e nítida melhoria da gestão pública da assistência farmacêutica.</w:t>
      </w:r>
    </w:p>
    <w:p w14:paraId="617C78A1">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PLANO DE CONTRATAÇÃO ANUAL</w:t>
      </w:r>
    </w:p>
    <w:p w14:paraId="7F2C9CD0">
      <w:pPr>
        <w:widowControl w:val="0"/>
        <w:tabs>
          <w:tab w:val="left" w:pos="555"/>
          <w:tab w:val="left" w:pos="840"/>
          <w:tab w:val="left" w:pos="1140"/>
          <w:tab w:val="left" w:pos="1395"/>
          <w:tab w:val="left" w:pos="1650"/>
          <w:tab w:val="left" w:pos="1965"/>
          <w:tab w:val="left" w:pos="2220"/>
          <w:tab w:val="left" w:pos="7336"/>
        </w:tabs>
        <w:spacing w:before="120" w:after="120"/>
        <w:jc w:val="both"/>
        <w:rPr>
          <w:color w:val="000000"/>
          <w:sz w:val="24"/>
          <w:szCs w:val="24"/>
        </w:rPr>
      </w:pPr>
      <w:r>
        <w:rPr>
          <w:color w:val="000000"/>
          <w:sz w:val="24"/>
          <w:szCs w:val="24"/>
        </w:rPr>
        <w:t>Não existe PCA para esta contratação.</w:t>
      </w:r>
    </w:p>
    <w:p w14:paraId="562F2A6A">
      <w:pPr>
        <w:widowControl w:val="0"/>
        <w:tabs>
          <w:tab w:val="left" w:pos="555"/>
          <w:tab w:val="left" w:pos="840"/>
          <w:tab w:val="left" w:pos="1140"/>
          <w:tab w:val="left" w:pos="1395"/>
          <w:tab w:val="left" w:pos="1650"/>
          <w:tab w:val="left" w:pos="1965"/>
          <w:tab w:val="left" w:pos="2220"/>
          <w:tab w:val="left" w:pos="7336"/>
        </w:tabs>
        <w:spacing w:before="120" w:after="120"/>
        <w:jc w:val="both"/>
        <w:rPr>
          <w:color w:val="000000"/>
          <w:sz w:val="24"/>
          <w:szCs w:val="24"/>
        </w:rPr>
      </w:pPr>
    </w:p>
    <w:p w14:paraId="6D88E014">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DECLARAÇÃO DE VIABILIDADE</w:t>
      </w:r>
    </w:p>
    <w:p w14:paraId="37095DAC">
      <w:pPr>
        <w:spacing w:before="240" w:after="240" w:line="276" w:lineRule="auto"/>
        <w:jc w:val="both"/>
        <w:rPr>
          <w:color w:val="000000"/>
          <w:sz w:val="24"/>
          <w:szCs w:val="24"/>
        </w:rPr>
      </w:pPr>
      <w:r>
        <w:rPr>
          <w:color w:val="000000"/>
          <w:sz w:val="24"/>
          <w:szCs w:val="24"/>
        </w:rPr>
        <w:t>Após a análise técnica, econômica e operacional realizada no âmbito deste Estudo Técnico Preliminar (ETP), verifica-se que a contratação por meio de Registro de Preços para a eventual e futura aquisição de medicamentos de A a Z, classificados como éticos, similares e genéricos, com fornecimento baseado no maior percentual de desconto aplicado sobre a Tabela CMED/ANVISA, revela-se viável, adequada e compatível com as necessidades da Secretaria Municipal de Saúde de Valença/RJ.</w:t>
      </w:r>
    </w:p>
    <w:p w14:paraId="7D5B5371">
      <w:pPr>
        <w:spacing w:before="240" w:after="240" w:line="276" w:lineRule="auto"/>
        <w:jc w:val="both"/>
        <w:rPr>
          <w:color w:val="000000"/>
          <w:sz w:val="24"/>
          <w:szCs w:val="24"/>
        </w:rPr>
      </w:pPr>
      <w:r>
        <w:rPr>
          <w:color w:val="000000"/>
          <w:sz w:val="24"/>
          <w:szCs w:val="24"/>
        </w:rPr>
        <w:t>A solução escolhida atende aos seguintes critérios de viabilidade:</w:t>
      </w:r>
    </w:p>
    <w:p w14:paraId="339D0C97">
      <w:pPr>
        <w:numPr>
          <w:ilvl w:val="0"/>
          <w:numId w:val="21"/>
        </w:numPr>
        <w:ind w:firstLine="360"/>
        <w:rPr>
          <w:color w:val="000000"/>
          <w:sz w:val="24"/>
          <w:szCs w:val="24"/>
        </w:rPr>
      </w:pPr>
      <w:r>
        <w:rPr>
          <w:b/>
          <w:bCs/>
          <w:color w:val="000000"/>
          <w:sz w:val="24"/>
          <w:szCs w:val="24"/>
        </w:rPr>
        <w:t>Viabilidade Técnica</w:t>
      </w:r>
      <w:r>
        <w:rPr>
          <w:b/>
          <w:bCs/>
          <w:color w:val="000000"/>
          <w:sz w:val="24"/>
          <w:szCs w:val="24"/>
        </w:rPr>
        <w:br w:type="textWrapping"/>
      </w:r>
    </w:p>
    <w:p w14:paraId="2AF8BE1F">
      <w:pPr>
        <w:numPr>
          <w:ilvl w:val="1"/>
          <w:numId w:val="21"/>
        </w:numPr>
        <w:rPr>
          <w:color w:val="000000"/>
          <w:sz w:val="24"/>
          <w:szCs w:val="24"/>
        </w:rPr>
      </w:pPr>
      <w:r>
        <w:rPr>
          <w:color w:val="000000"/>
          <w:sz w:val="24"/>
          <w:szCs w:val="24"/>
        </w:rPr>
        <w:t>Garante padronização da aquisição com base na Tabela CMED, parâmetro oficial de preços unitários de medicamentos no mercado nacional.</w:t>
      </w:r>
      <w:r>
        <w:rPr>
          <w:color w:val="000000"/>
          <w:sz w:val="24"/>
          <w:szCs w:val="24"/>
        </w:rPr>
        <w:br w:type="textWrapping"/>
      </w:r>
    </w:p>
    <w:p w14:paraId="23A266C2">
      <w:pPr>
        <w:numPr>
          <w:ilvl w:val="1"/>
          <w:numId w:val="21"/>
        </w:numPr>
        <w:rPr>
          <w:color w:val="000000"/>
          <w:sz w:val="24"/>
          <w:szCs w:val="24"/>
        </w:rPr>
      </w:pPr>
      <w:r>
        <w:rPr>
          <w:color w:val="000000"/>
          <w:sz w:val="24"/>
          <w:szCs w:val="24"/>
        </w:rPr>
        <w:t>Possibilita o atendimento das demandas clínicas variáveis e emergenciais nas unidades assistenciais e judicializadas, preservando a continuidade do tratamento e a segurança terapêutica dos pacientes.</w:t>
      </w:r>
      <w:r>
        <w:rPr>
          <w:color w:val="000000"/>
          <w:sz w:val="24"/>
          <w:szCs w:val="24"/>
        </w:rPr>
        <w:br w:type="textWrapping"/>
      </w:r>
    </w:p>
    <w:p w14:paraId="284CDC7F">
      <w:pPr>
        <w:numPr>
          <w:ilvl w:val="0"/>
          <w:numId w:val="21"/>
        </w:numPr>
        <w:ind w:firstLine="360"/>
        <w:rPr>
          <w:color w:val="000000"/>
          <w:sz w:val="24"/>
          <w:szCs w:val="24"/>
        </w:rPr>
      </w:pPr>
      <w:r>
        <w:rPr>
          <w:b/>
          <w:bCs/>
          <w:color w:val="000000"/>
          <w:sz w:val="24"/>
          <w:szCs w:val="24"/>
        </w:rPr>
        <w:t>Viabilidade Operacional</w:t>
      </w:r>
      <w:r>
        <w:rPr>
          <w:b/>
          <w:bCs/>
          <w:color w:val="000000"/>
          <w:sz w:val="24"/>
          <w:szCs w:val="24"/>
        </w:rPr>
        <w:br w:type="textWrapping"/>
      </w:r>
    </w:p>
    <w:p w14:paraId="27B3BA92">
      <w:pPr>
        <w:numPr>
          <w:ilvl w:val="1"/>
          <w:numId w:val="21"/>
        </w:numPr>
        <w:rPr>
          <w:color w:val="000000"/>
          <w:sz w:val="24"/>
          <w:szCs w:val="24"/>
        </w:rPr>
      </w:pPr>
      <w:r>
        <w:rPr>
          <w:color w:val="000000"/>
          <w:sz w:val="24"/>
          <w:szCs w:val="24"/>
        </w:rPr>
        <w:t>O modelo de Registro de Preços simplifica o fluxo de aquisição, permitindo compras fracionadas e conforme demanda real, reduzindo riscos de desabastecimento.</w:t>
      </w:r>
      <w:r>
        <w:rPr>
          <w:color w:val="000000"/>
          <w:sz w:val="24"/>
          <w:szCs w:val="24"/>
        </w:rPr>
        <w:br w:type="textWrapping"/>
      </w:r>
    </w:p>
    <w:p w14:paraId="350942FD">
      <w:pPr>
        <w:numPr>
          <w:ilvl w:val="1"/>
          <w:numId w:val="21"/>
        </w:numPr>
        <w:rPr>
          <w:color w:val="000000"/>
          <w:sz w:val="24"/>
          <w:szCs w:val="24"/>
        </w:rPr>
      </w:pPr>
      <w:r>
        <w:rPr>
          <w:color w:val="000000"/>
          <w:sz w:val="24"/>
          <w:szCs w:val="24"/>
        </w:rPr>
        <w:t>Favorece o cumprimento tempestivo de decisões judiciais que exigem fornecimento imediato de medicamentos específicos.</w:t>
      </w:r>
      <w:r>
        <w:rPr>
          <w:color w:val="000000"/>
          <w:sz w:val="24"/>
          <w:szCs w:val="24"/>
        </w:rPr>
        <w:br w:type="textWrapping"/>
      </w:r>
    </w:p>
    <w:p w14:paraId="3F5BB67B">
      <w:pPr>
        <w:numPr>
          <w:ilvl w:val="0"/>
          <w:numId w:val="21"/>
        </w:numPr>
        <w:ind w:firstLine="360"/>
        <w:rPr>
          <w:color w:val="000000"/>
          <w:sz w:val="24"/>
          <w:szCs w:val="24"/>
        </w:rPr>
      </w:pPr>
      <w:r>
        <w:rPr>
          <w:b/>
          <w:bCs/>
          <w:color w:val="000000"/>
          <w:sz w:val="24"/>
          <w:szCs w:val="24"/>
        </w:rPr>
        <w:t>Viabilidade Econômica</w:t>
      </w:r>
      <w:r>
        <w:rPr>
          <w:b/>
          <w:bCs/>
          <w:color w:val="000000"/>
          <w:sz w:val="24"/>
          <w:szCs w:val="24"/>
        </w:rPr>
        <w:br w:type="textWrapping"/>
      </w:r>
    </w:p>
    <w:p w14:paraId="3C746CF8">
      <w:pPr>
        <w:numPr>
          <w:ilvl w:val="1"/>
          <w:numId w:val="21"/>
        </w:numPr>
        <w:rPr>
          <w:color w:val="000000"/>
          <w:sz w:val="24"/>
          <w:szCs w:val="24"/>
        </w:rPr>
      </w:pPr>
      <w:r>
        <w:rPr>
          <w:color w:val="000000"/>
          <w:sz w:val="24"/>
          <w:szCs w:val="24"/>
        </w:rPr>
        <w:t>O critério de julgamento pelo maior desconto sobre a Tabela CMED assegura vantagem econômica global, garantindo economicidade e racionalidade do gasto público.</w:t>
      </w:r>
      <w:r>
        <w:rPr>
          <w:color w:val="000000"/>
          <w:sz w:val="24"/>
          <w:szCs w:val="24"/>
        </w:rPr>
        <w:br w:type="textWrapping"/>
      </w:r>
    </w:p>
    <w:p w14:paraId="5985293A">
      <w:pPr>
        <w:numPr>
          <w:ilvl w:val="1"/>
          <w:numId w:val="21"/>
        </w:numPr>
        <w:rPr>
          <w:color w:val="000000"/>
          <w:sz w:val="24"/>
          <w:szCs w:val="24"/>
        </w:rPr>
      </w:pPr>
      <w:r>
        <w:rPr>
          <w:color w:val="000000"/>
          <w:sz w:val="24"/>
          <w:szCs w:val="24"/>
        </w:rPr>
        <w:t>Mesmo que alguns itens apresentem menor competitividade individual, a análise agregada do conjunto demonstra vantagem global significativa e continuidade de abastecimento.</w:t>
      </w:r>
      <w:r>
        <w:rPr>
          <w:color w:val="000000"/>
          <w:sz w:val="24"/>
          <w:szCs w:val="24"/>
        </w:rPr>
        <w:br w:type="textWrapping"/>
      </w:r>
    </w:p>
    <w:p w14:paraId="648B8CAE">
      <w:pPr>
        <w:numPr>
          <w:ilvl w:val="0"/>
          <w:numId w:val="21"/>
        </w:numPr>
        <w:ind w:firstLine="360"/>
        <w:rPr>
          <w:color w:val="000000"/>
          <w:sz w:val="24"/>
          <w:szCs w:val="24"/>
        </w:rPr>
      </w:pPr>
      <w:r>
        <w:rPr>
          <w:b/>
          <w:bCs/>
          <w:color w:val="000000"/>
          <w:sz w:val="24"/>
          <w:szCs w:val="24"/>
        </w:rPr>
        <w:t>Viabilidade Jurídica</w:t>
      </w:r>
      <w:r>
        <w:rPr>
          <w:b/>
          <w:bCs/>
          <w:color w:val="000000"/>
          <w:sz w:val="24"/>
          <w:szCs w:val="24"/>
        </w:rPr>
        <w:br w:type="textWrapping"/>
      </w:r>
    </w:p>
    <w:p w14:paraId="58A0DDA7">
      <w:pPr>
        <w:numPr>
          <w:ilvl w:val="1"/>
          <w:numId w:val="21"/>
        </w:numPr>
        <w:rPr>
          <w:color w:val="000000"/>
          <w:sz w:val="24"/>
          <w:szCs w:val="24"/>
        </w:rPr>
      </w:pPr>
      <w:r>
        <w:rPr>
          <w:color w:val="000000"/>
          <w:sz w:val="24"/>
          <w:szCs w:val="24"/>
        </w:rPr>
        <w:t>A contratação está em consonância com a legislação aplicável, especialmente a Lei nº 14.133/2021, e com as diretrizes da AGU para instrução de processos de compras públicas.</w:t>
      </w:r>
      <w:r>
        <w:rPr>
          <w:color w:val="000000"/>
          <w:sz w:val="24"/>
          <w:szCs w:val="24"/>
        </w:rPr>
        <w:br w:type="textWrapping"/>
      </w:r>
    </w:p>
    <w:p w14:paraId="2E6445D5">
      <w:pPr>
        <w:numPr>
          <w:ilvl w:val="1"/>
          <w:numId w:val="21"/>
        </w:numPr>
        <w:rPr>
          <w:color w:val="000000"/>
          <w:sz w:val="24"/>
          <w:szCs w:val="24"/>
        </w:rPr>
      </w:pPr>
      <w:r>
        <w:rPr>
          <w:color w:val="000000"/>
          <w:sz w:val="24"/>
          <w:szCs w:val="24"/>
        </w:rPr>
        <w:t>O modelo de Registro de Preços se mostra compatível com itens de demanda variável e contínua, nos termos da legislação.</w:t>
      </w:r>
    </w:p>
    <w:p w14:paraId="57D7C103">
      <w:pPr>
        <w:spacing w:before="240" w:after="240" w:line="276" w:lineRule="auto"/>
        <w:jc w:val="both"/>
        <w:rPr>
          <w:color w:val="000000"/>
          <w:sz w:val="24"/>
          <w:szCs w:val="24"/>
        </w:rPr>
      </w:pPr>
      <w:r>
        <w:rPr>
          <w:color w:val="000000"/>
          <w:sz w:val="24"/>
          <w:szCs w:val="24"/>
        </w:rPr>
        <w:t>Diante do exposto, declara-se viável a presente contratação, recomendando-se a continuidade do processo e a elaboração do Termo de Referência com base nas conclusões deste ETP.</w:t>
      </w:r>
    </w:p>
    <w:p w14:paraId="0B14789E">
      <w:pPr>
        <w:widowControl w:val="0"/>
        <w:numPr>
          <w:ilvl w:val="0"/>
          <w:numId w:val="10"/>
        </w:numPr>
        <w:tabs>
          <w:tab w:val="left" w:pos="555"/>
          <w:tab w:val="left" w:pos="840"/>
          <w:tab w:val="left" w:pos="1140"/>
          <w:tab w:val="left" w:pos="1395"/>
          <w:tab w:val="left" w:pos="1650"/>
          <w:tab w:val="left" w:pos="1965"/>
          <w:tab w:val="left" w:pos="2220"/>
          <w:tab w:val="left" w:pos="7336"/>
        </w:tabs>
        <w:spacing w:before="120" w:after="120"/>
        <w:ind w:left="357"/>
        <w:jc w:val="both"/>
        <w:rPr>
          <w:b/>
          <w:bCs/>
          <w:color w:val="000000"/>
          <w:sz w:val="24"/>
          <w:szCs w:val="24"/>
        </w:rPr>
      </w:pPr>
      <w:r>
        <w:rPr>
          <w:b/>
          <w:bCs/>
          <w:color w:val="000000"/>
          <w:sz w:val="24"/>
          <w:szCs w:val="24"/>
        </w:rPr>
        <w:t>RESPONSÁVEIS</w:t>
      </w:r>
      <w:r>
        <w:rPr>
          <w:color w:val="000000"/>
          <w:sz w:val="24"/>
          <w:szCs w:val="24"/>
        </w:rPr>
        <w:tab/>
      </w:r>
    </w:p>
    <w:sdt>
      <w:sdtPr>
        <w:tag w:val="goog_rdk_2"/>
        <w:id w:val="-1622383205"/>
        <w:lock w:val="contentLocked"/>
      </w:sdtPr>
      <w:sdtContent>
        <w:tbl>
          <w:tblPr>
            <w:tblStyle w:val="10"/>
            <w:tblW w:w="10530" w:type="dxa"/>
            <w:tblInd w:w="1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3720"/>
            <w:gridCol w:w="4785"/>
            <w:gridCol w:w="2025"/>
          </w:tblGrid>
          <w:tr w14:paraId="7A8270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3720" w:type="dxa"/>
                <w:shd w:val="clear" w:color="auto" w:fill="auto"/>
                <w:tcMar>
                  <w:top w:w="100" w:type="dxa"/>
                  <w:left w:w="100" w:type="dxa"/>
                  <w:bottom w:w="100" w:type="dxa"/>
                  <w:right w:w="100" w:type="dxa"/>
                </w:tcMar>
              </w:tcPr>
              <w:p w14:paraId="2B6407C9">
                <w:pPr>
                  <w:widowControl w:val="0"/>
                  <w:pBdr>
                    <w:top w:val="none" w:color="auto" w:sz="0" w:space="0"/>
                    <w:left w:val="none" w:color="auto" w:sz="0" w:space="0"/>
                    <w:bottom w:val="none" w:color="auto" w:sz="0" w:space="0"/>
                    <w:right w:val="none" w:color="auto" w:sz="0" w:space="0"/>
                    <w:between w:val="none" w:color="auto" w:sz="0" w:space="0"/>
                  </w:pBdr>
                  <w:rPr>
                    <w:b/>
                    <w:bCs/>
                    <w:color w:val="000000"/>
                  </w:rPr>
                </w:pPr>
                <w:r>
                  <w:rPr>
                    <w:b/>
                    <w:bCs/>
                    <w:color w:val="000000"/>
                  </w:rPr>
                  <w:t>Nome</w:t>
                </w:r>
              </w:p>
            </w:tc>
            <w:tc>
              <w:tcPr>
                <w:tcW w:w="4785" w:type="dxa"/>
                <w:shd w:val="clear" w:color="auto" w:fill="auto"/>
                <w:tcMar>
                  <w:top w:w="100" w:type="dxa"/>
                  <w:left w:w="100" w:type="dxa"/>
                  <w:bottom w:w="100" w:type="dxa"/>
                  <w:right w:w="100" w:type="dxa"/>
                </w:tcMar>
              </w:tcPr>
              <w:p w14:paraId="378B8150">
                <w:pPr>
                  <w:widowControl w:val="0"/>
                  <w:pBdr>
                    <w:top w:val="none" w:color="auto" w:sz="0" w:space="0"/>
                    <w:left w:val="none" w:color="auto" w:sz="0" w:space="0"/>
                    <w:bottom w:val="none" w:color="auto" w:sz="0" w:space="0"/>
                    <w:right w:val="none" w:color="auto" w:sz="0" w:space="0"/>
                    <w:between w:val="none" w:color="auto" w:sz="0" w:space="0"/>
                  </w:pBdr>
                  <w:rPr>
                    <w:b/>
                    <w:bCs/>
                    <w:color w:val="000000"/>
                  </w:rPr>
                </w:pPr>
                <w:r>
                  <w:rPr>
                    <w:b/>
                    <w:bCs/>
                    <w:color w:val="000000"/>
                  </w:rPr>
                  <w:t>Função</w:t>
                </w:r>
              </w:p>
            </w:tc>
            <w:tc>
              <w:tcPr>
                <w:tcW w:w="2025" w:type="dxa"/>
                <w:shd w:val="clear" w:color="auto" w:fill="auto"/>
                <w:tcMar>
                  <w:top w:w="100" w:type="dxa"/>
                  <w:left w:w="100" w:type="dxa"/>
                  <w:bottom w:w="100" w:type="dxa"/>
                  <w:right w:w="100" w:type="dxa"/>
                </w:tcMar>
              </w:tcPr>
              <w:p w14:paraId="7DECA4FD">
                <w:pPr>
                  <w:widowControl w:val="0"/>
                  <w:pBdr>
                    <w:top w:val="none" w:color="auto" w:sz="0" w:space="0"/>
                    <w:left w:val="none" w:color="auto" w:sz="0" w:space="0"/>
                    <w:bottom w:val="none" w:color="auto" w:sz="0" w:space="0"/>
                    <w:right w:val="none" w:color="auto" w:sz="0" w:space="0"/>
                    <w:between w:val="none" w:color="auto" w:sz="0" w:space="0"/>
                  </w:pBdr>
                  <w:rPr>
                    <w:b/>
                    <w:bCs/>
                    <w:color w:val="000000"/>
                  </w:rPr>
                </w:pPr>
                <w:r>
                  <w:rPr>
                    <w:b/>
                    <w:bCs/>
                    <w:color w:val="000000"/>
                  </w:rPr>
                  <w:t>Matrícula</w:t>
                </w:r>
              </w:p>
            </w:tc>
          </w:tr>
          <w:tr w14:paraId="5DB5B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3720" w:type="dxa"/>
                <w:shd w:val="clear" w:color="auto" w:fill="auto"/>
                <w:tcMar>
                  <w:top w:w="100" w:type="dxa"/>
                  <w:left w:w="100" w:type="dxa"/>
                  <w:bottom w:w="100" w:type="dxa"/>
                  <w:right w:w="100" w:type="dxa"/>
                </w:tcMar>
              </w:tcPr>
              <w:p w14:paraId="791C0813">
                <w:pPr>
                  <w:widowControl w:val="0"/>
                  <w:rPr>
                    <w:color w:val="000000"/>
                  </w:rPr>
                </w:pPr>
                <w:r>
                  <w:rPr>
                    <w:color w:val="000000"/>
                    <w:sz w:val="18"/>
                    <w:szCs w:val="18"/>
                  </w:rPr>
                  <w:t>Eduardo Eiji Rodrigues Okabayashi</w:t>
                </w:r>
              </w:p>
            </w:tc>
            <w:tc>
              <w:tcPr>
                <w:tcW w:w="4785" w:type="dxa"/>
                <w:shd w:val="clear" w:color="auto" w:fill="auto"/>
                <w:tcMar>
                  <w:top w:w="100" w:type="dxa"/>
                  <w:left w:w="100" w:type="dxa"/>
                  <w:bottom w:w="100" w:type="dxa"/>
                  <w:right w:w="100" w:type="dxa"/>
                </w:tcMar>
              </w:tcPr>
              <w:p w14:paraId="436EBEB5">
                <w:pPr>
                  <w:widowControl w:val="0"/>
                  <w:pBdr>
                    <w:top w:val="none" w:color="auto" w:sz="0" w:space="0"/>
                    <w:left w:val="none" w:color="auto" w:sz="0" w:space="0"/>
                    <w:bottom w:val="none" w:color="auto" w:sz="0" w:space="0"/>
                    <w:right w:val="none" w:color="auto" w:sz="0" w:space="0"/>
                    <w:between w:val="none" w:color="auto" w:sz="0" w:space="0"/>
                  </w:pBdr>
                  <w:rPr>
                    <w:color w:val="000000"/>
                    <w:sz w:val="18"/>
                    <w:szCs w:val="18"/>
                  </w:rPr>
                </w:pPr>
                <w:r>
                  <w:rPr>
                    <w:color w:val="000000"/>
                    <w:sz w:val="18"/>
                    <w:szCs w:val="18"/>
                  </w:rPr>
                  <w:t>Coordenador do Almoxarifado da Saúde</w:t>
                </w:r>
              </w:p>
            </w:tc>
            <w:tc>
              <w:tcPr>
                <w:tcW w:w="2025" w:type="dxa"/>
                <w:shd w:val="clear" w:color="auto" w:fill="auto"/>
                <w:tcMar>
                  <w:top w:w="100" w:type="dxa"/>
                  <w:left w:w="100" w:type="dxa"/>
                  <w:bottom w:w="100" w:type="dxa"/>
                  <w:right w:w="100" w:type="dxa"/>
                </w:tcMar>
              </w:tcPr>
              <w:p w14:paraId="0A96FEB3">
                <w:pPr>
                  <w:keepNext/>
                  <w:keepLines/>
                  <w:tabs>
                    <w:tab w:val="left" w:pos="567"/>
                  </w:tabs>
                  <w:spacing w:line="276" w:lineRule="auto"/>
                  <w:jc w:val="center"/>
                  <w:rPr>
                    <w:color w:val="000000"/>
                    <w:sz w:val="16"/>
                    <w:szCs w:val="16"/>
                  </w:rPr>
                </w:pPr>
                <w:r>
                  <w:rPr>
                    <w:color w:val="000000"/>
                    <w:sz w:val="18"/>
                    <w:szCs w:val="18"/>
                  </w:rPr>
                  <w:t>211.930</w:t>
                </w:r>
              </w:p>
            </w:tc>
          </w:tr>
        </w:tbl>
      </w:sdtContent>
    </w:sdt>
    <w:p w14:paraId="6D1ADFDE">
      <w:pPr>
        <w:rPr>
          <w:color w:val="000000"/>
          <w:sz w:val="24"/>
          <w:szCs w:val="24"/>
        </w:rPr>
      </w:pPr>
    </w:p>
    <w:p w14:paraId="20317C88">
      <w:pPr>
        <w:rPr>
          <w:rFonts w:ascii="Calibri" w:hAnsi="Calibri" w:eastAsia="Calibri" w:cs="Calibri"/>
          <w:color w:val="000000"/>
          <w:sz w:val="24"/>
          <w:szCs w:val="24"/>
        </w:rPr>
      </w:pPr>
      <w:r>
        <w:rPr>
          <w:color w:val="000000"/>
          <w:sz w:val="24"/>
          <w:szCs w:val="24"/>
        </w:rPr>
        <w:t>Valença, 23  de março de 2026.</w:t>
      </w:r>
      <w:r>
        <w:rPr>
          <w:rFonts w:ascii="Calibri" w:hAnsi="Calibri" w:eastAsia="Calibri" w:cs="Calibri"/>
          <w:color w:val="000000"/>
          <w:sz w:val="24"/>
          <w:szCs w:val="24"/>
        </w:rPr>
        <w:tab/>
      </w:r>
      <w:r>
        <w:rPr>
          <w:rFonts w:ascii="Calibri" w:hAnsi="Calibri" w:eastAsia="Calibri" w:cs="Calibri"/>
          <w:color w:val="000000"/>
          <w:sz w:val="24"/>
          <w:szCs w:val="24"/>
        </w:rPr>
        <w:tab/>
      </w:r>
      <w:r>
        <w:rPr>
          <w:rFonts w:ascii="Calibri" w:hAnsi="Calibri" w:eastAsia="Calibri" w:cs="Calibri"/>
          <w:color w:val="000000"/>
          <w:sz w:val="24"/>
          <w:szCs w:val="24"/>
        </w:rPr>
        <w:tab/>
      </w:r>
      <w:r>
        <w:rPr>
          <w:rFonts w:ascii="Calibri" w:hAnsi="Calibri" w:eastAsia="Calibri" w:cs="Calibri"/>
          <w:color w:val="000000"/>
          <w:sz w:val="24"/>
          <w:szCs w:val="24"/>
        </w:rPr>
        <w:t xml:space="preserve">  </w:t>
      </w:r>
    </w:p>
    <w:p w14:paraId="3C2F6E63">
      <w:pPr>
        <w:spacing w:before="288" w:beforeLines="120" w:after="288" w:afterLines="120" w:line="288" w:lineRule="auto"/>
        <w:contextualSpacing/>
        <w:rPr>
          <w:b/>
          <w:bCs/>
          <w:sz w:val="24"/>
          <w:szCs w:val="24"/>
        </w:rPr>
      </w:pPr>
    </w:p>
    <w:p w14:paraId="3FA08A90">
      <w:pPr>
        <w:spacing w:before="288" w:beforeLines="120" w:after="288" w:afterLines="120" w:line="288" w:lineRule="auto"/>
        <w:contextualSpacing/>
        <w:rPr>
          <w:rFonts w:eastAsia="MS Mincho"/>
          <w:b/>
          <w:sz w:val="24"/>
          <w:szCs w:val="24"/>
        </w:rPr>
      </w:pPr>
    </w:p>
    <w:p w14:paraId="707B2BA1">
      <w:pPr>
        <w:spacing w:before="288" w:beforeLines="120" w:after="288" w:afterLines="120" w:line="288" w:lineRule="auto"/>
        <w:contextualSpacing/>
        <w:rPr>
          <w:rFonts w:eastAsia="MS Mincho"/>
          <w:b/>
          <w:sz w:val="24"/>
          <w:szCs w:val="24"/>
        </w:rPr>
      </w:pPr>
    </w:p>
    <w:p w14:paraId="2532C1B2">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2CA7C58E">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ANEXO</w:t>
      </w:r>
      <w:r>
        <w:rPr>
          <w:rFonts w:eastAsia="MS Mincho"/>
          <w:b/>
          <w:color w:val="000000" w:themeColor="text1"/>
          <w:sz w:val="24"/>
          <w:szCs w:val="24"/>
          <w:highlight w:val="yellow"/>
          <w:u w:val="single"/>
          <w14:textFill>
            <w14:solidFill>
              <w14:schemeClr w14:val="tx1"/>
            </w14:solidFill>
          </w14:textFill>
        </w:rPr>
        <w:t xml:space="preserve"> IV </w:t>
      </w:r>
      <w:r>
        <w:rPr>
          <w:rFonts w:eastAsia="MS Mincho"/>
          <w:b/>
          <w:sz w:val="24"/>
          <w:szCs w:val="24"/>
          <w:highlight w:val="yellow"/>
          <w:u w:val="single"/>
        </w:rPr>
        <w:t>– 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41"/>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blPrEx>
          <w:tblCellMar>
            <w:top w:w="0" w:type="dxa"/>
            <w:left w:w="108" w:type="dxa"/>
            <w:bottom w:w="0" w:type="dxa"/>
            <w:right w:w="108" w:type="dxa"/>
          </w:tblCellMar>
        </w:tblPrEx>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blPrEx>
          <w:tblCellMar>
            <w:top w:w="0" w:type="dxa"/>
            <w:left w:w="108" w:type="dxa"/>
            <w:bottom w:w="0" w:type="dxa"/>
            <w:right w:w="108" w:type="dxa"/>
          </w:tblCellMar>
        </w:tblPrEx>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r>
        <w:rPr>
          <w:rFonts w:eastAsia="SimSun"/>
        </w:rPr>
        <w:drawing>
          <wp:anchor distT="0" distB="0" distL="114300" distR="114300" simplePos="0" relativeHeight="251659264" behindDoc="0" locked="0" layoutInCell="1" allowOverlap="1">
            <wp:simplePos x="0" y="0"/>
            <wp:positionH relativeFrom="margin">
              <wp:align>center</wp:align>
            </wp:positionH>
            <wp:positionV relativeFrom="paragraph">
              <wp:posOffset>151765</wp:posOffset>
            </wp:positionV>
            <wp:extent cx="4512310" cy="6894830"/>
            <wp:effectExtent l="889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rot="5400000">
                      <a:off x="0" y="0"/>
                      <a:ext cx="4512310" cy="6894830"/>
                    </a:xfrm>
                    <a:prstGeom prst="rect">
                      <a:avLst/>
                    </a:prstGeom>
                  </pic:spPr>
                </pic:pic>
              </a:graphicData>
            </a:graphic>
          </wp:anchor>
        </w:drawing>
      </w:r>
    </w:p>
    <w:p w14:paraId="46849E62">
      <w:pPr>
        <w:spacing w:line="288" w:lineRule="auto"/>
        <w:contextualSpacing/>
        <w:jc w:val="center"/>
        <w:rPr>
          <w:b/>
          <w:bCs/>
          <w:sz w:val="24"/>
          <w:szCs w:val="24"/>
        </w:rPr>
      </w:pPr>
      <w:r>
        <w:rPr>
          <w:b/>
          <w:bCs/>
          <w:sz w:val="24"/>
          <w:szCs w:val="24"/>
        </w:rPr>
        <w:t>ANEXO V</w:t>
      </w:r>
    </w:p>
    <w:p w14:paraId="68BCF3B6">
      <w:pPr>
        <w:spacing w:line="368" w:lineRule="auto"/>
        <w:ind w:left="720" w:right="16"/>
        <w:jc w:val="center"/>
        <w:rPr>
          <w:b/>
          <w:u w:val="single"/>
        </w:rPr>
      </w:pPr>
    </w:p>
    <w:p w14:paraId="33DE6C5A">
      <w:pPr>
        <w:tabs>
          <w:tab w:val="left" w:pos="709"/>
        </w:tabs>
        <w:spacing w:before="120" w:after="120"/>
        <w:ind w:left="142"/>
        <w:jc w:val="center"/>
        <w:rPr>
          <w:b/>
          <w:sz w:val="24"/>
          <w:szCs w:val="24"/>
          <w:u w:val="single"/>
        </w:rPr>
      </w:pPr>
      <w:r>
        <w:rPr>
          <w:b/>
          <w:sz w:val="24"/>
          <w:szCs w:val="24"/>
          <w:highlight w:val="yellow"/>
          <w:u w:val="single"/>
        </w:rPr>
        <w:t>PLANILHA DE CUSTOS</w:t>
      </w:r>
    </w:p>
    <w:p w14:paraId="530098EA">
      <w:pPr>
        <w:pStyle w:val="77"/>
        <w:jc w:val="both"/>
        <w:rPr>
          <w:rFonts w:ascii="Times New Roman" w:hAnsi="Times New Roman" w:eastAsia="SimSun" w:cs="Times New Roman"/>
          <w:sz w:val="24"/>
          <w:szCs w:val="24"/>
        </w:rPr>
      </w:pPr>
    </w:p>
    <w:p w14:paraId="73D4F687">
      <w:pPr>
        <w:pStyle w:val="77"/>
        <w:jc w:val="both"/>
        <w:rPr>
          <w:rFonts w:ascii="Times New Roman" w:hAnsi="Times New Roman" w:eastAsia="SimSun" w:cs="Times New Roman"/>
          <w:sz w:val="24"/>
          <w:szCs w:val="24"/>
        </w:rPr>
      </w:pPr>
    </w:p>
    <w:p w14:paraId="2F992440">
      <w:pPr>
        <w:rPr>
          <w:rFonts w:ascii="Arial" w:hAnsi="Arial" w:cs="Arial"/>
        </w:rPr>
      </w:pPr>
    </w:p>
    <w:p w14:paraId="2110695E">
      <w:pPr>
        <w:rPr>
          <w:rFonts w:ascii="Arial" w:hAnsi="Arial" w:cs="Arial"/>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5B72FB63">
      <w:pPr>
        <w:spacing w:line="288" w:lineRule="auto"/>
        <w:contextualSpacing/>
        <w:jc w:val="center"/>
        <w:rPr>
          <w:b/>
          <w:color w:val="000000" w:themeColor="text1"/>
          <w:sz w:val="24"/>
          <w:szCs w:val="24"/>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6522E206">
      <w:pPr>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MUNICÍPIO DE VALENÇA</w:t>
      </w:r>
    </w:p>
    <w:p w14:paraId="0645F0F3">
      <w:pPr>
        <w:contextualSpacing/>
        <w:jc w:val="center"/>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SECRETARIA MUNICIPAL DE SAÚDE</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xxx, portador do CPF nº xxxx, considerando o resultado do Pregão Eletrônico nº xxx/2026, publicada no ...... de ...../...../202... para REGISTRO DE PREÇOS, processo administrativo nº ......, RESOLVE registrar os preços da  empresa indicada e qualificada nesta ATA, de acordo com a classificação por ela alcançada e na quantidade  cotada, atendendo as condições previstas no </w:t>
      </w:r>
      <w:bookmarkStart w:id="43" w:name="_Hlk158816343"/>
      <w:r>
        <w:rPr>
          <w:color w:val="000000" w:themeColor="text1"/>
          <w:sz w:val="24"/>
          <w:szCs w:val="24"/>
          <w14:textFill>
            <w14:solidFill>
              <w14:schemeClr w14:val="tx1"/>
            </w14:solidFill>
          </w14:textFill>
        </w:rPr>
        <w:t xml:space="preserve">Edital de licitação </w:t>
      </w:r>
      <w:bookmarkStart w:id="44" w:name="_Hlk155800648"/>
      <w:r>
        <w:rPr>
          <w:color w:val="000000" w:themeColor="text1"/>
          <w:sz w:val="24"/>
          <w:szCs w:val="24"/>
          <w14:textFill>
            <w14:solidFill>
              <w14:schemeClr w14:val="tx1"/>
            </w14:solidFill>
          </w14:textFill>
        </w:rPr>
        <w:t>nº xxx/202</w:t>
      </w:r>
      <w:bookmarkEnd w:id="44"/>
      <w:r>
        <w:rPr>
          <w:color w:val="000000" w:themeColor="text1"/>
          <w:sz w:val="24"/>
          <w:szCs w:val="24"/>
          <w14:textFill>
            <w14:solidFill>
              <w14:schemeClr w14:val="tx1"/>
            </w14:solidFill>
          </w14:textFill>
        </w:rPr>
        <w:t>6 Termo de Referência</w:t>
      </w:r>
      <w:bookmarkEnd w:id="43"/>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04A6C3D3">
      <w:pPr>
        <w:pStyle w:val="97"/>
        <w:spacing w:before="0" w:beforeAutospacing="0" w:after="0" w:afterAutospacing="0" w:line="288" w:lineRule="auto"/>
        <w:ind w:right="-1"/>
        <w:contextualSpacing/>
        <w:jc w:val="both"/>
        <w:rPr>
          <w:b/>
          <w:bCs/>
        </w:rPr>
      </w:pPr>
      <w:r>
        <w:rPr>
          <w:b/>
          <w:bCs/>
        </w:rPr>
        <w:t xml:space="preserve">CLÁUSULA PRIMEIRA: OBJETO </w:t>
      </w:r>
    </w:p>
    <w:p w14:paraId="641AB554">
      <w:pPr>
        <w:pStyle w:val="97"/>
        <w:spacing w:before="0" w:beforeAutospacing="0" w:after="0" w:afterAutospacing="0" w:line="288" w:lineRule="auto"/>
        <w:ind w:right="-1"/>
        <w:contextualSpacing/>
        <w:jc w:val="both"/>
        <w:rPr>
          <w:b/>
          <w:bCs/>
        </w:rPr>
      </w:pPr>
    </w:p>
    <w:p w14:paraId="202B2C7B">
      <w:pPr>
        <w:tabs>
          <w:tab w:val="left" w:pos="555"/>
          <w:tab w:val="left" w:pos="840"/>
          <w:tab w:val="left" w:pos="1140"/>
          <w:tab w:val="left" w:pos="1395"/>
          <w:tab w:val="left" w:pos="1650"/>
          <w:tab w:val="left" w:pos="1965"/>
          <w:tab w:val="left" w:pos="2220"/>
          <w:tab w:val="left" w:pos="7336"/>
        </w:tabs>
        <w:spacing w:after="200" w:line="276" w:lineRule="auto"/>
        <w:rPr>
          <w:color w:val="000000"/>
          <w:sz w:val="24"/>
          <w:szCs w:val="24"/>
        </w:rPr>
      </w:pPr>
      <w:r>
        <w:rPr>
          <w:rFonts w:eastAsia="Cambria Math"/>
          <w:sz w:val="24"/>
          <w:szCs w:val="24"/>
        </w:rPr>
        <w:t xml:space="preserve">1.1 </w:t>
      </w:r>
      <w:r>
        <w:rPr>
          <w:color w:val="000000"/>
          <w:sz w:val="24"/>
          <w:szCs w:val="24"/>
        </w:rPr>
        <w:t>Aquisição de medicamentos de A a Z, ÉTICOS, SIMILARES e GENÉRICOS, considerando o maior desconto sobre a Tabela de Preços CMED da ANVISA, para atender as demandas dos pacientes assistidos pelo Centro Assistencial e de Mandado.</w:t>
      </w: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36A7C42">
      <w:pPr>
        <w:tabs>
          <w:tab w:val="left" w:pos="555"/>
          <w:tab w:val="left" w:pos="840"/>
          <w:tab w:val="left" w:pos="1140"/>
          <w:tab w:val="left" w:pos="1395"/>
          <w:tab w:val="left" w:pos="1650"/>
          <w:tab w:val="left" w:pos="1965"/>
          <w:tab w:val="left" w:pos="2220"/>
          <w:tab w:val="left" w:pos="7336"/>
        </w:tabs>
        <w:spacing w:after="200" w:line="276" w:lineRule="auto"/>
        <w:rPr>
          <w:color w:val="000000"/>
          <w:sz w:val="24"/>
          <w:szCs w:val="24"/>
        </w:rPr>
      </w:pPr>
      <w:r>
        <w:rPr>
          <w:sz w:val="24"/>
          <w:szCs w:val="24"/>
        </w:rPr>
        <w:t xml:space="preserve">2.1 </w:t>
      </w:r>
      <w:r>
        <w:rPr>
          <w:color w:val="000000"/>
          <w:sz w:val="24"/>
          <w:szCs w:val="24"/>
        </w:rPr>
        <w:t>Aquisição de medicamentos de A a Z, ÉTICOS, SIMILARES e GENÉRICOS, considerando o maior desconto sobre a Tabela de Preços CMED da ANVISA, para atender as demandas dos pacientes assistidos pelo Centro Assistencial e de Mandado.</w:t>
      </w:r>
    </w:p>
    <w:p w14:paraId="3AC0B7CD">
      <w:pPr>
        <w:pStyle w:val="77"/>
        <w:spacing w:line="360" w:lineRule="auto"/>
        <w:jc w:val="both"/>
        <w:rPr>
          <w:rFonts w:ascii="Times New Roman" w:hAnsi="Times New Roman" w:eastAsia="SimSun" w:cs="Times New Roman"/>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5" w:name="_Hlk158816379"/>
      <w:r>
        <w:rPr>
          <w:color w:val="000000" w:themeColor="text1"/>
          <w:sz w:val="24"/>
          <w:szCs w:val="24"/>
          <w14:textFill>
            <w14:solidFill>
              <w14:schemeClr w14:val="tx1"/>
            </w14:solidFill>
          </w14:textFill>
        </w:rPr>
        <w:t>do certame</w:t>
      </w:r>
      <w:bookmarkEnd w:id="45"/>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Rafael de Oliveira Tavares</w:t>
      </w:r>
    </w:p>
    <w:p w14:paraId="6004A2DC">
      <w:pPr>
        <w:spacing w:line="288" w:lineRule="auto"/>
        <w:ind w:firstLine="567"/>
        <w:contextualSpacing/>
        <w:jc w:val="center"/>
        <w:rPr>
          <w:bCs/>
          <w:sz w:val="24"/>
          <w:szCs w:val="24"/>
        </w:rPr>
      </w:pPr>
      <w:r>
        <w:rPr>
          <w:sz w:val="24"/>
          <w:szCs w:val="24"/>
        </w:rPr>
        <w:t>Secretária Municipal de Saúde</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highlight w:val="yellow"/>
          <w:u w:val="single"/>
          <w:lang w:eastAsia="en-US"/>
        </w:rPr>
      </w:pPr>
      <w:r>
        <w:rPr>
          <w:rFonts w:eastAsia="Calibri"/>
          <w:b/>
          <w:bCs/>
          <w:lang w:eastAsia="en-US"/>
        </w:rPr>
        <w:t xml:space="preserve">                                                    </w:t>
      </w:r>
      <w:r>
        <w:rPr>
          <w:rFonts w:eastAsia="Calibri"/>
          <w:b/>
          <w:bCs/>
          <w:highlight w:val="yellow"/>
          <w:u w:val="single"/>
          <w:lang w:eastAsia="en-US"/>
        </w:rPr>
        <w:t>ANEXO VI</w:t>
      </w:r>
    </w:p>
    <w:p w14:paraId="19ACA2BB">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XXX/2026, DE </w:t>
      </w:r>
      <w:r>
        <w:rPr>
          <w:rFonts w:eastAsia="Cambria"/>
          <w:b/>
          <w:sz w:val="24"/>
          <w:szCs w:val="24"/>
        </w:rPr>
        <w:t xml:space="preserve">AQUISIÇÃO DE MEDICAMENTOS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SAÚDE.</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Rafael de Oliveira Tavares, portador do CPF nº 105.832.167-65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2F3C7280">
      <w:pPr>
        <w:tabs>
          <w:tab w:val="left" w:pos="555"/>
          <w:tab w:val="left" w:pos="840"/>
          <w:tab w:val="left" w:pos="1140"/>
          <w:tab w:val="left" w:pos="1395"/>
          <w:tab w:val="left" w:pos="1650"/>
          <w:tab w:val="left" w:pos="1965"/>
          <w:tab w:val="left" w:pos="2220"/>
          <w:tab w:val="left" w:pos="7336"/>
        </w:tabs>
        <w:spacing w:after="200" w:line="276" w:lineRule="auto"/>
        <w:rPr>
          <w:color w:val="000000"/>
          <w:sz w:val="24"/>
          <w:szCs w:val="24"/>
        </w:rPr>
      </w:pPr>
      <w:r>
        <w:rPr>
          <w:color w:val="000000"/>
          <w:sz w:val="24"/>
          <w:szCs w:val="24"/>
        </w:rPr>
        <w:t>Aquisição de medicamentos de A a Z, ÉTICOS, SIMILARES e GENÉRICOS, considerando o maior desconto sobre a Tabela de Preços CMED da ANVISA, para atender as demandas dos pacientes assistidos pelo Centro Assistencial e de Mandado.</w:t>
      </w: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22"/>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12 meses</w:t>
      </w:r>
      <w:r>
        <w:rPr>
          <w:rFonts w:eastAsia="Arial"/>
          <w:color w:val="000000" w:themeColor="text1"/>
          <w:sz w:val="24"/>
          <w:szCs w:val="24"/>
          <w14:textFill>
            <w14:solidFill>
              <w14:schemeClr w14:val="tx1"/>
            </w14:solidFill>
          </w14:textFill>
        </w:rPr>
        <w:t xml:space="preserve">,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51FE2511">
      <w:pPr>
        <w:spacing w:line="288" w:lineRule="auto"/>
        <w:ind w:firstLine="567"/>
        <w:contextualSpacing/>
        <w:jc w:val="center"/>
        <w:rPr>
          <w:sz w:val="24"/>
          <w:szCs w:val="24"/>
        </w:rPr>
      </w:pPr>
      <w:r>
        <w:rPr>
          <w:sz w:val="24"/>
          <w:szCs w:val="24"/>
        </w:rPr>
        <w:t>XXXXXXX</w:t>
      </w:r>
    </w:p>
    <w:p w14:paraId="074CFAED">
      <w:pPr>
        <w:spacing w:line="288" w:lineRule="auto"/>
        <w:ind w:firstLine="567"/>
        <w:contextualSpacing/>
        <w:jc w:val="center"/>
        <w:rPr>
          <w:bCs/>
          <w:sz w:val="24"/>
          <w:szCs w:val="24"/>
        </w:rPr>
      </w:pPr>
      <w:r>
        <w:rPr>
          <w:sz w:val="24"/>
          <w:szCs w:val="24"/>
        </w:rPr>
        <w:t>Secretário Municipal de Saúde</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u w:val="single"/>
        </w:rPr>
      </w:pPr>
      <w:r>
        <w:rPr>
          <w:b/>
          <w:bCs/>
          <w:sz w:val="24"/>
          <w:szCs w:val="24"/>
          <w:highlight w:val="yellow"/>
          <w:u w:val="single"/>
        </w:rPr>
        <w:t>ANEXO VIII</w:t>
      </w:r>
    </w:p>
    <w:p w14:paraId="7D5A5132">
      <w:pPr>
        <w:ind w:firstLine="142"/>
        <w:jc w:val="center"/>
        <w:rPr>
          <w:b/>
          <w:bCs/>
          <w:sz w:val="24"/>
          <w:szCs w:val="24"/>
        </w:rPr>
      </w:pP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5050CBB">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DC6123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2B49461">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4AD1805">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F7F35E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E44DB8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2A7A63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4A128D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5A94A54">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A953A27">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9E4C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34F60563">
      <w:pPr>
        <w:pStyle w:val="20"/>
        <w:ind w:right="-284" w:firstLine="142"/>
        <w:jc w:val="center"/>
        <w:rPr>
          <w:rFonts w:ascii="Times New Roman" w:hAnsi="Times New Roman" w:cs="Times New Roman"/>
          <w:b/>
        </w:rPr>
      </w:pPr>
    </w:p>
    <w:p w14:paraId="5D3966CD">
      <w:pPr>
        <w:pStyle w:val="20"/>
        <w:ind w:right="-284" w:firstLine="142"/>
        <w:jc w:val="center"/>
        <w:rPr>
          <w:rFonts w:ascii="Times New Roman" w:hAnsi="Times New Roman" w:cs="Times New Roman"/>
          <w:b/>
        </w:rPr>
      </w:pPr>
    </w:p>
    <w:p w14:paraId="7E29BD61">
      <w:pPr>
        <w:pStyle w:val="20"/>
        <w:ind w:right="-284" w:firstLine="142"/>
        <w:jc w:val="center"/>
        <w:rPr>
          <w:rFonts w:ascii="Times New Roman" w:hAnsi="Times New Roman" w:cs="Times New Roman"/>
          <w:b/>
        </w:rPr>
      </w:pPr>
    </w:p>
    <w:p w14:paraId="22533C8F">
      <w:pPr>
        <w:pStyle w:val="20"/>
        <w:ind w:right="-284" w:firstLine="142"/>
        <w:jc w:val="center"/>
        <w:rPr>
          <w:rFonts w:ascii="Times New Roman" w:hAnsi="Times New Roman" w:cs="Times New Roman"/>
          <w:b/>
        </w:rPr>
      </w:pPr>
    </w:p>
    <w:p w14:paraId="6E46F969">
      <w:pPr>
        <w:pStyle w:val="20"/>
        <w:ind w:right="-284" w:firstLine="142"/>
        <w:jc w:val="center"/>
        <w:rPr>
          <w:rFonts w:ascii="Times New Roman" w:hAnsi="Times New Roman" w:cs="Times New Roman"/>
          <w:b/>
        </w:rPr>
      </w:pPr>
    </w:p>
    <w:p w14:paraId="33DB2B94">
      <w:pPr>
        <w:pStyle w:val="20"/>
        <w:ind w:right="-284" w:firstLine="142"/>
        <w:jc w:val="center"/>
        <w:rPr>
          <w:rFonts w:ascii="Times New Roman" w:hAnsi="Times New Roman" w:cs="Times New Roman"/>
          <w:b/>
        </w:rPr>
      </w:pPr>
    </w:p>
    <w:p w14:paraId="7A239F1C">
      <w:pPr>
        <w:pStyle w:val="20"/>
        <w:ind w:right="-284" w:firstLine="142"/>
        <w:jc w:val="center"/>
        <w:rPr>
          <w:rFonts w:ascii="Times New Roman" w:hAnsi="Times New Roman" w:cs="Times New Roman"/>
          <w:b/>
        </w:rPr>
      </w:pPr>
    </w:p>
    <w:p w14:paraId="439BE6EA">
      <w:pPr>
        <w:pStyle w:val="20"/>
        <w:ind w:right="-284" w:firstLine="142"/>
        <w:jc w:val="center"/>
        <w:rPr>
          <w:rFonts w:ascii="Times New Roman" w:hAnsi="Times New Roman" w:cs="Times New Roman"/>
          <w:b/>
        </w:rPr>
      </w:pPr>
    </w:p>
    <w:p w14:paraId="4EF66EA8">
      <w:pPr>
        <w:pStyle w:val="20"/>
        <w:ind w:right="-284" w:firstLine="142"/>
        <w:jc w:val="center"/>
        <w:rPr>
          <w:rFonts w:ascii="Times New Roman" w:hAnsi="Times New Roman" w:cs="Times New Roman"/>
          <w:b/>
        </w:rPr>
      </w:pPr>
    </w:p>
    <w:p w14:paraId="5F000017">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9227C9B">
      <w:pPr>
        <w:pStyle w:val="20"/>
        <w:spacing w:line="360" w:lineRule="auto"/>
        <w:ind w:right="-285" w:firstLine="142"/>
        <w:jc w:val="center"/>
        <w:rPr>
          <w:rFonts w:ascii="Times New Roman" w:hAnsi="Times New Roman" w:cs="Times New Roman"/>
          <w:b/>
        </w:rPr>
      </w:pPr>
    </w:p>
    <w:p w14:paraId="6B132444">
      <w:pPr>
        <w:pStyle w:val="20"/>
        <w:spacing w:line="360" w:lineRule="auto"/>
        <w:ind w:right="-285" w:firstLine="142"/>
        <w:jc w:val="center"/>
        <w:rPr>
          <w:rFonts w:ascii="Times New Roman" w:hAnsi="Times New Roman" w:cs="Times New Roman"/>
          <w:b/>
        </w:rPr>
      </w:pPr>
    </w:p>
    <w:p w14:paraId="58633C5D">
      <w:pPr>
        <w:pStyle w:val="20"/>
        <w:spacing w:line="360" w:lineRule="auto"/>
        <w:ind w:right="-285" w:firstLine="142"/>
        <w:jc w:val="center"/>
        <w:rPr>
          <w:rFonts w:ascii="Times New Roman" w:hAnsi="Times New Roman" w:cs="Times New Roman"/>
          <w:b/>
        </w:rPr>
      </w:pPr>
    </w:p>
    <w:p w14:paraId="720F98C5">
      <w:pPr>
        <w:pStyle w:val="20"/>
        <w:spacing w:line="360" w:lineRule="auto"/>
        <w:ind w:right="-285" w:firstLine="142"/>
        <w:jc w:val="center"/>
        <w:rPr>
          <w:rFonts w:ascii="Times New Roman" w:hAnsi="Times New Roman" w:cs="Times New Roman"/>
          <w:b/>
        </w:rPr>
      </w:pP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iberation Serif">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1">
    <w:nsid w:val="18826268"/>
    <w:multiLevelType w:val="multilevel"/>
    <w:tmpl w:val="18826268"/>
    <w:lvl w:ilvl="0" w:tentative="0">
      <w:start w:val="1"/>
      <w:numFmt w:val="decimal"/>
      <w:lvlText w:val="%1."/>
      <w:lvlJc w:val="left"/>
      <w:pPr>
        <w:ind w:left="360" w:hanging="360"/>
      </w:pPr>
      <w:rPr>
        <w:sz w:val="24"/>
        <w:szCs w:val="24"/>
        <w:u w:val="none"/>
      </w:rPr>
    </w:lvl>
    <w:lvl w:ilvl="1" w:tentative="0">
      <w:start w:val="1"/>
      <w:numFmt w:val="decimal"/>
      <w:lvlText w:val="%1.%2."/>
      <w:lvlJc w:val="left"/>
      <w:pPr>
        <w:ind w:left="792" w:hanging="432"/>
      </w:pPr>
      <w:rPr>
        <w:u w:val="none"/>
      </w:rPr>
    </w:lvl>
    <w:lvl w:ilvl="2" w:tentative="0">
      <w:start w:val="1"/>
      <w:numFmt w:val="decimal"/>
      <w:lvlText w:val="%1.%2.%3."/>
      <w:lvlJc w:val="left"/>
      <w:pPr>
        <w:ind w:left="1224" w:hanging="504"/>
      </w:pPr>
      <w:rPr>
        <w:u w:val="none"/>
      </w:rPr>
    </w:lvl>
    <w:lvl w:ilvl="3" w:tentative="0">
      <w:start w:val="1"/>
      <w:numFmt w:val="decimal"/>
      <w:lvlText w:val="%1.%2.%3.%4."/>
      <w:lvlJc w:val="left"/>
      <w:pPr>
        <w:ind w:left="1728" w:hanging="647"/>
      </w:pPr>
      <w:rPr>
        <w:u w:val="none"/>
      </w:rPr>
    </w:lvl>
    <w:lvl w:ilvl="4" w:tentative="0">
      <w:start w:val="1"/>
      <w:numFmt w:val="decimal"/>
      <w:lvlText w:val="%1.%2.%3.%4.%5."/>
      <w:lvlJc w:val="left"/>
      <w:pPr>
        <w:ind w:left="2232" w:hanging="792"/>
      </w:pPr>
      <w:rPr>
        <w:u w:val="none"/>
      </w:rPr>
    </w:lvl>
    <w:lvl w:ilvl="5" w:tentative="0">
      <w:start w:val="1"/>
      <w:numFmt w:val="decimal"/>
      <w:lvlText w:val="%1.%2.%3.%4.%5.%6."/>
      <w:lvlJc w:val="left"/>
      <w:pPr>
        <w:ind w:left="2736" w:hanging="935"/>
      </w:pPr>
      <w:rPr>
        <w:u w:val="none"/>
      </w:rPr>
    </w:lvl>
    <w:lvl w:ilvl="6" w:tentative="0">
      <w:start w:val="1"/>
      <w:numFmt w:val="decimal"/>
      <w:lvlText w:val="%1.%2.%3.%4.%5.%6.%7."/>
      <w:lvlJc w:val="left"/>
      <w:pPr>
        <w:ind w:left="3240" w:hanging="1080"/>
      </w:pPr>
      <w:rPr>
        <w:u w:val="none"/>
      </w:rPr>
    </w:lvl>
    <w:lvl w:ilvl="7" w:tentative="0">
      <w:start w:val="1"/>
      <w:numFmt w:val="decimal"/>
      <w:lvlText w:val="%1.%2.%3.%4.%5.%6.%7.%8."/>
      <w:lvlJc w:val="left"/>
      <w:pPr>
        <w:ind w:left="3744" w:hanging="1224"/>
      </w:pPr>
      <w:rPr>
        <w:u w:val="none"/>
      </w:rPr>
    </w:lvl>
    <w:lvl w:ilvl="8" w:tentative="0">
      <w:start w:val="1"/>
      <w:numFmt w:val="decimal"/>
      <w:lvlText w:val="%1.%2.%3.%4.%5.%6.%7.%8.%9."/>
      <w:lvlJc w:val="left"/>
      <w:pPr>
        <w:ind w:left="4320" w:hanging="1440"/>
      </w:pPr>
      <w:rPr>
        <w:u w:val="none"/>
      </w:rPr>
    </w:lvl>
  </w:abstractNum>
  <w:abstractNum w:abstractNumId="2">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2096643C"/>
    <w:multiLevelType w:val="multilevel"/>
    <w:tmpl w:val="2096643C"/>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21FE545F"/>
    <w:multiLevelType w:val="multilevel"/>
    <w:tmpl w:val="21FE545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6">
    <w:nsid w:val="2FBB6740"/>
    <w:multiLevelType w:val="multilevel"/>
    <w:tmpl w:val="2FBB6740"/>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32B50D41"/>
    <w:multiLevelType w:val="multilevel"/>
    <w:tmpl w:val="32B50D41"/>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3847497C"/>
    <w:multiLevelType w:val="multilevel"/>
    <w:tmpl w:val="3847497C"/>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3C362569"/>
    <w:multiLevelType w:val="multilevel"/>
    <w:tmpl w:val="3C36256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0">
    <w:nsid w:val="3E201AEA"/>
    <w:multiLevelType w:val="multilevel"/>
    <w:tmpl w:val="3E201AEA"/>
    <w:lvl w:ilvl="0" w:tentative="0">
      <w:start w:val="1"/>
      <w:numFmt w:val="decimal"/>
      <w:lvlText w:val="%1"/>
      <w:lvlJc w:val="left"/>
      <w:pPr>
        <w:ind w:left="405" w:hanging="405"/>
      </w:pPr>
      <w:rPr>
        <w:u w:val="none"/>
      </w:rPr>
    </w:lvl>
    <w:lvl w:ilvl="1" w:tentative="0">
      <w:start w:val="1"/>
      <w:numFmt w:val="decimal"/>
      <w:lvlText w:val="%1.%2"/>
      <w:lvlJc w:val="left"/>
      <w:pPr>
        <w:ind w:left="405" w:hanging="405"/>
      </w:pPr>
      <w:rPr>
        <w:u w:val="none"/>
      </w:rPr>
    </w:lvl>
    <w:lvl w:ilvl="2" w:tentative="0">
      <w:start w:val="1"/>
      <w:numFmt w:val="decimal"/>
      <w:lvlText w:val="%1.%2.%3"/>
      <w:lvlJc w:val="left"/>
      <w:pPr>
        <w:ind w:left="720" w:hanging="720"/>
      </w:pPr>
      <w:rPr>
        <w:u w:val="none"/>
      </w:rPr>
    </w:lvl>
    <w:lvl w:ilvl="3" w:tentative="0">
      <w:start w:val="1"/>
      <w:numFmt w:val="decimal"/>
      <w:lvlText w:val="%1.%2.%3.%4"/>
      <w:lvlJc w:val="left"/>
      <w:pPr>
        <w:ind w:left="720" w:hanging="720"/>
      </w:pPr>
      <w:rPr>
        <w:u w:val="none"/>
      </w:rPr>
    </w:lvl>
    <w:lvl w:ilvl="4" w:tentative="0">
      <w:start w:val="1"/>
      <w:numFmt w:val="decimal"/>
      <w:lvlText w:val="%1.%2.%3.%4.%5"/>
      <w:lvlJc w:val="left"/>
      <w:pPr>
        <w:ind w:left="1080" w:hanging="1080"/>
      </w:pPr>
      <w:rPr>
        <w:u w:val="none"/>
      </w:rPr>
    </w:lvl>
    <w:lvl w:ilvl="5" w:tentative="0">
      <w:start w:val="1"/>
      <w:numFmt w:val="decimal"/>
      <w:lvlText w:val="%1.%2.%3.%4.%5.%6"/>
      <w:lvlJc w:val="left"/>
      <w:pPr>
        <w:ind w:left="1440" w:hanging="1440"/>
      </w:pPr>
      <w:rPr>
        <w:u w:val="none"/>
      </w:rPr>
    </w:lvl>
    <w:lvl w:ilvl="6" w:tentative="0">
      <w:start w:val="1"/>
      <w:numFmt w:val="decimal"/>
      <w:lvlText w:val="%1.%2.%3.%4.%5.%6.%7"/>
      <w:lvlJc w:val="left"/>
      <w:pPr>
        <w:ind w:left="1440" w:hanging="1440"/>
      </w:pPr>
      <w:rPr>
        <w:u w:val="none"/>
      </w:rPr>
    </w:lvl>
    <w:lvl w:ilvl="7" w:tentative="0">
      <w:start w:val="1"/>
      <w:numFmt w:val="decimal"/>
      <w:lvlText w:val="%1.%2.%3.%4.%5.%6.%7.%8"/>
      <w:lvlJc w:val="left"/>
      <w:pPr>
        <w:ind w:left="1800" w:hanging="1800"/>
      </w:pPr>
      <w:rPr>
        <w:u w:val="none"/>
      </w:rPr>
    </w:lvl>
    <w:lvl w:ilvl="8" w:tentative="0">
      <w:start w:val="1"/>
      <w:numFmt w:val="decimal"/>
      <w:lvlText w:val="%1.%2.%3.%4.%5.%6.%7.%8.%9"/>
      <w:lvlJc w:val="left"/>
      <w:pPr>
        <w:ind w:left="1800" w:hanging="1800"/>
      </w:pPr>
      <w:rPr>
        <w:u w:val="none"/>
      </w:rPr>
    </w:lvl>
  </w:abstractNum>
  <w:abstractNum w:abstractNumId="11">
    <w:nsid w:val="3E352E34"/>
    <w:multiLevelType w:val="multilevel"/>
    <w:tmpl w:val="3E352E3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
    <w:nsid w:val="40490105"/>
    <w:multiLevelType w:val="multilevel"/>
    <w:tmpl w:val="4049010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3">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4">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15">
    <w:nsid w:val="4F232522"/>
    <w:multiLevelType w:val="multilevel"/>
    <w:tmpl w:val="4F232522"/>
    <w:lvl w:ilvl="0" w:tentative="0">
      <w:start w:val="1"/>
      <w:numFmt w:val="decimal"/>
      <w:lvlText w:val="%1."/>
      <w:lvlJc w:val="left"/>
      <w:pPr>
        <w:ind w:left="720" w:hanging="360"/>
      </w:pPr>
      <w:rPr>
        <w:u w:val="none"/>
      </w:rPr>
    </w:lvl>
    <w:lvl w:ilvl="1" w:tentative="0">
      <w:start w:val="1"/>
      <w:numFmt w:val="bullet"/>
      <w:lvlText w:val="○"/>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6">
    <w:nsid w:val="51404941"/>
    <w:multiLevelType w:val="multilevel"/>
    <w:tmpl w:val="51404941"/>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7">
    <w:nsid w:val="60765601"/>
    <w:multiLevelType w:val="multilevel"/>
    <w:tmpl w:val="60765601"/>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8">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9">
    <w:nsid w:val="65E83BC5"/>
    <w:multiLevelType w:val="multilevel"/>
    <w:tmpl w:val="65E83BC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0">
    <w:nsid w:val="6E6601B4"/>
    <w:multiLevelType w:val="multilevel"/>
    <w:tmpl w:val="6E6601B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1">
    <w:nsid w:val="7ACC3207"/>
    <w:multiLevelType w:val="multilevel"/>
    <w:tmpl w:val="7ACC3207"/>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0"/>
  </w:num>
  <w:num w:numId="2">
    <w:abstractNumId w:val="18"/>
  </w:num>
  <w:num w:numId="3">
    <w:abstractNumId w:val="2"/>
  </w:num>
  <w:num w:numId="4">
    <w:abstractNumId w:val="14"/>
  </w:num>
  <w:num w:numId="5">
    <w:abstractNumId w:val="5"/>
  </w:num>
  <w:num w:numId="6">
    <w:abstractNumId w:val="10"/>
  </w:num>
  <w:num w:numId="7">
    <w:abstractNumId w:val="17"/>
  </w:num>
  <w:num w:numId="8">
    <w:abstractNumId w:val="19"/>
  </w:num>
  <w:num w:numId="9">
    <w:abstractNumId w:val="8"/>
  </w:num>
  <w:num w:numId="10">
    <w:abstractNumId w:val="1"/>
  </w:num>
  <w:num w:numId="11">
    <w:abstractNumId w:val="16"/>
  </w:num>
  <w:num w:numId="12">
    <w:abstractNumId w:val="21"/>
  </w:num>
  <w:num w:numId="13">
    <w:abstractNumId w:val="4"/>
  </w:num>
  <w:num w:numId="14">
    <w:abstractNumId w:val="6"/>
  </w:num>
  <w:num w:numId="15">
    <w:abstractNumId w:val="20"/>
  </w:num>
  <w:num w:numId="16">
    <w:abstractNumId w:val="12"/>
  </w:num>
  <w:num w:numId="17">
    <w:abstractNumId w:val="11"/>
  </w:num>
  <w:num w:numId="18">
    <w:abstractNumId w:val="9"/>
  </w:num>
  <w:num w:numId="19">
    <w:abstractNumId w:val="7"/>
  </w:num>
  <w:num w:numId="20">
    <w:abstractNumId w:val="3"/>
  </w:num>
  <w:num w:numId="21">
    <w:abstractNumId w:val="1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5640F"/>
    <w:rsid w:val="00064B05"/>
    <w:rsid w:val="000666B9"/>
    <w:rsid w:val="00074132"/>
    <w:rsid w:val="00084938"/>
    <w:rsid w:val="00085292"/>
    <w:rsid w:val="00091296"/>
    <w:rsid w:val="00093103"/>
    <w:rsid w:val="000943D7"/>
    <w:rsid w:val="000978D1"/>
    <w:rsid w:val="000C3FF4"/>
    <w:rsid w:val="000D7E65"/>
    <w:rsid w:val="000E355F"/>
    <w:rsid w:val="00115032"/>
    <w:rsid w:val="00117C41"/>
    <w:rsid w:val="00117CB9"/>
    <w:rsid w:val="00126C9A"/>
    <w:rsid w:val="00132AF6"/>
    <w:rsid w:val="00134E13"/>
    <w:rsid w:val="00136938"/>
    <w:rsid w:val="00136F6E"/>
    <w:rsid w:val="00153F3B"/>
    <w:rsid w:val="001573B3"/>
    <w:rsid w:val="00166543"/>
    <w:rsid w:val="001672D9"/>
    <w:rsid w:val="00167314"/>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1EEE"/>
    <w:rsid w:val="003E6590"/>
    <w:rsid w:val="003F306E"/>
    <w:rsid w:val="004068F8"/>
    <w:rsid w:val="0041299D"/>
    <w:rsid w:val="0041560B"/>
    <w:rsid w:val="00415D44"/>
    <w:rsid w:val="00416E2B"/>
    <w:rsid w:val="00420256"/>
    <w:rsid w:val="004253EA"/>
    <w:rsid w:val="0043458B"/>
    <w:rsid w:val="00436E02"/>
    <w:rsid w:val="00454E42"/>
    <w:rsid w:val="00461DE5"/>
    <w:rsid w:val="0047114A"/>
    <w:rsid w:val="0047325C"/>
    <w:rsid w:val="00476260"/>
    <w:rsid w:val="00477786"/>
    <w:rsid w:val="00492280"/>
    <w:rsid w:val="00493819"/>
    <w:rsid w:val="0049763F"/>
    <w:rsid w:val="00497AF6"/>
    <w:rsid w:val="004A1E85"/>
    <w:rsid w:val="004C63EB"/>
    <w:rsid w:val="004D591E"/>
    <w:rsid w:val="004E2B2D"/>
    <w:rsid w:val="004E56E8"/>
    <w:rsid w:val="004E7E4B"/>
    <w:rsid w:val="004F38C4"/>
    <w:rsid w:val="004F662C"/>
    <w:rsid w:val="004F7B84"/>
    <w:rsid w:val="00501A90"/>
    <w:rsid w:val="005251A9"/>
    <w:rsid w:val="0055320B"/>
    <w:rsid w:val="005633E2"/>
    <w:rsid w:val="00565277"/>
    <w:rsid w:val="00565B68"/>
    <w:rsid w:val="00567642"/>
    <w:rsid w:val="00570DF7"/>
    <w:rsid w:val="00575228"/>
    <w:rsid w:val="00581995"/>
    <w:rsid w:val="00585FDB"/>
    <w:rsid w:val="0058624E"/>
    <w:rsid w:val="005A018E"/>
    <w:rsid w:val="005B0D09"/>
    <w:rsid w:val="005B250C"/>
    <w:rsid w:val="005C25FD"/>
    <w:rsid w:val="005C7DCE"/>
    <w:rsid w:val="005D24F4"/>
    <w:rsid w:val="005D7DBE"/>
    <w:rsid w:val="005E09CD"/>
    <w:rsid w:val="00601AB8"/>
    <w:rsid w:val="00601FD3"/>
    <w:rsid w:val="00616503"/>
    <w:rsid w:val="00616BA8"/>
    <w:rsid w:val="00624931"/>
    <w:rsid w:val="00637301"/>
    <w:rsid w:val="006404C6"/>
    <w:rsid w:val="006454C5"/>
    <w:rsid w:val="00645BB7"/>
    <w:rsid w:val="00660E7E"/>
    <w:rsid w:val="00680E06"/>
    <w:rsid w:val="00681CE1"/>
    <w:rsid w:val="0068208C"/>
    <w:rsid w:val="0069381D"/>
    <w:rsid w:val="006A3A82"/>
    <w:rsid w:val="006A3AB0"/>
    <w:rsid w:val="006B19CD"/>
    <w:rsid w:val="006C60D8"/>
    <w:rsid w:val="006D755A"/>
    <w:rsid w:val="006F6348"/>
    <w:rsid w:val="00705122"/>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161FE"/>
    <w:rsid w:val="00825C70"/>
    <w:rsid w:val="00830279"/>
    <w:rsid w:val="00831C20"/>
    <w:rsid w:val="00833722"/>
    <w:rsid w:val="00840B3C"/>
    <w:rsid w:val="00840E0B"/>
    <w:rsid w:val="008427C3"/>
    <w:rsid w:val="008515C8"/>
    <w:rsid w:val="00853326"/>
    <w:rsid w:val="0086051B"/>
    <w:rsid w:val="008977DB"/>
    <w:rsid w:val="008A076D"/>
    <w:rsid w:val="008A1E6F"/>
    <w:rsid w:val="008C07B2"/>
    <w:rsid w:val="008D1BCA"/>
    <w:rsid w:val="008F1FAC"/>
    <w:rsid w:val="008F3B2D"/>
    <w:rsid w:val="008F5F68"/>
    <w:rsid w:val="008F6AEA"/>
    <w:rsid w:val="008F6FE9"/>
    <w:rsid w:val="00901F2D"/>
    <w:rsid w:val="00905190"/>
    <w:rsid w:val="00910F17"/>
    <w:rsid w:val="00913CAF"/>
    <w:rsid w:val="00916A33"/>
    <w:rsid w:val="00932B6F"/>
    <w:rsid w:val="0093434F"/>
    <w:rsid w:val="00935D0A"/>
    <w:rsid w:val="009372B0"/>
    <w:rsid w:val="00940051"/>
    <w:rsid w:val="00947D72"/>
    <w:rsid w:val="00953AA6"/>
    <w:rsid w:val="009549D6"/>
    <w:rsid w:val="009652F2"/>
    <w:rsid w:val="00967CFD"/>
    <w:rsid w:val="009720F9"/>
    <w:rsid w:val="00974582"/>
    <w:rsid w:val="0097493B"/>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21328"/>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AE7BDE"/>
    <w:rsid w:val="00B10CC3"/>
    <w:rsid w:val="00B20178"/>
    <w:rsid w:val="00B2062A"/>
    <w:rsid w:val="00B25548"/>
    <w:rsid w:val="00B30D0B"/>
    <w:rsid w:val="00B339D5"/>
    <w:rsid w:val="00B34BDB"/>
    <w:rsid w:val="00B355A6"/>
    <w:rsid w:val="00B3664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44C4"/>
    <w:rsid w:val="00BC579A"/>
    <w:rsid w:val="00BC6EF3"/>
    <w:rsid w:val="00BD329F"/>
    <w:rsid w:val="00BE3D2C"/>
    <w:rsid w:val="00BE426C"/>
    <w:rsid w:val="00BE4911"/>
    <w:rsid w:val="00BE543F"/>
    <w:rsid w:val="00BF5711"/>
    <w:rsid w:val="00BF62FF"/>
    <w:rsid w:val="00C07A79"/>
    <w:rsid w:val="00C343F9"/>
    <w:rsid w:val="00C360B7"/>
    <w:rsid w:val="00C42445"/>
    <w:rsid w:val="00C47608"/>
    <w:rsid w:val="00C557EA"/>
    <w:rsid w:val="00C5674C"/>
    <w:rsid w:val="00C62517"/>
    <w:rsid w:val="00C62A71"/>
    <w:rsid w:val="00C81B7E"/>
    <w:rsid w:val="00C87D25"/>
    <w:rsid w:val="00C97ED5"/>
    <w:rsid w:val="00CC1B49"/>
    <w:rsid w:val="00CD281E"/>
    <w:rsid w:val="00CD4DB6"/>
    <w:rsid w:val="00CD7C56"/>
    <w:rsid w:val="00CE4BEB"/>
    <w:rsid w:val="00CF767F"/>
    <w:rsid w:val="00D03E66"/>
    <w:rsid w:val="00D24215"/>
    <w:rsid w:val="00D27F7C"/>
    <w:rsid w:val="00D44898"/>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0A84"/>
    <w:rsid w:val="00E61C53"/>
    <w:rsid w:val="00E6632E"/>
    <w:rsid w:val="00E668F1"/>
    <w:rsid w:val="00E67FFB"/>
    <w:rsid w:val="00E7583B"/>
    <w:rsid w:val="00E8554F"/>
    <w:rsid w:val="00E85576"/>
    <w:rsid w:val="00E9542E"/>
    <w:rsid w:val="00E95795"/>
    <w:rsid w:val="00E975C8"/>
    <w:rsid w:val="00EA221C"/>
    <w:rsid w:val="00EB0614"/>
    <w:rsid w:val="00EB2425"/>
    <w:rsid w:val="00EB5C39"/>
    <w:rsid w:val="00EC15C9"/>
    <w:rsid w:val="00EC5BC1"/>
    <w:rsid w:val="00ED316C"/>
    <w:rsid w:val="00EF0DE4"/>
    <w:rsid w:val="00EF51C9"/>
    <w:rsid w:val="00F10746"/>
    <w:rsid w:val="00F13D82"/>
    <w:rsid w:val="00F34C41"/>
    <w:rsid w:val="00F371F1"/>
    <w:rsid w:val="00F470C6"/>
    <w:rsid w:val="00F519C4"/>
    <w:rsid w:val="00F66C2E"/>
    <w:rsid w:val="00F72635"/>
    <w:rsid w:val="00F83A9D"/>
    <w:rsid w:val="00F90DC5"/>
    <w:rsid w:val="00F92885"/>
    <w:rsid w:val="00FA11B3"/>
    <w:rsid w:val="00FA30F0"/>
    <w:rsid w:val="00FC11D4"/>
    <w:rsid w:val="00FD7C78"/>
    <w:rsid w:val="00FE52A9"/>
    <w:rsid w:val="00FF38CF"/>
    <w:rsid w:val="00FF7E03"/>
    <w:rsid w:val="01EB1B4B"/>
    <w:rsid w:val="0E511D41"/>
    <w:rsid w:val="291304CD"/>
    <w:rsid w:val="609F524C"/>
    <w:rsid w:val="6EC9601E"/>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qFormat/>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0"/>
    <w:pPr>
      <w:spacing w:before="100" w:beforeAutospacing="1" w:after="100" w:afterAutospacing="1"/>
    </w:pPr>
    <w:rPr>
      <w:sz w:val="24"/>
      <w:szCs w:val="24"/>
    </w:rPr>
  </w:style>
  <w:style w:type="paragraph" w:styleId="25">
    <w:name w:val="Body Text 3"/>
    <w:basedOn w:val="1"/>
    <w:link w:val="49"/>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qFormat/>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11"/>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qFormat/>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qFormat/>
    <w:uiPriority w:val="0"/>
    <w:rPr>
      <w:rFonts w:asciiTheme="minorHAnsi" w:hAnsiTheme="minorHAnsi" w:eastAsiaTheme="minorHAnsi" w:cstheme="minorBidi"/>
      <w:b/>
      <w:bCs/>
      <w:lang w:eastAsia="en-US"/>
    </w:rPr>
  </w:style>
  <w:style w:type="character" w:customStyle="1" w:styleId="53">
    <w:name w:val="Texto de comentário Char1"/>
    <w:basedOn w:val="9"/>
    <w:semiHidden/>
    <w:qFormat/>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qFormat/>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11"/>
    <w:rPr>
      <w:rFonts w:ascii="Georgia" w:hAnsi="Georgia" w:eastAsia="Georgia" w:cs="Georgia"/>
      <w:i/>
      <w:color w:val="666666"/>
      <w:sz w:val="48"/>
      <w:szCs w:val="48"/>
    </w:rPr>
  </w:style>
  <w:style w:type="character" w:customStyle="1" w:styleId="58">
    <w:name w:val="Texto de nota de rodapé Char"/>
    <w:basedOn w:val="9"/>
    <w:link w:val="34"/>
    <w:qFormat/>
    <w:uiPriority w:val="99"/>
    <w:rPr>
      <w:rFonts w:asciiTheme="minorHAnsi" w:hAnsiTheme="minorHAnsi" w:eastAsiaTheme="minorHAnsi" w:cstheme="minorBidi"/>
      <w:lang w:eastAsia="en-US"/>
    </w:rPr>
  </w:style>
  <w:style w:type="character" w:customStyle="1" w:styleId="59">
    <w:name w:val="Recuo de corpo de texto Char"/>
    <w:basedOn w:val="9"/>
    <w:link w:val="36"/>
    <w:qFormat/>
    <w:uiPriority w:val="0"/>
    <w:rPr>
      <w:rFonts w:ascii="Century Gothic" w:hAnsi="Century Gothic" w:eastAsia="Century Gothic" w:cs="Century Gothic"/>
      <w:sz w:val="22"/>
      <w:szCs w:val="22"/>
      <w:lang w:val="pt-PT" w:eastAsia="en-US"/>
    </w:rPr>
  </w:style>
  <w:style w:type="table" w:customStyle="1" w:styleId="60">
    <w:name w:val="Table Normal"/>
    <w:qFormat/>
    <w:uiPriority w:val="0"/>
    <w:tblPr>
      <w:tblCellMar>
        <w:top w:w="0" w:type="dxa"/>
        <w:left w:w="0" w:type="dxa"/>
        <w:bottom w:w="0" w:type="dxa"/>
        <w:right w:w="0" w:type="dxa"/>
      </w:tblCellMar>
    </w:tblPr>
  </w:style>
  <w:style w:type="paragraph" w:styleId="61">
    <w:name w:val="List Paragraph"/>
    <w:basedOn w:val="1"/>
    <w:link w:val="62"/>
    <w:qFormat/>
    <w:uiPriority w:val="0"/>
    <w:pPr>
      <w:ind w:left="720"/>
      <w:contextualSpacing/>
    </w:pPr>
  </w:style>
  <w:style w:type="character" w:customStyle="1" w:styleId="62">
    <w:name w:val="Parágrafo da Lista Char"/>
    <w:link w:val="61"/>
    <w:qFormat/>
    <w:uiPriority w:val="1"/>
  </w:style>
  <w:style w:type="table" w:customStyle="1" w:styleId="63">
    <w:name w:val="_Style 17"/>
    <w:basedOn w:val="60"/>
    <w:qFormat/>
    <w:uiPriority w:val="0"/>
    <w:tblPr>
      <w:tblCellMar>
        <w:left w:w="115" w:type="dxa"/>
        <w:right w:w="115" w:type="dxa"/>
      </w:tblCellMar>
    </w:tblPr>
  </w:style>
  <w:style w:type="table" w:customStyle="1" w:styleId="64">
    <w:name w:val="_Style 18"/>
    <w:basedOn w:val="60"/>
    <w:qFormat/>
    <w:uiPriority w:val="0"/>
    <w:tblPr>
      <w:tblCellMar>
        <w:left w:w="115" w:type="dxa"/>
        <w:right w:w="115" w:type="dxa"/>
      </w:tblCellMar>
    </w:tblPr>
  </w:style>
  <w:style w:type="table" w:customStyle="1" w:styleId="65">
    <w:name w:val="_Style 19"/>
    <w:basedOn w:val="60"/>
    <w:qFormat/>
    <w:uiPriority w:val="0"/>
    <w:tblPr>
      <w:tblCellMar>
        <w:left w:w="115" w:type="dxa"/>
        <w:right w:w="115" w:type="dxa"/>
      </w:tblCellMar>
    </w:tblPr>
  </w:style>
  <w:style w:type="table" w:customStyle="1" w:styleId="66">
    <w:name w:val="_Style 20"/>
    <w:basedOn w:val="60"/>
    <w:qFormat/>
    <w:uiPriority w:val="0"/>
    <w:tblPr>
      <w:tblCellMar>
        <w:left w:w="115" w:type="dxa"/>
        <w:right w:w="115" w:type="dxa"/>
      </w:tblCellMar>
    </w:tblPr>
  </w:style>
  <w:style w:type="table" w:customStyle="1" w:styleId="67">
    <w:name w:val="_Style 21"/>
    <w:basedOn w:val="60"/>
    <w:qFormat/>
    <w:uiPriority w:val="0"/>
    <w:tblPr>
      <w:tblCellMar>
        <w:left w:w="115" w:type="dxa"/>
        <w:right w:w="115" w:type="dxa"/>
      </w:tblCellMar>
    </w:tblPr>
  </w:style>
  <w:style w:type="table" w:customStyle="1" w:styleId="68">
    <w:name w:val="_Style 22"/>
    <w:basedOn w:val="60"/>
    <w:qFormat/>
    <w:uiPriority w:val="0"/>
    <w:tblPr>
      <w:tblCellMar>
        <w:left w:w="115" w:type="dxa"/>
        <w:right w:w="115" w:type="dxa"/>
      </w:tblCellMar>
    </w:tblPr>
  </w:style>
  <w:style w:type="table" w:customStyle="1" w:styleId="69">
    <w:name w:val="_Style 23"/>
    <w:basedOn w:val="60"/>
    <w:qFormat/>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qFormat/>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uiPriority w:val="0"/>
    <w:pPr>
      <w:keepNext/>
      <w:spacing w:before="240" w:after="120"/>
    </w:pPr>
    <w:rPr>
      <w:rFonts w:ascii="Liberation Sans" w:hAnsi="Liberation Sans" w:eastAsia="Microsoft YaHei" w:cs="Mangal"/>
      <w:sz w:val="28"/>
      <w:szCs w:val="28"/>
    </w:rPr>
  </w:style>
  <w:style w:type="paragraph" w:customStyle="1" w:styleId="134">
    <w:name w:val="Index"/>
    <w:basedOn w:val="19"/>
    <w:uiPriority w:val="0"/>
    <w:pPr>
      <w:suppressLineNumbers/>
    </w:pPr>
    <w:rPr>
      <w:rFonts w:cs="Mangal"/>
    </w:rPr>
  </w:style>
  <w:style w:type="paragraph" w:customStyle="1" w:styleId="135">
    <w:name w:val="footnote description"/>
    <w:next w:val="19"/>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uiPriority w:val="0"/>
  </w:style>
  <w:style w:type="paragraph" w:customStyle="1" w:styleId="137">
    <w:name w:val="Table Contents"/>
    <w:basedOn w:val="19"/>
    <w:uiPriority w:val="0"/>
    <w:pPr>
      <w:suppressLineNumbers/>
    </w:pPr>
  </w:style>
  <w:style w:type="paragraph" w:customStyle="1" w:styleId="138">
    <w:name w:val="Table Heading"/>
    <w:basedOn w:val="137"/>
    <w:uiPriority w:val="0"/>
    <w:pPr>
      <w:jc w:val="center"/>
    </w:pPr>
    <w:rPr>
      <w:b/>
      <w:bCs/>
    </w:rPr>
  </w:style>
  <w:style w:type="paragraph" w:customStyle="1" w:styleId="139">
    <w:name w:val="Header and Footer"/>
    <w:basedOn w:val="19"/>
    <w:uiPriority w:val="0"/>
    <w:pPr>
      <w:suppressLineNumbers/>
      <w:tabs>
        <w:tab w:val="center" w:pos="4829"/>
        <w:tab w:val="right" w:pos="9648"/>
      </w:tabs>
    </w:pPr>
  </w:style>
  <w:style w:type="paragraph" w:customStyle="1" w:styleId="140">
    <w:name w:val="Estilo1"/>
    <w:basedOn w:val="27"/>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uiPriority w:val="0"/>
    <w:rPr>
      <w:rFonts w:ascii="Liberation Serif" w:hAnsi="Liberation Serif" w:eastAsia="Liberation Serif" w:cs="Liberation Serif"/>
      <w:color w:val="000000"/>
      <w:sz w:val="16"/>
    </w:rPr>
  </w:style>
  <w:style w:type="character" w:customStyle="1" w:styleId="142">
    <w:name w:val="footnote mark"/>
    <w:uiPriority w:val="0"/>
    <w:rPr>
      <w:rFonts w:ascii="Liberation Serif" w:hAnsi="Liberation Serif" w:eastAsia="Liberation Serif" w:cs="Liberation Serif"/>
      <w:color w:val="000000"/>
      <w:position w:val="0"/>
      <w:sz w:val="16"/>
      <w:vertAlign w:val="superscript"/>
    </w:rPr>
  </w:style>
  <w:style w:type="character" w:customStyle="1" w:styleId="143">
    <w:name w:val="ListLabel 1"/>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285F3A3E-E36F-48CA-A2E0-A77E754D17A9}">
  <ds:schemaRefs/>
</ds:datastoreItem>
</file>

<file path=docProps/app.xml><?xml version="1.0" encoding="utf-8"?>
<Properties xmlns="http://schemas.openxmlformats.org/officeDocument/2006/extended-properties" xmlns:vt="http://schemas.openxmlformats.org/officeDocument/2006/docPropsVTypes">
  <Template>Normal.dotm</Template>
  <Pages>117</Pages>
  <Words>6672</Words>
  <Characters>37243</Characters>
  <Lines>1646</Lines>
  <Paragraphs>467</Paragraphs>
  <TotalTime>32</TotalTime>
  <ScaleCrop>false</ScaleCrop>
  <LinksUpToDate>false</LinksUpToDate>
  <CharactersWithSpaces>43758</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2026-04-17T12:47:00Z</dcterms:created>
  <dc:creator>Sabrina Guimarães</dc:creator>
  <cp:lastModifiedBy>licitacao04</cp:lastModifiedBy>
  <cp:lastPrinted>2025-09-18T12:50:00Z</cp:lastPrinted>
  <dcterms:modified xsi:type="dcterms:W3CDTF">2026-04-30T12:37:24Z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1046-12.1.0.25242</vt:lpwstr>
  </property>
  <property fmtid="{D5CDD505-2E9C-101B-9397-08002B2CF9AE}" pid="3" name="ICV">
    <vt:lpwstr>6A4D7FADBED7415F9CEEF76846376F84_13</vt:lpwstr>
  </property>
  <property fmtid="{D5CDD505-2E9C-101B-9397-08002B2CF9AE}" pid="4" name="KSOTemplateDocerSaveRecord">
    <vt:lpwstr>eyJoZGlkIjoiODk5ZDUzODY0MzRjZDU1MTZjNjdmZjFjZGJkZmQ3NTUifQ==</vt:lpwstr>
  </property>
</Properties>
</file>