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D83" w:rsidRDefault="00D00D8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D00D83" w:rsidRDefault="00D00D8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D00D83" w:rsidRDefault="00C05CB6">
      <w:pPr>
        <w:spacing w:before="2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TERMO DE REFERÊNCIA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 OBJETO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1.1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presente Termo de Referência tem por objeto a aquisição de aparelhos de tecnologia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assistiva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consistentes em óculos de inteligência artificial e visão computacional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OrCam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MyEye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2.0, acompanhados de todos os seus acessórios originais, destinados à implementação de projeto-piloto voltado a pessoas com deficiência visual no Município de Maricá, conforme diretrizes, necessidades e conclusões constantes do Estudo Técnico Preliminar – ETP que instrui o presente processo administrativo.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1.2 DA MEMÓRIA DE CÁLCULO</w:t>
      </w:r>
    </w:p>
    <w:p w:rsidR="00D00D83" w:rsidRDefault="00C05CB6">
      <w:pPr>
        <w:widowControl w:val="0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1.2.1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dimensionamento da demanda baseou-se no levantamento realizado junto às Secretarias Municipais parceiras que atendem munícipes com deficiência visual, conforme Estudo Técnico Preliminar. </w:t>
      </w:r>
    </w:p>
    <w:p w:rsidR="00D00D83" w:rsidRDefault="00D00D83">
      <w:pPr>
        <w:widowControl w:val="0"/>
        <w:spacing w:before="229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973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47"/>
        <w:gridCol w:w="1947"/>
        <w:gridCol w:w="1947"/>
        <w:gridCol w:w="1947"/>
        <w:gridCol w:w="1947"/>
      </w:tblGrid>
      <w:tr w:rsidR="00D00D83">
        <w:tc>
          <w:tcPr>
            <w:tcW w:w="19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Secretarias Analisadas</w:t>
            </w:r>
          </w:p>
        </w:tc>
        <w:tc>
          <w:tcPr>
            <w:tcW w:w="19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Secretaria de Políticas e Defesa dos Direitos das Mulheres</w:t>
            </w:r>
          </w:p>
        </w:tc>
        <w:tc>
          <w:tcPr>
            <w:tcW w:w="19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Secretaria de Políticas Para Terceira Idade</w:t>
            </w:r>
          </w:p>
        </w:tc>
        <w:tc>
          <w:tcPr>
            <w:tcW w:w="19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Secretaria da Pessoa Com Deficiência e Inclusão</w:t>
            </w:r>
          </w:p>
        </w:tc>
        <w:tc>
          <w:tcPr>
            <w:tcW w:w="19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Número Total de Pessoas com Deficiência Visual </w:t>
            </w:r>
          </w:p>
        </w:tc>
      </w:tr>
      <w:tr w:rsidR="00D00D83">
        <w:tc>
          <w:tcPr>
            <w:tcW w:w="19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Nº de Pessoas com Deficiência Visual atendidas </w:t>
            </w:r>
          </w:p>
        </w:tc>
        <w:tc>
          <w:tcPr>
            <w:tcW w:w="19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9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9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162</w:t>
            </w:r>
          </w:p>
        </w:tc>
      </w:tr>
    </w:tbl>
    <w:p w:rsidR="00D00D83" w:rsidRDefault="00C05CB6">
      <w:pPr>
        <w:widowControl w:val="0"/>
        <w:spacing w:before="229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a0"/>
        <w:tblW w:w="9660" w:type="dxa"/>
        <w:tblInd w:w="-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45"/>
        <w:gridCol w:w="2205"/>
        <w:gridCol w:w="2205"/>
        <w:gridCol w:w="2205"/>
      </w:tblGrid>
      <w:tr w:rsidR="00D00D83">
        <w:tc>
          <w:tcPr>
            <w:tcW w:w="30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Número de dispositivos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Orcam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MyEyes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2.0 necessários para atendimento total</w:t>
            </w:r>
          </w:p>
        </w:tc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Número de dispositivos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Orcam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MyEyes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2.0 a serem adquiridos*</w:t>
            </w:r>
          </w:p>
        </w:tc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Valor unitário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Orcam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MyEyes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2.0</w:t>
            </w:r>
          </w:p>
        </w:tc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Valor total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Orcam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MyEyes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2.0</w:t>
            </w:r>
          </w:p>
        </w:tc>
      </w:tr>
      <w:tr w:rsidR="00D00D83">
        <w:tc>
          <w:tcPr>
            <w:tcW w:w="30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R$16.195,65</w:t>
            </w:r>
          </w:p>
        </w:tc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0D83" w:rsidRDefault="00C05CB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R$1.619.565,00</w:t>
            </w:r>
          </w:p>
        </w:tc>
      </w:tr>
    </w:tbl>
    <w:p w:rsidR="00D00D83" w:rsidRDefault="00C05CB6">
      <w:pPr>
        <w:widowControl w:val="0"/>
        <w:spacing w:before="243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Nota (*):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Embora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 demanda total identificada corresponda a 162 beneficiários, optou-se pela aquisição inicial de 100 (cem) unidades do Dispositivo de Visão Artificial com Inteligência Artificial, fundamentada nos seguintes critérios técnicos e de governança:</w:t>
      </w:r>
    </w:p>
    <w:p w:rsidR="00D00D83" w:rsidRDefault="00C05CB6">
      <w:pPr>
        <w:widowControl w:val="0"/>
        <w:numPr>
          <w:ilvl w:val="0"/>
          <w:numId w:val="5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Implementação Faseada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: Adoção de metodologia de entrega gradual para garantir o acompanhamento qualitativo da adaptação dos usuários à nova tecnologia (treinamento e usabilidade).</w:t>
      </w:r>
    </w:p>
    <w:p w:rsidR="00D00D83" w:rsidRDefault="00C05CB6">
      <w:pPr>
        <w:widowControl w:val="0"/>
        <w:numPr>
          <w:ilvl w:val="0"/>
          <w:numId w:val="5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Critérios de Priorização: As 100 unidades desta fase atenderão os usuários com maior grau de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vulnerabilidade social e necessidade de autonomia imediata, conforme triagem que será realizada por equipe técnica multidisciplinar das Secretarias envolvidas e Secretaria de Saúde, observando os seguintes parâmetros:</w:t>
      </w:r>
    </w:p>
    <w:p w:rsidR="00D00D83" w:rsidRDefault="00C05CB6">
      <w:pPr>
        <w:widowControl w:val="0"/>
        <w:spacing w:before="240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i. Critérios Eliminatórios: Avaliação clínica e funcional para garantir que o usuário possua capacidade cognitiva e auditiva para interagir com a inteligência artificial do dispositivo.</w:t>
      </w:r>
    </w:p>
    <w:p w:rsidR="00D00D83" w:rsidRDefault="00C05CB6">
      <w:pPr>
        <w:widowControl w:val="0"/>
        <w:spacing w:before="240" w:after="240" w:line="240" w:lineRule="auto"/>
        <w:ind w:left="720" w:right="6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Critérios Classificatórios (Pontuação): Priorização de beneficiários em situação de pobreza ou extrema pobreza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CadÚnico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/BPC), seguidos por aqueles com inserção ativa em ambientes educacionais ou laborais, visando o retorno social do investimento através da inclusão produtiva e educacional.</w:t>
      </w:r>
    </w:p>
    <w:p w:rsidR="00D00D83" w:rsidRDefault="00C05CB6">
      <w:pPr>
        <w:widowControl w:val="0"/>
        <w:numPr>
          <w:ilvl w:val="0"/>
          <w:numId w:val="5"/>
        </w:num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Disponibilidade Orçamentária: Adequação do quantitativo à previsão orçamentária atual, conforme Art. 18, § 1º, III da Lei 14.133/2021.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1.2.2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objeto desta contratação não se enquadra como bem de luxo, nos termos do Decreto nº 10.818, de 2021, tratando-se de equipamento essencial à promoção de acessibilidade e inclusão social.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 JUSTIFICATIVA DA CONTRATAÇÃO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2.1.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aquisição se justifica pela necessidade estratégica de investir em tecnologias que promovam a inclusão social e a acessibilidade para pessoas com deficiência visual, alinhando o município com as práticas mais recentes em políticas públicas de bem-estar e igualdade. O objetivo é ampliar os mecanismos de acessibilidade, garantindo maior segurança, autonomia e dignidade na participação pública e comunitária.</w:t>
      </w:r>
    </w:p>
    <w:p w:rsidR="00D00D83" w:rsidRDefault="00C05CB6">
      <w:pPr>
        <w:spacing w:before="20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iniciativa se insere no contexto das políticas públicas de inovação e democratização do acesso à ciência, tecnologia e informação. O uso de tecnologias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assistivas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como os óculos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OrCam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MyEye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2.0, é um passo estratégico para que o município se consolide como referência na oferta de serviços públicos inclusivos. Além de fortalecer a autonomia e a independência dos cidadãos, a ação alinha a administração municipal às mais recentes práticas de políticas públicas de bem-estar e igualdade. Ao disponibilizar dispositivos que superam barreiras físicas e informacionais, a Prefeitura de Maricá, por meio da Secretaria de Ciência e Tecnologia, utiliza a tecnologia como um instrumento transformador para gerar valor coletivo e promover um futuro mais inclusivo e equitativo para a comunidade.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 NATUREZA DO OBJETO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objeto é um dispositivo de visão artificial vestível que se acopla à armação de óculos e utiliza uma câmera com inteligência artificial (IA) embarcada. O equipamento foi projetado para capturar e interpretar informações visuais, convertendo-as em áudio e transmitindo-as ao usuário para maior autonomia e independência.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 MODELO DE EXECUÇÃO DO OBJETO E REQUISITOS DA CONTRATAÇÃO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4.1. ESCOPO DO FORNECIMENTO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execução contratual consistirá no fornecimento dos dispositivos de visão artificial, incluindo garantia, assistência técnica e, obrigatoriamente, a capacitação dos usuários finais e multiplicadores, conforme detalhado abaixo: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4.2 DETALHAMENTO DO OBJETO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4.2.1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objeto é o dispositivo de visão artificial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OrCam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MyEye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2.0, um equipamento vestível que se acopla à armação de óculos e utiliza uma câmera com inteligência artificial (IA) embarcada para capturar e interpretar informações visuais, convertendo-as em áudio em tempo real.</w:t>
      </w:r>
    </w:p>
    <w:p w:rsidR="00D00D83" w:rsidRDefault="00C05CB6">
      <w:pPr>
        <w:spacing w:before="20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4.2.2 Principais Características e Funcionalidades:</w:t>
      </w:r>
    </w:p>
    <w:p w:rsidR="00D00D83" w:rsidRDefault="00C05CB6">
      <w:pPr>
        <w:numPr>
          <w:ilvl w:val="0"/>
          <w:numId w:val="8"/>
        </w:numPr>
        <w:spacing w:before="20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Leitura: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Lê instantaneamente textos impressos e digitais em diversos suportes, como livros, jornais, embalagens de produtos, placas de sinalização, telas de computadores e smartphones, entre outros.</w:t>
      </w:r>
    </w:p>
    <w:p w:rsidR="00D00D83" w:rsidRDefault="00C05CB6">
      <w:pPr>
        <w:numPr>
          <w:ilvl w:val="0"/>
          <w:numId w:val="8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Reconhecimento Facial: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Memoriza rostos de pessoas e as reconhece em tempo real, informando quem está à frente do usuário.</w:t>
      </w:r>
    </w:p>
    <w:p w:rsidR="00D00D83" w:rsidRDefault="00C05CB6">
      <w:pPr>
        <w:numPr>
          <w:ilvl w:val="0"/>
          <w:numId w:val="8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Identificação de Produtos: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Permite o reconhecimento de produtos, facilitando a autonomia na escolha e no consumo.</w:t>
      </w:r>
    </w:p>
    <w:p w:rsidR="00D00D83" w:rsidRDefault="00C05CB6">
      <w:pPr>
        <w:numPr>
          <w:ilvl w:val="0"/>
          <w:numId w:val="8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Identificação de Cores e Cédulas: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Reconhece cores e o valor de notas de dinheiro.</w:t>
      </w:r>
    </w:p>
    <w:p w:rsidR="00D00D83" w:rsidRDefault="00C05CB6">
      <w:pPr>
        <w:numPr>
          <w:ilvl w:val="0"/>
          <w:numId w:val="8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Identificação de Hora: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Informa as horas e a data.</w:t>
      </w:r>
    </w:p>
    <w:p w:rsidR="00D00D83" w:rsidRDefault="00C05CB6">
      <w:pPr>
        <w:numPr>
          <w:ilvl w:val="0"/>
          <w:numId w:val="8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Comandos de Voz: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dispositivo pode ser operado por comandos de voz intuitivos.</w:t>
      </w:r>
    </w:p>
    <w:p w:rsidR="00D00D83" w:rsidRDefault="00C05CB6">
      <w:pPr>
        <w:numPr>
          <w:ilvl w:val="0"/>
          <w:numId w:val="8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Tamanho e Peso: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Compacto, leve e discreto, com peso de aproximadamente 22,5 gramas.</w:t>
      </w:r>
    </w:p>
    <w:p w:rsidR="00D00D83" w:rsidRDefault="00C05CB6">
      <w:pPr>
        <w:numPr>
          <w:ilvl w:val="0"/>
          <w:numId w:val="8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Conectividade: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Não necessita de conexão com a internet ou smartphone para funcionar, garantindo a privacidade e a segurança dos dados.</w:t>
      </w:r>
    </w:p>
    <w:p w:rsidR="00D00D83" w:rsidRDefault="00C05CB6">
      <w:pPr>
        <w:numPr>
          <w:ilvl w:val="0"/>
          <w:numId w:val="8"/>
        </w:numPr>
        <w:spacing w:before="20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Inteligência Artificial (IA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) Embarcada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processamento das informações ocorre no próprio dispositivo, sem a necessidade de nuvem.</w:t>
      </w:r>
    </w:p>
    <w:p w:rsidR="00D00D83" w:rsidRDefault="00C05CB6">
      <w:pPr>
        <w:spacing w:before="20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4.2.3 Conteúdo do Kit de Entrega: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kit de entrega do dispositivo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OrCam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MyEye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2.0 incluirá, para cada unidade:</w:t>
      </w:r>
    </w:p>
    <w:p w:rsidR="00D00D83" w:rsidRDefault="00C05CB6">
      <w:pPr>
        <w:numPr>
          <w:ilvl w:val="0"/>
          <w:numId w:val="6"/>
        </w:numPr>
        <w:spacing w:before="20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Dispositivo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OrCam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MyEye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2.0</w:t>
      </w:r>
    </w:p>
    <w:p w:rsidR="00D00D83" w:rsidRDefault="00C05CB6">
      <w:pPr>
        <w:numPr>
          <w:ilvl w:val="0"/>
          <w:numId w:val="6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Cabo USB</w:t>
      </w:r>
    </w:p>
    <w:p w:rsidR="00D00D83" w:rsidRDefault="00C05CB6">
      <w:pPr>
        <w:numPr>
          <w:ilvl w:val="0"/>
          <w:numId w:val="6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Carregador portátil</w:t>
      </w:r>
    </w:p>
    <w:p w:rsidR="00D00D83" w:rsidRDefault="00C05CB6">
      <w:pPr>
        <w:numPr>
          <w:ilvl w:val="0"/>
          <w:numId w:val="6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Suporte magnético para o carregador</w:t>
      </w:r>
    </w:p>
    <w:p w:rsidR="00D00D83" w:rsidRDefault="00C05CB6">
      <w:pPr>
        <w:numPr>
          <w:ilvl w:val="0"/>
          <w:numId w:val="6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Armação de óculos exclusiva 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OrCam</w:t>
      </w:r>
      <w:proofErr w:type="spellEnd"/>
    </w:p>
    <w:p w:rsidR="00D00D83" w:rsidRDefault="00C05CB6">
      <w:pPr>
        <w:numPr>
          <w:ilvl w:val="0"/>
          <w:numId w:val="6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Kit de montagem para acoplar o dispositivo a armações de óculos pessoais</w:t>
      </w:r>
    </w:p>
    <w:p w:rsidR="00D00D83" w:rsidRDefault="00C05CB6">
      <w:pPr>
        <w:numPr>
          <w:ilvl w:val="0"/>
          <w:numId w:val="6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Cordão para pescoço</w:t>
      </w:r>
    </w:p>
    <w:p w:rsidR="00D00D83" w:rsidRDefault="00C05CB6">
      <w:pPr>
        <w:numPr>
          <w:ilvl w:val="0"/>
          <w:numId w:val="6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Estojo de couro para transporte</w:t>
      </w:r>
    </w:p>
    <w:p w:rsidR="00D00D83" w:rsidRDefault="00C05CB6">
      <w:pPr>
        <w:numPr>
          <w:ilvl w:val="0"/>
          <w:numId w:val="6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Flanela de limpeza</w:t>
      </w:r>
    </w:p>
    <w:p w:rsidR="00D00D83" w:rsidRDefault="00C05CB6">
      <w:pPr>
        <w:numPr>
          <w:ilvl w:val="0"/>
          <w:numId w:val="6"/>
        </w:num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Guia de uso rápido</w:t>
      </w:r>
    </w:p>
    <w:p w:rsidR="00D00D83" w:rsidRDefault="00C05CB6">
      <w:pPr>
        <w:numPr>
          <w:ilvl w:val="0"/>
          <w:numId w:val="6"/>
        </w:numPr>
        <w:spacing w:before="20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Documentação e garantia do produto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4.3. Da Capacitação Técnica (Treinamento):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Como parte integrante e indivisível da solução, a CONTRATADA deverá realizar a capacitação técnica inicial para assegurar a adaptação dos usuários à tecnologia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assistiva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observando as diretrizes definidas no ETP:</w:t>
      </w:r>
    </w:p>
    <w:p w:rsidR="00D00D83" w:rsidRDefault="00C05CB6">
      <w:pPr>
        <w:numPr>
          <w:ilvl w:val="0"/>
          <w:numId w:val="1"/>
        </w:numPr>
        <w:spacing w:before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Formato: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Realização preferencialmente presencial, admitindo-se formato virtual mediante justificativa técnica aceita pela Fiscalização.</w:t>
      </w:r>
    </w:p>
    <w:p w:rsidR="00D00D83" w:rsidRDefault="00C05CB6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Carga Horária: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Duração máxima de 2 (duas) horas contínuas por turma ou sessão.</w:t>
      </w:r>
    </w:p>
    <w:p w:rsidR="00D00D83" w:rsidRDefault="00C05CB6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Público-Alvo: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Usuários beneficiários e, quando menores de idade, seus responsáveis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legais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em turmas de até 20 (vinte) participantes.</w:t>
      </w:r>
    </w:p>
    <w:p w:rsidR="00D00D83" w:rsidRDefault="00C05CB6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Conteúdo: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capacitação deverá cobrir todas as funcionalidades do dispositivo (leitura, reconhecimento de faces, produtos e cédulas) e fornecer materiais digitais ou links de vídeos explicativos.</w:t>
      </w:r>
    </w:p>
    <w:p w:rsidR="00D00D83" w:rsidRDefault="00C05CB6">
      <w:pPr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Agendamento: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cronograma de treinamento deverá ser alinhado previamente com a Secretaria contratante, vinculado às etapas de entrega dos equipamentos</w:t>
      </w:r>
    </w:p>
    <w:p w:rsidR="00D00D83" w:rsidRDefault="00D00D83">
      <w:pPr>
        <w:spacing w:before="200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 DA FUNDAMENTAÇÃO DA CONTRATAÇÃO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5.1. DO ESTUDO TÉCNICO PRELIMINAR (ETP)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presente contratação é fundamentada no Estudo Técnico Preliminar (ETP) anexo a este processo, elaborado em conformidade com o art. 18, §1º da Lei nº 14.133/2021. O ETP realizou análise comparativa detalhada entre as soluções de mercado (como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Envision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Glasses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WeWALK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HumanWare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e aplicativos de celular), concluindo que o dispositivo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OrCam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MyEye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2.0 é a única solução capaz de atender integralmente à necessidade da Administração, por reunir, cumulativamente:</w:t>
      </w:r>
    </w:p>
    <w:p w:rsidR="00D00D83" w:rsidRDefault="00C05CB6">
      <w:pPr>
        <w:numPr>
          <w:ilvl w:val="0"/>
          <w:numId w:val="4"/>
        </w:numPr>
        <w:spacing w:before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Independência de conexão com internet ou smartphone (processamento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offline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), garantindo privacidade e uso em qualquer local;</w:t>
      </w:r>
    </w:p>
    <w:p w:rsidR="00D00D83" w:rsidRDefault="00C05CB6">
      <w:pPr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Operação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hands-free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(mãos livres) acoplável a óculos, essencial para mobilidade;</w:t>
      </w:r>
    </w:p>
    <w:p w:rsidR="00D00D83" w:rsidRDefault="00C05CB6">
      <w:pPr>
        <w:numPr>
          <w:ilvl w:val="0"/>
          <w:numId w:val="4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Capacidade de leitura em tempo real de textos impressos e digitais, reconhecimento facial e de produtos em um único hardware. As demais soluções foram descartadas tecnicamente por exigirem conexão constante, uso obrigatório de smartphones acoplados ou por não oferecerem as funcionalidades de visão artificial integradas.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5.2. DA INEXIGIBILIDADE DE LICITAÇÃO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Diante da singularidade da solução comprovada no ETP e da inviabilidade de competição, a contratação será realizada por Inexigibilidade de Licitação, com fulcro no art. 74, inciso I, da Lei nº 14.133/2021. A inviabilidade de competição é corroborada pela exclusividade de fornecimento:</w:t>
      </w:r>
    </w:p>
    <w:p w:rsidR="00D00D83" w:rsidRDefault="00C05CB6">
      <w:pPr>
        <w:numPr>
          <w:ilvl w:val="0"/>
          <w:numId w:val="7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 Fabricante: A empresa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OrCam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Technologies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Ltd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(Israel) é a detentora da tecnologia exclusiva.</w:t>
      </w:r>
    </w:p>
    <w:p w:rsidR="00D00D83" w:rsidRDefault="00C05CB6">
      <w:pPr>
        <w:numPr>
          <w:ilvl w:val="0"/>
          <w:numId w:val="7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Do Distribuidor: A empresa LOCKE COMÉRCIO E IMPORTAÇÃO LTDA detém a exclusividade para comercialização, distribuição, assistência técnica e garantia dos produtos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OrCam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em todo o território nacional, conforme Carta de Exclusividade apresentada e validada no ETP.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5.3. DA JUSTIFICATIVA DE PREÇO 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5.3.1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Considerando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 impossibilidade de competição,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vantajosidade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econômica e a compatibilidade dos preços foram verificadas conforme determina o art. 23, § 4º da Lei nº 14.133/2021. A instrução processual acostou comprovantes de notas fiscais, empenhos e contratos firmados pela futura contratada com outros entes da Administração Pública (pesquisa no PNCP e Diários Oficiais) nos últimos 12 meses, demonstrando que o valor unitário ofertado ao Município de Maricá é condizente com os preços praticados no mercado público nacional para o mesmo objeto.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 PRAZO DE EXECUÇÃO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0A55" w:rsidRPr="003D0A55">
        <w:rPr>
          <w:rFonts w:ascii="Times New Roman" w:eastAsia="Times New Roman" w:hAnsi="Times New Roman" w:cs="Times New Roman"/>
          <w:b/>
          <w:sz w:val="24"/>
          <w:szCs w:val="24"/>
        </w:rPr>
        <w:t>E VIGNECIA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prazo de execução será estabelecido no contrato, a ser contado a partir da sua assinatura. A entrega dos equipamentos deverá ser realizada em três etapas e no prazo definido abaixo:  </w:t>
      </w:r>
    </w:p>
    <w:p w:rsidR="00D00D83" w:rsidRDefault="00C05CB6">
      <w:pPr>
        <w:widowControl w:val="0"/>
        <w:numPr>
          <w:ilvl w:val="0"/>
          <w:numId w:val="9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1ª Entrega: Fornecimento de 30 (trinta) unidades, a serem entregues em até 30 (trinta) dias contados da assinatura do contrato e do recebimento da Nota Fiscal.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00D83" w:rsidRDefault="00C05CB6">
      <w:pPr>
        <w:widowControl w:val="0"/>
        <w:numPr>
          <w:ilvl w:val="0"/>
          <w:numId w:val="9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2ª Entrega: Fornecimento de 40 (quarenta) unidades, a serem entregues em até 30 (trinta) dias após o pagamento referente à 1ª entrega, mantidas as mesmas condições técnicas e contratuais.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00D83" w:rsidRDefault="00C05CB6">
      <w:pPr>
        <w:widowControl w:val="0"/>
        <w:numPr>
          <w:ilvl w:val="0"/>
          <w:numId w:val="9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3ª Entrega: Fornecimento de 30 (trinta) unidades, a serem entregues em até 30 (trinta) dias após o pagamento referente à 2ª entrega, observadas as mesmas condições aplicáveis às etapas anteriores.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6.2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Condições de Pagamento</w:t>
      </w:r>
    </w:p>
    <w:p w:rsidR="00D00D83" w:rsidRDefault="00C05CB6">
      <w:pPr>
        <w:widowControl w:val="0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 pagamentos serão realizados de forma parcelada, vinculados a cada etapa de entrega, mediante:</w:t>
      </w:r>
    </w:p>
    <w:p w:rsidR="00D00D83" w:rsidRDefault="00C05CB6">
      <w:pPr>
        <w:widowControl w:val="0"/>
        <w:numPr>
          <w:ilvl w:val="0"/>
          <w:numId w:val="3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entrega definitiva do objeto correspondente à etapa;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00D83" w:rsidRDefault="00C05CB6">
      <w:pPr>
        <w:widowControl w:val="0"/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apresentação da nota fiscal pertinente;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00D83" w:rsidRDefault="00C05CB6">
      <w:pPr>
        <w:widowControl w:val="0"/>
        <w:numPr>
          <w:ilvl w:val="0"/>
          <w:numId w:val="3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atesto formal pela unidade técnica competente.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prazo para pagamento será de até 07 (sete) dias, contados a partir do recebimento da documentação fiscal devidamente atestada, em conformidade com a legislação vigente. 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6.3 Valores Estimados por Etapa</w:t>
      </w:r>
    </w:p>
    <w:p w:rsidR="00D00D83" w:rsidRDefault="00C05CB6">
      <w:pPr>
        <w:widowControl w:val="0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Para fins de estimativa e planejamento da contratação, os valores correspondentes a cada etapa do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fornecimento são:</w:t>
      </w:r>
    </w:p>
    <w:p w:rsidR="00D00D83" w:rsidRDefault="00C05CB6">
      <w:pPr>
        <w:widowControl w:val="0"/>
        <w:numPr>
          <w:ilvl w:val="0"/>
          <w:numId w:val="2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1ª Entrega – 30 (trinta) unidades: R$ 485.869,50 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quatrocentos e oitenta e cinco mil, oitocentos e sessenta e nove reais e cinquenta centavos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00D83" w:rsidRDefault="00C05CB6">
      <w:pPr>
        <w:widowControl w:val="0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2ª Entrega – 40 (quarenta) unidades: R$ 647.826,00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seiscentos e quarenta e sete mil, oitocentos e vinte e seis reais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D00D83" w:rsidRDefault="00D00D83">
      <w:pPr>
        <w:widowControl w:val="0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0D83" w:rsidRDefault="00C05CB6">
      <w:pPr>
        <w:widowControl w:val="0"/>
        <w:numPr>
          <w:ilvl w:val="0"/>
          <w:numId w:val="2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3ª Entrega – 30 (trinta) unidades: R$485.869,50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quatrocentos e oitenta e cinco mil, oitocentos e sessenta e nove reais e cinquenta centavos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00D83" w:rsidRDefault="00C05CB6">
      <w:pPr>
        <w:widowControl w:val="0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Os valores mantêm proporcionalidade direta com as quantidades previstas, reforçando a homogeneidade do objeto e a adequação do parcelamento sob o ponto de vista técnico e econômico. </w:t>
      </w:r>
    </w:p>
    <w:p w:rsidR="00D00D83" w:rsidRDefault="00C05CB6">
      <w:pPr>
        <w:widowControl w:val="0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6.4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contrato tem valor total fixo e irreajustável de R$ 1.619.565,00 (um milhão seiscentos e dezenove mil e quinhentos e sessenta e cinco reais), incluindo todas as etapas, despesas com encargos diretos e indiretos, na forma prevista no Termo de Referência, como parte integrante deste contrato.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6.5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pagamento será efetuado em três etapas e condições, conforme indicado no item 6.1 deste Termo de Referência.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6.6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houver irregularidade na nota fiscal, o prazo para pagamento será contado a partir de sua regularização.</w:t>
      </w:r>
    </w:p>
    <w:p w:rsidR="00D00D83" w:rsidRDefault="00C05CB6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6.7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será aceita cobrança bancária, pagamento antecipado ou negociação de título.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  PREVISÃO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NO PLANO ANUAL DE CONTRATAÇÕES </w:t>
      </w:r>
    </w:p>
    <w:p w:rsidR="00D00D83" w:rsidRDefault="00D00D83">
      <w:pPr>
        <w:keepNext/>
        <w:keepLines/>
        <w:tabs>
          <w:tab w:val="left" w:pos="567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1"/>
        <w:tblpPr w:leftFromText="180" w:rightFromText="180" w:topFromText="180" w:bottomFromText="180" w:vertAnchor="text"/>
        <w:tblW w:w="778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60"/>
        <w:gridCol w:w="2580"/>
        <w:gridCol w:w="2445"/>
      </w:tblGrid>
      <w:tr w:rsidR="00D00D83">
        <w:tc>
          <w:tcPr>
            <w:tcW w:w="7785" w:type="dxa"/>
            <w:gridSpan w:val="3"/>
            <w:shd w:val="clear" w:color="auto" w:fill="000000"/>
          </w:tcPr>
          <w:p w:rsidR="00D00D83" w:rsidRDefault="00C05CB6">
            <w:pPr>
              <w:tabs>
                <w:tab w:val="left" w:pos="3587"/>
              </w:tabs>
              <w:jc w:val="both"/>
              <w:rPr>
                <w:b/>
                <w:bCs/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>Quadro de Dotação Orçamentária</w:t>
            </w:r>
          </w:p>
        </w:tc>
      </w:tr>
      <w:tr w:rsidR="00D00D83">
        <w:tc>
          <w:tcPr>
            <w:tcW w:w="2760" w:type="dxa"/>
          </w:tcPr>
          <w:p w:rsidR="00D00D83" w:rsidRDefault="00C05C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Programa de trabalho:</w:t>
            </w:r>
          </w:p>
          <w:p w:rsidR="00D00D83" w:rsidRDefault="00C05C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87.01.19.573.0065.1235</w:t>
            </w:r>
          </w:p>
        </w:tc>
        <w:tc>
          <w:tcPr>
            <w:tcW w:w="2580" w:type="dxa"/>
          </w:tcPr>
          <w:p w:rsidR="00D00D83" w:rsidRDefault="00C05C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Elemento de despesa: 44.90.52</w:t>
            </w:r>
          </w:p>
          <w:p w:rsidR="00D00D83" w:rsidRDefault="00D00D8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45" w:type="dxa"/>
          </w:tcPr>
          <w:p w:rsidR="00D00D83" w:rsidRDefault="00C05C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Fonte de recursos:</w:t>
            </w:r>
          </w:p>
          <w:p w:rsidR="00D00D83" w:rsidRDefault="00C05C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1704</w:t>
            </w:r>
          </w:p>
          <w:p w:rsidR="00D00D83" w:rsidRDefault="00D00D83">
            <w:pPr>
              <w:jc w:val="both"/>
              <w:rPr>
                <w:sz w:val="24"/>
                <w:szCs w:val="24"/>
              </w:rPr>
            </w:pPr>
          </w:p>
        </w:tc>
      </w:tr>
    </w:tbl>
    <w:p w:rsidR="00D00D83" w:rsidRDefault="00D00D83">
      <w:pPr>
        <w:widowControl w:val="0"/>
        <w:spacing w:before="309" w:line="240" w:lineRule="auto"/>
        <w:ind w:right="61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D0A55" w:rsidRDefault="003D0A55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D0A55" w:rsidRDefault="003D0A55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="003D0A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PRAZO DE VIGÊNCIA DO CONTRATO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 GARANTIAS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prazo de vigência da contratação será de 24 (vinte e quatro) meses, correspondendo ao período de garantia de fábrica do equipamento contra defeitos de fabricação. Durante esse período, a CONTRATADA será responsável pelo fornecimento de todos os serviços de manutenção, assistência técnica e reposição de peças ou acessórios originais, nos termos e condições estabelecidos no contrato.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8.2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Caso as etapas previstas no item 6 e respectivos subitens não sejam cumpridas e concluídas dentro do prazo estipulado no item 8.1, este poderá ser prorrogado automaticamente, em conformidade com o disposto no art. 111 da Lei nº 14.133/2021.</w:t>
      </w:r>
    </w:p>
    <w:p w:rsidR="00D00D83" w:rsidRPr="00014B8D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8.2.1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hipótese de o prazo não ser concluído por culpa da CONTRATADA, esta será constituída em mora, ficando sujeita às sanções administrativas cabíveis, podendo a Administração Pública, conforme </w:t>
      </w:r>
      <w:r w:rsidRPr="00014B8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 caso, optar pela extinção do contrato, bem como adotar todas as medidas legais necessárias para assegurar a continuidade da execução </w:t>
      </w:r>
      <w:bookmarkStart w:id="0" w:name="_GoBack"/>
      <w:bookmarkEnd w:id="0"/>
      <w:r w:rsidRPr="00014B8D">
        <w:rPr>
          <w:rFonts w:ascii="Times New Roman" w:eastAsia="Times New Roman" w:hAnsi="Times New Roman" w:cs="Times New Roman"/>
          <w:sz w:val="24"/>
          <w:szCs w:val="24"/>
        </w:rPr>
        <w:t>contratual.</w:t>
      </w:r>
    </w:p>
    <w:p w:rsidR="00D00D83" w:rsidRPr="00014B8D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4B8D">
        <w:rPr>
          <w:rFonts w:ascii="Times New Roman" w:eastAsia="Times New Roman" w:hAnsi="Times New Roman" w:cs="Times New Roman"/>
          <w:b/>
          <w:bCs/>
          <w:sz w:val="24"/>
          <w:szCs w:val="24"/>
        </w:rPr>
        <w:t>8.3</w:t>
      </w:r>
      <w:r w:rsidRPr="00014B8D">
        <w:rPr>
          <w:rFonts w:ascii="Times New Roman" w:eastAsia="Times New Roman" w:hAnsi="Times New Roman" w:cs="Times New Roman"/>
          <w:sz w:val="24"/>
          <w:szCs w:val="24"/>
        </w:rPr>
        <w:t xml:space="preserve"> O período de manutenção do objeto poderá ser renovado, desde que, ao final da garantia, haja oferta por parte da empresa e conveniência para a Administração Pública, em consonância com o disposto na Lei nº 14.133/2021.</w:t>
      </w:r>
    </w:p>
    <w:p w:rsidR="00466C9C" w:rsidRDefault="00466C9C" w:rsidP="0012405E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4B8D">
        <w:rPr>
          <w:rFonts w:ascii="Times New Roman" w:eastAsia="Times New Roman" w:hAnsi="Times New Roman" w:cs="Times New Roman"/>
          <w:b/>
          <w:sz w:val="24"/>
          <w:szCs w:val="24"/>
        </w:rPr>
        <w:t xml:space="preserve">8.4 </w:t>
      </w:r>
      <w:r w:rsidR="009B5977" w:rsidRPr="00014B8D">
        <w:rPr>
          <w:rFonts w:ascii="Times New Roman" w:hAnsi="Times New Roman" w:cs="Times New Roman"/>
          <w:color w:val="000000"/>
          <w:sz w:val="24"/>
          <w:szCs w:val="24"/>
        </w:rPr>
        <w:t xml:space="preserve">A vigência do contrato será de </w:t>
      </w:r>
      <w:r w:rsidR="009B5977" w:rsidRPr="00014B8D">
        <w:rPr>
          <w:rFonts w:ascii="Times New Roman" w:hAnsi="Times New Roman" w:cs="Times New Roman"/>
          <w:b/>
          <w:color w:val="000000"/>
          <w:sz w:val="24"/>
          <w:szCs w:val="24"/>
        </w:rPr>
        <w:t>24 (vinte e quatro) meses</w:t>
      </w:r>
      <w:r w:rsidR="009B5977" w:rsidRPr="00014B8D">
        <w:rPr>
          <w:rFonts w:ascii="Times New Roman" w:hAnsi="Times New Roman" w:cs="Times New Roman"/>
          <w:color w:val="000000"/>
          <w:sz w:val="24"/>
          <w:szCs w:val="24"/>
        </w:rPr>
        <w:t xml:space="preserve">, contado a partir da sua assinatura, </w:t>
      </w:r>
      <w:r w:rsidR="00F97511" w:rsidRPr="00014B8D">
        <w:rPr>
          <w:rFonts w:ascii="Times New Roman" w:hAnsi="Times New Roman" w:cs="Times New Roman"/>
          <w:color w:val="000000"/>
          <w:sz w:val="24"/>
          <w:szCs w:val="24"/>
        </w:rPr>
        <w:t xml:space="preserve">sem a </w:t>
      </w:r>
      <w:r w:rsidR="009B5977" w:rsidRPr="00014B8D">
        <w:rPr>
          <w:rFonts w:ascii="Times New Roman" w:hAnsi="Times New Roman" w:cs="Times New Roman"/>
          <w:color w:val="000000"/>
          <w:sz w:val="24"/>
          <w:szCs w:val="24"/>
        </w:rPr>
        <w:t xml:space="preserve">possibilidade de </w:t>
      </w:r>
      <w:r w:rsidR="00F97511" w:rsidRPr="00014B8D">
        <w:rPr>
          <w:rFonts w:ascii="Times New Roman" w:hAnsi="Times New Roman" w:cs="Times New Roman"/>
          <w:color w:val="000000"/>
          <w:sz w:val="24"/>
          <w:szCs w:val="24"/>
        </w:rPr>
        <w:t>prorrogação</w:t>
      </w:r>
      <w:r w:rsidR="00014B8D" w:rsidRPr="00014B8D">
        <w:rPr>
          <w:rFonts w:ascii="Times New Roman" w:hAnsi="Times New Roman" w:cs="Times New Roman"/>
          <w:color w:val="000000"/>
          <w:sz w:val="24"/>
          <w:szCs w:val="24"/>
        </w:rPr>
        <w:t xml:space="preserve"> contratual</w:t>
      </w:r>
      <w:r w:rsidR="0012405E" w:rsidRPr="00014B8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405E" w:rsidRPr="00014B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12405E" w:rsidRPr="00014B8D">
        <w:rPr>
          <w:rFonts w:ascii="Times New Roman" w:hAnsi="Times New Roman" w:cs="Times New Roman"/>
          <w:color w:val="000000"/>
          <w:sz w:val="24"/>
          <w:szCs w:val="24"/>
        </w:rPr>
        <w:t>por se tratar de uma simples aquisição</w:t>
      </w:r>
      <w:r w:rsidR="00014B8D" w:rsidRPr="00014B8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14B8D" w:rsidRPr="00014B8D">
        <w:rPr>
          <w:rFonts w:ascii="Times New Roman" w:hAnsi="Times New Roman" w:cs="Times New Roman"/>
          <w:sz w:val="24"/>
          <w:szCs w:val="24"/>
        </w:rPr>
        <w:t>considerando que o objeto não se caracteriza como prestação de natureza continuada</w:t>
      </w:r>
      <w:r w:rsidR="009B5977" w:rsidRPr="00014B8D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014B8D" w:rsidRPr="00014B8D" w:rsidRDefault="00014B8D" w:rsidP="0012405E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2405E" w:rsidRDefault="0012405E" w:rsidP="0012405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4B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8.5 </w:t>
      </w:r>
      <w:r w:rsidR="00014B8D" w:rsidRPr="00014B8D">
        <w:rPr>
          <w:rFonts w:ascii="Times New Roman" w:hAnsi="Times New Roman" w:cs="Times New Roman"/>
          <w:sz w:val="24"/>
          <w:szCs w:val="24"/>
        </w:rPr>
        <w:t>Não</w:t>
      </w:r>
      <w:proofErr w:type="gramEnd"/>
      <w:r w:rsidR="00014B8D" w:rsidRPr="00014B8D">
        <w:rPr>
          <w:rFonts w:ascii="Times New Roman" w:hAnsi="Times New Roman" w:cs="Times New Roman"/>
          <w:sz w:val="24"/>
          <w:szCs w:val="24"/>
        </w:rPr>
        <w:t xml:space="preserve"> se vislumbra a necessidade de reajuste dos valores da contratação, tendo em vista tratar-se de simples aquisição, sem previsão de variação que justifique a aplicação de reajuste contratual.</w:t>
      </w:r>
    </w:p>
    <w:p w:rsidR="00014B8D" w:rsidRPr="00014B8D" w:rsidRDefault="00014B8D" w:rsidP="0012405E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14B8D" w:rsidRDefault="0012405E" w:rsidP="00014B8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4B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8.6  </w:t>
      </w:r>
      <w:r w:rsidR="00014B8D" w:rsidRPr="00014B8D">
        <w:rPr>
          <w:rFonts w:ascii="Times New Roman" w:hAnsi="Times New Roman" w:cs="Times New Roman"/>
          <w:sz w:val="24"/>
          <w:szCs w:val="24"/>
        </w:rPr>
        <w:t>Não</w:t>
      </w:r>
      <w:proofErr w:type="gramEnd"/>
      <w:r w:rsidR="00014B8D" w:rsidRPr="00014B8D">
        <w:rPr>
          <w:rFonts w:ascii="Times New Roman" w:hAnsi="Times New Roman" w:cs="Times New Roman"/>
          <w:sz w:val="24"/>
          <w:szCs w:val="24"/>
        </w:rPr>
        <w:t xml:space="preserve"> se vislumbra a necessidade de repactuação dos valores contratuais, tendo em vista tratar-se de simples aquisição, não envolvendo prestação de serviços continuados.</w:t>
      </w:r>
    </w:p>
    <w:p w:rsidR="00014B8D" w:rsidRPr="00014B8D" w:rsidRDefault="00014B8D" w:rsidP="00014B8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00D83" w:rsidRPr="00014B8D" w:rsidRDefault="00C05CB6" w:rsidP="00014B8D">
      <w:pPr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14B8D">
        <w:rPr>
          <w:rFonts w:ascii="Times New Roman" w:eastAsia="Times New Roman" w:hAnsi="Times New Roman" w:cs="Times New Roman"/>
          <w:b/>
          <w:bCs/>
          <w:sz w:val="24"/>
          <w:szCs w:val="24"/>
        </w:rPr>
        <w:t>9 FORMA DE ENTREGA, INSTALA</w:t>
      </w:r>
      <w:r w:rsidR="00EB58F9" w:rsidRPr="00014B8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ÇÃO E CONFIGURAÇÃO, E CRITÉRIOS </w:t>
      </w:r>
      <w:proofErr w:type="gramStart"/>
      <w:r w:rsidRPr="00014B8D">
        <w:rPr>
          <w:rFonts w:ascii="Times New Roman" w:eastAsia="Times New Roman" w:hAnsi="Times New Roman" w:cs="Times New Roman"/>
          <w:b/>
          <w:bCs/>
          <w:sz w:val="24"/>
          <w:szCs w:val="24"/>
        </w:rPr>
        <w:t>DE  ACEITAÇÃO</w:t>
      </w:r>
      <w:proofErr w:type="gramEnd"/>
      <w:r w:rsidRPr="00014B8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 RECEBIMENTO DO OBJETO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O(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s) bem(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deverá(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ão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ser entregue(s) no endereço da Secretaria de Ciência e Tecnologia, localizada na Av. Roberto Silveira, 1978 - Flamengo, Maricá - RJ, 24903-815 (Prédio Território do Futuro), 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perído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compreendido entre 8 horas e 17 horas, de 2º a 6ª feiras, exceto nos feriados.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9.2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CONTRATADA deverá providenciar o envio de um representante técnico para instruir a equipe da CONTRATANTE sobre a correta configuração e instalação dos dispositivos, assegurando que os equipamentos estejam em pleno funcionamento.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9.3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recebimento do objeto ocorrerá em dois momentos: Provisória: após a entrega, para posterior conferência dos materiais. Definitiva: após a verificação e testes para a comprovação da qualidade, quantidade e conformidade com as especificações deste Termo de Referência nas etapas previstas no item 6.1. </w:t>
      </w:r>
    </w:p>
    <w:p w:rsidR="00670AC2" w:rsidRPr="00A245EA" w:rsidRDefault="00466C9C" w:rsidP="00670AC2">
      <w:pPr>
        <w:jc w:val="both"/>
      </w:pPr>
      <w:r w:rsidRPr="00466C9C">
        <w:rPr>
          <w:rFonts w:ascii="Times New Roman" w:eastAsia="Times New Roman" w:hAnsi="Times New Roman" w:cs="Times New Roman"/>
          <w:b/>
          <w:sz w:val="24"/>
          <w:szCs w:val="24"/>
        </w:rPr>
        <w:t xml:space="preserve">9.4 </w:t>
      </w:r>
      <w:r w:rsidR="00670AC2" w:rsidRPr="00670AC2">
        <w:rPr>
          <w:rFonts w:ascii="Times New Roman" w:hAnsi="Times New Roman" w:cs="Times New Roman"/>
          <w:sz w:val="24"/>
          <w:szCs w:val="24"/>
        </w:rPr>
        <w:t>O recebimento provisório, do objeto, será imediato, já o recebimento definitivo deverá ser realizado no prazo igual a 15 (quinze) dias úteis.</w:t>
      </w:r>
    </w:p>
    <w:p w:rsidR="00D00D83" w:rsidRDefault="00466C9C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9.5</w:t>
      </w:r>
      <w:r w:rsidR="00C05C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C05CB6">
        <w:rPr>
          <w:rFonts w:ascii="Times New Roman" w:eastAsia="Times New Roman" w:hAnsi="Times New Roman" w:cs="Times New Roman"/>
          <w:sz w:val="24"/>
          <w:szCs w:val="24"/>
        </w:rPr>
        <w:t>O(</w:t>
      </w:r>
      <w:proofErr w:type="gramEnd"/>
      <w:r w:rsidR="00C05CB6">
        <w:rPr>
          <w:rFonts w:ascii="Times New Roman" w:eastAsia="Times New Roman" w:hAnsi="Times New Roman" w:cs="Times New Roman"/>
          <w:sz w:val="24"/>
          <w:szCs w:val="24"/>
        </w:rPr>
        <w:t>s) bem(</w:t>
      </w:r>
      <w:proofErr w:type="spellStart"/>
      <w:r w:rsidR="00C05CB6">
        <w:rPr>
          <w:rFonts w:ascii="Times New Roman" w:eastAsia="Times New Roman" w:hAnsi="Times New Roman" w:cs="Times New Roman"/>
          <w:sz w:val="24"/>
          <w:szCs w:val="24"/>
        </w:rPr>
        <w:t>ns</w:t>
      </w:r>
      <w:proofErr w:type="spellEnd"/>
      <w:r w:rsidR="00C05CB6">
        <w:rPr>
          <w:rFonts w:ascii="Times New Roman" w:eastAsia="Times New Roman" w:hAnsi="Times New Roman" w:cs="Times New Roman"/>
          <w:sz w:val="24"/>
          <w:szCs w:val="24"/>
        </w:rPr>
        <w:t>) poderá(</w:t>
      </w:r>
      <w:proofErr w:type="spellStart"/>
      <w:r w:rsidR="00C05CB6">
        <w:rPr>
          <w:rFonts w:ascii="Times New Roman" w:eastAsia="Times New Roman" w:hAnsi="Times New Roman" w:cs="Times New Roman"/>
          <w:sz w:val="24"/>
          <w:szCs w:val="24"/>
        </w:rPr>
        <w:t>ão</w:t>
      </w:r>
      <w:proofErr w:type="spellEnd"/>
      <w:r w:rsidR="00C05CB6">
        <w:rPr>
          <w:rFonts w:ascii="Times New Roman" w:eastAsia="Times New Roman" w:hAnsi="Times New Roman" w:cs="Times New Roman"/>
          <w:sz w:val="24"/>
          <w:szCs w:val="24"/>
        </w:rPr>
        <w:t xml:space="preserve">) ser rejeitado(s), no todo ou em parte, quando em desacordo com as especificações constantes neste Termo de Referência e na proposta, devendo ser  substituídos no prazo estabelecido </w:t>
      </w:r>
      <w:r w:rsidR="00EB58F9">
        <w:rPr>
          <w:rFonts w:ascii="Times New Roman" w:eastAsia="Times New Roman" w:hAnsi="Times New Roman" w:cs="Times New Roman"/>
          <w:sz w:val="24"/>
          <w:szCs w:val="24"/>
        </w:rPr>
        <w:t>de 20 (vinte) dias úteis</w:t>
      </w:r>
      <w:r w:rsidR="00C05CB6">
        <w:rPr>
          <w:rFonts w:ascii="Times New Roman" w:eastAsia="Times New Roman" w:hAnsi="Times New Roman" w:cs="Times New Roman"/>
          <w:sz w:val="24"/>
          <w:szCs w:val="24"/>
        </w:rPr>
        <w:t xml:space="preserve">, a contar da notificação da contratada, às suas custas, sem prejuízo da aplicação das penalidades.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 DA DESCRIÇÃO DA SOLUÇÃO COMO UM TODO E MODELO DE GESTÃO DE CONTRATO</w:t>
      </w:r>
    </w:p>
    <w:p w:rsidR="00014B8D" w:rsidRDefault="00014B8D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10.1 </w:t>
      </w:r>
      <w:r>
        <w:rPr>
          <w:rFonts w:ascii="Times New Roman" w:eastAsia="Times New Roman" w:hAnsi="Times New Roman" w:cs="Times New Roman"/>
          <w:sz w:val="24"/>
          <w:szCs w:val="24"/>
        </w:rPr>
        <w:t>A contratação da empresa do qual é distribuidora exclusiva do objeto, podendo certificar através da declaração de exclusividade, irá solucionar as dificuldades dos munícipes com baixa visão em interagir com os ambientes educacionais, laborais e de circulação na cidade.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10.2 </w:t>
      </w:r>
      <w:r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partes contratuais deverão observar fielmente o pacto firmado, de acordo com as cláusulas avençadas e as normas da Lei nº 14.133/21, e cada parte responderá pelas consequências de sua inexecução total ou parcial nos termos da lei e do instrumento contratual.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10.3 </w:t>
      </w:r>
      <w:r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comunicações entre o órgão ou entidade e a contratada devem ser realizadas por escrito sempre que o ato exigir tal formalidade, admitindo-se o uso de mensagem eletrônica para esse fim.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10.4 </w:t>
      </w:r>
      <w:r>
        <w:rPr>
          <w:rFonts w:ascii="Times New Roman" w:eastAsia="Times New Roman" w:hAnsi="Times New Roman" w:cs="Times New Roman"/>
          <w:sz w:val="24"/>
          <w:szCs w:val="24"/>
        </w:rPr>
        <w:t>O órgão ou entidade poderá convocar representante da empresa para adoção de providências que devam ser cumpridas de imediato.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10.5 </w:t>
      </w:r>
      <w:r>
        <w:rPr>
          <w:rFonts w:ascii="Times New Roman" w:eastAsia="Times New Roman" w:hAnsi="Times New Roman" w:cs="Times New Roman"/>
          <w:sz w:val="24"/>
          <w:szCs w:val="24"/>
        </w:rPr>
        <w:t>A execução do contrato será fiscalizada por agente público designado pela autoridade competente nos termos da regulamentação municipal e do art. 117, caput, da Lei 14.133/21, já identificado no Documento de Formalização da Demanda.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10.6 </w:t>
      </w:r>
      <w:r>
        <w:rPr>
          <w:rFonts w:ascii="Times New Roman" w:eastAsia="Times New Roman" w:hAnsi="Times New Roman" w:cs="Times New Roman"/>
          <w:sz w:val="24"/>
          <w:szCs w:val="24"/>
        </w:rPr>
        <w:t>Além de fiscal, será também designado gestor do contrato nos termos da regulamentação municipal e art. 8º, § 3º da Lei 14.133/21.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10.7 </w:t>
      </w:r>
      <w:r>
        <w:rPr>
          <w:rFonts w:ascii="Times New Roman" w:eastAsia="Times New Roman" w:hAnsi="Times New Roman" w:cs="Times New Roman"/>
          <w:sz w:val="24"/>
          <w:szCs w:val="24"/>
        </w:rPr>
        <w:t>Comete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infração administrativa nos termos do art. 155 da Lei Nacional nº 14.133/21 a Contratada que: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10.7.1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dá causa à inexecução parcial do contrato;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10.7.2 </w:t>
      </w:r>
      <w:r>
        <w:rPr>
          <w:rFonts w:ascii="Times New Roman" w:eastAsia="Times New Roman" w:hAnsi="Times New Roman" w:cs="Times New Roman"/>
          <w:sz w:val="24"/>
          <w:szCs w:val="24"/>
        </w:rPr>
        <w:t>dá causa à inexecução parcial do contrato que cause grave dano à Administração, ao funcionamento dos serviços públicos ou ao interesse coletivo;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10.7.3 </w:t>
      </w:r>
      <w:r>
        <w:rPr>
          <w:rFonts w:ascii="Times New Roman" w:eastAsia="Times New Roman" w:hAnsi="Times New Roman" w:cs="Times New Roman"/>
          <w:sz w:val="24"/>
          <w:szCs w:val="24"/>
        </w:rPr>
        <w:t>dá causa à inexecução total do contrato;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10.7.4 </w:t>
      </w:r>
      <w:r>
        <w:rPr>
          <w:rFonts w:ascii="Times New Roman" w:eastAsia="Times New Roman" w:hAnsi="Times New Roman" w:cs="Times New Roman"/>
          <w:sz w:val="24"/>
          <w:szCs w:val="24"/>
        </w:rPr>
        <w:t>deixa de entregar a documentação exigida;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10.7.5 </w:t>
      </w:r>
      <w:r>
        <w:rPr>
          <w:rFonts w:ascii="Times New Roman" w:eastAsia="Times New Roman" w:hAnsi="Times New Roman" w:cs="Times New Roman"/>
          <w:sz w:val="24"/>
          <w:szCs w:val="24"/>
        </w:rPr>
        <w:t>não mantiver a proposta, salvo em decorrência de fato superveniente devidamente justificado;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10.7.6 </w:t>
      </w:r>
      <w:r>
        <w:rPr>
          <w:rFonts w:ascii="Times New Roman" w:eastAsia="Times New Roman" w:hAnsi="Times New Roman" w:cs="Times New Roman"/>
          <w:sz w:val="24"/>
          <w:szCs w:val="24"/>
        </w:rPr>
        <w:t>não celebrar o contrato ou não entregar a documentação exigida para a contratação, quando convocado dentro do prazo de validade de sua proposta;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10.7.7 </w:t>
      </w:r>
      <w:r>
        <w:rPr>
          <w:rFonts w:ascii="Times New Roman" w:eastAsia="Times New Roman" w:hAnsi="Times New Roman" w:cs="Times New Roman"/>
          <w:sz w:val="24"/>
          <w:szCs w:val="24"/>
        </w:rPr>
        <w:t>ensejar o retardamento da execução ou da entrega do objeto da licitação sem motivo justificado;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10.7.8 </w:t>
      </w:r>
      <w:r>
        <w:rPr>
          <w:rFonts w:ascii="Times New Roman" w:eastAsia="Times New Roman" w:hAnsi="Times New Roman" w:cs="Times New Roman"/>
          <w:sz w:val="24"/>
          <w:szCs w:val="24"/>
        </w:rPr>
        <w:t>apresentar declaração ou documentação falsa exigida para o certame ou prestar declaração falsa durante a licitação ou a execução do contrato;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10.7.9 </w:t>
      </w:r>
      <w:r>
        <w:rPr>
          <w:rFonts w:ascii="Times New Roman" w:eastAsia="Times New Roman" w:hAnsi="Times New Roman" w:cs="Times New Roman"/>
          <w:sz w:val="24"/>
          <w:szCs w:val="24"/>
        </w:rPr>
        <w:t>fraudar a licitação ou praticar ato fraudulento na execução do contrato;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10.7.10 </w:t>
      </w:r>
      <w:r>
        <w:rPr>
          <w:rFonts w:ascii="Times New Roman" w:eastAsia="Times New Roman" w:hAnsi="Times New Roman" w:cs="Times New Roman"/>
          <w:sz w:val="24"/>
          <w:szCs w:val="24"/>
        </w:rPr>
        <w:t>comportar-se de modo inidôneo ou cometer fraude de qualquer natureza;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10.7.11 </w:t>
      </w:r>
      <w:r>
        <w:rPr>
          <w:rFonts w:ascii="Times New Roman" w:eastAsia="Times New Roman" w:hAnsi="Times New Roman" w:cs="Times New Roman"/>
          <w:sz w:val="24"/>
          <w:szCs w:val="24"/>
        </w:rPr>
        <w:t>praticar atos ilícitos com vistas a frustrar os objetivos da licitação;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10.7.12 </w:t>
      </w:r>
      <w:r>
        <w:rPr>
          <w:rFonts w:ascii="Times New Roman" w:eastAsia="Times New Roman" w:hAnsi="Times New Roman" w:cs="Times New Roman"/>
          <w:sz w:val="24"/>
          <w:szCs w:val="24"/>
        </w:rPr>
        <w:t>praticar um dos atos lesivos previstos no art. 5º da Lei nº 12.846/13.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10.8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Serão aplicadas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ao(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s) responsável(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pelas infrações administrativas previstas as seguintes sanções: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10.8.1 </w:t>
      </w:r>
      <w:r>
        <w:rPr>
          <w:rFonts w:ascii="Times New Roman" w:eastAsia="Times New Roman" w:hAnsi="Times New Roman" w:cs="Times New Roman"/>
          <w:sz w:val="24"/>
          <w:szCs w:val="24"/>
        </w:rPr>
        <w:t>advertência;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10.8.2 </w:t>
      </w:r>
      <w:r>
        <w:rPr>
          <w:rFonts w:ascii="Times New Roman" w:eastAsia="Times New Roman" w:hAnsi="Times New Roman" w:cs="Times New Roman"/>
          <w:sz w:val="24"/>
          <w:szCs w:val="24"/>
        </w:rPr>
        <w:t>multa;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10.8.3 </w:t>
      </w:r>
      <w:r>
        <w:rPr>
          <w:rFonts w:ascii="Times New Roman" w:eastAsia="Times New Roman" w:hAnsi="Times New Roman" w:cs="Times New Roman"/>
          <w:sz w:val="24"/>
          <w:szCs w:val="24"/>
        </w:rPr>
        <w:t>impedimento de licitar e contratar;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10.8.4 </w:t>
      </w:r>
      <w:r>
        <w:rPr>
          <w:rFonts w:ascii="Times New Roman" w:eastAsia="Times New Roman" w:hAnsi="Times New Roman" w:cs="Times New Roman"/>
          <w:sz w:val="24"/>
          <w:szCs w:val="24"/>
        </w:rPr>
        <w:t>declaração de inidoneidade para licitar ou contratar.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10.9 </w:t>
      </w:r>
      <w:r>
        <w:rPr>
          <w:rFonts w:ascii="Times New Roman" w:eastAsia="Times New Roman" w:hAnsi="Times New Roman" w:cs="Times New Roman"/>
          <w:sz w:val="24"/>
          <w:szCs w:val="24"/>
        </w:rPr>
        <w:t>Na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aplicação das sanções serão considerados: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10.9.1 </w:t>
      </w:r>
      <w:r>
        <w:rPr>
          <w:rFonts w:ascii="Times New Roman" w:eastAsia="Times New Roman" w:hAnsi="Times New Roman" w:cs="Times New Roman"/>
          <w:sz w:val="24"/>
          <w:szCs w:val="24"/>
        </w:rPr>
        <w:t>a natureza e a gravidade da infração cometida;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10.9.2 </w:t>
      </w:r>
      <w:r>
        <w:rPr>
          <w:rFonts w:ascii="Times New Roman" w:eastAsia="Times New Roman" w:hAnsi="Times New Roman" w:cs="Times New Roman"/>
          <w:sz w:val="24"/>
          <w:szCs w:val="24"/>
        </w:rPr>
        <w:t>as peculiaridades do caso concreto;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10.9.3 </w:t>
      </w:r>
      <w:r>
        <w:rPr>
          <w:rFonts w:ascii="Times New Roman" w:eastAsia="Times New Roman" w:hAnsi="Times New Roman" w:cs="Times New Roman"/>
          <w:sz w:val="24"/>
          <w:szCs w:val="24"/>
        </w:rPr>
        <w:t>as circunstâncias agravantes ou atenuantes;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10.9.4 </w:t>
      </w:r>
      <w:r>
        <w:rPr>
          <w:rFonts w:ascii="Times New Roman" w:eastAsia="Times New Roman" w:hAnsi="Times New Roman" w:cs="Times New Roman"/>
          <w:sz w:val="24"/>
          <w:szCs w:val="24"/>
        </w:rPr>
        <w:t>os danos que dela provierem para a Administração Pública;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10.9.5 </w:t>
      </w:r>
      <w:r>
        <w:rPr>
          <w:rFonts w:ascii="Times New Roman" w:eastAsia="Times New Roman" w:hAnsi="Times New Roman" w:cs="Times New Roman"/>
          <w:sz w:val="24"/>
          <w:szCs w:val="24"/>
        </w:rPr>
        <w:t>a implantação ou o aperfeiçoamento de programa de integridade, conforme normas e orientações dos órgãos de controle.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10.10 </w:t>
      </w:r>
      <w:r>
        <w:rPr>
          <w:rFonts w:ascii="Times New Roman" w:eastAsia="Times New Roman" w:hAnsi="Times New Roman" w:cs="Times New Roman"/>
          <w:sz w:val="24"/>
          <w:szCs w:val="24"/>
        </w:rPr>
        <w:t>Pela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inexecução parcial do objeto contratual, a Administração poderá aplicar, isoladamente, à CONTRATADA, a pena de advertência, quando não se justificar a imposição de penalidade mais grave, nos termos do § 2º do art. 156 da Lei 14.133/21.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10.11 </w:t>
      </w:r>
      <w:r>
        <w:rPr>
          <w:rFonts w:ascii="Times New Roman" w:eastAsia="Times New Roman" w:hAnsi="Times New Roman" w:cs="Times New Roman"/>
          <w:sz w:val="24"/>
          <w:szCs w:val="24"/>
        </w:rPr>
        <w:t>A sanção de multa, calculada na forma do edital ou do contrato, não poderá ser inferior a 5% (cinco por cento) do valor do contrato licitado ou celebrado com contratação direta e será aplicada ao responsável por qualquer das infrações administrativas previstas no item 10.7 deste Termo de Referência, nos termos do § 3º do art. 156 da Lei 14.133/21.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10.12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sanção de impedimento de licitar e contratar será aplicada ao responsável pelas infrações administrativas previstas nos itens 10.8.1, 10.8.2, 10.8.3 e 10.8.4, quando não se justificar a imposição de penalidade mais grave, e o impedirá de licitar ou contratar no âmbito da Administração Pública direta e indireta deste Município, pelo prazo máximo de 3 (três) anos.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10.13 </w:t>
      </w:r>
      <w:r>
        <w:rPr>
          <w:rFonts w:ascii="Times New Roman" w:eastAsia="Times New Roman" w:hAnsi="Times New Roman" w:cs="Times New Roman"/>
          <w:sz w:val="24"/>
          <w:szCs w:val="24"/>
        </w:rPr>
        <w:t>A sanção de declaração de inidoneidade para licitar ou contratar será aplicada ao responsável pelas infrações administrativas previstas no item 10.8.4, que justifiquem a imposição de penalidade mais grave que a sanção referida no item 10.12 deste Termo de Referência, e impedirá o responsável de licitar ou contratar no âmbito da Administração Pública direta e indireta de todos os entes federativos, pelo prazo mínimo de 3 (três) anos e máximo de 6 (seis) anos.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10.14 </w:t>
      </w:r>
      <w:r>
        <w:rPr>
          <w:rFonts w:ascii="Times New Roman" w:eastAsia="Times New Roman" w:hAnsi="Times New Roman" w:cs="Times New Roman"/>
          <w:sz w:val="24"/>
          <w:szCs w:val="24"/>
        </w:rPr>
        <w:t>A aplicação das sanções previstas no item 10.8 não exclui, em hipótese alguma, a obrigação de reparação integral de eventual dano causado à Administração Pública.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10.15 </w:t>
      </w:r>
      <w:r>
        <w:rPr>
          <w:rFonts w:ascii="Times New Roman" w:eastAsia="Times New Roman" w:hAnsi="Times New Roman" w:cs="Times New Roman"/>
          <w:sz w:val="24"/>
          <w:szCs w:val="24"/>
        </w:rPr>
        <w:t>Se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10.15.1 </w:t>
      </w:r>
      <w:r>
        <w:rPr>
          <w:rFonts w:ascii="Times New Roman" w:eastAsia="Times New Roman" w:hAnsi="Times New Roman" w:cs="Times New Roman"/>
          <w:sz w:val="24"/>
          <w:szCs w:val="24"/>
        </w:rPr>
        <w:t>Caso a Contratante determine, a multa deverá ser recolhida no prazo máximo de 10 (dez) dias, a contar da data do recebimento da comunicação enviada pela autoridade competente.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10.16 </w:t>
      </w:r>
      <w:r>
        <w:rPr>
          <w:rFonts w:ascii="Times New Roman" w:eastAsia="Times New Roman" w:hAnsi="Times New Roman" w:cs="Times New Roman"/>
          <w:sz w:val="24"/>
          <w:szCs w:val="24"/>
        </w:rPr>
        <w:t>Na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aplicação da sanção de multa será facultada a defesa do interessado no prazo de 15 (quinze) dias úteis, contado da data de sua intimação.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10.17 </w:t>
      </w:r>
      <w:r>
        <w:rPr>
          <w:rFonts w:ascii="Times New Roman" w:eastAsia="Times New Roman" w:hAnsi="Times New Roman" w:cs="Times New Roman"/>
          <w:sz w:val="24"/>
          <w:szCs w:val="24"/>
        </w:rPr>
        <w:t>A aplicação das sanções de impedimento de licitar e contratar e declaração de inidoneidade para licitar ou contratar requererá a instauração de processo de responsabilização, nos termos do art. 158 e seguintes da Lei nº 14.133/21, a ser conduzido por comissão composta de 2 (dois) ou mais servidores,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10.18 </w:t>
      </w:r>
      <w:r>
        <w:rPr>
          <w:rFonts w:ascii="Times New Roman" w:eastAsia="Times New Roman" w:hAnsi="Times New Roman" w:cs="Times New Roman"/>
          <w:sz w:val="24"/>
          <w:szCs w:val="24"/>
        </w:rPr>
        <w:t>A aplicação de qualquer das penalidades previstas realizar-se-á em processo administrativo que assegurará o contraditório e a ampla defesa à Contratada, observando-se o procedimento previsto na Lei nº 14.133/21 e, subsidiariamente, a Lei nº 9.784/99.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10.19 </w:t>
      </w:r>
      <w:r>
        <w:rPr>
          <w:rFonts w:ascii="Times New Roman" w:eastAsia="Times New Roman" w:hAnsi="Times New Roman" w:cs="Times New Roman"/>
          <w:sz w:val="24"/>
          <w:szCs w:val="24"/>
        </w:rPr>
        <w:t>A aplicação de multa de mora não impedirá que a Administração a converta em compensatória e promova a extinção unilateral do contrato com a aplicação cumulada de outras sanções previstas neste Termo de Referência.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10.20 </w:t>
      </w:r>
      <w:r>
        <w:rPr>
          <w:rFonts w:ascii="Times New Roman" w:eastAsia="Times New Roman" w:hAnsi="Times New Roman" w:cs="Times New Roman"/>
          <w:sz w:val="24"/>
          <w:szCs w:val="24"/>
        </w:rPr>
        <w:t>A personalidade jurídica poderá ser desconsiderada sempre que utilizada com abuso do direito para facilitar, encobrir ou dissimular a prática dos atos ilícitos previstos na Lei nº 14.133/21 ou para provocar confusão patrimonial, estendendo-se os efeitos das sanções aos administradores e sócios com poderes de administração, à pessoa jurídica sucessora ou à empresa do mesmo ramo com relação de coligação ou controle, observados o contraditório, a ampla defesa e a análise jurídica prévia.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10.21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Caso o valor da multa não seja suficiente para cobrir os prejuízos causados pela conduta do licitante, o Município ou Entidade poderá cobrar o valor remanescente judicialmente, conforme artigo 419 do Código Civil.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10.22 </w:t>
      </w:r>
      <w:r>
        <w:rPr>
          <w:rFonts w:ascii="Times New Roman" w:eastAsia="Times New Roman" w:hAnsi="Times New Roman" w:cs="Times New Roman"/>
          <w:sz w:val="24"/>
          <w:szCs w:val="24"/>
        </w:rPr>
        <w:t>Os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atos previstos como infrações administrativas neste Termo de Referência, na Lei nº 14.133/21 ou em regulamentos da Administração Pública deste Município que também sejam tipificados como atos lesivos na Lei nº 12.846/13 serão apurados e julgados conjuntamente, nos mesmos autos, observados o rito procedimental e a autoridade competente definidos na referida Lei.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11 DOS REQUISITOS DA CONTRATAÇÃO </w:t>
      </w:r>
    </w:p>
    <w:p w:rsidR="00D00D83" w:rsidRDefault="00C05CB6">
      <w:pPr>
        <w:widowControl w:val="0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objeto a ser adquirido é o DISPOSITIVO DE VISÃO ARTIFICIAL COM UMA CÂMERA INTELIGENTE, portanto, produto técnico de natureza exclusiva produzido pela empresa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Orcam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Technologies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Ltda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 sede em Jerusalém e Israel. Considerando os requisitos de habilitação convencionais não será exigido mais que os essencialmente fundamentais, sendo requisitados a documentação relacionada à habilitação jurídica (art. 66 da Lei nº 14.133/21) e a habilitação fiscal, social e trabalhista (art. 68 da Lei nº 14.133/21); bem como demonstração de que o contratado atende a exigência legal de único distribuidor no Brasil, como também fornecimento de peças e manutenção, através de documentação que demonstre compromissos desempenhado anteriormente; com fornecimento para outros órgãos públicos, conforme pode-se confirmar diante das notas fiscais acostado no processo, que permita inferir que a aquisição é essencial e indiscutivelmente o mais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adequado à plena satisfação do objeto do contrato.</w:t>
      </w:r>
    </w:p>
    <w:p w:rsidR="00D00D83" w:rsidRDefault="00C05CB6">
      <w:pPr>
        <w:widowControl w:val="0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11.2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demais requisitos de habilitação (técnica e econômico-financeira) se mostrariam excessivos e poderiam, eventualmente, inviabilizar a contratação, o que somente traria prejuízos à Administração e ao interesse público.</w:t>
      </w:r>
    </w:p>
    <w:p w:rsidR="00D00D83" w:rsidRDefault="00C05CB6">
      <w:pPr>
        <w:widowControl w:val="0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11.3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fornecimento do objeto mencionado não gera vínculo empregatício entre o contratado e/ou seus subordinados e a administração pública, vedando-se qualquer relação entre eles que caracterize pessoalidade e subordinação direta.</w:t>
      </w:r>
    </w:p>
    <w:p w:rsidR="00D00D83" w:rsidRDefault="00C05CB6">
      <w:pPr>
        <w:widowControl w:val="0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11.4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será admitida subcontratação na execução do futuro contrato administrativo objeto deste Termo de Referência.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12 OBRIGAÇÕES DAS PARTES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12.1 OBRIGAÇÕES DA CONTRATADA: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a) Fornecer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o(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s) bem(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conforme especificações, prazos e nos locais previstos neste Termo de Referência, em perfeitas condições e de acordo com a marca, fabricante, modelo, procedência e prazo de garantia.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b) Substituir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o objeto às suas expensas, no todo ou em parte, quando fornecido com defeitos ou incorreções, bem como quando em desacordo com o Termo de Referência.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c) Responsabilizar-se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pelos danos causados ao patrimônio da Prefeitura de Maricá, a seus servidores ou ao público em geral, em decorrência do fornecimento de material em desacordo com as especificações deste Termo de Referência.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d) Promover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por sua conta, através de seguros, a cobertura dos riscos a que se julgar exposta, em vista das responsabilidades que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cabem na execução do objeto, bem como responsabilizar-se pelas despesas dos tributos, encargos trabalhistas, previdenciários, fiscais, comerciais, taxas, fretes, deslocamento de pessoal, prestação de garantia e quaisquer outras obrigações que incidam ou venham a incidir na execução do objeto.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e) Prestar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todo e qualquer esclarecimento ou informação solicitada pela fiscalização do contrato.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f) Cientificar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imediatamente a Fiscalização sobre qualquer ocorrência anormal que afete o fornecimento do objeto.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g) Corrigir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, prontamente, quaisquer erros ou falhas no fornecimento do objeto, atendendo assim, às reclamações, exigências ou observações feitas pela Fiscalização.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h) Manter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, durante toda a vigência do contrato, as condições de habilitação e qualificação exigidas na contratação, em compatibilidade com as obrigações assumidas.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i) Aceitar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os acréscimos ou supressões do objeto que se fizerem necessários, na forma prevista no art. 125 da Lei Federal nº 14.133/21.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j) Não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subcontratar ou transferir a outrem, no todo ou em parte, o objeto a ser fornecido.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k) Ser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responsável pela garantia de 24 (vinte e quatro) meses do equipamento contra defeitos de fabricação, incluindo todos os serviços de manutenção, assistência técnica e o fornecimento de acessórios originais dentro deste período.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l) Apresentar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 garantia de execução do contrato conforme o especificado no item 8.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m) Providenciar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um representante técnico para a instrução da equipe da Contratante sobre a configuração e instalação dos equipamentos.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12.2 OBRIGAÇÕES DA SECRETARIA DE CIÊNCIA E TECNOLOGIA: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Proporcionar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todas as facilidades e os meios indispensáveis à boa execução do fornecimento, inclusive permitindo o acesso de prepostos ou representantes da CONTRATADA às dependências da Secretaria, no trato de questões relacionadas à execução do objeto.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Prestar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informações e esclarecimentos necessários à execução do objeto que venham a ser solicitados por representante legal ou preposto da CONTRATADA.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Verificar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minuciosamente, no prazo fixado, a conformidade do objeto fornecido perante as especificações constantes do Termo de Referência e da Proposta Comercial, para fins de aceitação e recebimento definitivo.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Promover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o acompanhamento e a fiscalização da execução do objeto, de forma a verificar a sua perfeita execução e o cumprimento das obrigações contratuais.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Notificar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formalmente a empresa contratada sobre eventuais imperfeições ou não conformidades no decorrer da execução do fornecimento, fixando prazo para a devida correção.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Aplicar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as sanções e penalidades cabíveis por descumprimento das obrigações pactuadas neste Termo de Referência e seus anexos.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Efetuar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o pagamento à CONTRATADA, de acordo com as condições e prazos estabelecidos neste Termo de Referência.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Prefeitura de Maricá não responderá por quaisquer compromissos assumidos pela CONTRATADA com terceiros, ainda que vinculados à execução do presente Termo de Referência, bem como por qualquer dano causado a terceiros em decorrência de ato da CONTRATADA, de seus empregados, prepostos ou subordinados.</w:t>
      </w:r>
    </w:p>
    <w:p w:rsidR="00D00D83" w:rsidRDefault="00C05CB6">
      <w:pPr>
        <w:pStyle w:val="Ttulo3"/>
        <w:keepNext w:val="0"/>
        <w:keepLines w:val="0"/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1" w:name="_htqxt3qgnehf" w:colFirst="0" w:colLast="0"/>
      <w:bookmarkEnd w:id="1"/>
      <w:r>
        <w:rPr>
          <w:rFonts w:ascii="Times New Roman" w:eastAsia="Times New Roman" w:hAnsi="Times New Roman" w:cs="Times New Roman"/>
          <w:sz w:val="26"/>
          <w:szCs w:val="26"/>
        </w:rPr>
        <w:t>13 DA FORMA DE SELEÇÃO DO FORNECEDOR, QUALIFICAÇÃO TÉCNICA E JUSTIFICATIVA DE PREÇO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13.1 </w:t>
      </w:r>
      <w:r>
        <w:rPr>
          <w:rFonts w:ascii="Times New Roman" w:eastAsia="Times New Roman" w:hAnsi="Times New Roman" w:cs="Times New Roman"/>
          <w:sz w:val="24"/>
          <w:szCs w:val="24"/>
        </w:rPr>
        <w:t>O fornecedor do objeto será contratado por meio de inexigibilidade de licitação, em processo administrativo devidamente autuado e autorizado pela Autoridade Competente, nos termos do art. 72, inciso I, da Lei nº 14.133/2021, em razão da inviabilidade de competição, uma vez que se trata de equipamento que somente pode ser fornecido por fabricante e distribuidor exclusivo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13.2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empresa Locke Comércio e Importação Ltda. apresentou Declaração de Exclusividade, comprovando ser a única distribuidora autorizada no território nacional dos dispositivos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OrCam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MyEye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2.0, produzidos pela empresa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OrCam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Technologies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Ltd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., detentora da tecnologia exclusiva do objeto contratado.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13.3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Estudo Técnico Preliminar (ETP) demonstrou que o dispositivo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OrCam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MyEye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2.0 constitui a solução mais adequada às necessidades da Administração, por reunir funcionalidades integradas de visão artificial, leitura em tempo real e operação autônoma, já tendo sido adotado por outros entes federativos, o que reforça sua efetividade, aderência técnica e retorno social.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13.4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contratação está alinhada às diretrizes nacionais e internacionais de promoção da acessibilidade e da inclusão social, especialmente à Convenção sobre os Direitos das Pessoas com Deficiência da ONU e à Lei Brasileira de Inclusão da Pessoa com Deficiência (Lei nº 13.146/2015), que asseguram o direito à acessibilidade, à autonomia e à participação plena das pessoas com deficiência.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13.5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Considerando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 natureza da contratação direta, a regularidade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habilitatória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 contratado deverá ser mantida durante toda a execução contratual, sob pena de aplicação das sanções administrativas cabíveis, nos termos da legislação vigente.</w:t>
      </w:r>
    </w:p>
    <w:p w:rsidR="00D00D83" w:rsidRDefault="00C05C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13.6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justificativa de preço observa o disposto no art. 23, § 4º, da Lei nº 14.133/2021, tendo em vista a inviabilidade de competição. A compatibilidade do valor foi demonstrada mediante a apresentação de notas fiscais, contratos e publicações oficiais referentes a contratações similares realizadas por outros entes da Administração Pública, emitidas no período de até 1 (um) ano anterior à presente contratação, conforme documentação acostada ao processo, evidenciando que os preços praticados são compatíveis com o mercado público nacional.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14 DA INEXIGIBILIDADE PARA CONTRATAÇÃO E PREÇOS PRATICADOS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14.1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contratação direta por inexigibilidade de licitação se justifica pela exclusividade do fornecedor do objeto no Brasil. A empresa LOCKE COMÉRCIO E IMPORTAÇÃO DE PRESENTES LTDA., inscrita no CNPJ 09.276.124/0001-79, é a representante exclusiva da fabricante ORCAM TECHNOLOGIES LTD, sendo a única distribuidora e vendedora no território nacional. A empresa é responsável pela comercialização, fornecimento de serviços de manutenção e assistência técnica, e pelo fornecimento de acessórios originais do dispositivo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OrCam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MyEye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2.0, que é considerado um produto único e sem similares no Brasil.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14.2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empresa Locke Comércio e Importação LTDA. apresentou um demonstrativo de valores por meio de publicações em diário oficial de três entes federativos, para efeito de verificação/ comprovação de justificativa de preço, conforme documentação anexada ao processo.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14.3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Ressalta-se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, ainda, que os valores referentes aos dispositivos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OrCam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MyEye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2.0 são tabelados e aplicáveis em todo território nacional, de acordo com documentação apresentada.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15 SUSTENTABILIDADE AMBIENTAL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15.1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presente contratação, alinhada com os Objetivos de Desenvolvimento Sustentável (ODS) da Agenda 2030 da ONU, em especial ao ODS 10 (Redução das Desigualdades) e ao ODS 11 (Cidades e Comunidades Sustentáveis), busca soluções que integrem tecnologia e justiça social. A CONTRATADA deverá cumprir todas as normas ambientais aplicáveis e, no que couber, adotar práticas sustentáveis em toda a cadeia de fornecimento, desde a produção até a entrega dos equipamentos.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16 GERENCIAMENTO E FISCALIZAÇÃO DA EXECUÇÃO DO OBJETO </w:t>
      </w:r>
    </w:p>
    <w:p w:rsidR="00FE1F4B" w:rsidRPr="00A245EA" w:rsidRDefault="00FE1F4B" w:rsidP="00FE1F4B">
      <w:pPr>
        <w:widowControl w:val="0"/>
        <w:tabs>
          <w:tab w:val="left" w:pos="709"/>
        </w:tabs>
        <w:ind w:firstLine="709"/>
        <w:jc w:val="both"/>
        <w:rPr>
          <w:color w:val="000000"/>
        </w:rPr>
      </w:pPr>
    </w:p>
    <w:p w:rsidR="00FE1F4B" w:rsidRPr="00FE1F4B" w:rsidRDefault="00FE1F4B" w:rsidP="00FE1F4B">
      <w:pPr>
        <w:widowControl w:val="0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F4B">
        <w:rPr>
          <w:rFonts w:ascii="Times New Roman" w:hAnsi="Times New Roman" w:cs="Times New Roman"/>
          <w:color w:val="000000"/>
          <w:sz w:val="24"/>
          <w:szCs w:val="24"/>
        </w:rPr>
        <w:t>A execução do contrato deverá ser acompanhada e fiscalizada pelo (s) fiscal (</w:t>
      </w:r>
      <w:proofErr w:type="spellStart"/>
      <w:r w:rsidRPr="00FE1F4B">
        <w:rPr>
          <w:rFonts w:ascii="Times New Roman" w:hAnsi="Times New Roman" w:cs="Times New Roman"/>
          <w:color w:val="000000"/>
          <w:sz w:val="24"/>
          <w:szCs w:val="24"/>
        </w:rPr>
        <w:t>is</w:t>
      </w:r>
      <w:proofErr w:type="spellEnd"/>
      <w:r w:rsidRPr="00FE1F4B">
        <w:rPr>
          <w:rFonts w:ascii="Times New Roman" w:hAnsi="Times New Roman" w:cs="Times New Roman"/>
          <w:color w:val="000000"/>
          <w:sz w:val="24"/>
          <w:szCs w:val="24"/>
        </w:rPr>
        <w:t xml:space="preserve">) representantes da Secretaria de Ciência e Tecnologia de Maricá, ou pelos respectivos substitutos, conforme preconizados pelo art. 117, </w:t>
      </w:r>
      <w:r w:rsidRPr="00FE1F4B">
        <w:rPr>
          <w:rFonts w:ascii="Times New Roman" w:hAnsi="Times New Roman" w:cs="Times New Roman"/>
          <w:i/>
          <w:color w:val="000000"/>
          <w:sz w:val="24"/>
          <w:szCs w:val="24"/>
        </w:rPr>
        <w:t>caput</w:t>
      </w:r>
      <w:r w:rsidRPr="00FE1F4B">
        <w:rPr>
          <w:rFonts w:ascii="Times New Roman" w:hAnsi="Times New Roman" w:cs="Times New Roman"/>
          <w:color w:val="000000"/>
          <w:sz w:val="24"/>
          <w:szCs w:val="24"/>
        </w:rPr>
        <w:t>, da Lei n. 14.133/2021, a seguir indicados:</w:t>
      </w:r>
    </w:p>
    <w:p w:rsidR="00FE1F4B" w:rsidRPr="00FE1F4B" w:rsidRDefault="00FE1F4B" w:rsidP="00FE1F4B">
      <w:pPr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E1F4B" w:rsidRPr="00FE1F4B" w:rsidRDefault="00FE1F4B" w:rsidP="00FE1F4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F4B">
        <w:rPr>
          <w:rFonts w:ascii="Times New Roman" w:hAnsi="Times New Roman" w:cs="Times New Roman"/>
          <w:color w:val="000000"/>
          <w:sz w:val="24"/>
          <w:szCs w:val="24"/>
        </w:rPr>
        <w:t xml:space="preserve">A execução do contrato será acompanhada e fiscalizada pelos seguintes: </w:t>
      </w:r>
    </w:p>
    <w:p w:rsidR="00FE1F4B" w:rsidRPr="00FE1F4B" w:rsidRDefault="00FE1F4B" w:rsidP="00FE1F4B">
      <w:pPr>
        <w:pStyle w:val="PargrafodaLista"/>
        <w:numPr>
          <w:ilvl w:val="0"/>
          <w:numId w:val="10"/>
        </w:numPr>
        <w:suppressAutoHyphens w:val="0"/>
        <w:spacing w:line="360" w:lineRule="auto"/>
        <w:contextualSpacing/>
        <w:jc w:val="both"/>
        <w:rPr>
          <w:b/>
          <w:color w:val="000000"/>
          <w:sz w:val="24"/>
          <w:szCs w:val="24"/>
        </w:rPr>
      </w:pPr>
      <w:r w:rsidRPr="00FE1F4B">
        <w:rPr>
          <w:b/>
          <w:color w:val="000000"/>
          <w:sz w:val="24"/>
          <w:szCs w:val="24"/>
        </w:rPr>
        <w:t xml:space="preserve">Gestor do contrato: </w:t>
      </w:r>
    </w:p>
    <w:p w:rsidR="00FE1F4B" w:rsidRPr="00FE1F4B" w:rsidRDefault="00FE1F4B" w:rsidP="00FE1F4B">
      <w:pPr>
        <w:pStyle w:val="PargrafodaLista"/>
        <w:numPr>
          <w:ilvl w:val="0"/>
          <w:numId w:val="10"/>
        </w:numPr>
        <w:suppressAutoHyphens w:val="0"/>
        <w:spacing w:line="360" w:lineRule="auto"/>
        <w:contextualSpacing/>
        <w:jc w:val="both"/>
        <w:rPr>
          <w:color w:val="000000"/>
          <w:sz w:val="24"/>
          <w:szCs w:val="24"/>
        </w:rPr>
      </w:pPr>
      <w:r w:rsidRPr="00FE1F4B">
        <w:rPr>
          <w:bCs/>
          <w:color w:val="000000"/>
          <w:sz w:val="24"/>
          <w:szCs w:val="24"/>
        </w:rPr>
        <w:t>Juliana Campos Vieira De Farias Crespo</w:t>
      </w:r>
      <w:r w:rsidRPr="00FE1F4B">
        <w:rPr>
          <w:color w:val="000000"/>
          <w:sz w:val="24"/>
          <w:szCs w:val="24"/>
        </w:rPr>
        <w:t>, Matrícula:  112.574, CPF: 128.908.077-11</w:t>
      </w:r>
    </w:p>
    <w:p w:rsidR="00FE1F4B" w:rsidRPr="00FE1F4B" w:rsidRDefault="00FE1F4B" w:rsidP="00FE1F4B">
      <w:pPr>
        <w:pStyle w:val="PargrafodaLista"/>
        <w:numPr>
          <w:ilvl w:val="0"/>
          <w:numId w:val="10"/>
        </w:numPr>
        <w:suppressAutoHyphens w:val="0"/>
        <w:spacing w:line="360" w:lineRule="auto"/>
        <w:contextualSpacing/>
        <w:jc w:val="both"/>
        <w:rPr>
          <w:color w:val="000000"/>
          <w:sz w:val="24"/>
          <w:szCs w:val="24"/>
        </w:rPr>
      </w:pPr>
      <w:r w:rsidRPr="00FE1F4B">
        <w:rPr>
          <w:b/>
          <w:color w:val="000000"/>
          <w:sz w:val="24"/>
          <w:szCs w:val="24"/>
        </w:rPr>
        <w:t>Fiscal técnico</w:t>
      </w:r>
      <w:r w:rsidRPr="00FE1F4B">
        <w:rPr>
          <w:color w:val="000000"/>
          <w:sz w:val="24"/>
          <w:szCs w:val="24"/>
        </w:rPr>
        <w:t>:</w:t>
      </w:r>
    </w:p>
    <w:p w:rsidR="00FE1F4B" w:rsidRPr="00FE1F4B" w:rsidRDefault="00FE1F4B" w:rsidP="00FE1F4B">
      <w:pPr>
        <w:pStyle w:val="PargrafodaLista"/>
        <w:spacing w:line="360" w:lineRule="auto"/>
        <w:jc w:val="both"/>
        <w:rPr>
          <w:color w:val="000000"/>
          <w:sz w:val="24"/>
          <w:szCs w:val="24"/>
        </w:rPr>
      </w:pPr>
      <w:r w:rsidRPr="00FE1F4B">
        <w:rPr>
          <w:color w:val="000000"/>
          <w:sz w:val="24"/>
          <w:szCs w:val="24"/>
        </w:rPr>
        <w:t xml:space="preserve">Rita De Cassia Ribeiro </w:t>
      </w:r>
      <w:proofErr w:type="spellStart"/>
      <w:r w:rsidRPr="00FE1F4B">
        <w:rPr>
          <w:color w:val="000000"/>
          <w:sz w:val="24"/>
          <w:szCs w:val="24"/>
        </w:rPr>
        <w:t>Santanna</w:t>
      </w:r>
      <w:proofErr w:type="spellEnd"/>
      <w:r w:rsidRPr="00FE1F4B">
        <w:rPr>
          <w:color w:val="000000"/>
          <w:sz w:val="24"/>
          <w:szCs w:val="24"/>
        </w:rPr>
        <w:t>, Matrícula:  112.339, CPF: 572224527-53</w:t>
      </w:r>
    </w:p>
    <w:p w:rsidR="00FE1F4B" w:rsidRPr="00FE1F4B" w:rsidRDefault="00FE1F4B" w:rsidP="00FE1F4B">
      <w:pPr>
        <w:pStyle w:val="PargrafodaLista"/>
        <w:spacing w:line="360" w:lineRule="auto"/>
        <w:jc w:val="both"/>
        <w:rPr>
          <w:b/>
          <w:color w:val="000000"/>
          <w:sz w:val="24"/>
          <w:szCs w:val="24"/>
        </w:rPr>
      </w:pPr>
    </w:p>
    <w:p w:rsidR="00FE1F4B" w:rsidRPr="00FE1F4B" w:rsidRDefault="00FE1F4B" w:rsidP="00FE1F4B">
      <w:pPr>
        <w:pStyle w:val="PargrafodaLista"/>
        <w:numPr>
          <w:ilvl w:val="0"/>
          <w:numId w:val="10"/>
        </w:numPr>
        <w:suppressAutoHyphens w:val="0"/>
        <w:spacing w:line="360" w:lineRule="auto"/>
        <w:contextualSpacing/>
        <w:jc w:val="both"/>
        <w:rPr>
          <w:color w:val="000000"/>
          <w:sz w:val="24"/>
          <w:szCs w:val="24"/>
        </w:rPr>
      </w:pPr>
      <w:r w:rsidRPr="00FE1F4B">
        <w:rPr>
          <w:b/>
          <w:color w:val="000000"/>
          <w:sz w:val="24"/>
          <w:szCs w:val="24"/>
        </w:rPr>
        <w:t>Fiscal</w:t>
      </w:r>
      <w:r w:rsidRPr="00FE1F4B">
        <w:rPr>
          <w:rFonts w:eastAsia="Arial"/>
          <w:b/>
          <w:color w:val="000000"/>
          <w:sz w:val="24"/>
          <w:szCs w:val="24"/>
          <w:lang w:eastAsia="ar-SA"/>
        </w:rPr>
        <w:t xml:space="preserve"> administrativo</w:t>
      </w:r>
      <w:r w:rsidRPr="00FE1F4B">
        <w:rPr>
          <w:color w:val="000000"/>
          <w:sz w:val="24"/>
          <w:szCs w:val="24"/>
        </w:rPr>
        <w:t xml:space="preserve">: </w:t>
      </w:r>
    </w:p>
    <w:p w:rsidR="00FE1F4B" w:rsidRPr="00FE1F4B" w:rsidRDefault="00FE1F4B" w:rsidP="00FE1F4B">
      <w:pPr>
        <w:pStyle w:val="PargrafodaLista"/>
        <w:spacing w:line="360" w:lineRule="auto"/>
        <w:jc w:val="both"/>
        <w:rPr>
          <w:color w:val="000000"/>
          <w:sz w:val="24"/>
          <w:szCs w:val="24"/>
        </w:rPr>
      </w:pPr>
      <w:r w:rsidRPr="00FE1F4B">
        <w:rPr>
          <w:color w:val="000000"/>
          <w:sz w:val="24"/>
          <w:szCs w:val="24"/>
        </w:rPr>
        <w:t xml:space="preserve">Monica Ferreira </w:t>
      </w:r>
      <w:proofErr w:type="spellStart"/>
      <w:r w:rsidRPr="00FE1F4B">
        <w:rPr>
          <w:color w:val="000000"/>
          <w:sz w:val="24"/>
          <w:szCs w:val="24"/>
        </w:rPr>
        <w:t>Rigo</w:t>
      </w:r>
      <w:proofErr w:type="spellEnd"/>
      <w:r w:rsidRPr="00FE1F4B">
        <w:rPr>
          <w:color w:val="000000"/>
          <w:sz w:val="24"/>
          <w:szCs w:val="24"/>
        </w:rPr>
        <w:t>, Matrícula:  112.177, CPF: 012.663.417-30</w:t>
      </w:r>
    </w:p>
    <w:p w:rsidR="00FE1F4B" w:rsidRPr="00FE1F4B" w:rsidRDefault="00FE1F4B" w:rsidP="00FE1F4B">
      <w:pPr>
        <w:pStyle w:val="PargrafodaLista"/>
        <w:numPr>
          <w:ilvl w:val="0"/>
          <w:numId w:val="10"/>
        </w:numPr>
        <w:suppressAutoHyphens w:val="0"/>
        <w:spacing w:line="360" w:lineRule="auto"/>
        <w:contextualSpacing/>
        <w:jc w:val="both"/>
        <w:rPr>
          <w:rFonts w:eastAsia="Arial"/>
          <w:bCs/>
          <w:color w:val="000000"/>
          <w:sz w:val="24"/>
          <w:szCs w:val="24"/>
          <w:lang w:eastAsia="ar-SA"/>
        </w:rPr>
      </w:pPr>
      <w:r w:rsidRPr="00FE1F4B">
        <w:rPr>
          <w:rFonts w:eastAsia="Arial"/>
          <w:b/>
          <w:color w:val="000000"/>
          <w:sz w:val="24"/>
          <w:szCs w:val="24"/>
          <w:lang w:eastAsia="ar-SA"/>
        </w:rPr>
        <w:t>Suplente dos fiscais</w:t>
      </w:r>
      <w:r w:rsidRPr="00FE1F4B">
        <w:rPr>
          <w:rFonts w:eastAsia="Arial"/>
          <w:bCs/>
          <w:color w:val="000000"/>
          <w:sz w:val="24"/>
          <w:szCs w:val="24"/>
          <w:lang w:eastAsia="ar-SA"/>
        </w:rPr>
        <w:t xml:space="preserve">: </w:t>
      </w:r>
    </w:p>
    <w:p w:rsidR="00FE1F4B" w:rsidRPr="00FE1F4B" w:rsidRDefault="00D35C3D" w:rsidP="00FE1F4B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Priscilla Fagundes Costa</w:t>
      </w:r>
      <w:r w:rsidR="00FE1F4B" w:rsidRPr="00D35C3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E1F4B" w:rsidRPr="00FE1F4B">
        <w:rPr>
          <w:rFonts w:ascii="Times New Roman" w:hAnsi="Times New Roman" w:cs="Times New Roman"/>
          <w:color w:val="000000"/>
          <w:sz w:val="24"/>
          <w:szCs w:val="24"/>
        </w:rPr>
        <w:t xml:space="preserve"> Matrícula: </w:t>
      </w:r>
      <w:r>
        <w:rPr>
          <w:rFonts w:ascii="Times New Roman" w:hAnsi="Times New Roman" w:cs="Times New Roman"/>
          <w:color w:val="000000"/>
          <w:sz w:val="24"/>
          <w:szCs w:val="24"/>
        </w:rPr>
        <w:t>106.402</w:t>
      </w:r>
      <w:r w:rsidR="00FE1F4B" w:rsidRPr="00FE1F4B">
        <w:rPr>
          <w:rFonts w:ascii="Times New Roman" w:hAnsi="Times New Roman" w:cs="Times New Roman"/>
          <w:color w:val="000000"/>
          <w:sz w:val="24"/>
          <w:szCs w:val="24"/>
        </w:rPr>
        <w:t xml:space="preserve">, CPF: </w:t>
      </w:r>
      <w:r w:rsidRPr="00D35C3D">
        <w:rPr>
          <w:rFonts w:ascii="Times New Roman" w:hAnsi="Times New Roman" w:cs="Times New Roman"/>
          <w:color w:val="000000"/>
          <w:sz w:val="24"/>
          <w:szCs w:val="24"/>
        </w:rPr>
        <w:t>109.439.627-30</w:t>
      </w:r>
    </w:p>
    <w:p w:rsidR="00FE1F4B" w:rsidRPr="00FE1F4B" w:rsidRDefault="00FE1F4B" w:rsidP="00FE1F4B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1F4B" w:rsidRPr="00FE1F4B" w:rsidRDefault="00FE1F4B" w:rsidP="00FE1F4B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F4B">
        <w:rPr>
          <w:rFonts w:ascii="Times New Roman" w:hAnsi="Times New Roman" w:cs="Times New Roman"/>
          <w:color w:val="000000"/>
          <w:sz w:val="24"/>
          <w:szCs w:val="24"/>
        </w:rPr>
        <w:tab/>
        <w:t>Estes deverão garantir a conformidade da contratação dos acessórios escolares para atender os alunos e professores das unidades escolares de Maricá, com os termos deste Termo de Referência.</w:t>
      </w:r>
    </w:p>
    <w:p w:rsidR="00FE1F4B" w:rsidRDefault="00FE1F4B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16.1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gerenciamento e a fiscalização do contrato serão de responsabilidade da Secretaria de Ciência e Tecnologia de Maricá, por meio de um fiscal de contrato formalmente designado. Este responsável determinará o que for necessário para a regularização de faltas ou defeitos, nos termos da Lei Federal nº 14.133/2021. 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16.2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Ficam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reservados ao Gestor do contrato, o direito e a autoridade para resolve</w:t>
      </w:r>
      <w:r w:rsidR="00FE1F4B">
        <w:rPr>
          <w:rFonts w:ascii="Times New Roman" w:eastAsia="Times New Roman" w:hAnsi="Times New Roman" w:cs="Times New Roman"/>
          <w:sz w:val="24"/>
          <w:szCs w:val="24"/>
        </w:rPr>
        <w:t xml:space="preserve">r todo e </w:t>
      </w:r>
      <w:r>
        <w:rPr>
          <w:rFonts w:ascii="Times New Roman" w:eastAsia="Times New Roman" w:hAnsi="Times New Roman" w:cs="Times New Roman"/>
          <w:sz w:val="24"/>
          <w:szCs w:val="24"/>
        </w:rPr>
        <w:t>qualquer caso singular, omisso ou duvidoso não previsto no pr</w:t>
      </w:r>
      <w:r w:rsidR="00D35C3D">
        <w:rPr>
          <w:rFonts w:ascii="Times New Roman" w:eastAsia="Times New Roman" w:hAnsi="Times New Roman" w:cs="Times New Roman"/>
          <w:sz w:val="24"/>
          <w:szCs w:val="24"/>
        </w:rPr>
        <w:t xml:space="preserve">ocesso administrativo e tudo o </w:t>
      </w:r>
      <w:r>
        <w:rPr>
          <w:rFonts w:ascii="Times New Roman" w:eastAsia="Times New Roman" w:hAnsi="Times New Roman" w:cs="Times New Roman"/>
          <w:sz w:val="24"/>
          <w:szCs w:val="24"/>
        </w:rPr>
        <w:t>mais que se relacione com o objeto contratado, desde que não acarrete ônu</w:t>
      </w:r>
      <w:r w:rsidR="00D35C3D">
        <w:rPr>
          <w:rFonts w:ascii="Times New Roman" w:eastAsia="Times New Roman" w:hAnsi="Times New Roman" w:cs="Times New Roman"/>
          <w:sz w:val="24"/>
          <w:szCs w:val="24"/>
        </w:rPr>
        <w:t xml:space="preserve">s para a administração pública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ou modificação da contratação.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16.3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CONTRATADA deverá aceitar, antecipadamente, todos os métodos de inspeção, verificação e controle a serem adotados pela Gestão e Fiscalização, obrigando-se a fornecer todos os dados, elementos e esclarecimentos necessários ao desenvolvimento das atividades.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16.4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existência e a atuação da gestão e da fiscalização em nada restringem a responsabilidade única, integral e exclusiva da CONTRATADA, que será responsável por ressarcir imediatamente a CONTRATANTE dos prejuízos apurados e imputados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à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falhas em suas atividades.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17 ADEQUAÇÃO ORÇAMENTÁRIA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17.1 </w:t>
      </w:r>
      <w:r>
        <w:rPr>
          <w:rFonts w:ascii="Times New Roman" w:eastAsia="Times New Roman" w:hAnsi="Times New Roman" w:cs="Times New Roman"/>
          <w:sz w:val="24"/>
          <w:szCs w:val="24"/>
        </w:rPr>
        <w:t>A viabilidade orçamentária da presente contratação está assegurada. As despesas decorrentes correrão à conta de dotação orçamentária específica da Secretaria de Ciência e Tecnologia, conforme previsão na Lei Orçamentária Anual (LOA) do Município de Maricá.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17.2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contr</w:t>
      </w:r>
      <w:r w:rsidR="00D35C3D">
        <w:rPr>
          <w:rFonts w:ascii="Times New Roman" w:eastAsia="Times New Roman" w:hAnsi="Times New Roman" w:cs="Times New Roman"/>
          <w:sz w:val="24"/>
          <w:szCs w:val="24"/>
        </w:rPr>
        <w:t>atação será atendida pela dota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ção indicada neste Termo de Referência.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17.3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dotação relativa aos exercícios financeiros s</w:t>
      </w:r>
      <w:r w:rsidR="00D35C3D">
        <w:rPr>
          <w:rFonts w:ascii="Times New Roman" w:eastAsia="Times New Roman" w:hAnsi="Times New Roman" w:cs="Times New Roman"/>
          <w:sz w:val="24"/>
          <w:szCs w:val="24"/>
        </w:rPr>
        <w:t xml:space="preserve">ubsequentes será indicada após </w:t>
      </w:r>
      <w:r>
        <w:rPr>
          <w:rFonts w:ascii="Times New Roman" w:eastAsia="Times New Roman" w:hAnsi="Times New Roman" w:cs="Times New Roman"/>
          <w:sz w:val="24"/>
          <w:szCs w:val="24"/>
        </w:rPr>
        <w:t>aprovação da Lei Orçamentária respectiva e liberação</w:t>
      </w:r>
      <w:r w:rsidR="00D35C3D">
        <w:rPr>
          <w:rFonts w:ascii="Times New Roman" w:eastAsia="Times New Roman" w:hAnsi="Times New Roman" w:cs="Times New Roman"/>
          <w:sz w:val="24"/>
          <w:szCs w:val="24"/>
        </w:rPr>
        <w:t xml:space="preserve"> dos créditos correspondentes,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mediante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apostilamento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18 CONSIDERAÇÕES GERAIS 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18.1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presente Termo de Referência foi concebido com base nas normas legais aplicadas à matéria, especialmente a Lei Federal nº 14.133/2021, e nas premissas recomendadas pelo Estudo Técnico Preliminar (ETP).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18.2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Este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documento constituirá parte integrante da contratação, e suas disposições, juntamente com as leis aplicáveis, regerão a execução do objeto.</w:t>
      </w:r>
    </w:p>
    <w:p w:rsidR="00D00D83" w:rsidRDefault="00C05CB6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18.3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CONTRATADA será integralmente responsável pela avaliação e levantamento dos custos relativos à execução do objeto, sendo inteiramente responsável por eventuais prejuízos decorrentes de avaliação equivocada ou da sua ausência.</w:t>
      </w:r>
    </w:p>
    <w:p w:rsidR="00D00D83" w:rsidRDefault="00D00D83">
      <w:pPr>
        <w:spacing w:before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0D83" w:rsidRDefault="00EB58F9">
      <w:pPr>
        <w:keepNext/>
        <w:keepLines/>
        <w:tabs>
          <w:tab w:val="left" w:pos="567"/>
        </w:tabs>
        <w:spacing w:before="120" w:after="288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Maricá, 03</w:t>
      </w:r>
      <w:r w:rsidR="00C05CB6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</w:rPr>
        <w:t>març</w:t>
      </w:r>
      <w:r w:rsidR="00C05CB6">
        <w:rPr>
          <w:rFonts w:ascii="Times New Roman" w:eastAsia="Times New Roman" w:hAnsi="Times New Roman" w:cs="Times New Roman"/>
          <w:sz w:val="24"/>
          <w:szCs w:val="24"/>
        </w:rPr>
        <w:t>o de 2026.</w:t>
      </w:r>
    </w:p>
    <w:p w:rsidR="00D00D83" w:rsidRDefault="00D00D83">
      <w:pPr>
        <w:keepNext/>
        <w:keepLines/>
        <w:tabs>
          <w:tab w:val="left" w:pos="567"/>
        </w:tabs>
        <w:spacing w:before="120" w:after="288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D00D83" w:rsidRDefault="00C05CB6">
      <w:pPr>
        <w:tabs>
          <w:tab w:val="left" w:pos="567"/>
        </w:tabs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</w:t>
      </w:r>
      <w:r w:rsidR="00EB58F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</w:t>
      </w:r>
    </w:p>
    <w:p w:rsidR="00EB58F9" w:rsidRDefault="00EB58F9">
      <w:pPr>
        <w:tabs>
          <w:tab w:val="left" w:pos="567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58F9">
        <w:rPr>
          <w:rFonts w:ascii="Times New Roman" w:eastAsia="Times New Roman" w:hAnsi="Times New Roman" w:cs="Times New Roman"/>
          <w:sz w:val="24"/>
          <w:szCs w:val="24"/>
        </w:rPr>
        <w:t>Iohane</w:t>
      </w:r>
      <w:proofErr w:type="spellEnd"/>
      <w:r w:rsidRPr="00EB58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58F9">
        <w:rPr>
          <w:rFonts w:ascii="Times New Roman" w:eastAsia="Times New Roman" w:hAnsi="Times New Roman" w:cs="Times New Roman"/>
          <w:sz w:val="24"/>
          <w:szCs w:val="24"/>
        </w:rPr>
        <w:t>Crocamo</w:t>
      </w:r>
      <w:proofErr w:type="spellEnd"/>
      <w:r w:rsidRPr="00EB58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58F9">
        <w:rPr>
          <w:rFonts w:ascii="Times New Roman" w:eastAsia="Times New Roman" w:hAnsi="Times New Roman" w:cs="Times New Roman"/>
          <w:sz w:val="24"/>
          <w:szCs w:val="24"/>
        </w:rPr>
        <w:t>Henric</w:t>
      </w:r>
      <w:proofErr w:type="spellEnd"/>
    </w:p>
    <w:p w:rsidR="00D00D83" w:rsidRDefault="00C05CB6">
      <w:pPr>
        <w:tabs>
          <w:tab w:val="left" w:pos="2440"/>
        </w:tabs>
        <w:spacing w:line="240" w:lineRule="auto"/>
        <w:ind w:right="-23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Matrícula: </w:t>
      </w:r>
      <w:r w:rsidR="00EB58F9" w:rsidRPr="00EB58F9">
        <w:rPr>
          <w:rFonts w:ascii="Times New Roman" w:eastAsia="Times New Roman" w:hAnsi="Times New Roman" w:cs="Times New Roman"/>
          <w:sz w:val="24"/>
          <w:szCs w:val="24"/>
        </w:rPr>
        <w:t xml:space="preserve">114.331  </w:t>
      </w:r>
    </w:p>
    <w:p w:rsidR="00D00D83" w:rsidRDefault="00C05CB6">
      <w:pPr>
        <w:tabs>
          <w:tab w:val="left" w:pos="567"/>
        </w:tabs>
        <w:spacing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</w:t>
      </w:r>
    </w:p>
    <w:p w:rsidR="00D00D83" w:rsidRDefault="00C05CB6">
      <w:pPr>
        <w:tabs>
          <w:tab w:val="left" w:pos="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 acordo, </w:t>
      </w:r>
    </w:p>
    <w:p w:rsidR="00D00D83" w:rsidRDefault="00D00D83">
      <w:pPr>
        <w:tabs>
          <w:tab w:val="left" w:pos="567"/>
          <w:tab w:val="left" w:pos="3105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00D83" w:rsidRDefault="00C05CB6">
      <w:pPr>
        <w:tabs>
          <w:tab w:val="left" w:pos="0"/>
          <w:tab w:val="left" w:pos="567"/>
        </w:tabs>
        <w:spacing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_______________________</w:t>
      </w:r>
    </w:p>
    <w:p w:rsidR="00D00D83" w:rsidRDefault="00C05CB6">
      <w:pPr>
        <w:spacing w:line="240" w:lineRule="auto"/>
        <w:ind w:right="-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Sabrina dos Santos Alves</w:t>
      </w:r>
    </w:p>
    <w:p w:rsidR="00D00D83" w:rsidRDefault="00C05CB6">
      <w:pPr>
        <w:tabs>
          <w:tab w:val="left" w:pos="2440"/>
        </w:tabs>
        <w:spacing w:line="240" w:lineRule="auto"/>
        <w:ind w:right="-23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Secretária de Ciência e Tecnologia</w:t>
      </w:r>
    </w:p>
    <w:p w:rsidR="00D00D83" w:rsidRDefault="00C05CB6">
      <w:pPr>
        <w:tabs>
          <w:tab w:val="left" w:pos="2440"/>
        </w:tabs>
        <w:spacing w:line="240" w:lineRule="auto"/>
        <w:ind w:right="-238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Matrícula: 113.481</w:t>
      </w:r>
    </w:p>
    <w:sectPr w:rsidR="00D00D83">
      <w:headerReference w:type="default" r:id="rId7"/>
      <w:footerReference w:type="default" r:id="rId8"/>
      <w:pgSz w:w="11880" w:h="16840"/>
      <w:pgMar w:top="2551" w:right="785" w:bottom="875" w:left="1360" w:header="42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55F" w:rsidRDefault="00C05CB6">
      <w:pPr>
        <w:spacing w:line="240" w:lineRule="auto"/>
      </w:pPr>
      <w:r>
        <w:separator/>
      </w:r>
    </w:p>
  </w:endnote>
  <w:endnote w:type="continuationSeparator" w:id="0">
    <w:p w:rsidR="00BF255F" w:rsidRDefault="00C05C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5B1B27FB-6F77-45DC-BBFD-DF180DABB16D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CE253ED3-B086-4749-B0D9-12BF1BB6476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6E1CFD37-4A1F-46CE-9267-B71775D4F9F5}"/>
    <w:embedBold r:id="rId4" w:fontKey="{1CC6FC3C-2204-4E86-BD3A-A916D325148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4BC0634-D926-4FE8-86C6-FBD8F93D0616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D83" w:rsidRDefault="00C05CB6">
    <w:pPr>
      <w:tabs>
        <w:tab w:val="center" w:pos="4252"/>
        <w:tab w:val="right" w:pos="8504"/>
      </w:tabs>
      <w:spacing w:line="240" w:lineRule="auto"/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Secretaria de Ciência e Tecnologia</w:t>
    </w:r>
  </w:p>
  <w:p w:rsidR="00D00D83" w:rsidRDefault="00C05CB6">
    <w:pPr>
      <w:tabs>
        <w:tab w:val="center" w:pos="4252"/>
        <w:tab w:val="right" w:pos="8504"/>
      </w:tabs>
      <w:spacing w:line="240" w:lineRule="auto"/>
      <w:jc w:val="center"/>
    </w:pPr>
    <w:r>
      <w:rPr>
        <w:rFonts w:ascii="Calibri" w:eastAsia="Calibri" w:hAnsi="Calibri" w:cs="Calibri"/>
        <w:sz w:val="16"/>
        <w:szCs w:val="16"/>
      </w:rPr>
      <w:t>Avenida: Roberto Silveira, n. 1978 – Flamengo- Maricá/RJ – CEP: 24.903-815.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55F" w:rsidRDefault="00C05CB6">
      <w:pPr>
        <w:spacing w:line="240" w:lineRule="auto"/>
      </w:pPr>
      <w:r>
        <w:separator/>
      </w:r>
    </w:p>
  </w:footnote>
  <w:footnote w:type="continuationSeparator" w:id="0">
    <w:p w:rsidR="00BF255F" w:rsidRDefault="00C05CB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D83" w:rsidRDefault="00C05CB6">
    <w:pPr>
      <w:spacing w:line="240" w:lineRule="auto"/>
      <w:ind w:right="-7"/>
      <w:rPr>
        <w:rFonts w:ascii="Calibri" w:eastAsia="Calibri" w:hAnsi="Calibri" w:cs="Calibri"/>
        <w:b/>
        <w:bCs/>
        <w:sz w:val="24"/>
        <w:szCs w:val="24"/>
      </w:rPr>
    </w:pPr>
    <w:r>
      <w:rPr>
        <w:rFonts w:ascii="Calibri" w:eastAsia="Calibri" w:hAnsi="Calibri" w:cs="Calibri"/>
        <w:b/>
        <w:bCs/>
        <w:sz w:val="24"/>
        <w:szCs w:val="24"/>
      </w:rPr>
      <w:t xml:space="preserve">                   ESTADO DO RIO DE JANEIRO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-104774</wp:posOffset>
          </wp:positionH>
          <wp:positionV relativeFrom="paragraph">
            <wp:posOffset>-266699</wp:posOffset>
          </wp:positionV>
          <wp:extent cx="1202847" cy="1050588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02847" cy="10505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2"/>
      <w:tblpPr w:leftFromText="180" w:rightFromText="180" w:topFromText="180" w:bottomFromText="180" w:vertAnchor="text" w:tblpX="7085"/>
      <w:tblW w:w="2562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371"/>
      <w:gridCol w:w="1191"/>
    </w:tblGrid>
    <w:tr w:rsidR="00D00D83">
      <w:trPr>
        <w:trHeight w:val="232"/>
        <w:tblHeader/>
      </w:trPr>
      <w:tc>
        <w:tcPr>
          <w:tcW w:w="2562" w:type="dxa"/>
          <w:gridSpan w:val="2"/>
          <w:vAlign w:val="center"/>
        </w:tcPr>
        <w:p w:rsidR="00D00D83" w:rsidRDefault="00C05CB6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Calibri" w:eastAsia="Calibri" w:hAnsi="Calibri" w:cs="Calibri"/>
              <w:sz w:val="16"/>
              <w:szCs w:val="16"/>
            </w:rPr>
          </w:pPr>
          <w:r>
            <w:rPr>
              <w:rFonts w:ascii="Calibri" w:eastAsia="Calibri" w:hAnsi="Calibri" w:cs="Calibri"/>
              <w:sz w:val="16"/>
              <w:szCs w:val="16"/>
            </w:rPr>
            <w:t>Prefeitura Municipal de Maricá</w:t>
          </w:r>
        </w:p>
      </w:tc>
    </w:tr>
    <w:tr w:rsidR="00D00D83">
      <w:trPr>
        <w:trHeight w:val="251"/>
        <w:tblHeader/>
      </w:trPr>
      <w:tc>
        <w:tcPr>
          <w:tcW w:w="1371" w:type="dxa"/>
          <w:vAlign w:val="center"/>
        </w:tcPr>
        <w:p w:rsidR="00D00D83" w:rsidRDefault="00C05CB6">
          <w:pPr>
            <w:tabs>
              <w:tab w:val="center" w:pos="4252"/>
              <w:tab w:val="right" w:pos="8504"/>
            </w:tabs>
            <w:spacing w:line="240" w:lineRule="auto"/>
            <w:ind w:right="-8"/>
            <w:rPr>
              <w:rFonts w:ascii="Calibri" w:eastAsia="Calibri" w:hAnsi="Calibri" w:cs="Calibri"/>
              <w:sz w:val="16"/>
              <w:szCs w:val="16"/>
            </w:rPr>
          </w:pPr>
          <w:r>
            <w:rPr>
              <w:rFonts w:ascii="Calibri" w:eastAsia="Calibri" w:hAnsi="Calibri" w:cs="Calibri"/>
              <w:sz w:val="16"/>
              <w:szCs w:val="16"/>
            </w:rPr>
            <w:t>Processo Número</w:t>
          </w:r>
        </w:p>
      </w:tc>
      <w:tc>
        <w:tcPr>
          <w:tcW w:w="1191" w:type="dxa"/>
          <w:vAlign w:val="center"/>
        </w:tcPr>
        <w:p w:rsidR="00D00D83" w:rsidRDefault="00C05CB6">
          <w:pPr>
            <w:tabs>
              <w:tab w:val="center" w:pos="4252"/>
              <w:tab w:val="right" w:pos="8504"/>
            </w:tabs>
            <w:spacing w:line="240" w:lineRule="auto"/>
            <w:rPr>
              <w:rFonts w:ascii="Calibri" w:eastAsia="Calibri" w:hAnsi="Calibri" w:cs="Calibri"/>
              <w:sz w:val="16"/>
              <w:szCs w:val="16"/>
            </w:rPr>
          </w:pPr>
          <w:r>
            <w:rPr>
              <w:rFonts w:ascii="Calibri" w:eastAsia="Calibri" w:hAnsi="Calibri" w:cs="Calibri"/>
              <w:sz w:val="16"/>
              <w:szCs w:val="16"/>
            </w:rPr>
            <w:t>16132/2025</w:t>
          </w:r>
        </w:p>
      </w:tc>
    </w:tr>
    <w:tr w:rsidR="00D00D83">
      <w:trPr>
        <w:trHeight w:val="159"/>
        <w:tblHeader/>
      </w:trPr>
      <w:tc>
        <w:tcPr>
          <w:tcW w:w="1371" w:type="dxa"/>
          <w:vAlign w:val="center"/>
        </w:tcPr>
        <w:p w:rsidR="00D00D83" w:rsidRDefault="00C05CB6">
          <w:pPr>
            <w:tabs>
              <w:tab w:val="center" w:pos="4252"/>
              <w:tab w:val="right" w:pos="8504"/>
            </w:tabs>
            <w:spacing w:line="240" w:lineRule="auto"/>
            <w:rPr>
              <w:rFonts w:ascii="Calibri" w:eastAsia="Calibri" w:hAnsi="Calibri" w:cs="Calibri"/>
              <w:sz w:val="16"/>
              <w:szCs w:val="16"/>
            </w:rPr>
          </w:pPr>
          <w:r>
            <w:rPr>
              <w:rFonts w:ascii="Calibri" w:eastAsia="Calibri" w:hAnsi="Calibri" w:cs="Calibri"/>
              <w:sz w:val="16"/>
              <w:szCs w:val="16"/>
            </w:rPr>
            <w:t>Data do início</w:t>
          </w:r>
        </w:p>
      </w:tc>
      <w:tc>
        <w:tcPr>
          <w:tcW w:w="1191" w:type="dxa"/>
          <w:vAlign w:val="center"/>
        </w:tcPr>
        <w:p w:rsidR="00D00D83" w:rsidRDefault="00C05CB6">
          <w:pPr>
            <w:tabs>
              <w:tab w:val="center" w:pos="4252"/>
              <w:tab w:val="right" w:pos="8504"/>
            </w:tabs>
            <w:spacing w:line="240" w:lineRule="auto"/>
            <w:rPr>
              <w:rFonts w:ascii="Calibri" w:eastAsia="Calibri" w:hAnsi="Calibri" w:cs="Calibri"/>
              <w:sz w:val="16"/>
              <w:szCs w:val="16"/>
            </w:rPr>
          </w:pPr>
          <w:r>
            <w:rPr>
              <w:rFonts w:ascii="Calibri" w:eastAsia="Calibri" w:hAnsi="Calibri" w:cs="Calibri"/>
              <w:sz w:val="16"/>
              <w:szCs w:val="16"/>
            </w:rPr>
            <w:t>05/08/2025</w:t>
          </w:r>
        </w:p>
      </w:tc>
    </w:tr>
    <w:tr w:rsidR="00D00D83">
      <w:trPr>
        <w:trHeight w:val="330"/>
      </w:trPr>
      <w:tc>
        <w:tcPr>
          <w:tcW w:w="1371" w:type="dxa"/>
          <w:vAlign w:val="center"/>
        </w:tcPr>
        <w:p w:rsidR="00D00D83" w:rsidRDefault="00C05CB6">
          <w:pPr>
            <w:tabs>
              <w:tab w:val="center" w:pos="4252"/>
              <w:tab w:val="right" w:pos="8504"/>
            </w:tabs>
            <w:spacing w:line="240" w:lineRule="auto"/>
            <w:rPr>
              <w:rFonts w:ascii="Calibri" w:eastAsia="Calibri" w:hAnsi="Calibri" w:cs="Calibri"/>
              <w:sz w:val="16"/>
              <w:szCs w:val="16"/>
            </w:rPr>
          </w:pPr>
          <w:r>
            <w:rPr>
              <w:rFonts w:ascii="Calibri" w:eastAsia="Calibri" w:hAnsi="Calibri" w:cs="Calibri"/>
              <w:sz w:val="16"/>
              <w:szCs w:val="16"/>
            </w:rPr>
            <w:t>Folha</w:t>
          </w:r>
        </w:p>
      </w:tc>
      <w:tc>
        <w:tcPr>
          <w:tcW w:w="1191" w:type="dxa"/>
          <w:vAlign w:val="center"/>
        </w:tcPr>
        <w:p w:rsidR="00D00D83" w:rsidRDefault="00D00D83">
          <w:pPr>
            <w:tabs>
              <w:tab w:val="center" w:pos="4252"/>
              <w:tab w:val="right" w:pos="8504"/>
            </w:tabs>
            <w:spacing w:line="240" w:lineRule="auto"/>
            <w:ind w:left="1695"/>
            <w:rPr>
              <w:rFonts w:ascii="Calibri" w:eastAsia="Calibri" w:hAnsi="Calibri" w:cs="Calibri"/>
              <w:sz w:val="16"/>
              <w:szCs w:val="16"/>
            </w:rPr>
          </w:pPr>
        </w:p>
      </w:tc>
    </w:tr>
    <w:tr w:rsidR="00D00D83">
      <w:trPr>
        <w:trHeight w:val="251"/>
      </w:trPr>
      <w:tc>
        <w:tcPr>
          <w:tcW w:w="1371" w:type="dxa"/>
          <w:vAlign w:val="center"/>
        </w:tcPr>
        <w:p w:rsidR="00D00D83" w:rsidRDefault="00C05CB6">
          <w:pPr>
            <w:tabs>
              <w:tab w:val="center" w:pos="4252"/>
              <w:tab w:val="right" w:pos="8504"/>
            </w:tabs>
            <w:spacing w:line="240" w:lineRule="auto"/>
            <w:rPr>
              <w:rFonts w:ascii="Calibri" w:eastAsia="Calibri" w:hAnsi="Calibri" w:cs="Calibri"/>
              <w:sz w:val="16"/>
              <w:szCs w:val="16"/>
            </w:rPr>
          </w:pPr>
          <w:r>
            <w:rPr>
              <w:rFonts w:ascii="Calibri" w:eastAsia="Calibri" w:hAnsi="Calibri" w:cs="Calibri"/>
              <w:sz w:val="16"/>
              <w:szCs w:val="16"/>
            </w:rPr>
            <w:t>Rubrica</w:t>
          </w:r>
        </w:p>
      </w:tc>
      <w:tc>
        <w:tcPr>
          <w:tcW w:w="1191" w:type="dxa"/>
          <w:vAlign w:val="center"/>
        </w:tcPr>
        <w:p w:rsidR="00D00D83" w:rsidRDefault="00D00D83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Calibri" w:eastAsia="Calibri" w:hAnsi="Calibri" w:cs="Calibri"/>
              <w:sz w:val="16"/>
              <w:szCs w:val="16"/>
            </w:rPr>
          </w:pPr>
        </w:p>
      </w:tc>
    </w:tr>
  </w:tbl>
  <w:p w:rsidR="00D00D83" w:rsidRDefault="00C05CB6">
    <w:pPr>
      <w:spacing w:line="240" w:lineRule="auto"/>
      <w:ind w:right="-7"/>
      <w:jc w:val="center"/>
      <w:rPr>
        <w:rFonts w:ascii="Calibri" w:eastAsia="Calibri" w:hAnsi="Calibri" w:cs="Calibri"/>
        <w:b/>
        <w:bCs/>
        <w:sz w:val="24"/>
        <w:szCs w:val="24"/>
      </w:rPr>
    </w:pPr>
    <w:r>
      <w:rPr>
        <w:rFonts w:ascii="Calibri" w:eastAsia="Calibri" w:hAnsi="Calibri" w:cs="Calibri"/>
        <w:b/>
        <w:bCs/>
        <w:sz w:val="24"/>
        <w:szCs w:val="24"/>
      </w:rPr>
      <w:t>PREFEITURA MUNICIPAL DE MARICÁ</w:t>
    </w:r>
  </w:p>
  <w:p w:rsidR="00D00D83" w:rsidRDefault="00C05CB6">
    <w:pPr>
      <w:tabs>
        <w:tab w:val="center" w:pos="4252"/>
        <w:tab w:val="right" w:pos="8504"/>
      </w:tabs>
      <w:spacing w:line="240" w:lineRule="auto"/>
      <w:ind w:right="-7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Calibri" w:eastAsia="Calibri" w:hAnsi="Calibri" w:cs="Calibri"/>
        <w:b/>
        <w:bCs/>
        <w:sz w:val="24"/>
        <w:szCs w:val="24"/>
      </w:rPr>
      <w:t xml:space="preserve">SECRETARIA DE CIÊNCIA E TECNOLOGIA </w:t>
    </w:r>
  </w:p>
  <w:p w:rsidR="00D00D83" w:rsidRDefault="00D00D8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D39"/>
    <w:multiLevelType w:val="multilevel"/>
    <w:tmpl w:val="92F8DA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57E3667"/>
    <w:multiLevelType w:val="hybridMultilevel"/>
    <w:tmpl w:val="199CF8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73390B"/>
    <w:multiLevelType w:val="multilevel"/>
    <w:tmpl w:val="1F72B9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E6C1C8B"/>
    <w:multiLevelType w:val="multilevel"/>
    <w:tmpl w:val="617066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5AE035F"/>
    <w:multiLevelType w:val="multilevel"/>
    <w:tmpl w:val="135CED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79B69FE"/>
    <w:multiLevelType w:val="multilevel"/>
    <w:tmpl w:val="EE5260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45C2D2E"/>
    <w:multiLevelType w:val="multilevel"/>
    <w:tmpl w:val="06B48942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5680355E"/>
    <w:multiLevelType w:val="multilevel"/>
    <w:tmpl w:val="1B5AA2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84C221A"/>
    <w:multiLevelType w:val="multilevel"/>
    <w:tmpl w:val="11007F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B772232"/>
    <w:multiLevelType w:val="multilevel"/>
    <w:tmpl w:val="1FCC3B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3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D83"/>
    <w:rsid w:val="00014B8D"/>
    <w:rsid w:val="0012405E"/>
    <w:rsid w:val="003D0A55"/>
    <w:rsid w:val="00466C9C"/>
    <w:rsid w:val="00670AC2"/>
    <w:rsid w:val="006F3DCB"/>
    <w:rsid w:val="009B5977"/>
    <w:rsid w:val="00BF255F"/>
    <w:rsid w:val="00C05CB6"/>
    <w:rsid w:val="00D00D83"/>
    <w:rsid w:val="00D35C3D"/>
    <w:rsid w:val="00EB58F9"/>
    <w:rsid w:val="00F97511"/>
    <w:rsid w:val="00FD6F12"/>
    <w:rsid w:val="00FE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92CEF"/>
  <w15:docId w15:val="{90838BE0-304F-4037-BD72-525629B78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FE1F4B"/>
    <w:pPr>
      <w:suppressAutoHyphens/>
      <w:spacing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argrafodaListaChar">
    <w:name w:val="Parágrafo da Lista Char"/>
    <w:link w:val="PargrafodaLista"/>
    <w:uiPriority w:val="34"/>
    <w:locked/>
    <w:rsid w:val="00FE1F4B"/>
    <w:rPr>
      <w:rFonts w:ascii="Times New Roman" w:eastAsia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F1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F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15</Pages>
  <Words>5723</Words>
  <Characters>30905</Characters>
  <Application>Microsoft Office Word</Application>
  <DocSecurity>0</DocSecurity>
  <Lines>257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36555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do Amparo Rosa</dc:creator>
  <cp:lastModifiedBy>Eduardo do Amparo Rosa</cp:lastModifiedBy>
  <cp:revision>7</cp:revision>
  <cp:lastPrinted>2026-03-16T17:41:00Z</cp:lastPrinted>
  <dcterms:created xsi:type="dcterms:W3CDTF">2026-03-02T19:15:00Z</dcterms:created>
  <dcterms:modified xsi:type="dcterms:W3CDTF">2026-03-16T17:43:00Z</dcterms:modified>
</cp:coreProperties>
</file>