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jc w:val="center"/>
        <w:rPr>
          <w:b/>
          <w:color w:val="000000"/>
        </w:rPr>
      </w:pPr>
      <w:r>
        <w:rPr>
          <w:b/>
          <w:color w:val="000000"/>
        </w:rPr>
        <w:t xml:space="preserve"> </w:t>
      </w:r>
      <w:r>
        <w:rPr>
          <w:rFonts w:ascii="Arial" w:hAnsi="Arial"/>
          <w:b/>
          <w:color w:val="000000"/>
          <w:shd w:fill="auto" w:val="clear"/>
        </w:rPr>
        <w:t xml:space="preserve">AVISO DE DISPENSA ELETRÔNICA Nº </w:t>
      </w:r>
      <w:r>
        <w:rPr>
          <w:rFonts w:ascii="Arial" w:hAnsi="Arial"/>
          <w:b/>
          <w:color w:val="000000"/>
          <w:shd w:fill="auto" w:val="clear"/>
        </w:rPr>
        <w:t>06</w:t>
      </w:r>
      <w:r>
        <w:rPr>
          <w:rFonts w:ascii="Arial" w:hAnsi="Arial"/>
          <w:b/>
          <w:color w:val="000000"/>
          <w:shd w:fill="auto" w:val="clear"/>
        </w:rPr>
        <w:t>/2025</w:t>
      </w:r>
    </w:p>
    <w:p>
      <w:pPr>
        <w:pStyle w:val="LO-normal"/>
        <w:spacing w:lineRule="auto" w:line="276"/>
        <w:jc w:val="center"/>
        <w:rPr>
          <w:rFonts w:ascii="Arial" w:hAnsi="Arial"/>
          <w:highlight w:val="none"/>
          <w:shd w:fill="auto" w:val="clear"/>
        </w:rPr>
      </w:pPr>
      <w:r>
        <w:rPr>
          <w:rFonts w:ascii="Arial" w:hAnsi="Arial"/>
          <w:b/>
          <w:color w:val="000000"/>
          <w:shd w:fill="auto" w:val="clear"/>
        </w:rPr>
        <w:t xml:space="preserve">Processo Administrativo </w:t>
      </w:r>
      <w:r>
        <w:rPr>
          <w:rFonts w:ascii="Arial" w:hAnsi="Arial"/>
          <w:b/>
          <w:color w:val="000000"/>
          <w:shd w:fill="auto" w:val="clear"/>
        </w:rPr>
        <w:t xml:space="preserve">n° </w:t>
      </w:r>
      <w:r>
        <w:rPr>
          <w:rFonts w:eastAsia="Arial" w:cs="Arial" w:ascii="Arial" w:hAnsi="Arial"/>
          <w:b/>
          <w:color w:val="000000"/>
          <w:kern w:val="0"/>
          <w:sz w:val="20"/>
          <w:szCs w:val="20"/>
          <w:shd w:fill="auto" w:val="clear"/>
          <w:lang w:val="pt-BR" w:eastAsia="zh-CN" w:bidi="hi-IN"/>
        </w:rPr>
        <w:t>2538</w:t>
      </w:r>
      <w:r>
        <w:rPr>
          <w:rFonts w:ascii="Arial" w:hAnsi="Arial"/>
          <w:b/>
          <w:color w:val="000000"/>
          <w:shd w:fill="auto" w:val="clear"/>
        </w:rPr>
        <w:t xml:space="preserve">/2025 </w:t>
      </w:r>
    </w:p>
    <w:p>
      <w:pPr>
        <w:pStyle w:val="LO-normal"/>
        <w:spacing w:lineRule="auto" w:line="276"/>
        <w:jc w:val="center"/>
        <w:rPr>
          <w:rFonts w:ascii="Arial" w:hAnsi="Arial"/>
          <w:b/>
          <w:color w:val="000000"/>
          <w:highlight w:val="none"/>
          <w:shd w:fill="auto" w:val="clear"/>
        </w:rPr>
      </w:pPr>
      <w:r>
        <w:rPr>
          <w:rFonts w:ascii="Arial" w:hAnsi="Arial"/>
          <w:b/>
          <w:color w:val="000000"/>
          <w:shd w:fill="auto" w:val="clear"/>
        </w:rPr>
      </w:r>
    </w:p>
    <w:p>
      <w:pPr>
        <w:pStyle w:val="LO-normal"/>
        <w:spacing w:lineRule="auto" w:line="276"/>
        <w:jc w:val="center"/>
        <w:rPr>
          <w:rFonts w:ascii="Arial" w:hAnsi="Arial"/>
          <w:highlight w:val="none"/>
          <w:shd w:fill="auto" w:val="clear"/>
        </w:rPr>
      </w:pPr>
      <w:r>
        <w:rPr>
          <w:rFonts w:ascii="Arial" w:hAnsi="Arial"/>
          <w:b/>
          <w:color w:val="000000"/>
          <w:shd w:fill="auto" w:val="clear"/>
        </w:rPr>
        <w:t xml:space="preserve">SECRETARIA MUNICIPAL DE </w:t>
      </w:r>
      <w:r>
        <w:rPr>
          <w:rFonts w:eastAsia="Arial" w:cs="Arial" w:ascii="Arial" w:hAnsi="Arial"/>
          <w:b/>
          <w:color w:val="000000"/>
          <w:kern w:val="0"/>
          <w:sz w:val="20"/>
          <w:szCs w:val="20"/>
          <w:shd w:fill="auto" w:val="clear"/>
          <w:lang w:val="pt-BR" w:eastAsia="zh-CN" w:bidi="hi-IN"/>
        </w:rPr>
        <w:t>SEGURANÇA E ORDEM PÚBLICA</w:t>
      </w:r>
    </w:p>
    <w:p>
      <w:pPr>
        <w:pStyle w:val="LO-normal"/>
        <w:spacing w:lineRule="auto" w:line="276"/>
        <w:jc w:val="center"/>
        <w:rPr>
          <w:rFonts w:ascii="Arial" w:hAnsi="Arial"/>
          <w:highlight w:val="none"/>
          <w:shd w:fill="auto" w:val="clear"/>
        </w:rPr>
      </w:pPr>
      <w:r>
        <w:rPr>
          <w:rFonts w:ascii="Arial" w:hAnsi="Arial"/>
          <w:b/>
          <w:color w:val="000000"/>
          <w:shd w:fill="auto" w:val="clear"/>
        </w:rPr>
        <w:t xml:space="preserve"> </w:t>
      </w:r>
    </w:p>
    <w:p>
      <w:pPr>
        <w:pStyle w:val="LO-normal"/>
        <w:spacing w:lineRule="auto" w:line="276"/>
        <w:jc w:val="both"/>
        <w:rPr>
          <w:rFonts w:ascii="Arial" w:hAnsi="Arial"/>
          <w:b w:val="false"/>
          <w:bCs w:val="false"/>
          <w:highlight w:val="none"/>
          <w:shd w:fill="auto" w:val="clear"/>
        </w:rPr>
      </w:pPr>
      <w:r>
        <w:rPr>
          <w:rFonts w:ascii="Arial" w:hAnsi="Arial"/>
          <w:b/>
          <w:bCs/>
          <w:color w:val="000000"/>
          <w:shd w:fill="auto" w:val="clear"/>
        </w:rPr>
        <w:t>OBJETO:</w:t>
      </w:r>
      <w:r>
        <w:rPr>
          <w:rFonts w:ascii="Arial" w:hAnsi="Arial"/>
          <w:b w:val="false"/>
          <w:bCs w:val="false"/>
          <w:color w:val="000000"/>
          <w:shd w:fill="auto" w:val="clear"/>
        </w:rPr>
        <w:t xml:space="preserve"> </w:t>
      </w:r>
      <w:r>
        <w:rPr>
          <w:rFonts w:ascii="Arial" w:hAnsi="Arial"/>
          <w:b w:val="false"/>
          <w:bCs w:val="false"/>
          <w:color w:val="000000"/>
          <w:shd w:fill="auto" w:val="clear"/>
        </w:rPr>
        <w:t>C</w:t>
      </w:r>
      <w:r>
        <w:rPr>
          <w:rFonts w:ascii="Arial" w:hAnsi="Arial"/>
          <w:b w:val="false"/>
          <w:bCs w:val="false"/>
          <w:color w:val="000000"/>
          <w:shd w:fill="auto" w:val="clear"/>
        </w:rPr>
        <w:t>ontratação de empresa especializada para a prestação de serviços de locação de veículos, com o objetivo de atender às necessidades operacionais da Secretaria Municipal de Segurança e Ordem Pública, especialmente no que tange ao apoio logístico às ações implementadas no âmbito do Programa Estadual de Integração na Segurança – PROEIS.</w:t>
      </w:r>
    </w:p>
    <w:p>
      <w:pPr>
        <w:pStyle w:val="LO-normal"/>
        <w:spacing w:lineRule="auto" w:line="276"/>
        <w:rPr>
          <w:rFonts w:ascii="Arial" w:hAnsi="Arial"/>
          <w:b/>
          <w:color w:val="000000"/>
          <w:highlight w:val="none"/>
          <w:shd w:fill="auto" w:val="clear"/>
        </w:rPr>
      </w:pPr>
      <w:r>
        <w:rPr>
          <w:rFonts w:ascii="Arial" w:hAnsi="Arial"/>
          <w:b/>
          <w:color w:val="000000"/>
          <w:shd w:fill="auto" w:val="clear"/>
        </w:rPr>
      </w:r>
    </w:p>
    <w:p>
      <w:pPr>
        <w:pStyle w:val="LO-normal"/>
        <w:spacing w:lineRule="auto" w:line="276"/>
        <w:rPr>
          <w:rFonts w:ascii="Arial" w:hAnsi="Arial"/>
          <w:highlight w:val="none"/>
          <w:shd w:fill="auto" w:val="clear"/>
        </w:rPr>
      </w:pPr>
      <w:r>
        <w:rPr>
          <w:rFonts w:ascii="Arial" w:hAnsi="Arial"/>
          <w:b/>
          <w:color w:val="000000"/>
          <w:shd w:fill="auto" w:val="clear"/>
        </w:rPr>
        <w:t xml:space="preserve">VALOR TOTAL </w:t>
      </w:r>
      <w:r>
        <w:rPr>
          <w:rFonts w:ascii="Arial" w:hAnsi="Arial"/>
          <w:b/>
          <w:color w:val="000000"/>
          <w:shd w:fill="auto" w:val="clear"/>
        </w:rPr>
        <w:t xml:space="preserve">ESTIMADO </w:t>
      </w:r>
      <w:r>
        <w:rPr>
          <w:rFonts w:ascii="Arial" w:hAnsi="Arial"/>
          <w:b/>
          <w:color w:val="000000"/>
          <w:shd w:fill="auto" w:val="clear"/>
        </w:rPr>
        <w:t>DA CONTRATAÇÃO</w:t>
      </w:r>
    </w:p>
    <w:p>
      <w:pPr>
        <w:pStyle w:val="LO-normal"/>
        <w:spacing w:lineRule="auto" w:line="276"/>
        <w:rPr>
          <w:rFonts w:ascii="Arial" w:hAnsi="Arial"/>
          <w:b w:val="false"/>
          <w:bCs w:val="false"/>
          <w:sz w:val="20"/>
          <w:szCs w:val="20"/>
          <w:highlight w:val="none"/>
          <w:shd w:fill="auto" w:val="clear"/>
        </w:rPr>
      </w:pPr>
      <w:r>
        <w:rPr>
          <w:rFonts w:ascii="Arial" w:hAnsi="Arial"/>
          <w:b w:val="false"/>
          <w:bCs w:val="false"/>
          <w:color w:val="000000"/>
          <w:sz w:val="20"/>
          <w:szCs w:val="20"/>
          <w:shd w:fill="auto" w:val="clear"/>
        </w:rPr>
        <w:t>R$</w:t>
      </w:r>
      <w:r>
        <w:rPr>
          <w:rFonts w:ascii="Arial" w:hAnsi="Arial"/>
          <w:b w:val="false"/>
          <w:bCs w:val="false"/>
          <w:color w:val="000000"/>
          <w:sz w:val="20"/>
          <w:szCs w:val="20"/>
          <w:shd w:fill="auto" w:val="clear"/>
        </w:rPr>
        <w:t xml:space="preserve"> </w:t>
      </w:r>
      <w:r>
        <w:rPr>
          <w:rFonts w:cs="Arial" w:ascii="Arial" w:hAnsi="Arial"/>
          <w:b w:val="false"/>
          <w:bCs w:val="false"/>
          <w:color w:val="000000"/>
          <w:sz w:val="20"/>
          <w:szCs w:val="20"/>
          <w:shd w:fill="auto" w:val="clear"/>
        </w:rPr>
        <w:t>52.593,00 (Cinquenta e dois mil, quinhentos e noventa e três reais).</w:t>
      </w:r>
    </w:p>
    <w:p>
      <w:pPr>
        <w:pStyle w:val="LO-normal"/>
        <w:spacing w:lineRule="auto" w:line="276"/>
        <w:rPr>
          <w:rFonts w:ascii="Arial" w:hAnsi="Arial"/>
          <w:b/>
          <w:bCs/>
          <w:color w:val="000000"/>
          <w:highlight w:val="none"/>
          <w:shd w:fill="auto" w:val="clear"/>
        </w:rPr>
      </w:pPr>
      <w:r>
        <w:rPr>
          <w:rFonts w:ascii="Arial" w:hAnsi="Arial"/>
          <w:b/>
          <w:bCs/>
          <w:color w:val="000000"/>
          <w:shd w:fill="auto" w:val="clear"/>
        </w:rPr>
      </w:r>
    </w:p>
    <w:p>
      <w:pPr>
        <w:pStyle w:val="LO-normal"/>
        <w:spacing w:lineRule="auto" w:line="276"/>
        <w:rPr>
          <w:rFonts w:ascii="Arial" w:hAnsi="Arial"/>
          <w:highlight w:val="none"/>
          <w:shd w:fill="auto" w:val="clear"/>
        </w:rPr>
      </w:pPr>
      <w:r>
        <w:rPr>
          <w:rFonts w:ascii="Arial" w:hAnsi="Arial"/>
          <w:b/>
          <w:color w:val="000000"/>
          <w:shd w:fill="auto" w:val="clear"/>
        </w:rPr>
        <w:t xml:space="preserve"> </w:t>
      </w:r>
    </w:p>
    <w:p>
      <w:pPr>
        <w:pStyle w:val="LO-normal"/>
        <w:spacing w:lineRule="auto" w:line="276"/>
        <w:rPr>
          <w:rFonts w:ascii="Arial" w:hAnsi="Arial"/>
          <w:highlight w:val="none"/>
          <w:shd w:fill="auto" w:val="clear"/>
        </w:rPr>
      </w:pPr>
      <w:r>
        <w:rPr>
          <w:rFonts w:ascii="Arial" w:hAnsi="Arial"/>
          <w:b/>
          <w:color w:val="000000"/>
          <w:shd w:fill="auto" w:val="clear"/>
        </w:rPr>
        <w:t>PERÍODO DE PROPOSTAS</w:t>
      </w:r>
    </w:p>
    <w:p>
      <w:pPr>
        <w:pStyle w:val="LO-normal"/>
        <w:spacing w:lineRule="auto" w:line="360"/>
        <w:rPr>
          <w:rFonts w:ascii="Arial" w:hAnsi="Arial"/>
          <w:highlight w:val="none"/>
          <w:shd w:fill="auto" w:val="clear"/>
        </w:rPr>
      </w:pPr>
      <w:r>
        <w:rPr>
          <w:rFonts w:ascii="Arial" w:hAnsi="Arial"/>
          <w:b/>
          <w:color w:val="000000"/>
          <w:shd w:fill="auto" w:val="clear"/>
        </w:rPr>
        <w:t xml:space="preserve"> </w:t>
      </w:r>
      <w:r>
        <w:rPr>
          <w:rFonts w:ascii="Arial" w:hAnsi="Arial"/>
          <w:b/>
          <w:color w:val="000000"/>
          <w:shd w:fill="auto" w:val="clear"/>
        </w:rPr>
        <w:t xml:space="preserve">De: </w:t>
      </w:r>
      <w:r>
        <w:rPr>
          <w:rFonts w:ascii="Arial" w:hAnsi="Arial"/>
          <w:b w:val="false"/>
          <w:bCs w:val="false"/>
          <w:color w:val="000000"/>
          <w:shd w:fill="auto" w:val="clear"/>
        </w:rPr>
        <w:t>25/04/2025</w:t>
      </w:r>
      <w:r>
        <w:rPr>
          <w:rFonts w:ascii="Arial" w:hAnsi="Arial"/>
          <w:b w:val="false"/>
          <w:bCs w:val="false"/>
          <w:color w:val="000000"/>
          <w:shd w:fill="auto" w:val="clear"/>
        </w:rPr>
        <w:t xml:space="preserve"> às </w:t>
      </w:r>
      <w:r>
        <w:rPr>
          <w:rFonts w:ascii="Arial" w:hAnsi="Arial"/>
          <w:b w:val="false"/>
          <w:bCs w:val="false"/>
          <w:color w:val="000000"/>
          <w:shd w:fill="auto" w:val="clear"/>
        </w:rPr>
        <w:t xml:space="preserve">15:00 </w:t>
      </w:r>
      <w:r>
        <w:rPr>
          <w:rFonts w:ascii="Arial" w:hAnsi="Arial"/>
          <w:b w:val="false"/>
          <w:bCs w:val="false"/>
          <w:color w:val="000000"/>
          <w:shd w:fill="auto" w:val="clear"/>
        </w:rPr>
        <w:t>h</w:t>
      </w:r>
    </w:p>
    <w:p>
      <w:pPr>
        <w:pStyle w:val="LO-normal"/>
        <w:spacing w:lineRule="auto" w:line="360"/>
        <w:rPr>
          <w:rFonts w:ascii="Arial" w:hAnsi="Arial"/>
          <w:highlight w:val="none"/>
          <w:shd w:fill="auto" w:val="clear"/>
        </w:rPr>
      </w:pPr>
      <w:r>
        <w:rPr>
          <w:rFonts w:ascii="Arial" w:hAnsi="Arial"/>
          <w:b/>
          <w:color w:val="000000"/>
          <w:shd w:fill="auto" w:val="clear"/>
        </w:rPr>
        <w:t xml:space="preserve"> </w:t>
      </w:r>
      <w:r>
        <w:rPr>
          <w:rFonts w:ascii="Arial" w:hAnsi="Arial"/>
          <w:b/>
          <w:color w:val="000000"/>
          <w:shd w:fill="auto" w:val="clear"/>
        </w:rPr>
        <w:t xml:space="preserve">Até: </w:t>
      </w:r>
      <w:r>
        <w:rPr>
          <w:rFonts w:ascii="Arial" w:hAnsi="Arial"/>
          <w:b w:val="false"/>
          <w:bCs w:val="false"/>
          <w:color w:val="000000"/>
          <w:shd w:fill="auto" w:val="clear"/>
        </w:rPr>
        <w:t>30/04/2025</w:t>
      </w:r>
      <w:r>
        <w:rPr>
          <w:rFonts w:ascii="Arial" w:hAnsi="Arial"/>
          <w:b w:val="false"/>
          <w:bCs w:val="false"/>
          <w:color w:val="000000"/>
          <w:shd w:fill="auto" w:val="clear"/>
        </w:rPr>
        <w:t xml:space="preserve"> às </w:t>
      </w:r>
      <w:r>
        <w:rPr>
          <w:rFonts w:ascii="Arial" w:hAnsi="Arial"/>
          <w:b w:val="false"/>
          <w:bCs w:val="false"/>
          <w:color w:val="000000"/>
          <w:shd w:fill="auto" w:val="clear"/>
        </w:rPr>
        <w:t xml:space="preserve">12:00 </w:t>
      </w:r>
      <w:r>
        <w:rPr>
          <w:rFonts w:ascii="Arial" w:hAnsi="Arial"/>
          <w:b w:val="false"/>
          <w:bCs w:val="false"/>
          <w:color w:val="000000"/>
          <w:shd w:fill="auto" w:val="clear"/>
        </w:rPr>
        <w:t>h</w:t>
      </w:r>
    </w:p>
    <w:p>
      <w:pPr>
        <w:pStyle w:val="LO-normal"/>
        <w:spacing w:lineRule="auto" w:line="360"/>
        <w:rPr>
          <w:rFonts w:ascii="Arial" w:hAnsi="Arial"/>
          <w:highlight w:val="none"/>
          <w:shd w:fill="auto" w:val="clear"/>
        </w:rPr>
      </w:pPr>
      <w:r>
        <w:rPr>
          <w:rFonts w:ascii="Arial" w:hAnsi="Arial"/>
          <w:b/>
          <w:color w:val="000000"/>
          <w:shd w:fill="auto" w:val="clear"/>
        </w:rPr>
        <w:t xml:space="preserve"> </w:t>
      </w:r>
    </w:p>
    <w:p>
      <w:pPr>
        <w:pStyle w:val="LO-normal"/>
        <w:spacing w:lineRule="auto" w:line="276"/>
        <w:jc w:val="both"/>
        <w:rPr>
          <w:rFonts w:ascii="Arial" w:hAnsi="Arial"/>
          <w:highlight w:val="none"/>
          <w:shd w:fill="auto" w:val="clear"/>
        </w:rPr>
      </w:pPr>
      <w:r>
        <w:rPr>
          <w:rFonts w:ascii="Arial" w:hAnsi="Arial"/>
          <w:b/>
          <w:bCs/>
          <w:color w:val="000000"/>
          <w:sz w:val="20"/>
          <w:szCs w:val="20"/>
          <w:shd w:fill="auto" w:val="clear"/>
        </w:rPr>
        <w:t xml:space="preserve">DATA DA SESSÃO: </w:t>
      </w:r>
      <w:r>
        <w:rPr>
          <w:rFonts w:ascii="Arial" w:hAnsi="Arial"/>
          <w:b/>
          <w:bCs/>
          <w:color w:val="000000"/>
          <w:sz w:val="20"/>
          <w:szCs w:val="20"/>
          <w:shd w:fill="auto" w:val="clear"/>
        </w:rPr>
        <w:t>30/04/2025</w:t>
      </w:r>
      <w:r>
        <w:rPr>
          <w:rFonts w:ascii="Arial" w:hAnsi="Arial"/>
          <w:b/>
          <w:bCs/>
          <w:color w:val="000000"/>
          <w:sz w:val="20"/>
          <w:szCs w:val="20"/>
          <w:shd w:fill="auto" w:val="clear"/>
        </w:rPr>
        <w:t xml:space="preserve"> – </w:t>
      </w:r>
      <w:r>
        <w:rPr>
          <w:rFonts w:ascii="Arial" w:hAnsi="Arial"/>
          <w:b w:val="false"/>
          <w:bCs w:val="false"/>
          <w:color w:val="000000"/>
          <w:sz w:val="20"/>
          <w:szCs w:val="20"/>
          <w:shd w:fill="auto" w:val="clear"/>
        </w:rPr>
        <w:t>Sem Disputa, vencendo o menor lance durante o período das propostas</w:t>
      </w:r>
      <w:r>
        <w:rPr>
          <w:rFonts w:ascii="Arial" w:hAnsi="Arial"/>
          <w:b w:val="false"/>
          <w:bCs w:val="false"/>
          <w:color w:val="000000"/>
          <w:sz w:val="20"/>
          <w:szCs w:val="20"/>
          <w:shd w:fill="auto" w:val="clear"/>
        </w:rPr>
        <w:t>.</w:t>
      </w:r>
    </w:p>
    <w:p>
      <w:pPr>
        <w:pStyle w:val="LO-normal"/>
        <w:rPr>
          <w:rFonts w:ascii="Arial" w:hAnsi="Arial"/>
          <w:highlight w:val="none"/>
          <w:shd w:fill="auto" w:val="clear"/>
        </w:rPr>
      </w:pPr>
      <w:r>
        <w:rPr>
          <w:rFonts w:ascii="Arial" w:hAnsi="Arial"/>
          <w:b/>
          <w:bCs/>
          <w:color w:val="000000"/>
          <w:sz w:val="20"/>
          <w:szCs w:val="20"/>
          <w:shd w:fill="auto" w:val="clear"/>
        </w:rPr>
        <w:t>LINK:</w:t>
      </w:r>
      <w:r>
        <w:rPr>
          <w:rFonts w:ascii="Arial" w:hAnsi="Arial"/>
          <w:b w:val="false"/>
          <w:bCs w:val="false"/>
          <w:color w:val="000000"/>
          <w:sz w:val="20"/>
          <w:szCs w:val="20"/>
          <w:shd w:fill="auto" w:val="clear"/>
        </w:rPr>
        <w:t xml:space="preserve"> https://bllcompras.com/Process/ProcessSearchPublic?param1=0#</w:t>
      </w:r>
    </w:p>
    <w:p>
      <w:pPr>
        <w:pStyle w:val="LO-normal"/>
        <w:spacing w:lineRule="auto" w:line="276"/>
        <w:jc w:val="left"/>
        <w:rPr>
          <w:rFonts w:ascii="Arial" w:hAnsi="Arial"/>
          <w:highlight w:val="none"/>
          <w:shd w:fill="auto" w:val="clear"/>
        </w:rPr>
      </w:pPr>
      <w:r>
        <w:rPr>
          <w:rFonts w:ascii="Arial" w:hAnsi="Arial"/>
          <w:shd w:fill="auto" w:val="clear"/>
        </w:rPr>
      </w:r>
    </w:p>
    <w:p>
      <w:pPr>
        <w:pStyle w:val="LO-normal"/>
        <w:spacing w:lineRule="auto" w:line="360"/>
        <w:rPr>
          <w:rFonts w:ascii="Arial" w:hAnsi="Arial"/>
          <w:highlight w:val="none"/>
          <w:shd w:fill="auto" w:val="clear"/>
        </w:rPr>
      </w:pPr>
      <w:r>
        <w:rPr>
          <w:rFonts w:ascii="Arial" w:hAnsi="Arial"/>
          <w:b/>
          <w:color w:val="000000"/>
          <w:shd w:fill="auto" w:val="clear"/>
        </w:rPr>
        <w:t>PREFERÊNCIA ME/EPP/EQUIPARADAS</w:t>
      </w:r>
    </w:p>
    <w:p>
      <w:pPr>
        <w:pStyle w:val="LO-normal"/>
        <w:spacing w:lineRule="auto" w:line="276"/>
        <w:rPr>
          <w:rFonts w:ascii="Arial" w:hAnsi="Arial"/>
          <w:highlight w:val="none"/>
          <w:shd w:fill="auto" w:val="clear"/>
        </w:rPr>
      </w:pPr>
      <w:r>
        <w:rPr>
          <w:rFonts w:ascii="Arial" w:hAnsi="Arial"/>
          <w:b/>
          <w:color w:val="000000"/>
          <w:shd w:fill="auto" w:val="clear"/>
        </w:rPr>
        <w:t>Sim</w:t>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r>
    </w:p>
    <w:p>
      <w:pPr>
        <w:pStyle w:val="Normal"/>
        <w:jc w:val="center"/>
        <w:rPr>
          <w:rFonts w:ascii="Arial" w:hAnsi="Arial" w:cs="Times New Roman"/>
          <w:b/>
          <w:sz w:val="20"/>
          <w:szCs w:val="20"/>
          <w:lang w:eastAsia="pt-BR"/>
        </w:rPr>
      </w:pPr>
      <w:r>
        <w:rPr>
          <w:rFonts w:cs="Times New Roman"/>
          <w:b/>
          <w:sz w:val="20"/>
          <w:szCs w:val="20"/>
          <w:lang w:eastAsia="pt-BR"/>
        </w:rPr>
        <w:t>ELIAKIM COSTA QUEIROZ</w:t>
      </w:r>
    </w:p>
    <w:p>
      <w:pPr>
        <w:pStyle w:val="Normal"/>
        <w:jc w:val="center"/>
        <w:rPr>
          <w:b w:val="false"/>
          <w:bCs w:val="false"/>
        </w:rPr>
      </w:pPr>
      <w:r>
        <w:rPr>
          <w:rFonts w:cs="Times New Roman"/>
          <w:b w:val="false"/>
          <w:bCs w:val="false"/>
          <w:sz w:val="20"/>
          <w:szCs w:val="20"/>
          <w:shd w:fill="auto" w:val="clear"/>
          <w:lang w:eastAsia="pt-BR"/>
        </w:rPr>
        <w:t>Agente de Contratações</w:t>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b/>
          <w:color w:val="000000"/>
        </w:rPr>
      </w:pPr>
      <w:r>
        <w:rPr>
          <w:b/>
          <w:color w:val="000000"/>
        </w:rPr>
      </w:r>
    </w:p>
    <w:p>
      <w:pPr>
        <w:pStyle w:val="LO-normal"/>
        <w:spacing w:lineRule="auto" w:line="276"/>
        <w:jc w:val="center"/>
        <w:rPr/>
      </w:pPr>
      <w:r>
        <w:rPr>
          <w:b/>
          <w:color w:val="000000"/>
          <w:shd w:fill="auto" w:val="clear"/>
        </w:rPr>
        <w:t xml:space="preserve">AVISO DE DISPENSA ELETRÔNICA Nº </w:t>
      </w:r>
      <w:r>
        <w:rPr>
          <w:b/>
          <w:color w:val="000000"/>
          <w:shd w:fill="auto" w:val="clear"/>
        </w:rPr>
        <w:t>06</w:t>
      </w:r>
      <w:r>
        <w:rPr>
          <w:b/>
          <w:color w:val="000000"/>
          <w:shd w:fill="auto" w:val="clear"/>
        </w:rPr>
        <w:t>/</w:t>
      </w:r>
      <w:r>
        <w:rPr>
          <w:b/>
          <w:color w:val="000000"/>
          <w:shd w:fill="auto" w:val="clear"/>
        </w:rPr>
        <w:t>202</w:t>
      </w:r>
      <w:r>
        <w:rPr>
          <w:rFonts w:eastAsia="Arial" w:cs="Arial"/>
          <w:b/>
          <w:color w:val="000000"/>
          <w:kern w:val="0"/>
          <w:sz w:val="20"/>
          <w:szCs w:val="20"/>
          <w:shd w:fill="auto" w:val="clear"/>
          <w:lang w:val="pt-BR" w:eastAsia="zh-CN" w:bidi="hi-IN"/>
        </w:rPr>
        <w:t>5</w:t>
      </w:r>
    </w:p>
    <w:p>
      <w:pPr>
        <w:pStyle w:val="LO-normal"/>
        <w:spacing w:lineRule="auto" w:line="276" w:before="0" w:after="120"/>
        <w:ind w:hanging="0" w:right="-15"/>
        <w:jc w:val="center"/>
        <w:rPr>
          <w:highlight w:val="none"/>
          <w:shd w:fill="auto" w:val="clear"/>
        </w:rPr>
      </w:pPr>
      <w:r>
        <w:rPr>
          <w:b/>
          <w:color w:val="000000"/>
          <w:shd w:fill="auto" w:val="clear"/>
        </w:rPr>
        <w:t>(Processo Administrativo n.° 2538</w:t>
      </w:r>
      <w:r>
        <w:rPr>
          <w:rFonts w:eastAsia="Arial" w:cs="Arial"/>
          <w:b/>
          <w:color w:val="000000"/>
          <w:kern w:val="0"/>
          <w:sz w:val="20"/>
          <w:szCs w:val="20"/>
          <w:shd w:fill="auto" w:val="clear"/>
          <w:lang w:val="pt-BR" w:eastAsia="zh-CN" w:bidi="hi-IN"/>
        </w:rPr>
        <w:t>/2025</w:t>
      </w:r>
      <w:r>
        <w:rPr>
          <w:b/>
          <w:color w:val="000000"/>
          <w:shd w:fill="auto" w:val="clear"/>
        </w:rPr>
        <w:t>)</w:t>
      </w:r>
    </w:p>
    <w:p>
      <w:pPr>
        <w:pStyle w:val="LO-normal"/>
        <w:rPr/>
      </w:pPr>
      <w:r>
        <w:rPr/>
      </w:r>
    </w:p>
    <w:p>
      <w:pPr>
        <w:pStyle w:val="LO-normal"/>
        <w:spacing w:lineRule="auto" w:line="276" w:before="0" w:after="120"/>
        <w:ind w:firstLine="540" w:right="-30"/>
        <w:jc w:val="both"/>
        <w:rPr>
          <w:color w:val="000000"/>
        </w:rPr>
      </w:pPr>
      <w:r>
        <w:rPr>
          <w:color w:val="000000"/>
        </w:rPr>
        <w:t xml:space="preserve">Torna-se público que o </w:t>
      </w:r>
      <w:r>
        <w:rPr>
          <w:b/>
          <w:bCs/>
          <w:color w:val="000000"/>
        </w:rPr>
        <w:t>MUNICÍPIO DE PARACAMBI,</w:t>
      </w:r>
      <w:r>
        <w:rPr>
          <w:color w:val="000000"/>
        </w:rPr>
        <w:t xml:space="preserve"> por meio da </w:t>
      </w:r>
      <w:r>
        <w:rPr>
          <w:b/>
          <w:bCs/>
          <w:color w:val="000000"/>
        </w:rPr>
        <w:t>Secretaria</w:t>
      </w:r>
      <w:r>
        <w:rPr>
          <w:color w:val="FF0000"/>
        </w:rPr>
        <w:t xml:space="preserve"> </w:t>
      </w:r>
      <w:r>
        <w:rPr>
          <w:b/>
          <w:bCs/>
          <w:color w:val="000000"/>
        </w:rPr>
        <w:t xml:space="preserve">Municipal de </w:t>
      </w:r>
      <w:r>
        <w:rPr>
          <w:rFonts w:eastAsia="Arial" w:cs="Arial"/>
          <w:b/>
          <w:bCs/>
          <w:color w:val="000000"/>
          <w:kern w:val="0"/>
          <w:sz w:val="20"/>
          <w:szCs w:val="20"/>
          <w:lang w:val="pt-BR" w:eastAsia="zh-CN" w:bidi="hi-IN"/>
        </w:rPr>
        <w:t>Segurança e Ordem Pública</w:t>
      </w:r>
      <w:r>
        <w:rPr>
          <w:color w:val="000000"/>
        </w:rPr>
        <w:t>, realizará Dispensa Eletrônica, com critério de julgamento</w:t>
      </w:r>
      <w:r>
        <w:rPr>
          <w:b/>
          <w:color w:val="000000"/>
        </w:rPr>
        <w:t xml:space="preserve"> </w:t>
      </w:r>
      <w:r>
        <w:rPr>
          <w:color w:val="000000"/>
        </w:rPr>
        <w:t>(</w:t>
      </w:r>
      <w:r>
        <w:rPr>
          <w:b/>
          <w:bCs/>
          <w:color w:val="000000"/>
        </w:rPr>
        <w:t>menor preço</w:t>
      </w:r>
      <w:r>
        <w:rPr>
          <w:color w:val="000000"/>
        </w:rPr>
        <w:t>)</w:t>
      </w:r>
      <w:r>
        <w:rPr>
          <w:b/>
          <w:i/>
          <w:color w:val="000000"/>
        </w:rPr>
        <w:t>,</w:t>
      </w:r>
      <w:r>
        <w:rPr>
          <w:b/>
          <w:i/>
          <w:color w:val="FF0000"/>
        </w:rPr>
        <w:t xml:space="preserve"> </w:t>
      </w:r>
      <w:r>
        <w:rPr>
          <w:color w:val="000000"/>
        </w:rPr>
        <w:t xml:space="preserve">na hipótese do </w:t>
      </w:r>
      <w:r>
        <w:rPr>
          <w:color w:val="000000"/>
          <w:shd w:fill="auto" w:val="clear"/>
        </w:rPr>
        <w:t>art. 75</w:t>
      </w:r>
      <w:r>
        <w:rPr>
          <w:i/>
          <w:color w:val="000000"/>
          <w:shd w:fill="auto" w:val="clear"/>
        </w:rPr>
        <w:t xml:space="preserve">, </w:t>
      </w:r>
      <w:r>
        <w:rPr>
          <w:color w:val="000000"/>
          <w:shd w:fill="auto" w:val="clear"/>
        </w:rPr>
        <w:t xml:space="preserve">inciso </w:t>
      </w:r>
      <w:r>
        <w:rPr>
          <w:b/>
          <w:color w:val="000000"/>
          <w:shd w:fill="auto" w:val="clear"/>
        </w:rPr>
        <w:t>II</w:t>
      </w:r>
      <w:r>
        <w:rPr>
          <w:i/>
          <w:color w:val="000000"/>
        </w:rPr>
        <w:t>,</w:t>
      </w:r>
      <w:r>
        <w:rPr>
          <w:color w:val="000000"/>
        </w:rPr>
        <w:t xml:space="preserve"> </w:t>
      </w:r>
      <w:r>
        <w:rPr/>
        <w:t>nos termos da Lei nº 14.133/2021 e demais legislações aplicáveis</w:t>
      </w:r>
      <w:r>
        <w:rPr>
          <w:color w:val="000000"/>
        </w:rPr>
        <w:t>.</w:t>
      </w:r>
    </w:p>
    <w:p>
      <w:pPr>
        <w:pStyle w:val="LO-normal"/>
        <w:spacing w:lineRule="auto" w:line="276"/>
        <w:jc w:val="both"/>
        <w:rPr/>
      </w:pPr>
      <w:r>
        <w:rPr>
          <w:color w:val="000000"/>
        </w:rPr>
        <w:t xml:space="preserve">Data da sessão: </w:t>
      </w:r>
      <w:r>
        <w:rPr>
          <w:rFonts w:ascii="Arial" w:hAnsi="Arial"/>
          <w:b/>
          <w:bCs/>
          <w:color w:val="000000"/>
          <w:sz w:val="20"/>
          <w:szCs w:val="20"/>
          <w:shd w:fill="auto" w:val="clear"/>
        </w:rPr>
        <w:t>30/04/2025</w:t>
      </w:r>
      <w:r>
        <w:rPr>
          <w:rFonts w:ascii="Arial" w:hAnsi="Arial"/>
          <w:b/>
          <w:bCs/>
          <w:color w:val="000000"/>
          <w:sz w:val="20"/>
          <w:szCs w:val="20"/>
          <w:shd w:fill="auto" w:val="clear"/>
        </w:rPr>
        <w:t xml:space="preserve"> – </w:t>
      </w:r>
      <w:r>
        <w:rPr>
          <w:rFonts w:ascii="Arial" w:hAnsi="Arial"/>
          <w:b w:val="false"/>
          <w:bCs w:val="false"/>
          <w:color w:val="000000"/>
          <w:sz w:val="20"/>
          <w:szCs w:val="20"/>
          <w:shd w:fill="auto" w:val="clear"/>
        </w:rPr>
        <w:t>Sem Disputa, vencendo o menor lance durante o período das propostas</w:t>
      </w:r>
      <w:r>
        <w:rPr>
          <w:rFonts w:ascii="Arial" w:hAnsi="Arial"/>
          <w:b w:val="false"/>
          <w:bCs w:val="false"/>
          <w:color w:val="000000"/>
          <w:sz w:val="20"/>
          <w:szCs w:val="20"/>
          <w:shd w:fill="auto" w:val="clear"/>
        </w:rPr>
        <w:t>.</w:t>
      </w:r>
    </w:p>
    <w:p>
      <w:pPr>
        <w:pStyle w:val="LO-normal"/>
        <w:rPr>
          <w:color w:val="000000"/>
        </w:rPr>
      </w:pPr>
      <w:r>
        <w:rPr>
          <w:color w:val="000000"/>
        </w:rPr>
        <w:t>Link</w:t>
      </w:r>
      <w:r>
        <w:rPr>
          <w:color w:val="000000"/>
          <w:shd w:fill="auto" w:val="clear"/>
        </w:rPr>
        <w:t>:</w:t>
      </w:r>
      <w:r>
        <w:rPr>
          <w:rFonts w:eastAsia="Arial" w:cs="Arial"/>
          <w:b/>
          <w:bCs/>
          <w:color w:val="000000"/>
          <w:kern w:val="0"/>
          <w:sz w:val="20"/>
          <w:szCs w:val="20"/>
          <w:shd w:fill="auto" w:val="clear"/>
          <w:lang w:val="pt-BR" w:eastAsia="zh-CN" w:bidi="hi-IN"/>
        </w:rPr>
        <w:t>www.bll.org.br</w:t>
      </w:r>
      <w:r>
        <w:rPr>
          <w:color w:val="000000"/>
        </w:rPr>
        <w:t xml:space="preserve">. </w:t>
      </w:r>
    </w:p>
    <w:p>
      <w:pPr>
        <w:pStyle w:val="LO-normal"/>
        <w:rPr>
          <w:color w:val="000000"/>
        </w:rPr>
      </w:pPr>
      <w:r>
        <w:rPr/>
      </w:r>
    </w:p>
    <w:p>
      <w:pPr>
        <w:pStyle w:val="LO-normal"/>
        <w:spacing w:lineRule="auto" w:line="276" w:before="120" w:after="120"/>
        <w:jc w:val="both"/>
        <w:rPr>
          <w:b/>
          <w:color w:val="000000"/>
        </w:rPr>
      </w:pPr>
      <w:r>
        <w:rPr>
          <w:b/>
          <w:color w:val="000000"/>
        </w:rPr>
        <w:t>1. OBJETO DA CONTRATAÇÃO DIRETA</w:t>
      </w:r>
    </w:p>
    <w:p>
      <w:pPr>
        <w:pStyle w:val="LO-normal"/>
        <w:widowControl/>
        <w:suppressAutoHyphens w:val="true"/>
        <w:bidi w:val="0"/>
        <w:spacing w:lineRule="auto" w:line="276" w:before="120" w:after="120"/>
        <w:ind w:hanging="0" w:left="567" w:right="0"/>
        <w:jc w:val="both"/>
        <w:rPr>
          <w:b/>
          <w:color w:val="000000"/>
        </w:rPr>
      </w:pPr>
      <w:r>
        <w:rPr>
          <w:color w:val="000000"/>
        </w:rPr>
        <w:t>1.1.</w:t>
      </w:r>
      <w:r>
        <w:rPr>
          <w:b/>
          <w:color w:val="000000"/>
        </w:rPr>
        <w:t xml:space="preserve"> </w:t>
      </w:r>
      <w:r>
        <w:rPr>
          <w:color w:val="000000"/>
        </w:rPr>
        <w:t xml:space="preserve">O objeto da presente dispensa é a escolha da proposta mais vantajosa para a contratação por dispensa de licitação de </w:t>
      </w:r>
      <w:bookmarkStart w:id="0" w:name="_Hlk173407110"/>
      <w:r>
        <w:rPr>
          <w:rFonts w:eastAsia="Arial" w:cs="Arial"/>
          <w:b/>
          <w:bCs/>
          <w:color w:val="000000"/>
          <w:kern w:val="0"/>
          <w:sz w:val="20"/>
          <w:szCs w:val="20"/>
          <w:lang w:val="pt-BR" w:eastAsia="zh-CN" w:bidi="hi-IN"/>
        </w:rPr>
        <w:t>PRESTAÇÃO DE SERVIÇOS LOCAÇÃO DE VEÍCULOS-PROEIS</w:t>
      </w:r>
      <w:bookmarkStart w:id="1" w:name="_Hlk173343050"/>
      <w:bookmarkEnd w:id="0"/>
      <w:r>
        <w:rPr>
          <w:b/>
          <w:bCs/>
          <w:color w:val="000000"/>
        </w:rPr>
        <w:t>,</w:t>
      </w:r>
      <w:r>
        <w:rPr>
          <w:color w:val="000000"/>
        </w:rPr>
        <w:t xml:space="preserve"> </w:t>
      </w:r>
      <w:bookmarkEnd w:id="1"/>
      <w:r>
        <w:rPr>
          <w:color w:val="000000"/>
        </w:rPr>
        <w:t>conforme condições, quantidades e exigências estabelecidas neste Aviso de Contratação Direta e seus anexos.</w:t>
      </w:r>
    </w:p>
    <w:p>
      <w:pPr>
        <w:pStyle w:val="LO-normal"/>
        <w:widowControl/>
        <w:suppressAutoHyphens w:val="true"/>
        <w:bidi w:val="0"/>
        <w:spacing w:lineRule="auto" w:line="276" w:before="120" w:after="120"/>
        <w:ind w:hanging="0" w:left="567" w:right="0"/>
        <w:jc w:val="both"/>
        <w:rPr>
          <w:color w:val="000000"/>
        </w:rPr>
      </w:pPr>
      <w:r>
        <w:rPr>
          <w:color w:val="000000"/>
        </w:rPr>
        <w:t xml:space="preserve">1.2. A contratação será dividida em </w:t>
      </w:r>
      <w:r>
        <w:rPr>
          <w:rFonts w:eastAsia="Arial" w:cs="Arial"/>
          <w:color w:val="000000"/>
          <w:kern w:val="0"/>
          <w:sz w:val="20"/>
          <w:szCs w:val="20"/>
          <w:lang w:val="pt-BR" w:eastAsia="zh-CN" w:bidi="hi-IN"/>
        </w:rPr>
        <w:t>ITEM</w:t>
      </w:r>
      <w:r>
        <w:rPr>
          <w:b/>
          <w:color w:val="000000"/>
        </w:rPr>
        <w:t>,</w:t>
      </w:r>
      <w:r>
        <w:rPr>
          <w:color w:val="000000"/>
        </w:rPr>
        <w:t xml:space="preserve"> conforme tabela constante abaixo.</w:t>
      </w:r>
    </w:p>
    <w:tbl>
      <w:tblPr>
        <w:tblStyle w:val="10"/>
        <w:tblW w:w="11115" w:type="dxa"/>
        <w:jc w:val="left"/>
        <w:tblInd w:w="93" w:type="dxa"/>
        <w:tblLayout w:type="fixed"/>
        <w:tblCellMar>
          <w:top w:w="0" w:type="dxa"/>
          <w:left w:w="108" w:type="dxa"/>
          <w:bottom w:w="0" w:type="dxa"/>
          <w:right w:w="108" w:type="dxa"/>
        </w:tblCellMar>
      </w:tblPr>
      <w:tblGrid>
        <w:gridCol w:w="853"/>
        <w:gridCol w:w="5268"/>
        <w:gridCol w:w="794"/>
        <w:gridCol w:w="1022"/>
        <w:gridCol w:w="1468"/>
        <w:gridCol w:w="1709"/>
      </w:tblGrid>
      <w:tr>
        <w:trPr/>
        <w:tc>
          <w:tcPr>
            <w:tcW w:w="853" w:type="dxa"/>
            <w:tcBorders>
              <w:top w:val="single" w:sz="4" w:space="0" w:color="000000"/>
              <w:left w:val="single" w:sz="4" w:space="0" w:color="000000"/>
              <w:bottom w:val="single" w:sz="4" w:space="0" w:color="000000"/>
            </w:tcBorders>
            <w:vAlign w:val="center"/>
          </w:tcPr>
          <w:p>
            <w:pPr>
              <w:pStyle w:val="LO-normal"/>
              <w:widowControl w:val="false"/>
              <w:jc w:val="center"/>
              <w:rPr>
                <w:b/>
                <w:color w:val="000000"/>
                <w:sz w:val="20"/>
                <w:szCs w:val="20"/>
                <w:highlight w:val="none"/>
                <w:shd w:fill="auto" w:val="clear"/>
              </w:rPr>
            </w:pPr>
            <w:r>
              <w:rPr>
                <w:b/>
                <w:color w:val="000000"/>
                <w:sz w:val="20"/>
                <w:szCs w:val="20"/>
                <w:shd w:fill="auto" w:val="clear"/>
              </w:rPr>
            </w:r>
          </w:p>
          <w:p>
            <w:pPr>
              <w:pStyle w:val="LO-normal"/>
              <w:widowControl w:val="false"/>
              <w:jc w:val="center"/>
              <w:rPr>
                <w:highlight w:val="none"/>
                <w:shd w:fill="auto" w:val="clear"/>
              </w:rPr>
            </w:pPr>
            <w:r>
              <w:rPr>
                <w:b/>
                <w:color w:val="000000"/>
                <w:sz w:val="20"/>
                <w:szCs w:val="20"/>
                <w:shd w:fill="auto" w:val="clear"/>
              </w:rPr>
              <w:t>ITEM</w:t>
            </w:r>
          </w:p>
          <w:p>
            <w:pPr>
              <w:pStyle w:val="LO-normal"/>
              <w:widowControl w:val="false"/>
              <w:jc w:val="center"/>
              <w:rPr>
                <w:b/>
                <w:color w:val="000000"/>
                <w:sz w:val="20"/>
                <w:szCs w:val="20"/>
                <w:highlight w:val="none"/>
                <w:shd w:fill="auto" w:val="clear"/>
              </w:rPr>
            </w:pPr>
            <w:r>
              <w:rPr>
                <w:b/>
                <w:color w:val="000000"/>
                <w:sz w:val="20"/>
                <w:szCs w:val="20"/>
                <w:shd w:fill="auto" w:val="clear"/>
              </w:rPr>
            </w:r>
          </w:p>
        </w:tc>
        <w:tc>
          <w:tcPr>
            <w:tcW w:w="5268" w:type="dxa"/>
            <w:tcBorders>
              <w:top w:val="single" w:sz="4" w:space="0" w:color="000000"/>
              <w:left w:val="single" w:sz="4" w:space="0" w:color="000000"/>
              <w:bottom w:val="single" w:sz="4" w:space="0" w:color="000000"/>
            </w:tcBorders>
            <w:vAlign w:val="center"/>
          </w:tcPr>
          <w:p>
            <w:pPr>
              <w:pStyle w:val="LO-normal"/>
              <w:widowControl w:val="false"/>
              <w:jc w:val="center"/>
              <w:rPr>
                <w:b/>
                <w:color w:val="000000"/>
                <w:sz w:val="20"/>
                <w:szCs w:val="20"/>
                <w:highlight w:val="none"/>
                <w:shd w:fill="auto" w:val="clear"/>
              </w:rPr>
            </w:pPr>
            <w:r>
              <w:rPr>
                <w:b/>
                <w:color w:val="000000"/>
                <w:sz w:val="20"/>
                <w:szCs w:val="20"/>
                <w:shd w:fill="auto" w:val="clear"/>
              </w:rPr>
            </w:r>
          </w:p>
          <w:p>
            <w:pPr>
              <w:pStyle w:val="LO-normal"/>
              <w:widowControl w:val="false"/>
              <w:jc w:val="center"/>
              <w:rPr>
                <w:highlight w:val="none"/>
                <w:shd w:fill="auto" w:val="clear"/>
              </w:rPr>
            </w:pPr>
            <w:r>
              <w:rPr>
                <w:b/>
                <w:color w:val="000000"/>
                <w:sz w:val="20"/>
                <w:szCs w:val="20"/>
                <w:shd w:fill="auto" w:val="clear"/>
              </w:rPr>
              <w:t>DESCRIÇÃO</w:t>
            </w:r>
          </w:p>
          <w:p>
            <w:pPr>
              <w:pStyle w:val="LO-normal"/>
              <w:widowControl w:val="false"/>
              <w:jc w:val="center"/>
              <w:rPr>
                <w:color w:val="000000"/>
                <w:sz w:val="20"/>
                <w:szCs w:val="20"/>
                <w:highlight w:val="none"/>
                <w:shd w:fill="auto" w:val="clear"/>
              </w:rPr>
            </w:pPr>
            <w:r>
              <w:rPr>
                <w:color w:val="000000"/>
                <w:sz w:val="20"/>
                <w:szCs w:val="20"/>
                <w:shd w:fill="auto" w:val="clear"/>
              </w:rPr>
            </w:r>
          </w:p>
        </w:tc>
        <w:tc>
          <w:tcPr>
            <w:tcW w:w="794" w:type="dxa"/>
            <w:tcBorders>
              <w:top w:val="single" w:sz="4" w:space="0" w:color="000000"/>
              <w:left w:val="single" w:sz="4" w:space="0" w:color="000000"/>
              <w:bottom w:val="single" w:sz="4" w:space="0" w:color="000000"/>
            </w:tcBorders>
            <w:vAlign w:val="center"/>
          </w:tcPr>
          <w:p>
            <w:pPr>
              <w:pStyle w:val="LO-normal"/>
              <w:widowControl w:val="false"/>
              <w:jc w:val="center"/>
              <w:rPr>
                <w:highlight w:val="none"/>
                <w:shd w:fill="auto" w:val="clear"/>
              </w:rPr>
            </w:pPr>
            <w:r>
              <w:rPr>
                <w:b/>
                <w:color w:val="000000"/>
                <w:sz w:val="20"/>
                <w:szCs w:val="20"/>
                <w:shd w:fill="auto" w:val="clear"/>
              </w:rPr>
              <w:t>UNID</w:t>
            </w:r>
            <w:r>
              <w:rPr>
                <w:b/>
                <w:color w:val="000000"/>
                <w:sz w:val="14"/>
                <w:szCs w:val="14"/>
                <w:shd w:fill="auto" w:val="clear"/>
              </w:rPr>
              <w:t>.</w:t>
            </w:r>
          </w:p>
        </w:tc>
        <w:tc>
          <w:tcPr>
            <w:tcW w:w="1022" w:type="dxa"/>
            <w:tcBorders>
              <w:top w:val="single" w:sz="4" w:space="0" w:color="000000"/>
              <w:left w:val="single" w:sz="4" w:space="0" w:color="000000"/>
              <w:bottom w:val="single" w:sz="4" w:space="0" w:color="000000"/>
            </w:tcBorders>
            <w:vAlign w:val="center"/>
          </w:tcPr>
          <w:p>
            <w:pPr>
              <w:pStyle w:val="LO-normal"/>
              <w:widowControl w:val="false"/>
              <w:jc w:val="center"/>
              <w:rPr>
                <w:color w:val="000000"/>
                <w:sz w:val="20"/>
                <w:szCs w:val="20"/>
                <w:highlight w:val="none"/>
                <w:shd w:fill="auto" w:val="clear"/>
              </w:rPr>
            </w:pPr>
            <w:r>
              <w:rPr>
                <w:color w:val="000000"/>
                <w:sz w:val="20"/>
                <w:szCs w:val="20"/>
                <w:shd w:fill="auto" w:val="clear"/>
              </w:rPr>
            </w:r>
          </w:p>
          <w:p>
            <w:pPr>
              <w:pStyle w:val="LO-normal"/>
              <w:widowControl w:val="false"/>
              <w:jc w:val="center"/>
              <w:rPr>
                <w:highlight w:val="none"/>
                <w:shd w:fill="auto" w:val="clear"/>
              </w:rPr>
            </w:pPr>
            <w:r>
              <w:rPr>
                <w:b/>
                <w:color w:val="000000"/>
                <w:sz w:val="20"/>
                <w:szCs w:val="20"/>
                <w:shd w:fill="auto" w:val="clear"/>
              </w:rPr>
              <w:t>QUANT.</w:t>
            </w:r>
          </w:p>
          <w:p>
            <w:pPr>
              <w:pStyle w:val="LO-normal"/>
              <w:widowControl w:val="false"/>
              <w:jc w:val="center"/>
              <w:rPr>
                <w:color w:val="000000"/>
                <w:sz w:val="20"/>
                <w:szCs w:val="20"/>
                <w:highlight w:val="none"/>
                <w:shd w:fill="auto" w:val="clear"/>
              </w:rPr>
            </w:pPr>
            <w:r>
              <w:rPr>
                <w:color w:val="000000"/>
                <w:sz w:val="20"/>
                <w:szCs w:val="20"/>
                <w:shd w:fill="auto" w:val="clear"/>
              </w:rPr>
            </w:r>
          </w:p>
        </w:tc>
        <w:tc>
          <w:tcPr>
            <w:tcW w:w="1468" w:type="dxa"/>
            <w:tcBorders>
              <w:top w:val="single" w:sz="4" w:space="0" w:color="000000"/>
              <w:left w:val="single" w:sz="4" w:space="0" w:color="000000"/>
              <w:bottom w:val="single" w:sz="4" w:space="0" w:color="000000"/>
            </w:tcBorders>
            <w:vAlign w:val="center"/>
          </w:tcPr>
          <w:p>
            <w:pPr>
              <w:pStyle w:val="LO-normal"/>
              <w:widowControl w:val="false"/>
              <w:jc w:val="center"/>
              <w:rPr>
                <w:highlight w:val="none"/>
                <w:shd w:fill="auto" w:val="clear"/>
              </w:rPr>
            </w:pPr>
            <w:r>
              <w:rPr>
                <w:rFonts w:eastAsia="Arial" w:cs="Arial"/>
                <w:b/>
                <w:color w:val="000000"/>
                <w:kern w:val="0"/>
                <w:sz w:val="20"/>
                <w:szCs w:val="20"/>
                <w:shd w:fill="auto" w:val="clear"/>
                <w:lang w:val="pt-BR" w:eastAsia="zh-CN" w:bidi="hi-IN"/>
              </w:rPr>
              <w:t>V</w:t>
            </w:r>
            <w:r>
              <w:rPr>
                <w:b/>
                <w:color w:val="000000"/>
                <w:sz w:val="20"/>
                <w:szCs w:val="20"/>
                <w:shd w:fill="auto" w:val="clear"/>
              </w:rPr>
              <w:t xml:space="preserve"> UNITÁRIO</w:t>
            </w:r>
          </w:p>
        </w:tc>
        <w:tc>
          <w:tcPr>
            <w:tcW w:w="1709"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highlight w:val="none"/>
                <w:shd w:fill="auto" w:val="clear"/>
              </w:rPr>
            </w:pPr>
            <w:r>
              <w:rPr>
                <w:shd w:fill="auto" w:val="clear"/>
              </w:rPr>
            </w:r>
          </w:p>
          <w:p>
            <w:pPr>
              <w:pStyle w:val="LO-normal"/>
              <w:widowControl w:val="false"/>
              <w:jc w:val="center"/>
              <w:rPr>
                <w:highlight w:val="none"/>
                <w:shd w:fill="auto" w:val="clear"/>
              </w:rPr>
            </w:pPr>
            <w:r>
              <w:rPr>
                <w:rFonts w:eastAsia="Arial" w:cs="Arial"/>
                <w:b/>
                <w:color w:val="000000"/>
                <w:kern w:val="0"/>
                <w:sz w:val="20"/>
                <w:szCs w:val="20"/>
                <w:shd w:fill="auto" w:val="clear"/>
                <w:lang w:val="pt-BR" w:eastAsia="zh-CN" w:bidi="hi-IN"/>
              </w:rPr>
              <w:t>VALOR</w:t>
            </w:r>
            <w:r>
              <w:rPr>
                <w:b/>
                <w:color w:val="000000"/>
                <w:sz w:val="20"/>
                <w:szCs w:val="20"/>
                <w:shd w:fill="auto" w:val="clear"/>
              </w:rPr>
              <w:t xml:space="preserve"> TOTAL</w:t>
            </w:r>
          </w:p>
        </w:tc>
      </w:tr>
      <w:tr>
        <w:trPr>
          <w:trHeight w:val="1040" w:hRule="atLeast"/>
        </w:trPr>
        <w:tc>
          <w:tcPr>
            <w:tcW w:w="853" w:type="dxa"/>
            <w:tcBorders>
              <w:left w:val="single" w:sz="4" w:space="0" w:color="000000"/>
              <w:bottom w:val="single" w:sz="4" w:space="0" w:color="000000"/>
            </w:tcBorders>
          </w:tcPr>
          <w:p>
            <w:pPr>
              <w:pStyle w:val="LO-normal"/>
              <w:widowControl w:val="false"/>
              <w:spacing w:lineRule="auto" w:line="276" w:before="0" w:after="120"/>
              <w:jc w:val="center"/>
              <w:rPr>
                <w:b w:val="false"/>
                <w:bCs w:val="false"/>
                <w:color w:val="auto"/>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jc w:val="center"/>
              <w:rPr>
                <w:b w:val="false"/>
                <w:bCs w:val="false"/>
                <w:color w:val="auto"/>
                <w:sz w:val="20"/>
                <w:szCs w:val="20"/>
                <w:highlight w:val="none"/>
                <w:shd w:fill="auto" w:val="clear"/>
              </w:rPr>
            </w:pPr>
            <w:r>
              <w:rPr>
                <w:b w:val="false"/>
                <w:bCs w:val="false"/>
                <w:color w:val="000000"/>
                <w:sz w:val="20"/>
                <w:szCs w:val="20"/>
                <w:shd w:fill="auto" w:val="clear"/>
              </w:rPr>
              <w:t>1</w:t>
            </w:r>
          </w:p>
        </w:tc>
        <w:tc>
          <w:tcPr>
            <w:tcW w:w="5268" w:type="dxa"/>
            <w:tcBorders>
              <w:left w:val="single" w:sz="4" w:space="0" w:color="000000"/>
              <w:bottom w:val="single" w:sz="4" w:space="0" w:color="000000"/>
            </w:tcBorders>
          </w:tcPr>
          <w:p>
            <w:pPr>
              <w:pStyle w:val="LO-normal"/>
              <w:widowControl w:val="false"/>
              <w:suppressAutoHyphens w:val="true"/>
              <w:bidi w:val="0"/>
              <w:spacing w:lineRule="auto" w:line="276" w:before="120" w:after="120"/>
              <w:ind w:hanging="0" w:left="57" w:right="0"/>
              <w:jc w:val="both"/>
              <w:rPr>
                <w:b w:val="false"/>
                <w:bCs w:val="false"/>
                <w:color w:val="auto"/>
                <w:sz w:val="20"/>
                <w:szCs w:val="20"/>
                <w:highlight w:val="none"/>
                <w:shd w:fill="auto" w:val="clear"/>
              </w:rPr>
            </w:pPr>
            <w:r>
              <w:rPr>
                <w:b w:val="false"/>
                <w:bCs w:val="false"/>
                <w:color w:val="000000"/>
                <w:sz w:val="20"/>
                <w:szCs w:val="20"/>
                <w:shd w:fill="auto" w:val="clear"/>
              </w:rPr>
              <w:t>Locação de 04 (quatro) veículos tipo passeio, modelo hatch 0 km, freios ABS, airbag duplo, câmbio manual, 4 portas, direção hidráulica elétrica, motor 1.0, ar condicionado, trio elétrico trava, vidro, alarme, km livre, sem motorista, sem combustível, devidamente documentado com seguro total, contendo adesivos da Prefeitura Municipal de Paracambi, Secretaria de Segurança de Ordem Pública e outros a definir pela Administração, com GIROFLEX E SIRENES instalados.</w:t>
            </w:r>
          </w:p>
        </w:tc>
        <w:tc>
          <w:tcPr>
            <w:tcW w:w="794" w:type="dxa"/>
            <w:tcBorders>
              <w:left w:val="single" w:sz="4" w:space="0" w:color="000000"/>
              <w:bottom w:val="single" w:sz="4" w:space="0" w:color="000000"/>
            </w:tcBorders>
          </w:tcPr>
          <w:p>
            <w:pPr>
              <w:pStyle w:val="LO-normal"/>
              <w:widowControl w:val="false"/>
              <w:spacing w:lineRule="auto" w:line="276" w:before="0" w:after="120"/>
              <w:jc w:val="center"/>
              <w:rPr>
                <w:b w:val="false"/>
                <w:bCs w:val="false"/>
                <w:color w:val="auto"/>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jc w:val="center"/>
              <w:rPr>
                <w:b w:val="false"/>
                <w:bCs w:val="false"/>
                <w:color w:val="auto"/>
                <w:sz w:val="20"/>
                <w:szCs w:val="20"/>
                <w:highlight w:val="none"/>
                <w:shd w:fill="auto" w:val="clear"/>
              </w:rPr>
            </w:pPr>
            <w:r>
              <w:rPr>
                <w:rFonts w:eastAsia="Arial" w:cs="Arial"/>
                <w:b w:val="false"/>
                <w:bCs w:val="false"/>
                <w:color w:val="000000"/>
                <w:kern w:val="0"/>
                <w:sz w:val="20"/>
                <w:szCs w:val="20"/>
                <w:shd w:fill="auto" w:val="clear"/>
                <w:lang w:val="pt-BR" w:eastAsia="zh-CN" w:bidi="hi-IN"/>
              </w:rPr>
              <w:t>MÊS</w:t>
            </w:r>
          </w:p>
        </w:tc>
        <w:tc>
          <w:tcPr>
            <w:tcW w:w="1022" w:type="dxa"/>
            <w:tcBorders>
              <w:left w:val="single" w:sz="4" w:space="0" w:color="000000"/>
              <w:bottom w:val="single" w:sz="4" w:space="0" w:color="000000"/>
            </w:tcBorders>
          </w:tcPr>
          <w:p>
            <w:pPr>
              <w:pStyle w:val="LO-normal"/>
              <w:widowControl w:val="false"/>
              <w:spacing w:lineRule="auto" w:line="276" w:before="0" w:after="120"/>
              <w:jc w:val="center"/>
              <w:rPr>
                <w:b w:val="false"/>
                <w:bCs w:val="false"/>
                <w:color w:val="auto"/>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jc w:val="center"/>
              <w:rPr>
                <w:b w:val="false"/>
                <w:bCs w:val="false"/>
                <w:color w:val="auto"/>
                <w:sz w:val="20"/>
                <w:szCs w:val="20"/>
                <w:highlight w:val="none"/>
                <w:shd w:fill="auto" w:val="clear"/>
              </w:rPr>
            </w:pPr>
            <w:r>
              <w:rPr>
                <w:rFonts w:eastAsia="Arial" w:cs="Arial"/>
                <w:b w:val="false"/>
                <w:bCs w:val="false"/>
                <w:color w:val="000000"/>
                <w:kern w:val="0"/>
                <w:sz w:val="20"/>
                <w:szCs w:val="20"/>
                <w:shd w:fill="auto" w:val="clear"/>
                <w:lang w:val="pt-BR" w:eastAsia="zh-CN" w:bidi="hi-IN"/>
              </w:rPr>
              <w:t>4</w:t>
            </w:r>
          </w:p>
        </w:tc>
        <w:tc>
          <w:tcPr>
            <w:tcW w:w="1468" w:type="dxa"/>
            <w:tcBorders>
              <w:left w:val="single" w:sz="4" w:space="0" w:color="000000"/>
              <w:bottom w:val="single" w:sz="4" w:space="0" w:color="000000"/>
            </w:tcBorders>
          </w:tcPr>
          <w:p>
            <w:pPr>
              <w:pStyle w:val="LO-normal"/>
              <w:widowControl w:val="false"/>
              <w:spacing w:lineRule="auto" w:line="276" w:before="0" w:after="120"/>
              <w:rPr>
                <w:b w:val="false"/>
                <w:bCs w:val="false"/>
                <w:color w:val="auto"/>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rPr>
                <w:b w:val="false"/>
                <w:bCs w:val="false"/>
                <w:color w:val="auto"/>
                <w:sz w:val="20"/>
                <w:szCs w:val="20"/>
                <w:highlight w:val="none"/>
                <w:shd w:fill="auto" w:val="clear"/>
              </w:rPr>
            </w:pPr>
            <w:r>
              <w:rPr>
                <w:b w:val="false"/>
                <w:bCs w:val="false"/>
                <w:color w:val="000000"/>
                <w:sz w:val="20"/>
                <w:szCs w:val="20"/>
                <w:shd w:fill="auto" w:val="clear"/>
              </w:rPr>
              <w:t>R$ 13.100,00</w:t>
            </w:r>
          </w:p>
        </w:tc>
        <w:tc>
          <w:tcPr>
            <w:tcW w:w="1709" w:type="dxa"/>
            <w:tcBorders>
              <w:left w:val="single" w:sz="4" w:space="0" w:color="000000"/>
              <w:bottom w:val="single" w:sz="4" w:space="0" w:color="000000"/>
              <w:right w:val="single" w:sz="4" w:space="0" w:color="000000"/>
            </w:tcBorders>
          </w:tcPr>
          <w:p>
            <w:pPr>
              <w:pStyle w:val="LO-normal"/>
              <w:widowControl w:val="false"/>
              <w:spacing w:lineRule="auto" w:line="276" w:before="0" w:after="120"/>
              <w:rPr>
                <w:b w:val="false"/>
                <w:bCs w:val="false"/>
                <w:color w:val="auto"/>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rPr>
                <w:b w:val="false"/>
                <w:bCs w:val="false"/>
                <w:color w:val="auto"/>
                <w:sz w:val="20"/>
                <w:szCs w:val="20"/>
                <w:highlight w:val="none"/>
                <w:shd w:fill="auto" w:val="clear"/>
              </w:rPr>
            </w:pPr>
            <w:r>
              <w:rPr>
                <w:b w:val="false"/>
                <w:bCs w:val="false"/>
                <w:color w:val="000000"/>
                <w:sz w:val="20"/>
                <w:szCs w:val="20"/>
                <w:shd w:fill="auto" w:val="clear"/>
              </w:rPr>
              <w:t>R$ 52.593,00</w:t>
            </w:r>
          </w:p>
        </w:tc>
      </w:tr>
      <w:tr>
        <w:trPr/>
        <w:tc>
          <w:tcPr>
            <w:tcW w:w="853" w:type="dxa"/>
            <w:tcBorders>
              <w:left w:val="single" w:sz="4" w:space="0" w:color="000000"/>
              <w:bottom w:val="single" w:sz="4" w:space="0" w:color="000000"/>
            </w:tcBorders>
          </w:tcPr>
          <w:p>
            <w:pPr>
              <w:pStyle w:val="LO-normal"/>
              <w:widowControl w:val="false"/>
              <w:spacing w:lineRule="auto" w:line="276" w:before="0" w:after="120"/>
              <w:jc w:val="center"/>
              <w:rPr>
                <w:b w:val="false"/>
                <w:bCs w:val="false"/>
                <w:color w:val="000000"/>
                <w:sz w:val="20"/>
                <w:szCs w:val="20"/>
                <w:highlight w:val="none"/>
                <w:shd w:fill="auto" w:val="clear"/>
              </w:rPr>
            </w:pPr>
            <w:r>
              <w:rPr>
                <w:b w:val="false"/>
                <w:bCs w:val="false"/>
                <w:color w:val="000000"/>
                <w:sz w:val="20"/>
                <w:szCs w:val="20"/>
                <w:shd w:fill="auto" w:val="clear"/>
              </w:rPr>
            </w:r>
          </w:p>
        </w:tc>
        <w:tc>
          <w:tcPr>
            <w:tcW w:w="5268" w:type="dxa"/>
            <w:tcBorders>
              <w:left w:val="single" w:sz="4" w:space="0" w:color="000000"/>
              <w:bottom w:val="single" w:sz="4" w:space="0" w:color="000000"/>
            </w:tcBorders>
          </w:tcPr>
          <w:p>
            <w:pPr>
              <w:pStyle w:val="LO-normal"/>
              <w:widowControl w:val="false"/>
              <w:spacing w:lineRule="auto" w:line="276" w:before="0" w:after="120"/>
              <w:rPr>
                <w:b w:val="false"/>
                <w:bCs w:val="false"/>
                <w:color w:val="000000"/>
                <w:sz w:val="20"/>
                <w:szCs w:val="20"/>
                <w:highlight w:val="none"/>
                <w:shd w:fill="auto" w:val="clear"/>
              </w:rPr>
            </w:pPr>
            <w:r>
              <w:rPr>
                <w:b w:val="false"/>
                <w:bCs w:val="false"/>
                <w:color w:val="000000"/>
                <w:sz w:val="20"/>
                <w:szCs w:val="20"/>
                <w:shd w:fill="auto" w:val="clear"/>
              </w:rPr>
            </w:r>
          </w:p>
        </w:tc>
        <w:tc>
          <w:tcPr>
            <w:tcW w:w="794" w:type="dxa"/>
            <w:tcBorders>
              <w:left w:val="single" w:sz="4" w:space="0" w:color="000000"/>
              <w:bottom w:val="single" w:sz="4" w:space="0" w:color="000000"/>
            </w:tcBorders>
          </w:tcPr>
          <w:p>
            <w:pPr>
              <w:pStyle w:val="LO-normal"/>
              <w:widowControl w:val="false"/>
              <w:spacing w:lineRule="auto" w:line="276" w:before="0" w:after="120"/>
              <w:jc w:val="center"/>
              <w:rPr>
                <w:b w:val="false"/>
                <w:bCs w:val="false"/>
                <w:color w:val="000000"/>
                <w:sz w:val="20"/>
                <w:szCs w:val="20"/>
                <w:highlight w:val="none"/>
                <w:shd w:fill="auto" w:val="clear"/>
              </w:rPr>
            </w:pPr>
            <w:r>
              <w:rPr>
                <w:b w:val="false"/>
                <w:bCs w:val="false"/>
                <w:color w:val="000000"/>
                <w:sz w:val="20"/>
                <w:szCs w:val="20"/>
                <w:shd w:fill="auto" w:val="clear"/>
              </w:rPr>
            </w:r>
          </w:p>
        </w:tc>
        <w:tc>
          <w:tcPr>
            <w:tcW w:w="1022" w:type="dxa"/>
            <w:tcBorders>
              <w:left w:val="single" w:sz="4" w:space="0" w:color="000000"/>
              <w:bottom w:val="single" w:sz="4" w:space="0" w:color="000000"/>
            </w:tcBorders>
          </w:tcPr>
          <w:p>
            <w:pPr>
              <w:pStyle w:val="LO-normal"/>
              <w:widowControl w:val="false"/>
              <w:spacing w:lineRule="auto" w:line="276" w:before="0" w:after="120"/>
              <w:jc w:val="center"/>
              <w:rPr>
                <w:b w:val="false"/>
                <w:bCs w:val="false"/>
                <w:color w:val="000000"/>
                <w:sz w:val="20"/>
                <w:szCs w:val="20"/>
                <w:highlight w:val="none"/>
                <w:shd w:fill="auto" w:val="clear"/>
              </w:rPr>
            </w:pPr>
            <w:r>
              <w:rPr>
                <w:b w:val="false"/>
                <w:bCs w:val="false"/>
                <w:color w:val="000000"/>
                <w:sz w:val="20"/>
                <w:szCs w:val="20"/>
                <w:shd w:fill="auto" w:val="clear"/>
              </w:rPr>
            </w:r>
          </w:p>
        </w:tc>
        <w:tc>
          <w:tcPr>
            <w:tcW w:w="1468" w:type="dxa"/>
            <w:tcBorders>
              <w:left w:val="single" w:sz="4" w:space="0" w:color="000000"/>
              <w:bottom w:val="single" w:sz="4" w:space="0" w:color="000000"/>
            </w:tcBorders>
          </w:tcPr>
          <w:p>
            <w:pPr>
              <w:pStyle w:val="LO-normal"/>
              <w:widowControl w:val="false"/>
              <w:spacing w:lineRule="auto" w:line="276" w:before="0" w:after="120"/>
              <w:rPr>
                <w:b w:val="false"/>
                <w:bCs w:val="false"/>
                <w:color w:val="000000"/>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rPr>
                <w:b w:val="false"/>
                <w:bCs w:val="false"/>
                <w:sz w:val="20"/>
                <w:szCs w:val="20"/>
                <w:highlight w:val="none"/>
                <w:shd w:fill="auto" w:val="clear"/>
              </w:rPr>
            </w:pPr>
            <w:r>
              <w:rPr>
                <w:b w:val="false"/>
                <w:bCs w:val="false"/>
                <w:color w:val="000000"/>
                <w:sz w:val="20"/>
                <w:szCs w:val="20"/>
                <w:shd w:fill="auto" w:val="clear"/>
              </w:rPr>
              <w:t>TOTAL GERAL</w:t>
            </w:r>
          </w:p>
        </w:tc>
        <w:tc>
          <w:tcPr>
            <w:tcW w:w="1709" w:type="dxa"/>
            <w:tcBorders>
              <w:left w:val="single" w:sz="4" w:space="0" w:color="000000"/>
              <w:bottom w:val="single" w:sz="4" w:space="0" w:color="000000"/>
              <w:right w:val="single" w:sz="4" w:space="0" w:color="000000"/>
            </w:tcBorders>
          </w:tcPr>
          <w:p>
            <w:pPr>
              <w:pStyle w:val="LO-normal"/>
              <w:widowControl w:val="false"/>
              <w:spacing w:lineRule="auto" w:line="276" w:before="0" w:after="120"/>
              <w:rPr>
                <w:b w:val="false"/>
                <w:bCs w:val="false"/>
                <w:color w:val="000000"/>
                <w:sz w:val="20"/>
                <w:szCs w:val="20"/>
                <w:highlight w:val="none"/>
                <w:shd w:fill="auto" w:val="clear"/>
              </w:rPr>
            </w:pPr>
            <w:r>
              <w:rPr>
                <w:b w:val="false"/>
                <w:bCs w:val="false"/>
                <w:color w:val="000000"/>
                <w:sz w:val="20"/>
                <w:szCs w:val="20"/>
                <w:shd w:fill="auto" w:val="clear"/>
              </w:rPr>
            </w:r>
          </w:p>
          <w:p>
            <w:pPr>
              <w:pStyle w:val="LO-normal"/>
              <w:widowControl w:val="false"/>
              <w:spacing w:lineRule="auto" w:line="276" w:before="0" w:after="120"/>
              <w:rPr>
                <w:b w:val="false"/>
                <w:bCs w:val="false"/>
                <w:color w:val="auto"/>
                <w:sz w:val="20"/>
                <w:szCs w:val="20"/>
                <w:highlight w:val="none"/>
                <w:shd w:fill="auto" w:val="clear"/>
              </w:rPr>
            </w:pPr>
            <w:r>
              <w:rPr>
                <w:b w:val="false"/>
                <w:bCs w:val="false"/>
                <w:color w:val="000000"/>
                <w:sz w:val="20"/>
                <w:szCs w:val="20"/>
                <w:shd w:fill="auto" w:val="clear"/>
              </w:rPr>
              <w:t>R$ 52.593,00</w:t>
            </w:r>
          </w:p>
        </w:tc>
      </w:tr>
    </w:tbl>
    <w:p>
      <w:pPr>
        <w:pStyle w:val="LO-normal"/>
        <w:widowControl/>
        <w:suppressAutoHyphens w:val="true"/>
        <w:bidi w:val="0"/>
        <w:spacing w:lineRule="auto" w:line="276" w:before="120" w:after="120"/>
        <w:ind w:hanging="0" w:left="567" w:right="0"/>
        <w:jc w:val="both"/>
        <w:rPr>
          <w:color w:val="000000"/>
        </w:rPr>
      </w:pPr>
      <w:r>
        <w:rPr>
          <w:color w:val="000000"/>
        </w:rPr>
        <w:t>1.2.1. Havendo mais de item ou lote faculta-se ao fornecedor a participação em quantos forem de seu interesse. Entretanto, optando-se por participar de um lote, deve o fornecedor enviar proposta para todos os itens que o compõem.</w:t>
      </w:r>
    </w:p>
    <w:p>
      <w:pPr>
        <w:pStyle w:val="LO-normal"/>
        <w:widowControl/>
        <w:suppressAutoHyphens w:val="true"/>
        <w:bidi w:val="0"/>
        <w:spacing w:lineRule="auto" w:line="276" w:before="120" w:after="120"/>
        <w:ind w:hanging="0" w:left="567" w:right="0"/>
        <w:jc w:val="both"/>
        <w:rPr>
          <w:color w:val="000000"/>
        </w:rPr>
      </w:pPr>
      <w:r>
        <w:rPr>
          <w:color w:val="000000"/>
        </w:rPr>
        <w:t>1.3. O critério de julgamento adotado será o</w:t>
      </w:r>
      <w:r>
        <w:rPr>
          <w:i/>
          <w:color w:val="000000"/>
        </w:rPr>
        <w:t xml:space="preserve"> </w:t>
      </w:r>
      <w:r>
        <w:rPr>
          <w:color w:val="000000"/>
        </w:rPr>
        <w:t>menor preço,</w:t>
      </w:r>
      <w:r>
        <w:rPr>
          <w:color w:val="FF0000"/>
        </w:rPr>
        <w:t xml:space="preserve"> </w:t>
      </w:r>
      <w:r>
        <w:rPr>
          <w:color w:val="000000"/>
        </w:rPr>
        <w:t>observadas as exigências contidas neste Aviso de Contratação Direta e seus Anexos quanto às especificações do objeto.</w:t>
      </w:r>
    </w:p>
    <w:p>
      <w:pPr>
        <w:pStyle w:val="LO-normal"/>
        <w:widowControl/>
        <w:suppressAutoHyphens w:val="true"/>
        <w:bidi w:val="0"/>
        <w:spacing w:lineRule="auto" w:line="276" w:before="120" w:after="120"/>
        <w:ind w:hanging="0" w:left="0" w:right="0"/>
        <w:jc w:val="both"/>
        <w:rPr>
          <w:b/>
          <w:color w:val="000000"/>
        </w:rPr>
      </w:pPr>
      <w:r>
        <w:rPr>
          <w:b/>
          <w:color w:val="000000"/>
        </w:rPr>
        <w:t>2. PARTICIPAÇÃO NA DISPENSA ELETRÔNICA.</w:t>
      </w:r>
    </w:p>
    <w:p>
      <w:pPr>
        <w:pStyle w:val="LO-normal"/>
        <w:spacing w:lineRule="auto" w:line="276" w:before="120" w:after="120"/>
        <w:ind w:hanging="0" w:left="708"/>
        <w:jc w:val="both"/>
        <w:rPr/>
      </w:pPr>
      <w:r>
        <w:rPr/>
        <w:t xml:space="preserve">2.1. A participação na presente dispensa eletrônica se dará mediante Sistema de Dispensa Eletrônica integrante do </w:t>
      </w:r>
      <w:r>
        <w:rPr>
          <w:rFonts w:eastAsia="Arial" w:cs="Arial"/>
          <w:b/>
          <w:bCs/>
          <w:color w:val="auto"/>
          <w:kern w:val="0"/>
          <w:sz w:val="20"/>
          <w:szCs w:val="20"/>
          <w:lang w:val="pt-BR" w:eastAsia="zh-CN" w:bidi="hi-IN"/>
        </w:rPr>
        <w:t>Sistema  BLL Compras</w:t>
      </w:r>
      <w:r>
        <w:rPr/>
        <w:t xml:space="preserve"> – , disponível no endereço eletrônico </w:t>
      </w:r>
      <w:r>
        <w:rPr>
          <w:rFonts w:eastAsia="Arial" w:cs="Arial"/>
          <w:b/>
          <w:bCs/>
          <w:color w:val="000000"/>
          <w:kern w:val="0"/>
          <w:sz w:val="20"/>
          <w:szCs w:val="20"/>
          <w:shd w:fill="auto" w:val="clear"/>
          <w:lang w:val="pt-BR" w:eastAsia="zh-CN" w:bidi="hi-IN"/>
        </w:rPr>
        <w:t>www.bll.org.br</w:t>
      </w:r>
    </w:p>
    <w:p>
      <w:pPr>
        <w:pStyle w:val="LO-normal"/>
        <w:widowControl/>
        <w:suppressAutoHyphens w:val="true"/>
        <w:bidi w:val="0"/>
        <w:spacing w:lineRule="auto" w:line="276" w:before="120" w:after="120"/>
        <w:ind w:hanging="0" w:left="737" w:right="0"/>
        <w:jc w:val="both"/>
        <w:rPr/>
      </w:pPr>
      <w:r>
        <w:rPr/>
        <w:t xml:space="preserve">2.1.1. Os fornecedores deverão atender aos procedimentos previstos no Manual do Sistema de Dispensa Eletrônica, disponível no </w:t>
      </w:r>
      <w:r>
        <w:rPr>
          <w:rFonts w:eastAsia="Arial" w:cs="Arial"/>
          <w:b/>
          <w:bCs/>
          <w:color w:val="000000"/>
          <w:kern w:val="0"/>
          <w:sz w:val="20"/>
          <w:szCs w:val="20"/>
          <w:shd w:fill="auto" w:val="clear"/>
          <w:lang w:val="pt-BR" w:eastAsia="zh-CN" w:bidi="hi-IN"/>
        </w:rPr>
        <w:t>www.bll.org.br</w:t>
      </w:r>
      <w:r>
        <w:rPr>
          <w:rFonts w:eastAsia="Arial" w:cs="Arial"/>
          <w:color w:val="auto"/>
          <w:kern w:val="0"/>
          <w:sz w:val="20"/>
          <w:szCs w:val="20"/>
          <w:lang w:val="pt-BR" w:eastAsia="zh-CN" w:bidi="hi-IN"/>
        </w:rPr>
        <w:t xml:space="preserve">, </w:t>
      </w:r>
      <w:r>
        <w:rPr/>
        <w:t>para acesso ao sistema e operacionalização.</w:t>
      </w:r>
    </w:p>
    <w:p>
      <w:pPr>
        <w:pStyle w:val="LO-normal"/>
        <w:widowControl/>
        <w:suppressAutoHyphens w:val="true"/>
        <w:bidi w:val="0"/>
        <w:spacing w:lineRule="auto" w:line="276" w:before="120" w:after="120"/>
        <w:ind w:hanging="0" w:left="737" w:right="0"/>
        <w:jc w:val="both"/>
        <w:rPr/>
      </w:pPr>
      <w:r>
        <w:rPr/>
        <w:t>2.1.2.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O-normal"/>
        <w:spacing w:lineRule="auto" w:line="276" w:before="120" w:after="120"/>
        <w:ind w:firstLine="708"/>
        <w:jc w:val="both"/>
        <w:rPr>
          <w:color w:val="000000"/>
        </w:rPr>
      </w:pPr>
      <w:r>
        <w:rPr>
          <w:color w:val="000000"/>
        </w:rPr>
        <w:t>2.2. Não poderão participar desta dispensa os fornecedores:</w:t>
      </w:r>
    </w:p>
    <w:p>
      <w:pPr>
        <w:pStyle w:val="LO-normal"/>
        <w:spacing w:lineRule="auto" w:line="276" w:before="120" w:after="120"/>
        <w:ind w:hanging="0" w:left="1416"/>
        <w:jc w:val="both"/>
        <w:rPr>
          <w:color w:val="000000"/>
        </w:rPr>
      </w:pPr>
      <w:r>
        <w:rPr>
          <w:color w:val="000000"/>
        </w:rPr>
        <w:t>2.2.1. que não atendam às condições deste Aviso de Contratação Direta e seu(s) anexo(s);</w:t>
      </w:r>
    </w:p>
    <w:p>
      <w:pPr>
        <w:pStyle w:val="LO-normal"/>
        <w:spacing w:lineRule="auto" w:line="276" w:before="120" w:after="120"/>
        <w:ind w:hanging="0" w:left="1416"/>
        <w:jc w:val="both"/>
        <w:rPr>
          <w:color w:val="000000"/>
        </w:rPr>
      </w:pPr>
      <w:r>
        <w:rPr>
          <w:color w:val="000000"/>
        </w:rPr>
        <w:t>2.2.2. estrangeiros que não tenham representação legal no Brasil com poderes expressos para receber citação e responder administrativa ou judicialmente;</w:t>
      </w:r>
    </w:p>
    <w:p>
      <w:pPr>
        <w:pStyle w:val="LO-normal"/>
        <w:spacing w:lineRule="auto" w:line="276" w:before="120" w:after="120"/>
        <w:ind w:firstLine="708" w:left="708"/>
        <w:jc w:val="both"/>
        <w:rPr>
          <w:color w:val="000000"/>
        </w:rPr>
      </w:pPr>
      <w:r>
        <w:rPr>
          <w:color w:val="000000"/>
        </w:rPr>
        <w:t>2.2.3. que se enquadrem nas seguintes vedações:</w:t>
      </w:r>
    </w:p>
    <w:p>
      <w:pPr>
        <w:pStyle w:val="LO-normal"/>
        <w:tabs>
          <w:tab w:val="clear" w:pos="720"/>
          <w:tab w:val="left" w:pos="1560" w:leader="none"/>
        </w:tabs>
        <w:spacing w:lineRule="auto" w:line="276" w:before="120" w:after="120"/>
        <w:ind w:hanging="0" w:left="709"/>
        <w:jc w:val="both"/>
        <w:rPr>
          <w:color w:val="000000"/>
        </w:rPr>
      </w:pPr>
      <w:r>
        <w:rPr>
          <w:color w:val="000000"/>
        </w:rPr>
        <w:t>a) autor do anteprojeto, do projeto básico ou do projeto executivo, pessoa física ou jurídica, quando a contratação versar sobre obra, serviços ou fornecimento de bens a ele relacionados;</w:t>
      </w:r>
    </w:p>
    <w:p>
      <w:pPr>
        <w:pStyle w:val="LO-normal"/>
        <w:widowControl/>
        <w:suppressAutoHyphens w:val="true"/>
        <w:bidi w:val="0"/>
        <w:spacing w:lineRule="auto" w:line="276" w:before="120" w:after="120"/>
        <w:ind w:hanging="0" w:left="737" w:right="0"/>
        <w:jc w:val="both"/>
        <w:rPr>
          <w:color w:val="000000"/>
        </w:rPr>
      </w:pPr>
      <w:r>
        <w:rPr>
          <w:color w:val="00000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LO-normal"/>
        <w:widowControl/>
        <w:suppressAutoHyphens w:val="true"/>
        <w:bidi w:val="0"/>
        <w:spacing w:lineRule="auto" w:line="276" w:before="120" w:after="120"/>
        <w:ind w:hanging="0" w:left="737" w:right="0"/>
        <w:jc w:val="both"/>
        <w:rPr>
          <w:color w:val="000000"/>
        </w:rPr>
      </w:pPr>
      <w:r>
        <w:rPr>
          <w:color w:val="000000"/>
        </w:rPr>
        <w:t>c) pessoa física ou jurídica que se encontre, ao tempo da contratação, impossibilitada de contratar em decorrência de sanção que lhe foi imposta;</w:t>
      </w:r>
    </w:p>
    <w:p>
      <w:pPr>
        <w:pStyle w:val="LO-normal"/>
        <w:widowControl/>
        <w:suppressAutoHyphens w:val="true"/>
        <w:bidi w:val="0"/>
        <w:spacing w:lineRule="auto" w:line="276" w:before="120" w:after="120"/>
        <w:ind w:hanging="0" w:left="737" w:right="0"/>
        <w:jc w:val="both"/>
        <w:rPr>
          <w:color w:val="000000"/>
        </w:rPr>
      </w:pPr>
      <w:r>
        <w:rPr>
          <w:color w:val="000000"/>
        </w:rPr>
        <w:t>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O-normal"/>
        <w:widowControl/>
        <w:suppressAutoHyphens w:val="true"/>
        <w:bidi w:val="0"/>
        <w:spacing w:lineRule="auto" w:line="276" w:before="120" w:after="120"/>
        <w:ind w:hanging="0" w:left="737" w:right="0"/>
        <w:jc w:val="both"/>
        <w:rPr>
          <w:color w:val="000000"/>
        </w:rPr>
      </w:pPr>
      <w:r>
        <w:rPr>
          <w:color w:val="000000"/>
        </w:rPr>
        <w:t>e) empresas controladoras, controladas ou coligadas, nos termos da Lei Federal nº 6.404/1976, concorrendo entre si;</w:t>
      </w:r>
    </w:p>
    <w:p>
      <w:pPr>
        <w:pStyle w:val="LO-normal"/>
        <w:widowControl/>
        <w:suppressAutoHyphens w:val="true"/>
        <w:bidi w:val="0"/>
        <w:spacing w:lineRule="auto" w:line="276" w:before="120" w:after="120"/>
        <w:ind w:hanging="0" w:left="737" w:right="0"/>
        <w:jc w:val="both"/>
        <w:rPr>
          <w:color w:val="000000"/>
        </w:rPr>
      </w:pPr>
      <w:r>
        <w:rPr>
          <w:color w:val="00000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O-normal"/>
        <w:widowControl/>
        <w:suppressAutoHyphens w:val="true"/>
        <w:bidi w:val="0"/>
        <w:spacing w:lineRule="auto" w:line="276" w:before="120" w:after="120"/>
        <w:ind w:hanging="0" w:left="1417" w:right="0"/>
        <w:jc w:val="both"/>
        <w:rPr/>
      </w:pPr>
      <w:r>
        <w:rPr>
          <w:color w:val="000000"/>
        </w:rPr>
        <w:t>2.2.3.1. Equiparam-se aos autores do projeto as empresas integrantes do mesmo grupo econômico;</w:t>
      </w:r>
    </w:p>
    <w:p>
      <w:pPr>
        <w:pStyle w:val="LO-normal"/>
        <w:widowControl/>
        <w:suppressAutoHyphens w:val="true"/>
        <w:bidi w:val="0"/>
        <w:spacing w:lineRule="auto" w:line="276" w:before="120" w:after="120"/>
        <w:ind w:hanging="0" w:left="1417" w:right="0"/>
        <w:jc w:val="both"/>
        <w:rPr/>
      </w:pPr>
      <w:r>
        <w:rPr>
          <w:color w:val="000000"/>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O-normal"/>
        <w:spacing w:lineRule="auto" w:line="276" w:before="120" w:after="120"/>
        <w:ind w:hanging="0" w:left="1416"/>
        <w:jc w:val="both"/>
        <w:rPr>
          <w:color w:val="000000"/>
        </w:rPr>
      </w:pPr>
      <w:r>
        <w:rPr>
          <w:color w:val="000000"/>
        </w:rPr>
        <w:t>2.2.4. organizações da Sociedade Civil de Interesse Público - OSCIP, atuando nessa condição (Acórdão nº 746/2014-TCU-Plenário); e</w:t>
      </w:r>
    </w:p>
    <w:p>
      <w:pPr>
        <w:pStyle w:val="LO-normal"/>
        <w:spacing w:lineRule="auto" w:line="276" w:before="120" w:after="120"/>
        <w:ind w:hanging="0" w:left="1416"/>
        <w:jc w:val="both"/>
        <w:rPr>
          <w:iCs/>
        </w:rPr>
      </w:pPr>
      <w:r>
        <w:rPr>
          <w:iCs/>
        </w:rPr>
        <w:t>2.2.5. Sociedades Cooperativas.</w:t>
      </w:r>
    </w:p>
    <w:p>
      <w:pPr>
        <w:pStyle w:val="LO-normal"/>
        <w:spacing w:lineRule="auto" w:line="276" w:before="120" w:after="120"/>
        <w:jc w:val="both"/>
        <w:rPr>
          <w:b/>
          <w:color w:val="000000"/>
        </w:rPr>
      </w:pPr>
      <w:r>
        <w:rPr>
          <w:b/>
          <w:color w:val="000000"/>
        </w:rPr>
        <w:t>3. INGRESSO NA DISPENSA ELETRÔNICA E CADASTRAMENTO DA PROPOSTA INICIAL</w:t>
      </w:r>
    </w:p>
    <w:p>
      <w:pPr>
        <w:pStyle w:val="LO-normal"/>
        <w:spacing w:lineRule="auto" w:line="276" w:before="120" w:after="120"/>
        <w:ind w:hanging="0" w:left="708"/>
        <w:jc w:val="both"/>
        <w:rPr/>
      </w:pPr>
      <w:r>
        <w:rPr/>
        <w:t>3.1. O ingresso do fornecedor na disputa da dispensa eletrônica se dará com o cadastramento de sua proposta inicial, na forma deste item.</w:t>
      </w:r>
    </w:p>
    <w:p>
      <w:pPr>
        <w:pStyle w:val="LO-normal"/>
        <w:spacing w:lineRule="auto" w:line="276" w:before="120" w:after="120"/>
        <w:ind w:hanging="0" w:left="708"/>
        <w:jc w:val="both"/>
        <w:rPr/>
      </w:pPr>
      <w:r>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LO-normal"/>
        <w:spacing w:lineRule="auto" w:line="276" w:before="120" w:after="120"/>
        <w:ind w:hanging="0" w:left="1416"/>
        <w:jc w:val="both"/>
        <w:rPr/>
      </w:pPr>
      <w:r>
        <w:rPr/>
        <w:t>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O-normal"/>
        <w:spacing w:lineRule="auto" w:line="276" w:before="120" w:after="120"/>
        <w:ind w:hanging="0" w:left="709"/>
        <w:jc w:val="both"/>
        <w:rPr/>
      </w:pPr>
      <w:r>
        <w:rPr/>
        <w:t xml:space="preserve">3.3. Todas as especificações do </w:t>
      </w:r>
      <w:r>
        <w:rPr>
          <w:color w:val="000000"/>
        </w:rPr>
        <w:t>objeto</w:t>
      </w:r>
      <w:r>
        <w:rPr/>
        <w:t xml:space="preserve"> contidas na proposta, em especial o preço, vinculam a Contratada.</w:t>
      </w:r>
    </w:p>
    <w:p>
      <w:pPr>
        <w:pStyle w:val="LO-normal"/>
        <w:spacing w:lineRule="auto" w:line="276" w:before="120" w:after="120"/>
        <w:ind w:hanging="0" w:left="709"/>
        <w:jc w:val="both"/>
        <w:rPr/>
      </w:pPr>
      <w:r>
        <w:rPr/>
        <w:t>3.4. Nos valores propostos estarão inclusos todos os custos operacionais, encargos previdenciários, trabalhistas, tributários, comerciais e quaisquer outros que incidam direta ou indiretamente na prestação dos serviços;</w:t>
      </w:r>
    </w:p>
    <w:p>
      <w:pPr>
        <w:pStyle w:val="LO-normal"/>
        <w:spacing w:lineRule="auto" w:line="276" w:before="120" w:after="120"/>
        <w:ind w:hanging="0" w:left="1416"/>
        <w:jc w:val="both"/>
        <w:rPr/>
      </w:pPr>
      <w:r>
        <w:rPr/>
        <w:t>3.4.1. Os preços ofertados, tanto na proposta inicial, quanto na etapa de lances, serão de exclusiva responsabilidade do fornecedor, não lhe assistindo o direito de pleitear qualquer alteração, sob alegação de erro, omissão ou qualquer outro pretexto.</w:t>
      </w:r>
    </w:p>
    <w:p>
      <w:pPr>
        <w:pStyle w:val="LO-normal"/>
        <w:spacing w:lineRule="auto" w:line="276" w:before="120" w:after="120"/>
        <w:ind w:hanging="0" w:left="708"/>
        <w:jc w:val="both"/>
        <w:rPr/>
      </w:pPr>
      <w:r>
        <w:rPr/>
        <w:t xml:space="preserve">3.5. Se o regime tributário da empresa implicar o recolhimento de tributos em percentuais variáveis, a cotação adequada será a que corresponde à média dos efetivos recolhimentos da empresa nos últimos doze meses. </w:t>
      </w:r>
    </w:p>
    <w:p>
      <w:pPr>
        <w:pStyle w:val="LO-normal"/>
        <w:spacing w:lineRule="auto" w:line="276" w:before="120" w:after="120"/>
        <w:ind w:hanging="0" w:left="708"/>
        <w:jc w:val="both"/>
        <w:rPr/>
      </w:pPr>
      <w:r>
        <w:rPr/>
        <w:t>3.6. Independentemente do percentual de tributo inserido na planilha, no pagamento serão retidos na fonte os percentuais estabelecidos na legislação vigente.</w:t>
      </w:r>
    </w:p>
    <w:p>
      <w:pPr>
        <w:pStyle w:val="LO-normal"/>
        <w:spacing w:lineRule="auto" w:line="276" w:before="120" w:after="120"/>
        <w:ind w:hanging="0" w:left="708"/>
        <w:jc w:val="both"/>
        <w:rPr/>
      </w:pPr>
      <w:r>
        <w:rPr/>
        <w:t xml:space="preserve">3.7. A apresentação das propostas implica obrigatoriedade do cumprimento das disposições nelas contidas, em conformidade com o que dispõe o </w:t>
      </w:r>
      <w:r>
        <w:rPr>
          <w:b/>
          <w:bCs/>
          <w:color w:val="000000"/>
        </w:rPr>
        <w:t>Termo de Referência</w:t>
      </w:r>
      <w:r>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O-normal"/>
        <w:spacing w:lineRule="auto" w:line="276" w:before="120" w:after="120"/>
        <w:ind w:hanging="0" w:left="708"/>
        <w:jc w:val="both"/>
        <w:rPr/>
      </w:pPr>
      <w:r>
        <w:rPr/>
        <w:t xml:space="preserve">3.8. Uma vez enviada a proposta no sistema, os fornecedores </w:t>
      </w:r>
      <w:r>
        <w:rPr>
          <w:b/>
        </w:rPr>
        <w:t>NÃO</w:t>
      </w:r>
      <w:r>
        <w:rPr/>
        <w:t xml:space="preserve"> poderão retirá-la, substituí-la ou modificá-la</w:t>
      </w:r>
      <w:r>
        <w:rPr>
          <w:color w:val="000000"/>
        </w:rPr>
        <w:t>;</w:t>
      </w:r>
    </w:p>
    <w:p>
      <w:pPr>
        <w:pStyle w:val="LO-normal"/>
        <w:spacing w:lineRule="auto" w:line="276" w:before="120" w:after="120"/>
        <w:ind w:hanging="0" w:left="708"/>
        <w:jc w:val="both"/>
        <w:rPr>
          <w:color w:val="000000"/>
        </w:rPr>
      </w:pPr>
      <w:r>
        <w:rPr>
          <w:color w:val="000000"/>
        </w:rPr>
        <w:t xml:space="preserve">3.9. No cadastramento da proposta inicial, o fornecedor deverá, também, assinalar “sim” ou “não” em campo </w:t>
      </w:r>
      <w:r>
        <w:rPr/>
        <w:t>próprio</w:t>
      </w:r>
      <w:r>
        <w:rPr>
          <w:color w:val="000000"/>
        </w:rPr>
        <w:t xml:space="preserve"> do sistema eletrônico, às seguintes declarações: </w:t>
      </w:r>
    </w:p>
    <w:p>
      <w:pPr>
        <w:pStyle w:val="LO-normal"/>
        <w:spacing w:lineRule="auto" w:line="276" w:before="120" w:after="120"/>
        <w:ind w:hanging="0" w:left="1416"/>
        <w:jc w:val="both"/>
        <w:rPr/>
      </w:pPr>
      <w:r>
        <w:rPr/>
        <w:t>3.9.1. que inexistem fatos impeditivos para sua habilitação no certame, ciente da obrigatoriedade de declarar ocorrências posteriores;</w:t>
      </w:r>
    </w:p>
    <w:p>
      <w:pPr>
        <w:pStyle w:val="LO-normal"/>
        <w:spacing w:lineRule="auto" w:line="276" w:before="120" w:after="120"/>
        <w:ind w:hanging="0" w:left="1416"/>
        <w:jc w:val="both"/>
        <w:rPr/>
      </w:pPr>
      <w:r>
        <w:rPr/>
        <w:t xml:space="preserve">3.9.2. </w:t>
      </w:r>
      <w:r>
        <w:rPr>
          <w:color w:val="000000"/>
        </w:rPr>
        <w:t>que cumpre os requisitos estabelecidos no artigo 3° da Lei Complementar nº 123/2006, estando apto a usufruir do tratamento favorecido estabelecido em seus arts. 42 a 49.</w:t>
      </w:r>
    </w:p>
    <w:p>
      <w:pPr>
        <w:pStyle w:val="LO-normal"/>
        <w:spacing w:lineRule="auto" w:line="276" w:before="120" w:after="120"/>
        <w:ind w:hanging="0" w:left="1416"/>
        <w:jc w:val="both"/>
        <w:rPr>
          <w:color w:val="000000"/>
        </w:rPr>
      </w:pPr>
      <w:r>
        <w:rPr>
          <w:color w:val="000000"/>
        </w:rPr>
        <w:t>3.9.3. que está ciente e concorda com as condições contidas no Aviso de Contratação Direta e seus anexos;</w:t>
      </w:r>
    </w:p>
    <w:p>
      <w:pPr>
        <w:pStyle w:val="LO-normal"/>
        <w:spacing w:lineRule="auto" w:line="276" w:before="120" w:after="120"/>
        <w:ind w:hanging="0" w:left="1416"/>
        <w:jc w:val="both"/>
        <w:rPr>
          <w:color w:val="000000"/>
        </w:rPr>
      </w:pPr>
      <w:r>
        <w:rPr>
          <w:color w:val="000000"/>
        </w:rPr>
        <w:t>3.9.4. que assume a responsabilidade pelas transações que forem efetuadas no sistema, assumindo como firmes e verdadeiras;</w:t>
      </w:r>
    </w:p>
    <w:p>
      <w:pPr>
        <w:pStyle w:val="LO-normal"/>
        <w:spacing w:lineRule="auto" w:line="276" w:before="120" w:after="120"/>
        <w:ind w:hanging="0" w:left="1416"/>
        <w:jc w:val="both"/>
        <w:rPr>
          <w:color w:val="000000"/>
        </w:rPr>
      </w:pPr>
      <w:r>
        <w:rPr>
          <w:color w:val="000000"/>
        </w:rPr>
        <w:t>3.9.5. que cumpre as exigências de reserva de cargos para pessoa com deficiência e para reabilitado da Previdência Social, de que trata o art. 93 da Lei Federal nº 8.213/1991.</w:t>
      </w:r>
    </w:p>
    <w:p>
      <w:pPr>
        <w:pStyle w:val="LO-normal"/>
        <w:spacing w:lineRule="auto" w:line="276" w:before="120" w:after="120"/>
        <w:ind w:hanging="0" w:left="1416"/>
        <w:jc w:val="both"/>
        <w:rPr>
          <w:color w:val="000000"/>
        </w:rPr>
      </w:pPr>
      <w:r>
        <w:rPr>
          <w:color w:val="000000"/>
        </w:rPr>
        <w:t>3.9.6. que não emprega menor de 18 anos em trabalho noturno, perigoso ou insalubre e não emprega menor de 16 anos, salvo menor, a partir de 14 anos, na condição de aprendiz, nos termos do artigo 7°, XXXIII, da Constituição;</w:t>
      </w:r>
    </w:p>
    <w:p>
      <w:pPr>
        <w:pStyle w:val="LO-normal"/>
        <w:spacing w:lineRule="auto" w:line="276" w:before="120" w:after="120"/>
        <w:jc w:val="both"/>
        <w:rPr>
          <w:b/>
          <w:color w:val="000000"/>
        </w:rPr>
      </w:pPr>
      <w:r>
        <w:rPr>
          <w:b/>
          <w:color w:val="000000"/>
        </w:rPr>
        <w:t>4. FASE DE LANCES</w:t>
      </w:r>
    </w:p>
    <w:p>
      <w:pPr>
        <w:pStyle w:val="LO-normal"/>
        <w:spacing w:lineRule="auto" w:line="276" w:before="120" w:after="120"/>
        <w:ind w:hanging="0" w:left="708"/>
        <w:jc w:val="both"/>
        <w:rPr>
          <w:color w:val="000000"/>
        </w:rPr>
      </w:pPr>
      <w:r>
        <w:rPr>
          <w:color w:val="000000"/>
        </w:rPr>
        <w:t xml:space="preserve">4.1. A partir das 10:00h da data estabelecida neste Aviso de Contratação Direta, a sessão pública será automaticamente aberta pelo sistema para o envio de lances públicos e sucessivos, </w:t>
      </w:r>
      <w:r>
        <w:rPr/>
        <w:t xml:space="preserve">exclusivamente por meio do sistema eletrônico, </w:t>
      </w:r>
      <w:r>
        <w:rPr>
          <w:color w:val="000000"/>
        </w:rPr>
        <w:t>sendo encerrado no horário de finalização de lances também já previsto neste aviso.</w:t>
      </w:r>
    </w:p>
    <w:p>
      <w:pPr>
        <w:pStyle w:val="LO-normal"/>
        <w:spacing w:lineRule="auto" w:line="276" w:before="120" w:after="120"/>
        <w:ind w:hanging="0" w:left="708"/>
        <w:jc w:val="both"/>
        <w:rPr>
          <w:color w:val="000000"/>
        </w:rPr>
      </w:pPr>
      <w:r>
        <w:rPr>
          <w:color w:val="000000"/>
        </w:rPr>
        <w:t xml:space="preserve">4.2. Iniciada a etapa competitiva, os fornecedores deverão encaminhar lances exclusivamente por meio de sistema eletrônico, sendo imediatamente informados do seu recebimento e do valor consignado no registro. </w:t>
      </w:r>
    </w:p>
    <w:p>
      <w:pPr>
        <w:pStyle w:val="LO-normal"/>
        <w:spacing w:lineRule="auto" w:line="276" w:before="120" w:after="120"/>
        <w:ind w:firstLine="708" w:left="708"/>
        <w:jc w:val="both"/>
        <w:rPr>
          <w:color w:val="auto"/>
          <w:shd w:fill="D9D9D9" w:val="clear"/>
        </w:rPr>
      </w:pPr>
      <w:r>
        <w:rPr>
          <w:color w:val="000000"/>
        </w:rPr>
        <w:t xml:space="preserve">4.2.1. O lance deverá ser ofertado pelo </w:t>
      </w:r>
      <w:r>
        <w:rPr>
          <w:b/>
          <w:bCs/>
          <w:color w:val="000000"/>
          <w:shd w:fill="D9D9D9" w:val="clear"/>
        </w:rPr>
        <w:t>valor unitário do item</w:t>
      </w:r>
      <w:r>
        <w:rPr>
          <w:color w:val="000000"/>
          <w:shd w:fill="D9D9D9" w:val="clear"/>
        </w:rPr>
        <w:t>.</w:t>
      </w:r>
    </w:p>
    <w:p>
      <w:pPr>
        <w:pStyle w:val="LO-normal"/>
        <w:spacing w:lineRule="auto" w:line="276" w:before="120" w:after="120"/>
        <w:ind w:hanging="0" w:left="708"/>
        <w:jc w:val="both"/>
        <w:rPr>
          <w:color w:val="000000"/>
        </w:rPr>
      </w:pPr>
      <w:r>
        <w:rPr>
          <w:color w:val="000000"/>
        </w:rPr>
        <w:t>4.3. O fornecedor somente poderá oferecer valor inferior ou maior percentual em relação ao último lance por ele ofertado e registrado pelo sistema.</w:t>
      </w:r>
    </w:p>
    <w:p>
      <w:pPr>
        <w:pStyle w:val="LO-normal"/>
        <w:spacing w:lineRule="auto" w:line="276" w:before="120" w:after="120"/>
        <w:ind w:hanging="0" w:left="1416"/>
        <w:jc w:val="both"/>
        <w:rPr/>
      </w:pPr>
      <w:r>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O-normal"/>
        <w:spacing w:lineRule="auto" w:line="276" w:before="120" w:after="120"/>
        <w:ind w:hanging="0" w:left="1416"/>
        <w:jc w:val="both"/>
        <w:rPr>
          <w:color w:val="000000"/>
        </w:rPr>
      </w:pPr>
      <w:r>
        <w:rPr>
          <w:color w:val="000000"/>
        </w:rPr>
        <w:t>4.3.2. O intervalo mínimo de diferença de valores ou percentuais entre os lances, que incidirá tanto em relação aos lances intermediários quanto em relação ao que cobrir a melhor oferta é de</w:t>
      </w:r>
      <w:r>
        <w:rPr>
          <w:i/>
          <w:color w:val="000000"/>
          <w:shd w:fill="auto" w:val="clear"/>
        </w:rPr>
        <w:t xml:space="preserve"> </w:t>
      </w:r>
      <w:r>
        <w:rPr>
          <w:b/>
          <w:bCs/>
          <w:color w:val="000000"/>
          <w:shd w:fill="auto" w:val="clear"/>
        </w:rPr>
        <w:t xml:space="preserve">R$ </w:t>
      </w:r>
      <w:r>
        <w:rPr>
          <w:rFonts w:eastAsia="Arial" w:cs="Arial"/>
          <w:b/>
          <w:bCs/>
          <w:color w:val="000000"/>
          <w:kern w:val="0"/>
          <w:sz w:val="20"/>
          <w:szCs w:val="20"/>
          <w:shd w:fill="auto" w:val="clear"/>
          <w:lang w:val="pt-BR" w:eastAsia="zh-CN" w:bidi="hi-IN"/>
        </w:rPr>
        <w:t>1,00</w:t>
      </w:r>
      <w:r>
        <w:rPr>
          <w:b/>
          <w:bCs/>
          <w:color w:val="000000"/>
          <w:shd w:fill="auto" w:val="clear"/>
        </w:rPr>
        <w:t xml:space="preserve"> (</w:t>
      </w:r>
      <w:r>
        <w:rPr>
          <w:rFonts w:eastAsia="Arial" w:cs="Arial"/>
          <w:b/>
          <w:bCs/>
          <w:color w:val="000000"/>
          <w:kern w:val="0"/>
          <w:sz w:val="20"/>
          <w:szCs w:val="20"/>
          <w:shd w:fill="auto" w:val="clear"/>
          <w:lang w:val="pt-BR" w:eastAsia="zh-CN" w:bidi="hi-IN"/>
        </w:rPr>
        <w:t>um</w:t>
      </w:r>
      <w:r>
        <w:rPr>
          <w:b/>
          <w:bCs/>
          <w:color w:val="000000"/>
          <w:shd w:fill="auto" w:val="clear"/>
        </w:rPr>
        <w:t xml:space="preserve"> </w:t>
      </w:r>
      <w:r>
        <w:rPr>
          <w:rFonts w:eastAsia="Arial" w:cs="Arial"/>
          <w:b/>
          <w:bCs/>
          <w:color w:val="000000"/>
          <w:kern w:val="0"/>
          <w:sz w:val="20"/>
          <w:szCs w:val="20"/>
          <w:shd w:fill="auto" w:val="clear"/>
          <w:lang w:val="pt-BR" w:eastAsia="zh-CN" w:bidi="hi-IN"/>
        </w:rPr>
        <w:t>real</w:t>
      </w:r>
      <w:r>
        <w:rPr>
          <w:b/>
          <w:bCs/>
          <w:color w:val="000000"/>
          <w:shd w:fill="auto" w:val="clear"/>
        </w:rPr>
        <w:t>)</w:t>
      </w:r>
      <w:r>
        <w:rPr>
          <w:color w:val="000000"/>
          <w:shd w:fill="auto" w:val="clear"/>
        </w:rPr>
        <w:t>.</w:t>
      </w:r>
    </w:p>
    <w:p>
      <w:pPr>
        <w:pStyle w:val="LO-normal"/>
        <w:spacing w:lineRule="auto" w:line="276" w:before="120" w:after="120"/>
        <w:ind w:hanging="0" w:left="708"/>
        <w:jc w:val="both"/>
        <w:rPr>
          <w:color w:val="000000"/>
        </w:rPr>
      </w:pPr>
      <w:r>
        <w:rPr>
          <w:color w:val="000000"/>
        </w:rPr>
        <w:t>4.4. Havendo lances iguais ao menor já ofertado, prevalecerá aquele que for recebido e registrado primeiro no sistema.</w:t>
      </w:r>
    </w:p>
    <w:p>
      <w:pPr>
        <w:pStyle w:val="LO-normal"/>
        <w:spacing w:lineRule="auto" w:line="276" w:before="120" w:after="120"/>
        <w:ind w:hanging="0" w:left="708"/>
        <w:jc w:val="both"/>
        <w:rPr>
          <w:color w:val="000000"/>
        </w:rPr>
      </w:pPr>
      <w:r>
        <w:rPr>
          <w:color w:val="000000"/>
        </w:rPr>
        <w:t>4.5. Caso o fornecedor não apresente lances, concorrerá com o valor de sua proposta.</w:t>
      </w:r>
    </w:p>
    <w:p>
      <w:pPr>
        <w:pStyle w:val="LO-normal"/>
        <w:spacing w:lineRule="auto" w:line="276" w:before="120" w:after="120"/>
        <w:ind w:hanging="0" w:left="708"/>
        <w:jc w:val="both"/>
        <w:rPr>
          <w:color w:val="000000"/>
        </w:rPr>
      </w:pPr>
      <w:r>
        <w:rPr>
          <w:color w:val="000000"/>
        </w:rPr>
        <w:t>4.6. Durante o procedimento, os fornecedores serão informados, em tempo real, do valor do menor lance registrado, vedada a identificação do fornecedor.</w:t>
      </w:r>
    </w:p>
    <w:p>
      <w:pPr>
        <w:pStyle w:val="LO-normal"/>
        <w:spacing w:lineRule="auto" w:line="276" w:before="120" w:after="120"/>
        <w:ind w:hanging="0" w:left="708"/>
        <w:jc w:val="both"/>
        <w:rPr>
          <w:color w:val="000000"/>
        </w:rPr>
      </w:pPr>
      <w:r>
        <w:rPr>
          <w:color w:val="000000"/>
        </w:rPr>
        <w:t>4.7. Imediatamente após o término do prazo estabelecido para a fase de lances, haverá o seu encerramento, com o ordenamento e divulgação dos lances, pelo sistema, em ordem crescente de classificação.</w:t>
      </w:r>
    </w:p>
    <w:p>
      <w:pPr>
        <w:pStyle w:val="LO-normal"/>
        <w:spacing w:lineRule="auto" w:line="276" w:before="120" w:after="120"/>
        <w:ind w:hanging="0" w:left="708"/>
        <w:jc w:val="both"/>
        <w:rPr>
          <w:color w:val="000000"/>
        </w:rPr>
      </w:pPr>
      <w:r>
        <w:rPr>
          <w:color w:val="000000"/>
        </w:rPr>
        <w:t>4.8. O encerramento da fase de lances ocorrerá de forma automática pontualmente no horário indicado, sem qualquer possibilidade de prorrogação e não havendo tempo aleatório ou mecanismo similar.</w:t>
      </w:r>
    </w:p>
    <w:p>
      <w:pPr>
        <w:pStyle w:val="LO-normal"/>
        <w:spacing w:lineRule="auto" w:line="276" w:before="120" w:after="120"/>
        <w:jc w:val="both"/>
        <w:rPr>
          <w:b/>
          <w:color w:val="000000"/>
        </w:rPr>
      </w:pPr>
      <w:r>
        <w:rPr>
          <w:b/>
          <w:color w:val="000000"/>
        </w:rPr>
        <w:t>5. JULGAMENTO DAS PROPOSTAS DE PREÇO</w:t>
      </w:r>
    </w:p>
    <w:p>
      <w:pPr>
        <w:pStyle w:val="LO-normal"/>
        <w:spacing w:lineRule="auto" w:line="276" w:before="120" w:after="120"/>
        <w:ind w:hanging="0" w:left="708"/>
        <w:jc w:val="both"/>
        <w:rPr>
          <w:color w:val="000000"/>
        </w:rPr>
      </w:pPr>
      <w:r>
        <w:rPr>
          <w:color w:val="000000"/>
        </w:rPr>
        <w:t>5.1. Encerrada a fase de lances, será verificada a conformidade da proposta classificada em primeiro lugar quanto à adequação do objeto e à compatibilidade do preço em relação ao estipulado para a contratação.</w:t>
      </w:r>
    </w:p>
    <w:p>
      <w:pPr>
        <w:pStyle w:val="LO-normal"/>
        <w:spacing w:lineRule="auto" w:line="276" w:before="120" w:after="120"/>
        <w:ind w:hanging="0" w:left="708"/>
        <w:jc w:val="both"/>
        <w:rPr>
          <w:color w:val="000000"/>
        </w:rPr>
      </w:pPr>
      <w:r>
        <w:rPr>
          <w:color w:val="000000"/>
        </w:rPr>
        <w:t>5.2. No caso de o preço da proposta vencedora estar acima do estimado pela Administração, poderá haver a negociação de condições mais vantajosas.</w:t>
      </w:r>
    </w:p>
    <w:p>
      <w:pPr>
        <w:pStyle w:val="LO-normal"/>
        <w:spacing w:lineRule="auto" w:line="276" w:before="120" w:after="120"/>
        <w:ind w:hanging="0" w:left="1416"/>
        <w:jc w:val="both"/>
        <w:rPr/>
      </w:pPr>
      <w:r>
        <w:rPr/>
        <w:t>5.2.1. Neste caso, será encaminhada contraproposta ao fornecedor que tenha apresentado o melhor preço, para que seja obtida melhor proposta com preço compatível ao estimado pela Administração.</w:t>
      </w:r>
    </w:p>
    <w:p>
      <w:pPr>
        <w:pStyle w:val="LO-normal"/>
        <w:spacing w:lineRule="auto" w:line="276" w:before="120" w:after="120"/>
        <w:ind w:hanging="0" w:left="1416"/>
        <w:jc w:val="both"/>
        <w:rPr/>
      </w:pPr>
      <w:r>
        <w:rPr/>
        <w:t>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O-normal"/>
        <w:spacing w:lineRule="auto" w:line="276" w:before="120" w:after="120"/>
        <w:ind w:hanging="0" w:left="1416"/>
        <w:jc w:val="both"/>
        <w:rPr/>
      </w:pPr>
      <w:r>
        <w:rPr/>
        <w:t>5.2.3. Em qualquer caso, concluída a negociação, o resultado será registrado na ata do procedimento da dispensa eletrônica.</w:t>
      </w:r>
    </w:p>
    <w:p>
      <w:pPr>
        <w:pStyle w:val="LO-normal"/>
        <w:spacing w:lineRule="auto" w:line="276" w:before="120" w:after="120"/>
        <w:ind w:hanging="0" w:left="708"/>
        <w:jc w:val="both"/>
        <w:rPr>
          <w:color w:val="000000"/>
        </w:rPr>
      </w:pPr>
      <w:r>
        <w:rPr>
          <w:color w:val="000000"/>
        </w:rPr>
        <w:t xml:space="preserve">5.3. Estando o preço compatível, será solicitado o </w:t>
      </w:r>
      <w:r>
        <w:rPr>
          <w:b/>
          <w:bCs/>
          <w:color w:val="000000"/>
        </w:rPr>
        <w:t>envio da proposta</w:t>
      </w:r>
      <w:r>
        <w:rPr>
          <w:color w:val="000000"/>
        </w:rPr>
        <w:t xml:space="preserve"> e, se necessário, de documentos complementares, adequada ao último lance.</w:t>
      </w:r>
    </w:p>
    <w:p>
      <w:pPr>
        <w:pStyle w:val="LO-normal"/>
        <w:spacing w:lineRule="auto" w:line="276" w:before="120" w:after="120"/>
        <w:ind w:hanging="0" w:left="708"/>
        <w:jc w:val="both"/>
        <w:rPr>
          <w:color w:val="000000"/>
        </w:rPr>
      </w:pPr>
      <w:r>
        <w:rPr>
          <w:color w:val="000000"/>
        </w:rPr>
        <w:t xml:space="preserve">5.4. O prazo de validade da proposta não será inferior a </w:t>
      </w:r>
      <w:r>
        <w:rPr>
          <w:b/>
          <w:bCs/>
          <w:color w:val="000000"/>
          <w:shd w:fill="auto" w:val="clear"/>
        </w:rPr>
        <w:t>60 (sessenta)</w:t>
      </w:r>
      <w:r>
        <w:rPr>
          <w:color w:val="FF0000"/>
        </w:rPr>
        <w:t xml:space="preserve"> </w:t>
      </w:r>
      <w:r>
        <w:rPr>
          <w:color w:val="000000"/>
        </w:rPr>
        <w:t>dias, a contar da data de sua apresentação.</w:t>
      </w:r>
    </w:p>
    <w:p>
      <w:pPr>
        <w:pStyle w:val="LO-normal"/>
        <w:spacing w:lineRule="auto" w:line="276" w:before="120" w:after="120"/>
        <w:ind w:hanging="0" w:left="708"/>
        <w:jc w:val="both"/>
        <w:rPr>
          <w:color w:val="000000"/>
        </w:rPr>
      </w:pPr>
      <w:r>
        <w:rPr>
          <w:color w:val="000000"/>
        </w:rPr>
        <w:t xml:space="preserve">5.5. Será desclassificada a proposta vencedora que: </w:t>
      </w:r>
    </w:p>
    <w:p>
      <w:pPr>
        <w:pStyle w:val="LO-normal"/>
        <w:spacing w:lineRule="auto" w:line="276" w:before="120" w:after="120"/>
        <w:ind w:hanging="0" w:left="1416"/>
        <w:jc w:val="both"/>
        <w:rPr/>
      </w:pPr>
      <w:r>
        <w:rPr/>
        <w:t>5.5.1. contiver vícios insanáveis;</w:t>
      </w:r>
    </w:p>
    <w:p>
      <w:pPr>
        <w:pStyle w:val="LO-normal"/>
        <w:spacing w:lineRule="auto" w:line="276" w:before="120" w:after="120"/>
        <w:ind w:hanging="0" w:left="1416"/>
        <w:jc w:val="both"/>
        <w:rPr/>
      </w:pPr>
      <w:r>
        <w:rPr/>
        <w:t>5.5.2. não obedecer às especificações técnicas pormenorizadas neste aviso ou em seus anexos;</w:t>
      </w:r>
    </w:p>
    <w:p>
      <w:pPr>
        <w:pStyle w:val="LO-normal"/>
        <w:spacing w:lineRule="auto" w:line="276" w:before="120" w:after="120"/>
        <w:ind w:hanging="0" w:left="1416"/>
        <w:jc w:val="both"/>
        <w:rPr/>
      </w:pPr>
      <w:r>
        <w:rPr/>
        <w:t>5.5.3. apresentar preços inexequíveis ou permanecerem acima do preço máximo definido para a contratação;</w:t>
      </w:r>
    </w:p>
    <w:p>
      <w:pPr>
        <w:pStyle w:val="LO-normal"/>
        <w:spacing w:lineRule="auto" w:line="276" w:before="120" w:after="120"/>
        <w:ind w:hanging="0" w:left="1416"/>
        <w:jc w:val="both"/>
        <w:rPr/>
      </w:pPr>
      <w:r>
        <w:rPr/>
        <w:t>5.5.4. não tiverem sua exequibilidade demonstrada, quando exigido pela Administração;</w:t>
      </w:r>
    </w:p>
    <w:p>
      <w:pPr>
        <w:pStyle w:val="LO-normal"/>
        <w:spacing w:lineRule="auto" w:line="276" w:before="120" w:after="120"/>
        <w:ind w:hanging="0" w:left="1416"/>
        <w:jc w:val="both"/>
        <w:rPr/>
      </w:pPr>
      <w:r>
        <w:rPr/>
        <w:t>5.5.5. apresentar desconformidade com quaisquer outras exigências deste aviso ou seus anexos, desde que insanável.</w:t>
      </w:r>
    </w:p>
    <w:p>
      <w:pPr>
        <w:pStyle w:val="LO-normal"/>
        <w:spacing w:lineRule="auto" w:line="276" w:before="120" w:after="120"/>
        <w:ind w:hanging="0" w:left="709"/>
        <w:jc w:val="both"/>
        <w:rPr>
          <w:color w:val="000000"/>
        </w:rPr>
      </w:pPr>
      <w:r>
        <w:rPr>
          <w:color w:val="000000"/>
        </w:rPr>
        <w:t>5.6. Quando o fornecedor não conseguir comprovar que possui ou possuirá recursos suficientes para executar a contento o objeto, será considerada inexequível a proposta de preços ou menor lance que:</w:t>
      </w:r>
    </w:p>
    <w:p>
      <w:pPr>
        <w:pStyle w:val="LO-normal"/>
        <w:spacing w:lineRule="auto" w:line="276" w:before="120" w:after="120"/>
        <w:ind w:hanging="0" w:left="1416"/>
        <w:jc w:val="both"/>
        <w:rPr/>
      </w:pPr>
      <w:r>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O-normal"/>
        <w:spacing w:lineRule="auto" w:line="276" w:before="120" w:after="120"/>
        <w:ind w:hanging="0" w:left="1416"/>
        <w:jc w:val="both"/>
        <w:rPr/>
      </w:pPr>
      <w:r>
        <w:rPr/>
        <w:t>5.6.2. apresentar um ou mais valores da planilha de custo que sejam inferiores àqueles fixados em instrumentos de caráter normativo obrigatório, tais como leis, medidas provisórias e convenções coletivas de trabalho vigentes.</w:t>
      </w:r>
    </w:p>
    <w:p>
      <w:pPr>
        <w:pStyle w:val="LO-normal"/>
        <w:spacing w:lineRule="auto" w:line="276" w:before="120" w:after="120"/>
        <w:ind w:hanging="0" w:left="709"/>
        <w:jc w:val="both"/>
        <w:rPr>
          <w:color w:val="000000"/>
        </w:rPr>
      </w:pPr>
      <w:r>
        <w:rPr>
          <w:color w:val="000000"/>
        </w:rPr>
        <w:t xml:space="preserve">5.7. Se houver indícios de inexequibilidade da proposta de preço, ou em caso da necessidade de esclarecimentos complementares, poderão ser efetuadas diligências, para que a empresa comprove a exequibilidade da proposta.  </w:t>
      </w:r>
    </w:p>
    <w:p>
      <w:pPr>
        <w:pStyle w:val="LO-normal"/>
        <w:spacing w:lineRule="auto" w:line="276" w:before="120" w:after="120"/>
        <w:ind w:hanging="0" w:left="709"/>
        <w:jc w:val="both"/>
        <w:rPr>
          <w:color w:val="000000"/>
        </w:rPr>
      </w:pPr>
      <w:r>
        <w:rPr>
          <w:color w:val="000000"/>
        </w:rPr>
        <w:t>5.8. Erros no preenchimento da planilha não constituem motivo para a desclassificação da proposta. A planilha poderá ser ajustada pelo fornecedor, no prazo indicado pelo sistema, desde que não haja majoração do preço.</w:t>
      </w:r>
    </w:p>
    <w:p>
      <w:pPr>
        <w:pStyle w:val="LO-normal"/>
        <w:spacing w:lineRule="auto" w:line="276" w:before="120" w:after="120"/>
        <w:ind w:hanging="0" w:left="1416"/>
        <w:jc w:val="both"/>
        <w:rPr/>
      </w:pPr>
      <w:r>
        <w:rPr/>
        <w:t>5.8.1. O ajuste de que trata este dispositivo se limita a sanar erros ou falhas que não alterem a substância das propostas;</w:t>
      </w:r>
    </w:p>
    <w:p>
      <w:pPr>
        <w:pStyle w:val="LO-normal"/>
        <w:spacing w:lineRule="auto" w:line="276" w:before="120" w:after="120"/>
        <w:ind w:hanging="0" w:left="1416"/>
        <w:jc w:val="both"/>
        <w:rPr/>
      </w:pPr>
      <w:r>
        <w:rPr/>
        <w:t>5.8.2. Considera-se erro no preenchimento da planilha passível de correção a indicação de recolhimento de impostos e contribuições na forma do Simples Nacional, quando não cabível esse regime.</w:t>
      </w:r>
    </w:p>
    <w:p>
      <w:pPr>
        <w:pStyle w:val="LO-normal"/>
        <w:spacing w:lineRule="auto" w:line="276" w:before="120" w:after="120"/>
        <w:ind w:hanging="0" w:left="709"/>
        <w:jc w:val="both"/>
        <w:rPr>
          <w:color w:val="000000"/>
        </w:rPr>
      </w:pPr>
      <w:r>
        <w:rPr>
          <w:color w:val="000000"/>
        </w:rPr>
        <w:t>5.9. Para fins de análise da proposta quanto ao cumprimento das especificações do objeto, poderá ser colhida a manifestação escrita do setor requisitante do serviço ou da área especializada no objeto.</w:t>
      </w:r>
    </w:p>
    <w:p>
      <w:pPr>
        <w:pStyle w:val="LO-normal"/>
        <w:spacing w:lineRule="auto" w:line="276" w:before="120" w:after="120"/>
        <w:ind w:hanging="0" w:left="709"/>
        <w:jc w:val="both"/>
        <w:rPr>
          <w:color w:val="000000"/>
        </w:rPr>
      </w:pPr>
      <w:r>
        <w:rPr>
          <w:color w:val="000000"/>
        </w:rPr>
        <w:t>5.10. Se a proposta ou lance vencedor for desclassificado, será examinada a proposta ou lance subsequente, e, assim sucessivamente, na ordem de classificação.</w:t>
      </w:r>
    </w:p>
    <w:p>
      <w:pPr>
        <w:pStyle w:val="LO-normal"/>
        <w:spacing w:lineRule="auto" w:line="276" w:before="120" w:after="120"/>
        <w:ind w:hanging="0" w:left="709"/>
        <w:jc w:val="both"/>
        <w:rPr>
          <w:color w:val="000000"/>
        </w:rPr>
      </w:pPr>
      <w:r>
        <w:rPr>
          <w:color w:val="000000"/>
        </w:rPr>
        <w:t>5.11. Havendo necessidade, a sessão será suspensa, informando-se no “chat” a nova data e horário para a sua continuidade.</w:t>
      </w:r>
    </w:p>
    <w:p>
      <w:pPr>
        <w:pStyle w:val="LO-normal"/>
        <w:spacing w:lineRule="auto" w:line="276" w:before="120" w:after="120"/>
        <w:ind w:hanging="0" w:left="709"/>
        <w:jc w:val="both"/>
        <w:rPr>
          <w:color w:val="000000"/>
        </w:rPr>
      </w:pPr>
      <w:r>
        <w:rPr>
          <w:color w:val="000000"/>
        </w:rPr>
        <w:t>5.12. Encerrada a análise quanto à aceitação da proposta, se iniciará a fase de habilitação, observado o disposto neste Aviso de Contratação Direta.</w:t>
      </w:r>
    </w:p>
    <w:p>
      <w:pPr>
        <w:pStyle w:val="LO-normal"/>
        <w:spacing w:lineRule="auto" w:line="276" w:before="120" w:after="120"/>
        <w:jc w:val="both"/>
        <w:rPr>
          <w:b/>
          <w:color w:val="000000"/>
        </w:rPr>
      </w:pPr>
      <w:r>
        <w:rPr>
          <w:b/>
          <w:color w:val="000000"/>
        </w:rPr>
        <w:t>6. HABILITAÇÃO</w:t>
      </w:r>
    </w:p>
    <w:p>
      <w:pPr>
        <w:pStyle w:val="LO-normal"/>
        <w:spacing w:lineRule="auto" w:line="276" w:before="120" w:after="120"/>
        <w:ind w:hanging="0" w:left="709"/>
        <w:jc w:val="both"/>
        <w:rPr>
          <w:color w:val="000000"/>
        </w:rPr>
      </w:pPr>
      <w:r>
        <w:rPr>
          <w:color w:val="000000"/>
        </w:rPr>
        <w:t xml:space="preserve">6.1. Os documentos a serem exigidos para fins de habilitação constam do </w:t>
      </w:r>
      <w:r>
        <w:rPr>
          <w:b/>
          <w:color w:val="000000"/>
        </w:rPr>
        <w:t>ANEXO I – DOCUMENTAÇÃO EXIGIDA PARA HABILITAÇÃO</w:t>
      </w:r>
      <w:r>
        <w:rPr>
          <w:color w:val="000000"/>
        </w:rPr>
        <w:t xml:space="preserve"> deste aviso e serão solicitados do fornecedor mais bem classificado da fase de lances.</w:t>
      </w:r>
    </w:p>
    <w:p>
      <w:pPr>
        <w:pStyle w:val="LO-normal"/>
        <w:spacing w:lineRule="auto" w:line="276" w:before="120" w:after="120"/>
        <w:ind w:hanging="0" w:left="709"/>
        <w:jc w:val="both"/>
        <w:rPr>
          <w:color w:val="000000"/>
        </w:rPr>
      </w:pPr>
      <w:r>
        <w:rPr>
          <w:color w:val="000000"/>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O-normal"/>
        <w:spacing w:lineRule="auto" w:line="276" w:before="120" w:after="120"/>
        <w:ind w:hanging="0" w:left="709"/>
        <w:jc w:val="both"/>
        <w:rPr>
          <w:color w:val="000000"/>
        </w:rPr>
      </w:pPr>
      <w:r>
        <w:rPr/>
        <w:t>a</w:t>
      </w:r>
      <w:r>
        <w:rPr>
          <w:color w:val="000000"/>
        </w:rPr>
        <w:t xml:space="preserve">) SICAF;  </w:t>
      </w:r>
    </w:p>
    <w:p>
      <w:pPr>
        <w:pStyle w:val="LO-normal"/>
        <w:spacing w:lineRule="auto" w:line="276" w:before="120" w:after="120"/>
        <w:ind w:hanging="0" w:left="709"/>
        <w:jc w:val="both"/>
        <w:rPr>
          <w:color w:val="000000"/>
        </w:rPr>
      </w:pPr>
      <w:r>
        <w:rPr>
          <w:color w:val="000000"/>
        </w:rPr>
        <w:t>b) Cadastro Nacional de Empresas Inidôneas e Suspensas - CEIS, mantido pela Controladoria-Geral da União (</w:t>
      </w:r>
      <w:hyperlink r:id="rId2">
        <w:r>
          <w:rPr>
            <w:rStyle w:val="Style3"/>
            <w:color w:val="000000"/>
          </w:rPr>
          <w:t>www.portaldatransparencia.gov.br/ceis</w:t>
        </w:r>
      </w:hyperlink>
      <w:r>
        <w:rPr>
          <w:color w:val="000000"/>
        </w:rPr>
        <w:t>);</w:t>
      </w:r>
    </w:p>
    <w:p>
      <w:pPr>
        <w:pStyle w:val="LO-normal"/>
        <w:spacing w:lineRule="auto" w:line="276" w:before="120" w:after="120"/>
        <w:ind w:hanging="0" w:left="709"/>
        <w:jc w:val="both"/>
        <w:rPr>
          <w:color w:val="000000"/>
        </w:rPr>
      </w:pPr>
      <w:r>
        <w:rPr>
          <w:color w:val="000000"/>
        </w:rPr>
        <w:t>c) Cadastro Nacional de Condenações Cíveis por Atos de Improbidade Administrativa, mantido pelo Conselho Nacional de Justiça (</w:t>
      </w:r>
      <w:hyperlink r:id="rId3">
        <w:r>
          <w:rPr>
            <w:rStyle w:val="Style3"/>
            <w:color w:val="000000"/>
          </w:rPr>
          <w:t>www.cnj.jus.br/improbidade_adm/consultar_requerido.php</w:t>
        </w:r>
      </w:hyperlink>
      <w:r>
        <w:rPr>
          <w:color w:val="000000"/>
        </w:rPr>
        <w:t xml:space="preserve">).  </w:t>
      </w:r>
    </w:p>
    <w:p>
      <w:pPr>
        <w:pStyle w:val="LO-normal"/>
        <w:spacing w:lineRule="auto" w:line="276" w:before="120" w:after="120"/>
        <w:ind w:hanging="0" w:left="709"/>
        <w:jc w:val="both"/>
        <w:rPr>
          <w:color w:val="000000"/>
        </w:rPr>
      </w:pPr>
      <w:r>
        <w:rPr>
          <w:color w:val="000000"/>
        </w:rPr>
        <w:t xml:space="preserve">d) Lista de Inidôneos mantida pelo Tribunal de Contas da União - TCU; </w:t>
      </w:r>
    </w:p>
    <w:p>
      <w:pPr>
        <w:pStyle w:val="LO-normal"/>
        <w:spacing w:lineRule="auto" w:line="276" w:before="120" w:after="120"/>
        <w:ind w:hanging="0" w:left="1416"/>
        <w:jc w:val="both"/>
        <w:rPr/>
      </w:pPr>
      <w:r>
        <w:rPr/>
        <w:t>6.2.1. Para a consulta de fornecedores pessoa jurídica poderá haver a substituição das consultas das alíneas “b”, “c” e “d” acima pela Consulta Consolidada de Pessoa Jurídica do TCU (https://certidoesapf.apps.tcu.gov.br/)</w:t>
      </w:r>
    </w:p>
    <w:p>
      <w:pPr>
        <w:pStyle w:val="LO-normal"/>
        <w:spacing w:lineRule="auto" w:line="276" w:before="120" w:after="120"/>
        <w:ind w:hanging="0" w:left="1416"/>
        <w:jc w:val="both"/>
        <w:rPr/>
      </w:pPr>
      <w:r>
        <w:rPr/>
        <w:t>6.2.2. A consulta aos cadastros será realizada em nome da empresa fornecedora e também de seu sócio majoritário, por força do artigo 12 da Lei Federal n° 8.429/1992, que prevê, dentre as sanções impostas ao responsável pela prática de ato de improbidade administrativa, a proibição de contratar com o Poder Público, inclusive por intermédio de pessoa jurídica da qual seja sócio majoritário.</w:t>
      </w:r>
    </w:p>
    <w:p>
      <w:pPr>
        <w:pStyle w:val="LO-normal"/>
        <w:spacing w:lineRule="auto" w:line="276" w:before="120" w:after="120"/>
        <w:ind w:hanging="0" w:left="2124"/>
        <w:jc w:val="both"/>
        <w:rPr/>
      </w:pPr>
      <w:r>
        <w:rPr/>
        <w:t>6.2.2.1. Caso conste na Consulta de Situação do Fornecedor a existência de Ocorrências Impeditivas Indiretas, o gestor diligenciará para verificar se houve fraude por parte das empresas apontadas no Relatório de Ocorrências Impeditivas Indiretas.</w:t>
      </w:r>
    </w:p>
    <w:p>
      <w:pPr>
        <w:pStyle w:val="LO-normal"/>
        <w:spacing w:lineRule="auto" w:line="276" w:before="120" w:after="120"/>
        <w:ind w:hanging="0" w:left="2832"/>
        <w:jc w:val="both"/>
        <w:rPr/>
      </w:pPr>
      <w:r>
        <w:rPr/>
        <w:t>6.2.2.1.1. A tentativa de burla será verificada por meio dos vínculos societários, linhas de fornecimento similares, dentre outros.</w:t>
      </w:r>
    </w:p>
    <w:p>
      <w:pPr>
        <w:pStyle w:val="LO-normal"/>
        <w:spacing w:lineRule="auto" w:line="276" w:before="120" w:after="120"/>
        <w:ind w:hanging="0" w:left="2832"/>
        <w:jc w:val="both"/>
        <w:rPr/>
      </w:pPr>
      <w:r>
        <w:rPr/>
        <w:t>6.2.2.1.2. O fornecedor será convocado para manifestação previamente à sua desclassificação</w:t>
      </w:r>
    </w:p>
    <w:p>
      <w:pPr>
        <w:pStyle w:val="LO-normal"/>
        <w:spacing w:lineRule="auto" w:line="276" w:before="120" w:after="120"/>
        <w:ind w:hanging="0" w:left="1416"/>
        <w:jc w:val="both"/>
        <w:rPr/>
      </w:pPr>
      <w:r>
        <w:rPr/>
        <w:t>6.2.3. Constatada a existência de sanção, o fornecedor será reputado inabilitado, por falta de condição de participação.</w:t>
      </w:r>
    </w:p>
    <w:p>
      <w:pPr>
        <w:pStyle w:val="LO-normal"/>
        <w:spacing w:lineRule="auto" w:line="276" w:before="120" w:after="120"/>
        <w:ind w:hanging="0" w:left="709"/>
        <w:jc w:val="both"/>
        <w:rPr>
          <w:color w:val="000000"/>
        </w:rPr>
      </w:pPr>
      <w:r>
        <w:rPr>
          <w:color w:val="000000"/>
        </w:rPr>
        <w:t>6.3. Caso atendidas as condições de participação, a habilitação dos fornecedores será verificada por meio do SICAF, nos documentos por ele abrangidos.</w:t>
      </w:r>
    </w:p>
    <w:p>
      <w:pPr>
        <w:pStyle w:val="LO-normal"/>
        <w:spacing w:lineRule="auto" w:line="276" w:before="120" w:after="120"/>
        <w:ind w:hanging="0" w:left="1416"/>
        <w:jc w:val="both"/>
        <w:rPr/>
      </w:pPr>
      <w:r>
        <w:rPr/>
        <w:t>6.3.1. É dever do fornecedor atualizar previamente as comprovações constantes do SICAF para que estejam vigentes na data da abertura da sessão pública, ou encaminhar, quando solicitado, a respectiva documentação atualizada.</w:t>
      </w:r>
    </w:p>
    <w:p>
      <w:pPr>
        <w:pStyle w:val="LO-normal"/>
        <w:spacing w:lineRule="auto" w:line="276" w:before="120" w:after="120"/>
        <w:ind w:hanging="0" w:left="1416"/>
        <w:jc w:val="both"/>
        <w:rPr/>
      </w:pPr>
      <w:r>
        <w:rPr/>
        <w:t xml:space="preserve">6.3.2. </w:t>
      </w:r>
      <w:r>
        <w:rPr>
          <w:color w:val="000000"/>
        </w:rPr>
        <w:t>O descumprimento do subitem acima implicará a inabilitação do fornecedor, exceto se a consulta aos sítios eletrônicos oficiais emissores de certidões lograr êxito em encontrar a(s) certidão(ões) válida(s).</w:t>
      </w:r>
    </w:p>
    <w:p>
      <w:pPr>
        <w:pStyle w:val="LO-normal"/>
        <w:spacing w:lineRule="auto" w:line="276" w:before="120" w:after="120"/>
        <w:ind w:hanging="0" w:left="709"/>
        <w:jc w:val="both"/>
        <w:rPr>
          <w:color w:val="000000"/>
        </w:rPr>
      </w:pPr>
      <w:r>
        <w:rPr>
          <w:color w:val="000000"/>
        </w:rPr>
        <w:t>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O-normal"/>
        <w:spacing w:lineRule="auto" w:line="276" w:before="120" w:after="120"/>
        <w:ind w:hanging="0" w:left="709"/>
        <w:jc w:val="both"/>
        <w:rPr>
          <w:color w:val="000000"/>
        </w:rPr>
      </w:pPr>
      <w:r>
        <w:rPr>
          <w:color w:val="000000"/>
        </w:rPr>
        <w:t>6.5. Somente haverá a necessidade de comprovação do preenchimento de requisitos mediante apresentação dos documentos originais não-digitais quando houver dúvida em relação à integridade do documento digital.</w:t>
      </w:r>
    </w:p>
    <w:p>
      <w:pPr>
        <w:pStyle w:val="LO-normal"/>
        <w:spacing w:lineRule="auto" w:line="276" w:before="120" w:after="120"/>
        <w:ind w:hanging="0" w:left="709"/>
        <w:jc w:val="both"/>
        <w:rPr>
          <w:color w:val="000000"/>
        </w:rPr>
      </w:pPr>
      <w:r>
        <w:rPr>
          <w:color w:val="000000"/>
        </w:rPr>
        <w:t>6.6.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O-normal"/>
        <w:spacing w:lineRule="auto" w:line="276" w:before="120" w:after="120"/>
        <w:ind w:hanging="0" w:left="709"/>
        <w:jc w:val="both"/>
        <w:rPr>
          <w:color w:val="000000"/>
        </w:rPr>
      </w:pPr>
      <w:r>
        <w:rPr>
          <w:color w:val="000000"/>
        </w:rPr>
        <w:t>6.7. Havendo necessidade de analisar minuciosamente os documentos exigidos, a sessão será suspensa, sendo informada a nova data e horário para a sua continuidade.</w:t>
      </w:r>
    </w:p>
    <w:p>
      <w:pPr>
        <w:pStyle w:val="LO-normal"/>
        <w:spacing w:lineRule="auto" w:line="276" w:before="120" w:after="120"/>
        <w:ind w:hanging="0" w:left="709"/>
        <w:jc w:val="both"/>
        <w:rPr>
          <w:color w:val="000000"/>
        </w:rPr>
      </w:pPr>
      <w:r>
        <w:rPr>
          <w:color w:val="000000"/>
        </w:rPr>
        <w:t>6.8. Será inabilitado o fornecedor que não comprovar sua habilitação, seja por não apresentar quaisquer dos documentos exigidos, ou apresentá-los em desacordo com o estabelecido neste Aviso de Contratação Direta.</w:t>
      </w:r>
    </w:p>
    <w:p>
      <w:pPr>
        <w:pStyle w:val="LO-normal"/>
        <w:spacing w:lineRule="auto" w:line="276" w:before="120" w:after="120"/>
        <w:ind w:hanging="0" w:left="1416"/>
        <w:jc w:val="both"/>
        <w:rPr/>
      </w:pPr>
      <w:r>
        <w:rPr/>
        <w:t>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O-normal"/>
        <w:spacing w:lineRule="auto" w:line="276" w:before="120" w:after="120"/>
        <w:ind w:hanging="0" w:left="709"/>
        <w:jc w:val="both"/>
        <w:rPr>
          <w:color w:val="000000"/>
        </w:rPr>
      </w:pPr>
      <w:r>
        <w:rPr>
          <w:color w:val="000000"/>
        </w:rPr>
        <w:t>6.9. Constatado o atendimento às exigências de habilitação, o fornecedor será habilitado.</w:t>
      </w:r>
    </w:p>
    <w:p>
      <w:pPr>
        <w:pStyle w:val="LO-normal"/>
        <w:spacing w:lineRule="auto" w:line="276" w:before="120" w:after="120"/>
        <w:jc w:val="both"/>
        <w:rPr>
          <w:b/>
          <w:color w:val="000000"/>
        </w:rPr>
      </w:pPr>
      <w:r>
        <w:rPr>
          <w:b/>
          <w:color w:val="000000"/>
        </w:rPr>
        <w:t>7. CONTRATAÇÃO</w:t>
      </w:r>
    </w:p>
    <w:p>
      <w:pPr>
        <w:pStyle w:val="LO-normal"/>
        <w:spacing w:lineRule="auto" w:line="276" w:before="120" w:after="120"/>
        <w:ind w:hanging="0" w:left="709"/>
        <w:jc w:val="both"/>
        <w:rPr>
          <w:color w:val="000000"/>
        </w:rPr>
      </w:pPr>
      <w:r>
        <w:rPr>
          <w:color w:val="000000"/>
        </w:rPr>
        <w:t>7.1. Após a homologação e adjudicação, caso se conclua pela contratação, será firmado Termo de Contrato ou emitido instrumento equivalente.</w:t>
      </w:r>
      <w:bookmarkStart w:id="2" w:name="_GoBack"/>
      <w:bookmarkEnd w:id="2"/>
    </w:p>
    <w:p>
      <w:pPr>
        <w:pStyle w:val="LO-normal"/>
        <w:spacing w:lineRule="auto" w:line="276" w:before="120" w:after="120"/>
        <w:ind w:hanging="0" w:left="709"/>
        <w:jc w:val="both"/>
        <w:rPr>
          <w:color w:val="000000"/>
        </w:rPr>
      </w:pPr>
      <w:r>
        <w:rPr>
          <w:color w:val="000000"/>
        </w:rPr>
        <w:t xml:space="preserve">7.2. O adjudicatário terá o prazo de </w:t>
      </w:r>
      <w:r>
        <w:rPr>
          <w:b/>
          <w:bCs/>
          <w:color w:val="000000"/>
          <w:shd w:fill="auto" w:val="clear"/>
        </w:rPr>
        <w:t>24 (VINTE E QUATRO)</w:t>
      </w:r>
      <w:r>
        <w:rPr>
          <w:b/>
          <w:bCs/>
          <w:color w:val="000000"/>
        </w:rPr>
        <w:t xml:space="preserve"> horas</w:t>
      </w:r>
      <w:r>
        <w:rPr>
          <w:color w:val="000000"/>
        </w:rPr>
        <w:t xml:space="preserve">, contados a partir da data de sua convocação, para </w:t>
      </w:r>
      <w:r>
        <w:rPr>
          <w:b/>
          <w:bCs/>
          <w:color w:val="000000"/>
        </w:rPr>
        <w:t>assinar o Termo de Contrato / Nota de Empenho</w:t>
      </w:r>
      <w:r>
        <w:rPr>
          <w:color w:val="000000"/>
        </w:rPr>
        <w:t xml:space="preserve">, sob pena de decair do direito à contratação, sem prejuízo das sanções previstas neste Aviso de Contratação Direta. </w:t>
      </w:r>
    </w:p>
    <w:p>
      <w:pPr>
        <w:pStyle w:val="LO-normal"/>
        <w:spacing w:lineRule="auto" w:line="276" w:before="120" w:after="120"/>
        <w:ind w:hanging="0" w:left="1416"/>
        <w:jc w:val="both"/>
        <w:rPr/>
      </w:pPr>
      <w:r>
        <w:rPr/>
        <w:t>7.2.1. O prazo previsto para assinatura do contrato ou aceitação da nota de empenho ou instrumento equivalente poderá ser prorrogado 1 (uma) vez, por igual período, por solicitação justificada do adjudicatário e aceita pela Administração.</w:t>
      </w:r>
    </w:p>
    <w:p>
      <w:pPr>
        <w:pStyle w:val="LO-normal"/>
        <w:spacing w:lineRule="auto" w:line="276" w:before="120" w:after="120"/>
        <w:ind w:hanging="0" w:left="709"/>
        <w:jc w:val="both"/>
        <w:rPr>
          <w:color w:val="000000"/>
        </w:rPr>
      </w:pPr>
      <w:r>
        <w:rPr>
          <w:color w:val="000000"/>
        </w:rPr>
        <w:t>7.3. O Aceite da Nota de Empenho ou do instrumento equivalente, emitida à empresa adjudicada, implica no reconhecimento de que:</w:t>
      </w:r>
    </w:p>
    <w:p>
      <w:pPr>
        <w:pStyle w:val="LO-normal"/>
        <w:spacing w:lineRule="auto" w:line="276" w:before="120" w:after="120"/>
        <w:ind w:hanging="0" w:left="1416"/>
        <w:jc w:val="both"/>
        <w:rPr>
          <w:color w:val="000000"/>
        </w:rPr>
      </w:pPr>
      <w:r>
        <w:rPr>
          <w:color w:val="000000"/>
        </w:rPr>
        <w:t>7.3.1. referida Nota está substituindo o contrato, aplicando-se à relação de negócios ali estabelecida as disposições da Lei Federal nº 14.133/2021;</w:t>
      </w:r>
    </w:p>
    <w:p>
      <w:pPr>
        <w:pStyle w:val="LO-normal"/>
        <w:spacing w:lineRule="auto" w:line="276" w:before="120" w:after="120"/>
        <w:ind w:hanging="0" w:left="1416"/>
        <w:jc w:val="both"/>
        <w:rPr>
          <w:color w:val="000000"/>
        </w:rPr>
      </w:pPr>
      <w:r>
        <w:rPr>
          <w:color w:val="000000"/>
        </w:rPr>
        <w:t>7.3.2. a contratada se vincula à sua proposta e às previsões contidas no Aviso de Contratação Direta e seus anexos;</w:t>
      </w:r>
    </w:p>
    <w:p>
      <w:pPr>
        <w:pStyle w:val="LO-normal"/>
        <w:spacing w:lineRule="auto" w:line="276" w:before="120" w:after="120"/>
        <w:ind w:hanging="0" w:left="1416"/>
        <w:jc w:val="both"/>
        <w:rPr>
          <w:color w:val="000000"/>
        </w:rPr>
      </w:pPr>
      <w:r>
        <w:rPr>
          <w:color w:val="000000"/>
        </w:rPr>
        <w:t>7.3.3. a contratada reconhece que as hipóteses de rescisão são aquelas previstas nos artigos 137 e 138 da Lei Federal nº 14.133/2021 e reconhece os direitos da Administração previstos nos artigos 137 a 139 da mesma Lei.</w:t>
      </w:r>
    </w:p>
    <w:p>
      <w:pPr>
        <w:pStyle w:val="LO-normal"/>
        <w:spacing w:lineRule="auto" w:line="276" w:before="120" w:after="120"/>
        <w:ind w:hanging="0" w:left="709"/>
        <w:jc w:val="both"/>
        <w:rPr>
          <w:color w:val="000000"/>
        </w:rPr>
      </w:pPr>
      <w:r>
        <w:rPr>
          <w:color w:val="000000"/>
        </w:rPr>
        <w:t xml:space="preserve">7.4. O prazo de vigência da contratação é de até </w:t>
      </w:r>
      <w:r>
        <w:rPr>
          <w:rFonts w:eastAsia="Arial" w:cs="Arial"/>
          <w:b/>
          <w:bCs/>
          <w:color w:val="000000"/>
          <w:kern w:val="0"/>
          <w:sz w:val="20"/>
          <w:szCs w:val="20"/>
          <w:shd w:fill="BCB4B4" w:val="clear"/>
          <w:lang w:val="pt-BR" w:eastAsia="zh-CN" w:bidi="hi-IN"/>
        </w:rPr>
        <w:t>4</w:t>
      </w:r>
      <w:r>
        <w:rPr>
          <w:b/>
          <w:bCs/>
          <w:color w:val="000000"/>
          <w:shd w:fill="BCB4B4" w:val="clear"/>
        </w:rPr>
        <w:t xml:space="preserve"> (</w:t>
      </w:r>
      <w:r>
        <w:rPr>
          <w:rFonts w:eastAsia="Arial" w:cs="Arial"/>
          <w:b/>
          <w:bCs/>
          <w:color w:val="000000"/>
          <w:kern w:val="0"/>
          <w:sz w:val="20"/>
          <w:szCs w:val="20"/>
          <w:shd w:fill="BCB4B4" w:val="clear"/>
          <w:lang w:val="pt-BR" w:eastAsia="zh-CN" w:bidi="hi-IN"/>
        </w:rPr>
        <w:t>quatro</w:t>
      </w:r>
      <w:r>
        <w:rPr>
          <w:b/>
          <w:bCs/>
          <w:color w:val="000000"/>
          <w:shd w:fill="BCB4B4" w:val="clear"/>
        </w:rPr>
        <w:t xml:space="preserve">) </w:t>
      </w:r>
      <w:r>
        <w:rPr>
          <w:rFonts w:eastAsia="Arial" w:cs="Arial"/>
          <w:b/>
          <w:bCs/>
          <w:color w:val="000000"/>
          <w:kern w:val="0"/>
          <w:sz w:val="20"/>
          <w:szCs w:val="20"/>
          <w:shd w:fill="BCB4B4" w:val="clear"/>
          <w:lang w:val="pt-BR" w:eastAsia="zh-CN" w:bidi="hi-IN"/>
        </w:rPr>
        <w:t>meses</w:t>
      </w:r>
      <w:r>
        <w:rPr>
          <w:color w:val="000000"/>
          <w:shd w:fill="auto" w:val="clear"/>
        </w:rPr>
        <w:t xml:space="preserve"> improrrogáveis</w:t>
      </w:r>
      <w:r>
        <w:rPr>
          <w:color w:val="000000"/>
        </w:rPr>
        <w:t xml:space="preserve">, conforme previsão nos anexos a este Aviso de Contratação Direta. </w:t>
      </w:r>
    </w:p>
    <w:p>
      <w:pPr>
        <w:pStyle w:val="LO-normal"/>
        <w:spacing w:lineRule="auto" w:line="276" w:before="120" w:after="120"/>
        <w:ind w:hanging="0" w:left="709"/>
        <w:jc w:val="both"/>
        <w:rPr>
          <w:color w:val="000000"/>
        </w:rPr>
      </w:pPr>
      <w:r>
        <w:rPr>
          <w:color w:val="000000"/>
        </w:rPr>
        <w:t>7.5. Na assinatura do contrato ou do instrumento equivalente será exigida a comprovação das condições de habilitação e contratação consignadas neste aviso, que deverão ser mantidas pelo fornecedor durante a vigência do contrato.</w:t>
      </w:r>
    </w:p>
    <w:p>
      <w:pPr>
        <w:pStyle w:val="LO-normal"/>
        <w:spacing w:lineRule="auto" w:line="276" w:before="120" w:after="120"/>
        <w:jc w:val="both"/>
        <w:rPr>
          <w:b/>
          <w:color w:val="000000"/>
        </w:rPr>
      </w:pPr>
      <w:r>
        <w:rPr>
          <w:b/>
          <w:color w:val="000000"/>
        </w:rPr>
        <w:t>8. SANÇÕES</w:t>
      </w:r>
    </w:p>
    <w:p>
      <w:pPr>
        <w:pStyle w:val="LO-normal"/>
        <w:spacing w:lineRule="auto" w:line="276" w:before="120" w:after="120"/>
        <w:ind w:hanging="0" w:left="709"/>
        <w:jc w:val="both"/>
        <w:rPr>
          <w:color w:val="000000"/>
        </w:rPr>
      </w:pPr>
      <w:r>
        <w:rPr>
          <w:color w:val="000000"/>
        </w:rPr>
        <w:t xml:space="preserve">8.1. Comete infração administrativa o fornecedor que cometer quaisquer das infrações previstas no art. 155 da Lei Federal nº 14.133/2021, quais sejam: </w:t>
      </w:r>
    </w:p>
    <w:p>
      <w:pPr>
        <w:pStyle w:val="LO-normal"/>
        <w:spacing w:lineRule="auto" w:line="276" w:before="120" w:after="120"/>
        <w:ind w:hanging="0" w:left="1416"/>
        <w:jc w:val="both"/>
        <w:rPr/>
      </w:pPr>
      <w:r>
        <w:rPr/>
        <w:t>8.1.1. dar causa à inexecução parcial do contrato;</w:t>
      </w:r>
    </w:p>
    <w:p>
      <w:pPr>
        <w:pStyle w:val="LO-normal"/>
        <w:spacing w:lineRule="auto" w:line="276" w:before="120" w:after="120"/>
        <w:ind w:hanging="0" w:left="1416"/>
        <w:jc w:val="both"/>
        <w:rPr/>
      </w:pPr>
      <w:r>
        <w:rPr/>
        <w:t>8.1.2. dar causa à inexecução parcial do contrato que cause grave dano à Administração, ao funcionamento dos serviços públicos ou ao interesse coletivo;</w:t>
      </w:r>
    </w:p>
    <w:p>
      <w:pPr>
        <w:pStyle w:val="LO-normal"/>
        <w:spacing w:lineRule="auto" w:line="276" w:before="120" w:after="120"/>
        <w:ind w:hanging="0" w:left="1416"/>
        <w:jc w:val="both"/>
        <w:rPr/>
      </w:pPr>
      <w:r>
        <w:rPr/>
        <w:t>8.1.3. dar causa à inexecução total do contrato;</w:t>
      </w:r>
    </w:p>
    <w:p>
      <w:pPr>
        <w:pStyle w:val="LO-normal"/>
        <w:spacing w:lineRule="auto" w:line="276" w:before="120" w:after="120"/>
        <w:ind w:hanging="0" w:left="1416"/>
        <w:jc w:val="both"/>
        <w:rPr/>
      </w:pPr>
      <w:r>
        <w:rPr/>
        <w:t>8.1.4. deixar de entregar a documentação exigida para o certame;</w:t>
      </w:r>
    </w:p>
    <w:p>
      <w:pPr>
        <w:pStyle w:val="LO-normal"/>
        <w:spacing w:lineRule="auto" w:line="276" w:before="120" w:after="120"/>
        <w:ind w:hanging="0" w:left="1416"/>
        <w:jc w:val="both"/>
        <w:rPr/>
      </w:pPr>
      <w:r>
        <w:rPr/>
        <w:t>8.1.5. não manter a proposta, salvo em decorrência de fato superveniente devidamente justificado;</w:t>
      </w:r>
    </w:p>
    <w:p>
      <w:pPr>
        <w:pStyle w:val="LO-normal"/>
        <w:spacing w:lineRule="auto" w:line="276" w:before="120" w:after="120"/>
        <w:ind w:hanging="0" w:left="1416"/>
        <w:jc w:val="both"/>
        <w:rPr/>
      </w:pPr>
      <w:r>
        <w:rPr/>
        <w:t>8.1.6. não celebrar o contrato ou não entregar a documentação exigida para a contratação, quando convocado dentro do prazo de validade de sua proposta;</w:t>
      </w:r>
    </w:p>
    <w:p>
      <w:pPr>
        <w:pStyle w:val="LO-normal"/>
        <w:spacing w:lineRule="auto" w:line="276" w:before="120" w:after="120"/>
        <w:ind w:hanging="0" w:left="1416"/>
        <w:jc w:val="both"/>
        <w:rPr/>
      </w:pPr>
      <w:r>
        <w:rPr/>
        <w:t>8.1.7. ensejar o retardamento da execução ou da entrega do objeto da licitação sem motivo justificado;</w:t>
      </w:r>
    </w:p>
    <w:p>
      <w:pPr>
        <w:pStyle w:val="LO-normal"/>
        <w:spacing w:lineRule="auto" w:line="276" w:before="120" w:after="120"/>
        <w:ind w:hanging="0" w:left="1416"/>
        <w:jc w:val="both"/>
        <w:rPr/>
      </w:pPr>
      <w:r>
        <w:rPr/>
        <w:t>8.1.8. apresentar declaração ou documentação falsa exigida para o certame ou prestar declaração falsa durante a dispensa eletrônica ou a execução do contrato;</w:t>
      </w:r>
    </w:p>
    <w:p>
      <w:pPr>
        <w:pStyle w:val="LO-normal"/>
        <w:spacing w:lineRule="auto" w:line="276" w:before="120" w:after="120"/>
        <w:ind w:hanging="0" w:left="1416"/>
        <w:jc w:val="both"/>
        <w:rPr/>
      </w:pPr>
      <w:r>
        <w:rPr/>
        <w:t>8.1.9. fraudar a dispensa eletrônica ou praticar ato fraudulento na execução do contrato;</w:t>
      </w:r>
    </w:p>
    <w:p>
      <w:pPr>
        <w:pStyle w:val="LO-normal"/>
        <w:spacing w:lineRule="auto" w:line="276" w:before="120" w:after="120"/>
        <w:ind w:hanging="0" w:left="1416"/>
        <w:jc w:val="both"/>
        <w:rPr/>
      </w:pPr>
      <w:r>
        <w:rPr/>
        <w:t>8.1.10. comportar-se de modo inidôneo ou cometer fraude de qualquer natureza;</w:t>
      </w:r>
    </w:p>
    <w:p>
      <w:pPr>
        <w:pStyle w:val="LO-normal"/>
        <w:spacing w:lineRule="auto" w:line="276" w:before="120" w:after="120"/>
        <w:ind w:hanging="0" w:left="2124"/>
        <w:jc w:val="both"/>
        <w:rPr/>
      </w:pPr>
      <w:r>
        <w:rPr/>
        <w:t>8.1.10.1.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O-normal"/>
        <w:spacing w:lineRule="auto" w:line="276" w:before="120" w:after="120"/>
        <w:ind w:hanging="0" w:left="1418"/>
        <w:jc w:val="both"/>
        <w:rPr/>
      </w:pPr>
      <w:r>
        <w:rPr/>
        <w:t>8.1.11. praticar atos ilícitos com vistas a frustrar os objetivos deste certame.</w:t>
      </w:r>
    </w:p>
    <w:p>
      <w:pPr>
        <w:pStyle w:val="LO-normal"/>
        <w:spacing w:lineRule="auto" w:line="276" w:before="120" w:after="120"/>
        <w:ind w:hanging="0" w:left="1416"/>
        <w:jc w:val="both"/>
        <w:rPr/>
      </w:pPr>
      <w:r>
        <w:rPr/>
        <w:t xml:space="preserve">8.1.12. praticar ato lesivo previsto no </w:t>
      </w:r>
      <w:r>
        <w:fldChar w:fldCharType="begin"/>
      </w:r>
      <w:r>
        <w:rPr>
          <w:rStyle w:val="Style3"/>
        </w:rPr>
        <w:instrText xml:space="preserve"> HYPERLINK "http://www.planalto.gov.br/ccivil_03/_Ato2011-2014/2013/Lei/L12846.htm" \l "art5"</w:instrText>
      </w:r>
      <w:r>
        <w:rPr>
          <w:rStyle w:val="Style3"/>
        </w:rPr>
        <w:fldChar w:fldCharType="separate"/>
      </w:r>
      <w:r>
        <w:rPr>
          <w:rStyle w:val="Style3"/>
        </w:rPr>
        <w:t>art. 5º da Lei Federal nº 12.846/2013.</w:t>
      </w:r>
      <w:r>
        <w:rPr>
          <w:rStyle w:val="Style3"/>
        </w:rPr>
        <w:fldChar w:fldCharType="end"/>
      </w:r>
    </w:p>
    <w:p>
      <w:pPr>
        <w:pStyle w:val="LO-normal"/>
        <w:spacing w:lineRule="auto" w:line="276" w:before="120" w:after="120"/>
        <w:ind w:hanging="0" w:left="709"/>
        <w:jc w:val="both"/>
        <w:rPr>
          <w:color w:val="000000"/>
        </w:rPr>
      </w:pPr>
      <w:r>
        <w:rPr>
          <w:color w:val="000000"/>
        </w:rPr>
        <w:t>8.2. O fornecedor que cometer qualquer das infrações discriminadas nos subitens anteriores ficará sujeito, sem prejuízo da responsabilidade civil e criminal, às seguintes sanções:</w:t>
      </w:r>
    </w:p>
    <w:p>
      <w:pPr>
        <w:pStyle w:val="LO-normal"/>
        <w:spacing w:lineRule="auto" w:line="276" w:before="120" w:after="120"/>
        <w:ind w:hanging="0" w:left="709"/>
        <w:jc w:val="both"/>
        <w:rPr>
          <w:color w:val="000000"/>
        </w:rPr>
      </w:pPr>
      <w:r>
        <w:rPr>
          <w:color w:val="000000"/>
        </w:rPr>
        <w:t>a) Advertência pela falta do subitem 8.1.1 deste Aviso de Contratação Direta, quando não se justificar a imposição de penalidade mais grave;</w:t>
      </w:r>
    </w:p>
    <w:p>
      <w:pPr>
        <w:pStyle w:val="LO-normal"/>
        <w:spacing w:lineRule="auto" w:line="276" w:before="120" w:after="120"/>
        <w:ind w:hanging="0" w:left="709"/>
        <w:jc w:val="both"/>
        <w:rPr>
          <w:color w:val="000000"/>
        </w:rPr>
      </w:pPr>
      <w:r>
        <w:rPr>
          <w:color w:val="000000"/>
        </w:rPr>
        <w:t xml:space="preserve">b) Multa de </w:t>
      </w:r>
      <w:r>
        <w:rPr>
          <w:b/>
          <w:bCs/>
          <w:color w:val="000000"/>
        </w:rPr>
        <w:t>5% (cinco por cento)</w:t>
      </w:r>
      <w:r>
        <w:rPr>
          <w:color w:val="000000"/>
        </w:rPr>
        <w:t xml:space="preserve"> sobre o valor estimado do(s) item(s) prejudicado(s) pela conduta do fornecedor, por qualquer das infrações dos subitens 8.1.1 a 8.1.12;</w:t>
      </w:r>
    </w:p>
    <w:p>
      <w:pPr>
        <w:pStyle w:val="LO-normal"/>
        <w:spacing w:lineRule="auto" w:line="276" w:before="120" w:after="120"/>
        <w:ind w:hanging="0" w:left="709"/>
        <w:jc w:val="both"/>
        <w:rPr>
          <w:color w:val="000000"/>
        </w:rPr>
      </w:pPr>
      <w:r>
        <w:rPr>
          <w:color w:val="000000"/>
        </w:rPr>
        <w:t>c)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LO-normal"/>
        <w:spacing w:lineRule="auto" w:line="276" w:before="120" w:after="120"/>
        <w:ind w:hanging="0" w:left="709"/>
        <w:jc w:val="both"/>
        <w:rPr>
          <w:color w:val="000000"/>
        </w:rPr>
      </w:pPr>
      <w:r>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LO-normal"/>
        <w:spacing w:lineRule="auto" w:line="276" w:before="120" w:after="120"/>
        <w:ind w:hanging="0" w:left="709"/>
        <w:jc w:val="both"/>
        <w:rPr>
          <w:color w:val="000000"/>
        </w:rPr>
      </w:pPr>
      <w:r>
        <w:rPr>
          <w:color w:val="000000"/>
        </w:rPr>
        <w:t>8.3. Na aplicação das sanções serão considerados:</w:t>
      </w:r>
    </w:p>
    <w:p>
      <w:pPr>
        <w:pStyle w:val="LO-normal"/>
        <w:spacing w:lineRule="auto" w:line="276" w:before="120" w:after="120"/>
        <w:ind w:hanging="0" w:left="1418"/>
        <w:jc w:val="both"/>
        <w:rPr/>
      </w:pPr>
      <w:r>
        <w:rPr/>
        <w:t>8.3.1. a natureza e a gravidade da infração cometida;</w:t>
      </w:r>
    </w:p>
    <w:p>
      <w:pPr>
        <w:pStyle w:val="LO-normal"/>
        <w:spacing w:lineRule="auto" w:line="276" w:before="120" w:after="120"/>
        <w:ind w:hanging="0" w:left="1418"/>
        <w:jc w:val="both"/>
        <w:rPr/>
      </w:pPr>
      <w:r>
        <w:rPr/>
        <w:t>8.3.2. as peculiaridades do caso concreto;</w:t>
      </w:r>
    </w:p>
    <w:p>
      <w:pPr>
        <w:pStyle w:val="LO-normal"/>
        <w:spacing w:lineRule="auto" w:line="276" w:before="120" w:after="120"/>
        <w:ind w:hanging="0" w:left="1418"/>
        <w:jc w:val="both"/>
        <w:rPr/>
      </w:pPr>
      <w:r>
        <w:rPr/>
        <w:t>8.3.3. as circunstâncias agravantes ou atenuantes;</w:t>
      </w:r>
    </w:p>
    <w:p>
      <w:pPr>
        <w:pStyle w:val="LO-normal"/>
        <w:spacing w:lineRule="auto" w:line="276" w:before="120" w:after="120"/>
        <w:ind w:hanging="0" w:left="1418"/>
        <w:jc w:val="both"/>
        <w:rPr/>
      </w:pPr>
      <w:r>
        <w:rPr/>
        <w:t>8.3.4. os danos que dela provierem para a Administração Pública;</w:t>
      </w:r>
    </w:p>
    <w:p>
      <w:pPr>
        <w:pStyle w:val="LO-normal"/>
        <w:spacing w:lineRule="auto" w:line="276" w:before="120" w:after="120"/>
        <w:ind w:hanging="0" w:left="1418"/>
        <w:jc w:val="both"/>
        <w:rPr/>
      </w:pPr>
      <w:r>
        <w:rPr/>
        <w:t>8.3.5. a implantação ou o aperfeiçoamento de programa de integridade, conforme normas e orientações dos órgãos de controle.</w:t>
      </w:r>
      <w:bookmarkStart w:id="3" w:name="bookmark=id.3znysh7"/>
      <w:bookmarkStart w:id="4" w:name="bookmark=id.1fob9te"/>
      <w:bookmarkStart w:id="5" w:name="bookmark=id.30j0zll"/>
      <w:bookmarkEnd w:id="3"/>
      <w:bookmarkEnd w:id="4"/>
      <w:bookmarkEnd w:id="5"/>
    </w:p>
    <w:p>
      <w:pPr>
        <w:pStyle w:val="LO-normal"/>
        <w:spacing w:lineRule="auto" w:line="276" w:before="120" w:after="120"/>
        <w:ind w:hanging="0" w:left="709"/>
        <w:jc w:val="both"/>
        <w:rPr>
          <w:color w:val="000000"/>
        </w:rPr>
      </w:pPr>
      <w:r>
        <w:rPr>
          <w:color w:val="000000"/>
        </w:rPr>
        <w:t>8.4. Se a multa aplicada e as indenizações cabíveis forem superiores ao valor de pagamento eventualmente devido pela Administração ao contratado, além da perda desse valor, a diferença será descontada da garantia prestada ou será cobrada judicialmente.</w:t>
      </w:r>
      <w:bookmarkStart w:id="6" w:name="bookmark=id.2et92p0"/>
      <w:bookmarkEnd w:id="6"/>
    </w:p>
    <w:p>
      <w:pPr>
        <w:pStyle w:val="LO-normal"/>
        <w:spacing w:lineRule="auto" w:line="276" w:before="120" w:after="120"/>
        <w:ind w:hanging="0" w:left="709"/>
        <w:jc w:val="both"/>
        <w:rPr>
          <w:color w:val="000000"/>
        </w:rPr>
      </w:pPr>
      <w:r>
        <w:rPr>
          <w:color w:val="000000"/>
        </w:rPr>
        <w:t>8.5. A aplicação das sanções previstas neste Aviso de Contratação Direta, em hipótese alguma, afastará a obrigação de reparação integral do dano causado à Administração Pública.</w:t>
      </w:r>
    </w:p>
    <w:p>
      <w:pPr>
        <w:pStyle w:val="LO-normal"/>
        <w:spacing w:lineRule="auto" w:line="276" w:before="120" w:after="120"/>
        <w:ind w:hanging="0" w:left="709"/>
        <w:jc w:val="both"/>
        <w:rPr>
          <w:color w:val="000000"/>
        </w:rPr>
      </w:pPr>
      <w:r>
        <w:rPr>
          <w:color w:val="000000"/>
        </w:rPr>
        <w:t>8.6. A penalidade de multa pode ser aplicada cumulativamente com as demais sanções.</w:t>
      </w:r>
    </w:p>
    <w:p>
      <w:pPr>
        <w:pStyle w:val="LO-normal"/>
        <w:spacing w:lineRule="auto" w:line="276" w:before="120" w:after="120"/>
        <w:ind w:hanging="0" w:left="709"/>
        <w:jc w:val="both"/>
        <w:rPr>
          <w:color w:val="000000"/>
        </w:rPr>
      </w:pPr>
      <w:r>
        <w:rPr>
          <w:color w:val="000000"/>
        </w:rPr>
        <w:t xml:space="preserve">8.7. Se, durante o processo de aplicação de penalidade, houver indícios de prática de infração administrativa tipificada pela Lei Federal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O-normal"/>
        <w:spacing w:lineRule="auto" w:line="276" w:before="120" w:after="120"/>
        <w:ind w:hanging="0" w:left="709"/>
        <w:jc w:val="both"/>
        <w:rPr>
          <w:color w:val="000000"/>
        </w:rPr>
      </w:pPr>
      <w:r>
        <w:rPr>
          <w:color w:val="000000"/>
        </w:rPr>
        <w:t>8.8. A apuração e o julgamento das demais infrações administrativas não consideradas como ato lesivo à Administração Pública nacional ou estrangeira nos termos da Lei Federal nº 12.846/2013, seguirão seu rito normal na unidade administrativa.</w:t>
      </w:r>
    </w:p>
    <w:p>
      <w:pPr>
        <w:pStyle w:val="LO-normal"/>
        <w:spacing w:lineRule="auto" w:line="276" w:before="120" w:after="120"/>
        <w:ind w:hanging="0" w:left="709"/>
        <w:jc w:val="both"/>
        <w:rPr>
          <w:color w:val="000000"/>
        </w:rPr>
      </w:pPr>
      <w:r>
        <w:rPr>
          <w:color w:val="000000"/>
        </w:rPr>
        <w:t xml:space="preserve">8.9.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pPr>
        <w:pStyle w:val="LO-normal"/>
        <w:spacing w:lineRule="auto" w:line="276" w:before="120" w:after="120"/>
        <w:ind w:hanging="0" w:left="709"/>
        <w:jc w:val="both"/>
        <w:rPr>
          <w:color w:val="000000"/>
        </w:rPr>
      </w:pPr>
      <w:r>
        <w:rPr>
          <w:color w:val="000000"/>
        </w:rPr>
        <w:t>8.10. A aplicação de qualquer das penalidades previstas realizar-se-á em processo administrativo que assegurará o contraditório e a ampla defesa ao fornecedor/adjudicatário, observando-se o procedimento previsto na Lei Federal nº 14.133/2021 e Decreto Municipal nº 5.558/2023.</w:t>
      </w:r>
    </w:p>
    <w:p>
      <w:pPr>
        <w:pStyle w:val="LO-normal"/>
        <w:spacing w:lineRule="auto" w:line="276" w:before="120" w:after="120"/>
        <w:ind w:hanging="0" w:left="709"/>
        <w:jc w:val="both"/>
        <w:rPr>
          <w:color w:val="000000"/>
        </w:rPr>
      </w:pPr>
      <w:r>
        <w:rPr>
          <w:color w:val="000000"/>
        </w:rPr>
        <w:t>8.11. As sanções por atos praticados no decorrer da contratação estão previstas nos anexos a este Aviso.</w:t>
      </w:r>
    </w:p>
    <w:p>
      <w:pPr>
        <w:pStyle w:val="LO-normal"/>
        <w:spacing w:lineRule="auto" w:line="276" w:before="120" w:after="120"/>
        <w:jc w:val="both"/>
        <w:rPr>
          <w:b/>
          <w:color w:val="000000"/>
        </w:rPr>
      </w:pPr>
      <w:r>
        <w:rPr>
          <w:b/>
          <w:color w:val="000000"/>
        </w:rPr>
        <w:t>9. DAS DISPOSIÇÕES GERAIS</w:t>
      </w:r>
    </w:p>
    <w:p>
      <w:pPr>
        <w:pStyle w:val="LO-normal"/>
        <w:spacing w:lineRule="auto" w:line="276" w:before="120" w:after="120"/>
        <w:ind w:hanging="0" w:left="709"/>
        <w:jc w:val="both"/>
        <w:rPr>
          <w:color w:val="000000"/>
        </w:rPr>
      </w:pPr>
      <w:r>
        <w:rPr>
          <w:color w:val="000000"/>
        </w:rPr>
        <w:t>9.1. O procedimento será divulgado no Compras 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O-normal"/>
        <w:spacing w:lineRule="auto" w:line="276" w:before="120" w:after="120"/>
        <w:ind w:hanging="0" w:left="709"/>
        <w:jc w:val="both"/>
        <w:rPr>
          <w:color w:val="000000"/>
        </w:rPr>
      </w:pPr>
      <w:r>
        <w:rPr>
          <w:color w:val="000000"/>
        </w:rPr>
        <w:t>9.2. No caso de todos os fornecedores restarem desclassificados ou inabilitados (procedimento fracassado), a Administração poderá:</w:t>
      </w:r>
    </w:p>
    <w:p>
      <w:pPr>
        <w:pStyle w:val="LO-normal"/>
        <w:spacing w:lineRule="auto" w:line="276" w:before="120" w:after="120"/>
        <w:ind w:hanging="0" w:left="1418"/>
        <w:jc w:val="both"/>
        <w:rPr/>
      </w:pPr>
      <w:r>
        <w:rPr/>
        <w:t>9.2.1. republicar o presente aviso com uma nova data;</w:t>
      </w:r>
    </w:p>
    <w:p>
      <w:pPr>
        <w:pStyle w:val="LO-normal"/>
        <w:spacing w:lineRule="auto" w:line="276" w:before="120" w:after="120"/>
        <w:ind w:hanging="0" w:left="1418"/>
        <w:jc w:val="both"/>
        <w:rPr/>
      </w:pPr>
      <w:r>
        <w:rPr/>
        <w:t>9.2.2. valer-se, para a contratação, de proposta obtida na pesquisa de preços que serviu de base ao procedimento, se houver, privilegiando-se os menores preços, sempre que possível, e desde que atendidas às condições de habilitação exigidas.</w:t>
      </w:r>
    </w:p>
    <w:p>
      <w:pPr>
        <w:pStyle w:val="LO-normal"/>
        <w:spacing w:lineRule="auto" w:line="276" w:before="120" w:after="120"/>
        <w:ind w:hanging="0" w:left="2124"/>
        <w:jc w:val="both"/>
        <w:rPr/>
      </w:pPr>
      <w:r>
        <w:rPr/>
        <w:t>9.2.2.1. No caso do subitem anterior, a contratação será operacionalizada fora deste procedimento.</w:t>
      </w:r>
    </w:p>
    <w:p>
      <w:pPr>
        <w:pStyle w:val="LO-normal"/>
        <w:spacing w:lineRule="auto" w:line="276" w:before="120" w:after="120"/>
        <w:ind w:hanging="0" w:left="1418"/>
        <w:jc w:val="both"/>
        <w:rPr/>
      </w:pPr>
      <w:r>
        <w:rPr/>
        <w:t>9.2.3. fixar prazo para que possa haver adequação das propostas ou da documentação de habilitação, conforme o caso.</w:t>
      </w:r>
    </w:p>
    <w:p>
      <w:pPr>
        <w:pStyle w:val="LO-normal"/>
        <w:spacing w:lineRule="auto" w:line="276" w:before="120" w:after="120"/>
        <w:ind w:hanging="0" w:left="709"/>
        <w:jc w:val="both"/>
        <w:rPr>
          <w:color w:val="000000"/>
        </w:rPr>
      </w:pPr>
      <w:r>
        <w:rPr>
          <w:color w:val="000000"/>
        </w:rPr>
        <w:t>9.3. As providências dos subitens 9.2.1 e 9.2.2 acima poderão ser utilizadas se não houver o comparecimento de quaisquer fornecedores interessados (procedimento deserto).</w:t>
      </w:r>
    </w:p>
    <w:p>
      <w:pPr>
        <w:pStyle w:val="LO-normal"/>
        <w:spacing w:lineRule="auto" w:line="276" w:before="120" w:after="120"/>
        <w:ind w:hanging="0" w:left="709"/>
        <w:jc w:val="both"/>
        <w:rPr>
          <w:color w:val="000000"/>
        </w:rPr>
      </w:pPr>
      <w:r>
        <w:rPr>
          <w:color w:val="000000"/>
        </w:rPr>
        <w:t>9.4. 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O-normal"/>
        <w:spacing w:lineRule="auto" w:line="276" w:before="120" w:after="120"/>
        <w:ind w:hanging="0" w:left="709"/>
        <w:jc w:val="both"/>
        <w:rPr>
          <w:color w:val="000000"/>
        </w:rPr>
      </w:pPr>
      <w:r>
        <w:rPr>
          <w:color w:val="000000"/>
        </w:rPr>
        <w:t>9.5. Caberá ao fornecedor acompanhar as operações, ficando responsável pelo ônus decorrente da perda do negócio diante da inobservância de quaisquer mensagens emitidas pela Administração ou de sua desconexão.</w:t>
      </w:r>
    </w:p>
    <w:p>
      <w:pPr>
        <w:pStyle w:val="LO-normal"/>
        <w:spacing w:lineRule="auto" w:line="276" w:before="120" w:after="120"/>
        <w:ind w:hanging="0" w:left="709"/>
        <w:jc w:val="both"/>
        <w:rPr>
          <w:color w:val="000000"/>
        </w:rPr>
      </w:pPr>
      <w:r>
        <w:rPr>
          <w:color w:val="000000"/>
        </w:rPr>
        <w:t>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O-normal"/>
        <w:spacing w:lineRule="auto" w:line="276" w:before="120" w:after="120"/>
        <w:ind w:hanging="0" w:left="709"/>
        <w:jc w:val="both"/>
        <w:rPr>
          <w:color w:val="000000"/>
        </w:rPr>
      </w:pPr>
      <w:r>
        <w:rPr>
          <w:color w:val="000000"/>
        </w:rPr>
        <w:t>9.7. Os horários estabelecidos na divulgação deste procedimento e durante o envio de lances observarão o horário de Brasília-DF, inclusive para contagem de tempo e registro no Sistema e na documentação relativa ao procedimento.</w:t>
      </w:r>
    </w:p>
    <w:p>
      <w:pPr>
        <w:pStyle w:val="LO-normal"/>
        <w:spacing w:lineRule="auto" w:line="276" w:before="120" w:after="120"/>
        <w:ind w:hanging="0" w:left="709"/>
        <w:jc w:val="both"/>
        <w:rPr>
          <w:color w:val="000000"/>
        </w:rPr>
      </w:pPr>
      <w:r>
        <w:rPr>
          <w:color w:val="000000"/>
        </w:rPr>
        <w:t>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O-normal"/>
        <w:spacing w:lineRule="auto" w:line="276" w:before="120" w:after="120"/>
        <w:ind w:hanging="0" w:left="709"/>
        <w:jc w:val="both"/>
        <w:rPr>
          <w:color w:val="000000"/>
        </w:rPr>
      </w:pPr>
      <w:r>
        <w:rPr>
          <w:color w:val="000000"/>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O-normal"/>
        <w:spacing w:lineRule="auto" w:line="276" w:before="120" w:after="120"/>
        <w:ind w:hanging="0" w:left="709"/>
        <w:jc w:val="both"/>
        <w:rPr>
          <w:color w:val="000000"/>
        </w:rPr>
      </w:pPr>
      <w:r>
        <w:rPr>
          <w:color w:val="000000"/>
        </w:rPr>
        <w:t>9.10. Os fornecedores assumem todos os custos de preparação e apresentação de suas propostas e a Administração não será, em nenhum caso, responsável por esses custos, independentemente da condução ou do resultado do processo de contratação.</w:t>
      </w:r>
    </w:p>
    <w:p>
      <w:pPr>
        <w:pStyle w:val="LO-normal"/>
        <w:spacing w:lineRule="auto" w:line="276" w:before="120" w:after="120"/>
        <w:ind w:hanging="0" w:left="709"/>
        <w:jc w:val="both"/>
        <w:rPr>
          <w:color w:val="000000"/>
        </w:rPr>
      </w:pPr>
      <w:r>
        <w:rPr>
          <w:color w:val="000000"/>
        </w:rPr>
        <w:t>9.11. Em caso de divergência entre disposições deste Aviso de Contratação Direta e de seus anexos ou demais peças que compõem o processo, prevalecerá as deste Aviso.</w:t>
      </w:r>
    </w:p>
    <w:p>
      <w:pPr>
        <w:pStyle w:val="LO-normal"/>
        <w:spacing w:lineRule="auto" w:line="276" w:before="120" w:after="120"/>
        <w:ind w:hanging="0" w:left="709"/>
        <w:jc w:val="both"/>
        <w:rPr>
          <w:color w:val="000000"/>
        </w:rPr>
      </w:pPr>
      <w:r>
        <w:rPr>
          <w:color w:val="000000"/>
        </w:rPr>
        <w:t>9.12. Da sessão pública será divulgada Ata no sistema eletrônico.</w:t>
      </w:r>
    </w:p>
    <w:p>
      <w:pPr>
        <w:pStyle w:val="LO-normal"/>
        <w:spacing w:lineRule="auto" w:line="276" w:before="120" w:after="120"/>
        <w:ind w:hanging="0" w:left="709"/>
        <w:jc w:val="both"/>
        <w:rPr>
          <w:color w:val="000000"/>
        </w:rPr>
      </w:pPr>
      <w:r>
        <w:rPr>
          <w:color w:val="000000"/>
        </w:rPr>
        <w:t>9.13. Integram este Aviso de Contratação Direta, para todos os fins e efeitos, os seguintes anexos:</w:t>
      </w:r>
    </w:p>
    <w:p>
      <w:pPr>
        <w:pStyle w:val="LO-normal"/>
        <w:spacing w:lineRule="auto" w:line="276" w:before="120" w:after="120"/>
        <w:ind w:hanging="0" w:left="1418"/>
        <w:jc w:val="both"/>
        <w:rPr/>
      </w:pPr>
      <w:r>
        <w:rPr/>
        <w:t>9.13.1. ANEXO I – Documentação exigida para Habilitação</w:t>
      </w:r>
    </w:p>
    <w:p>
      <w:pPr>
        <w:pStyle w:val="LO-normal"/>
        <w:spacing w:lineRule="auto" w:line="276" w:before="120" w:after="120"/>
        <w:ind w:hanging="0" w:left="1418"/>
        <w:jc w:val="both"/>
        <w:rPr/>
      </w:pPr>
      <w:r>
        <w:rPr/>
        <w:t>9.13.2. ANEXO II - Termo de Referência</w:t>
      </w:r>
    </w:p>
    <w:p>
      <w:pPr>
        <w:pStyle w:val="LO-normal"/>
        <w:spacing w:lineRule="auto" w:line="276" w:before="120" w:after="120"/>
        <w:ind w:hanging="0" w:left="1418"/>
        <w:jc w:val="both"/>
        <w:rPr>
          <w:color w:val="000000"/>
        </w:rPr>
      </w:pPr>
      <w:r>
        <w:rPr>
          <w:color w:val="000000"/>
        </w:rPr>
        <w:t xml:space="preserve">9.13.3. ANEXO III – </w:t>
      </w:r>
      <w:r>
        <w:rPr>
          <w:rFonts w:eastAsia="Arial" w:cs="Arial"/>
          <w:color w:val="000000"/>
          <w:kern w:val="0"/>
          <w:sz w:val="20"/>
          <w:szCs w:val="20"/>
          <w:lang w:val="pt-BR" w:eastAsia="zh-CN" w:bidi="hi-IN"/>
        </w:rPr>
        <w:t>Estudo Técnico Preliminar</w:t>
      </w:r>
    </w:p>
    <w:p>
      <w:pPr>
        <w:pStyle w:val="LO-normal"/>
        <w:spacing w:lineRule="auto" w:line="276" w:before="120" w:after="120"/>
        <w:ind w:hanging="0" w:left="1418"/>
        <w:jc w:val="both"/>
        <w:rPr>
          <w:color w:val="000000"/>
        </w:rPr>
      </w:pPr>
      <w:r>
        <w:rPr>
          <w:color w:val="000000"/>
        </w:rPr>
        <w:t>9.13.4. ANEXO IV – Modelo da Proposta</w:t>
      </w:r>
    </w:p>
    <w:p>
      <w:pPr>
        <w:pStyle w:val="LO-normal"/>
        <w:spacing w:lineRule="auto" w:line="276" w:before="120" w:after="120"/>
        <w:ind w:hanging="0" w:left="1418"/>
        <w:jc w:val="both"/>
        <w:rPr>
          <w:color w:val="000000"/>
        </w:rPr>
      </w:pPr>
      <w:r>
        <w:rPr>
          <w:color w:val="000000"/>
        </w:rPr>
        <w:t>9.13.5. ANEXO V – Minuta de Termo de Contrato</w:t>
      </w:r>
    </w:p>
    <w:p>
      <w:pPr>
        <w:pStyle w:val="LO-normal"/>
        <w:spacing w:lineRule="auto" w:line="276" w:before="120" w:after="120"/>
        <w:ind w:hanging="0" w:left="1418"/>
        <w:jc w:val="both"/>
        <w:rPr>
          <w:color w:val="000000"/>
        </w:rPr>
      </w:pPr>
      <w:r>
        <w:rPr>
          <w:color w:val="000000"/>
        </w:rPr>
      </w:r>
    </w:p>
    <w:p>
      <w:pPr>
        <w:pStyle w:val="LO-normal"/>
        <w:spacing w:lineRule="auto" w:line="276" w:before="120" w:after="120"/>
        <w:ind w:hanging="0" w:left="1418"/>
        <w:jc w:val="both"/>
        <w:rPr>
          <w:color w:val="000000"/>
        </w:rPr>
      </w:pPr>
      <w:r>
        <w:rPr>
          <w:color w:val="000000"/>
        </w:rPr>
      </w:r>
    </w:p>
    <w:p>
      <w:pPr>
        <w:pStyle w:val="LO-normal"/>
        <w:spacing w:lineRule="auto" w:line="276" w:before="0" w:after="120"/>
        <w:ind w:hanging="0" w:left="360" w:right="-15"/>
        <w:jc w:val="both"/>
        <w:rPr>
          <w:color w:val="000000"/>
        </w:rPr>
      </w:pPr>
      <w:r>
        <w:rPr>
          <w:color w:val="000000"/>
        </w:rPr>
      </w:r>
    </w:p>
    <w:p>
      <w:pPr>
        <w:pStyle w:val="LO-normal"/>
        <w:spacing w:lineRule="auto" w:line="276" w:before="0" w:after="120"/>
        <w:ind w:hanging="0" w:right="-15"/>
        <w:jc w:val="right"/>
        <w:rPr>
          <w:color w:val="000000"/>
        </w:rPr>
      </w:pPr>
      <w:r>
        <w:rPr>
          <w:color w:val="000000"/>
        </w:rPr>
        <w:t>Paracambi, _____ de ________________de 202</w:t>
      </w:r>
      <w:r>
        <w:rPr>
          <w:rFonts w:eastAsia="Arial" w:cs="Arial"/>
          <w:color w:val="000000"/>
          <w:kern w:val="0"/>
          <w:sz w:val="20"/>
          <w:szCs w:val="20"/>
          <w:lang w:val="pt-BR" w:eastAsia="zh-CN" w:bidi="hi-IN"/>
        </w:rPr>
        <w:t>5</w:t>
      </w:r>
      <w:r>
        <w:rPr>
          <w:color w:val="000000"/>
        </w:rPr>
        <w:t>.</w:t>
      </w:r>
    </w:p>
    <w:p>
      <w:pPr>
        <w:pStyle w:val="LO-normal"/>
        <w:spacing w:lineRule="auto" w:line="276" w:before="0" w:after="120"/>
        <w:ind w:hanging="0" w:right="-15"/>
        <w:jc w:val="right"/>
        <w:rPr>
          <w:color w:val="000000"/>
        </w:rPr>
      </w:pPr>
      <w:r>
        <w:rPr>
          <w:color w:val="000000"/>
        </w:rPr>
      </w:r>
    </w:p>
    <w:p>
      <w:pPr>
        <w:pStyle w:val="LO-normal"/>
        <w:spacing w:lineRule="auto" w:line="276" w:before="0" w:after="120"/>
        <w:ind w:hanging="0" w:right="-15"/>
        <w:jc w:val="right"/>
        <w:rPr>
          <w:color w:val="000000"/>
        </w:rPr>
      </w:pPr>
      <w:r>
        <w:rPr>
          <w:color w:val="000000"/>
        </w:rPr>
      </w:r>
    </w:p>
    <w:p>
      <w:pPr>
        <w:pStyle w:val="LO-normal"/>
        <w:spacing w:lineRule="auto" w:line="276"/>
        <w:jc w:val="center"/>
        <w:rPr>
          <w:rFonts w:ascii="Arial" w:hAnsi="Arial" w:eastAsia="Arial" w:cs="Arial"/>
          <w:b/>
          <w:color w:val="000000"/>
          <w:kern w:val="0"/>
          <w:sz w:val="20"/>
          <w:szCs w:val="20"/>
          <w:lang w:val="pt-BR" w:eastAsia="zh-CN" w:bidi="hi-IN"/>
        </w:rPr>
      </w:pPr>
      <w:r>
        <w:rPr>
          <w:rFonts w:eastAsia="Arial" w:cs="Arial"/>
          <w:b/>
          <w:color w:val="000000"/>
          <w:kern w:val="0"/>
          <w:sz w:val="20"/>
          <w:szCs w:val="20"/>
          <w:lang w:val="pt-BR" w:eastAsia="zh-CN" w:bidi="hi-IN"/>
        </w:rPr>
        <w:t>MARIANA DA SILVA AZEVEDO</w:t>
      </w:r>
    </w:p>
    <w:p>
      <w:pPr>
        <w:pStyle w:val="LO-normal"/>
        <w:spacing w:lineRule="auto" w:line="276"/>
        <w:jc w:val="center"/>
        <w:rPr>
          <w:rFonts w:ascii="Arial" w:hAnsi="Arial" w:eastAsia="Arial" w:cs="Arial"/>
          <w:b/>
          <w:color w:val="000000"/>
          <w:kern w:val="0"/>
          <w:sz w:val="20"/>
          <w:szCs w:val="20"/>
          <w:lang w:val="pt-BR" w:eastAsia="zh-CN" w:bidi="hi-IN"/>
        </w:rPr>
      </w:pPr>
      <w:r>
        <w:rPr>
          <w:rFonts w:eastAsia="Arial" w:cs="Arial"/>
          <w:b/>
          <w:color w:val="000000"/>
          <w:kern w:val="0"/>
          <w:sz w:val="20"/>
          <w:szCs w:val="20"/>
          <w:lang w:val="pt-BR" w:eastAsia="zh-CN" w:bidi="hi-IN"/>
        </w:rPr>
        <w:t>Coordenadora Geral de Licitações</w:t>
      </w:r>
    </w:p>
    <w:p>
      <w:pPr>
        <w:pStyle w:val="LO-normal"/>
        <w:spacing w:lineRule="auto" w:line="276"/>
        <w:jc w:val="center"/>
        <w:rPr>
          <w:highlight w:val="none"/>
          <w:shd w:fill="auto" w:val="clear"/>
        </w:rPr>
      </w:pPr>
      <w:r>
        <w:rPr>
          <w:b/>
          <w:color w:val="000000"/>
          <w:shd w:fill="auto" w:val="clear"/>
        </w:rPr>
        <w:t>Matr.</w:t>
      </w:r>
      <w:r>
        <w:rPr>
          <w:rFonts w:eastAsia="Arial" w:cs="Arial"/>
          <w:b/>
          <w:color w:val="000000"/>
          <w:kern w:val="0"/>
          <w:sz w:val="20"/>
          <w:szCs w:val="20"/>
          <w:shd w:fill="auto" w:val="clear"/>
          <w:lang w:val="pt-BR" w:eastAsia="zh-CN" w:bidi="hi-IN"/>
        </w:rPr>
        <w:t>15.544</w:t>
      </w:r>
    </w:p>
    <w:p>
      <w:pPr>
        <w:pStyle w:val="LO-normal"/>
        <w:rPr/>
      </w:pPr>
      <w:r>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jc w:val="center"/>
        <w:rPr>
          <w:b/>
        </w:rPr>
      </w:pPr>
      <w:r>
        <w:rPr>
          <w:b/>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sz w:val="20"/>
          <w:szCs w:val="20"/>
        </w:rPr>
      </w:pPr>
      <w:r>
        <w:rPr>
          <w:b/>
          <w:sz w:val="20"/>
          <w:szCs w:val="20"/>
          <w:u w:val="single"/>
          <w:shd w:fill="auto" w:val="clear"/>
        </w:rPr>
      </w:r>
      <w:r>
        <w:br w:type="page"/>
      </w:r>
    </w:p>
    <w:p>
      <w:pPr>
        <w:pStyle w:val="LO-normal"/>
        <w:spacing w:lineRule="auto" w:line="240"/>
        <w:jc w:val="center"/>
        <w:rPr>
          <w:rFonts w:ascii="Arial" w:hAnsi="Arial"/>
          <w:sz w:val="20"/>
          <w:szCs w:val="20"/>
        </w:rPr>
      </w:pPr>
      <w:r>
        <w:rPr>
          <w:b/>
          <w:sz w:val="20"/>
          <w:szCs w:val="20"/>
          <w:u w:val="single"/>
          <w:shd w:fill="auto" w:val="clear"/>
        </w:rPr>
        <w:t>ANEXO I</w:t>
      </w:r>
      <w:r>
        <w:rPr>
          <w:b/>
          <w:sz w:val="20"/>
          <w:szCs w:val="20"/>
          <w:u w:val="single"/>
          <w:shd w:fill="00FF00" w:val="clear"/>
        </w:rPr>
        <w:t xml:space="preserve"> </w:t>
      </w:r>
    </w:p>
    <w:p>
      <w:pPr>
        <w:pStyle w:val="LO-normal"/>
        <w:spacing w:lineRule="auto" w:line="240"/>
        <w:jc w:val="center"/>
        <w:rPr>
          <w:rFonts w:ascii="Arial" w:hAnsi="Arial"/>
          <w:b/>
          <w:sz w:val="20"/>
          <w:szCs w:val="20"/>
        </w:rPr>
      </w:pPr>
      <w:r>
        <w:rPr>
          <w:b/>
          <w:sz w:val="20"/>
          <w:szCs w:val="20"/>
        </w:rPr>
      </w:r>
    </w:p>
    <w:p>
      <w:pPr>
        <w:pStyle w:val="LO-normal"/>
        <w:spacing w:lineRule="auto" w:line="240"/>
        <w:jc w:val="center"/>
        <w:rPr>
          <w:rFonts w:ascii="Arial" w:hAnsi="Arial"/>
          <w:sz w:val="20"/>
          <w:szCs w:val="20"/>
        </w:rPr>
      </w:pPr>
      <w:r>
        <w:rPr>
          <w:b/>
          <w:sz w:val="20"/>
          <w:szCs w:val="20"/>
          <w:u w:val="single"/>
        </w:rPr>
        <w:t xml:space="preserve"> </w:t>
      </w:r>
      <w:r>
        <w:rPr>
          <w:b/>
          <w:sz w:val="20"/>
          <w:szCs w:val="20"/>
          <w:u w:val="single"/>
        </w:rPr>
        <w:t>DOCUMENTAÇÃO EXIGIDA PARA HABILITAÇÃO</w:t>
      </w:r>
    </w:p>
    <w:p>
      <w:pPr>
        <w:pStyle w:val="LO-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t xml:space="preserve">1. O fornecedor será selecionado por meio da realização de procedimento de </w:t>
      </w:r>
      <w:r>
        <w:rPr>
          <w:b/>
          <w:bCs/>
          <w:sz w:val="20"/>
          <w:szCs w:val="20"/>
        </w:rPr>
        <w:t>DISPENSA DE LICITAÇÃO</w:t>
      </w:r>
      <w:r>
        <w:rPr>
          <w:sz w:val="20"/>
          <w:szCs w:val="20"/>
        </w:rPr>
        <w:t>, nos termos do Inciso II, do Artigo 75, Lei Federal nº 14.133/2021.</w:t>
      </w:r>
    </w:p>
    <w:p>
      <w:pPr>
        <w:pStyle w:val="Normal"/>
        <w:spacing w:lineRule="auto" w:line="240"/>
        <w:rPr>
          <w:rFonts w:ascii="Arial" w:hAnsi="Arial"/>
          <w:sz w:val="20"/>
          <w:szCs w:val="20"/>
        </w:rPr>
      </w:pPr>
      <w:r>
        <w:rPr>
          <w:sz w:val="20"/>
          <w:szCs w:val="20"/>
        </w:rPr>
      </w:r>
    </w:p>
    <w:p>
      <w:pPr>
        <w:pStyle w:val="Normal"/>
        <w:spacing w:lineRule="auto" w:line="240"/>
        <w:rPr>
          <w:rFonts w:ascii="Arial" w:hAnsi="Arial"/>
          <w:sz w:val="20"/>
          <w:szCs w:val="20"/>
        </w:rPr>
      </w:pPr>
      <w:r>
        <w:rPr>
          <w:rFonts w:eastAsia="Times New Roman" w:cs="Tahoma"/>
          <w:color w:val="auto"/>
          <w:kern w:val="0"/>
          <w:sz w:val="20"/>
          <w:szCs w:val="20"/>
          <w:lang w:val="pt-BR" w:eastAsia="pt-BR" w:bidi="hi-IN"/>
        </w:rPr>
        <w:t>1</w:t>
      </w:r>
      <w:r>
        <w:rPr>
          <w:sz w:val="20"/>
          <w:szCs w:val="20"/>
        </w:rPr>
        <w:t>.2. Para fins de habilitação, deverá o licitante comprovar os seguintes requisitos:</w:t>
      </w:r>
    </w:p>
    <w:p>
      <w:pPr>
        <w:pStyle w:val="Standard"/>
        <w:spacing w:lineRule="auto" w:line="240"/>
        <w:rPr>
          <w:rFonts w:ascii="Arial" w:hAnsi="Arial"/>
          <w:sz w:val="20"/>
          <w:szCs w:val="20"/>
          <w:lang w:eastAsia="en-US"/>
        </w:rPr>
      </w:pPr>
      <w:r>
        <w:rPr>
          <w:sz w:val="20"/>
          <w:szCs w:val="20"/>
          <w:lang w:eastAsia="en-US"/>
        </w:rPr>
      </w:r>
    </w:p>
    <w:p>
      <w:pPr>
        <w:pStyle w:val="Normal"/>
        <w:spacing w:lineRule="auto" w:line="240"/>
        <w:rPr>
          <w:rFonts w:ascii="Arial" w:hAnsi="Arial"/>
          <w:sz w:val="20"/>
          <w:szCs w:val="20"/>
        </w:rPr>
      </w:pPr>
      <w:r>
        <w:rPr>
          <w:b/>
          <w:bCs/>
          <w:sz w:val="20"/>
          <w:szCs w:val="20"/>
        </w:rPr>
        <w:t>2. Habilitação Jurídica:</w:t>
      </w:r>
      <w:r>
        <w:rPr>
          <w:sz w:val="20"/>
          <w:szCs w:val="20"/>
        </w:rPr>
        <w:t xml:space="preserve"> </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t xml:space="preserve">2.1. </w:t>
      </w:r>
      <w:r>
        <w:rPr>
          <w:b/>
          <w:bCs/>
          <w:sz w:val="20"/>
          <w:szCs w:val="20"/>
        </w:rPr>
        <w:t>Pessoa física</w:t>
      </w:r>
      <w:r>
        <w:rPr>
          <w:sz w:val="20"/>
          <w:szCs w:val="20"/>
        </w:rPr>
        <w:t xml:space="preserve">: cédula de identidade (RG) ou documento equivalente que, por força de lei, tenha validade para fins de identificação em todo o território nacional;  </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t>2.1.</w:t>
      </w:r>
      <w:r>
        <w:rPr>
          <w:rFonts w:eastAsia="Times New Roman" w:cs="Tahoma"/>
          <w:color w:val="auto"/>
          <w:kern w:val="0"/>
          <w:sz w:val="20"/>
          <w:szCs w:val="20"/>
          <w:lang w:val="pt-BR" w:eastAsia="pt-BR" w:bidi="hi-IN"/>
        </w:rPr>
        <w:t>1</w:t>
      </w:r>
      <w:r>
        <w:rPr>
          <w:sz w:val="20"/>
          <w:szCs w:val="20"/>
        </w:rPr>
        <w:t xml:space="preserve">. </w:t>
      </w:r>
      <w:r>
        <w:rPr>
          <w:b/>
          <w:bCs/>
          <w:sz w:val="20"/>
          <w:szCs w:val="20"/>
        </w:rPr>
        <w:t>Empresário individual</w:t>
      </w:r>
      <w:r>
        <w:rPr>
          <w:sz w:val="20"/>
          <w:szCs w:val="20"/>
        </w:rPr>
        <w:t xml:space="preserve">: inscrição no Registro Público de Empresas Mercantis, a cargo da Junta Comercial da respectiva sede; </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t xml:space="preserve">2.1.2. </w:t>
      </w:r>
      <w:r>
        <w:rPr>
          <w:b/>
          <w:bCs/>
          <w:sz w:val="20"/>
          <w:szCs w:val="20"/>
        </w:rPr>
        <w:t>Sociedade empresária, sociedade limitada unipessoal – SLU ou sociedade identificada como empresa individual de responsabilidade limitada - EIRELI</w:t>
      </w:r>
      <w:r>
        <w:rPr>
          <w:sz w:val="20"/>
          <w:szCs w:val="20"/>
        </w:rPr>
        <w:t>: inscrição do ato constitutivo, estatuto ou contrato social no Registro Público de Empresas Mercantis, a cargo da Junta Comercial da respectiva sede, acompanhada de documento comprobatório de seus administradores;</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t>2.1.</w:t>
      </w:r>
      <w:r>
        <w:rPr>
          <w:rFonts w:eastAsia="Times New Roman" w:cs="Tahoma"/>
          <w:color w:val="auto"/>
          <w:kern w:val="0"/>
          <w:sz w:val="20"/>
          <w:szCs w:val="20"/>
          <w:lang w:val="pt-BR" w:eastAsia="pt-BR" w:bidi="hi-IN"/>
        </w:rPr>
        <w:t>3</w:t>
      </w:r>
      <w:r>
        <w:rPr>
          <w:sz w:val="20"/>
          <w:szCs w:val="20"/>
        </w:rPr>
        <w:t>. Os documentos apresentados deverão estar acompanhados de todas as alterações ou da consolidação respectiva.</w:t>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rFonts w:eastAsia="Times New Roman" w:cs="Tahoma"/>
          <w:b/>
          <w:bCs/>
          <w:color w:val="auto"/>
          <w:kern w:val="0"/>
          <w:sz w:val="20"/>
          <w:szCs w:val="20"/>
          <w:lang w:val="pt-BR" w:eastAsia="pt-BR" w:bidi="hi-IN"/>
        </w:rPr>
        <w:t>3</w:t>
      </w:r>
      <w:r>
        <w:rPr>
          <w:b/>
          <w:bCs/>
          <w:sz w:val="20"/>
          <w:szCs w:val="20"/>
        </w:rPr>
        <w:t>.</w:t>
      </w:r>
      <w:r>
        <w:rPr>
          <w:sz w:val="20"/>
          <w:szCs w:val="20"/>
        </w:rPr>
        <w:t xml:space="preserve"> </w:t>
      </w:r>
      <w:r>
        <w:rPr>
          <w:b/>
          <w:bCs/>
          <w:sz w:val="20"/>
          <w:szCs w:val="20"/>
        </w:rPr>
        <w:t>Habilitações fiscal, social e trabalhista:</w:t>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rFonts w:eastAsia="Times New Roman" w:cs="Tahoma"/>
          <w:color w:val="auto"/>
          <w:kern w:val="0"/>
          <w:sz w:val="20"/>
          <w:szCs w:val="20"/>
          <w:lang w:val="pt-BR" w:eastAsia="pt-BR" w:bidi="hi-IN"/>
        </w:rPr>
        <w:t>3.</w:t>
      </w:r>
      <w:r>
        <w:rPr>
          <w:sz w:val="20"/>
          <w:szCs w:val="20"/>
        </w:rPr>
        <w:t>1. prova de inscrição no Cadastro de Pessoas Físicas (CPF) ou no Cadastro Nacional da Pessoa Jurídica (CNPJ), conforme o caso;</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rFonts w:eastAsia="Times New Roman" w:cs="Tahoma"/>
          <w:color w:val="auto"/>
          <w:kern w:val="0"/>
          <w:sz w:val="20"/>
          <w:szCs w:val="20"/>
          <w:lang w:val="pt-BR" w:eastAsia="pt-BR" w:bidi="hi-IN"/>
        </w:rPr>
        <w:t>3.2</w:t>
      </w:r>
      <w:r>
        <w:rPr>
          <w:sz w:val="20"/>
          <w:szCs w:val="20"/>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spacing w:lineRule="auto" w:line="240"/>
        <w:rPr>
          <w:rFonts w:ascii="Arial" w:hAnsi="Arial"/>
          <w:sz w:val="20"/>
          <w:szCs w:val="20"/>
        </w:rPr>
      </w:pPr>
      <w:r>
        <w:rPr>
          <w:sz w:val="20"/>
          <w:szCs w:val="20"/>
        </w:rPr>
      </w:r>
    </w:p>
    <w:p>
      <w:pPr>
        <w:pStyle w:val="Normal"/>
        <w:spacing w:lineRule="auto" w:line="240"/>
        <w:rPr>
          <w:rFonts w:ascii="Arial" w:hAnsi="Arial"/>
          <w:sz w:val="20"/>
          <w:szCs w:val="20"/>
        </w:rPr>
      </w:pPr>
      <w:r>
        <w:rPr>
          <w:rFonts w:eastAsia="Times New Roman" w:cs="Tahoma"/>
          <w:color w:val="auto"/>
          <w:kern w:val="0"/>
          <w:sz w:val="20"/>
          <w:szCs w:val="20"/>
          <w:lang w:val="pt-BR" w:eastAsia="pt-BR" w:bidi="hi-IN"/>
        </w:rPr>
        <w:t>3</w:t>
      </w:r>
      <w:r>
        <w:rPr>
          <w:sz w:val="20"/>
          <w:szCs w:val="20"/>
        </w:rPr>
        <w:t>.3. prova de regularidade com o Fundo de Garantia do Tempo de Serviço (FGTS);</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highlight w:val="none"/>
          <w:shd w:fill="auto" w:val="clear"/>
        </w:rPr>
      </w:pPr>
      <w:r>
        <w:rPr>
          <w:rFonts w:eastAsia="Times New Roman" w:cs="Tahoma"/>
          <w:color w:val="000000"/>
          <w:kern w:val="0"/>
          <w:sz w:val="20"/>
          <w:szCs w:val="20"/>
          <w:shd w:fill="auto" w:val="clear"/>
          <w:lang w:val="pt-BR" w:eastAsia="pt-BR" w:bidi="hi-IN"/>
        </w:rPr>
        <w:t>3.</w:t>
      </w:r>
      <w:r>
        <w:rPr>
          <w:sz w:val="20"/>
          <w:szCs w:val="20"/>
          <w:shd w:fill="auto" w:val="clea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spacing w:lineRule="auto" w:line="240"/>
        <w:jc w:val="both"/>
        <w:rPr>
          <w:rFonts w:ascii="Arial" w:hAnsi="Arial"/>
          <w:sz w:val="20"/>
          <w:szCs w:val="20"/>
          <w:highlight w:val="none"/>
          <w:shd w:fill="auto" w:val="clear"/>
        </w:rPr>
      </w:pPr>
      <w:r>
        <w:rPr>
          <w:sz w:val="20"/>
          <w:szCs w:val="20"/>
          <w:shd w:fill="auto" w:val="clear"/>
        </w:rPr>
      </w:r>
    </w:p>
    <w:p>
      <w:pPr>
        <w:pStyle w:val="Normal"/>
        <w:spacing w:lineRule="auto" w:line="240"/>
        <w:jc w:val="both"/>
        <w:rPr>
          <w:rFonts w:ascii="Arial" w:hAnsi="Arial"/>
          <w:sz w:val="20"/>
          <w:szCs w:val="20"/>
        </w:rPr>
      </w:pPr>
      <w:r>
        <w:rPr>
          <w:rFonts w:eastAsia="Times New Roman" w:cs="Tahoma"/>
          <w:color w:val="auto"/>
          <w:kern w:val="0"/>
          <w:sz w:val="20"/>
          <w:szCs w:val="20"/>
          <w:lang w:val="pt-BR" w:eastAsia="pt-BR" w:bidi="hi-IN"/>
        </w:rPr>
        <w:t>3.</w:t>
      </w:r>
      <w:r>
        <w:rPr>
          <w:sz w:val="20"/>
          <w:szCs w:val="20"/>
        </w:rPr>
        <w:t xml:space="preserve">5. prova de inscrição no cadastro de contribuintes estadual e municipal, se houver, relativo ao domicílio ou sede do fornecedor, pertinente ao seu ramo de atividade e compatível com o objeto contratual; </w:t>
      </w:r>
    </w:p>
    <w:p>
      <w:pPr>
        <w:pStyle w:val="Normal"/>
        <w:spacing w:lineRule="auto" w:line="240"/>
        <w:rPr>
          <w:rFonts w:ascii="Arial" w:hAnsi="Arial"/>
          <w:sz w:val="20"/>
          <w:szCs w:val="20"/>
        </w:rPr>
      </w:pPr>
      <w:r>
        <w:rPr>
          <w:sz w:val="20"/>
          <w:szCs w:val="20"/>
        </w:rPr>
      </w:r>
    </w:p>
    <w:p>
      <w:pPr>
        <w:pStyle w:val="Normal"/>
        <w:spacing w:lineRule="auto" w:line="240"/>
        <w:jc w:val="both"/>
        <w:rPr>
          <w:rFonts w:ascii="Arial" w:hAnsi="Arial"/>
          <w:sz w:val="20"/>
          <w:szCs w:val="20"/>
        </w:rPr>
      </w:pPr>
      <w:r>
        <w:rPr>
          <w:rFonts w:eastAsia="Times New Roman" w:cs="Tahoma"/>
          <w:color w:val="auto"/>
          <w:kern w:val="0"/>
          <w:sz w:val="20"/>
          <w:szCs w:val="20"/>
          <w:lang w:val="pt-BR" w:eastAsia="pt-BR" w:bidi="hi-IN"/>
        </w:rPr>
        <w:t>3</w:t>
      </w:r>
      <w:r>
        <w:rPr>
          <w:sz w:val="20"/>
          <w:szCs w:val="20"/>
        </w:rPr>
        <w:t>.6.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ormal"/>
        <w:shd w:val="clear" w:color="auto" w:fill="FFFFFF"/>
        <w:spacing w:lineRule="auto" w:line="240" w:before="120" w:after="120"/>
        <w:jc w:val="both"/>
        <w:rPr>
          <w:rFonts w:ascii="Arial" w:hAnsi="Arial"/>
          <w:sz w:val="20"/>
          <w:szCs w:val="20"/>
        </w:rPr>
      </w:pPr>
      <w:r>
        <w:rPr>
          <w:sz w:val="20"/>
          <w:szCs w:val="20"/>
        </w:rPr>
      </w:r>
    </w:p>
    <w:p>
      <w:pPr>
        <w:pStyle w:val="LO-normal"/>
        <w:spacing w:lineRule="auto" w:line="240" w:before="0" w:after="0"/>
        <w:ind w:hanging="0" w:left="709"/>
        <w:jc w:val="left"/>
        <w:rPr>
          <w:rFonts w:ascii="Arial" w:hAnsi="Arial" w:eastAsia="Arial" w:cs="Arial"/>
          <w:b/>
          <w:sz w:val="20"/>
          <w:szCs w:val="20"/>
        </w:rPr>
      </w:pPr>
      <w:r>
        <w:rPr>
          <w:rFonts w:eastAsia="Arial" w:cs="Arial"/>
          <w:b/>
          <w:sz w:val="20"/>
          <w:szCs w:val="20"/>
        </w:rPr>
      </w:r>
    </w:p>
    <w:p>
      <w:pPr>
        <w:pStyle w:val="LO-normal"/>
        <w:spacing w:lineRule="auto" w:line="240" w:before="120" w:after="120"/>
        <w:ind w:hanging="0" w:left="1418"/>
        <w:jc w:val="both"/>
        <w:rPr>
          <w:rFonts w:ascii="Arial" w:hAnsi="Arial"/>
          <w:iCs/>
          <w:sz w:val="20"/>
          <w:szCs w:val="20"/>
        </w:rPr>
      </w:pPr>
      <w:r>
        <w:rPr>
          <w:iCs/>
          <w:sz w:val="20"/>
          <w:szCs w:val="20"/>
        </w:rPr>
      </w:r>
    </w:p>
    <w:p>
      <w:pPr>
        <w:pStyle w:val="LO-normal"/>
        <w:spacing w:lineRule="auto" w:line="240" w:before="120" w:after="120"/>
        <w:ind w:hanging="0" w:left="1418"/>
        <w:jc w:val="both"/>
        <w:rPr>
          <w:rFonts w:ascii="Arial" w:hAnsi="Arial"/>
          <w:i/>
          <w:i/>
          <w:color w:val="FF0000"/>
          <w:sz w:val="20"/>
          <w:szCs w:val="20"/>
          <w:highlight w:val="green"/>
        </w:rPr>
      </w:pPr>
      <w:r>
        <w:rPr>
          <w:i/>
          <w:color w:val="FF0000"/>
          <w:sz w:val="20"/>
          <w:szCs w:val="20"/>
          <w:highlight w:val="green"/>
        </w:rPr>
      </w:r>
    </w:p>
    <w:p>
      <w:pPr>
        <w:pStyle w:val="LO-normal"/>
        <w:spacing w:lineRule="auto" w:line="240" w:before="120" w:after="120"/>
        <w:ind w:hanging="0" w:left="1418"/>
        <w:jc w:val="both"/>
        <w:rPr>
          <w:rFonts w:ascii="Arial" w:hAnsi="Arial"/>
          <w:i/>
          <w:i/>
          <w:color w:val="FF0000"/>
          <w:sz w:val="20"/>
          <w:szCs w:val="20"/>
          <w:highlight w:val="green"/>
        </w:rPr>
      </w:pPr>
      <w:r>
        <w:rPr>
          <w:i/>
          <w:color w:val="FF0000"/>
          <w:sz w:val="20"/>
          <w:szCs w:val="20"/>
          <w:highlight w:val="green"/>
        </w:rPr>
      </w:r>
    </w:p>
    <w:p>
      <w:pPr>
        <w:pStyle w:val="LO-normal"/>
        <w:spacing w:lineRule="auto" w:line="240" w:before="120" w:after="120"/>
        <w:ind w:hanging="0" w:left="1418"/>
        <w:jc w:val="both"/>
        <w:rPr>
          <w:rFonts w:ascii="Arial" w:hAnsi="Arial"/>
          <w:i/>
          <w:i/>
          <w:color w:val="FF0000"/>
          <w:sz w:val="20"/>
          <w:szCs w:val="20"/>
          <w:highlight w:val="green"/>
        </w:rPr>
      </w:pPr>
      <w:r>
        <w:rPr>
          <w:i/>
          <w:color w:val="FF0000"/>
          <w:sz w:val="20"/>
          <w:szCs w:val="20"/>
          <w:highlight w:val="green"/>
        </w:rPr>
      </w:r>
    </w:p>
    <w:p>
      <w:pPr>
        <w:pStyle w:val="LO-normal"/>
        <w:spacing w:lineRule="auto" w:line="240" w:before="120" w:after="120"/>
        <w:ind w:hanging="0" w:left="1418"/>
        <w:jc w:val="both"/>
        <w:rPr>
          <w:rFonts w:ascii="Arial" w:hAnsi="Arial"/>
          <w:i/>
          <w:i/>
          <w:color w:val="FF0000"/>
          <w:sz w:val="20"/>
          <w:szCs w:val="20"/>
          <w:highlight w:val="green"/>
        </w:rPr>
      </w:pPr>
      <w:r>
        <w:rPr>
          <w:i/>
          <w:color w:val="FF0000"/>
          <w:sz w:val="20"/>
          <w:szCs w:val="20"/>
          <w:highlight w:val="green"/>
        </w:rPr>
      </w:r>
    </w:p>
    <w:p>
      <w:pPr>
        <w:pStyle w:val="LO-normal"/>
        <w:spacing w:lineRule="auto" w:line="240" w:before="120" w:after="120"/>
        <w:ind w:hanging="0" w:left="1418"/>
        <w:jc w:val="both"/>
        <w:rPr>
          <w:rFonts w:ascii="Arial" w:hAnsi="Arial"/>
          <w:i/>
          <w:i/>
          <w:color w:val="FF0000"/>
          <w:sz w:val="20"/>
          <w:szCs w:val="20"/>
          <w:highlight w:val="green"/>
        </w:rPr>
      </w:pPr>
      <w:r>
        <w:rPr>
          <w:i/>
          <w:color w:val="FF0000"/>
          <w:sz w:val="20"/>
          <w:szCs w:val="20"/>
          <w:highlight w:val="green"/>
        </w:rPr>
      </w:r>
    </w:p>
    <w:p>
      <w:pPr>
        <w:pStyle w:val="LO-normal"/>
        <w:spacing w:lineRule="auto" w:line="240" w:before="0" w:after="0"/>
        <w:ind w:hanging="0" w:left="360"/>
        <w:jc w:val="left"/>
        <w:rPr>
          <w:rFonts w:ascii="Arial" w:hAnsi="Arial"/>
          <w:i/>
          <w:i/>
          <w:color w:val="FF0000"/>
          <w:sz w:val="20"/>
          <w:szCs w:val="20"/>
          <w:highlight w:val="green"/>
        </w:rPr>
      </w:pPr>
      <w:r>
        <w:rPr>
          <w:i/>
          <w:color w:val="FF0000"/>
          <w:sz w:val="20"/>
          <w:szCs w:val="20"/>
          <w:highlight w:val="green"/>
        </w:rPr>
      </w:r>
    </w:p>
    <w:p>
      <w:pPr>
        <w:pStyle w:val="LO-normal"/>
        <w:spacing w:lineRule="auto" w:line="240" w:before="0" w:after="0"/>
        <w:ind w:hanging="0" w:left="360"/>
        <w:jc w:val="left"/>
        <w:rPr>
          <w:rFonts w:ascii="Arial" w:hAnsi="Arial"/>
          <w:i/>
          <w:i/>
          <w:color w:val="FF0000"/>
          <w:sz w:val="20"/>
          <w:szCs w:val="20"/>
          <w:highlight w:val="green"/>
        </w:rPr>
      </w:pPr>
      <w:r>
        <w:rPr>
          <w:i/>
          <w:color w:val="FF0000"/>
          <w:sz w:val="20"/>
          <w:szCs w:val="20"/>
          <w:highlight w:val="green"/>
        </w:rPr>
      </w:r>
    </w:p>
    <w:p>
      <w:pPr>
        <w:pStyle w:val="LO-normal"/>
        <w:spacing w:lineRule="auto" w:line="240" w:before="120" w:after="120"/>
        <w:ind w:hanging="0"/>
        <w:jc w:val="center"/>
        <w:rPr>
          <w:rFonts w:ascii="Arial" w:hAnsi="Arial"/>
          <w:sz w:val="20"/>
          <w:szCs w:val="20"/>
        </w:rPr>
      </w:pPr>
      <w:r>
        <w:rPr>
          <w:rFonts w:cs="Arial"/>
          <w:b/>
          <w:bCs/>
          <w:sz w:val="20"/>
          <w:szCs w:val="20"/>
          <w:u w:val="single"/>
        </w:rPr>
        <w:t>ANEXO II</w:t>
      </w:r>
    </w:p>
    <w:p>
      <w:pPr>
        <w:pStyle w:val="Normal"/>
        <w:spacing w:lineRule="auto" w:line="240"/>
        <w:rPr>
          <w:rFonts w:ascii="Arial" w:hAnsi="Arial" w:eastAsia="Arial" w:cs="Arial"/>
          <w:sz w:val="20"/>
          <w:szCs w:val="20"/>
        </w:rPr>
      </w:pPr>
      <w:r>
        <w:rPr>
          <w:rFonts w:eastAsia="Arial" w:cs="Arial"/>
          <w:sz w:val="20"/>
          <w:szCs w:val="20"/>
        </w:rPr>
      </w:r>
    </w:p>
    <w:p>
      <w:pPr>
        <w:pStyle w:val="Standard"/>
        <w:spacing w:lineRule="auto" w:line="240"/>
        <w:rPr>
          <w:rFonts w:ascii="Arial" w:hAnsi="Arial"/>
          <w:sz w:val="20"/>
          <w:szCs w:val="20"/>
        </w:rPr>
      </w:pPr>
      <w:r>
        <w:rPr>
          <w:b/>
          <w:bCs/>
          <w:sz w:val="20"/>
          <w:szCs w:val="20"/>
          <w:u w:val="single"/>
        </w:rPr>
        <w:t xml:space="preserve">TERMO DE REFERÊNCIA </w:t>
      </w:r>
    </w:p>
    <w:p>
      <w:pPr>
        <w:pStyle w:val="Normal"/>
        <w:spacing w:lineRule="auto" w:line="240"/>
        <w:ind w:hanging="0" w:right="567"/>
        <w:jc w:val="both"/>
        <w:rPr>
          <w:rFonts w:ascii="Arial" w:hAnsi="Arial"/>
          <w:sz w:val="20"/>
          <w:szCs w:val="20"/>
        </w:rPr>
      </w:pPr>
      <w:r>
        <w:rPr>
          <w:b/>
          <w:sz w:val="20"/>
          <w:szCs w:val="20"/>
        </w:rPr>
        <w:t xml:space="preserve">1. OBJETO </w:t>
      </w:r>
    </w:p>
    <w:p>
      <w:pPr>
        <w:pStyle w:val="western"/>
        <w:spacing w:lineRule="auto" w:line="240" w:before="280" w:after="0"/>
        <w:jc w:val="both"/>
        <w:rPr>
          <w:rFonts w:ascii="Arial" w:hAnsi="Arial"/>
          <w:sz w:val="20"/>
          <w:szCs w:val="20"/>
        </w:rPr>
      </w:pPr>
      <w:r>
        <w:rPr>
          <w:rFonts w:ascii="Arial" w:hAnsi="Arial"/>
          <w:sz w:val="20"/>
          <w:szCs w:val="20"/>
        </w:rPr>
        <w:t>1.1. Constitui o objeto deste Termo de Referência consiste na contratação de empresa especializada para a prestação de serviços de locação de veículos, com o objetivo de atender às necessidades operacionais da Secretaria Municipal de        Segurança e Ordem Pública, especialmente no que tange ao apoio logístico às ações implementadas no âmbito do          Programa Estadual de Integração na Segurança – PROEIS.</w:t>
      </w:r>
    </w:p>
    <w:p>
      <w:pPr>
        <w:pStyle w:val="western"/>
        <w:spacing w:lineRule="auto" w:line="240" w:before="280" w:after="0"/>
        <w:jc w:val="both"/>
        <w:rPr>
          <w:rFonts w:ascii="Arial" w:hAnsi="Arial"/>
          <w:sz w:val="20"/>
          <w:szCs w:val="20"/>
        </w:rPr>
      </w:pPr>
      <w:r>
        <w:rPr>
          <w:rFonts w:ascii="Arial" w:hAnsi="Arial"/>
          <w:sz w:val="20"/>
          <w:szCs w:val="20"/>
        </w:rPr>
        <w:t>1.2. A presente locação está devidamente especificada na tabela a seguir, em estrita conformidade com as condições e  exigências estabelecidas neste instrumento:</w:t>
      </w:r>
    </w:p>
    <w:tbl>
      <w:tblPr>
        <w:tblW w:w="11055" w:type="dxa"/>
        <w:jc w:val="left"/>
        <w:tblInd w:w="80" w:type="dxa"/>
        <w:tblLayout w:type="fixed"/>
        <w:tblCellMar>
          <w:top w:w="0" w:type="dxa"/>
          <w:left w:w="70" w:type="dxa"/>
          <w:bottom w:w="0" w:type="dxa"/>
          <w:right w:w="70" w:type="dxa"/>
        </w:tblCellMar>
        <w:tblLook w:firstRow="1" w:noVBand="1" w:lastRow="0" w:firstColumn="1" w:lastColumn="0" w:noHBand="0" w:val="04a0"/>
      </w:tblPr>
      <w:tblGrid>
        <w:gridCol w:w="793"/>
        <w:gridCol w:w="4324"/>
        <w:gridCol w:w="943"/>
        <w:gridCol w:w="979"/>
        <w:gridCol w:w="1242"/>
        <w:gridCol w:w="1185"/>
        <w:gridCol w:w="1588"/>
      </w:tblGrid>
      <w:tr>
        <w:trPr>
          <w:trHeight w:val="420" w:hRule="atLeast"/>
        </w:trPr>
        <w:tc>
          <w:tcPr>
            <w:tcW w:w="793" w:type="dxa"/>
            <w:tcBorders>
              <w:left w:val="single" w:sz="8" w:space="0" w:color="000000"/>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ITEM</w:t>
            </w:r>
          </w:p>
        </w:tc>
        <w:tc>
          <w:tcPr>
            <w:tcW w:w="4324" w:type="dxa"/>
            <w:tcBorders>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ESPECIFICAÇÃO</w:t>
            </w:r>
          </w:p>
        </w:tc>
        <w:tc>
          <w:tcPr>
            <w:tcW w:w="943" w:type="dxa"/>
            <w:tcBorders>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CÓDIGO</w:t>
            </w:r>
          </w:p>
        </w:tc>
        <w:tc>
          <w:tcPr>
            <w:tcW w:w="979" w:type="dxa"/>
            <w:tcBorders>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UNIDADE DE MEDIDA</w:t>
            </w:r>
          </w:p>
        </w:tc>
        <w:tc>
          <w:tcPr>
            <w:tcW w:w="1242" w:type="dxa"/>
            <w:tcBorders>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QUANTIDADE</w:t>
            </w:r>
          </w:p>
        </w:tc>
        <w:tc>
          <w:tcPr>
            <w:tcW w:w="1185" w:type="dxa"/>
            <w:tcBorders>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VALOR UNITÁRIO R$</w:t>
            </w:r>
          </w:p>
        </w:tc>
        <w:tc>
          <w:tcPr>
            <w:tcW w:w="1588" w:type="dxa"/>
            <w:tcBorders>
              <w:right w:val="single" w:sz="8" w:space="0" w:color="000000"/>
            </w:tcBorders>
            <w:shd w:color="000000" w:fill="4F81BD" w:val="clear"/>
            <w:vAlign w:val="center"/>
          </w:tcPr>
          <w:p>
            <w:pPr>
              <w:pStyle w:val="Normal"/>
              <w:widowControl w:val="false"/>
              <w:spacing w:lineRule="auto" w:line="240" w:before="0" w:after="0"/>
              <w:jc w:val="center"/>
              <w:rPr>
                <w:rFonts w:ascii="Arial" w:hAnsi="Arial" w:eastAsia="Times New Roman"/>
                <w:b/>
                <w:bCs/>
                <w:color w:val="000000"/>
                <w:sz w:val="16"/>
                <w:szCs w:val="16"/>
                <w:lang w:eastAsia="pt-BR"/>
              </w:rPr>
            </w:pPr>
            <w:r>
              <w:rPr>
                <w:rFonts w:eastAsia="Times New Roman"/>
                <w:b/>
                <w:bCs/>
                <w:color w:val="000000"/>
                <w:sz w:val="16"/>
                <w:szCs w:val="16"/>
                <w:lang w:eastAsia="pt-BR"/>
              </w:rPr>
              <w:t>VALOR TOTAL R$</w:t>
            </w:r>
          </w:p>
        </w:tc>
      </w:tr>
      <w:tr>
        <w:trPr>
          <w:trHeight w:val="1524" w:hRule="atLeast"/>
        </w:trPr>
        <w:tc>
          <w:tcPr>
            <w:tcW w:w="793" w:type="dxa"/>
            <w:tcBorders>
              <w:top w:val="single" w:sz="8" w:space="0" w:color="000000"/>
              <w:left w:val="single" w:sz="8" w:space="0" w:color="000000"/>
              <w:right w:val="single" w:sz="8" w:space="0" w:color="000000"/>
            </w:tcBorders>
            <w:shd w:color="auto" w:fill="auto" w:val="clear"/>
            <w:vAlign w:val="center"/>
          </w:tcPr>
          <w:p>
            <w:pPr>
              <w:pStyle w:val="Normal"/>
              <w:widowControl w:val="false"/>
              <w:spacing w:lineRule="auto" w:line="240" w:before="0" w:after="0"/>
              <w:jc w:val="center"/>
              <w:rPr>
                <w:rFonts w:ascii="Arial" w:hAnsi="Arial" w:eastAsia="Times New Roman"/>
                <w:b/>
                <w:bCs/>
                <w:color w:val="000000"/>
                <w:sz w:val="20"/>
                <w:szCs w:val="20"/>
                <w:lang w:eastAsia="pt-BR"/>
              </w:rPr>
            </w:pPr>
            <w:r>
              <w:rPr>
                <w:rFonts w:eastAsia="Times New Roman"/>
                <w:b/>
                <w:bCs/>
                <w:color w:val="000000"/>
                <w:sz w:val="20"/>
                <w:szCs w:val="20"/>
                <w:lang w:eastAsia="pt-BR"/>
              </w:rPr>
              <w:t>1</w:t>
            </w:r>
          </w:p>
        </w:tc>
        <w:tc>
          <w:tcPr>
            <w:tcW w:w="4324" w:type="dxa"/>
            <w:tcBorders>
              <w:top w:val="single" w:sz="8" w:space="0" w:color="000000"/>
              <w:right w:val="single" w:sz="8" w:space="0" w:color="000000"/>
            </w:tcBorders>
            <w:shd w:color="auto" w:fill="auto" w:val="clear"/>
            <w:vAlign w:val="center"/>
          </w:tcPr>
          <w:p>
            <w:pPr>
              <w:pStyle w:val="Normal"/>
              <w:widowControl w:val="false"/>
              <w:spacing w:lineRule="auto" w:line="240" w:before="0" w:after="0"/>
              <w:jc w:val="both"/>
              <w:rPr>
                <w:rFonts w:ascii="Arial" w:hAnsi="Arial" w:eastAsia="Times New Roman"/>
                <w:color w:val="000000"/>
                <w:sz w:val="20"/>
                <w:szCs w:val="20"/>
                <w:lang w:eastAsia="pt-BR"/>
              </w:rPr>
            </w:pPr>
            <w:r>
              <w:rPr>
                <w:rFonts w:eastAsia="Times New Roman"/>
                <w:color w:val="000000"/>
                <w:sz w:val="20"/>
                <w:szCs w:val="20"/>
                <w:lang w:eastAsia="pt-BR"/>
              </w:rPr>
              <w:t>Locação de 04 (quatro) veículos tipo passeio, modelo hatch 0 Km, flex, freios ABS. airbag duplo, cambio manual, 4 portas, direção hidráulica elétrica, motor 1.0, ar condicionado, trio elétrico trava, vidro, alarme, Km livre, sem motorista, sem combustível, devidamente documentado com seguro total, contendo adesivos da Prefeitura Municipal de Paracambi, Secretaria de Segurança e Ordem Pública, e outros a definir pela Administração, com GIROFLEX E SIRENES instalados.</w:t>
            </w:r>
          </w:p>
        </w:tc>
        <w:tc>
          <w:tcPr>
            <w:tcW w:w="943" w:type="dxa"/>
            <w:tcBorders>
              <w:bottom w:val="single" w:sz="8" w:space="0" w:color="000000"/>
              <w:right w:val="single" w:sz="8" w:space="0" w:color="000000"/>
            </w:tcBorders>
            <w:shd w:color="auto" w:fill="auto" w:val="clear"/>
            <w:vAlign w:val="center"/>
          </w:tcPr>
          <w:p>
            <w:pPr>
              <w:pStyle w:val="Normal"/>
              <w:widowControl w:val="false"/>
              <w:spacing w:lineRule="auto" w:line="240" w:before="0" w:after="0"/>
              <w:jc w:val="center"/>
              <w:rPr>
                <w:rFonts w:ascii="Arial" w:hAnsi="Arial" w:eastAsia="Times New Roman"/>
                <w:b/>
                <w:bCs/>
                <w:color w:val="000000"/>
                <w:sz w:val="20"/>
                <w:szCs w:val="20"/>
                <w:lang w:eastAsia="pt-BR"/>
              </w:rPr>
            </w:pPr>
            <w:r>
              <w:rPr>
                <w:rFonts w:eastAsia="Times New Roman"/>
                <w:b/>
                <w:bCs/>
                <w:color w:val="000000"/>
                <w:sz w:val="20"/>
                <w:szCs w:val="20"/>
                <w:lang w:eastAsia="pt-BR"/>
              </w:rPr>
              <w:t>597048</w:t>
            </w:r>
          </w:p>
        </w:tc>
        <w:tc>
          <w:tcPr>
            <w:tcW w:w="979" w:type="dxa"/>
            <w:tcBorders>
              <w:top w:val="single" w:sz="8" w:space="0" w:color="000000"/>
              <w:right w:val="single" w:sz="8" w:space="0" w:color="000000"/>
            </w:tcBorders>
            <w:shd w:color="auto" w:fill="auto" w:val="clear"/>
            <w:vAlign w:val="center"/>
          </w:tcPr>
          <w:p>
            <w:pPr>
              <w:pStyle w:val="Normal"/>
              <w:widowControl w:val="false"/>
              <w:spacing w:lineRule="auto" w:line="240" w:before="0" w:after="0"/>
              <w:jc w:val="center"/>
              <w:rPr>
                <w:rFonts w:ascii="Arial" w:hAnsi="Arial" w:eastAsia="Times New Roman"/>
                <w:b/>
                <w:bCs/>
                <w:color w:val="000000"/>
                <w:sz w:val="20"/>
                <w:szCs w:val="20"/>
                <w:lang w:eastAsia="pt-BR"/>
              </w:rPr>
            </w:pPr>
            <w:r>
              <w:rPr>
                <w:rFonts w:eastAsia="Times New Roman"/>
                <w:b/>
                <w:bCs/>
                <w:color w:val="000000"/>
                <w:sz w:val="20"/>
                <w:szCs w:val="20"/>
                <w:lang w:eastAsia="pt-BR"/>
              </w:rPr>
              <w:t>mensal</w:t>
            </w:r>
          </w:p>
        </w:tc>
        <w:tc>
          <w:tcPr>
            <w:tcW w:w="1242" w:type="dxa"/>
            <w:tcBorders>
              <w:top w:val="single" w:sz="8" w:space="0" w:color="000000"/>
              <w:right w:val="single" w:sz="8" w:space="0" w:color="000000"/>
            </w:tcBorders>
            <w:shd w:color="auto" w:fill="auto" w:val="clear"/>
            <w:vAlign w:val="center"/>
          </w:tcPr>
          <w:p>
            <w:pPr>
              <w:pStyle w:val="Normal"/>
              <w:widowControl w:val="false"/>
              <w:spacing w:lineRule="auto" w:line="240" w:before="0" w:after="0"/>
              <w:jc w:val="center"/>
              <w:rPr>
                <w:rFonts w:ascii="Arial" w:hAnsi="Arial" w:eastAsia="Times New Roman"/>
                <w:b/>
                <w:bCs/>
                <w:color w:val="000000"/>
                <w:sz w:val="20"/>
                <w:szCs w:val="20"/>
                <w:lang w:eastAsia="pt-BR"/>
              </w:rPr>
            </w:pPr>
            <w:r>
              <w:rPr>
                <w:rFonts w:eastAsia="Times New Roman"/>
                <w:b/>
                <w:bCs/>
                <w:color w:val="000000"/>
                <w:sz w:val="20"/>
                <w:szCs w:val="20"/>
                <w:lang w:eastAsia="pt-BR"/>
              </w:rPr>
              <w:t>4</w:t>
            </w:r>
          </w:p>
        </w:tc>
        <w:tc>
          <w:tcPr>
            <w:tcW w:w="1185" w:type="dxa"/>
            <w:tcBorders>
              <w:top w:val="single" w:sz="8" w:space="0" w:color="000000"/>
              <w:right w:val="single" w:sz="8" w:space="0" w:color="000000"/>
            </w:tcBorders>
            <w:shd w:color="auto" w:fill="auto" w:val="clear"/>
            <w:vAlign w:val="center"/>
          </w:tcPr>
          <w:p>
            <w:pPr>
              <w:pStyle w:val="Normal"/>
              <w:widowControl w:val="false"/>
              <w:spacing w:lineRule="auto" w:line="240" w:before="0" w:after="0"/>
              <w:jc w:val="center"/>
              <w:rPr/>
            </w:pPr>
            <w:r>
              <w:rPr/>
            </w:r>
          </w:p>
          <w:p>
            <w:pPr>
              <w:pStyle w:val="Normal"/>
              <w:widowControl w:val="false"/>
              <w:spacing w:lineRule="auto" w:line="240" w:before="0" w:after="0"/>
              <w:jc w:val="center"/>
              <w:rPr>
                <w:rFonts w:ascii="Arial" w:hAnsi="Arial" w:eastAsia="Times New Roman"/>
                <w:color w:val="000000"/>
                <w:sz w:val="20"/>
                <w:szCs w:val="20"/>
                <w:lang w:eastAsia="pt-BR"/>
              </w:rPr>
            </w:pPr>
            <w:r>
              <w:rPr>
                <w:rFonts w:eastAsia="Times New Roman"/>
                <w:color w:val="000000"/>
                <w:sz w:val="20"/>
                <w:szCs w:val="20"/>
                <w:lang w:eastAsia="pt-BR"/>
              </w:rPr>
              <w:t xml:space="preserve"> </w:t>
            </w:r>
            <w:r>
              <w:rPr>
                <w:rFonts w:eastAsia="Times New Roman"/>
                <w:color w:val="000000"/>
                <w:sz w:val="20"/>
                <w:szCs w:val="20"/>
                <w:lang w:eastAsia="pt-BR"/>
              </w:rPr>
              <w:t>13.100,00</w:t>
            </w:r>
          </w:p>
        </w:tc>
        <w:tc>
          <w:tcPr>
            <w:tcW w:w="1588" w:type="dxa"/>
            <w:tcBorders>
              <w:bottom w:val="single" w:sz="8" w:space="0" w:color="000000"/>
              <w:right w:val="single" w:sz="8" w:space="0" w:color="000000"/>
            </w:tcBorders>
            <w:shd w:color="auto" w:fill="auto" w:val="clear"/>
            <w:vAlign w:val="center"/>
          </w:tcPr>
          <w:p>
            <w:pPr>
              <w:pStyle w:val="Normal"/>
              <w:widowControl w:val="false"/>
              <w:spacing w:lineRule="auto" w:line="240" w:before="0" w:after="0"/>
              <w:jc w:val="center"/>
              <w:rPr/>
            </w:pPr>
            <w:r>
              <w:rPr/>
            </w:r>
          </w:p>
          <w:p>
            <w:pPr>
              <w:pStyle w:val="Normal"/>
              <w:widowControl w:val="false"/>
              <w:spacing w:lineRule="auto" w:line="240" w:before="0" w:after="0"/>
              <w:jc w:val="center"/>
              <w:rPr>
                <w:rFonts w:ascii="Arial" w:hAnsi="Arial" w:eastAsia="Times New Roman"/>
                <w:color w:val="000000"/>
                <w:sz w:val="20"/>
                <w:szCs w:val="20"/>
                <w:lang w:eastAsia="pt-BR"/>
              </w:rPr>
            </w:pPr>
            <w:r>
              <w:rPr>
                <w:rFonts w:eastAsia="Times New Roman"/>
                <w:color w:val="000000"/>
                <w:sz w:val="20"/>
                <w:szCs w:val="20"/>
                <w:lang w:eastAsia="pt-BR"/>
              </w:rPr>
              <w:t>52.400,00</w:t>
            </w:r>
          </w:p>
        </w:tc>
      </w:tr>
      <w:tr>
        <w:trPr>
          <w:trHeight w:val="540" w:hRule="atLeast"/>
        </w:trPr>
        <w:tc>
          <w:tcPr>
            <w:tcW w:w="9466" w:type="dxa"/>
            <w:gridSpan w:val="6"/>
            <w:tcBorders>
              <w:top w:val="single" w:sz="8" w:space="0" w:color="000000"/>
              <w:left w:val="single" w:sz="8" w:space="0" w:color="000000"/>
              <w:bottom w:val="single" w:sz="8" w:space="0" w:color="000000"/>
              <w:right w:val="single" w:sz="8" w:space="0" w:color="000000"/>
            </w:tcBorders>
            <w:shd w:color="auto" w:fill="auto" w:val="clear"/>
            <w:vAlign w:val="center"/>
          </w:tcPr>
          <w:p>
            <w:pPr>
              <w:pStyle w:val="Normal"/>
              <w:widowControl w:val="false"/>
              <w:spacing w:lineRule="auto" w:line="240" w:before="0" w:after="0"/>
              <w:jc w:val="center"/>
              <w:rPr>
                <w:rFonts w:ascii="Arial" w:hAnsi="Arial" w:eastAsia="Times New Roman"/>
                <w:b/>
                <w:bCs/>
                <w:color w:val="000000"/>
                <w:sz w:val="20"/>
                <w:szCs w:val="20"/>
                <w:lang w:eastAsia="pt-BR"/>
              </w:rPr>
            </w:pPr>
            <w:r>
              <w:rPr>
                <w:rFonts w:eastAsia="Times New Roman"/>
                <w:b/>
                <w:bCs/>
                <w:color w:val="000000"/>
                <w:sz w:val="20"/>
                <w:szCs w:val="20"/>
                <w:lang w:eastAsia="pt-BR"/>
              </w:rPr>
              <w:t>VALOR TOTAL:</w:t>
            </w:r>
          </w:p>
        </w:tc>
        <w:tc>
          <w:tcPr>
            <w:tcW w:w="1588" w:type="dxa"/>
            <w:tcBorders>
              <w:bottom w:val="single" w:sz="8" w:space="0" w:color="000000"/>
              <w:right w:val="single" w:sz="8" w:space="0" w:color="000000"/>
            </w:tcBorders>
            <w:shd w:color="auto" w:fill="auto" w:val="clear"/>
            <w:vAlign w:val="center"/>
          </w:tcPr>
          <w:p>
            <w:pPr>
              <w:pStyle w:val="Normal"/>
              <w:widowControl w:val="false"/>
              <w:spacing w:lineRule="auto" w:line="240" w:before="0" w:after="0"/>
              <w:jc w:val="center"/>
              <w:rPr>
                <w:rFonts w:ascii="Arial" w:hAnsi="Arial" w:eastAsia="Times New Roman"/>
                <w:color w:val="000000"/>
                <w:sz w:val="20"/>
                <w:szCs w:val="20"/>
                <w:lang w:eastAsia="pt-BR"/>
              </w:rPr>
            </w:pPr>
            <w:r>
              <w:rPr>
                <w:rFonts w:eastAsia="Times New Roman"/>
                <w:color w:val="000000"/>
                <w:sz w:val="20"/>
                <w:szCs w:val="20"/>
                <w:lang w:eastAsia="pt-BR"/>
              </w:rPr>
              <w:t>52.400,00</w:t>
            </w:r>
          </w:p>
        </w:tc>
      </w:tr>
    </w:tbl>
    <w:p>
      <w:pPr>
        <w:pStyle w:val="western"/>
        <w:tabs>
          <w:tab w:val="clear" w:pos="720"/>
          <w:tab w:val="left" w:pos="9781" w:leader="none"/>
        </w:tabs>
        <w:spacing w:lineRule="auto" w:line="240" w:before="280" w:after="0"/>
        <w:jc w:val="both"/>
        <w:rPr>
          <w:rFonts w:ascii="Arial" w:hAnsi="Arial"/>
          <w:sz w:val="20"/>
          <w:szCs w:val="20"/>
        </w:rPr>
      </w:pPr>
      <w:r>
        <w:rPr>
          <w:rFonts w:ascii="Arial" w:hAnsi="Arial"/>
          <w:sz w:val="20"/>
          <w:szCs w:val="20"/>
        </w:rPr>
        <w:t>1.3. O objeto desta contratação não se enquadra como sendo de bem de luxo, conforme 34, § 2º do Decreto Municipal nº 5.558/23.</w:t>
      </w:r>
    </w:p>
    <w:p>
      <w:pPr>
        <w:pStyle w:val="western"/>
        <w:tabs>
          <w:tab w:val="clear" w:pos="720"/>
          <w:tab w:val="left" w:pos="9781" w:leader="none"/>
        </w:tabs>
        <w:spacing w:lineRule="auto" w:line="240" w:before="280" w:after="0"/>
        <w:jc w:val="both"/>
        <w:rPr>
          <w:rFonts w:ascii="Arial" w:hAnsi="Arial"/>
          <w:sz w:val="20"/>
          <w:szCs w:val="20"/>
        </w:rPr>
      </w:pPr>
      <w:r>
        <w:rPr>
          <w:rFonts w:ascii="Arial" w:hAnsi="Arial"/>
          <w:sz w:val="20"/>
          <w:szCs w:val="20"/>
        </w:rPr>
        <w:t>1.4. Os bens objeto desta contratação são caracterizados como comuns, conforme justificativa constante do Estudo Técnico Preliminar.</w:t>
      </w:r>
    </w:p>
    <w:p>
      <w:pPr>
        <w:pStyle w:val="western"/>
        <w:tabs>
          <w:tab w:val="clear" w:pos="720"/>
          <w:tab w:val="left" w:pos="9781" w:leader="none"/>
        </w:tabs>
        <w:spacing w:lineRule="auto" w:line="240" w:before="280" w:after="0"/>
        <w:jc w:val="both"/>
        <w:rPr>
          <w:rFonts w:ascii="Arial" w:hAnsi="Arial"/>
          <w:sz w:val="20"/>
          <w:szCs w:val="20"/>
        </w:rPr>
      </w:pPr>
      <w:r>
        <w:rPr>
          <w:rFonts w:ascii="Arial" w:hAnsi="Arial"/>
          <w:sz w:val="20"/>
          <w:szCs w:val="20"/>
        </w:rPr>
        <w:t xml:space="preserve">1.5. O prazo de vigência da contratação será de 04 (quatro) meses, contado a partir da assinatura do instrumento contratual, nos termos do </w:t>
      </w:r>
      <w:r>
        <w:rPr>
          <w:rFonts w:ascii="Arial" w:hAnsi="Arial"/>
          <w:b/>
          <w:bCs/>
          <w:sz w:val="20"/>
          <w:szCs w:val="20"/>
        </w:rPr>
        <w:t>art. 75, inciso II, e art. 105 da Lei nº 14.133/2021</w:t>
      </w:r>
      <w:r>
        <w:rPr>
          <w:rFonts w:ascii="Arial" w:hAnsi="Arial"/>
          <w:sz w:val="20"/>
          <w:szCs w:val="20"/>
        </w:rPr>
        <w:t>, ou até a conclusão do procedimento administrativo regular destinado à regularização da demanda.</w:t>
      </w:r>
    </w:p>
    <w:p>
      <w:pPr>
        <w:pStyle w:val="Normal"/>
        <w:tabs>
          <w:tab w:val="clear" w:pos="720"/>
          <w:tab w:val="left" w:pos="9781" w:leader="none"/>
        </w:tabs>
        <w:spacing w:lineRule="auto" w:line="240"/>
        <w:jc w:val="both"/>
        <w:rPr>
          <w:b/>
        </w:rPr>
      </w:pPr>
      <w:r>
        <w:rPr>
          <w:b/>
        </w:rPr>
      </w:r>
    </w:p>
    <w:p>
      <w:pPr>
        <w:pStyle w:val="Normal"/>
        <w:tabs>
          <w:tab w:val="clear" w:pos="720"/>
          <w:tab w:val="left" w:pos="9781" w:leader="none"/>
        </w:tabs>
        <w:spacing w:lineRule="auto" w:line="240"/>
        <w:jc w:val="both"/>
        <w:rPr>
          <w:rFonts w:ascii="Arial" w:hAnsi="Arial"/>
          <w:sz w:val="20"/>
          <w:szCs w:val="20"/>
        </w:rPr>
      </w:pPr>
      <w:r>
        <w:rPr>
          <w:b/>
          <w:sz w:val="20"/>
          <w:szCs w:val="20"/>
        </w:rPr>
        <w:t>2. FUNDAMENTAÇÃO E DESCRIÇÃO DA NECESSIDADE DA CONTRATAÇÃO</w:t>
      </w:r>
    </w:p>
    <w:p>
      <w:pPr>
        <w:pStyle w:val="Normal"/>
        <w:tabs>
          <w:tab w:val="clear" w:pos="720"/>
          <w:tab w:val="left" w:pos="9781" w:leader="none"/>
        </w:tabs>
        <w:spacing w:lineRule="auto" w:line="240"/>
        <w:jc w:val="both"/>
        <w:rPr>
          <w:b/>
        </w:rPr>
      </w:pPr>
      <w:r>
        <w:rPr>
          <w:b/>
        </w:rPr>
      </w:r>
    </w:p>
    <w:p>
      <w:pPr>
        <w:pStyle w:val="Contedodatabela"/>
        <w:tabs>
          <w:tab w:val="clear" w:pos="720"/>
          <w:tab w:val="left" w:pos="9781" w:leader="none"/>
        </w:tabs>
        <w:spacing w:lineRule="auto" w:line="240"/>
        <w:jc w:val="both"/>
        <w:rPr>
          <w:rFonts w:ascii="Arial" w:hAnsi="Arial"/>
          <w:sz w:val="20"/>
          <w:szCs w:val="20"/>
        </w:rPr>
      </w:pPr>
      <w:r>
        <w:rPr>
          <w:rFonts w:cs="Times New Roman"/>
          <w:sz w:val="20"/>
          <w:szCs w:val="20"/>
        </w:rPr>
        <w:t>2.1.</w:t>
      </w:r>
      <w:r>
        <w:rPr>
          <w:sz w:val="20"/>
          <w:szCs w:val="20"/>
        </w:rPr>
        <w:t xml:space="preserve"> A presente contratação tem por finalidade suprir a necessidade administrativa da Secretaria Municipal de Segurança e Ordem Pública do Município de Paracambi, decorrente da impossibilidade jurídica e contratual de renovação do contrato vigente para a prestação de serviços de locação de veículos.</w:t>
      </w:r>
    </w:p>
    <w:p>
      <w:pPr>
        <w:pStyle w:val="Contedodatabela"/>
        <w:tabs>
          <w:tab w:val="clear" w:pos="720"/>
          <w:tab w:val="left" w:pos="9781" w:leader="none"/>
        </w:tabs>
        <w:spacing w:lineRule="auto" w:line="240"/>
        <w:jc w:val="both"/>
        <w:rPr>
          <w:rFonts w:ascii="Arial" w:hAnsi="Arial"/>
          <w:sz w:val="20"/>
          <w:szCs w:val="20"/>
        </w:rPr>
      </w:pPr>
      <w:r>
        <w:rPr>
          <w:sz w:val="20"/>
          <w:szCs w:val="20"/>
        </w:rPr>
      </w:r>
    </w:p>
    <w:p>
      <w:pPr>
        <w:pStyle w:val="Contedodatabela"/>
        <w:tabs>
          <w:tab w:val="clear" w:pos="720"/>
          <w:tab w:val="left" w:pos="9781" w:leader="none"/>
        </w:tabs>
        <w:spacing w:lineRule="auto" w:line="240"/>
        <w:jc w:val="both"/>
        <w:rPr>
          <w:rFonts w:ascii="Arial" w:hAnsi="Arial"/>
          <w:sz w:val="20"/>
          <w:szCs w:val="20"/>
        </w:rPr>
      </w:pPr>
      <w:r>
        <w:rPr>
          <w:sz w:val="20"/>
          <w:szCs w:val="20"/>
        </w:rPr>
        <w:t xml:space="preserve">2.2. Diante da proximidade do término da vigência do contrato anterior e da ausência de cláusula ou hipótese legal que viabilize sua prorrogação, revela-se imprescindível a celebração de novo contrato, com vistas a evitar a descontinuidade dos serviços essenciais de apoio logístico às ações de segurança pública, especialmente aquelas executadas no âmbito do </w:t>
      </w:r>
      <w:r>
        <w:rPr>
          <w:b/>
          <w:bCs/>
          <w:sz w:val="20"/>
          <w:szCs w:val="20"/>
        </w:rPr>
        <w:t>Programa Estadual de Integração na Segurança – PROEIS</w:t>
      </w:r>
      <w:r>
        <w:rPr>
          <w:sz w:val="20"/>
          <w:szCs w:val="20"/>
        </w:rPr>
        <w:t>.</w:t>
      </w:r>
    </w:p>
    <w:p>
      <w:pPr>
        <w:pStyle w:val="Contedodatabela"/>
        <w:tabs>
          <w:tab w:val="clear" w:pos="720"/>
          <w:tab w:val="left" w:pos="9781" w:leader="none"/>
        </w:tabs>
        <w:spacing w:lineRule="auto" w:line="240"/>
        <w:jc w:val="both"/>
        <w:rPr>
          <w:rFonts w:ascii="Arial" w:hAnsi="Arial"/>
          <w:sz w:val="20"/>
          <w:szCs w:val="20"/>
        </w:rPr>
      </w:pPr>
      <w:r>
        <w:rPr>
          <w:sz w:val="20"/>
          <w:szCs w:val="20"/>
        </w:rPr>
      </w:r>
    </w:p>
    <w:p>
      <w:pPr>
        <w:pStyle w:val="Contedodatabela"/>
        <w:tabs>
          <w:tab w:val="clear" w:pos="720"/>
          <w:tab w:val="left" w:pos="9781" w:leader="none"/>
        </w:tabs>
        <w:spacing w:lineRule="auto" w:line="240"/>
        <w:jc w:val="both"/>
        <w:rPr>
          <w:rFonts w:ascii="Arial" w:hAnsi="Arial"/>
          <w:sz w:val="20"/>
          <w:szCs w:val="20"/>
        </w:rPr>
      </w:pPr>
      <w:r>
        <w:rPr>
          <w:sz w:val="20"/>
          <w:szCs w:val="20"/>
        </w:rPr>
        <w:t>2.3. A locação dos veículos justifica-se pela ausência de frota própria suficiente e adequada ao cumprimento das atividades institucionais atribuídas à Pasta, notadamente as relacionadas à segurança ostensiva, patrulhamento preventivo, apoio às operações integradas e manutenção da ordem pública.</w:t>
      </w:r>
    </w:p>
    <w:p>
      <w:pPr>
        <w:pStyle w:val="western"/>
        <w:tabs>
          <w:tab w:val="clear" w:pos="720"/>
          <w:tab w:val="left" w:pos="9781" w:leader="none"/>
        </w:tabs>
        <w:spacing w:lineRule="auto" w:line="240" w:before="280" w:after="0"/>
        <w:jc w:val="both"/>
        <w:rPr>
          <w:rFonts w:ascii="Arial" w:hAnsi="Arial"/>
          <w:sz w:val="20"/>
          <w:szCs w:val="20"/>
        </w:rPr>
      </w:pPr>
      <w:r>
        <w:rPr>
          <w:rFonts w:ascii="Arial" w:hAnsi="Arial"/>
          <w:sz w:val="20"/>
          <w:szCs w:val="20"/>
        </w:rPr>
        <w:t>2.4. Sob a perspectiva do interesse público, a contratação ora pretendida representa medida necessária para assegurar a continuidade, a eficiência e a regularidade das ações de segurança no território municipal, em consonância com os princípios da legalidade, eficiência, planejamento e supremacia do interesse público, que norteiam a Administração Pública.</w:t>
      </w:r>
    </w:p>
    <w:p>
      <w:pPr>
        <w:pStyle w:val="NoSpacing"/>
        <w:tabs>
          <w:tab w:val="clear" w:pos="720"/>
          <w:tab w:val="left" w:pos="9781" w:leader="none"/>
        </w:tabs>
        <w:spacing w:lineRule="auto" w:line="240"/>
        <w:jc w:val="both"/>
        <w:rPr>
          <w:rFonts w:ascii="Arial" w:hAnsi="Arial"/>
          <w:sz w:val="20"/>
          <w:szCs w:val="20"/>
        </w:rPr>
      </w:pPr>
      <w:r>
        <w:rPr>
          <w:rFonts w:ascii="Arial" w:hAnsi="Arial"/>
          <w:sz w:val="20"/>
          <w:szCs w:val="20"/>
        </w:rPr>
      </w:r>
    </w:p>
    <w:p>
      <w:pPr>
        <w:pStyle w:val="NoSpacing"/>
        <w:tabs>
          <w:tab w:val="clear" w:pos="720"/>
          <w:tab w:val="left" w:pos="9781" w:leader="none"/>
        </w:tabs>
        <w:spacing w:lineRule="auto" w:line="240"/>
        <w:jc w:val="both"/>
        <w:rPr>
          <w:rFonts w:ascii="Arial" w:hAnsi="Arial"/>
          <w:sz w:val="20"/>
          <w:szCs w:val="20"/>
        </w:rPr>
      </w:pPr>
      <w:r>
        <w:rPr>
          <w:rFonts w:ascii="Arial" w:hAnsi="Arial"/>
          <w:sz w:val="20"/>
          <w:szCs w:val="20"/>
        </w:rPr>
        <w:t>2.5. A Fundamentação da Contratação e de seus quantitativos encontra-se pormenorizada em Tópico específico dos Estudos Técnicos Preliminares, apêndice deste Termo de Referência.</w:t>
      </w:r>
    </w:p>
    <w:p>
      <w:pPr>
        <w:pStyle w:val="NoSpacing"/>
        <w:tabs>
          <w:tab w:val="clear" w:pos="720"/>
          <w:tab w:val="left" w:pos="9781" w:leader="none"/>
        </w:tabs>
        <w:spacing w:lineRule="auto" w:line="240"/>
        <w:jc w:val="both"/>
        <w:rPr>
          <w:rFonts w:ascii="Arial" w:hAnsi="Arial"/>
          <w:sz w:val="20"/>
          <w:szCs w:val="20"/>
        </w:rPr>
      </w:pPr>
      <w:r>
        <w:rPr>
          <w:rFonts w:ascii="Arial" w:hAnsi="Arial"/>
          <w:sz w:val="20"/>
          <w:szCs w:val="20"/>
        </w:rPr>
      </w:r>
    </w:p>
    <w:p>
      <w:pPr>
        <w:pStyle w:val="Normal"/>
        <w:tabs>
          <w:tab w:val="clear" w:pos="720"/>
          <w:tab w:val="left" w:pos="9781" w:leader="none"/>
        </w:tabs>
        <w:spacing w:lineRule="auto" w:line="240"/>
        <w:jc w:val="both"/>
        <w:rPr>
          <w:rFonts w:ascii="Arial" w:hAnsi="Arial"/>
          <w:sz w:val="20"/>
          <w:szCs w:val="20"/>
        </w:rPr>
      </w:pPr>
      <w:r>
        <w:rPr>
          <w:b/>
          <w:sz w:val="20"/>
          <w:szCs w:val="20"/>
        </w:rPr>
        <w:t xml:space="preserve">3. </w:t>
      </w:r>
      <w:r>
        <w:rPr>
          <w:rFonts w:eastAsia="Times New Roman"/>
          <w:b/>
          <w:sz w:val="20"/>
          <w:szCs w:val="20"/>
        </w:rPr>
        <w:t xml:space="preserve">DESCRIÇÃO DA SOLUÇÃO COMO UM TODO CONSIDERANDO O CICLO DE VIDA DO </w:t>
      </w:r>
      <w:r>
        <w:rPr>
          <w:rFonts w:eastAsia="Times New Roman"/>
          <w:b/>
          <w:bCs/>
          <w:sz w:val="20"/>
          <w:szCs w:val="20"/>
        </w:rPr>
        <w:t>OBJETO E ESPECIFICAÇÃO DO PRODUTO</w:t>
      </w:r>
    </w:p>
    <w:p>
      <w:pPr>
        <w:pStyle w:val="Normal"/>
        <w:tabs>
          <w:tab w:val="clear" w:pos="720"/>
          <w:tab w:val="left" w:pos="9781" w:leader="none"/>
        </w:tabs>
        <w:spacing w:lineRule="auto" w:line="240"/>
        <w:jc w:val="both"/>
        <w:rPr>
          <w:rFonts w:eastAsia="Times New Roman"/>
          <w:b/>
          <w:bCs/>
        </w:rPr>
      </w:pPr>
      <w:r>
        <w:rPr>
          <w:rFonts w:eastAsia="Times New Roman"/>
          <w:b/>
          <w:bCs/>
        </w:rPr>
      </w:r>
    </w:p>
    <w:p>
      <w:pPr>
        <w:pStyle w:val="Normal"/>
        <w:tabs>
          <w:tab w:val="clear" w:pos="720"/>
          <w:tab w:val="left" w:pos="709" w:leader="none"/>
          <w:tab w:val="left" w:pos="9781" w:leader="none"/>
        </w:tabs>
        <w:spacing w:lineRule="auto" w:line="240"/>
        <w:jc w:val="both"/>
        <w:rPr>
          <w:rFonts w:ascii="Arial" w:hAnsi="Arial"/>
          <w:sz w:val="20"/>
          <w:szCs w:val="20"/>
        </w:rPr>
      </w:pPr>
      <w:r>
        <w:rPr>
          <w:sz w:val="20"/>
          <w:szCs w:val="20"/>
        </w:rPr>
        <w:t>3.1.</w:t>
      </w:r>
      <w:r>
        <w:rPr>
          <w:b/>
          <w:sz w:val="20"/>
          <w:szCs w:val="20"/>
        </w:rPr>
        <w:t xml:space="preserve"> </w:t>
      </w:r>
      <w:r>
        <w:rPr>
          <w:bCs/>
          <w:sz w:val="20"/>
          <w:szCs w:val="20"/>
        </w:rPr>
        <w:t xml:space="preserve">A descrição da solução como um todo, encontra-se pormenorizada no </w:t>
      </w:r>
      <w:r>
        <w:rPr>
          <w:b/>
          <w:sz w:val="20"/>
          <w:szCs w:val="20"/>
        </w:rPr>
        <w:t>item VII específico do Estudo Técnico Preliminar</w:t>
      </w:r>
      <w:r>
        <w:rPr>
          <w:bCs/>
          <w:sz w:val="20"/>
          <w:szCs w:val="20"/>
        </w:rPr>
        <w:t>, apêndice deste Termo de Referência.</w:t>
      </w:r>
    </w:p>
    <w:p>
      <w:pPr>
        <w:pStyle w:val="Normal"/>
        <w:tabs>
          <w:tab w:val="clear" w:pos="720"/>
          <w:tab w:val="left" w:pos="709" w:leader="none"/>
          <w:tab w:val="left" w:pos="9781" w:leader="none"/>
        </w:tabs>
        <w:spacing w:lineRule="auto" w:line="240"/>
        <w:jc w:val="both"/>
        <w:rPr>
          <w:bCs/>
        </w:rPr>
      </w:pPr>
      <w:r>
        <w:rPr>
          <w:bCs/>
        </w:rPr>
      </w:r>
    </w:p>
    <w:p>
      <w:pPr>
        <w:pStyle w:val="Nivel01"/>
        <w:numPr>
          <w:ilvl w:val="0"/>
          <w:numId w:val="0"/>
        </w:numPr>
        <w:tabs>
          <w:tab w:val="clear" w:pos="720"/>
          <w:tab w:val="left" w:pos="360" w:leader="none"/>
          <w:tab w:val="left" w:pos="567" w:leader="none"/>
          <w:tab w:val="left" w:pos="9781" w:leader="none"/>
        </w:tabs>
        <w:spacing w:lineRule="auto" w:line="240" w:before="0" w:after="288"/>
        <w:ind w:hanging="0" w:left="0" w:right="-15"/>
        <w:rPr>
          <w:rFonts w:ascii="Arial" w:hAnsi="Arial"/>
          <w:sz w:val="20"/>
          <w:szCs w:val="20"/>
        </w:rPr>
      </w:pPr>
      <w:r>
        <w:rPr>
          <w:rFonts w:cs="Times New Roman"/>
          <w:bCs w:val="false"/>
          <w:sz w:val="20"/>
          <w:szCs w:val="20"/>
          <w:lang w:eastAsia="en-US"/>
        </w:rPr>
        <w:t>4. REQUISITOS DA CONTRATAÇÃO</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4.1. </w:t>
      </w:r>
      <w:r>
        <w:rPr>
          <w:rFonts w:eastAsia="Calibri" w:eastAsiaTheme="minorHAnsi"/>
          <w:b/>
          <w:bCs/>
          <w:color w:val="000000"/>
          <w:sz w:val="20"/>
          <w:szCs w:val="20"/>
          <w:lang w:eastAsia="pt-BR"/>
        </w:rPr>
        <w:t>Sustentabilidade</w:t>
      </w:r>
      <w:r>
        <w:rPr>
          <w:rFonts w:eastAsia="Calibri" w:eastAsiaTheme="minorHAnsi"/>
          <w:color w:val="000000"/>
          <w:sz w:val="20"/>
          <w:szCs w:val="20"/>
          <w:lang w:eastAsia="pt-BR"/>
        </w:rPr>
        <w:t xml:space="preserve">: </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b/>
          <w:bCs/>
          <w:color w:val="000000"/>
          <w:sz w:val="20"/>
          <w:szCs w:val="20"/>
          <w:lang w:eastAsia="pt-BR"/>
        </w:rPr>
        <w:t>4.1.1.</w:t>
      </w:r>
      <w:r>
        <w:rPr>
          <w:rFonts w:eastAsia="Calibri" w:eastAsiaTheme="minorHAnsi"/>
          <w:color w:val="000000"/>
          <w:sz w:val="20"/>
          <w:szCs w:val="20"/>
          <w:lang w:eastAsia="pt-BR"/>
        </w:rPr>
        <w:t xml:space="preserve"> Em observância ao disposto no </w:t>
      </w:r>
      <w:r>
        <w:rPr>
          <w:rFonts w:eastAsia="Calibri" w:eastAsiaTheme="minorHAnsi"/>
          <w:i/>
          <w:iCs/>
          <w:color w:val="000000"/>
          <w:sz w:val="20"/>
          <w:szCs w:val="20"/>
          <w:lang w:eastAsia="pt-BR"/>
        </w:rPr>
        <w:t>Guia Nacional de Contratações Sustentáveis</w:t>
      </w:r>
      <w:r>
        <w:rPr>
          <w:rFonts w:eastAsia="Calibri" w:eastAsiaTheme="minorHAnsi"/>
          <w:color w:val="000000"/>
          <w:sz w:val="20"/>
          <w:szCs w:val="20"/>
          <w:lang w:eastAsia="pt-BR"/>
        </w:rPr>
        <w:t xml:space="preserve"> e à legislação ambiental vigente, deverão ser atendidos, além dos critérios eventualmente consignados na descrição do objeto, os seguintes requisitos mínimos de sustentabilidade:</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a) </w:t>
      </w:r>
      <w:r>
        <w:rPr>
          <w:rFonts w:eastAsia="Calibri" w:eastAsiaTheme="minorHAnsi"/>
          <w:b/>
          <w:bCs/>
          <w:color w:val="000000"/>
          <w:sz w:val="20"/>
          <w:szCs w:val="20"/>
          <w:lang w:eastAsia="pt-BR"/>
        </w:rPr>
        <w:t>Priorizar fornecedores</w:t>
      </w:r>
      <w:r>
        <w:rPr>
          <w:rFonts w:eastAsia="Calibri" w:eastAsiaTheme="minorHAnsi"/>
          <w:color w:val="000000"/>
          <w:sz w:val="20"/>
          <w:szCs w:val="20"/>
          <w:lang w:eastAsia="pt-BR"/>
        </w:rPr>
        <w:t xml:space="preserve"> que adotem práticas comprovadamente sustentáveis, tais como a mitigação das emissões de gases de efeito estufa, a realização de manutenção preventiva regular e o descarte ambientalmente adequado dos resíduos oriundos da operação dos veículos;</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b) </w:t>
      </w:r>
      <w:r>
        <w:rPr>
          <w:rFonts w:eastAsia="Calibri" w:eastAsiaTheme="minorHAnsi"/>
          <w:b/>
          <w:bCs/>
          <w:color w:val="000000"/>
          <w:sz w:val="20"/>
          <w:szCs w:val="20"/>
          <w:lang w:eastAsia="pt-BR"/>
        </w:rPr>
        <w:t>Incentivar a utilização de combustíveis menos poluentes</w:t>
      </w:r>
      <w:r>
        <w:rPr>
          <w:rFonts w:eastAsia="Calibri" w:eastAsiaTheme="minorHAnsi"/>
          <w:color w:val="000000"/>
          <w:sz w:val="20"/>
          <w:szCs w:val="20"/>
          <w:lang w:eastAsia="pt-BR"/>
        </w:rPr>
        <w:t>, incluindo a adoção de tecnologias que permitam o uso de misturas como o biodiesel em substituição parcial ao óleo diesel convencional ou o emprego de veículos com motorização flex de menor impacto ambiental;</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c) </w:t>
      </w:r>
      <w:r>
        <w:rPr>
          <w:rFonts w:eastAsia="Calibri" w:eastAsiaTheme="minorHAnsi"/>
          <w:b/>
          <w:bCs/>
          <w:color w:val="000000"/>
          <w:sz w:val="20"/>
          <w:szCs w:val="20"/>
          <w:lang w:eastAsia="pt-BR"/>
        </w:rPr>
        <w:t>Assegurar a logística eficiente e ambientalmente segura</w:t>
      </w:r>
      <w:r>
        <w:rPr>
          <w:rFonts w:eastAsia="Calibri" w:eastAsiaTheme="minorHAnsi"/>
          <w:color w:val="000000"/>
          <w:sz w:val="20"/>
          <w:szCs w:val="20"/>
          <w:lang w:eastAsia="pt-BR"/>
        </w:rPr>
        <w:t xml:space="preserve"> no transporte de veículos e insumos, minimizando impactos ambientais e promovendo a racionalização do consumo de recursos naturais.</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4.1.2. As empresas participantes do certame deverão apresentar comprovação de suas práticas sustentáveis, mediante apresentação de </w:t>
      </w:r>
      <w:r>
        <w:rPr>
          <w:rFonts w:eastAsia="Calibri" w:eastAsiaTheme="minorHAnsi"/>
          <w:b/>
          <w:bCs/>
          <w:color w:val="000000"/>
          <w:sz w:val="20"/>
          <w:szCs w:val="20"/>
          <w:lang w:eastAsia="pt-BR"/>
        </w:rPr>
        <w:t>documentação técnica idônea</w:t>
      </w:r>
      <w:r>
        <w:rPr>
          <w:rFonts w:eastAsia="Calibri" w:eastAsiaTheme="minorHAnsi"/>
          <w:color w:val="000000"/>
          <w:sz w:val="20"/>
          <w:szCs w:val="20"/>
          <w:lang w:eastAsia="pt-BR"/>
        </w:rPr>
        <w:t xml:space="preserve">, </w:t>
      </w:r>
      <w:r>
        <w:rPr>
          <w:rFonts w:eastAsia="Calibri" w:eastAsiaTheme="minorHAnsi"/>
          <w:b/>
          <w:bCs/>
          <w:color w:val="000000"/>
          <w:sz w:val="20"/>
          <w:szCs w:val="20"/>
          <w:lang w:eastAsia="pt-BR"/>
        </w:rPr>
        <w:t>certificações ambientais</w:t>
      </w:r>
      <w:r>
        <w:rPr>
          <w:rFonts w:eastAsia="Calibri" w:eastAsiaTheme="minorHAnsi"/>
          <w:color w:val="000000"/>
          <w:sz w:val="20"/>
          <w:szCs w:val="20"/>
          <w:lang w:eastAsia="pt-BR"/>
        </w:rPr>
        <w:t xml:space="preserve"> ou adesão a </w:t>
      </w:r>
      <w:r>
        <w:rPr>
          <w:rFonts w:eastAsia="Calibri" w:eastAsiaTheme="minorHAnsi"/>
          <w:b/>
          <w:bCs/>
          <w:color w:val="000000"/>
          <w:sz w:val="20"/>
          <w:szCs w:val="20"/>
          <w:lang w:eastAsia="pt-BR"/>
        </w:rPr>
        <w:t>programas reconhecidos de responsabilidade socioambiental</w:t>
      </w:r>
      <w:r>
        <w:rPr>
          <w:rFonts w:eastAsia="Calibri" w:eastAsiaTheme="minorHAnsi"/>
          <w:color w:val="000000"/>
          <w:sz w:val="20"/>
          <w:szCs w:val="20"/>
          <w:lang w:eastAsia="pt-BR"/>
        </w:rPr>
        <w:t>.</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4.1.3. Serão consideradas diferenciadas e valorizadas as propostas que evidenciem </w:t>
      </w:r>
      <w:r>
        <w:rPr>
          <w:rFonts w:eastAsia="Calibri" w:eastAsiaTheme="minorHAnsi"/>
          <w:b/>
          <w:bCs/>
          <w:color w:val="000000"/>
          <w:sz w:val="20"/>
          <w:szCs w:val="20"/>
          <w:lang w:eastAsia="pt-BR"/>
        </w:rPr>
        <w:t>compromisso institucional com a preservação ambiental</w:t>
      </w:r>
      <w:r>
        <w:rPr>
          <w:rFonts w:eastAsia="Calibri" w:eastAsiaTheme="minorHAnsi"/>
          <w:color w:val="000000"/>
          <w:sz w:val="20"/>
          <w:szCs w:val="20"/>
          <w:lang w:eastAsia="pt-BR"/>
        </w:rPr>
        <w:t>, por meio da existência de programas internos de gestão ambiental, planos de logística sustentável ou adesão a normas técnicas internacionais de qualidade ambiental.</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4.2. </w:t>
      </w:r>
      <w:r>
        <w:rPr>
          <w:rFonts w:eastAsia="Calibri" w:eastAsiaTheme="minorHAnsi"/>
          <w:b/>
          <w:bCs/>
          <w:color w:val="000000"/>
          <w:sz w:val="20"/>
          <w:szCs w:val="20"/>
          <w:lang w:eastAsia="pt-BR"/>
        </w:rPr>
        <w:t>Da exigência de carta de solidariedade</w:t>
      </w:r>
      <w:r>
        <w:rPr>
          <w:rFonts w:eastAsia="Calibri" w:eastAsiaTheme="minorHAnsi"/>
          <w:color w:val="000000"/>
          <w:sz w:val="20"/>
          <w:szCs w:val="20"/>
          <w:lang w:eastAsia="pt-BR"/>
        </w:rPr>
        <w:t xml:space="preserve">: </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4.2.1. Em caso de fornecedor revendedor ou distribuidor, será exigida carta de solidariedade emitida pelo fabricante, assegurando a execução do contrato, bem como a responsabilidade solidária do fabricante na entrega do objeto e na prestação de serviços acessórios, quando aplicável. </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4.3. </w:t>
      </w:r>
      <w:r>
        <w:rPr>
          <w:rFonts w:eastAsia="Calibri" w:eastAsiaTheme="minorHAnsi"/>
          <w:b/>
          <w:bCs/>
          <w:color w:val="000000"/>
          <w:sz w:val="20"/>
          <w:szCs w:val="20"/>
          <w:lang w:eastAsia="pt-BR"/>
        </w:rPr>
        <w:t>Subcontratação</w:t>
      </w:r>
      <w:r>
        <w:rPr>
          <w:rFonts w:eastAsia="Calibri" w:eastAsiaTheme="minorHAnsi"/>
          <w:color w:val="000000"/>
          <w:sz w:val="20"/>
          <w:szCs w:val="20"/>
          <w:lang w:eastAsia="pt-BR"/>
        </w:rPr>
        <w:t xml:space="preserve">: </w:t>
      </w:r>
    </w:p>
    <w:p>
      <w:pPr>
        <w:pStyle w:val="Normal"/>
        <w:tabs>
          <w:tab w:val="clear" w:pos="720"/>
          <w:tab w:val="left" w:pos="9781" w:leader="none"/>
        </w:tabs>
        <w:spacing w:lineRule="auto" w:line="240"/>
        <w:jc w:val="both"/>
        <w:rPr>
          <w:rFonts w:ascii="Arial" w:hAnsi="Arial"/>
          <w:sz w:val="20"/>
          <w:szCs w:val="20"/>
        </w:rPr>
      </w:pPr>
      <w:r>
        <w:rPr>
          <w:rFonts w:eastAsia="Calibri" w:eastAsiaTheme="minorHAnsi"/>
          <w:color w:val="000000"/>
          <w:sz w:val="20"/>
          <w:szCs w:val="20"/>
          <w:lang w:eastAsia="pt-BR"/>
        </w:rPr>
        <w:t xml:space="preserve">4.3.1. Não será admitida a subcontratação do objeto contratual, garantindo que o contratado execute integralmente as obrigações previstas no instrumento contratual. </w:t>
      </w:r>
    </w:p>
    <w:p>
      <w:pPr>
        <w:pStyle w:val="Normal"/>
        <w:spacing w:lineRule="auto" w:line="240"/>
        <w:ind w:hanging="0" w:right="567"/>
        <w:jc w:val="both"/>
        <w:rPr>
          <w:rFonts w:ascii="Arial" w:hAnsi="Arial"/>
          <w:sz w:val="20"/>
          <w:szCs w:val="20"/>
        </w:rPr>
      </w:pPr>
      <w:r>
        <w:rPr>
          <w:rFonts w:eastAsia="Calibri" w:eastAsiaTheme="minorHAnsi"/>
          <w:color w:val="000000"/>
          <w:sz w:val="20"/>
          <w:szCs w:val="20"/>
          <w:lang w:eastAsia="pt-BR"/>
        </w:rPr>
        <w:t xml:space="preserve">4.4. </w:t>
      </w:r>
      <w:r>
        <w:rPr>
          <w:rFonts w:eastAsia="Calibri" w:eastAsiaTheme="minorHAnsi"/>
          <w:b/>
          <w:bCs/>
          <w:color w:val="000000"/>
          <w:sz w:val="20"/>
          <w:szCs w:val="20"/>
          <w:lang w:eastAsia="pt-BR"/>
        </w:rPr>
        <w:t>Garantia da contratação</w:t>
      </w:r>
      <w:r>
        <w:rPr>
          <w:rFonts w:eastAsia="Calibri" w:eastAsiaTheme="minorHAnsi"/>
          <w:color w:val="000000"/>
          <w:sz w:val="20"/>
          <w:szCs w:val="20"/>
          <w:lang w:eastAsia="pt-BR"/>
        </w:rPr>
        <w:t xml:space="preserve">: </w:t>
      </w:r>
    </w:p>
    <w:p>
      <w:pPr>
        <w:pStyle w:val="Normal"/>
        <w:spacing w:lineRule="auto" w:line="240"/>
        <w:jc w:val="both"/>
        <w:rPr>
          <w:rFonts w:ascii="Arial" w:hAnsi="Arial"/>
          <w:sz w:val="20"/>
          <w:szCs w:val="20"/>
        </w:rPr>
      </w:pPr>
      <w:r>
        <w:rPr>
          <w:rFonts w:eastAsia="Calibri" w:eastAsiaTheme="minorHAnsi"/>
          <w:color w:val="000000"/>
          <w:sz w:val="20"/>
          <w:szCs w:val="20"/>
          <w:lang w:eastAsia="pt-BR"/>
        </w:rPr>
        <w:t>4.4.1. Não haverá exigência de garantia da contratação conforme os artigos 96 e seguintes da Lei nº 14.133/2021, tendo em vista a urgência decorrente do estado de calamidade pública, conforme fundamentado no Estudo Técnico Preliminar.</w:t>
      </w:r>
    </w:p>
    <w:p>
      <w:pPr>
        <w:pStyle w:val="Contedodatabela"/>
        <w:spacing w:lineRule="auto" w:line="240"/>
        <w:jc w:val="both"/>
        <w:rPr>
          <w:rFonts w:ascii="Arial" w:hAnsi="Arial"/>
          <w:sz w:val="20"/>
          <w:szCs w:val="20"/>
        </w:rPr>
      </w:pPr>
      <w:r>
        <w:rPr>
          <w:rFonts w:eastAsia="Calibri" w:eastAsiaTheme="minorHAnsi"/>
          <w:color w:val="000000"/>
          <w:sz w:val="20"/>
          <w:szCs w:val="20"/>
          <w:lang w:eastAsia="pt-BR"/>
        </w:rPr>
        <w:t xml:space="preserve">4.5. </w:t>
      </w:r>
      <w:r>
        <w:rPr>
          <w:sz w:val="20"/>
          <w:szCs w:val="20"/>
        </w:rPr>
        <w:t xml:space="preserve">A solução mais adequada para o atendimento da demanda da Secretaria Municipal de Segurança e Ordem Pública consiste na </w:t>
      </w:r>
      <w:r>
        <w:rPr>
          <w:b/>
          <w:bCs/>
          <w:sz w:val="20"/>
          <w:szCs w:val="20"/>
        </w:rPr>
        <w:t>locação de quatro (04) veículos automotores, tipo passeio, modelo hatch, 0 km</w:t>
      </w:r>
      <w:r>
        <w:rPr>
          <w:sz w:val="20"/>
          <w:szCs w:val="20"/>
        </w:rPr>
        <w:t xml:space="preserve">, destinados ao suporte das ações operacionais vinculadas ao </w:t>
      </w:r>
      <w:r>
        <w:rPr>
          <w:b/>
          <w:bCs/>
          <w:sz w:val="20"/>
          <w:szCs w:val="20"/>
        </w:rPr>
        <w:t>Programa Estadual de Integração na Segurança – PROEIS</w:t>
      </w:r>
      <w:r>
        <w:rPr>
          <w:sz w:val="20"/>
          <w:szCs w:val="20"/>
        </w:rPr>
        <w:t>, no âmbito do Município de Paracambi.</w:t>
      </w:r>
    </w:p>
    <w:p>
      <w:pPr>
        <w:pStyle w:val="Contedodatabela"/>
        <w:spacing w:lineRule="auto" w:line="240"/>
        <w:jc w:val="both"/>
        <w:rPr>
          <w:rFonts w:ascii="Arial" w:hAnsi="Arial"/>
          <w:sz w:val="20"/>
          <w:szCs w:val="20"/>
        </w:rPr>
      </w:pPr>
      <w:r>
        <w:rPr>
          <w:sz w:val="20"/>
          <w:szCs w:val="20"/>
        </w:rPr>
        <w:t xml:space="preserve">4.6. Os requisitos técnicos mínimos considerados </w:t>
      </w:r>
      <w:r>
        <w:rPr>
          <w:b/>
          <w:bCs/>
          <w:sz w:val="20"/>
          <w:szCs w:val="20"/>
        </w:rPr>
        <w:t>necessários e suficientes</w:t>
      </w:r>
      <w:r>
        <w:rPr>
          <w:sz w:val="20"/>
          <w:szCs w:val="20"/>
        </w:rPr>
        <w:t xml:space="preserve"> à adequada prestação do serviço são os seguintes:</w:t>
      </w:r>
    </w:p>
    <w:p>
      <w:pPr>
        <w:pStyle w:val="Contedodatabela"/>
        <w:numPr>
          <w:ilvl w:val="0"/>
          <w:numId w:val="4"/>
        </w:numPr>
        <w:spacing w:lineRule="auto" w:line="240"/>
        <w:jc w:val="both"/>
        <w:rPr>
          <w:rFonts w:ascii="Arial" w:hAnsi="Arial"/>
          <w:sz w:val="20"/>
          <w:szCs w:val="20"/>
        </w:rPr>
      </w:pPr>
      <w:r>
        <w:rPr>
          <w:sz w:val="20"/>
          <w:szCs w:val="20"/>
        </w:rPr>
        <w:t xml:space="preserve">Veículos tipo passeio, modelo hatch, </w:t>
      </w:r>
      <w:r>
        <w:rPr>
          <w:b/>
          <w:bCs/>
          <w:sz w:val="20"/>
          <w:szCs w:val="20"/>
        </w:rPr>
        <w:t>0 (zero) quilômetro</w:t>
      </w:r>
      <w:r>
        <w:rPr>
          <w:sz w:val="20"/>
          <w:szCs w:val="20"/>
        </w:rPr>
        <w:t>;</w:t>
      </w:r>
    </w:p>
    <w:p>
      <w:pPr>
        <w:pStyle w:val="Contedodatabela"/>
        <w:numPr>
          <w:ilvl w:val="0"/>
          <w:numId w:val="4"/>
        </w:numPr>
        <w:spacing w:lineRule="auto" w:line="240"/>
        <w:jc w:val="both"/>
        <w:rPr>
          <w:rFonts w:ascii="Arial" w:hAnsi="Arial"/>
          <w:sz w:val="20"/>
          <w:szCs w:val="20"/>
        </w:rPr>
      </w:pPr>
      <w:r>
        <w:rPr>
          <w:sz w:val="20"/>
          <w:szCs w:val="20"/>
        </w:rPr>
        <w:t xml:space="preserve">Motorização 1.0, </w:t>
      </w:r>
      <w:r>
        <w:rPr>
          <w:b/>
          <w:bCs/>
          <w:sz w:val="20"/>
          <w:szCs w:val="20"/>
        </w:rPr>
        <w:t>flex (etanol/gasolina)</w:t>
      </w:r>
      <w:r>
        <w:rPr>
          <w:sz w:val="20"/>
          <w:szCs w:val="20"/>
        </w:rPr>
        <w:t>;</w:t>
      </w:r>
    </w:p>
    <w:p>
      <w:pPr>
        <w:pStyle w:val="Contedodatabela"/>
        <w:numPr>
          <w:ilvl w:val="0"/>
          <w:numId w:val="4"/>
        </w:numPr>
        <w:spacing w:lineRule="auto" w:line="240"/>
        <w:jc w:val="both"/>
        <w:rPr>
          <w:rFonts w:ascii="Arial" w:hAnsi="Arial"/>
          <w:sz w:val="20"/>
          <w:szCs w:val="20"/>
        </w:rPr>
      </w:pPr>
      <w:r>
        <w:rPr>
          <w:b/>
          <w:bCs/>
          <w:sz w:val="20"/>
          <w:szCs w:val="20"/>
        </w:rPr>
        <w:t>Freios ABS</w:t>
      </w:r>
      <w:r>
        <w:rPr>
          <w:sz w:val="20"/>
          <w:szCs w:val="20"/>
        </w:rPr>
        <w:t xml:space="preserve"> e </w:t>
      </w:r>
      <w:r>
        <w:rPr>
          <w:b/>
          <w:bCs/>
          <w:sz w:val="20"/>
          <w:szCs w:val="20"/>
        </w:rPr>
        <w:t>airbag duplo (motorista e passageiro)</w:t>
      </w:r>
      <w:r>
        <w:rPr>
          <w:sz w:val="20"/>
          <w:szCs w:val="20"/>
        </w:rPr>
        <w:t>;</w:t>
      </w:r>
    </w:p>
    <w:p>
      <w:pPr>
        <w:pStyle w:val="Contedodatabela"/>
        <w:numPr>
          <w:ilvl w:val="0"/>
          <w:numId w:val="4"/>
        </w:numPr>
        <w:spacing w:lineRule="auto" w:line="240"/>
        <w:jc w:val="both"/>
        <w:rPr>
          <w:rFonts w:ascii="Arial" w:hAnsi="Arial"/>
          <w:sz w:val="20"/>
          <w:szCs w:val="20"/>
        </w:rPr>
      </w:pPr>
      <w:r>
        <w:rPr>
          <w:b/>
          <w:bCs/>
          <w:sz w:val="20"/>
          <w:szCs w:val="20"/>
        </w:rPr>
        <w:t>Câmbio manual</w:t>
      </w:r>
      <w:r>
        <w:rPr>
          <w:sz w:val="20"/>
          <w:szCs w:val="20"/>
        </w:rPr>
        <w:t xml:space="preserve">, </w:t>
      </w:r>
      <w:r>
        <w:rPr>
          <w:b/>
          <w:bCs/>
          <w:sz w:val="20"/>
          <w:szCs w:val="20"/>
        </w:rPr>
        <w:t>quatro portas</w:t>
      </w:r>
      <w:r>
        <w:rPr>
          <w:sz w:val="20"/>
          <w:szCs w:val="20"/>
        </w:rPr>
        <w:t>;</w:t>
      </w:r>
    </w:p>
    <w:p>
      <w:pPr>
        <w:pStyle w:val="Contedodatabela"/>
        <w:numPr>
          <w:ilvl w:val="0"/>
          <w:numId w:val="4"/>
        </w:numPr>
        <w:spacing w:lineRule="auto" w:line="240"/>
        <w:jc w:val="both"/>
        <w:rPr>
          <w:rFonts w:ascii="Arial" w:hAnsi="Arial"/>
          <w:sz w:val="20"/>
          <w:szCs w:val="20"/>
        </w:rPr>
      </w:pPr>
      <w:r>
        <w:rPr>
          <w:b/>
          <w:bCs/>
          <w:sz w:val="20"/>
          <w:szCs w:val="20"/>
        </w:rPr>
        <w:t>Direção hidráulica ou elétrica assistida</w:t>
      </w:r>
      <w:r>
        <w:rPr>
          <w:sz w:val="20"/>
          <w:szCs w:val="20"/>
        </w:rPr>
        <w:t>;</w:t>
      </w:r>
    </w:p>
    <w:p>
      <w:pPr>
        <w:pStyle w:val="Contedodatabela"/>
        <w:numPr>
          <w:ilvl w:val="0"/>
          <w:numId w:val="4"/>
        </w:numPr>
        <w:spacing w:lineRule="auto" w:line="240"/>
        <w:jc w:val="both"/>
        <w:rPr>
          <w:rFonts w:ascii="Arial" w:hAnsi="Arial"/>
          <w:sz w:val="20"/>
          <w:szCs w:val="20"/>
        </w:rPr>
      </w:pPr>
      <w:r>
        <w:rPr>
          <w:b/>
          <w:bCs/>
          <w:sz w:val="20"/>
          <w:szCs w:val="20"/>
        </w:rPr>
        <w:t>Ar-condicionado</w:t>
      </w:r>
      <w:r>
        <w:rPr>
          <w:sz w:val="20"/>
          <w:szCs w:val="20"/>
        </w:rPr>
        <w:t xml:space="preserve"> de fábrica;</w:t>
      </w:r>
    </w:p>
    <w:p>
      <w:pPr>
        <w:pStyle w:val="Contedodatabela"/>
        <w:numPr>
          <w:ilvl w:val="0"/>
          <w:numId w:val="4"/>
        </w:numPr>
        <w:spacing w:lineRule="auto" w:line="240"/>
        <w:jc w:val="both"/>
        <w:rPr>
          <w:rFonts w:ascii="Arial" w:hAnsi="Arial"/>
          <w:sz w:val="20"/>
          <w:szCs w:val="20"/>
        </w:rPr>
      </w:pPr>
      <w:r>
        <w:rPr>
          <w:b/>
          <w:bCs/>
          <w:sz w:val="20"/>
          <w:szCs w:val="20"/>
        </w:rPr>
        <w:t>Trio elétrico completo</w:t>
      </w:r>
      <w:r>
        <w:rPr>
          <w:sz w:val="20"/>
          <w:szCs w:val="20"/>
        </w:rPr>
        <w:t>: travas, vidros e alarme;</w:t>
      </w:r>
    </w:p>
    <w:p>
      <w:pPr>
        <w:pStyle w:val="Contedodatabela"/>
        <w:numPr>
          <w:ilvl w:val="0"/>
          <w:numId w:val="4"/>
        </w:numPr>
        <w:spacing w:lineRule="auto" w:line="240"/>
        <w:jc w:val="both"/>
        <w:rPr>
          <w:rFonts w:ascii="Arial" w:hAnsi="Arial"/>
          <w:sz w:val="20"/>
          <w:szCs w:val="20"/>
        </w:rPr>
      </w:pPr>
      <w:r>
        <w:rPr>
          <w:sz w:val="20"/>
          <w:szCs w:val="20"/>
        </w:rPr>
        <w:t xml:space="preserve">Contrato com </w:t>
      </w:r>
      <w:r>
        <w:rPr>
          <w:b/>
          <w:bCs/>
          <w:sz w:val="20"/>
          <w:szCs w:val="20"/>
        </w:rPr>
        <w:t>quilometragem livre</w:t>
      </w:r>
      <w:r>
        <w:rPr>
          <w:sz w:val="20"/>
          <w:szCs w:val="20"/>
        </w:rPr>
        <w:t>;</w:t>
      </w:r>
    </w:p>
    <w:p>
      <w:pPr>
        <w:pStyle w:val="Contedodatabela"/>
        <w:numPr>
          <w:ilvl w:val="0"/>
          <w:numId w:val="4"/>
        </w:numPr>
        <w:spacing w:lineRule="auto" w:line="240"/>
        <w:jc w:val="both"/>
        <w:rPr>
          <w:rFonts w:ascii="Arial" w:hAnsi="Arial"/>
          <w:sz w:val="20"/>
          <w:szCs w:val="20"/>
        </w:rPr>
      </w:pPr>
      <w:r>
        <w:rPr>
          <w:sz w:val="20"/>
          <w:szCs w:val="20"/>
        </w:rPr>
        <w:t xml:space="preserve">Fornecimento </w:t>
      </w:r>
      <w:r>
        <w:rPr>
          <w:b/>
          <w:bCs/>
          <w:sz w:val="20"/>
          <w:szCs w:val="20"/>
        </w:rPr>
        <w:t>sem motorista</w:t>
      </w:r>
      <w:r>
        <w:rPr>
          <w:sz w:val="20"/>
          <w:szCs w:val="20"/>
        </w:rPr>
        <w:t xml:space="preserve"> e </w:t>
      </w:r>
      <w:r>
        <w:rPr>
          <w:b/>
          <w:bCs/>
          <w:sz w:val="20"/>
          <w:szCs w:val="20"/>
        </w:rPr>
        <w:t>sem combustível</w:t>
      </w:r>
      <w:r>
        <w:rPr>
          <w:sz w:val="20"/>
          <w:szCs w:val="20"/>
        </w:rPr>
        <w:t>;</w:t>
      </w:r>
    </w:p>
    <w:p>
      <w:pPr>
        <w:pStyle w:val="Contedodatabela"/>
        <w:numPr>
          <w:ilvl w:val="0"/>
          <w:numId w:val="4"/>
        </w:numPr>
        <w:spacing w:lineRule="auto" w:line="240"/>
        <w:jc w:val="both"/>
        <w:rPr>
          <w:rFonts w:ascii="Arial" w:hAnsi="Arial"/>
          <w:sz w:val="20"/>
          <w:szCs w:val="20"/>
        </w:rPr>
      </w:pPr>
      <w:r>
        <w:rPr>
          <w:sz w:val="20"/>
          <w:szCs w:val="20"/>
        </w:rPr>
        <w:t xml:space="preserve">Veículos devidamente </w:t>
      </w:r>
      <w:r>
        <w:rPr>
          <w:b/>
          <w:bCs/>
          <w:sz w:val="20"/>
          <w:szCs w:val="20"/>
        </w:rPr>
        <w:t>documentados</w:t>
      </w:r>
      <w:r>
        <w:rPr>
          <w:sz w:val="20"/>
          <w:szCs w:val="20"/>
        </w:rPr>
        <w:t xml:space="preserve">, com </w:t>
      </w:r>
      <w:r>
        <w:rPr>
          <w:b/>
          <w:bCs/>
          <w:sz w:val="20"/>
          <w:szCs w:val="20"/>
        </w:rPr>
        <w:t>licenciamento em dia</w:t>
      </w:r>
      <w:r>
        <w:rPr>
          <w:sz w:val="20"/>
          <w:szCs w:val="20"/>
        </w:rPr>
        <w:t xml:space="preserve"> e </w:t>
      </w:r>
      <w:r>
        <w:rPr>
          <w:b/>
          <w:bCs/>
          <w:sz w:val="20"/>
          <w:szCs w:val="20"/>
        </w:rPr>
        <w:t>seguro total (com cobertura contra colisão, furto/roubo, terceiros e danos materiais e pessoais)</w:t>
      </w:r>
      <w:r>
        <w:rPr>
          <w:sz w:val="20"/>
          <w:szCs w:val="20"/>
        </w:rPr>
        <w:t>;</w:t>
      </w:r>
    </w:p>
    <w:p>
      <w:pPr>
        <w:pStyle w:val="Contedodatabela"/>
        <w:numPr>
          <w:ilvl w:val="0"/>
          <w:numId w:val="4"/>
        </w:numPr>
        <w:spacing w:lineRule="auto" w:line="240"/>
        <w:jc w:val="both"/>
        <w:rPr>
          <w:rFonts w:ascii="Arial" w:hAnsi="Arial"/>
          <w:sz w:val="20"/>
          <w:szCs w:val="20"/>
        </w:rPr>
      </w:pPr>
      <w:r>
        <w:rPr>
          <w:sz w:val="20"/>
          <w:szCs w:val="20"/>
        </w:rPr>
        <w:t xml:space="preserve">Aplicação de </w:t>
      </w:r>
      <w:r>
        <w:rPr>
          <w:b/>
          <w:bCs/>
          <w:sz w:val="20"/>
          <w:szCs w:val="20"/>
        </w:rPr>
        <w:t>adesivagem institucional obrigatória</w:t>
      </w:r>
      <w:r>
        <w:rPr>
          <w:sz w:val="20"/>
          <w:szCs w:val="20"/>
        </w:rPr>
        <w:t>, contendo as inscrições “Prefeitura Municipal de Paracambi”, “Secretaria de Segurança e Ordem Pública”, e demais elementos visuais definidos pela Administração;</w:t>
      </w:r>
    </w:p>
    <w:p>
      <w:pPr>
        <w:pStyle w:val="Contedodatabela"/>
        <w:numPr>
          <w:ilvl w:val="0"/>
          <w:numId w:val="4"/>
        </w:numPr>
        <w:spacing w:lineRule="auto" w:line="240"/>
        <w:jc w:val="both"/>
        <w:rPr>
          <w:rFonts w:ascii="Arial" w:hAnsi="Arial"/>
          <w:sz w:val="20"/>
          <w:szCs w:val="20"/>
        </w:rPr>
      </w:pPr>
      <w:r>
        <w:rPr>
          <w:sz w:val="20"/>
          <w:szCs w:val="20"/>
        </w:rPr>
        <w:t xml:space="preserve">Instalação de </w:t>
      </w:r>
      <w:r>
        <w:rPr>
          <w:b/>
          <w:bCs/>
          <w:sz w:val="20"/>
          <w:szCs w:val="20"/>
        </w:rPr>
        <w:t>sistema de sinalização sonora e visual (giroflex e sirene)</w:t>
      </w:r>
      <w:r>
        <w:rPr>
          <w:sz w:val="20"/>
          <w:szCs w:val="20"/>
        </w:rPr>
        <w:t xml:space="preserve"> em conformidade com as normas vigentes do CONTRAN, de modo a garantir a adequada identificação e operacionalidade dos veículos em ações de patrulhamento.</w:t>
      </w:r>
    </w:p>
    <w:p>
      <w:pPr>
        <w:pStyle w:val="Contedodatabela"/>
        <w:spacing w:lineRule="auto" w:line="240"/>
        <w:jc w:val="both"/>
        <w:rPr>
          <w:rFonts w:ascii="Arial" w:hAnsi="Arial"/>
          <w:sz w:val="20"/>
          <w:szCs w:val="20"/>
        </w:rPr>
      </w:pPr>
      <w:r>
        <w:rPr>
          <w:sz w:val="20"/>
          <w:szCs w:val="20"/>
        </w:rPr>
        <w:t xml:space="preserve">4.7. Adicionalmente, a contratação deverá observar </w:t>
      </w:r>
      <w:r>
        <w:rPr>
          <w:b/>
          <w:bCs/>
          <w:sz w:val="20"/>
          <w:szCs w:val="20"/>
        </w:rPr>
        <w:t>critérios de sustentabilidade</w:t>
      </w:r>
      <w:r>
        <w:rPr>
          <w:sz w:val="20"/>
          <w:szCs w:val="20"/>
        </w:rPr>
        <w:t>, conforme diretrizes legais e boas práticas ambientais, destacando-se:</w:t>
      </w:r>
    </w:p>
    <w:p>
      <w:pPr>
        <w:pStyle w:val="Contedodatabela"/>
        <w:numPr>
          <w:ilvl w:val="0"/>
          <w:numId w:val="5"/>
        </w:numPr>
        <w:spacing w:lineRule="auto" w:line="240"/>
        <w:jc w:val="both"/>
        <w:rPr>
          <w:rFonts w:ascii="Arial" w:hAnsi="Arial"/>
          <w:sz w:val="20"/>
          <w:szCs w:val="20"/>
        </w:rPr>
      </w:pPr>
      <w:r>
        <w:rPr>
          <w:sz w:val="20"/>
          <w:szCs w:val="20"/>
        </w:rPr>
        <w:t xml:space="preserve">Preferência por veículos com </w:t>
      </w:r>
      <w:r>
        <w:rPr>
          <w:b/>
          <w:bCs/>
          <w:sz w:val="20"/>
          <w:szCs w:val="20"/>
        </w:rPr>
        <w:t>tecnologia de menor emissão de poluentes</w:t>
      </w:r>
      <w:r>
        <w:rPr>
          <w:sz w:val="20"/>
          <w:szCs w:val="20"/>
        </w:rPr>
        <w:t xml:space="preserve">, como motores flex de baixa cilindrada, que contribuem para a </w:t>
      </w:r>
      <w:r>
        <w:rPr>
          <w:b/>
          <w:bCs/>
          <w:sz w:val="20"/>
          <w:szCs w:val="20"/>
        </w:rPr>
        <w:t>redução da pegada de carbono</w:t>
      </w:r>
      <w:r>
        <w:rPr>
          <w:sz w:val="20"/>
          <w:szCs w:val="20"/>
        </w:rPr>
        <w:t>;</w:t>
      </w:r>
    </w:p>
    <w:p>
      <w:pPr>
        <w:pStyle w:val="Contedodatabela"/>
        <w:numPr>
          <w:ilvl w:val="0"/>
          <w:numId w:val="5"/>
        </w:numPr>
        <w:spacing w:lineRule="auto" w:line="240"/>
        <w:jc w:val="both"/>
        <w:rPr>
          <w:rFonts w:ascii="Arial" w:hAnsi="Arial"/>
          <w:sz w:val="20"/>
          <w:szCs w:val="20"/>
        </w:rPr>
      </w:pPr>
      <w:r>
        <w:rPr>
          <w:b/>
          <w:bCs/>
          <w:sz w:val="20"/>
          <w:szCs w:val="20"/>
        </w:rPr>
        <w:t>Manutenção preventiva obrigatória</w:t>
      </w:r>
      <w:r>
        <w:rPr>
          <w:sz w:val="20"/>
          <w:szCs w:val="20"/>
        </w:rPr>
        <w:t>, com controle de emissão de gases e descarte ambientalmente adequado de peças e resíduos automotivos;</w:t>
      </w:r>
    </w:p>
    <w:p>
      <w:pPr>
        <w:pStyle w:val="Contedodatabela"/>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b/>
          <w:sz w:val="20"/>
          <w:szCs w:val="20"/>
        </w:rPr>
        <w:t>5. MODELO DE EXECUÇÃO DO OBJETO E CONTRATO</w:t>
      </w:r>
    </w:p>
    <w:p>
      <w:pPr>
        <w:pStyle w:val="Normal"/>
        <w:tabs>
          <w:tab w:val="clear" w:pos="720"/>
          <w:tab w:val="left" w:pos="2600" w:leader="none"/>
        </w:tabs>
        <w:spacing w:lineRule="auto" w:line="240"/>
        <w:jc w:val="both"/>
        <w:rPr>
          <w:rFonts w:ascii="Arial" w:hAnsi="Arial"/>
          <w:sz w:val="20"/>
          <w:szCs w:val="20"/>
        </w:rPr>
      </w:pPr>
      <w:r>
        <w:rPr>
          <w:sz w:val="20"/>
          <w:szCs w:val="20"/>
        </w:rPr>
        <w:t xml:space="preserve">5.1. </w:t>
      </w:r>
      <w:r>
        <w:rPr>
          <w:b/>
          <w:bCs/>
          <w:sz w:val="20"/>
          <w:szCs w:val="20"/>
        </w:rPr>
        <w:t>Condições de Entrega</w:t>
      </w:r>
      <w:r>
        <w:rPr>
          <w:sz w:val="20"/>
          <w:szCs w:val="20"/>
        </w:rPr>
        <w:t xml:space="preserve">: </w:t>
      </w:r>
    </w:p>
    <w:p>
      <w:pPr>
        <w:pStyle w:val="Normal"/>
        <w:tabs>
          <w:tab w:val="clear" w:pos="720"/>
          <w:tab w:val="left" w:pos="2600" w:leader="none"/>
        </w:tabs>
        <w:spacing w:lineRule="auto" w:line="240"/>
        <w:jc w:val="both"/>
        <w:rPr>
          <w:rFonts w:ascii="Arial" w:hAnsi="Arial"/>
          <w:sz w:val="20"/>
          <w:szCs w:val="20"/>
        </w:rPr>
      </w:pPr>
      <w:r>
        <w:rPr>
          <w:sz w:val="20"/>
          <w:szCs w:val="20"/>
        </w:rPr>
        <w:t>5.1.1.</w:t>
      </w:r>
      <w:r>
        <w:rPr>
          <w:b/>
          <w:bCs/>
          <w:sz w:val="20"/>
          <w:szCs w:val="20"/>
        </w:rPr>
        <w:t xml:space="preserve"> </w:t>
      </w:r>
      <w:r>
        <w:rPr>
          <w:bCs/>
          <w:sz w:val="20"/>
          <w:szCs w:val="20"/>
        </w:rPr>
        <w:t xml:space="preserve">Por se tratar de </w:t>
      </w:r>
      <w:r>
        <w:rPr>
          <w:b/>
          <w:bCs/>
          <w:sz w:val="20"/>
          <w:szCs w:val="20"/>
        </w:rPr>
        <w:t>contratação de locação de veículos automotores</w:t>
      </w:r>
      <w:r>
        <w:rPr>
          <w:bCs/>
          <w:sz w:val="20"/>
          <w:szCs w:val="20"/>
        </w:rPr>
        <w:t xml:space="preserve">, os bens objeto do ajuste deverão ser entregues em </w:t>
      </w:r>
      <w:r>
        <w:rPr>
          <w:b/>
          <w:bCs/>
          <w:sz w:val="20"/>
          <w:szCs w:val="20"/>
        </w:rPr>
        <w:t>perfeito estado de conservação, funcionamento e higienização</w:t>
      </w:r>
      <w:r>
        <w:rPr>
          <w:bCs/>
          <w:sz w:val="20"/>
          <w:szCs w:val="20"/>
        </w:rPr>
        <w:t xml:space="preserve">, com </w:t>
      </w:r>
      <w:r>
        <w:rPr>
          <w:b/>
          <w:bCs/>
          <w:sz w:val="20"/>
          <w:szCs w:val="20"/>
        </w:rPr>
        <w:t>todos os equipamentos e acessórios exigidos neste Termo de Referência</w:t>
      </w:r>
      <w:r>
        <w:rPr>
          <w:bCs/>
          <w:sz w:val="20"/>
          <w:szCs w:val="20"/>
        </w:rPr>
        <w:t xml:space="preserve">, bem como </w:t>
      </w:r>
      <w:r>
        <w:rPr>
          <w:b/>
          <w:bCs/>
          <w:sz w:val="20"/>
          <w:szCs w:val="20"/>
        </w:rPr>
        <w:t>devidamente licenciados, segurados e adesivados conforme as especificações da Administração</w:t>
      </w:r>
      <w:r>
        <w:rPr>
          <w:bCs/>
          <w:sz w:val="20"/>
          <w:szCs w:val="20"/>
        </w:rPr>
        <w:t>.</w:t>
      </w:r>
    </w:p>
    <w:p>
      <w:pPr>
        <w:pStyle w:val="Normal"/>
        <w:tabs>
          <w:tab w:val="clear" w:pos="720"/>
          <w:tab w:val="left" w:pos="2600" w:leader="none"/>
        </w:tabs>
        <w:spacing w:lineRule="auto" w:line="240"/>
        <w:jc w:val="both"/>
        <w:rPr>
          <w:rFonts w:ascii="Arial" w:hAnsi="Arial"/>
          <w:sz w:val="20"/>
          <w:szCs w:val="20"/>
        </w:rPr>
      </w:pPr>
      <w:r>
        <w:rPr>
          <w:sz w:val="20"/>
          <w:szCs w:val="20"/>
        </w:rPr>
        <w:t>5.1.2.</w:t>
      </w:r>
      <w:r>
        <w:rPr>
          <w:bCs/>
          <w:sz w:val="20"/>
          <w:szCs w:val="20"/>
        </w:rPr>
        <w:t xml:space="preserve"> A entrega deverá ocorrer </w:t>
      </w:r>
      <w:r>
        <w:rPr>
          <w:b/>
          <w:bCs/>
          <w:sz w:val="20"/>
          <w:szCs w:val="20"/>
        </w:rPr>
        <w:t>na sede da Secretaria Municipal de Segurança e Ordem Pública</w:t>
      </w:r>
      <w:r>
        <w:rPr>
          <w:bCs/>
          <w:sz w:val="20"/>
          <w:szCs w:val="20"/>
        </w:rPr>
        <w:t xml:space="preserve">, situada na Av. dos Operários, n° 354, Município de Paracambi/RJ, em horário comercial previamente agendado com o setor responsável, sendo obrigatória a lavratura de </w:t>
      </w:r>
      <w:r>
        <w:rPr>
          <w:b/>
          <w:bCs/>
          <w:sz w:val="20"/>
          <w:szCs w:val="20"/>
        </w:rPr>
        <w:t>termo de recebimento provisório</w:t>
      </w:r>
      <w:r>
        <w:rPr>
          <w:bCs/>
          <w:sz w:val="20"/>
          <w:szCs w:val="20"/>
        </w:rPr>
        <w:t>, nos moldes da Lei nº 14.133/2021.</w:t>
      </w:r>
    </w:p>
    <w:p>
      <w:pPr>
        <w:pStyle w:val="Normal"/>
        <w:tabs>
          <w:tab w:val="clear" w:pos="720"/>
          <w:tab w:val="left" w:pos="2600" w:leader="none"/>
        </w:tabs>
        <w:spacing w:lineRule="auto" w:line="240"/>
        <w:jc w:val="both"/>
        <w:rPr>
          <w:rFonts w:ascii="Arial" w:hAnsi="Arial"/>
          <w:sz w:val="20"/>
          <w:szCs w:val="20"/>
        </w:rPr>
      </w:pPr>
      <w:r>
        <w:rPr>
          <w:bCs/>
          <w:sz w:val="20"/>
          <w:szCs w:val="20"/>
        </w:rPr>
        <w:t xml:space="preserve">5.2. </w:t>
      </w:r>
      <w:r>
        <w:rPr>
          <w:b/>
          <w:sz w:val="20"/>
          <w:szCs w:val="20"/>
        </w:rPr>
        <w:t>Prazo de Entrega</w:t>
      </w:r>
      <w:r>
        <w:rPr>
          <w:bCs/>
          <w:sz w:val="20"/>
          <w:szCs w:val="20"/>
        </w:rPr>
        <w:t>:</w:t>
      </w:r>
    </w:p>
    <w:p>
      <w:pPr>
        <w:pStyle w:val="Normal"/>
        <w:tabs>
          <w:tab w:val="clear" w:pos="720"/>
          <w:tab w:val="left" w:pos="2600" w:leader="none"/>
        </w:tabs>
        <w:spacing w:lineRule="auto" w:line="240"/>
        <w:jc w:val="both"/>
        <w:rPr>
          <w:rFonts w:ascii="Arial" w:hAnsi="Arial"/>
          <w:sz w:val="20"/>
          <w:szCs w:val="20"/>
        </w:rPr>
      </w:pPr>
      <w:r>
        <w:rPr>
          <w:bCs/>
          <w:sz w:val="20"/>
          <w:szCs w:val="20"/>
        </w:rPr>
        <w:t xml:space="preserve">5.2.1. Os veículos deverão ser disponibilizados </w:t>
      </w:r>
      <w:r>
        <w:rPr>
          <w:b/>
          <w:bCs/>
          <w:sz w:val="20"/>
          <w:szCs w:val="20"/>
        </w:rPr>
        <w:t>em até 03 (três) dias úteis</w:t>
      </w:r>
      <w:r>
        <w:rPr>
          <w:bCs/>
          <w:sz w:val="20"/>
          <w:szCs w:val="20"/>
        </w:rPr>
        <w:t>, contados da assinatura do contrato, salvo estipulação diversa formalmente pactuada entre as partes, de acordo com a conveniência administrativa.</w:t>
      </w:r>
    </w:p>
    <w:p>
      <w:pPr>
        <w:pStyle w:val="Normal"/>
        <w:tabs>
          <w:tab w:val="clear" w:pos="720"/>
          <w:tab w:val="left" w:pos="2600" w:leader="none"/>
        </w:tabs>
        <w:spacing w:lineRule="auto" w:line="240"/>
        <w:jc w:val="both"/>
        <w:rPr>
          <w:rFonts w:ascii="Arial" w:hAnsi="Arial"/>
          <w:sz w:val="20"/>
          <w:szCs w:val="20"/>
        </w:rPr>
      </w:pPr>
      <w:r>
        <w:rPr>
          <w:sz w:val="20"/>
          <w:szCs w:val="20"/>
        </w:rPr>
        <w:t>5.3.</w:t>
      </w:r>
      <w:r>
        <w:rPr>
          <w:b/>
          <w:bCs/>
          <w:sz w:val="20"/>
          <w:szCs w:val="20"/>
        </w:rPr>
        <w:t xml:space="preserve"> Comunicação de Impossibilidade de Entrega:</w:t>
      </w:r>
    </w:p>
    <w:p>
      <w:pPr>
        <w:pStyle w:val="Normal"/>
        <w:tabs>
          <w:tab w:val="clear" w:pos="720"/>
          <w:tab w:val="left" w:pos="2600" w:leader="none"/>
        </w:tabs>
        <w:spacing w:lineRule="auto" w:line="240"/>
        <w:jc w:val="both"/>
        <w:rPr>
          <w:rFonts w:ascii="Arial" w:hAnsi="Arial"/>
          <w:sz w:val="20"/>
          <w:szCs w:val="20"/>
        </w:rPr>
      </w:pPr>
      <w:r>
        <w:rPr>
          <w:bCs/>
          <w:sz w:val="20"/>
          <w:szCs w:val="20"/>
        </w:rPr>
        <w:t xml:space="preserve">5.3.1. Na hipótese de impossibilidade de cumprimento do prazo contratualmente estabelecido para entrega dos veículos, a contratada deverá </w:t>
      </w:r>
      <w:r>
        <w:rPr>
          <w:b/>
          <w:bCs/>
          <w:sz w:val="20"/>
          <w:szCs w:val="20"/>
        </w:rPr>
        <w:t>comunicar formalmente o motivo do impedimento</w:t>
      </w:r>
      <w:r>
        <w:rPr>
          <w:bCs/>
          <w:sz w:val="20"/>
          <w:szCs w:val="20"/>
        </w:rPr>
        <w:t xml:space="preserve">, com </w:t>
      </w:r>
      <w:r>
        <w:rPr>
          <w:b/>
          <w:bCs/>
          <w:sz w:val="20"/>
          <w:szCs w:val="20"/>
        </w:rPr>
        <w:t>antecedência mínima de 02 (dois) dias úteis</w:t>
      </w:r>
      <w:r>
        <w:rPr>
          <w:bCs/>
          <w:sz w:val="20"/>
          <w:szCs w:val="20"/>
        </w:rPr>
        <w:t xml:space="preserve">, salvo em casos supervenientes de </w:t>
      </w:r>
      <w:r>
        <w:rPr>
          <w:b/>
          <w:bCs/>
          <w:sz w:val="20"/>
          <w:szCs w:val="20"/>
        </w:rPr>
        <w:t>força maior ou caso fortuito devidamente justificados</w:t>
      </w:r>
      <w:r>
        <w:rPr>
          <w:bCs/>
          <w:sz w:val="20"/>
          <w:szCs w:val="20"/>
        </w:rPr>
        <w:t>, sob pena de aplicação das sanções contratuais previstas.</w:t>
      </w:r>
    </w:p>
    <w:p>
      <w:pPr>
        <w:pStyle w:val="Normal"/>
        <w:tabs>
          <w:tab w:val="clear" w:pos="720"/>
          <w:tab w:val="left" w:pos="2600" w:leader="none"/>
        </w:tabs>
        <w:spacing w:lineRule="auto" w:line="240"/>
        <w:jc w:val="both"/>
        <w:rPr>
          <w:rFonts w:ascii="Arial" w:hAnsi="Arial"/>
          <w:sz w:val="20"/>
          <w:szCs w:val="20"/>
        </w:rPr>
      </w:pPr>
      <w:r>
        <w:rPr>
          <w:sz w:val="20"/>
          <w:szCs w:val="20"/>
        </w:rPr>
        <w:t>5.4.</w:t>
      </w:r>
      <w:r>
        <w:rPr>
          <w:b/>
          <w:bCs/>
          <w:sz w:val="20"/>
          <w:szCs w:val="20"/>
        </w:rPr>
        <w:t xml:space="preserve"> Local de Entrega:</w:t>
      </w:r>
    </w:p>
    <w:p>
      <w:pPr>
        <w:pStyle w:val="Normal"/>
        <w:tabs>
          <w:tab w:val="clear" w:pos="720"/>
          <w:tab w:val="left" w:pos="2600" w:leader="none"/>
        </w:tabs>
        <w:spacing w:lineRule="auto" w:line="240"/>
        <w:jc w:val="both"/>
        <w:rPr>
          <w:rFonts w:ascii="Arial" w:hAnsi="Arial"/>
          <w:sz w:val="20"/>
          <w:szCs w:val="20"/>
        </w:rPr>
      </w:pPr>
      <w:r>
        <w:rPr>
          <w:bCs/>
          <w:sz w:val="20"/>
          <w:szCs w:val="20"/>
        </w:rPr>
        <w:t xml:space="preserve">5.4.1. A entrega dos veículos será efetivada </w:t>
      </w:r>
      <w:r>
        <w:rPr>
          <w:b/>
          <w:bCs/>
          <w:sz w:val="20"/>
          <w:szCs w:val="20"/>
        </w:rPr>
        <w:t>exclusivamente na sede da Secretaria Municipal de Segurança e Ordem Pública</w:t>
      </w:r>
      <w:r>
        <w:rPr>
          <w:bCs/>
          <w:sz w:val="20"/>
          <w:szCs w:val="20"/>
        </w:rPr>
        <w:t xml:space="preserve">, conforme item 5.1.2, </w:t>
      </w:r>
      <w:r>
        <w:rPr>
          <w:b/>
          <w:bCs/>
          <w:sz w:val="20"/>
          <w:szCs w:val="20"/>
        </w:rPr>
        <w:t>não sendo admitido local alternativo</w:t>
      </w:r>
      <w:r>
        <w:rPr>
          <w:bCs/>
          <w:sz w:val="20"/>
          <w:szCs w:val="20"/>
        </w:rPr>
        <w:t>, salvo expressa autorização do Contratante e desde que preservadas as condições de segurança, regularidade documental e atendimento às exigências técnicas estabelecidas.</w:t>
      </w:r>
    </w:p>
    <w:p>
      <w:pPr>
        <w:pStyle w:val="Normal"/>
        <w:tabs>
          <w:tab w:val="clear" w:pos="720"/>
          <w:tab w:val="left" w:pos="2600" w:leader="none"/>
        </w:tabs>
        <w:spacing w:lineRule="auto" w:line="240"/>
        <w:jc w:val="both"/>
        <w:rPr>
          <w:rFonts w:ascii="Arial" w:hAnsi="Arial"/>
          <w:sz w:val="20"/>
          <w:szCs w:val="20"/>
        </w:rPr>
      </w:pPr>
      <w:r>
        <w:rPr>
          <w:bCs/>
          <w:sz w:val="20"/>
          <w:szCs w:val="20"/>
        </w:rPr>
        <w:t xml:space="preserve">5.5. </w:t>
      </w:r>
      <w:r>
        <w:rPr>
          <w:b/>
          <w:sz w:val="20"/>
          <w:szCs w:val="20"/>
        </w:rPr>
        <w:t>Garantia, Manutenção e Assistência Técnica</w:t>
      </w:r>
      <w:r>
        <w:rPr>
          <w:bCs/>
          <w:sz w:val="20"/>
          <w:szCs w:val="20"/>
        </w:rPr>
        <w:t>:</w:t>
      </w:r>
    </w:p>
    <w:p>
      <w:pPr>
        <w:pStyle w:val="Normal"/>
        <w:tabs>
          <w:tab w:val="clear" w:pos="720"/>
          <w:tab w:val="left" w:pos="2600" w:leader="none"/>
        </w:tabs>
        <w:spacing w:lineRule="auto" w:line="240"/>
        <w:jc w:val="both"/>
        <w:rPr>
          <w:rFonts w:ascii="Arial" w:hAnsi="Arial"/>
          <w:sz w:val="20"/>
          <w:szCs w:val="20"/>
        </w:rPr>
      </w:pPr>
      <w:r>
        <w:rPr>
          <w:bCs/>
          <w:sz w:val="20"/>
          <w:szCs w:val="20"/>
        </w:rPr>
        <w:t>5.5.1. O prazo de garantia dos combustíveis é aquele estabelecido no Código de Defesa do Consumidor (Lei nº 8.078, de 11 de setembro de 1990).</w:t>
      </w:r>
    </w:p>
    <w:p>
      <w:pPr>
        <w:pStyle w:val="Normal"/>
        <w:tabs>
          <w:tab w:val="clear" w:pos="720"/>
          <w:tab w:val="left" w:pos="2600" w:leader="none"/>
        </w:tabs>
        <w:spacing w:lineRule="auto" w:line="240"/>
        <w:jc w:val="both"/>
        <w:rPr>
          <w:rFonts w:ascii="Arial" w:hAnsi="Arial"/>
          <w:sz w:val="20"/>
          <w:szCs w:val="20"/>
        </w:rPr>
      </w:pPr>
      <w:r>
        <w:rPr>
          <w:bCs/>
          <w:sz w:val="20"/>
          <w:szCs w:val="20"/>
        </w:rPr>
        <w:t>5.6. Os bens serão recebidos provisoriamente, de forma sumária, no prazo de 05 (cinco) dias, pelo(a) responsável pelo acompanhamento e fiscalização do contrato, para efeito de posterior verificação de sua conformidade com as especificações constantes neste Termo de Referência e na proposta.</w:t>
      </w:r>
    </w:p>
    <w:p>
      <w:pPr>
        <w:pStyle w:val="Normal"/>
        <w:spacing w:lineRule="auto" w:line="240" w:before="0" w:after="120"/>
        <w:jc w:val="both"/>
        <w:rPr>
          <w:rFonts w:ascii="Arial" w:hAnsi="Arial"/>
          <w:sz w:val="20"/>
          <w:szCs w:val="20"/>
        </w:rPr>
      </w:pPr>
      <w:r>
        <w:rPr>
          <w:bCs/>
          <w:sz w:val="20"/>
          <w:szCs w:val="20"/>
        </w:rPr>
        <w:t>5.7.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Normal"/>
        <w:spacing w:lineRule="auto" w:line="240" w:before="0" w:after="0"/>
        <w:jc w:val="both"/>
        <w:rPr>
          <w:rFonts w:ascii="Arial" w:hAnsi="Arial"/>
          <w:sz w:val="20"/>
          <w:szCs w:val="20"/>
        </w:rPr>
      </w:pPr>
      <w:r>
        <w:rPr>
          <w:bCs/>
          <w:sz w:val="20"/>
          <w:szCs w:val="20"/>
        </w:rPr>
        <w:t>5.8. Os bens serão recebidos definitivamente no prazo de 15 (quinze) dias, contados do recebimento provisório, após a verificação da qualidade e quantidade do material e consequente aceitação mediante termo detalhado.</w:t>
      </w:r>
    </w:p>
    <w:p>
      <w:pPr>
        <w:pStyle w:val="Normal"/>
        <w:spacing w:lineRule="auto" w:line="240" w:before="0" w:after="120"/>
        <w:jc w:val="both"/>
        <w:rPr>
          <w:rFonts w:ascii="Arial" w:hAnsi="Arial"/>
          <w:sz w:val="20"/>
          <w:szCs w:val="20"/>
        </w:rPr>
      </w:pPr>
      <w:r>
        <w:rPr>
          <w:bCs/>
          <w:sz w:val="20"/>
          <w:szCs w:val="20"/>
        </w:rPr>
        <w:t>5.8.1. Na hipótese de a verificação a que se refere o subitem anterior não ser procedida dentro do prazo fixado, reputar-se-á como realizada, consumando-se o recebimento definitivo no dia do esgotamento do prazo.</w:t>
      </w:r>
    </w:p>
    <w:p>
      <w:pPr>
        <w:pStyle w:val="Normal"/>
        <w:spacing w:lineRule="auto" w:line="240" w:before="0" w:after="120"/>
        <w:jc w:val="both"/>
        <w:rPr>
          <w:rFonts w:ascii="Arial" w:hAnsi="Arial"/>
          <w:sz w:val="20"/>
          <w:szCs w:val="20"/>
        </w:rPr>
      </w:pPr>
      <w:r>
        <w:rPr>
          <w:bCs/>
          <w:sz w:val="20"/>
          <w:szCs w:val="20"/>
        </w:rPr>
        <w:t>5.8.2. O prazo para recebimento definitivo poderá ser excepcionalmente prorrogado, de forma justificada, por igual período, quando houver necessidade de diligências para a aferição do atendimento das exigências contratuais.</w:t>
      </w:r>
    </w:p>
    <w:p>
      <w:pPr>
        <w:pStyle w:val="Normal"/>
        <w:spacing w:lineRule="auto" w:line="240" w:before="0" w:after="120"/>
        <w:jc w:val="both"/>
        <w:rPr>
          <w:rFonts w:ascii="Arial" w:hAnsi="Arial"/>
          <w:sz w:val="20"/>
          <w:szCs w:val="20"/>
        </w:rPr>
      </w:pPr>
      <w:r>
        <w:rPr>
          <w:bCs/>
          <w:sz w:val="20"/>
          <w:szCs w:val="20"/>
        </w:rPr>
        <w:t>5.8.3.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pPr>
        <w:pStyle w:val="Normal"/>
        <w:spacing w:lineRule="auto" w:line="240" w:before="0" w:after="120"/>
        <w:jc w:val="both"/>
        <w:rPr>
          <w:rFonts w:ascii="Arial" w:hAnsi="Arial"/>
          <w:sz w:val="20"/>
          <w:szCs w:val="20"/>
        </w:rPr>
      </w:pPr>
      <w:r>
        <w:rPr>
          <w:bCs/>
          <w:sz w:val="20"/>
          <w:szCs w:val="20"/>
        </w:rPr>
        <w:t>5.8.4.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ormal"/>
        <w:spacing w:lineRule="auto" w:line="240" w:before="0" w:after="0"/>
        <w:jc w:val="both"/>
        <w:rPr>
          <w:rFonts w:ascii="Arial" w:hAnsi="Arial"/>
          <w:sz w:val="20"/>
          <w:szCs w:val="20"/>
        </w:rPr>
      </w:pPr>
      <w:r>
        <w:rPr>
          <w:bCs/>
          <w:sz w:val="20"/>
          <w:szCs w:val="20"/>
        </w:rPr>
        <w:t>5.9. O recebimento provisório ou definitivo não excluirá a responsabilidade civil pela solidez e pela segurança do serviço nem a responsabilidade ético-profissional pela perfeita execução do contrato.</w:t>
      </w:r>
    </w:p>
    <w:p>
      <w:pPr>
        <w:pStyle w:val="Normal"/>
        <w:tabs>
          <w:tab w:val="clear" w:pos="720"/>
          <w:tab w:val="left" w:pos="2600" w:leader="none"/>
        </w:tabs>
        <w:spacing w:lineRule="auto" w:line="240"/>
        <w:ind w:hanging="0" w:right="567"/>
        <w:jc w:val="both"/>
        <w:rPr>
          <w:rFonts w:ascii="Arial" w:hAnsi="Arial"/>
          <w:bCs/>
          <w:sz w:val="20"/>
          <w:szCs w:val="20"/>
        </w:rPr>
      </w:pPr>
      <w:r>
        <w:rPr>
          <w:bCs/>
          <w:sz w:val="20"/>
          <w:szCs w:val="20"/>
        </w:rPr>
      </w:r>
    </w:p>
    <w:p>
      <w:pPr>
        <w:pStyle w:val="Normal"/>
        <w:tabs>
          <w:tab w:val="clear" w:pos="720"/>
          <w:tab w:val="left" w:pos="2600" w:leader="none"/>
        </w:tabs>
        <w:spacing w:lineRule="auto" w:line="240"/>
        <w:ind w:hanging="0" w:right="567"/>
        <w:jc w:val="both"/>
        <w:rPr>
          <w:rFonts w:ascii="Arial" w:hAnsi="Arial"/>
          <w:sz w:val="20"/>
          <w:szCs w:val="20"/>
        </w:rPr>
      </w:pPr>
      <w:r>
        <w:rPr>
          <w:b/>
          <w:sz w:val="20"/>
          <w:szCs w:val="20"/>
        </w:rPr>
        <w:t xml:space="preserve">6. ESTIMATIVAS DO VALOR DA CONTRATAÇÃO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6.1. O custo estimado total da presente contratação é de R$ 52.400,00 (cinquenta e dois mil e quatrocentos reais) conforme os custos unitários detalhados no item 1.2 deste Termo de Referência. O referido valor foi apurado com base na projeção da média mensal de R$ 13.100,00 (treze mil e cem reais).</w:t>
      </w:r>
    </w:p>
    <w:p>
      <w:pPr>
        <w:pStyle w:val="Normal"/>
        <w:spacing w:lineRule="auto" w:line="240"/>
        <w:jc w:val="both"/>
        <w:rPr>
          <w:rFonts w:ascii="Arial" w:hAnsi="Arial"/>
          <w:sz w:val="20"/>
          <w:szCs w:val="20"/>
        </w:rPr>
      </w:pPr>
      <w:r>
        <w:rPr>
          <w:b/>
          <w:sz w:val="20"/>
          <w:szCs w:val="20"/>
        </w:rPr>
        <w:t xml:space="preserve">7. OBRIGAÇÕES E RESPONSABILIDADES DA CONTRATADA </w:t>
      </w:r>
    </w:p>
    <w:p>
      <w:pPr>
        <w:pStyle w:val="Normal"/>
        <w:spacing w:lineRule="auto" w:line="240"/>
        <w:jc w:val="both"/>
        <w:rPr>
          <w:rFonts w:ascii="Arial" w:hAnsi="Arial"/>
          <w:sz w:val="20"/>
          <w:szCs w:val="20"/>
        </w:rPr>
      </w:pPr>
      <w:r>
        <w:rPr>
          <w:sz w:val="20"/>
          <w:szCs w:val="20"/>
        </w:rPr>
        <w:t xml:space="preserve">7.1. Além das obrigações decorrentes da aplicação da </w:t>
      </w:r>
      <w:r>
        <w:rPr>
          <w:b/>
          <w:bCs/>
          <w:sz w:val="20"/>
          <w:szCs w:val="20"/>
        </w:rPr>
        <w:t>Lei Federal nº 14.133/2021</w:t>
      </w:r>
      <w:r>
        <w:rPr>
          <w:sz w:val="20"/>
          <w:szCs w:val="20"/>
        </w:rPr>
        <w:t xml:space="preserve">, do </w:t>
      </w:r>
      <w:r>
        <w:rPr>
          <w:b/>
          <w:bCs/>
          <w:sz w:val="20"/>
          <w:szCs w:val="20"/>
        </w:rPr>
        <w:t>Decreto Municipal nº 5.558/2023</w:t>
      </w:r>
      <w:r>
        <w:rPr>
          <w:sz w:val="20"/>
          <w:szCs w:val="20"/>
        </w:rPr>
        <w:t xml:space="preserve">, bem como das demais normas pertinentes à contratação pública, a </w:t>
      </w:r>
      <w:r>
        <w:rPr>
          <w:b/>
          <w:bCs/>
          <w:sz w:val="20"/>
          <w:szCs w:val="20"/>
        </w:rPr>
        <w:t>CONTRATADA</w:t>
      </w:r>
      <w:r>
        <w:rPr>
          <w:sz w:val="20"/>
          <w:szCs w:val="20"/>
        </w:rPr>
        <w:t xml:space="preserve">, responsável pela </w:t>
      </w:r>
      <w:r>
        <w:rPr>
          <w:b/>
          <w:bCs/>
          <w:sz w:val="20"/>
          <w:szCs w:val="20"/>
        </w:rPr>
        <w:t>locação de veículos automotores tipo passeio</w:t>
      </w:r>
      <w:r>
        <w:rPr>
          <w:sz w:val="20"/>
          <w:szCs w:val="20"/>
        </w:rPr>
        <w:t>, deverá observar integralmente as seguintes obrigações:</w:t>
      </w:r>
    </w:p>
    <w:p>
      <w:pPr>
        <w:pStyle w:val="Normal"/>
        <w:spacing w:lineRule="auto" w:line="240"/>
        <w:jc w:val="both"/>
        <w:rPr>
          <w:rFonts w:ascii="Arial" w:hAnsi="Arial"/>
          <w:sz w:val="20"/>
          <w:szCs w:val="20"/>
        </w:rPr>
      </w:pPr>
      <w:r>
        <w:rPr>
          <w:sz w:val="20"/>
          <w:szCs w:val="20"/>
        </w:rPr>
        <w:t xml:space="preserve">7.1.1. Entregar os veículos locados nas condições, prazos e local estipulados no Termo de Referência e no contrato, especialmente quanto à exigência de entrega na </w:t>
      </w:r>
      <w:r>
        <w:rPr>
          <w:b/>
          <w:bCs/>
          <w:sz w:val="20"/>
          <w:szCs w:val="20"/>
        </w:rPr>
        <w:t>sede da Secretaria Municipal de Segurança e Ordem Pública</w:t>
      </w:r>
      <w:r>
        <w:rPr>
          <w:sz w:val="20"/>
          <w:szCs w:val="20"/>
        </w:rPr>
        <w:t>, no Município de Paracambi/RJ;</w:t>
      </w:r>
    </w:p>
    <w:p>
      <w:pPr>
        <w:pStyle w:val="Normal"/>
        <w:spacing w:lineRule="auto" w:line="240"/>
        <w:jc w:val="both"/>
        <w:rPr>
          <w:rFonts w:ascii="Arial" w:hAnsi="Arial"/>
          <w:sz w:val="20"/>
          <w:szCs w:val="20"/>
        </w:rPr>
      </w:pPr>
      <w:r>
        <w:rPr>
          <w:sz w:val="20"/>
          <w:szCs w:val="20"/>
        </w:rPr>
        <w:t xml:space="preserve">7.1.2. Fornecer veículos </w:t>
      </w:r>
      <w:r>
        <w:rPr>
          <w:b/>
          <w:bCs/>
          <w:sz w:val="20"/>
          <w:szCs w:val="20"/>
        </w:rPr>
        <w:t>0 (zero) quilômetro</w:t>
      </w:r>
      <w:r>
        <w:rPr>
          <w:sz w:val="20"/>
          <w:szCs w:val="20"/>
        </w:rPr>
        <w:t>, em perfeito estado de funcionamento, com todos os equipamentos obrigatórios e acessórios exigidos, devidamente licenciados, assegurados, adesivados e dotados dos dispositivos de sinalização visual e sonora exigidos pelas normas do CONTRAN;</w:t>
      </w:r>
    </w:p>
    <w:p>
      <w:pPr>
        <w:pStyle w:val="Normal"/>
        <w:spacing w:lineRule="auto" w:line="240"/>
        <w:jc w:val="both"/>
        <w:rPr>
          <w:rFonts w:ascii="Arial" w:hAnsi="Arial"/>
          <w:sz w:val="20"/>
          <w:szCs w:val="20"/>
        </w:rPr>
      </w:pPr>
      <w:r>
        <w:rPr>
          <w:sz w:val="20"/>
          <w:szCs w:val="20"/>
        </w:rPr>
        <w:t xml:space="preserve">7.1.3. Garantir que os veículos estejam devidamente </w:t>
      </w:r>
      <w:r>
        <w:rPr>
          <w:b/>
          <w:bCs/>
          <w:sz w:val="20"/>
          <w:szCs w:val="20"/>
        </w:rPr>
        <w:t>regularizados junto aos órgãos competentes</w:t>
      </w:r>
      <w:r>
        <w:rPr>
          <w:sz w:val="20"/>
          <w:szCs w:val="20"/>
        </w:rPr>
        <w:t>, com documentação atualizada (CRLV-e, seguro, certificado de vistoria, se exigível) durante todo o período da locação;</w:t>
      </w:r>
    </w:p>
    <w:p>
      <w:pPr>
        <w:pStyle w:val="Normal"/>
        <w:spacing w:lineRule="auto" w:line="240"/>
        <w:jc w:val="both"/>
        <w:rPr>
          <w:rFonts w:ascii="Arial" w:hAnsi="Arial"/>
          <w:sz w:val="20"/>
          <w:szCs w:val="20"/>
        </w:rPr>
      </w:pPr>
      <w:r>
        <w:rPr>
          <w:sz w:val="20"/>
          <w:szCs w:val="20"/>
        </w:rPr>
        <w:t xml:space="preserve">7.1.4. </w:t>
      </w:r>
      <w:r>
        <w:rPr>
          <w:b/>
          <w:bCs/>
          <w:sz w:val="20"/>
          <w:szCs w:val="20"/>
        </w:rPr>
        <w:t>Assumir integral responsabilidade pela manutenção preventiva e corretiva dos veículos</w:t>
      </w:r>
      <w:r>
        <w:rPr>
          <w:sz w:val="20"/>
          <w:szCs w:val="20"/>
        </w:rPr>
        <w:t>, sem qualquer ônus para o Contratante, devendo providenciar a substituição imediata de qualquer veículo que apresente falhas, defeitos ou indisponibilidade de uso;</w:t>
      </w:r>
    </w:p>
    <w:p>
      <w:pPr>
        <w:pStyle w:val="Normal"/>
        <w:spacing w:lineRule="auto" w:line="240"/>
        <w:jc w:val="both"/>
        <w:rPr>
          <w:rFonts w:ascii="Arial" w:hAnsi="Arial"/>
          <w:sz w:val="20"/>
          <w:szCs w:val="20"/>
        </w:rPr>
      </w:pPr>
      <w:r>
        <w:rPr>
          <w:sz w:val="20"/>
          <w:szCs w:val="20"/>
        </w:rPr>
        <w:t xml:space="preserve">7.1.5. Disponibilizar </w:t>
      </w:r>
      <w:r>
        <w:rPr>
          <w:b/>
          <w:bCs/>
          <w:sz w:val="20"/>
          <w:szCs w:val="20"/>
        </w:rPr>
        <w:t>veículo reserva</w:t>
      </w:r>
      <w:r>
        <w:rPr>
          <w:sz w:val="20"/>
          <w:szCs w:val="20"/>
        </w:rPr>
        <w:t xml:space="preserve"> com características equivalentes em casos de sinistro, defeito mecânico, manutenção prolongada ou qualquer outra situação que impossibilite o uso do veículo originalmente locado, a fim de garantir a continuidade dos serviços públicos;</w:t>
      </w:r>
    </w:p>
    <w:p>
      <w:pPr>
        <w:pStyle w:val="Normal"/>
        <w:spacing w:lineRule="auto" w:line="240"/>
        <w:jc w:val="both"/>
        <w:rPr>
          <w:rFonts w:ascii="Arial" w:hAnsi="Arial"/>
          <w:sz w:val="20"/>
          <w:szCs w:val="20"/>
        </w:rPr>
      </w:pPr>
      <w:r>
        <w:rPr>
          <w:sz w:val="20"/>
          <w:szCs w:val="20"/>
        </w:rPr>
        <w:t xml:space="preserve">7.1.6. Apresentar, sempre que solicitado, </w:t>
      </w:r>
      <w:r>
        <w:rPr>
          <w:b/>
          <w:bCs/>
          <w:sz w:val="20"/>
          <w:szCs w:val="20"/>
        </w:rPr>
        <w:t>comprovantes de regularidade fiscal, trabalhista, previdenciária, bem como certidões de idoneidade técnica e operacional</w:t>
      </w:r>
      <w:r>
        <w:rPr>
          <w:sz w:val="20"/>
          <w:szCs w:val="20"/>
        </w:rPr>
        <w:t>, inclusive quanto à vigência dos seguros obrigatórios;</w:t>
      </w:r>
    </w:p>
    <w:p>
      <w:pPr>
        <w:pStyle w:val="Normal"/>
        <w:spacing w:lineRule="auto" w:line="240"/>
        <w:jc w:val="both"/>
        <w:rPr>
          <w:rFonts w:ascii="Arial" w:hAnsi="Arial"/>
          <w:sz w:val="20"/>
          <w:szCs w:val="20"/>
        </w:rPr>
      </w:pPr>
      <w:r>
        <w:rPr>
          <w:sz w:val="20"/>
          <w:szCs w:val="20"/>
        </w:rPr>
        <w:t xml:space="preserve">7.1.7. </w:t>
      </w:r>
      <w:r>
        <w:rPr>
          <w:b/>
          <w:bCs/>
          <w:sz w:val="20"/>
          <w:szCs w:val="20"/>
        </w:rPr>
        <w:t>Respeitar integralmente os limites quantitativos e qualitativos definidos no contrato</w:t>
      </w:r>
      <w:r>
        <w:rPr>
          <w:sz w:val="20"/>
          <w:szCs w:val="20"/>
        </w:rPr>
        <w:t>, não sendo permitida a substituição de veículos por outros com especificações inferiores às previstas no Termo de Referência;</w:t>
      </w:r>
    </w:p>
    <w:p>
      <w:pPr>
        <w:pStyle w:val="Normal"/>
        <w:spacing w:lineRule="auto" w:line="240"/>
        <w:jc w:val="both"/>
        <w:rPr>
          <w:rFonts w:ascii="Arial" w:hAnsi="Arial"/>
          <w:sz w:val="20"/>
          <w:szCs w:val="20"/>
        </w:rPr>
      </w:pPr>
      <w:r>
        <w:rPr>
          <w:sz w:val="20"/>
          <w:szCs w:val="20"/>
        </w:rPr>
        <w:t xml:space="preserve">7.1.8. </w:t>
      </w:r>
      <w:r>
        <w:rPr>
          <w:b/>
          <w:bCs/>
          <w:sz w:val="20"/>
          <w:szCs w:val="20"/>
        </w:rPr>
        <w:t>Zelar pela adequada higienização, conservação estética e mecânica dos veículos</w:t>
      </w:r>
      <w:r>
        <w:rPr>
          <w:sz w:val="20"/>
          <w:szCs w:val="20"/>
        </w:rPr>
        <w:t>, assegurando que estejam sempre em condições ideais de uso e segurança, sob pena de aplicação das penalidades cabíveis;</w:t>
      </w:r>
    </w:p>
    <w:p>
      <w:pPr>
        <w:pStyle w:val="Normal"/>
        <w:spacing w:lineRule="auto" w:line="240"/>
        <w:jc w:val="both"/>
        <w:rPr>
          <w:rFonts w:ascii="Arial" w:hAnsi="Arial"/>
          <w:sz w:val="20"/>
          <w:szCs w:val="20"/>
        </w:rPr>
      </w:pPr>
      <w:r>
        <w:rPr>
          <w:sz w:val="20"/>
          <w:szCs w:val="20"/>
        </w:rPr>
        <w:t xml:space="preserve">7.1.9. </w:t>
      </w:r>
      <w:r>
        <w:rPr>
          <w:b/>
          <w:bCs/>
          <w:sz w:val="20"/>
          <w:szCs w:val="20"/>
        </w:rPr>
        <w:t>Assumir responsabilidade por eventuais danos causados a terceiros, ao patrimônio público ou ao próprio veículo</w:t>
      </w:r>
      <w:r>
        <w:rPr>
          <w:sz w:val="20"/>
          <w:szCs w:val="20"/>
        </w:rPr>
        <w:t>, em razão de vícios ocultos, falhas mecânicas, ausência de manutenção ou quaisquer outras causas relacionadas à má prestação do serviço contratado;</w:t>
      </w:r>
    </w:p>
    <w:p>
      <w:pPr>
        <w:pStyle w:val="Normal"/>
        <w:spacing w:lineRule="auto" w:line="240"/>
        <w:jc w:val="both"/>
        <w:rPr>
          <w:rFonts w:ascii="Arial" w:hAnsi="Arial"/>
          <w:sz w:val="20"/>
          <w:szCs w:val="20"/>
        </w:rPr>
      </w:pPr>
      <w:r>
        <w:rPr>
          <w:sz w:val="20"/>
          <w:szCs w:val="20"/>
        </w:rPr>
        <w:t xml:space="preserve">7.1.10. Manter </w:t>
      </w:r>
      <w:r>
        <w:rPr>
          <w:b/>
          <w:bCs/>
          <w:sz w:val="20"/>
          <w:szCs w:val="20"/>
        </w:rPr>
        <w:t>comunicação contínua com o setor contratante</w:t>
      </w:r>
      <w:r>
        <w:rPr>
          <w:sz w:val="20"/>
          <w:szCs w:val="20"/>
        </w:rPr>
        <w:t>, a fim de atender prontamente a quaisquer solicitações de vistoria, substituição, regularização documental ou demais providências relativas à execução contratual;</w:t>
      </w:r>
    </w:p>
    <w:p>
      <w:pPr>
        <w:pStyle w:val="Normal"/>
        <w:spacing w:lineRule="auto" w:line="240"/>
        <w:jc w:val="both"/>
        <w:rPr>
          <w:rFonts w:ascii="Arial" w:hAnsi="Arial"/>
          <w:sz w:val="20"/>
          <w:szCs w:val="20"/>
        </w:rPr>
      </w:pPr>
      <w:r>
        <w:rPr>
          <w:sz w:val="20"/>
          <w:szCs w:val="20"/>
        </w:rPr>
        <w:t xml:space="preserve">7.1.11. Apresentar, mensalmente ou quando exigido, </w:t>
      </w:r>
      <w:r>
        <w:rPr>
          <w:b/>
          <w:bCs/>
          <w:sz w:val="20"/>
          <w:szCs w:val="20"/>
        </w:rPr>
        <w:t>relatório técnico detalhado</w:t>
      </w:r>
      <w:r>
        <w:rPr>
          <w:sz w:val="20"/>
          <w:szCs w:val="20"/>
        </w:rPr>
        <w:t>, contendo informações como placa dos veículos, datas de entrega e retirada, manutenções realizadas, substituições efetuadas e outras ocorrências relevantes durante o período contratual;</w:t>
      </w:r>
    </w:p>
    <w:p>
      <w:pPr>
        <w:pStyle w:val="Normal"/>
        <w:spacing w:lineRule="auto" w:line="240"/>
        <w:jc w:val="both"/>
        <w:rPr>
          <w:rFonts w:ascii="Arial" w:hAnsi="Arial"/>
          <w:sz w:val="20"/>
          <w:szCs w:val="20"/>
        </w:rPr>
      </w:pPr>
      <w:r>
        <w:rPr>
          <w:sz w:val="20"/>
          <w:szCs w:val="20"/>
        </w:rPr>
        <w:t xml:space="preserve">7.1.12. </w:t>
      </w:r>
      <w:r>
        <w:rPr>
          <w:b/>
          <w:bCs/>
          <w:sz w:val="20"/>
          <w:szCs w:val="20"/>
        </w:rPr>
        <w:t>Cumprir integralmente todas as normas de trânsito e segurança veicular</w:t>
      </w:r>
      <w:r>
        <w:rPr>
          <w:sz w:val="20"/>
          <w:szCs w:val="20"/>
        </w:rPr>
        <w:t>, bem como as obrigações legais relacionadas à prestação do serviço, inclusive no tocante às regras ambientais e à legislação de proteção ao consumidor, quando aplicável;</w:t>
      </w:r>
    </w:p>
    <w:p>
      <w:pPr>
        <w:pStyle w:val="Normal"/>
        <w:spacing w:lineRule="auto" w:line="240"/>
        <w:jc w:val="both"/>
        <w:rPr>
          <w:rFonts w:ascii="Arial" w:hAnsi="Arial"/>
          <w:sz w:val="20"/>
          <w:szCs w:val="20"/>
        </w:rPr>
      </w:pPr>
      <w:r>
        <w:rPr>
          <w:sz w:val="20"/>
          <w:szCs w:val="20"/>
        </w:rPr>
        <w:t xml:space="preserve">7.1.13. </w:t>
      </w:r>
      <w:r>
        <w:rPr>
          <w:b/>
          <w:bCs/>
          <w:sz w:val="20"/>
          <w:szCs w:val="20"/>
        </w:rPr>
        <w:t>Arcar com todos os encargos decorrentes da posse, guarda, manutenção e conservação dos veículos</w:t>
      </w:r>
      <w:r>
        <w:rPr>
          <w:sz w:val="20"/>
          <w:szCs w:val="20"/>
        </w:rPr>
        <w:t>, incluindo taxas, impostos, licenciamento, seguros e eventuais despesas administrativas relacionadas à frota locada;</w:t>
      </w:r>
    </w:p>
    <w:p>
      <w:pPr>
        <w:pStyle w:val="Normal"/>
        <w:spacing w:lineRule="auto" w:line="240"/>
        <w:jc w:val="both"/>
        <w:rPr>
          <w:rFonts w:ascii="Arial" w:hAnsi="Arial"/>
          <w:sz w:val="20"/>
          <w:szCs w:val="20"/>
        </w:rPr>
      </w:pPr>
      <w:r>
        <w:rPr>
          <w:sz w:val="20"/>
          <w:szCs w:val="20"/>
        </w:rPr>
        <w:t xml:space="preserve">7.1.14. </w:t>
      </w:r>
      <w:r>
        <w:rPr>
          <w:b/>
          <w:bCs/>
          <w:sz w:val="20"/>
          <w:szCs w:val="20"/>
        </w:rPr>
        <w:t>Fornecer nota fiscal mensal</w:t>
      </w:r>
      <w:r>
        <w:rPr>
          <w:sz w:val="20"/>
          <w:szCs w:val="20"/>
        </w:rPr>
        <w:t xml:space="preserve"> referente à locação, acompanhada de relatório detalhado de controle da frota utilizada, para fins de comprovação e liquidação da despesa, conforme as exigências contábeis da Administração Pública.</w:t>
      </w:r>
    </w:p>
    <w:p>
      <w:pPr>
        <w:pStyle w:val="Normal"/>
        <w:spacing w:lineRule="auto" w:line="240"/>
        <w:jc w:val="both"/>
        <w:rPr>
          <w:b/>
        </w:rPr>
      </w:pPr>
      <w:r>
        <w:rPr>
          <w:b/>
        </w:rPr>
      </w:r>
    </w:p>
    <w:p>
      <w:pPr>
        <w:pStyle w:val="Normal"/>
        <w:spacing w:lineRule="auto" w:line="240"/>
        <w:jc w:val="both"/>
        <w:rPr>
          <w:rFonts w:ascii="Arial" w:hAnsi="Arial"/>
          <w:sz w:val="20"/>
          <w:szCs w:val="20"/>
        </w:rPr>
      </w:pPr>
      <w:r>
        <w:rPr>
          <w:b/>
          <w:sz w:val="20"/>
          <w:szCs w:val="20"/>
        </w:rPr>
        <w:t xml:space="preserve">8. OBRIGAÇÕES DO CONTRATANTE </w:t>
      </w:r>
    </w:p>
    <w:p>
      <w:pPr>
        <w:pStyle w:val="Normal"/>
        <w:spacing w:lineRule="auto" w:line="240"/>
        <w:jc w:val="both"/>
        <w:rPr>
          <w:rFonts w:ascii="Arial" w:hAnsi="Arial"/>
          <w:sz w:val="20"/>
          <w:szCs w:val="20"/>
        </w:rPr>
      </w:pPr>
      <w:r>
        <w:rPr>
          <w:sz w:val="20"/>
          <w:szCs w:val="20"/>
        </w:rPr>
        <w:t xml:space="preserve">8.1. Além das obrigações decorrentes da aplicação da </w:t>
      </w:r>
      <w:r>
        <w:rPr>
          <w:b/>
          <w:bCs/>
          <w:sz w:val="20"/>
          <w:szCs w:val="20"/>
        </w:rPr>
        <w:t>Lei Federal nº 14.133/2021</w:t>
      </w:r>
      <w:r>
        <w:rPr>
          <w:sz w:val="20"/>
          <w:szCs w:val="20"/>
        </w:rPr>
        <w:t xml:space="preserve">, do </w:t>
      </w:r>
      <w:r>
        <w:rPr>
          <w:b/>
          <w:bCs/>
          <w:sz w:val="20"/>
          <w:szCs w:val="20"/>
        </w:rPr>
        <w:t>Decreto Municipal nº 5.558/2023</w:t>
      </w:r>
      <w:r>
        <w:rPr>
          <w:sz w:val="20"/>
          <w:szCs w:val="20"/>
        </w:rPr>
        <w:t xml:space="preserve"> e das demais normas pertinentes, caberá ao </w:t>
      </w:r>
      <w:r>
        <w:rPr>
          <w:b/>
          <w:bCs/>
          <w:sz w:val="20"/>
          <w:szCs w:val="20"/>
        </w:rPr>
        <w:t>CONTRATANTE</w:t>
      </w:r>
      <w:r>
        <w:rPr>
          <w:sz w:val="20"/>
          <w:szCs w:val="20"/>
        </w:rPr>
        <w:t>, na qualidade de órgão demandante da contratação, observar e cumprir as seguintes responsabilidades:</w:t>
      </w:r>
    </w:p>
    <w:p>
      <w:pPr>
        <w:pStyle w:val="Normal"/>
        <w:spacing w:lineRule="auto" w:line="240"/>
        <w:jc w:val="both"/>
        <w:rPr>
          <w:rFonts w:ascii="Arial" w:hAnsi="Arial"/>
          <w:sz w:val="20"/>
          <w:szCs w:val="20"/>
        </w:rPr>
      </w:pPr>
      <w:r>
        <w:rPr>
          <w:sz w:val="20"/>
          <w:szCs w:val="20"/>
        </w:rPr>
        <w:t xml:space="preserve">8.1.1. Comunicar formalmente à Contratada quaisquer </w:t>
      </w:r>
      <w:r>
        <w:rPr>
          <w:b/>
          <w:bCs/>
          <w:sz w:val="20"/>
          <w:szCs w:val="20"/>
        </w:rPr>
        <w:t>ocorrências relativas aos veículos locados</w:t>
      </w:r>
      <w:r>
        <w:rPr>
          <w:sz w:val="20"/>
          <w:szCs w:val="20"/>
        </w:rPr>
        <w:t xml:space="preserve"> que estejam em desacordo com as especificações contratuais ou que apresentem falhas, vícios ou indisponibilidades operacionais;</w:t>
      </w:r>
    </w:p>
    <w:p>
      <w:pPr>
        <w:pStyle w:val="Normal"/>
        <w:spacing w:lineRule="auto" w:line="240"/>
        <w:jc w:val="both"/>
        <w:rPr>
          <w:rFonts w:ascii="Arial" w:hAnsi="Arial"/>
          <w:sz w:val="20"/>
          <w:szCs w:val="20"/>
        </w:rPr>
      </w:pPr>
      <w:r>
        <w:rPr>
          <w:sz w:val="20"/>
          <w:szCs w:val="20"/>
        </w:rPr>
        <w:t xml:space="preserve">8.1.2. </w:t>
      </w:r>
      <w:r>
        <w:rPr>
          <w:b/>
          <w:bCs/>
          <w:sz w:val="20"/>
          <w:szCs w:val="20"/>
        </w:rPr>
        <w:t>Efetuar o pagamento devido à Contratada</w:t>
      </w:r>
      <w:r>
        <w:rPr>
          <w:sz w:val="20"/>
          <w:szCs w:val="20"/>
        </w:rPr>
        <w:t>, de forma tempestiva, observando os prazos, condições e documentos exigidos no contrato, bem como a liquidação da despesa pública conforme os procedimentos contábeis vigentes;</w:t>
      </w:r>
    </w:p>
    <w:p>
      <w:pPr>
        <w:pStyle w:val="Normal"/>
        <w:spacing w:lineRule="auto" w:line="240"/>
        <w:jc w:val="both"/>
        <w:rPr>
          <w:rFonts w:ascii="Arial" w:hAnsi="Arial"/>
          <w:sz w:val="20"/>
          <w:szCs w:val="20"/>
        </w:rPr>
      </w:pPr>
      <w:r>
        <w:rPr>
          <w:sz w:val="20"/>
          <w:szCs w:val="20"/>
        </w:rPr>
        <w:t xml:space="preserve">8.1.3. </w:t>
      </w:r>
      <w:r>
        <w:rPr>
          <w:b/>
          <w:bCs/>
          <w:sz w:val="20"/>
          <w:szCs w:val="20"/>
        </w:rPr>
        <w:t>Acompanhar e fiscalizar a execução contratual</w:t>
      </w:r>
      <w:r>
        <w:rPr>
          <w:sz w:val="20"/>
          <w:szCs w:val="20"/>
        </w:rPr>
        <w:t>, por meio de servidor designado como fiscal técnico e/ou administrativo, com registros formais em relatórios, atas e demais instrumentos idôneos de controle da prestação do serviço;</w:t>
      </w:r>
    </w:p>
    <w:p>
      <w:pPr>
        <w:pStyle w:val="Normal"/>
        <w:spacing w:lineRule="auto" w:line="240"/>
        <w:jc w:val="both"/>
        <w:rPr>
          <w:rFonts w:ascii="Arial" w:hAnsi="Arial"/>
          <w:sz w:val="20"/>
          <w:szCs w:val="20"/>
        </w:rPr>
      </w:pPr>
      <w:r>
        <w:rPr>
          <w:sz w:val="20"/>
          <w:szCs w:val="20"/>
        </w:rPr>
        <w:t xml:space="preserve">8.1.4. </w:t>
      </w:r>
      <w:r>
        <w:rPr>
          <w:b/>
          <w:bCs/>
          <w:sz w:val="20"/>
          <w:szCs w:val="20"/>
        </w:rPr>
        <w:t>Rejeitar, total ou parcialmente, os veículos entregues que estejam em desconformidade</w:t>
      </w:r>
      <w:r>
        <w:rPr>
          <w:sz w:val="20"/>
          <w:szCs w:val="20"/>
        </w:rPr>
        <w:t xml:space="preserve"> com os requisitos estabelecidos no Termo de Referência ou apresentem defeitos que comprometam a segurança ou funcionalidade do serviço público, exigindo sua substituição imediata, sem ônus adicional;</w:t>
      </w:r>
    </w:p>
    <w:p>
      <w:pPr>
        <w:pStyle w:val="Normal"/>
        <w:spacing w:lineRule="auto" w:line="240"/>
        <w:jc w:val="both"/>
        <w:rPr>
          <w:rFonts w:ascii="Arial" w:hAnsi="Arial"/>
          <w:sz w:val="20"/>
          <w:szCs w:val="20"/>
        </w:rPr>
      </w:pPr>
      <w:r>
        <w:rPr>
          <w:sz w:val="20"/>
          <w:szCs w:val="20"/>
        </w:rPr>
        <w:t xml:space="preserve">8.1.5. </w:t>
      </w:r>
      <w:r>
        <w:rPr>
          <w:b/>
          <w:bCs/>
          <w:sz w:val="20"/>
          <w:szCs w:val="20"/>
        </w:rPr>
        <w:t>Zelar pela fiel observância das condições contratuais por parte da Contratada</w:t>
      </w:r>
      <w:r>
        <w:rPr>
          <w:sz w:val="20"/>
          <w:szCs w:val="20"/>
        </w:rPr>
        <w:t>, exigindo, quando necessário, a manutenção dos documentos de habilitação, regularidade fiscal, qualificação técnica e demais requisitos que embasaram a contratação;</w:t>
      </w:r>
    </w:p>
    <w:p>
      <w:pPr>
        <w:pStyle w:val="Normal"/>
        <w:spacing w:lineRule="auto" w:line="240"/>
        <w:jc w:val="both"/>
        <w:rPr>
          <w:rFonts w:ascii="Arial" w:hAnsi="Arial"/>
          <w:sz w:val="20"/>
          <w:szCs w:val="20"/>
        </w:rPr>
      </w:pPr>
      <w:r>
        <w:rPr>
          <w:sz w:val="20"/>
          <w:szCs w:val="20"/>
        </w:rPr>
        <w:t xml:space="preserve">8.1.6. </w:t>
      </w:r>
      <w:r>
        <w:rPr>
          <w:b/>
          <w:bCs/>
          <w:sz w:val="20"/>
          <w:szCs w:val="20"/>
        </w:rPr>
        <w:t>Aplicar as sanções administrativas previstas no contrato e na legislação vigente</w:t>
      </w:r>
      <w:r>
        <w:rPr>
          <w:sz w:val="20"/>
          <w:szCs w:val="20"/>
        </w:rPr>
        <w:t>, em caso de inadimplemento contratual, nos termos dos artigos 156 a 162 da Lei Federal nº 14.133/2021;</w:t>
      </w:r>
    </w:p>
    <w:p>
      <w:pPr>
        <w:pStyle w:val="Normal"/>
        <w:spacing w:lineRule="auto" w:line="240"/>
        <w:jc w:val="both"/>
        <w:rPr>
          <w:rFonts w:ascii="Arial" w:hAnsi="Arial"/>
          <w:sz w:val="20"/>
          <w:szCs w:val="20"/>
        </w:rPr>
      </w:pPr>
      <w:r>
        <w:rPr>
          <w:sz w:val="20"/>
          <w:szCs w:val="20"/>
        </w:rPr>
        <w:t xml:space="preserve">8.1.7. </w:t>
      </w:r>
      <w:r>
        <w:rPr>
          <w:b/>
          <w:bCs/>
          <w:sz w:val="20"/>
          <w:szCs w:val="20"/>
        </w:rPr>
        <w:t>Prestar à Contratada os esclarecimentos necessários à execução contratual</w:t>
      </w:r>
      <w:r>
        <w:rPr>
          <w:sz w:val="20"/>
          <w:szCs w:val="20"/>
        </w:rPr>
        <w:t>, bem como fornecer, quando solicitado, informações relevantes que possam influenciar na correta prestação do serviço;</w:t>
      </w:r>
    </w:p>
    <w:p>
      <w:pPr>
        <w:pStyle w:val="Normal"/>
        <w:spacing w:lineRule="auto" w:line="240"/>
        <w:jc w:val="both"/>
        <w:rPr>
          <w:rFonts w:ascii="Arial" w:hAnsi="Arial"/>
          <w:sz w:val="20"/>
          <w:szCs w:val="20"/>
        </w:rPr>
      </w:pPr>
      <w:r>
        <w:rPr>
          <w:sz w:val="20"/>
          <w:szCs w:val="20"/>
        </w:rPr>
        <w:t xml:space="preserve">8.1.8. </w:t>
      </w:r>
      <w:r>
        <w:rPr>
          <w:b/>
          <w:bCs/>
          <w:sz w:val="20"/>
          <w:szCs w:val="20"/>
        </w:rPr>
        <w:t>Assegurar a observância das obrigações recíprocas constantes do contrato</w:t>
      </w:r>
      <w:r>
        <w:rPr>
          <w:sz w:val="20"/>
          <w:szCs w:val="20"/>
        </w:rPr>
        <w:t>, promovendo a gestão eficiente da execução contratual, inclusive por meio da adoção de medidas proativas de monitoramento e mediação;</w:t>
      </w:r>
    </w:p>
    <w:p>
      <w:pPr>
        <w:pStyle w:val="Normal"/>
        <w:spacing w:lineRule="auto" w:line="240"/>
        <w:jc w:val="both"/>
        <w:rPr>
          <w:rFonts w:ascii="Arial" w:hAnsi="Arial"/>
          <w:sz w:val="20"/>
          <w:szCs w:val="20"/>
        </w:rPr>
      </w:pPr>
      <w:r>
        <w:rPr>
          <w:sz w:val="20"/>
          <w:szCs w:val="20"/>
        </w:rPr>
        <w:t xml:space="preserve">8.1.9. </w:t>
      </w:r>
      <w:r>
        <w:rPr>
          <w:b/>
          <w:bCs/>
          <w:sz w:val="20"/>
          <w:szCs w:val="20"/>
        </w:rPr>
        <w:t>Informar à Contratada, com antecedência razoável, eventuais alterações no planejamento da utilização dos veículos</w:t>
      </w:r>
      <w:r>
        <w:rPr>
          <w:sz w:val="20"/>
          <w:szCs w:val="20"/>
        </w:rPr>
        <w:t>, que possam impactar na execução dos serviços contratados, inclusive quanto a cronogramas, locais de entrega e substituição de veículos;</w:t>
      </w:r>
    </w:p>
    <w:p>
      <w:pPr>
        <w:pStyle w:val="Normal"/>
        <w:spacing w:lineRule="auto" w:line="240"/>
        <w:jc w:val="both"/>
        <w:rPr>
          <w:rFonts w:ascii="Arial" w:hAnsi="Arial"/>
          <w:sz w:val="20"/>
          <w:szCs w:val="20"/>
        </w:rPr>
      </w:pPr>
      <w:r>
        <w:rPr>
          <w:sz w:val="20"/>
          <w:szCs w:val="20"/>
        </w:rPr>
        <w:t xml:space="preserve">8.1.10. </w:t>
      </w:r>
      <w:r>
        <w:rPr>
          <w:b/>
          <w:bCs/>
          <w:sz w:val="20"/>
          <w:szCs w:val="20"/>
        </w:rPr>
        <w:t>Cumprir integralmente todas as disposições contidas no Termo de Referência e no contrato administrativo</w:t>
      </w:r>
      <w:r>
        <w:rPr>
          <w:sz w:val="20"/>
          <w:szCs w:val="20"/>
        </w:rPr>
        <w:t>, assegurando as condições adequadas para a boa execução do objeto contratual e preservação do interesse público.</w:t>
      </w:r>
    </w:p>
    <w:p>
      <w:pPr>
        <w:pStyle w:val="Normal"/>
        <w:spacing w:lineRule="auto" w:line="240"/>
        <w:jc w:val="both"/>
        <w:rPr>
          <w:rFonts w:ascii="Arial" w:hAnsi="Arial"/>
          <w:b/>
          <w:sz w:val="20"/>
          <w:szCs w:val="20"/>
        </w:rPr>
      </w:pPr>
      <w:r>
        <w:rPr>
          <w:b/>
          <w:sz w:val="20"/>
          <w:szCs w:val="20"/>
        </w:rPr>
      </w:r>
    </w:p>
    <w:p>
      <w:pPr>
        <w:pStyle w:val="Normal"/>
        <w:spacing w:lineRule="auto" w:line="240"/>
        <w:jc w:val="both"/>
        <w:rPr>
          <w:rFonts w:ascii="Arial" w:hAnsi="Arial"/>
          <w:sz w:val="20"/>
          <w:szCs w:val="20"/>
        </w:rPr>
      </w:pPr>
      <w:r>
        <w:rPr>
          <w:b/>
          <w:sz w:val="20"/>
          <w:szCs w:val="20"/>
        </w:rPr>
        <w:t>9. MODELO DE GESTÃO DO CONTRATO</w:t>
      </w:r>
    </w:p>
    <w:p>
      <w:pPr>
        <w:pStyle w:val="Normal"/>
        <w:spacing w:lineRule="auto" w:line="240"/>
        <w:jc w:val="both"/>
        <w:rPr>
          <w:rFonts w:ascii="Arial" w:hAnsi="Arial"/>
          <w:sz w:val="20"/>
          <w:szCs w:val="20"/>
        </w:rPr>
      </w:pPr>
      <w:r>
        <w:rPr>
          <w:sz w:val="20"/>
          <w:szCs w:val="20"/>
        </w:rPr>
        <w:t>9.1. O contrato deverá ser executado fielmente pelas partes, de acordo com as cláusulas avençadas e as normas da Lei nº 14.133/2021, e cada parte responderá pelas consequências de sua inexecução total ou parcial (art. 115, caput, Lei nº 14.133/2021).</w:t>
      </w:r>
    </w:p>
    <w:p>
      <w:pPr>
        <w:pStyle w:val="Normal"/>
        <w:spacing w:lineRule="auto" w:line="240"/>
        <w:jc w:val="both"/>
        <w:rPr>
          <w:rFonts w:ascii="Arial" w:hAnsi="Arial"/>
          <w:sz w:val="20"/>
          <w:szCs w:val="20"/>
        </w:rPr>
      </w:pPr>
      <w:r>
        <w:rPr>
          <w:sz w:val="20"/>
          <w:szCs w:val="20"/>
        </w:rPr>
        <w:t>9.2. Em caso de impedimento, ordem de paralisação ou suspensão do contrato, o cronograma de execução será prorrogado automaticamente pelo tempo correspondente, anotadas tais circunstâncias mediante simples apostila (art. 115, §5º, Lei nº 14.133/2021).</w:t>
      </w:r>
    </w:p>
    <w:p>
      <w:pPr>
        <w:pStyle w:val="Normal"/>
        <w:spacing w:lineRule="auto" w:line="240"/>
        <w:jc w:val="both"/>
        <w:rPr>
          <w:rFonts w:ascii="Arial" w:hAnsi="Arial"/>
          <w:sz w:val="20"/>
          <w:szCs w:val="20"/>
        </w:rPr>
      </w:pPr>
      <w:bookmarkStart w:id="7" w:name="bookmark=id.tyjcwt"/>
      <w:bookmarkEnd w:id="7"/>
      <w:r>
        <w:rPr>
          <w:sz w:val="20"/>
          <w:szCs w:val="20"/>
        </w:rPr>
        <w:t>9.3. A execução do contrato deverá ser acompanhada e fiscalizada pelo(s) fiscal(is) do contrato, ou pelos respectivos substitutos (art. 117, caput, Lei nº 14.133/2021).</w:t>
      </w:r>
    </w:p>
    <w:p>
      <w:pPr>
        <w:pStyle w:val="Normal"/>
        <w:spacing w:lineRule="auto" w:line="240"/>
        <w:jc w:val="both"/>
        <w:rPr>
          <w:rFonts w:ascii="Arial" w:hAnsi="Arial"/>
          <w:sz w:val="20"/>
          <w:szCs w:val="20"/>
        </w:rPr>
      </w:pPr>
      <w:bookmarkStart w:id="8" w:name="bookmark=id.3dy6vkm"/>
      <w:bookmarkEnd w:id="8"/>
      <w:r>
        <w:rPr>
          <w:sz w:val="20"/>
          <w:szCs w:val="20"/>
        </w:rPr>
        <w:t>9.3.1. O fiscal do contrato anotará em registro próprio todas as ocorrências relacionadas à execução do contrato, determinando o que for necessário para a regularização das faltas ou dos defeitos observados (art. 117, §1º, Lei nº 14.133/2021).</w:t>
      </w:r>
    </w:p>
    <w:p>
      <w:pPr>
        <w:pStyle w:val="Normal"/>
        <w:spacing w:lineRule="auto" w:line="240"/>
        <w:jc w:val="both"/>
        <w:rPr>
          <w:rFonts w:ascii="Arial" w:hAnsi="Arial"/>
          <w:sz w:val="20"/>
          <w:szCs w:val="20"/>
        </w:rPr>
      </w:pPr>
      <w:bookmarkStart w:id="9" w:name="bookmark=id.1t3h5sf"/>
      <w:bookmarkEnd w:id="9"/>
      <w:r>
        <w:rPr>
          <w:sz w:val="20"/>
          <w:szCs w:val="20"/>
        </w:rPr>
        <w:t>9.3.2. O fiscal do contrato informará a seus superiores, em tempo hábil para a adoção das medidas convenientes, a situação que demandar decisão ou providência que ultrapasse sua competência (art. 117, §2º, Lei nº 14.133/2021).</w:t>
      </w:r>
    </w:p>
    <w:p>
      <w:pPr>
        <w:pStyle w:val="Normal"/>
        <w:spacing w:lineRule="auto" w:line="240"/>
        <w:jc w:val="both"/>
        <w:rPr>
          <w:rFonts w:ascii="Arial" w:hAnsi="Arial"/>
          <w:sz w:val="20"/>
          <w:szCs w:val="20"/>
        </w:rPr>
      </w:pPr>
      <w:r>
        <w:rPr>
          <w:sz w:val="20"/>
          <w:szCs w:val="20"/>
        </w:rPr>
        <w:t>9.4. O contratado será obrigado a reparar, corrigir, remover, reconstruir ou substituir, a suas expensas, no total ou em parte, o objeto do contrato em que se verificarem vícios, defeitos ou incorreções resultantes de sua execução ou de materiais nela empregados (art. 119, Lei nº 14.133/2021).</w:t>
      </w:r>
    </w:p>
    <w:p>
      <w:pPr>
        <w:pStyle w:val="Normal"/>
        <w:spacing w:lineRule="auto" w:line="240"/>
        <w:jc w:val="both"/>
        <w:rPr>
          <w:rFonts w:ascii="Arial" w:hAnsi="Arial"/>
          <w:sz w:val="20"/>
          <w:szCs w:val="20"/>
        </w:rPr>
      </w:pPr>
      <w:bookmarkStart w:id="10" w:name="bookmark=id.4d34og8"/>
      <w:bookmarkEnd w:id="10"/>
      <w:r>
        <w:rPr>
          <w:sz w:val="20"/>
          <w:szCs w:val="20"/>
        </w:rPr>
        <w:t>9.5. O contratado será responsável pelos danos causados diretamente à Administração ou a terceiros em razão da execução do contrato, e não excluirá nem reduzirá essa responsabilidade a fiscalização ou o acompanhamento pelo contratante (art. 120, Lei nº 14.133/2021).</w:t>
      </w:r>
    </w:p>
    <w:p>
      <w:pPr>
        <w:pStyle w:val="Normal"/>
        <w:spacing w:lineRule="auto" w:line="240"/>
        <w:jc w:val="both"/>
        <w:rPr>
          <w:rFonts w:ascii="Arial" w:hAnsi="Arial"/>
          <w:sz w:val="20"/>
          <w:szCs w:val="20"/>
        </w:rPr>
      </w:pPr>
      <w:bookmarkStart w:id="11" w:name="bookmark=id.2s8eyo1"/>
      <w:bookmarkEnd w:id="11"/>
      <w:r>
        <w:rPr>
          <w:sz w:val="20"/>
          <w:szCs w:val="20"/>
        </w:rPr>
        <w:t>9.6. Somente o contratado será responsável pelos encargos trabalhistas, previdenciários, fiscais e comerciais resultantes da execução do contrato (art. 121, caput, Lei nº 14.133/2021).</w:t>
      </w:r>
    </w:p>
    <w:p>
      <w:pPr>
        <w:pStyle w:val="Normal"/>
        <w:spacing w:lineRule="auto" w:line="240"/>
        <w:jc w:val="both"/>
        <w:rPr>
          <w:rFonts w:ascii="Arial" w:hAnsi="Arial"/>
          <w:sz w:val="20"/>
          <w:szCs w:val="20"/>
        </w:rPr>
      </w:pPr>
      <w:bookmarkStart w:id="12" w:name="bookmark=id.17dp8vu"/>
      <w:bookmarkEnd w:id="12"/>
      <w:r>
        <w:rPr>
          <w:sz w:val="20"/>
          <w:szCs w:val="20"/>
        </w:rPr>
        <w:t>9.6.1. A inadimplência do contratado em relação aos encargos trabalhistas, fiscais e comerciais não transferirá à Administração a responsabilidade pelo seu pagamento e não poderá onerar o objeto do contrato (art. 121, §1º, Lei nº 14.133/2021).</w:t>
      </w:r>
    </w:p>
    <w:p>
      <w:pPr>
        <w:pStyle w:val="Normal"/>
        <w:spacing w:lineRule="auto" w:line="240"/>
        <w:jc w:val="both"/>
        <w:rPr>
          <w:rFonts w:ascii="Arial" w:hAnsi="Arial"/>
          <w:sz w:val="20"/>
          <w:szCs w:val="20"/>
        </w:rPr>
      </w:pPr>
      <w:bookmarkStart w:id="13" w:name="bookmark=id.lnxbz9"/>
      <w:bookmarkStart w:id="14" w:name="bookmark=id.35nkun2"/>
      <w:bookmarkStart w:id="15" w:name="bookmark=id.1ksv4uv"/>
      <w:bookmarkStart w:id="16" w:name="bookmark=id.3rdcrjn"/>
      <w:bookmarkStart w:id="17" w:name="bookmark=id.26in1rg"/>
      <w:bookmarkEnd w:id="13"/>
      <w:bookmarkEnd w:id="14"/>
      <w:bookmarkEnd w:id="15"/>
      <w:bookmarkEnd w:id="16"/>
      <w:bookmarkEnd w:id="17"/>
      <w:r>
        <w:rPr>
          <w:sz w:val="20"/>
          <w:szCs w:val="20"/>
        </w:rPr>
        <w:t>9.7. As comunicações entre o órgão ou entidade e a contratada devem ser realizadas por escrito sempre que o ato exigir tal formalidade, admitindo-se, excepcionalmente, o uso de mensagem eletrônica para esse fim.</w:t>
      </w:r>
    </w:p>
    <w:p>
      <w:pPr>
        <w:pStyle w:val="Normal"/>
        <w:spacing w:lineRule="auto" w:line="240"/>
        <w:jc w:val="both"/>
        <w:rPr>
          <w:rFonts w:ascii="Arial" w:hAnsi="Arial"/>
          <w:sz w:val="20"/>
          <w:szCs w:val="20"/>
        </w:rPr>
      </w:pPr>
      <w:r>
        <w:rPr>
          <w:sz w:val="20"/>
          <w:szCs w:val="20"/>
        </w:rPr>
        <w:t>9.8. O órgão ou entidade poderá convocar representante da empresa para adoção de providências que devam ser cumpridas de imediato.</w:t>
      </w:r>
    </w:p>
    <w:p>
      <w:pPr>
        <w:pStyle w:val="Normal"/>
        <w:spacing w:lineRule="auto" w:line="240"/>
        <w:jc w:val="both"/>
        <w:rPr>
          <w:rFonts w:ascii="Arial" w:hAnsi="Arial"/>
          <w:sz w:val="20"/>
          <w:szCs w:val="20"/>
        </w:rPr>
      </w:pPr>
      <w:r>
        <w:rPr>
          <w:sz w:val="20"/>
          <w:szCs w:val="20"/>
        </w:rPr>
        <w:t>9.9.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Normal"/>
        <w:spacing w:lineRule="auto" w:line="240"/>
        <w:jc w:val="both"/>
        <w:rPr>
          <w:rFonts w:ascii="Arial" w:hAnsi="Arial"/>
          <w:sz w:val="20"/>
          <w:szCs w:val="20"/>
        </w:rPr>
      </w:pPr>
      <w:r>
        <w:rPr>
          <w:sz w:val="20"/>
          <w:szCs w:val="20"/>
        </w:rPr>
        <w:t>9.10. Antes do pagamento da nota fiscal ou da fatura, deverá ser consultada a situação da empresa junto ao SICAF.</w:t>
      </w:r>
    </w:p>
    <w:p>
      <w:pPr>
        <w:pStyle w:val="Normal"/>
        <w:spacing w:lineRule="auto" w:line="240"/>
        <w:jc w:val="both"/>
        <w:rPr>
          <w:rFonts w:ascii="Arial" w:hAnsi="Arial"/>
          <w:sz w:val="20"/>
          <w:szCs w:val="20"/>
        </w:rPr>
      </w:pPr>
      <w:r>
        <w:rPr>
          <w:sz w:val="20"/>
          <w:szCs w:val="20"/>
        </w:rPr>
        <w:t>9.11.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pPr>
        <w:pStyle w:val="Normal"/>
        <w:spacing w:lineRule="auto" w:line="240"/>
        <w:jc w:val="both"/>
        <w:rPr>
          <w:rFonts w:ascii="Arial" w:hAnsi="Arial"/>
          <w:sz w:val="20"/>
          <w:szCs w:val="20"/>
        </w:rPr>
      </w:pPr>
      <w:r>
        <w:rPr>
          <w:sz w:val="20"/>
          <w:szCs w:val="20"/>
        </w:rPr>
        <w:t>9.12. Além das obrigações mencionadas anteriormente, a fiscalização contratual obedecerá às seguintes rotinas específicas:</w:t>
      </w:r>
    </w:p>
    <w:p>
      <w:pPr>
        <w:pStyle w:val="Normal"/>
        <w:spacing w:lineRule="auto" w:line="240"/>
        <w:jc w:val="both"/>
        <w:rPr>
          <w:rFonts w:ascii="Arial" w:hAnsi="Arial"/>
          <w:sz w:val="20"/>
          <w:szCs w:val="20"/>
        </w:rPr>
      </w:pPr>
      <w:r>
        <w:rPr>
          <w:sz w:val="20"/>
          <w:szCs w:val="20"/>
        </w:rPr>
        <w:t>9.12.1. Verificar periodicamente, por meio de documentos fiscais e relatórios de abastecimento, a conformidade entre as quantidades contratadas e efetivamente fornecidas, garantindo que não haja divergências ou inconsistências;</w:t>
      </w:r>
    </w:p>
    <w:p>
      <w:pPr>
        <w:pStyle w:val="Normal"/>
        <w:spacing w:lineRule="auto" w:line="240"/>
        <w:jc w:val="both"/>
        <w:rPr>
          <w:rFonts w:ascii="Arial" w:hAnsi="Arial"/>
          <w:sz w:val="20"/>
          <w:szCs w:val="20"/>
        </w:rPr>
      </w:pPr>
      <w:r>
        <w:rPr>
          <w:sz w:val="20"/>
          <w:szCs w:val="20"/>
        </w:rPr>
        <w:t>9.12.2. Monitorar a qualidade do combustível fornecido, podendo, a qualquer momento, solicitar análise técnica ou laboratoriais dos produtos entregues para atestar a conformidade com as normas da Agência Nacional do Petróleo, Gás Natural e Biocombustíveis (ANP);</w:t>
      </w:r>
    </w:p>
    <w:p>
      <w:pPr>
        <w:pStyle w:val="Normal"/>
        <w:spacing w:lineRule="auto" w:line="240"/>
        <w:jc w:val="both"/>
        <w:rPr>
          <w:rFonts w:ascii="Arial" w:hAnsi="Arial"/>
          <w:sz w:val="20"/>
          <w:szCs w:val="20"/>
        </w:rPr>
      </w:pPr>
      <w:r>
        <w:rPr>
          <w:sz w:val="20"/>
          <w:szCs w:val="20"/>
        </w:rPr>
        <w:t>9.12.3. Acompanhar as condições de armazenamento e transporte do combustível, garantindo que o fornecimento seja realizado em conformidade com as normas ambientais e de segurança aplicáveis;</w:t>
      </w:r>
    </w:p>
    <w:p>
      <w:pPr>
        <w:pStyle w:val="Normal"/>
        <w:spacing w:lineRule="auto" w:line="240"/>
        <w:jc w:val="both"/>
        <w:rPr>
          <w:rFonts w:ascii="Arial" w:hAnsi="Arial"/>
          <w:sz w:val="20"/>
          <w:szCs w:val="20"/>
        </w:rPr>
      </w:pPr>
      <w:r>
        <w:rPr>
          <w:sz w:val="20"/>
          <w:szCs w:val="20"/>
        </w:rPr>
        <w:t>9.12.4. Registrar todas as ocorrências relacionadas ao fornecimento, como atrasos, entregas em desacordo ou outros incidentes, em relatório próprio, a ser utilizado para eventual aplicação de penalidades ou medidas corretivas;</w:t>
      </w:r>
    </w:p>
    <w:p>
      <w:pPr>
        <w:pStyle w:val="Normal"/>
        <w:spacing w:lineRule="auto" w:line="240"/>
        <w:jc w:val="both"/>
        <w:rPr>
          <w:rFonts w:ascii="Arial" w:hAnsi="Arial"/>
          <w:sz w:val="20"/>
          <w:szCs w:val="20"/>
        </w:rPr>
      </w:pPr>
      <w:r>
        <w:rPr>
          <w:sz w:val="20"/>
          <w:szCs w:val="20"/>
        </w:rPr>
        <w:t>9.12.5. Exigir da Contratada a substituição imediata de combustível adulterado ou em desacordo com as especificações contratuais, sem ônus para a Administração;</w:t>
      </w:r>
    </w:p>
    <w:p>
      <w:pPr>
        <w:pStyle w:val="Normal"/>
        <w:spacing w:lineRule="auto" w:line="240"/>
        <w:jc w:val="both"/>
        <w:rPr>
          <w:rFonts w:ascii="Arial" w:hAnsi="Arial"/>
          <w:sz w:val="20"/>
          <w:szCs w:val="20"/>
        </w:rPr>
      </w:pPr>
      <w:r>
        <w:rPr>
          <w:sz w:val="20"/>
          <w:szCs w:val="20"/>
        </w:rPr>
        <w:t>9.12.6. Conferir a compatibilidade das notas fiscais apresentadas com os registros de abastecimento, discriminando data, veículo abastecido, quantidade fornecida e tipo de combustível;</w:t>
      </w:r>
    </w:p>
    <w:p>
      <w:pPr>
        <w:pStyle w:val="Normal"/>
        <w:spacing w:lineRule="auto" w:line="240"/>
        <w:jc w:val="both"/>
        <w:rPr>
          <w:rFonts w:ascii="Arial" w:hAnsi="Arial"/>
          <w:sz w:val="20"/>
          <w:szCs w:val="20"/>
        </w:rPr>
      </w:pPr>
      <w:r>
        <w:rPr>
          <w:sz w:val="20"/>
          <w:szCs w:val="20"/>
        </w:rPr>
        <w:t>9.12.7. Acompanhar e fiscalizar o cumprimento das obrigações acessórias da Contratada, como a manutenção das condições de habilitação e a apresentação de documentos de regularidade, quando solicitados;</w:t>
      </w:r>
    </w:p>
    <w:p>
      <w:pPr>
        <w:pStyle w:val="Normal"/>
        <w:spacing w:lineRule="auto" w:line="240"/>
        <w:jc w:val="both"/>
        <w:rPr>
          <w:rFonts w:ascii="Arial" w:hAnsi="Arial"/>
          <w:sz w:val="20"/>
          <w:szCs w:val="20"/>
        </w:rPr>
      </w:pPr>
      <w:r>
        <w:rPr>
          <w:sz w:val="20"/>
          <w:szCs w:val="20"/>
        </w:rPr>
        <w:t>9.12.8. Garantir que o fornecimento emergencial seja executado de maneira eficiente, de acordo com os prazos e especificações estabelecidos no contrato, principalmente em situações excepcionais ou de emergência.</w:t>
      </w:r>
    </w:p>
    <w:p>
      <w:pPr>
        <w:pStyle w:val="Normal"/>
        <w:spacing w:lineRule="auto" w:line="240"/>
        <w:jc w:val="both"/>
        <w:rPr>
          <w:rFonts w:ascii="Arial" w:hAnsi="Arial"/>
          <w:sz w:val="20"/>
          <w:szCs w:val="20"/>
        </w:rPr>
      </w:pPr>
      <w:r>
        <w:rPr>
          <w:sz w:val="20"/>
          <w:szCs w:val="20"/>
        </w:rPr>
        <w:t>9.12.9. Informar à Contratada qualquer inconformidade observada durante a fiscalização e solicitar as medidas corretivas necessárias no prazo estipulado, sob pena de aplicação das sanções previstas no contrato e na legislação aplicável.</w:t>
      </w:r>
    </w:p>
    <w:p>
      <w:pPr>
        <w:pStyle w:val="Normal"/>
        <w:spacing w:lineRule="auto" w:line="240"/>
        <w:jc w:val="both"/>
        <w:rPr>
          <w:rFonts w:ascii="Arial" w:hAnsi="Arial"/>
          <w:b/>
          <w:sz w:val="20"/>
          <w:szCs w:val="20"/>
        </w:rPr>
      </w:pPr>
      <w:r>
        <w:rPr>
          <w:b/>
          <w:sz w:val="20"/>
          <w:szCs w:val="20"/>
        </w:rPr>
      </w:r>
    </w:p>
    <w:p>
      <w:pPr>
        <w:pStyle w:val="Normal"/>
        <w:spacing w:lineRule="auto" w:line="240"/>
        <w:jc w:val="both"/>
        <w:rPr>
          <w:rFonts w:ascii="Arial" w:hAnsi="Arial"/>
          <w:sz w:val="20"/>
          <w:szCs w:val="20"/>
        </w:rPr>
      </w:pPr>
      <w:r>
        <w:rPr>
          <w:b/>
          <w:sz w:val="20"/>
          <w:szCs w:val="20"/>
        </w:rPr>
        <w:t>10. CRITÉRIOS DE MEDIÇÃO E PAGAMENTO</w:t>
      </w:r>
    </w:p>
    <w:p>
      <w:pPr>
        <w:pStyle w:val="Normal"/>
        <w:spacing w:lineRule="auto" w:line="240"/>
        <w:jc w:val="both"/>
        <w:rPr>
          <w:rFonts w:ascii="Arial" w:hAnsi="Arial"/>
          <w:sz w:val="20"/>
          <w:szCs w:val="20"/>
        </w:rPr>
      </w:pPr>
      <w:r>
        <w:rPr>
          <w:sz w:val="20"/>
          <w:szCs w:val="20"/>
        </w:rPr>
        <w:t>10.1. Recebimento do Objeto: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 xml:space="preserve">10.1.1. Os bens serão recebidos provisoriamente, de forma sumária, no ato da entrega, juntamente com a </w:t>
      </w:r>
      <w:r>
        <w:rPr>
          <w:rFonts w:eastAsia="Calibri" w:cs="Times New Roman" w:ascii="Arial" w:hAnsi="Arial"/>
          <w:sz w:val="20"/>
          <w:szCs w:val="20"/>
          <w:lang w:eastAsia="en-US"/>
        </w:rPr>
        <w:t>nota</w:t>
      </w:r>
      <w:r>
        <w:rPr>
          <w:rFonts w:cs="Times New Roman" w:ascii="Arial" w:hAnsi="Arial"/>
          <w:sz w:val="20"/>
          <w:szCs w:val="2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Pr>
          <w:rFonts w:cs="Times New Roman" w:ascii="Arial" w:hAnsi="Arial"/>
          <w:color w:val="FF0000"/>
          <w:sz w:val="20"/>
          <w:szCs w:val="20"/>
          <w:lang w:eastAsia="en-US"/>
        </w:rPr>
        <w:t xml:space="preserve"> </w:t>
      </w:r>
      <w:r>
        <w:rPr>
          <w:rFonts w:cs="Times New Roman" w:ascii="Arial" w:hAnsi="Arial"/>
          <w:sz w:val="20"/>
          <w:szCs w:val="20"/>
          <w:lang w:eastAsia="en-US"/>
        </w:rPr>
        <w:t>e na proposta.</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10.1.2</w:t>
      </w:r>
      <w:r>
        <w:rPr>
          <w:rFonts w:cs="Times New Roman" w:ascii="Arial" w:hAnsi="Arial"/>
          <w:color w:themeColor="text1" w:val="000000"/>
          <w:sz w:val="20"/>
          <w:szCs w:val="20"/>
          <w:lang w:eastAsia="en-US"/>
        </w:rPr>
        <w:t xml:space="preserve">. Os bens poderão ser rejeitados, no todo ou em parte, inclusive antes do recebimento provisório, quando em desacordo com as especificações constantes no Termo de Referência e na proposta, devendo ser substituídos no prazo de 05 (cinco) dias, a </w:t>
      </w:r>
      <w:r>
        <w:rPr>
          <w:rFonts w:cs="Times New Roman" w:ascii="Arial" w:hAnsi="Arial"/>
          <w:sz w:val="20"/>
          <w:szCs w:val="20"/>
          <w:lang w:eastAsia="en-US"/>
        </w:rPr>
        <w:t>contar da notificação da contratada, às suas custas, sem prejuízo da aplicação das penalidades.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color w:themeColor="text1" w:val="000000"/>
          <w:sz w:val="20"/>
          <w:szCs w:val="20"/>
          <w:lang w:eastAsia="en-US"/>
        </w:rPr>
        <w:t>10.1.3. O recebimento definitivo ocorrerá no prazo de 15 (quinze) dias úteis, a contar do recebimento da nota fiscal ou instrumento de cobrança equivalente pela Administração, após a verificação da qualidade e quantidade do material e consequente aceitação mediante termo detalhado.</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10.1.4. Para as contratações decorrentes de despesas cujos valores não ultrapassem o limite de que trata o </w:t>
      </w:r>
      <w:r>
        <w:fldChar w:fldCharType="begin"/>
      </w:r>
      <w:r>
        <w:rPr>
          <w:rStyle w:val="Style3"/>
          <w:sz w:val="20"/>
          <w:u w:val="single"/>
          <w:szCs w:val="20"/>
          <w:rFonts w:cs="Times New Roman" w:ascii="Arial" w:hAnsi="Arial"/>
          <w:color w:val="000080"/>
          <w:lang w:eastAsia="en-US"/>
        </w:rPr>
        <w:instrText xml:space="preserve"> HYPERLINK "http://www.planalto.gov.br/ccivil_03/_ato2019-2022/2021/lei/L14133.htm" \l "art75"</w:instrText>
      </w:r>
      <w:r>
        <w:rPr>
          <w:rStyle w:val="Style3"/>
          <w:sz w:val="20"/>
          <w:u w:val="single"/>
          <w:szCs w:val="20"/>
          <w:rFonts w:cs="Times New Roman" w:ascii="Arial" w:hAnsi="Arial"/>
          <w:color w:val="000080"/>
          <w:lang w:eastAsia="en-US"/>
        </w:rPr>
        <w:fldChar w:fldCharType="separate"/>
      </w:r>
      <w:r>
        <w:rPr>
          <w:rStyle w:val="Style3"/>
          <w:rFonts w:cs="Times New Roman" w:ascii="Arial" w:hAnsi="Arial"/>
          <w:color w:val="000080"/>
          <w:sz w:val="20"/>
          <w:szCs w:val="20"/>
          <w:u w:val="single"/>
          <w:lang w:eastAsia="en-US"/>
        </w:rPr>
        <w:t>inciso II do art. 75 da Lei nº 14.133, de 2021</w:t>
      </w:r>
      <w:r>
        <w:rPr>
          <w:rStyle w:val="Style3"/>
          <w:sz w:val="20"/>
          <w:u w:val="single"/>
          <w:szCs w:val="20"/>
          <w:rFonts w:cs="Times New Roman" w:ascii="Arial" w:hAnsi="Arial"/>
          <w:color w:val="000080"/>
          <w:lang w:eastAsia="en-US"/>
        </w:rPr>
        <w:fldChar w:fldCharType="end"/>
      </w:r>
      <w:r>
        <w:rPr>
          <w:rFonts w:cs="Times New Roman" w:ascii="Arial" w:hAnsi="Arial"/>
          <w:sz w:val="20"/>
          <w:szCs w:val="20"/>
          <w:lang w:eastAsia="en-US"/>
        </w:rPr>
        <w:t xml:space="preserve">, o prazo máximo para o recebimento definitivo será de </w:t>
      </w:r>
      <w:r>
        <w:rPr>
          <w:rFonts w:cs="Times New Roman" w:ascii="Arial" w:hAnsi="Arial"/>
          <w:color w:val="auto"/>
          <w:sz w:val="20"/>
          <w:szCs w:val="20"/>
          <w:lang w:eastAsia="en-US"/>
        </w:rPr>
        <w:t xml:space="preserve">até 05 (cinco) </w:t>
      </w:r>
      <w:r>
        <w:rPr>
          <w:rFonts w:cs="Times New Roman" w:ascii="Arial" w:hAnsi="Arial"/>
          <w:sz w:val="20"/>
          <w:szCs w:val="20"/>
          <w:lang w:eastAsia="en-US"/>
        </w:rPr>
        <w:t>dias úteis.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 xml:space="preserve">10.1.5. O prazo para recebimento definitivo poderá ser excepcionalmente prorrogado, </w:t>
      </w:r>
      <w:r>
        <w:rPr>
          <w:rFonts w:cs="Times New Roman" w:ascii="Arial" w:hAnsi="Arial"/>
          <w:color w:val="auto"/>
          <w:sz w:val="20"/>
          <w:szCs w:val="20"/>
          <w:lang w:eastAsia="en-US"/>
        </w:rPr>
        <w:t>de forma justificada, por igual período, quando houver necessidade de diligências para a aferição do ate</w:t>
      </w:r>
      <w:r>
        <w:rPr>
          <w:rFonts w:cs="Times New Roman" w:ascii="Arial" w:hAnsi="Arial"/>
          <w:sz w:val="20"/>
          <w:szCs w:val="20"/>
          <w:lang w:eastAsia="en-US"/>
        </w:rPr>
        <w:t>ndimento das exigências contratuais.</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10.1.6. </w:t>
      </w:r>
      <w:r>
        <w:rPr>
          <w:rFonts w:cs="Times New Roman" w:ascii="Arial" w:hAnsi="Arial"/>
          <w:bCs/>
          <w:sz w:val="20"/>
          <w:szCs w:val="20"/>
          <w:lang w:eastAsia="en-US"/>
        </w:rPr>
        <w:t xml:space="preserve">No caso de controvérsia sobre a execução do objeto, quanto à dimensão, qualidade e quantidade, deverá ser observado o teor do </w:t>
      </w:r>
      <w:r>
        <w:fldChar w:fldCharType="begin"/>
      </w:r>
      <w:r>
        <w:rPr>
          <w:rStyle w:val="Style3"/>
          <w:sz w:val="20"/>
          <w:u w:val="single"/>
          <w:szCs w:val="20"/>
          <w:bCs/>
          <w:rFonts w:cs="Times New Roman" w:ascii="Arial" w:hAnsi="Arial"/>
          <w:color w:val="000080"/>
          <w:lang w:eastAsia="en-US"/>
        </w:rPr>
        <w:instrText xml:space="preserve"> HYPERLINK "http://www.planalto.gov.br/ccivil_03/_ato2019-2022/2021/lei/L14133.htm" \l "art143"</w:instrText>
      </w:r>
      <w:r>
        <w:rPr>
          <w:rStyle w:val="Style3"/>
          <w:sz w:val="20"/>
          <w:u w:val="single"/>
          <w:szCs w:val="20"/>
          <w:bCs/>
          <w:rFonts w:cs="Times New Roman" w:ascii="Arial" w:hAnsi="Arial"/>
          <w:color w:val="000080"/>
          <w:lang w:eastAsia="en-US"/>
        </w:rPr>
        <w:fldChar w:fldCharType="separate"/>
      </w:r>
      <w:r>
        <w:rPr>
          <w:rStyle w:val="Style3"/>
          <w:rFonts w:cs="Times New Roman" w:ascii="Arial" w:hAnsi="Arial"/>
          <w:bCs/>
          <w:color w:val="000080"/>
          <w:sz w:val="20"/>
          <w:szCs w:val="20"/>
          <w:u w:val="single"/>
          <w:lang w:eastAsia="en-US"/>
        </w:rPr>
        <w:t>art. 143 da Lei nº 14.133, de 2021</w:t>
      </w:r>
      <w:r>
        <w:rPr>
          <w:rStyle w:val="Style3"/>
          <w:sz w:val="20"/>
          <w:u w:val="single"/>
          <w:szCs w:val="20"/>
          <w:bCs/>
          <w:rFonts w:cs="Times New Roman" w:ascii="Arial" w:hAnsi="Arial"/>
          <w:color w:val="000080"/>
          <w:lang w:eastAsia="en-US"/>
        </w:rPr>
        <w:fldChar w:fldCharType="end"/>
      </w:r>
      <w:r>
        <w:rPr>
          <w:rFonts w:cs="Times New Roman" w:ascii="Arial" w:hAnsi="Arial"/>
          <w:bCs/>
          <w:sz w:val="20"/>
          <w:szCs w:val="20"/>
          <w:lang w:eastAsia="en-US"/>
        </w:rPr>
        <w:t>, comunicando-se à empresa para emissão de Nota Fiscal no que pertine à parcela incontroversa da execução do objeto, para efeito de liquidação e pagamento.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10.1.8. O recebimento provisório ou definitivo não excluirá a responsabilidade civil pela solidez e pela segurança do serviço nem a responsabilidade ético-profissional pela perfeita execução do contrato.</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en-US"/>
        </w:rPr>
        <w:t>10.2. Liquidação:</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10.2.1. Recebida a Nota Fiscal ou documento de cobrança equivalente, correrá o prazo de dez dias úteis para fins de liquidação, na forma desta seção, prorrogáveis por igual período, nos termos do </w:t>
      </w:r>
      <w:r>
        <w:fldChar w:fldCharType="begin"/>
      </w:r>
      <w:r>
        <w:rPr>
          <w:rStyle w:val="Style3"/>
          <w:sz w:val="20"/>
          <w:u w:val="single"/>
          <w:szCs w:val="20"/>
          <w:rFonts w:cs="Times New Roman" w:ascii="Arial" w:hAnsi="Arial"/>
          <w:color w:val="000080"/>
          <w:lang w:eastAsia="en-US"/>
        </w:rPr>
        <w:instrText xml:space="preserve"> HYPERLINK "https://in.gov.br/en/web/dou/-/instrucao-normativa-seges/me-n-77-de-4-de-novembro-de-2022-441681061" \l "art7%C2%A72"</w:instrText>
      </w:r>
      <w:r>
        <w:rPr>
          <w:rStyle w:val="Style3"/>
          <w:sz w:val="20"/>
          <w:u w:val="single"/>
          <w:szCs w:val="20"/>
          <w:rFonts w:cs="Times New Roman" w:ascii="Arial" w:hAnsi="Arial"/>
          <w:color w:val="000080"/>
          <w:lang w:eastAsia="en-US"/>
        </w:rPr>
        <w:fldChar w:fldCharType="separate"/>
      </w:r>
      <w:r>
        <w:rPr>
          <w:rStyle w:val="Style3"/>
          <w:rFonts w:cs="Times New Roman" w:ascii="Arial" w:hAnsi="Arial"/>
          <w:color w:val="000080"/>
          <w:sz w:val="20"/>
          <w:szCs w:val="20"/>
          <w:u w:val="single"/>
          <w:lang w:eastAsia="en-US"/>
        </w:rPr>
        <w:t>art. 7º, §2º da Instrução Normativa SEGES/ME nº 77/2022</w:t>
      </w:r>
      <w:r>
        <w:rPr>
          <w:rStyle w:val="Style3"/>
          <w:sz w:val="20"/>
          <w:u w:val="single"/>
          <w:szCs w:val="20"/>
          <w:rFonts w:cs="Times New Roman" w:ascii="Arial" w:hAnsi="Arial"/>
          <w:color w:val="000080"/>
          <w:lang w:eastAsia="en-US"/>
        </w:rPr>
        <w:fldChar w:fldCharType="end"/>
      </w:r>
      <w:r>
        <w:rPr>
          <w:rFonts w:cs="Times New Roman" w:ascii="Arial" w:hAnsi="Arial"/>
          <w:sz w:val="20"/>
          <w:szCs w:val="20"/>
          <w:lang w:eastAsia="en-US"/>
        </w:rPr>
        <w:t>.</w:t>
      </w:r>
    </w:p>
    <w:p>
      <w:pPr>
        <w:pStyle w:val="Nivel3"/>
        <w:numPr>
          <w:ilvl w:val="0"/>
          <w:numId w:val="0"/>
        </w:numPr>
        <w:spacing w:lineRule="auto" w:line="240" w:before="120" w:after="288"/>
        <w:ind w:hanging="0" w:left="0"/>
        <w:rPr/>
      </w:pPr>
      <w:r>
        <w:rPr>
          <w:rFonts w:cs="Times New Roman" w:ascii="Arial" w:hAnsi="Arial"/>
          <w:sz w:val="20"/>
          <w:szCs w:val="20"/>
          <w:lang w:eastAsia="en-US"/>
        </w:rPr>
        <w:t xml:space="preserve">10.2.2. </w:t>
      </w:r>
      <w:r>
        <w:rPr>
          <w:rFonts w:cs="Times New Roman" w:ascii="Arial" w:hAnsi="Arial"/>
          <w:sz w:val="20"/>
          <w:szCs w:val="20"/>
        </w:rPr>
        <w:t xml:space="preserve">O prazo de que trata o item anterior será reduzido à metade, mantendo-se a possibilidade de prorrogação, no caso de contratações decorrentes de despesas cujos valores não ultrapassem o limite de que trata o </w:t>
      </w:r>
      <w:r>
        <w:fldChar w:fldCharType="begin"/>
      </w:r>
      <w:r>
        <w:rPr>
          <w:rStyle w:val="Style3"/>
          <w:sz w:val="20"/>
          <w:u w:val="single"/>
          <w:szCs w:val="20"/>
          <w:rFonts w:cs="Times New Roman" w:ascii="Arial" w:hAnsi="Arial"/>
          <w:color w:val="000080"/>
        </w:rPr>
        <w:instrText xml:space="preserve"> HYPERLINK "http://www.planalto.gov.br/ccivil_03/_ato2019-2022/2021/lei/L14133.htm" \l "art75"</w:instrText>
      </w:r>
      <w:r>
        <w:rPr>
          <w:rStyle w:val="Style3"/>
          <w:sz w:val="20"/>
          <w:u w:val="single"/>
          <w:szCs w:val="20"/>
          <w:rFonts w:cs="Times New Roman" w:ascii="Arial" w:hAnsi="Arial"/>
          <w:color w:val="000080"/>
        </w:rPr>
        <w:fldChar w:fldCharType="separate"/>
      </w:r>
      <w:r>
        <w:rPr>
          <w:rStyle w:val="Style3"/>
          <w:rFonts w:cs="Times New Roman" w:ascii="Arial" w:hAnsi="Arial"/>
          <w:color w:val="000080"/>
          <w:sz w:val="20"/>
          <w:szCs w:val="20"/>
          <w:u w:val="single"/>
        </w:rPr>
        <w:t>inciso II do art. 75 da Lei nº 14.133, de 2021</w:t>
      </w:r>
      <w:r>
        <w:rPr>
          <w:rStyle w:val="Style3"/>
          <w:sz w:val="20"/>
          <w:u w:val="single"/>
          <w:szCs w:val="20"/>
          <w:rFonts w:cs="Times New Roman" w:ascii="Arial" w:hAnsi="Arial"/>
          <w:color w:val="000080"/>
        </w:rPr>
        <w:fldChar w:fldCharType="end"/>
      </w:r>
      <w:r>
        <w:rPr>
          <w:rFonts w:cs="Times New Roman" w:ascii="Arial" w:hAnsi="Arial"/>
          <w:sz w:val="20"/>
          <w:szCs w:val="20"/>
        </w:rPr>
        <w:t>.</w:t>
      </w:r>
    </w:p>
    <w:p>
      <w:pPr>
        <w:pStyle w:val="Nivel2"/>
        <w:numPr>
          <w:ilvl w:val="0"/>
          <w:numId w:val="0"/>
        </w:numPr>
        <w:spacing w:lineRule="auto" w:line="240" w:before="0" w:after="288"/>
        <w:ind w:hanging="0" w:left="0"/>
        <w:rPr>
          <w:rFonts w:ascii="Arial" w:hAnsi="Arial"/>
          <w:sz w:val="20"/>
          <w:szCs w:val="20"/>
        </w:rPr>
      </w:pPr>
      <w:r>
        <w:rPr>
          <w:rFonts w:cs="Times New Roman" w:ascii="Arial" w:hAnsi="Arial"/>
          <w:sz w:val="20"/>
          <w:szCs w:val="20"/>
          <w:lang w:eastAsia="en-US"/>
        </w:rPr>
        <w:t xml:space="preserve">10.2.3. Para fins de liquidação, o setor competente deverá verificar se a nota fiscal ou instrumento de cobrança equivalente apresentado expressa os elementos necessários e essenciais do documento, tais como: </w:t>
      </w:r>
    </w:p>
    <w:p>
      <w:pPr>
        <w:pStyle w:val="Normal"/>
        <w:numPr>
          <w:ilvl w:val="0"/>
          <w:numId w:val="6"/>
        </w:numPr>
        <w:tabs>
          <w:tab w:val="clear" w:pos="720"/>
          <w:tab w:val="left" w:pos="284" w:leader="none"/>
        </w:tabs>
        <w:suppressAutoHyphens w:val="true"/>
        <w:spacing w:lineRule="auto" w:line="240" w:before="0" w:after="288"/>
        <w:ind w:hanging="0" w:left="0"/>
        <w:contextualSpacing/>
        <w:jc w:val="both"/>
        <w:rPr>
          <w:rFonts w:ascii="Arial" w:hAnsi="Arial"/>
          <w:sz w:val="20"/>
          <w:szCs w:val="20"/>
        </w:rPr>
      </w:pPr>
      <w:r>
        <w:rPr>
          <w:color w:val="000000"/>
          <w:sz w:val="20"/>
          <w:szCs w:val="20"/>
        </w:rPr>
        <w:t>o prazo de validade;</w:t>
      </w:r>
    </w:p>
    <w:p>
      <w:pPr>
        <w:pStyle w:val="Normal"/>
        <w:numPr>
          <w:ilvl w:val="0"/>
          <w:numId w:val="6"/>
        </w:numPr>
        <w:tabs>
          <w:tab w:val="clear" w:pos="720"/>
          <w:tab w:val="left" w:pos="284" w:leader="none"/>
        </w:tabs>
        <w:suppressAutoHyphens w:val="true"/>
        <w:spacing w:lineRule="auto" w:line="240" w:before="0" w:after="288"/>
        <w:ind w:hanging="0" w:left="0"/>
        <w:contextualSpacing/>
        <w:jc w:val="both"/>
        <w:rPr>
          <w:rFonts w:ascii="Arial" w:hAnsi="Arial"/>
          <w:sz w:val="20"/>
          <w:szCs w:val="20"/>
        </w:rPr>
      </w:pPr>
      <w:r>
        <w:rPr>
          <w:color w:val="000000"/>
          <w:sz w:val="20"/>
          <w:szCs w:val="20"/>
        </w:rPr>
        <w:t xml:space="preserve">a data da emissão; </w:t>
      </w:r>
    </w:p>
    <w:p>
      <w:pPr>
        <w:pStyle w:val="Normal"/>
        <w:numPr>
          <w:ilvl w:val="0"/>
          <w:numId w:val="6"/>
        </w:numPr>
        <w:tabs>
          <w:tab w:val="clear" w:pos="720"/>
          <w:tab w:val="left" w:pos="284" w:leader="none"/>
        </w:tabs>
        <w:suppressAutoHyphens w:val="true"/>
        <w:spacing w:lineRule="auto" w:line="240" w:before="0" w:after="288"/>
        <w:ind w:hanging="0" w:left="0"/>
        <w:contextualSpacing/>
        <w:jc w:val="both"/>
        <w:rPr>
          <w:rFonts w:ascii="Arial" w:hAnsi="Arial"/>
          <w:sz w:val="20"/>
          <w:szCs w:val="20"/>
        </w:rPr>
      </w:pPr>
      <w:r>
        <w:rPr>
          <w:color w:val="000000"/>
          <w:sz w:val="20"/>
          <w:szCs w:val="20"/>
        </w:rPr>
        <w:t xml:space="preserve">os dados do contrato e do órgão contratante; </w:t>
      </w:r>
    </w:p>
    <w:p>
      <w:pPr>
        <w:pStyle w:val="Normal"/>
        <w:numPr>
          <w:ilvl w:val="0"/>
          <w:numId w:val="6"/>
        </w:numPr>
        <w:tabs>
          <w:tab w:val="clear" w:pos="720"/>
          <w:tab w:val="left" w:pos="284" w:leader="none"/>
        </w:tabs>
        <w:suppressAutoHyphens w:val="true"/>
        <w:spacing w:lineRule="auto" w:line="240" w:before="0" w:after="288"/>
        <w:ind w:hanging="0" w:left="0"/>
        <w:contextualSpacing/>
        <w:jc w:val="both"/>
        <w:rPr>
          <w:rFonts w:ascii="Arial" w:hAnsi="Arial"/>
          <w:sz w:val="20"/>
          <w:szCs w:val="20"/>
        </w:rPr>
      </w:pPr>
      <w:r>
        <w:rPr>
          <w:color w:val="000000"/>
          <w:sz w:val="20"/>
          <w:szCs w:val="20"/>
        </w:rPr>
        <w:t xml:space="preserve">o período respectivo de execução do contrato; </w:t>
      </w:r>
    </w:p>
    <w:p>
      <w:pPr>
        <w:pStyle w:val="Normal"/>
        <w:numPr>
          <w:ilvl w:val="0"/>
          <w:numId w:val="6"/>
        </w:numPr>
        <w:tabs>
          <w:tab w:val="clear" w:pos="720"/>
          <w:tab w:val="left" w:pos="284" w:leader="none"/>
        </w:tabs>
        <w:suppressAutoHyphens w:val="true"/>
        <w:spacing w:lineRule="auto" w:line="240" w:before="0" w:after="288"/>
        <w:ind w:hanging="0" w:left="0"/>
        <w:contextualSpacing/>
        <w:jc w:val="both"/>
        <w:rPr>
          <w:rFonts w:ascii="Arial" w:hAnsi="Arial"/>
          <w:sz w:val="20"/>
          <w:szCs w:val="20"/>
        </w:rPr>
      </w:pPr>
      <w:r>
        <w:rPr>
          <w:color w:val="000000"/>
          <w:sz w:val="20"/>
          <w:szCs w:val="20"/>
        </w:rPr>
        <w:t xml:space="preserve">o valor a pagar; e </w:t>
      </w:r>
    </w:p>
    <w:p>
      <w:pPr>
        <w:pStyle w:val="Normal"/>
        <w:numPr>
          <w:ilvl w:val="0"/>
          <w:numId w:val="6"/>
        </w:numPr>
        <w:tabs>
          <w:tab w:val="clear" w:pos="720"/>
          <w:tab w:val="left" w:pos="284" w:leader="none"/>
        </w:tabs>
        <w:suppressAutoHyphens w:val="true"/>
        <w:spacing w:lineRule="auto" w:line="240" w:before="0" w:after="288"/>
        <w:ind w:hanging="0" w:left="0"/>
        <w:contextualSpacing/>
        <w:jc w:val="both"/>
        <w:rPr>
          <w:rFonts w:ascii="Arial" w:hAnsi="Arial"/>
          <w:sz w:val="20"/>
          <w:szCs w:val="20"/>
        </w:rPr>
      </w:pPr>
      <w:r>
        <w:rPr>
          <w:color w:val="000000"/>
          <w:sz w:val="20"/>
          <w:szCs w:val="20"/>
        </w:rPr>
        <w:t>eventual destaque do valor de retenções tributárias cabíveis.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 xml:space="preserve">10.2.4. </w:t>
      </w:r>
      <w:r>
        <w:rPr>
          <w:rFonts w:eastAsia="Calibri" w:cs="Times New Roman" w:ascii="Arial" w:hAnsi="Arial"/>
          <w:sz w:val="20"/>
          <w:szCs w:val="20"/>
          <w:lang w:eastAsia="en-US"/>
        </w:rPr>
        <w:t xml:space="preserve">Havendo erro na apresentação da nota fiscal ou instrumento de cobrança equivalente, ou circunstância que impeça a </w:t>
      </w:r>
      <w:r>
        <w:rPr>
          <w:rFonts w:cs="Times New Roman" w:ascii="Arial" w:hAnsi="Arial"/>
          <w:sz w:val="20"/>
          <w:szCs w:val="20"/>
          <w:lang w:eastAsia="en-US"/>
        </w:rPr>
        <w:t>liquidação da despesa, esta ficará sobrestada até que o contratado providencie as medidas saneadoras, reiniciando-se o prazo após a comprovação da regularização da situação, sem ônus ao contratante;</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10.2.5. A nota fiscal ou instrumento de cobrança equivalente deverá ser obrigatoriamente acompanhado da comprovação da regularidade fiscal, constatada por meio de consulta </w:t>
      </w:r>
      <w:r>
        <w:rPr>
          <w:rFonts w:cs="Times New Roman" w:ascii="Arial" w:hAnsi="Arial"/>
          <w:i/>
          <w:iCs/>
          <w:sz w:val="20"/>
          <w:szCs w:val="20"/>
          <w:lang w:eastAsia="en-US"/>
        </w:rPr>
        <w:t>on-line</w:t>
      </w:r>
      <w:r>
        <w:rPr>
          <w:rFonts w:cs="Times New Roman" w:ascii="Arial" w:hAnsi="Arial"/>
          <w:sz w:val="20"/>
          <w:szCs w:val="20"/>
          <w:lang w:eastAsia="en-US"/>
        </w:rPr>
        <w:t xml:space="preserve"> ao SICAF ou, na impossibilidade de acesso ao referido Sistema, mediante consulta aos sítios eletrônicos oficiais ou à documentação mencionada no </w:t>
      </w:r>
      <w:r>
        <w:fldChar w:fldCharType="begin"/>
      </w:r>
      <w:r>
        <w:rPr>
          <w:rStyle w:val="Style3"/>
          <w:sz w:val="20"/>
          <w:u w:val="single"/>
          <w:szCs w:val="20"/>
          <w:rFonts w:cs="Times New Roman" w:ascii="Arial" w:hAnsi="Arial"/>
          <w:color w:val="000080"/>
          <w:lang w:eastAsia="en-US"/>
        </w:rPr>
        <w:instrText xml:space="preserve"> HYPERLINK "http://www.planalto.gov.br/ccivil_03/_ato2019-2022/2021/lei/L14133.htm" \l "art68"</w:instrText>
      </w:r>
      <w:r>
        <w:rPr>
          <w:rStyle w:val="Style3"/>
          <w:sz w:val="20"/>
          <w:u w:val="single"/>
          <w:szCs w:val="20"/>
          <w:rFonts w:cs="Times New Roman" w:ascii="Arial" w:hAnsi="Arial"/>
          <w:color w:val="000080"/>
          <w:lang w:eastAsia="en-US"/>
        </w:rPr>
        <w:fldChar w:fldCharType="separate"/>
      </w:r>
      <w:r>
        <w:rPr>
          <w:rStyle w:val="Style3"/>
          <w:rFonts w:cs="Times New Roman" w:ascii="Arial" w:hAnsi="Arial"/>
          <w:color w:val="000080"/>
          <w:sz w:val="20"/>
          <w:szCs w:val="20"/>
          <w:u w:val="single"/>
          <w:lang w:eastAsia="en-US"/>
        </w:rPr>
        <w:t xml:space="preserve">art. 68 da Lei nº 14.133, de 2021.  </w:t>
      </w:r>
      <w:r>
        <w:rPr>
          <w:rStyle w:val="Style3"/>
          <w:sz w:val="20"/>
          <w:u w:val="single"/>
          <w:szCs w:val="20"/>
          <w:rFonts w:cs="Times New Roman" w:ascii="Arial" w:hAnsi="Arial"/>
          <w:color w:val="000080"/>
          <w:lang w:eastAsia="en-US"/>
        </w:rPr>
        <w:fldChar w:fldCharType="end"/>
      </w:r>
      <w:r>
        <w:rPr>
          <w:rFonts w:cs="Times New Roman" w:ascii="Arial" w:hAnsi="Arial"/>
          <w:sz w:val="20"/>
          <w:szCs w:val="20"/>
          <w:lang w:eastAsia="en-US"/>
        </w:rPr>
        <w:t xml:space="preserve">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10.2.6.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 xml:space="preserve">10.2.9. Persistindo a irregularidade, o contratante deverá adotar as medidas necessárias à rescisão contratual nos autos do processo administrativo correspondente, assegurada ao contratado a ampla defesa.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 xml:space="preserve">10.2.10. Havendo a efetiva execução do objeto, os pagamentos serão realizados normalmente, até que se decida pela rescisão do contrato, caso o contratado não regularize sua situação junto ao SICAF.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10.1. No dever de pagamento pela Administração, serão observadas as disposições dos artigos 141 a 146 da Lei federal n/ 14.133/2021, em especial o respeito à ordem cronológica para cada fonte diferenciada de recursos com fulcro no art. 112 do Decreto Municipal n° 5.558/2023, subdividida nas seguintes categorias de contratos: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 xml:space="preserve">I – Fornecimento de bens;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II – Locações;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III – Prestação de Serviços;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IV – Realização de Obras.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 xml:space="preserve">10.2. Com base no §1° do artigo 112 do Decreto Municipal n° 5.558/2023: A ordem cronológica referida no </w:t>
      </w:r>
      <w:r>
        <w:rPr>
          <w:rFonts w:cs="Times New Roman" w:ascii="Arial" w:hAnsi="Arial"/>
          <w:i/>
          <w:iCs/>
          <w:sz w:val="20"/>
          <w:szCs w:val="20"/>
        </w:rPr>
        <w:t xml:space="preserve">caput </w:t>
      </w:r>
      <w:r>
        <w:rPr>
          <w:rFonts w:cs="Times New Roman" w:ascii="Arial" w:hAnsi="Arial"/>
          <w:sz w:val="20"/>
          <w:szCs w:val="20"/>
        </w:rPr>
        <w:t>deste artigo poderá ser alterada, mediante previa justificativa da autoridade competente e posterior a comunicação ao órgão de controle interno da Administração e ao Tribunal de Contas do Rio de Janeiro, exclusivamente nas situações listada no §1° do art. 141 da Lei Federal n° 14.133/2021.</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en-US"/>
        </w:rPr>
        <w:t>10.3. Prazo de pagamento:</w:t>
      </w:r>
    </w:p>
    <w:p>
      <w:pPr>
        <w:pStyle w:val="Nivel2"/>
        <w:numPr>
          <w:ilvl w:val="0"/>
          <w:numId w:val="0"/>
        </w:numPr>
        <w:spacing w:lineRule="auto" w:line="240" w:before="120" w:after="288"/>
        <w:ind w:hanging="0" w:left="0"/>
        <w:rPr/>
      </w:pPr>
      <w:r>
        <w:rPr>
          <w:rFonts w:cs="Times New Roman" w:ascii="Arial" w:hAnsi="Arial"/>
          <w:sz w:val="20"/>
          <w:szCs w:val="20"/>
        </w:rPr>
        <w:t xml:space="preserve">10.3.1. O pagamento será efetuado no prazo de até 10 (dez) dias úteis contados da finalização da liquidação da despesa, conforme seção anterior, nos termos da </w:t>
      </w:r>
      <w:hyperlink r:id="rId4">
        <w:r>
          <w:rPr>
            <w:rStyle w:val="Style3"/>
            <w:rFonts w:cs="Times New Roman" w:ascii="Arial" w:hAnsi="Arial"/>
            <w:color w:val="000080"/>
            <w:sz w:val="20"/>
            <w:szCs w:val="20"/>
            <w:u w:val="single"/>
          </w:rPr>
          <w:t>Instrução Normativa SEGES/ME nº 77, de 2022</w:t>
        </w:r>
      </w:hyperlink>
      <w:r>
        <w:rPr>
          <w:rFonts w:cs="Times New Roman" w:ascii="Arial" w:hAnsi="Arial"/>
          <w:sz w:val="20"/>
          <w:szCs w:val="20"/>
        </w:rPr>
        <w:t>.</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 xml:space="preserve">10.3.2. </w:t>
      </w:r>
      <w:r>
        <w:rPr>
          <w:rFonts w:cs="Times New Roman" w:ascii="Arial" w:hAnsi="Arial"/>
          <w:sz w:val="20"/>
          <w:szCs w:val="20"/>
          <w:lang w:eastAsia="en-US"/>
        </w:rPr>
        <w:t xml:space="preserve">No caso de atraso pelo Contratante, os valores devidos ao contratado serão atualizados monetariamente entre o termo final do prazo de pagamento até a data de sua efetiva realização, mediante aplicação do índice </w:t>
      </w:r>
      <w:r>
        <w:rPr>
          <w:rFonts w:cs="Times New Roman" w:ascii="Arial" w:hAnsi="Arial"/>
          <w:i/>
          <w:iCs/>
          <w:color w:val="FF0000"/>
          <w:sz w:val="20"/>
          <w:szCs w:val="20"/>
          <w:lang w:eastAsia="en-US"/>
        </w:rPr>
        <w:t>IPCA</w:t>
      </w:r>
      <w:r>
        <w:rPr>
          <w:rFonts w:cs="Times New Roman" w:ascii="Arial" w:hAnsi="Arial"/>
          <w:sz w:val="20"/>
          <w:szCs w:val="20"/>
          <w:lang w:eastAsia="en-US"/>
        </w:rPr>
        <w:t xml:space="preserve"> de correção monetária.</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en-US"/>
        </w:rPr>
        <w:t>10.4. Forma de pagamento: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10.4.1. O pagamento será realizado por meio de ordem bancária, para crédito em banco, agência e conta corrente indicados pelo contratado.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10.4.2. Será considerada data do pagamento o dia em que constar como emitida a ordem bancária para pagamento.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10.4.3. Quando do pagamento, será efetuada a retenção tributária prevista na legislação aplicável.</w:t>
      </w:r>
    </w:p>
    <w:p>
      <w:pPr>
        <w:pStyle w:val="Nivel3"/>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10.4.3.1. Independentemente do percentual de tributo inserido na planilha, quando houver, serão retidos na fonte, quando da realização do pagamento, os percentuais estabelecidos na legislação vigente.</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10.4.4. O contratado regularmente optante pelo Simples Nacional, nos termos da </w:t>
      </w:r>
      <w:hyperlink r:id="rId5">
        <w:r>
          <w:rPr>
            <w:rStyle w:val="Style3"/>
            <w:rFonts w:cs="Times New Roman" w:ascii="Arial" w:hAnsi="Arial"/>
            <w:color w:val="000080"/>
            <w:sz w:val="20"/>
            <w:szCs w:val="20"/>
            <w:u w:val="single"/>
            <w:lang w:eastAsia="en-US"/>
          </w:rPr>
          <w:t>Lei Complementar nº 123, de 2006</w:t>
        </w:r>
      </w:hyperlink>
      <w:r>
        <w:rPr>
          <w:rFonts w:cs="Times New Roman" w:ascii="Arial" w:hAnsi="Arial"/>
          <w:sz w:val="20"/>
          <w:szCs w:val="20"/>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en-US"/>
        </w:rPr>
        <w:t>10.6. Cessão de crédito:</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10.6.1. É admitida a cessão fiduciária de direitos creditícios com instituição financeira, nos termos e de acordo com os procedimentos previstos na </w:t>
      </w:r>
      <w:hyperlink r:id="rId6">
        <w:r>
          <w:rPr>
            <w:rStyle w:val="Style3"/>
            <w:rFonts w:cs="Times New Roman" w:ascii="Arial" w:hAnsi="Arial"/>
            <w:color w:val="000080"/>
            <w:sz w:val="20"/>
            <w:szCs w:val="20"/>
            <w:u w:val="single"/>
            <w:lang w:eastAsia="en-US"/>
          </w:rPr>
          <w:t>Instrução Normativa SEGES/ME nº 53, de 8 de Julho de 2020</w:t>
        </w:r>
      </w:hyperlink>
      <w:r>
        <w:rPr>
          <w:rFonts w:cs="Times New Roman" w:ascii="Arial" w:hAnsi="Arial"/>
          <w:sz w:val="20"/>
          <w:szCs w:val="20"/>
          <w:lang w:eastAsia="en-US"/>
        </w:rPr>
        <w:t>, conforme as regras deste presente tópico.</w:t>
      </w:r>
    </w:p>
    <w:p>
      <w:pPr>
        <w:pStyle w:val="Nvel3-R"/>
        <w:numPr>
          <w:ilvl w:val="0"/>
          <w:numId w:val="0"/>
        </w:numPr>
        <w:spacing w:lineRule="auto" w:line="240" w:before="120" w:after="288"/>
        <w:ind w:hanging="0" w:left="0"/>
        <w:rPr>
          <w:rFonts w:ascii="Arial" w:hAnsi="Arial"/>
          <w:sz w:val="20"/>
          <w:szCs w:val="20"/>
        </w:rPr>
      </w:pPr>
      <w:bookmarkStart w:id="18" w:name="_Ref118216946"/>
      <w:r>
        <w:rPr>
          <w:rFonts w:cs="Times New Roman" w:ascii="Arial" w:hAnsi="Arial"/>
          <w:i w:val="false"/>
          <w:iCs w:val="false"/>
          <w:color w:themeColor="text1" w:val="000000"/>
          <w:sz w:val="20"/>
          <w:szCs w:val="20"/>
          <w:lang w:eastAsia="en-US"/>
        </w:rPr>
        <w:t>10.6.2. As cessões de crédito não fiduciárias dependerão de prévia aprovação do contratante.</w:t>
      </w:r>
      <w:bookmarkEnd w:id="18"/>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10.6.3. A eficácia da cessão de crédito, de qualquer natureza, em relação à Administração, está condicionada à celebração de termo aditivo ao contrato administrativo.</w:t>
      </w:r>
    </w:p>
    <w:p>
      <w:pPr>
        <w:pStyle w:val="Nivel2"/>
        <w:numPr>
          <w:ilvl w:val="0"/>
          <w:numId w:val="0"/>
        </w:numPr>
        <w:spacing w:lineRule="auto" w:line="240" w:before="120" w:after="288"/>
        <w:ind w:hanging="0" w:left="0"/>
        <w:rPr/>
      </w:pPr>
      <w:r>
        <w:rPr>
          <w:rFonts w:cs="Times New Roman" w:ascii="Arial" w:hAnsi="Arial"/>
          <w:sz w:val="20"/>
          <w:szCs w:val="20"/>
          <w:lang w:eastAsia="en-US"/>
        </w:rPr>
        <w:t xml:space="preserve">10.6.4.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r>
        <w:fldChar w:fldCharType="begin"/>
      </w:r>
      <w:r>
        <w:rPr>
          <w:rStyle w:val="Style3"/>
          <w:sz w:val="20"/>
          <w:u w:val="single"/>
          <w:szCs w:val="20"/>
          <w:rFonts w:cs="Times New Roman" w:ascii="Arial" w:hAnsi="Arial"/>
          <w:color w:val="000080"/>
          <w:lang w:eastAsia="en-US"/>
        </w:rPr>
        <w:instrText xml:space="preserve"> HYPERLINK "https://www.planalto.gov.br/ccivil_03/leis/l8429.htm" \l ":~:text=LEI%20N%C2%BA%208.429%2C%20DE%202%20DE%20JUNHO%20DE%201992&amp;text=Disp%C3%B5e%20sobre%20as%20san%C3%A7%C3%B5es%20aplic%C3%A1veis,fundacional%20e%20d%C3%A1%20outras%20provid%C3%AAncias."</w:instrText>
      </w:r>
      <w:r>
        <w:rPr>
          <w:rStyle w:val="Style3"/>
          <w:sz w:val="20"/>
          <w:u w:val="single"/>
          <w:szCs w:val="20"/>
          <w:rFonts w:cs="Times New Roman" w:ascii="Arial" w:hAnsi="Arial"/>
          <w:color w:val="000080"/>
          <w:lang w:eastAsia="en-US"/>
        </w:rPr>
        <w:fldChar w:fldCharType="separate"/>
      </w:r>
      <w:r>
        <w:rPr>
          <w:rStyle w:val="Style3"/>
          <w:rFonts w:cs="Times New Roman" w:ascii="Arial" w:hAnsi="Arial"/>
          <w:color w:val="000080"/>
          <w:sz w:val="20"/>
          <w:szCs w:val="20"/>
          <w:u w:val="single"/>
          <w:lang w:eastAsia="en-US"/>
        </w:rPr>
        <w:t>o art. 12 da Lei nº 8.429, de 1992</w:t>
      </w:r>
      <w:r>
        <w:rPr>
          <w:rStyle w:val="Style3"/>
          <w:sz w:val="20"/>
          <w:u w:val="single"/>
          <w:szCs w:val="20"/>
          <w:rFonts w:cs="Times New Roman" w:ascii="Arial" w:hAnsi="Arial"/>
          <w:color w:val="000080"/>
          <w:lang w:eastAsia="en-US"/>
        </w:rPr>
        <w:fldChar w:fldCharType="end"/>
      </w:r>
      <w:r>
        <w:rPr>
          <w:rFonts w:cs="Times New Roman" w:ascii="Arial" w:hAnsi="Arial"/>
          <w:sz w:val="20"/>
          <w:szCs w:val="20"/>
          <w:lang w:eastAsia="en-US"/>
        </w:rPr>
        <w:t xml:space="preserve">, tudo nos termos do </w:t>
      </w:r>
      <w:hyperlink r:id="rId7">
        <w:r>
          <w:rPr>
            <w:rStyle w:val="Style3"/>
            <w:rFonts w:cs="Times New Roman" w:ascii="Arial" w:hAnsi="Arial"/>
            <w:color w:val="000080"/>
            <w:sz w:val="20"/>
            <w:szCs w:val="20"/>
            <w:u w:val="single"/>
            <w:lang w:eastAsia="en-US"/>
          </w:rPr>
          <w:t>Parecer JL-01, de 18 de maio de 2020.</w:t>
        </w:r>
      </w:hyperlink>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10.6.5.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bookmarkStart w:id="19" w:name="_Hlk114498479"/>
      <w:bookmarkEnd w:id="19"/>
      <w:r>
        <w:rPr>
          <w:rFonts w:cs="Times New Roman" w:ascii="Arial" w:hAnsi="Arial"/>
          <w:sz w:val="20"/>
          <w:szCs w:val="20"/>
          <w:lang w:eastAsia="en-US"/>
        </w:rPr>
        <w:t>.</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lang w:eastAsia="en-US"/>
        </w:rPr>
        <w:t>10.6.6. A cessão de crédito não afetará a execução do objeto contratado, que continuará sob a integral responsabilidade do contratado.</w:t>
      </w:r>
    </w:p>
    <w:p>
      <w:pPr>
        <w:pStyle w:val="Normal"/>
        <w:spacing w:lineRule="auto" w:line="240"/>
        <w:jc w:val="both"/>
        <w:rPr>
          <w:rFonts w:ascii="Arial" w:hAnsi="Arial"/>
          <w:sz w:val="20"/>
          <w:szCs w:val="20"/>
        </w:rPr>
      </w:pPr>
      <w:r>
        <w:rPr>
          <w:b/>
          <w:sz w:val="20"/>
          <w:szCs w:val="20"/>
        </w:rPr>
        <w:t xml:space="preserve">11. SANÇÕES ADMINISTRATIVAS </w:t>
      </w:r>
    </w:p>
    <w:p>
      <w:pPr>
        <w:pStyle w:val="Normal"/>
        <w:spacing w:lineRule="auto" w:line="240"/>
        <w:jc w:val="both"/>
        <w:rPr>
          <w:rFonts w:ascii="Arial" w:hAnsi="Arial"/>
          <w:sz w:val="20"/>
          <w:szCs w:val="20"/>
        </w:rPr>
      </w:pPr>
      <w:r>
        <w:rPr>
          <w:sz w:val="20"/>
          <w:szCs w:val="20"/>
        </w:rPr>
        <w:t xml:space="preserve">11.1. A </w:t>
      </w:r>
      <w:r>
        <w:rPr>
          <w:b/>
          <w:bCs/>
          <w:sz w:val="20"/>
          <w:szCs w:val="20"/>
        </w:rPr>
        <w:t>CONTRATADA</w:t>
      </w:r>
      <w:r>
        <w:rPr>
          <w:sz w:val="20"/>
          <w:szCs w:val="20"/>
        </w:rPr>
        <w:t xml:space="preserve"> que cometer qualquer conduta que infrinja as condições e prazos estabelecidos no instrumento ou na legislação atinente à execução do objeto ficará sujeita, sem prejuízo da responsabilidade civil e criminal, conforme disposto na Lei n.º 14.133/21, às sanções a seguir estabelecidas, aplicáveis após regular Processo Administrativo de Penalização de fornecedor:</w:t>
      </w:r>
    </w:p>
    <w:p>
      <w:pPr>
        <w:pStyle w:val="Normal"/>
        <w:spacing w:lineRule="auto" w:line="240"/>
        <w:jc w:val="both"/>
        <w:rPr>
          <w:rFonts w:ascii="Arial" w:hAnsi="Arial"/>
          <w:sz w:val="20"/>
          <w:szCs w:val="20"/>
        </w:rPr>
      </w:pPr>
      <w:r>
        <w:rPr>
          <w:sz w:val="20"/>
          <w:szCs w:val="20"/>
        </w:rPr>
        <w:t xml:space="preserve">11.1.1. </w:t>
      </w:r>
      <w:r>
        <w:rPr>
          <w:b/>
          <w:bCs/>
          <w:sz w:val="20"/>
          <w:szCs w:val="20"/>
        </w:rPr>
        <w:t>ADVERTÊNCIA ESCRITA</w:t>
      </w:r>
      <w:r>
        <w:rPr>
          <w:sz w:val="20"/>
          <w:szCs w:val="20"/>
        </w:rPr>
        <w:t xml:space="preserve"> em razão de falhas que não caibam a aplicação de sanção mais grave em virtude de serem corrigidas no prazo estipulado pela fiscalização. </w:t>
      </w:r>
    </w:p>
    <w:p>
      <w:pPr>
        <w:pStyle w:val="Normal"/>
        <w:spacing w:lineRule="auto" w:line="240"/>
        <w:jc w:val="both"/>
        <w:rPr>
          <w:rFonts w:ascii="Arial" w:hAnsi="Arial"/>
          <w:sz w:val="20"/>
          <w:szCs w:val="20"/>
        </w:rPr>
      </w:pPr>
      <w:r>
        <w:rPr>
          <w:sz w:val="20"/>
          <w:szCs w:val="20"/>
        </w:rPr>
        <w:t xml:space="preserve">11.1.2. </w:t>
      </w:r>
      <w:r>
        <w:rPr>
          <w:b/>
          <w:bCs/>
          <w:sz w:val="20"/>
          <w:szCs w:val="20"/>
        </w:rPr>
        <w:t xml:space="preserve">MULTA </w:t>
      </w:r>
      <w:r>
        <w:rPr>
          <w:sz w:val="20"/>
          <w:szCs w:val="20"/>
        </w:rPr>
        <w:t>por descumprimento de prazos e condições ajustados, conforme classificação de gravidade da inconformidade diagnosticada pelo CONTRATANTE, seguindo, ainda a tabela de classificação de inconformidades integrante deste item, nos seguintes termos:</w:t>
      </w:r>
    </w:p>
    <w:p>
      <w:pPr>
        <w:pStyle w:val="Normal"/>
        <w:spacing w:lineRule="auto" w:line="240"/>
        <w:jc w:val="both"/>
        <w:rPr>
          <w:rFonts w:ascii="Arial" w:hAnsi="Arial"/>
          <w:sz w:val="20"/>
          <w:szCs w:val="20"/>
        </w:rPr>
      </w:pPr>
      <w:r>
        <w:rPr>
          <w:sz w:val="20"/>
          <w:szCs w:val="20"/>
        </w:rPr>
        <w:t xml:space="preserve">11.1.2.1. para inconformidade </w:t>
      </w:r>
      <w:r>
        <w:rPr>
          <w:b/>
          <w:bCs/>
          <w:sz w:val="20"/>
          <w:szCs w:val="20"/>
        </w:rPr>
        <w:t>LEVE</w:t>
      </w:r>
      <w:r>
        <w:rPr>
          <w:sz w:val="20"/>
          <w:szCs w:val="20"/>
        </w:rPr>
        <w:t xml:space="preserve">, será aplicada multa na razão de 0,5% (cinco décimos por cento) ao dia, sobre o valor global do item/grupo, até 30 (trinta) dias de atraso, podendo, justificadamente, ser cancelada a nota de empenho, a autorização de compra ou outro instrumento hábil, nas seguintes situações: </w:t>
      </w:r>
    </w:p>
    <w:p>
      <w:pPr>
        <w:pStyle w:val="Normal"/>
        <w:spacing w:lineRule="auto" w:line="240"/>
        <w:jc w:val="both"/>
        <w:rPr>
          <w:rFonts w:ascii="Arial" w:hAnsi="Arial"/>
          <w:sz w:val="20"/>
          <w:szCs w:val="20"/>
        </w:rPr>
      </w:pPr>
      <w:r>
        <w:rPr>
          <w:sz w:val="20"/>
          <w:szCs w:val="20"/>
        </w:rPr>
        <w:t xml:space="preserve">a) pela não entrega da documentação exigida para o certame, nos prazos previstos; </w:t>
      </w:r>
    </w:p>
    <w:p>
      <w:pPr>
        <w:pStyle w:val="Normal"/>
        <w:spacing w:lineRule="auto" w:line="240"/>
        <w:jc w:val="both"/>
        <w:rPr>
          <w:rFonts w:ascii="Arial" w:hAnsi="Arial"/>
          <w:sz w:val="20"/>
          <w:szCs w:val="20"/>
        </w:rPr>
      </w:pPr>
      <w:r>
        <w:rPr>
          <w:sz w:val="20"/>
          <w:szCs w:val="20"/>
        </w:rPr>
        <w:t xml:space="preserve">b) pelo retardamento da execução ou da entrega do objeto da contratação sem motivo justificado. </w:t>
      </w:r>
    </w:p>
    <w:p>
      <w:pPr>
        <w:pStyle w:val="Normal"/>
        <w:spacing w:lineRule="auto" w:line="240"/>
        <w:jc w:val="both"/>
        <w:rPr>
          <w:rFonts w:ascii="Arial" w:hAnsi="Arial"/>
          <w:sz w:val="20"/>
          <w:szCs w:val="20"/>
        </w:rPr>
      </w:pPr>
      <w:r>
        <w:rPr>
          <w:sz w:val="20"/>
          <w:szCs w:val="20"/>
        </w:rPr>
        <w:t xml:space="preserve">11.1.2.2. para inconformidade </w:t>
      </w:r>
      <w:r>
        <w:rPr>
          <w:b/>
          <w:bCs/>
          <w:sz w:val="20"/>
          <w:szCs w:val="20"/>
        </w:rPr>
        <w:t>MODERADA</w:t>
      </w:r>
      <w:r>
        <w:rPr>
          <w:sz w:val="20"/>
          <w:szCs w:val="20"/>
        </w:rPr>
        <w:t>, será aplicada multa de 10% (dez por cento), sobre o valor da parcela inadimplida, podendo, justificadamente, ser cancelada a nota de empenho, a autorização de compra ou outro instrumento hábil, nas seguintes situações:</w:t>
      </w:r>
    </w:p>
    <w:p>
      <w:pPr>
        <w:pStyle w:val="Normal"/>
        <w:spacing w:lineRule="auto" w:line="240"/>
        <w:jc w:val="both"/>
        <w:rPr>
          <w:rFonts w:ascii="Arial" w:hAnsi="Arial"/>
          <w:sz w:val="20"/>
          <w:szCs w:val="20"/>
        </w:rPr>
      </w:pPr>
      <w:r>
        <w:rPr>
          <w:sz w:val="20"/>
          <w:szCs w:val="20"/>
        </w:rPr>
        <w:t xml:space="preserve">a) pela entrega do objeto em desacordo com o solicitado, quando não houver a pronta adequação no prazo fixado; </w:t>
      </w:r>
    </w:p>
    <w:p>
      <w:pPr>
        <w:pStyle w:val="Normal"/>
        <w:spacing w:lineRule="auto" w:line="240"/>
        <w:jc w:val="both"/>
        <w:rPr>
          <w:rFonts w:ascii="Arial" w:hAnsi="Arial"/>
          <w:sz w:val="20"/>
          <w:szCs w:val="20"/>
        </w:rPr>
      </w:pPr>
      <w:r>
        <w:rPr>
          <w:sz w:val="20"/>
          <w:szCs w:val="20"/>
        </w:rPr>
        <w:t xml:space="preserve">b) pela não manutenção da proposta, salvo em decorrência de fato superveniente devidamente justificado; </w:t>
      </w:r>
    </w:p>
    <w:p>
      <w:pPr>
        <w:pStyle w:val="Normal"/>
        <w:spacing w:lineRule="auto" w:line="240"/>
        <w:jc w:val="both"/>
        <w:rPr>
          <w:rFonts w:ascii="Arial" w:hAnsi="Arial"/>
          <w:sz w:val="20"/>
          <w:szCs w:val="20"/>
        </w:rPr>
      </w:pPr>
      <w:r>
        <w:rPr>
          <w:sz w:val="20"/>
          <w:szCs w:val="20"/>
        </w:rPr>
        <w:t xml:space="preserve">c) pela subcontratação de serviços quando não permitidos. </w:t>
      </w:r>
    </w:p>
    <w:p>
      <w:pPr>
        <w:pStyle w:val="Normal"/>
        <w:spacing w:lineRule="auto" w:line="240"/>
        <w:jc w:val="both"/>
        <w:rPr>
          <w:rFonts w:ascii="Arial" w:hAnsi="Arial"/>
          <w:sz w:val="20"/>
          <w:szCs w:val="20"/>
        </w:rPr>
      </w:pPr>
      <w:r>
        <w:rPr>
          <w:sz w:val="20"/>
          <w:szCs w:val="20"/>
        </w:rPr>
        <w:t xml:space="preserve">11.1.2.3. para inconformidade </w:t>
      </w:r>
      <w:r>
        <w:rPr>
          <w:b/>
          <w:bCs/>
          <w:sz w:val="20"/>
          <w:szCs w:val="20"/>
        </w:rPr>
        <w:t>GRAVE</w:t>
      </w:r>
      <w:r>
        <w:rPr>
          <w:sz w:val="20"/>
          <w:szCs w:val="20"/>
        </w:rPr>
        <w:t xml:space="preserve">: </w:t>
      </w:r>
    </w:p>
    <w:p>
      <w:pPr>
        <w:pStyle w:val="Normal"/>
        <w:spacing w:lineRule="auto" w:line="240"/>
        <w:jc w:val="both"/>
        <w:rPr>
          <w:rFonts w:ascii="Arial" w:hAnsi="Arial"/>
          <w:sz w:val="20"/>
          <w:szCs w:val="20"/>
        </w:rPr>
      </w:pPr>
      <w:r>
        <w:rPr>
          <w:sz w:val="20"/>
          <w:szCs w:val="20"/>
        </w:rPr>
        <w:t xml:space="preserve">11.1.2.3.1. será aplicada multa de 15% (quinze por cento), sobre o valor global do item/grupo, pela não celebração da contratação ou não entrega da documentação exigida para a contratação, quando convocado dentro do prazo de validade de sua proposta; </w:t>
      </w:r>
    </w:p>
    <w:p>
      <w:pPr>
        <w:pStyle w:val="Normal"/>
        <w:spacing w:lineRule="auto" w:line="240"/>
        <w:jc w:val="both"/>
        <w:rPr>
          <w:rFonts w:ascii="Arial" w:hAnsi="Arial"/>
          <w:sz w:val="20"/>
          <w:szCs w:val="20"/>
        </w:rPr>
      </w:pPr>
      <w:r>
        <w:rPr>
          <w:sz w:val="20"/>
          <w:szCs w:val="20"/>
        </w:rPr>
        <w:t>11.1.2.3.2. será aplicada multa de 0,10% (dez décimos por cento), ao dia, sobre o valor da parcela inadimplida, até o limite de 30% (trinta por cento), pelo atraso injustificado na entrega do objeto, em prazo superior a 30 (trinta) dias consecutivos;</w:t>
      </w:r>
    </w:p>
    <w:p>
      <w:pPr>
        <w:pStyle w:val="Normal"/>
        <w:spacing w:lineRule="auto" w:line="240"/>
        <w:jc w:val="both"/>
        <w:rPr>
          <w:rFonts w:ascii="Arial" w:hAnsi="Arial"/>
          <w:sz w:val="20"/>
          <w:szCs w:val="20"/>
        </w:rPr>
      </w:pPr>
      <w:r>
        <w:rPr>
          <w:sz w:val="20"/>
          <w:szCs w:val="20"/>
        </w:rPr>
        <w:t xml:space="preserve">11.1.2.3.3. será aplicada multa de 15% (quinze por cento) da parcela inadimplida, podendo, também, ser cancelada a nota de empenho, a autorização de compra ou outro instrumento hábil, pela inexecução parcial do objeto, salvo quando causar grave dano à Administração, ao funcionamento dos serviços públicos ou ao interesse coletivo, será aplicada a penalidade correspondente. </w:t>
      </w:r>
    </w:p>
    <w:p>
      <w:pPr>
        <w:pStyle w:val="Normal"/>
        <w:spacing w:lineRule="auto" w:line="240"/>
        <w:jc w:val="both"/>
        <w:rPr>
          <w:rFonts w:ascii="Arial" w:hAnsi="Arial"/>
          <w:sz w:val="20"/>
          <w:szCs w:val="20"/>
        </w:rPr>
      </w:pPr>
      <w:r>
        <w:rPr>
          <w:sz w:val="20"/>
          <w:szCs w:val="20"/>
        </w:rPr>
        <w:t xml:space="preserve">11.1.2.4. para inconformidade </w:t>
      </w:r>
      <w:r>
        <w:rPr>
          <w:b/>
          <w:bCs/>
          <w:sz w:val="20"/>
          <w:szCs w:val="20"/>
        </w:rPr>
        <w:t>GRAVÍSSIMA</w:t>
      </w:r>
      <w:r>
        <w:rPr>
          <w:sz w:val="20"/>
          <w:szCs w:val="20"/>
        </w:rPr>
        <w:t xml:space="preserve">: </w:t>
      </w:r>
    </w:p>
    <w:p>
      <w:pPr>
        <w:pStyle w:val="Normal"/>
        <w:spacing w:lineRule="auto" w:line="240"/>
        <w:jc w:val="both"/>
        <w:rPr>
          <w:rFonts w:ascii="Arial" w:hAnsi="Arial"/>
          <w:sz w:val="20"/>
          <w:szCs w:val="20"/>
        </w:rPr>
      </w:pPr>
      <w:r>
        <w:rPr>
          <w:sz w:val="20"/>
          <w:szCs w:val="20"/>
        </w:rPr>
        <w:t xml:space="preserve">11.1.2.4.1. será aplicada multa de 20% (vinte por cento) da parcela inadimplida, podendo, também, ser cancelada a nota de empenho, a autorização de compra ou outro instrumento hábil, pela inexecução total do objeto. </w:t>
      </w:r>
    </w:p>
    <w:p>
      <w:pPr>
        <w:pStyle w:val="Normal"/>
        <w:spacing w:lineRule="auto" w:line="240"/>
        <w:jc w:val="both"/>
        <w:rPr>
          <w:rFonts w:ascii="Arial" w:hAnsi="Arial"/>
          <w:sz w:val="20"/>
          <w:szCs w:val="20"/>
        </w:rPr>
      </w:pPr>
      <w:r>
        <w:rPr>
          <w:sz w:val="20"/>
          <w:szCs w:val="20"/>
        </w:rPr>
        <w:t>11.1.2.4.2. será aplicada multa de 30% (trinta por cento) da parcela inadimplida, podendo, também, ser cancelada a nota de empenho, a autorização de compra ou outro instrumento hábil, pela inexecução parcial do objeto que cause grave dano à Administração, ao funcionamento dos serviços públicos ou ao interesse coletivo.</w:t>
      </w:r>
    </w:p>
    <w:p>
      <w:pPr>
        <w:pStyle w:val="Normal"/>
        <w:spacing w:lineRule="auto" w:line="240"/>
        <w:jc w:val="both"/>
        <w:rPr>
          <w:rFonts w:ascii="Arial" w:hAnsi="Arial"/>
          <w:sz w:val="20"/>
          <w:szCs w:val="20"/>
        </w:rPr>
      </w:pPr>
      <w:r>
        <w:rPr>
          <w:sz w:val="20"/>
          <w:szCs w:val="20"/>
        </w:rPr>
        <w:t xml:space="preserve">11.1.3. quando da reincidência em irregularidades será dobrada a multa correspondente à infração cometida conforme subitens anteriores, até o limite de 30% (trinta por cento). </w:t>
      </w:r>
    </w:p>
    <w:p>
      <w:pPr>
        <w:pStyle w:val="Normal"/>
        <w:spacing w:lineRule="auto" w:line="240"/>
        <w:jc w:val="both"/>
        <w:rPr>
          <w:rFonts w:ascii="Arial" w:hAnsi="Arial"/>
          <w:sz w:val="20"/>
          <w:szCs w:val="20"/>
        </w:rPr>
      </w:pPr>
      <w:r>
        <w:rPr>
          <w:sz w:val="20"/>
          <w:szCs w:val="20"/>
        </w:rPr>
        <w:t xml:space="preserve">11.1.4. </w:t>
      </w:r>
      <w:r>
        <w:rPr>
          <w:b/>
          <w:bCs/>
          <w:sz w:val="20"/>
          <w:szCs w:val="20"/>
        </w:rPr>
        <w:t>IMPEDIMENTO DE LICITAR E CONTRATAR</w:t>
      </w:r>
      <w:r>
        <w:rPr>
          <w:sz w:val="20"/>
          <w:szCs w:val="20"/>
        </w:rPr>
        <w:t xml:space="preserve"> com a Administração Municipal pelo prazo de até 3 (três) anos, quando houver, bem como demais cominações legais, quando a licitante: </w:t>
      </w:r>
    </w:p>
    <w:p>
      <w:pPr>
        <w:pStyle w:val="Normal"/>
        <w:spacing w:lineRule="auto" w:line="240"/>
        <w:jc w:val="both"/>
        <w:rPr>
          <w:rFonts w:ascii="Arial" w:hAnsi="Arial"/>
          <w:sz w:val="20"/>
          <w:szCs w:val="20"/>
        </w:rPr>
      </w:pPr>
      <w:r>
        <w:rPr>
          <w:sz w:val="20"/>
          <w:szCs w:val="20"/>
        </w:rPr>
        <w:t xml:space="preserve">a) ensejar o retardamento da execução ou da entrega do objeto da contratação sem motivo justificado; </w:t>
      </w:r>
    </w:p>
    <w:p>
      <w:pPr>
        <w:pStyle w:val="Normal"/>
        <w:spacing w:lineRule="auto" w:line="240"/>
        <w:jc w:val="both"/>
        <w:rPr>
          <w:rFonts w:ascii="Arial" w:hAnsi="Arial"/>
          <w:sz w:val="20"/>
          <w:szCs w:val="20"/>
        </w:rPr>
      </w:pPr>
      <w:r>
        <w:rPr>
          <w:sz w:val="20"/>
          <w:szCs w:val="20"/>
        </w:rPr>
        <w:t xml:space="preserve">b) dar causa à inexecução total ou parcial do objeto; </w:t>
      </w:r>
    </w:p>
    <w:p>
      <w:pPr>
        <w:pStyle w:val="Normal"/>
        <w:spacing w:lineRule="auto" w:line="240"/>
        <w:jc w:val="both"/>
        <w:rPr>
          <w:rFonts w:ascii="Arial" w:hAnsi="Arial"/>
          <w:sz w:val="20"/>
          <w:szCs w:val="20"/>
        </w:rPr>
      </w:pPr>
      <w:r>
        <w:rPr>
          <w:sz w:val="20"/>
          <w:szCs w:val="20"/>
        </w:rPr>
        <w:t xml:space="preserve">c) dar causa à inexecução parcial da contratação que cause grave dano à Administração, ao funcionamento dos serviços públicos ou ao interesse coletivo; </w:t>
      </w:r>
    </w:p>
    <w:p>
      <w:pPr>
        <w:pStyle w:val="Normal"/>
        <w:spacing w:lineRule="auto" w:line="240"/>
        <w:jc w:val="both"/>
        <w:rPr>
          <w:rFonts w:ascii="Arial" w:hAnsi="Arial"/>
          <w:sz w:val="20"/>
          <w:szCs w:val="20"/>
        </w:rPr>
      </w:pPr>
      <w:r>
        <w:rPr>
          <w:sz w:val="20"/>
          <w:szCs w:val="20"/>
        </w:rPr>
        <w:t xml:space="preserve">d) deixar de entregar a documentação exigida para o certame; </w:t>
      </w:r>
    </w:p>
    <w:p>
      <w:pPr>
        <w:pStyle w:val="Normal"/>
        <w:spacing w:lineRule="auto" w:line="240"/>
        <w:jc w:val="both"/>
        <w:rPr>
          <w:rFonts w:ascii="Arial" w:hAnsi="Arial"/>
          <w:sz w:val="20"/>
          <w:szCs w:val="20"/>
        </w:rPr>
      </w:pPr>
      <w:r>
        <w:rPr>
          <w:sz w:val="20"/>
          <w:szCs w:val="20"/>
        </w:rPr>
        <w:t xml:space="preserve">e) não manter a proposta, salvo em decorrência de fato superveniente devidamente justificado; </w:t>
      </w:r>
    </w:p>
    <w:p>
      <w:pPr>
        <w:pStyle w:val="Normal"/>
        <w:spacing w:lineRule="auto" w:line="240"/>
        <w:jc w:val="both"/>
        <w:rPr>
          <w:rFonts w:ascii="Arial" w:hAnsi="Arial"/>
          <w:sz w:val="20"/>
          <w:szCs w:val="20"/>
        </w:rPr>
      </w:pPr>
      <w:r>
        <w:rPr>
          <w:sz w:val="20"/>
          <w:szCs w:val="20"/>
        </w:rPr>
        <w:t>f) não celebrar a contratação ou não entregar a documentação exigida para a contratação, quando convocado dentro do prazo de validade de sua proposta.</w:t>
      </w:r>
    </w:p>
    <w:p>
      <w:pPr>
        <w:pStyle w:val="Normal"/>
        <w:spacing w:lineRule="auto" w:line="240"/>
        <w:jc w:val="both"/>
        <w:rPr>
          <w:rFonts w:ascii="Arial" w:hAnsi="Arial"/>
          <w:sz w:val="20"/>
          <w:szCs w:val="20"/>
        </w:rPr>
      </w:pPr>
      <w:r>
        <w:rPr>
          <w:sz w:val="20"/>
          <w:szCs w:val="20"/>
        </w:rPr>
        <w:t xml:space="preserve">11.1.5. </w:t>
      </w:r>
      <w:r>
        <w:rPr>
          <w:b/>
          <w:bCs/>
          <w:sz w:val="20"/>
          <w:szCs w:val="20"/>
        </w:rPr>
        <w:t xml:space="preserve">IMPEDIMENTO DE LICITAR E CONTRATAR </w:t>
      </w:r>
      <w:r>
        <w:rPr>
          <w:sz w:val="20"/>
          <w:szCs w:val="20"/>
        </w:rPr>
        <w:t xml:space="preserve">com a Administração Municipal pelo prazo de até 6 (seis) anos, quando houver, bem como demais cominações legais, quando a licitante: </w:t>
      </w:r>
    </w:p>
    <w:p>
      <w:pPr>
        <w:pStyle w:val="Normal"/>
        <w:spacing w:lineRule="auto" w:line="240"/>
        <w:jc w:val="both"/>
        <w:rPr>
          <w:rFonts w:ascii="Arial" w:hAnsi="Arial"/>
          <w:sz w:val="20"/>
          <w:szCs w:val="20"/>
        </w:rPr>
      </w:pPr>
      <w:r>
        <w:rPr>
          <w:sz w:val="20"/>
          <w:szCs w:val="20"/>
        </w:rPr>
        <w:t>a) apresentar declaração ou documentação falsa exigida para o certame ou prestar declaração falsa durante o procedimento ou a execução da contratação;</w:t>
      </w:r>
    </w:p>
    <w:p>
      <w:pPr>
        <w:pStyle w:val="Normal"/>
        <w:spacing w:lineRule="auto" w:line="240"/>
        <w:jc w:val="both"/>
        <w:rPr>
          <w:rFonts w:ascii="Arial" w:hAnsi="Arial"/>
          <w:sz w:val="20"/>
          <w:szCs w:val="20"/>
        </w:rPr>
      </w:pPr>
      <w:r>
        <w:rPr>
          <w:sz w:val="20"/>
          <w:szCs w:val="20"/>
        </w:rPr>
        <w:t xml:space="preserve">b) fraudar a contratação ou praticar ato fraudulento na execução da contratação; </w:t>
      </w:r>
    </w:p>
    <w:p>
      <w:pPr>
        <w:pStyle w:val="Normal"/>
        <w:spacing w:lineRule="auto" w:line="240"/>
        <w:jc w:val="both"/>
        <w:rPr>
          <w:rFonts w:ascii="Arial" w:hAnsi="Arial"/>
          <w:sz w:val="20"/>
          <w:szCs w:val="20"/>
        </w:rPr>
      </w:pPr>
      <w:r>
        <w:rPr>
          <w:sz w:val="20"/>
          <w:szCs w:val="20"/>
        </w:rPr>
        <w:t xml:space="preserve">c) comportar-se de modo inidôneo ou cometer fraude de qualquer natureza; </w:t>
      </w:r>
    </w:p>
    <w:p>
      <w:pPr>
        <w:pStyle w:val="Normal"/>
        <w:spacing w:lineRule="auto" w:line="240"/>
        <w:jc w:val="both"/>
        <w:rPr>
          <w:rFonts w:ascii="Arial" w:hAnsi="Arial"/>
          <w:sz w:val="20"/>
          <w:szCs w:val="20"/>
        </w:rPr>
      </w:pPr>
      <w:r>
        <w:rPr>
          <w:sz w:val="20"/>
          <w:szCs w:val="20"/>
        </w:rPr>
        <w:t xml:space="preserve">d) praticar atos ilícitos com vistas a frustrar os objetivos da contratação; </w:t>
      </w:r>
    </w:p>
    <w:p>
      <w:pPr>
        <w:pStyle w:val="Normal"/>
        <w:spacing w:lineRule="auto" w:line="240"/>
        <w:jc w:val="both"/>
        <w:rPr>
          <w:rFonts w:ascii="Arial" w:hAnsi="Arial"/>
          <w:sz w:val="20"/>
          <w:szCs w:val="20"/>
        </w:rPr>
      </w:pPr>
      <w:r>
        <w:rPr>
          <w:sz w:val="20"/>
          <w:szCs w:val="20"/>
        </w:rPr>
        <w:t xml:space="preserve">e) praticar ato lesivo previsto no art. 5.º da Lei n.º 12.846, de 1.º de agosto de 2013; </w:t>
      </w:r>
    </w:p>
    <w:p>
      <w:pPr>
        <w:pStyle w:val="Normal"/>
        <w:spacing w:lineRule="auto" w:line="240"/>
        <w:jc w:val="both"/>
        <w:rPr>
          <w:rFonts w:ascii="Arial" w:hAnsi="Arial"/>
          <w:sz w:val="20"/>
          <w:szCs w:val="20"/>
        </w:rPr>
      </w:pPr>
      <w:r>
        <w:rPr>
          <w:sz w:val="20"/>
          <w:szCs w:val="20"/>
        </w:rPr>
        <w:t>f) ocorrer em 1 (uma) infração enquadrada como gravíssima ou 2 (duas) infrações enquadradas como grave ou 3 (três) infrações enquadradas como moderada aplicáveis após regular Processo Administrativo de Penalização de fornecedor em conformidade com o Lei Federal n° 14.133/21 e alterações ou 4 (quatro) infrações enquadradas como leve, ou, independente do grau, no caso da ocorrência de 5 (cinco) infrações.</w:t>
      </w:r>
    </w:p>
    <w:p>
      <w:pPr>
        <w:pStyle w:val="Normal"/>
        <w:spacing w:lineRule="auto" w:line="240"/>
        <w:jc w:val="both"/>
        <w:rPr>
          <w:rFonts w:ascii="Arial" w:hAnsi="Arial"/>
          <w:sz w:val="20"/>
          <w:szCs w:val="20"/>
        </w:rPr>
      </w:pPr>
      <w:r>
        <w:rPr>
          <w:sz w:val="20"/>
          <w:szCs w:val="20"/>
        </w:rPr>
        <w:t xml:space="preserve">11.2. Será facultada à CONTRATADA, nos termos da lei, apresentação de defesa prévia, na ocorrência de quaisquer das situações previstas neste Termo de Referência. </w:t>
      </w:r>
    </w:p>
    <w:p>
      <w:pPr>
        <w:pStyle w:val="Normal"/>
        <w:spacing w:lineRule="auto" w:line="240"/>
        <w:jc w:val="both"/>
        <w:rPr>
          <w:rFonts w:ascii="Arial" w:hAnsi="Arial"/>
          <w:sz w:val="20"/>
          <w:szCs w:val="20"/>
        </w:rPr>
      </w:pPr>
      <w:r>
        <w:rPr>
          <w:sz w:val="20"/>
          <w:szCs w:val="20"/>
        </w:rPr>
        <w:t xml:space="preserve">11.3. As multas e seu pagamento não eximirão a CONTRATADA de ser acionada judicialmente pela responsabilidade civil derivada de perdas e danos, decorrentes das infrações cometidas. </w:t>
      </w:r>
    </w:p>
    <w:p>
      <w:pPr>
        <w:pStyle w:val="Normal"/>
        <w:spacing w:lineRule="auto" w:line="240"/>
        <w:jc w:val="both"/>
        <w:rPr>
          <w:rFonts w:ascii="Arial" w:hAnsi="Arial"/>
          <w:sz w:val="20"/>
          <w:szCs w:val="20"/>
        </w:rPr>
      </w:pPr>
      <w:r>
        <w:rPr>
          <w:sz w:val="20"/>
          <w:szCs w:val="20"/>
        </w:rPr>
        <w:t xml:space="preserve">11.4. Caso a multa não seja quitada em até 15 (quinze) dias contados da emissão da DARM, estará sujeita à atualização monetária com base no mesmo índice previsto no subitem de reajuste (ou de pagamento). </w:t>
      </w:r>
    </w:p>
    <w:p>
      <w:pPr>
        <w:pStyle w:val="Normal"/>
        <w:spacing w:lineRule="auto" w:line="240"/>
        <w:jc w:val="both"/>
        <w:rPr>
          <w:rFonts w:ascii="Arial" w:hAnsi="Arial"/>
          <w:sz w:val="20"/>
          <w:szCs w:val="20"/>
        </w:rPr>
      </w:pPr>
      <w:r>
        <w:rPr>
          <w:sz w:val="20"/>
          <w:szCs w:val="20"/>
        </w:rPr>
        <w:t>11.5. As penalidades serão obrigatoriamente registradas no SICAF.</w:t>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b/>
          <w:sz w:val="20"/>
          <w:szCs w:val="20"/>
        </w:rPr>
        <w:t xml:space="preserve">12. VIGÊNCIA DO CONTRATO </w:t>
      </w:r>
    </w:p>
    <w:p>
      <w:pPr>
        <w:pStyle w:val="western"/>
        <w:spacing w:lineRule="auto" w:line="240" w:before="280" w:after="0"/>
        <w:jc w:val="both"/>
        <w:rPr>
          <w:rFonts w:ascii="Arial" w:hAnsi="Arial"/>
          <w:sz w:val="20"/>
          <w:szCs w:val="20"/>
        </w:rPr>
      </w:pPr>
      <w:r>
        <w:rPr>
          <w:rFonts w:ascii="Arial" w:hAnsi="Arial"/>
          <w:sz w:val="20"/>
          <w:szCs w:val="20"/>
        </w:rPr>
        <w:t xml:space="preserve">12.1. Conforme o especificado no item 1.5, o prazo de vigência da contratação será de 04 (quatro) meses, contado a partir da assinatura do instrumento contratual, nos termos do </w:t>
      </w:r>
      <w:r>
        <w:rPr>
          <w:rFonts w:ascii="Arial" w:hAnsi="Arial"/>
          <w:b/>
          <w:bCs/>
          <w:sz w:val="20"/>
          <w:szCs w:val="20"/>
        </w:rPr>
        <w:t>art. 75, inciso II e 105 da Lei nº 14.133/2021</w:t>
      </w:r>
      <w:r>
        <w:rPr>
          <w:rFonts w:ascii="Arial" w:hAnsi="Arial"/>
          <w:sz w:val="20"/>
          <w:szCs w:val="20"/>
        </w:rPr>
        <w:t>, ou até a conclusão do procedimento administrativo regular destinado à regularização da demanda.</w:t>
      </w:r>
    </w:p>
    <w:p>
      <w:pPr>
        <w:pStyle w:val="Normal"/>
        <w:keepNext w:val="true"/>
        <w:keepLines/>
        <w:spacing w:lineRule="auto" w:line="240" w:before="0" w:after="120"/>
        <w:jc w:val="both"/>
        <w:rPr>
          <w:rFonts w:ascii="Arial" w:hAnsi="Arial"/>
          <w:sz w:val="20"/>
          <w:szCs w:val="20"/>
        </w:rPr>
      </w:pPr>
      <w:r>
        <w:rPr>
          <w:b/>
          <w:bCs/>
          <w:sz w:val="20"/>
          <w:szCs w:val="20"/>
        </w:rPr>
        <w:t>13. INFORMAÇÕES RELEVANTES PARA O DIMENSIONAMENTO DA PROPOSTA, FORMA E CRITÉRIOS DE SELEÇÃO DO FORNECEDOR</w:t>
      </w:r>
    </w:p>
    <w:p>
      <w:pPr>
        <w:pStyle w:val="Normal"/>
        <w:spacing w:lineRule="auto" w:line="240"/>
        <w:jc w:val="both"/>
        <w:rPr>
          <w:rFonts w:ascii="Arial" w:hAnsi="Arial"/>
          <w:sz w:val="20"/>
          <w:szCs w:val="20"/>
        </w:rPr>
      </w:pPr>
      <w:r>
        <w:rPr>
          <w:color w:themeColor="text1" w:val="000000"/>
          <w:sz w:val="20"/>
          <w:szCs w:val="20"/>
        </w:rPr>
        <w:t xml:space="preserve">13.1. A seleção do fornecedor será realizada por meio de </w:t>
      </w:r>
      <w:r>
        <w:rPr>
          <w:b/>
          <w:bCs/>
          <w:color w:themeColor="text1" w:val="000000"/>
          <w:sz w:val="20"/>
          <w:szCs w:val="20"/>
        </w:rPr>
        <w:t>procedimento de Dispensa de Licitação</w:t>
      </w:r>
      <w:r>
        <w:rPr>
          <w:color w:themeColor="text1" w:val="000000"/>
          <w:sz w:val="20"/>
          <w:szCs w:val="20"/>
        </w:rPr>
        <w:t xml:space="preserve">, na </w:t>
      </w:r>
      <w:r>
        <w:rPr>
          <w:b/>
          <w:bCs/>
          <w:color w:themeColor="text1" w:val="000000"/>
          <w:sz w:val="20"/>
          <w:szCs w:val="20"/>
        </w:rPr>
        <w:t>modalidade Eletrônica</w:t>
      </w:r>
      <w:r>
        <w:rPr>
          <w:color w:themeColor="text1" w:val="000000"/>
          <w:sz w:val="20"/>
          <w:szCs w:val="20"/>
        </w:rPr>
        <w:t xml:space="preserve">, nos termos do </w:t>
      </w:r>
      <w:r>
        <w:rPr>
          <w:b/>
          <w:bCs/>
          <w:color w:themeColor="text1" w:val="000000"/>
          <w:sz w:val="20"/>
          <w:szCs w:val="20"/>
        </w:rPr>
        <w:t>art. 75, inciso II</w:t>
      </w:r>
      <w:r>
        <w:rPr>
          <w:color w:themeColor="text1" w:val="000000"/>
          <w:sz w:val="20"/>
          <w:szCs w:val="20"/>
        </w:rPr>
        <w:t xml:space="preserve">, da </w:t>
      </w:r>
      <w:r>
        <w:rPr>
          <w:b/>
          <w:bCs/>
          <w:color w:themeColor="text1" w:val="000000"/>
          <w:sz w:val="20"/>
          <w:szCs w:val="20"/>
        </w:rPr>
        <w:t>Lei Federal nº 14.133/2021</w:t>
      </w:r>
      <w:r>
        <w:rPr>
          <w:color w:themeColor="text1" w:val="000000"/>
          <w:sz w:val="20"/>
          <w:szCs w:val="20"/>
        </w:rPr>
        <w:t>, considerando que o valor estimado da contratação se enquadra nos limites legais estabelecidos para tal hipótese.</w:t>
      </w:r>
    </w:p>
    <w:p>
      <w:pPr>
        <w:pStyle w:val="Normal"/>
        <w:spacing w:lineRule="auto" w:line="240"/>
        <w:jc w:val="both"/>
        <w:rPr>
          <w:rFonts w:ascii="Arial" w:hAnsi="Arial"/>
          <w:sz w:val="20"/>
          <w:szCs w:val="20"/>
        </w:rPr>
      </w:pPr>
      <w:r>
        <w:rPr>
          <w:color w:themeColor="text1" w:val="000000"/>
          <w:sz w:val="20"/>
          <w:szCs w:val="20"/>
        </w:rPr>
        <w:t xml:space="preserve">13.1.1. O critério de julgamento adotado será o de </w:t>
      </w:r>
      <w:r>
        <w:rPr>
          <w:b/>
          <w:bCs/>
          <w:color w:themeColor="text1" w:val="000000"/>
          <w:sz w:val="20"/>
          <w:szCs w:val="20"/>
        </w:rPr>
        <w:t>menor preço</w:t>
      </w:r>
      <w:r>
        <w:rPr>
          <w:color w:themeColor="text1" w:val="000000"/>
          <w:sz w:val="20"/>
          <w:szCs w:val="20"/>
        </w:rPr>
        <w:t xml:space="preserve">, nos moldes do </w:t>
      </w:r>
      <w:r>
        <w:rPr>
          <w:b/>
          <w:bCs/>
          <w:color w:themeColor="text1" w:val="000000"/>
          <w:sz w:val="20"/>
          <w:szCs w:val="20"/>
        </w:rPr>
        <w:t>art. 33 da Lei nº 14.133/2021</w:t>
      </w:r>
      <w:r>
        <w:rPr>
          <w:color w:themeColor="text1" w:val="000000"/>
          <w:sz w:val="20"/>
          <w:szCs w:val="20"/>
        </w:rPr>
        <w:t>, devendo a proposta apresentada atender integralmente às especificações técnicas constantes neste Termo de Referência, assegurando a obtenção da proposta mais vantajosa para a Administração.</w:t>
      </w:r>
    </w:p>
    <w:p>
      <w:pPr>
        <w:pStyle w:val="Normal"/>
        <w:spacing w:lineRule="auto" w:line="240"/>
        <w:jc w:val="both"/>
        <w:rPr>
          <w:rFonts w:ascii="Arial" w:hAnsi="Arial"/>
          <w:sz w:val="20"/>
          <w:szCs w:val="20"/>
        </w:rPr>
      </w:pPr>
      <w:r>
        <w:rPr>
          <w:color w:themeColor="text1" w:val="000000"/>
          <w:sz w:val="20"/>
          <w:szCs w:val="20"/>
        </w:rPr>
        <w:t xml:space="preserve">13.2.2. Para fins de elaboração da proposta, o fornecedor deverá observar os </w:t>
      </w:r>
      <w:r>
        <w:rPr>
          <w:b/>
          <w:bCs/>
          <w:color w:themeColor="text1" w:val="000000"/>
          <w:sz w:val="20"/>
          <w:szCs w:val="20"/>
        </w:rPr>
        <w:t>requisitos técnicos mínimos estabelecidos no item 4.6 deste Termo de Referência</w:t>
      </w:r>
      <w:r>
        <w:rPr>
          <w:color w:themeColor="text1" w:val="000000"/>
          <w:sz w:val="20"/>
          <w:szCs w:val="20"/>
        </w:rPr>
        <w:t xml:space="preserve">, os quais são essenciais para assegurar a adequada prestação do serviço de </w:t>
      </w:r>
      <w:r>
        <w:rPr>
          <w:b/>
          <w:bCs/>
          <w:color w:themeColor="text1" w:val="000000"/>
          <w:sz w:val="20"/>
          <w:szCs w:val="20"/>
        </w:rPr>
        <w:t>locação de veículos automotores tipo passeio, modelo hatch, 0 km</w:t>
      </w:r>
      <w:r>
        <w:rPr>
          <w:color w:themeColor="text1" w:val="000000"/>
          <w:sz w:val="20"/>
          <w:szCs w:val="20"/>
        </w:rPr>
        <w:t>, conforme as necessidades da Secretaria Municipal de Segurança e Ordem Pública.</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en-US"/>
        </w:rPr>
        <w:t>13.2.</w:t>
      </w:r>
      <w:r>
        <w:rPr>
          <w:rFonts w:cs="Times New Roman"/>
          <w:color w:val="auto"/>
          <w:sz w:val="20"/>
          <w:szCs w:val="20"/>
          <w:lang w:eastAsia="en-US"/>
        </w:rPr>
        <w:t xml:space="preserve"> Exigências de habilitação</w:t>
      </w:r>
    </w:p>
    <w:p>
      <w:pPr>
        <w:pStyle w:val="Nivel2"/>
        <w:numPr>
          <w:ilvl w:val="2"/>
          <w:numId w:val="7"/>
        </w:numPr>
        <w:spacing w:lineRule="auto" w:line="240" w:before="120" w:after="288"/>
        <w:rPr>
          <w:rFonts w:ascii="Arial" w:hAnsi="Arial"/>
          <w:sz w:val="20"/>
          <w:szCs w:val="20"/>
        </w:rPr>
      </w:pPr>
      <w:r>
        <w:rPr>
          <w:rFonts w:cs="Times New Roman" w:ascii="Arial" w:hAnsi="Arial"/>
          <w:sz w:val="20"/>
          <w:szCs w:val="20"/>
        </w:rPr>
        <w:t>Para fins de habilitação, deverá o licitante comprovar os seguintes requisitos:</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zh-CN" w:bidi="hi-IN"/>
        </w:rPr>
        <w:t>13.3</w:t>
      </w:r>
      <w:r>
        <w:rPr>
          <w:rFonts w:cs="Times New Roman"/>
          <w:color w:val="auto"/>
          <w:sz w:val="20"/>
          <w:szCs w:val="20"/>
          <w:lang w:eastAsia="zh-CN" w:bidi="hi-IN"/>
        </w:rPr>
        <w:t>. Habilitação jurídica</w:t>
      </w:r>
    </w:p>
    <w:p>
      <w:pPr>
        <w:pStyle w:val="Nivel2"/>
        <w:numPr>
          <w:ilvl w:val="0"/>
          <w:numId w:val="0"/>
        </w:numPr>
        <w:spacing w:lineRule="auto" w:line="240" w:before="120" w:after="288"/>
        <w:ind w:hanging="0" w:left="0"/>
        <w:rPr>
          <w:rFonts w:ascii="Arial" w:hAnsi="Arial"/>
          <w:sz w:val="20"/>
          <w:szCs w:val="20"/>
        </w:rPr>
      </w:pPr>
      <w:bookmarkStart w:id="20" w:name="_Ref115800561"/>
      <w:r>
        <w:rPr>
          <w:rFonts w:cs="Times New Roman" w:ascii="Arial" w:hAnsi="Arial"/>
          <w:sz w:val="20"/>
          <w:szCs w:val="20"/>
        </w:rPr>
        <w:t>13.3.1.</w:t>
      </w:r>
      <w:r>
        <w:rPr>
          <w:rFonts w:cs="Times New Roman" w:ascii="Arial" w:hAnsi="Arial"/>
          <w:b/>
          <w:bCs/>
          <w:sz w:val="20"/>
          <w:szCs w:val="20"/>
        </w:rPr>
        <w:t xml:space="preserve"> Pessoa física:</w:t>
      </w:r>
      <w:r>
        <w:rPr>
          <w:rFonts w:cs="Times New Roman" w:ascii="Arial" w:hAnsi="Arial"/>
          <w:sz w:val="20"/>
          <w:szCs w:val="20"/>
        </w:rPr>
        <w:t xml:space="preserve"> cédula de identidade (RG) ou documento equivalente que, por força de lei, tenha validade para fins de identificação em todo o território nacional;</w:t>
      </w:r>
      <w:bookmarkEnd w:id="20"/>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13.3.2.</w:t>
      </w:r>
      <w:r>
        <w:rPr>
          <w:rFonts w:cs="Times New Roman" w:ascii="Arial" w:hAnsi="Arial"/>
          <w:b/>
          <w:bCs/>
          <w:sz w:val="20"/>
          <w:szCs w:val="20"/>
        </w:rPr>
        <w:t xml:space="preserve"> Empresário individual:</w:t>
      </w:r>
      <w:r>
        <w:rPr>
          <w:rFonts w:cs="Times New Roman" w:ascii="Arial" w:hAnsi="Arial"/>
          <w:sz w:val="20"/>
          <w:szCs w:val="20"/>
        </w:rPr>
        <w:t xml:space="preserve"> inscrição no Registro Público de Empresas Mercantis, a cargo da Junta Comercial da respectiva sede; </w:t>
      </w:r>
    </w:p>
    <w:p>
      <w:pPr>
        <w:pStyle w:val="Nivel2"/>
        <w:numPr>
          <w:ilvl w:val="0"/>
          <w:numId w:val="0"/>
        </w:numPr>
        <w:spacing w:lineRule="auto" w:line="240" w:before="120" w:after="288"/>
        <w:ind w:hanging="0" w:left="0"/>
        <w:rPr/>
      </w:pPr>
      <w:r>
        <w:rPr>
          <w:rFonts w:cs="Times New Roman" w:ascii="Arial" w:hAnsi="Arial"/>
          <w:sz w:val="20"/>
          <w:szCs w:val="20"/>
        </w:rPr>
        <w:t>13.3.3.</w:t>
      </w:r>
      <w:r>
        <w:rPr>
          <w:rFonts w:cs="Times New Roman" w:ascii="Arial" w:hAnsi="Arial"/>
          <w:b/>
          <w:bCs/>
          <w:sz w:val="20"/>
          <w:szCs w:val="20"/>
        </w:rPr>
        <w:t xml:space="preserve"> Microempreendedor Individual - MEI:</w:t>
      </w:r>
      <w:r>
        <w:rPr>
          <w:rFonts w:cs="Times New Roman" w:ascii="Arial" w:hAnsi="Arial"/>
          <w:sz w:val="20"/>
          <w:szCs w:val="20"/>
        </w:rPr>
        <w:t xml:space="preserve"> Certificado da Condição de Microempreendedor Individual - CCMEI, cuja aceitação ficará condicionada à verificação da autenticidade no sítio </w:t>
      </w:r>
      <w:hyperlink r:id="rId8">
        <w:r>
          <w:rPr>
            <w:rStyle w:val="Style3"/>
            <w:rFonts w:cs="Times New Roman" w:ascii="Arial" w:hAnsi="Arial"/>
            <w:color w:val="000080"/>
            <w:sz w:val="20"/>
            <w:szCs w:val="20"/>
            <w:u w:val="single"/>
          </w:rPr>
          <w:t>https://www.gov.br/empresas-e-negocios/pt-br/empreendedor</w:t>
        </w:r>
      </w:hyperlink>
      <w:r>
        <w:rPr>
          <w:rFonts w:cs="Times New Roman" w:ascii="Arial" w:hAnsi="Arial"/>
          <w:sz w:val="20"/>
          <w:szCs w:val="20"/>
        </w:rPr>
        <w:t xml:space="preserve">;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13.3.4.</w:t>
      </w:r>
      <w:r>
        <w:rPr>
          <w:rFonts w:cs="Times New Roman" w:ascii="Arial" w:hAnsi="Arial"/>
          <w:b/>
          <w:bCs/>
          <w:sz w:val="20"/>
          <w:szCs w:val="20"/>
        </w:rPr>
        <w:t xml:space="preserve"> Sociedade empresária, sociedade limitada unipessoal – SLU ou sociedade identificada como empresa individual de responsabilidade limitada - EIRELI:</w:t>
      </w:r>
      <w:r>
        <w:rPr>
          <w:rFonts w:cs="Times New Roman" w:ascii="Arial" w:hAnsi="Arial"/>
          <w:sz w:val="20"/>
          <w:szCs w:val="20"/>
        </w:rPr>
        <w:t xml:space="preserve"> inscrição do ato constitutivo, estatuto ou contrato social no Registro Público de Empresas Mercantis, a cargo da Junta Comercial da respectiva sede, acompanhada de documento comprobatório de seus administradores;</w:t>
      </w:r>
    </w:p>
    <w:p>
      <w:pPr>
        <w:pStyle w:val="Nivel2"/>
        <w:numPr>
          <w:ilvl w:val="0"/>
          <w:numId w:val="0"/>
        </w:numPr>
        <w:spacing w:lineRule="auto" w:line="240" w:before="120" w:after="288"/>
        <w:ind w:hanging="0" w:left="0"/>
        <w:rPr/>
      </w:pPr>
      <w:r>
        <w:rPr>
          <w:rFonts w:cs="Times New Roman" w:ascii="Arial" w:hAnsi="Arial"/>
          <w:sz w:val="20"/>
          <w:szCs w:val="20"/>
        </w:rPr>
        <w:t>13.3.5.</w:t>
      </w:r>
      <w:r>
        <w:rPr>
          <w:rFonts w:cs="Times New Roman" w:ascii="Arial" w:hAnsi="Arial"/>
          <w:b/>
          <w:bCs/>
          <w:sz w:val="20"/>
          <w:szCs w:val="20"/>
        </w:rPr>
        <w:t xml:space="preserve"> Sociedade empresária estrangeira:</w:t>
      </w:r>
      <w:r>
        <w:rPr>
          <w:rFonts w:cs="Times New Roman" w:ascii="Arial" w:hAnsi="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Pr>
            <w:rStyle w:val="Style3"/>
            <w:rFonts w:cs="Times New Roman" w:ascii="Arial" w:hAnsi="Arial"/>
            <w:color w:val="000080"/>
            <w:sz w:val="20"/>
            <w:szCs w:val="20"/>
            <w:u w:val="single"/>
          </w:rPr>
          <w:t>Normativa DREI/ME n.º 77, de 18 de março de 2020</w:t>
        </w:r>
      </w:hyperlink>
      <w:r>
        <w:rPr>
          <w:rFonts w:cs="Times New Roman" w:ascii="Arial" w:hAnsi="Arial"/>
          <w:sz w:val="20"/>
          <w:szCs w:val="20"/>
        </w:rPr>
        <w:t>.</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13.3.6.</w:t>
      </w:r>
      <w:r>
        <w:rPr>
          <w:rFonts w:cs="Times New Roman" w:ascii="Arial" w:hAnsi="Arial"/>
          <w:b/>
          <w:bCs/>
          <w:sz w:val="20"/>
          <w:szCs w:val="20"/>
        </w:rPr>
        <w:t xml:space="preserve"> Sociedade simples: </w:t>
      </w:r>
      <w:r>
        <w:rPr>
          <w:rFonts w:cs="Times New Roman" w:ascii="Arial" w:hAnsi="Arial"/>
          <w:sz w:val="20"/>
          <w:szCs w:val="20"/>
        </w:rPr>
        <w:t>inscrição do ato constitutivo no Registro Civil de Pessoas Jurídicas do local de sua sede, acompanhada de documento comprobatório de seus administradores;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13.3.7.</w:t>
      </w:r>
      <w:r>
        <w:rPr>
          <w:rFonts w:cs="Times New Roman" w:ascii="Arial" w:hAnsi="Arial"/>
          <w:b/>
          <w:bCs/>
          <w:sz w:val="20"/>
          <w:szCs w:val="20"/>
        </w:rPr>
        <w:t xml:space="preserve"> Filial, sucursal ou agência de sociedade simples ou empresária:</w:t>
      </w:r>
      <w:r>
        <w:rPr>
          <w:rFonts w:cs="Times New Roman" w:ascii="Arial" w:hAnsi="Arial"/>
          <w:sz w:val="20"/>
          <w:szCs w:val="20"/>
        </w:rPr>
        <w:t xml:space="preserve"> inscrição do ato constitutivo da filial, sucursal ou agência da sociedade simples ou empresária, respectivamente, no Registro Civil das Pessoas Jurídicas ou no Registro Público de Empresas </w:t>
      </w:r>
      <w:bookmarkStart w:id="21" w:name="_Int_ySfCXwr4"/>
      <w:r>
        <w:rPr>
          <w:rFonts w:cs="Times New Roman" w:ascii="Arial" w:hAnsi="Arial"/>
          <w:sz w:val="20"/>
          <w:szCs w:val="20"/>
        </w:rPr>
        <w:t>Mercantis onde</w:t>
      </w:r>
      <w:bookmarkEnd w:id="21"/>
      <w:r>
        <w:rPr>
          <w:rFonts w:cs="Times New Roman" w:ascii="Arial" w:hAnsi="Arial"/>
          <w:sz w:val="20"/>
          <w:szCs w:val="20"/>
        </w:rPr>
        <w:t xml:space="preserve"> opera, com averbação no Registro onde tem sede a matriz</w:t>
      </w:r>
    </w:p>
    <w:p>
      <w:pPr>
        <w:pStyle w:val="Nivel2"/>
        <w:numPr>
          <w:ilvl w:val="0"/>
          <w:numId w:val="0"/>
        </w:numPr>
        <w:spacing w:lineRule="auto" w:line="240" w:before="120" w:after="288"/>
        <w:ind w:hanging="0" w:left="0"/>
        <w:rPr/>
      </w:pPr>
      <w:r>
        <w:rPr>
          <w:rFonts w:cs="Times New Roman" w:ascii="Arial" w:hAnsi="Arial"/>
          <w:sz w:val="20"/>
          <w:szCs w:val="20"/>
        </w:rPr>
        <w:t>13.3.8.</w:t>
      </w:r>
      <w:r>
        <w:rPr>
          <w:rFonts w:cs="Times New Roman" w:ascii="Arial" w:hAnsi="Arial"/>
          <w:b/>
          <w:bCs/>
          <w:sz w:val="20"/>
          <w:szCs w:val="20"/>
        </w:rPr>
        <w:t xml:space="preserve"> Sociedade cooperativa:</w:t>
      </w:r>
      <w:r>
        <w:rPr>
          <w:rFonts w:cs="Times New Roman" w:ascii="Arial" w:hAnsi="Arial"/>
          <w:sz w:val="20"/>
          <w:szCs w:val="20"/>
        </w:rPr>
        <w:t xml:space="preserve"> ata de fundação e estatuto social, com a ata da assembleia que o aprovou, devidamente arquivado na Junta Comercial ou inscrito no Registro Civil das Pessoas Jurídicas da respectiva sede, além do registro de que trata o </w:t>
      </w:r>
      <w:r>
        <w:fldChar w:fldCharType="begin"/>
      </w:r>
      <w:r>
        <w:rPr>
          <w:rStyle w:val="Style3"/>
          <w:sz w:val="20"/>
          <w:u w:val="single"/>
          <w:szCs w:val="20"/>
          <w:rFonts w:cs="Times New Roman" w:ascii="Arial" w:hAnsi="Arial"/>
          <w:color w:val="000080"/>
        </w:rPr>
        <w:instrText xml:space="preserve"> HYPERLINK "https://www.planalto.gov.br/ccivil_03/leis/l5764.htm" \l "art107"</w:instrText>
      </w:r>
      <w:r>
        <w:rPr>
          <w:rStyle w:val="Style3"/>
          <w:sz w:val="20"/>
          <w:u w:val="single"/>
          <w:szCs w:val="20"/>
          <w:rFonts w:cs="Times New Roman" w:ascii="Arial" w:hAnsi="Arial"/>
          <w:color w:val="000080"/>
        </w:rPr>
        <w:fldChar w:fldCharType="separate"/>
      </w:r>
      <w:r>
        <w:rPr>
          <w:rStyle w:val="Style3"/>
          <w:rFonts w:cs="Times New Roman" w:ascii="Arial" w:hAnsi="Arial"/>
          <w:color w:val="000080"/>
          <w:sz w:val="20"/>
          <w:szCs w:val="20"/>
          <w:u w:val="single"/>
        </w:rPr>
        <w:t>art. 107 da Lei nº 5.764, de 16 de dezembro 1971</w:t>
      </w:r>
      <w:r>
        <w:rPr>
          <w:rStyle w:val="Style3"/>
          <w:sz w:val="20"/>
          <w:u w:val="single"/>
          <w:szCs w:val="20"/>
          <w:rFonts w:cs="Times New Roman" w:ascii="Arial" w:hAnsi="Arial"/>
          <w:color w:val="000080"/>
        </w:rPr>
        <w:fldChar w:fldCharType="end"/>
      </w:r>
      <w:r>
        <w:rPr>
          <w:rFonts w:cs="Times New Roman" w:ascii="Arial" w:hAnsi="Arial"/>
          <w:sz w:val="20"/>
          <w:szCs w:val="20"/>
        </w:rPr>
        <w:t>.</w:t>
      </w:r>
    </w:p>
    <w:p>
      <w:pPr>
        <w:pStyle w:val="Nivel2"/>
        <w:numPr>
          <w:ilvl w:val="0"/>
          <w:numId w:val="0"/>
        </w:numPr>
        <w:spacing w:lineRule="auto" w:line="240" w:before="120" w:after="288"/>
        <w:ind w:hanging="0" w:left="0"/>
        <w:rPr/>
      </w:pPr>
      <w:r>
        <w:rPr>
          <w:rFonts w:cs="Times New Roman" w:ascii="Arial" w:hAnsi="Arial"/>
          <w:sz w:val="20"/>
          <w:szCs w:val="20"/>
        </w:rPr>
        <w:t>13.3.9.</w:t>
      </w:r>
      <w:r>
        <w:rPr>
          <w:rFonts w:cs="Times New Roman" w:ascii="Arial" w:hAnsi="Arial"/>
          <w:b/>
          <w:bCs/>
          <w:sz w:val="20"/>
          <w:szCs w:val="20"/>
        </w:rPr>
        <w:t xml:space="preserve"> Agricultor familiar:</w:t>
      </w:r>
      <w:r>
        <w:rPr>
          <w:rFonts w:cs="Times New Roman" w:ascii="Arial" w:hAnsi="Arial"/>
          <w:sz w:val="20"/>
          <w:szCs w:val="20"/>
        </w:rPr>
        <w:t xml:space="preserve"> Declaração de Aptidão ao Pronaf – DAP ou DAP-P válida, ou, ainda, outros documentos definidos pela Secretaria Especial de Agricultura Familiar e do Desenvolvimento Agrário, nos termos do</w:t>
      </w:r>
      <w:r>
        <w:fldChar w:fldCharType="begin"/>
      </w:r>
      <w:r>
        <w:rPr>
          <w:rStyle w:val="Style3"/>
          <w:sz w:val="20"/>
          <w:u w:val="single"/>
          <w:szCs w:val="20"/>
          <w:rFonts w:cs="Times New Roman" w:ascii="Arial" w:hAnsi="Arial"/>
          <w:color w:val="000080"/>
        </w:rPr>
        <w:instrText xml:space="preserve"> HYPERLINK "https://www.planalto.gov.br/ccivil_03/_ato2019-2022/2021/decreto/d10880.htm" \l "art4%C2%A72"</w:instrText>
      </w:r>
      <w:r>
        <w:rPr>
          <w:rStyle w:val="Style3"/>
          <w:sz w:val="20"/>
          <w:u w:val="single"/>
          <w:szCs w:val="20"/>
          <w:rFonts w:cs="Times New Roman" w:ascii="Arial" w:hAnsi="Arial"/>
          <w:color w:val="000080"/>
        </w:rPr>
        <w:fldChar w:fldCharType="separate"/>
      </w:r>
      <w:r>
        <w:rPr>
          <w:rStyle w:val="Style3"/>
          <w:rFonts w:cs="Times New Roman" w:ascii="Arial" w:hAnsi="Arial"/>
          <w:color w:val="000080"/>
          <w:sz w:val="20"/>
          <w:szCs w:val="20"/>
          <w:u w:val="single"/>
        </w:rPr>
        <w:t xml:space="preserve"> art. 4º, §2º do Decreto nº 10.880, de 2 de dezembro de 2021</w:t>
      </w:r>
      <w:r>
        <w:rPr>
          <w:rStyle w:val="Style3"/>
          <w:sz w:val="20"/>
          <w:u w:val="single"/>
          <w:szCs w:val="20"/>
          <w:rFonts w:cs="Times New Roman" w:ascii="Arial" w:hAnsi="Arial"/>
          <w:color w:val="000080"/>
        </w:rPr>
        <w:fldChar w:fldCharType="end"/>
      </w:r>
      <w:r>
        <w:rPr>
          <w:rFonts w:cs="Times New Roman" w:ascii="Arial" w:hAnsi="Arial"/>
          <w:sz w:val="20"/>
          <w:szCs w:val="20"/>
        </w:rPr>
        <w:t>.</w:t>
      </w:r>
    </w:p>
    <w:p>
      <w:pPr>
        <w:pStyle w:val="Nivel2"/>
        <w:numPr>
          <w:ilvl w:val="0"/>
          <w:numId w:val="0"/>
        </w:numPr>
        <w:spacing w:lineRule="auto" w:line="240" w:before="120" w:after="288"/>
        <w:ind w:hanging="0" w:left="0"/>
        <w:rPr/>
      </w:pPr>
      <w:r>
        <w:rPr>
          <w:rFonts w:cs="Times New Roman" w:ascii="Arial" w:hAnsi="Arial"/>
          <w:sz w:val="20"/>
          <w:szCs w:val="20"/>
        </w:rPr>
        <w:t>13.3.10.</w:t>
      </w:r>
      <w:r>
        <w:rPr>
          <w:rFonts w:cs="Times New Roman" w:ascii="Arial" w:hAnsi="Arial"/>
          <w:b/>
          <w:bCs/>
          <w:sz w:val="20"/>
          <w:szCs w:val="20"/>
        </w:rPr>
        <w:t xml:space="preserve"> Produtor Rural:</w:t>
      </w:r>
      <w:r>
        <w:rPr>
          <w:rFonts w:cs="Times New Roman" w:ascii="Arial" w:hAnsi="Arial"/>
          <w:sz w:val="20"/>
          <w:szCs w:val="20"/>
        </w:rPr>
        <w:t xml:space="preserve"> matrícula no Cadastro Específico do INSS – CEI, que comprove a qualificação como produtor rural pessoa física, nos termos da </w:t>
      </w:r>
      <w:hyperlink r:id="rId10">
        <w:r>
          <w:rPr>
            <w:rStyle w:val="Style3"/>
            <w:rFonts w:cs="Times New Roman" w:ascii="Arial" w:hAnsi="Arial"/>
            <w:color w:val="000080"/>
            <w:sz w:val="20"/>
            <w:szCs w:val="20"/>
            <w:u w:val="single"/>
          </w:rPr>
          <w:t>Instrução Normativa RFB n. 971, de 13 de novembro de 2009</w:t>
        </w:r>
      </w:hyperlink>
      <w:r>
        <w:rPr>
          <w:rFonts w:cs="Times New Roman" w:ascii="Arial" w:hAnsi="Arial"/>
          <w:sz w:val="20"/>
          <w:szCs w:val="20"/>
        </w:rPr>
        <w:t xml:space="preserve"> (arts. 17 a 19 e 165).</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13.3.11. Os documentos apresentados deverão estar acompanhados de todas as alterações ou da consolidação respectiva.</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zh-CN" w:bidi="hi-IN"/>
        </w:rPr>
        <w:t>13.4.</w:t>
      </w:r>
      <w:r>
        <w:rPr>
          <w:rFonts w:cs="Times New Roman"/>
          <w:color w:val="auto"/>
          <w:sz w:val="20"/>
          <w:szCs w:val="20"/>
          <w:lang w:eastAsia="zh-CN" w:bidi="hi-IN"/>
        </w:rPr>
        <w:t xml:space="preserve"> Habilitação fiscal, social e trabalhista</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13.4.1. Prova de inscrição no Cadastro Nacional de Pessoas Jurídicas ou no Cadastro de Pessoas Físicas, conforme o caso;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2"/>
          <w:numId w:val="8"/>
        </w:numPr>
        <w:spacing w:lineRule="auto" w:line="240" w:before="120" w:after="288"/>
        <w:rPr>
          <w:rFonts w:ascii="Arial" w:hAnsi="Arial"/>
          <w:sz w:val="20"/>
          <w:szCs w:val="20"/>
        </w:rPr>
      </w:pPr>
      <w:r>
        <w:rPr>
          <w:rFonts w:cs="Times New Roman" w:ascii="Arial" w:hAnsi="Arial"/>
          <w:sz w:val="20"/>
          <w:szCs w:val="20"/>
        </w:rPr>
        <w:t>Prova de regularidade com o Fundo de Garantia do Tempo de Serviço (FGTS);</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 xml:space="preserve">13.4.6. Prova de regularidade com a Fazenda Municipal, Estadual e Federal, referente ao domicílio ou sede do fornecedor, relacionada à atividade que exerce e que constitui o objeto contratual, conforme disposto no art. 62, § 1º, inciso II, da Lei nº 14.133/2021.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 xml:space="preserve">13.4.7. Caso o fornecedor seja isento de tributos Municipais, Estaduais ou Federais relacionados ao objeto contratual, deverá comprovar essa condição por meio da apresentação de declaração emitida pela Fazenda competente do seu domicílio ou sede, ou de documento equivalente, conforme previsto em legislação específica. </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13.4.8. 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vel1-SemNum"/>
        <w:spacing w:lineRule="auto" w:line="240" w:before="120" w:after="288"/>
        <w:ind w:hanging="0" w:left="0" w:right="-15"/>
        <w:rPr>
          <w:rFonts w:ascii="Arial" w:hAnsi="Arial"/>
          <w:sz w:val="20"/>
          <w:szCs w:val="20"/>
        </w:rPr>
      </w:pPr>
      <w:r>
        <w:rPr>
          <w:rFonts w:cs="Times New Roman"/>
          <w:b w:val="false"/>
          <w:bCs w:val="false"/>
          <w:color w:val="auto"/>
          <w:sz w:val="20"/>
          <w:szCs w:val="20"/>
          <w:lang w:eastAsia="zh-CN" w:bidi="hi-IN"/>
        </w:rPr>
        <w:t>13.5.</w:t>
      </w:r>
      <w:r>
        <w:rPr>
          <w:rFonts w:cs="Times New Roman"/>
          <w:color w:val="auto"/>
          <w:sz w:val="20"/>
          <w:szCs w:val="20"/>
          <w:lang w:eastAsia="zh-CN" w:bidi="hi-IN"/>
        </w:rPr>
        <w:t xml:space="preserve"> Qualificação Econômico-Financeira</w:t>
      </w:r>
    </w:p>
    <w:p>
      <w:pPr>
        <w:pStyle w:val="Nivel2"/>
        <w:numPr>
          <w:ilvl w:val="0"/>
          <w:numId w:val="0"/>
        </w:numPr>
        <w:spacing w:lineRule="auto" w:line="240" w:before="120" w:after="288"/>
        <w:ind w:hanging="0" w:left="0"/>
        <w:rPr/>
      </w:pPr>
      <w:r>
        <w:rPr>
          <w:rFonts w:cs="Times New Roman" w:ascii="Arial" w:hAnsi="Arial"/>
          <w:sz w:val="20"/>
          <w:szCs w:val="20"/>
        </w:rPr>
        <w:t>13.5.1. Certidão negativa de insolvência civil expedida pelo distribuidor do domicílio ou sede do licitante, caso se trate de pessoa física, desde que admitida a sua participação na licitação (</w:t>
      </w:r>
      <w:r>
        <w:fldChar w:fldCharType="begin"/>
      </w:r>
      <w:r>
        <w:rPr>
          <w:rStyle w:val="Style3"/>
          <w:sz w:val="20"/>
          <w:u w:val="single"/>
          <w:szCs w:val="20"/>
          <w:rFonts w:cs="Times New Roman" w:ascii="Arial" w:hAnsi="Arial"/>
          <w:color w:val="000080"/>
        </w:rPr>
        <w:instrText xml:space="preserve"> HYPERLINK "https://www.gov.br/compras/pt-br/acesso-a-informacao/legislacao/instrucoes-normativas/instrucao-normativa-seges-me-no-116-de-21-de-dezembro-de-2021" \l "art5"</w:instrText>
      </w:r>
      <w:r>
        <w:rPr>
          <w:rStyle w:val="Style3"/>
          <w:sz w:val="20"/>
          <w:u w:val="single"/>
          <w:szCs w:val="20"/>
          <w:rFonts w:cs="Times New Roman" w:ascii="Arial" w:hAnsi="Arial"/>
          <w:color w:val="000080"/>
        </w:rPr>
        <w:fldChar w:fldCharType="separate"/>
      </w:r>
      <w:r>
        <w:rPr>
          <w:rStyle w:val="Style3"/>
          <w:rFonts w:cs="Times New Roman" w:ascii="Arial" w:hAnsi="Arial"/>
          <w:color w:val="000080"/>
          <w:sz w:val="20"/>
          <w:szCs w:val="20"/>
          <w:u w:val="single"/>
        </w:rPr>
        <w:t>art. 5º, inciso II, alínea “c”, da Instrução Normativa Seges/ME nº 116, de 2021</w:t>
      </w:r>
      <w:r>
        <w:rPr>
          <w:rStyle w:val="Style3"/>
          <w:sz w:val="20"/>
          <w:u w:val="single"/>
          <w:szCs w:val="20"/>
          <w:rFonts w:cs="Times New Roman" w:ascii="Arial" w:hAnsi="Arial"/>
          <w:color w:val="000080"/>
        </w:rPr>
        <w:fldChar w:fldCharType="end"/>
      </w:r>
      <w:r>
        <w:rPr>
          <w:rFonts w:cs="Times New Roman" w:ascii="Arial" w:hAnsi="Arial"/>
          <w:sz w:val="20"/>
          <w:szCs w:val="20"/>
        </w:rPr>
        <w:t xml:space="preserve">), ou de sociedade simples; </w:t>
      </w:r>
    </w:p>
    <w:p>
      <w:pPr>
        <w:pStyle w:val="Nivel2"/>
        <w:numPr>
          <w:ilvl w:val="0"/>
          <w:numId w:val="0"/>
        </w:numPr>
        <w:spacing w:lineRule="auto" w:line="240" w:before="120" w:after="288"/>
        <w:ind w:hanging="0" w:left="0"/>
        <w:rPr/>
      </w:pPr>
      <w:r>
        <w:rPr>
          <w:rFonts w:cs="Times New Roman" w:ascii="Arial" w:hAnsi="Arial"/>
          <w:sz w:val="20"/>
          <w:szCs w:val="20"/>
        </w:rPr>
        <w:t xml:space="preserve">13.5.2. Certidão negativa de falência expedida pelo distribuidor da sede do fornecedor - </w:t>
      </w:r>
      <w:r>
        <w:fldChar w:fldCharType="begin"/>
      </w:r>
      <w:r>
        <w:rPr>
          <w:rStyle w:val="Style3"/>
          <w:sz w:val="20"/>
          <w:u w:val="single"/>
          <w:szCs w:val="20"/>
          <w:rFonts w:cs="Times New Roman" w:ascii="Arial" w:hAnsi="Arial"/>
          <w:color w:val="000080"/>
        </w:rPr>
        <w:instrText xml:space="preserve"> HYPERLINK "http://www.planalto.gov.br/ccivil_03/_ato2019-2022/2021/lei/L14133.htm" \l "art69"</w:instrText>
      </w:r>
      <w:r>
        <w:rPr>
          <w:rStyle w:val="Style3"/>
          <w:sz w:val="20"/>
          <w:u w:val="single"/>
          <w:szCs w:val="20"/>
          <w:rFonts w:cs="Times New Roman" w:ascii="Arial" w:hAnsi="Arial"/>
          <w:color w:val="000080"/>
        </w:rPr>
        <w:fldChar w:fldCharType="separate"/>
      </w:r>
      <w:r>
        <w:rPr>
          <w:rStyle w:val="Style3"/>
          <w:rFonts w:cs="Times New Roman" w:ascii="Arial" w:hAnsi="Arial"/>
          <w:color w:val="000080"/>
          <w:sz w:val="20"/>
          <w:szCs w:val="20"/>
          <w:u w:val="single"/>
        </w:rPr>
        <w:t>Lei nº 14.133, de 2021, art. 69, caput, inciso II</w:t>
      </w:r>
      <w:r>
        <w:rPr>
          <w:rStyle w:val="Style3"/>
          <w:sz w:val="20"/>
          <w:u w:val="single"/>
          <w:szCs w:val="20"/>
          <w:rFonts w:cs="Times New Roman" w:ascii="Arial" w:hAnsi="Arial"/>
          <w:color w:val="000080"/>
        </w:rPr>
        <w:fldChar w:fldCharType="end"/>
      </w:r>
      <w:r>
        <w:rPr>
          <w:rFonts w:cs="Times New Roman" w:ascii="Arial" w:hAnsi="Arial"/>
          <w:sz w:val="20"/>
          <w:szCs w:val="20"/>
        </w:rPr>
        <w:t>);</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13.5.3.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pPr>
        <w:pStyle w:val="Nivel2"/>
        <w:numPr>
          <w:ilvl w:val="0"/>
          <w:numId w:val="0"/>
        </w:numPr>
        <w:spacing w:lineRule="auto" w:line="240" w:before="120" w:after="288"/>
        <w:ind w:hanging="0" w:left="0"/>
        <w:contextualSpacing/>
        <w:rPr>
          <w:rFonts w:ascii="Arial" w:hAnsi="Arial"/>
          <w:sz w:val="20"/>
          <w:szCs w:val="20"/>
        </w:rPr>
      </w:pPr>
      <w:r>
        <w:rPr>
          <w:rFonts w:eastAsia="Arial" w:cs="Times New Roman" w:ascii="Arial" w:hAnsi="Arial"/>
          <w:sz w:val="20"/>
          <w:szCs w:val="20"/>
        </w:rPr>
        <w:t>I - Liquidez Geral (LG) = (Ativo Circulante + Realizável a Longo Prazo)/( Passivo Circulante + Passivo Não Circulante);</w:t>
      </w:r>
    </w:p>
    <w:p>
      <w:pPr>
        <w:pStyle w:val="Nivel3"/>
        <w:numPr>
          <w:ilvl w:val="0"/>
          <w:numId w:val="0"/>
        </w:numPr>
        <w:spacing w:lineRule="auto" w:line="240" w:before="120" w:after="288"/>
        <w:ind w:hanging="0" w:left="0"/>
        <w:rPr>
          <w:rFonts w:ascii="Arial" w:hAnsi="Arial"/>
          <w:sz w:val="20"/>
          <w:szCs w:val="20"/>
        </w:rPr>
      </w:pPr>
      <w:r>
        <w:rPr>
          <w:rFonts w:eastAsia="Arial" w:cs="Times New Roman" w:ascii="Arial" w:hAnsi="Arial"/>
          <w:sz w:val="20"/>
          <w:szCs w:val="20"/>
        </w:rPr>
        <w:t>II - Solvência Geral (SG)= (Ativo Total) /(Passivo Circulante +Passivo não Circulante); e</w:t>
      </w:r>
    </w:p>
    <w:p>
      <w:pPr>
        <w:pStyle w:val="Nivel3"/>
        <w:numPr>
          <w:ilvl w:val="0"/>
          <w:numId w:val="0"/>
        </w:numPr>
        <w:spacing w:lineRule="auto" w:line="240" w:before="120" w:after="288"/>
        <w:ind w:hanging="0" w:left="0"/>
        <w:rPr>
          <w:rFonts w:ascii="Arial" w:hAnsi="Arial"/>
          <w:sz w:val="20"/>
          <w:szCs w:val="20"/>
        </w:rPr>
      </w:pPr>
      <w:r>
        <w:rPr>
          <w:rFonts w:eastAsia="Arial" w:cs="Times New Roman" w:ascii="Arial" w:hAnsi="Arial"/>
          <w:sz w:val="20"/>
          <w:szCs w:val="20"/>
        </w:rPr>
        <w:t>III - Liquidez Corrente (LC) = (Ativo Circulante) /(Passivo Circulante).</w:t>
      </w:r>
    </w:p>
    <w:p>
      <w:pPr>
        <w:pStyle w:val="Nivel2"/>
        <w:numPr>
          <w:ilvl w:val="0"/>
          <w:numId w:val="0"/>
        </w:numPr>
        <w:spacing w:lineRule="auto" w:line="240" w:before="120" w:after="288"/>
        <w:ind w:hanging="0" w:left="0"/>
        <w:rPr>
          <w:rFonts w:ascii="Arial" w:hAnsi="Arial"/>
          <w:sz w:val="20"/>
          <w:szCs w:val="20"/>
        </w:rPr>
      </w:pPr>
      <w:r>
        <w:rPr>
          <w:rFonts w:eastAsia="Arial" w:cs="Times New Roman" w:ascii="Arial" w:hAnsi="Arial"/>
          <w:color w:themeColor="text1" w:val="000000"/>
          <w:sz w:val="20"/>
          <w:szCs w:val="20"/>
        </w:rPr>
        <w:t>Caso a empresa licitante apresente resultado inferior ou igual a 1 (um) em qualquer dos índices de Liquidez Geral (LG), Solvência Geral (SG) e Liquidez Corrente (LC), será exigido para fins de habilitação capital mínimo de 05% do valor total estimado da contratação.</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13.5.5. As empresas criadas no exercício financeiro da licitação deverão atender a todas as exigências da habilitação e poderão substituir os demonstrativos contábeis pelo balanço de abertura. (Lei nº 14.133, de 2021, art. 65, §1º).</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13.5.6. O balanço patrimonial, demonstração de resultado de exercício e demais demonstrações contábeis limitar-se-ão ao último exercício no caso de a pessoa jurídica ter sido constituída há menos de 2 (dois) anos. (Lei nº 14.133, de 2021, art. 69, §6º).</w:t>
      </w:r>
    </w:p>
    <w:p>
      <w:pPr>
        <w:pStyle w:val="Nivel2"/>
        <w:numPr>
          <w:ilvl w:val="0"/>
          <w:numId w:val="0"/>
        </w:numPr>
        <w:spacing w:lineRule="auto" w:line="240" w:before="120" w:after="288"/>
        <w:ind w:hanging="0" w:left="0"/>
        <w:rPr>
          <w:rFonts w:ascii="Arial" w:hAnsi="Arial"/>
          <w:sz w:val="20"/>
          <w:szCs w:val="20"/>
        </w:rPr>
      </w:pPr>
      <w:r>
        <w:rPr>
          <w:rFonts w:ascii="Arial" w:hAnsi="Arial"/>
          <w:b/>
          <w:bCs/>
          <w:sz w:val="20"/>
          <w:szCs w:val="20"/>
        </w:rPr>
        <w:t>13.6. Qualificação Técnica</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13.6.1. A exigência de qualificação técnica tem como objetivo assegurar que a empresa contratada </w:t>
      </w:r>
      <w:r>
        <w:rPr>
          <w:rFonts w:ascii="Arial" w:hAnsi="Arial"/>
          <w:b/>
          <w:bCs/>
          <w:sz w:val="20"/>
          <w:szCs w:val="20"/>
        </w:rPr>
        <w:t>demonstre aptidão prévia, experiência operacional e capacidade técnica compatíveis com a execução do objeto contratual</w:t>
      </w:r>
      <w:r>
        <w:rPr>
          <w:rFonts w:ascii="Arial" w:hAnsi="Arial"/>
          <w:sz w:val="20"/>
          <w:szCs w:val="20"/>
        </w:rPr>
        <w:t xml:space="preserve">, que consiste na </w:t>
      </w:r>
      <w:r>
        <w:rPr>
          <w:rFonts w:ascii="Arial" w:hAnsi="Arial"/>
          <w:b/>
          <w:bCs/>
          <w:sz w:val="20"/>
          <w:szCs w:val="20"/>
        </w:rPr>
        <w:t>locação de veículos automotores tipo passeio, modelo hatch, 0 km, devidamente equipados, documentados e adesivados</w:t>
      </w:r>
      <w:r>
        <w:rPr>
          <w:rFonts w:ascii="Arial" w:hAnsi="Arial"/>
          <w:sz w:val="20"/>
          <w:szCs w:val="20"/>
        </w:rPr>
        <w:t>, conforme os parâmetros definidos no Termo de Referência.</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13.6.2. Tal exigência encontra respaldo no </w:t>
      </w:r>
      <w:r>
        <w:rPr>
          <w:rFonts w:ascii="Arial" w:hAnsi="Arial"/>
          <w:b/>
          <w:bCs/>
          <w:sz w:val="20"/>
          <w:szCs w:val="20"/>
        </w:rPr>
        <w:t>art. 67, inciso II, da Lei Federal nº 14.133/2021</w:t>
      </w:r>
      <w:r>
        <w:rPr>
          <w:rFonts w:ascii="Arial" w:hAnsi="Arial"/>
          <w:sz w:val="20"/>
          <w:szCs w:val="20"/>
        </w:rPr>
        <w:t xml:space="preserve">, que autoriza a Administração a estabelecer requisitos de habilitação técnica para garantir a exequibilidade contratual, bem como está em consonância com o princípio da </w:t>
      </w:r>
      <w:r>
        <w:rPr>
          <w:rFonts w:ascii="Arial" w:hAnsi="Arial"/>
          <w:b/>
          <w:bCs/>
          <w:sz w:val="20"/>
          <w:szCs w:val="20"/>
        </w:rPr>
        <w:t>seleção da proposta mais vantajosa</w:t>
      </w:r>
      <w:r>
        <w:rPr>
          <w:rFonts w:ascii="Arial" w:hAnsi="Arial"/>
          <w:sz w:val="20"/>
          <w:szCs w:val="20"/>
        </w:rPr>
        <w:t xml:space="preserve"> (art. 11 da mesma lei), assegurando a </w:t>
      </w:r>
      <w:r>
        <w:rPr>
          <w:rFonts w:ascii="Arial" w:hAnsi="Arial"/>
          <w:b/>
          <w:bCs/>
          <w:sz w:val="20"/>
          <w:szCs w:val="20"/>
        </w:rPr>
        <w:t>regularidade, continuidade, eficiência e segurança operacional</w:t>
      </w:r>
      <w:r>
        <w:rPr>
          <w:rFonts w:ascii="Arial" w:hAnsi="Arial"/>
          <w:sz w:val="20"/>
          <w:szCs w:val="20"/>
        </w:rPr>
        <w:t xml:space="preserve"> dos serviços vinculados ao Programa Estadual de Integração na Segurança – PROEIS, no Município de Paracambi.</w:t>
      </w:r>
    </w:p>
    <w:p>
      <w:pPr>
        <w:pStyle w:val="Nivel2"/>
        <w:numPr>
          <w:ilvl w:val="0"/>
          <w:numId w:val="0"/>
        </w:numPr>
        <w:spacing w:lineRule="auto" w:line="240" w:before="120" w:after="288"/>
        <w:ind w:hanging="0" w:left="0"/>
        <w:rPr>
          <w:rFonts w:ascii="Arial" w:hAnsi="Arial"/>
          <w:sz w:val="20"/>
          <w:szCs w:val="20"/>
        </w:rPr>
      </w:pPr>
      <w:r>
        <w:rPr>
          <w:rFonts w:ascii="Arial" w:hAnsi="Arial"/>
          <w:b/>
          <w:bCs/>
          <w:sz w:val="20"/>
          <w:szCs w:val="20"/>
        </w:rPr>
        <w:t>13.6.3.</w:t>
      </w:r>
      <w:r>
        <w:rPr>
          <w:rFonts w:ascii="Arial" w:hAnsi="Arial"/>
          <w:sz w:val="20"/>
          <w:szCs w:val="20"/>
        </w:rPr>
        <w:t xml:space="preserve"> A empresa deverá apresentar </w:t>
      </w:r>
      <w:r>
        <w:rPr>
          <w:rFonts w:ascii="Arial" w:hAnsi="Arial"/>
          <w:b/>
          <w:bCs/>
          <w:sz w:val="20"/>
          <w:szCs w:val="20"/>
        </w:rPr>
        <w:t>registro ou inscrição em órgão ou entidade profissional competente</w:t>
      </w:r>
      <w:r>
        <w:rPr>
          <w:rFonts w:ascii="Arial" w:hAnsi="Arial"/>
          <w:sz w:val="20"/>
          <w:szCs w:val="20"/>
        </w:rPr>
        <w:t>, quando legalmente exigido, devidamente regularizado e com validade vigente.</w:t>
      </w:r>
    </w:p>
    <w:p>
      <w:pPr>
        <w:pStyle w:val="Nivel2"/>
        <w:numPr>
          <w:ilvl w:val="0"/>
          <w:numId w:val="0"/>
        </w:numPr>
        <w:spacing w:lineRule="auto" w:line="240" w:before="120" w:after="288"/>
        <w:ind w:hanging="0" w:left="0"/>
        <w:rPr>
          <w:rFonts w:ascii="Arial" w:hAnsi="Arial"/>
          <w:sz w:val="20"/>
          <w:szCs w:val="20"/>
        </w:rPr>
      </w:pPr>
      <w:r>
        <w:rPr>
          <w:rFonts w:ascii="Arial" w:hAnsi="Arial"/>
          <w:b/>
          <w:bCs/>
          <w:sz w:val="20"/>
          <w:szCs w:val="20"/>
        </w:rPr>
        <w:t>13.6.4.</w:t>
      </w:r>
      <w:r>
        <w:rPr>
          <w:rFonts w:ascii="Arial" w:hAnsi="Arial"/>
          <w:sz w:val="20"/>
          <w:szCs w:val="20"/>
        </w:rPr>
        <w:t xml:space="preserve"> A comprovação de aptidão técnica será feita mediante a </w:t>
      </w:r>
      <w:r>
        <w:rPr>
          <w:rFonts w:ascii="Arial" w:hAnsi="Arial"/>
          <w:b/>
          <w:bCs/>
          <w:sz w:val="20"/>
          <w:szCs w:val="20"/>
        </w:rPr>
        <w:t>apresentação de certidões ou atestados de capacidade técnica</w:t>
      </w:r>
      <w:r>
        <w:rPr>
          <w:rFonts w:ascii="Arial" w:hAnsi="Arial"/>
          <w:sz w:val="20"/>
          <w:szCs w:val="20"/>
        </w:rPr>
        <w:t xml:space="preserve"> emitidos por pessoas jurídicas de direito público ou privado, que demonstrem a execução satisfatória de </w:t>
      </w:r>
      <w:r>
        <w:rPr>
          <w:rFonts w:ascii="Arial" w:hAnsi="Arial"/>
          <w:b/>
          <w:bCs/>
          <w:sz w:val="20"/>
          <w:szCs w:val="20"/>
        </w:rPr>
        <w:t>serviços de locação de veículos automotores</w:t>
      </w:r>
      <w:r>
        <w:rPr>
          <w:rFonts w:ascii="Arial" w:hAnsi="Arial"/>
          <w:sz w:val="20"/>
          <w:szCs w:val="20"/>
        </w:rPr>
        <w:t xml:space="preserve"> com características técnicas, operacionais e quantitativas </w:t>
      </w:r>
      <w:r>
        <w:rPr>
          <w:rFonts w:ascii="Arial" w:hAnsi="Arial"/>
          <w:b/>
          <w:bCs/>
          <w:sz w:val="20"/>
          <w:szCs w:val="20"/>
        </w:rPr>
        <w:t>semelhantes ou superiores</w:t>
      </w:r>
      <w:r>
        <w:rPr>
          <w:rFonts w:ascii="Arial" w:hAnsi="Arial"/>
          <w:sz w:val="20"/>
          <w:szCs w:val="20"/>
        </w:rPr>
        <w:t xml:space="preserve"> às exigidas neste instrumento convocatório.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13.6.5. Para fins de validação, os atestados deverão conter, no mínimo: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a) Indicação expressa da prestação de </w:t>
      </w:r>
      <w:r>
        <w:rPr>
          <w:rFonts w:ascii="Arial" w:hAnsi="Arial"/>
          <w:b/>
          <w:bCs/>
          <w:sz w:val="20"/>
          <w:szCs w:val="20"/>
        </w:rPr>
        <w:t>serviço de locação de veículos automotores</w:t>
      </w:r>
      <w:r>
        <w:rPr>
          <w:rFonts w:ascii="Arial" w:hAnsi="Arial"/>
          <w:sz w:val="20"/>
          <w:szCs w:val="20"/>
        </w:rPr>
        <w:t>;</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b) </w:t>
      </w:r>
      <w:r>
        <w:rPr>
          <w:rFonts w:ascii="Arial" w:hAnsi="Arial"/>
          <w:b/>
          <w:bCs/>
          <w:sz w:val="20"/>
          <w:szCs w:val="20"/>
        </w:rPr>
        <w:t>Quantitativo mínimo compatível</w:t>
      </w:r>
      <w:r>
        <w:rPr>
          <w:rFonts w:ascii="Arial" w:hAnsi="Arial"/>
          <w:sz w:val="20"/>
          <w:szCs w:val="20"/>
        </w:rPr>
        <w:t xml:space="preserve"> com o objeto ora licitado (locação de quatro veículos tipo passeio);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c) Indicação do </w:t>
      </w:r>
      <w:r>
        <w:rPr>
          <w:rFonts w:ascii="Arial" w:hAnsi="Arial"/>
          <w:b/>
          <w:bCs/>
          <w:sz w:val="20"/>
          <w:szCs w:val="20"/>
        </w:rPr>
        <w:t>período de execução contratual</w:t>
      </w:r>
      <w:r>
        <w:rPr>
          <w:rFonts w:ascii="Arial" w:hAnsi="Arial"/>
          <w:sz w:val="20"/>
          <w:szCs w:val="20"/>
        </w:rPr>
        <w:t>, com duração compatível com o exigido nesta contratação;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d) Declaração sobre o </w:t>
      </w:r>
      <w:r>
        <w:rPr>
          <w:rFonts w:ascii="Arial" w:hAnsi="Arial"/>
          <w:b/>
          <w:bCs/>
          <w:sz w:val="20"/>
          <w:szCs w:val="20"/>
        </w:rPr>
        <w:t>desempenho satisfatório</w:t>
      </w:r>
      <w:r>
        <w:rPr>
          <w:rFonts w:ascii="Arial" w:hAnsi="Arial"/>
          <w:sz w:val="20"/>
          <w:szCs w:val="20"/>
        </w:rPr>
        <w:t xml:space="preserve"> da contratada, emitida por responsável técnico ou autoridade competente.</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13.6.6. Será admitida, para fins de comprovação do quantitativo mínimo, a </w:t>
      </w:r>
      <w:r>
        <w:rPr>
          <w:rFonts w:ascii="Arial" w:hAnsi="Arial"/>
          <w:b/>
          <w:bCs/>
          <w:sz w:val="20"/>
          <w:szCs w:val="20"/>
        </w:rPr>
        <w:t>soma de diferentes atestados</w:t>
      </w:r>
      <w:r>
        <w:rPr>
          <w:rFonts w:ascii="Arial" w:hAnsi="Arial"/>
          <w:sz w:val="20"/>
          <w:szCs w:val="20"/>
        </w:rPr>
        <w:t xml:space="preserve">, desde que referentes a contratos </w:t>
      </w:r>
      <w:r>
        <w:rPr>
          <w:rFonts w:ascii="Arial" w:hAnsi="Arial"/>
          <w:b/>
          <w:bCs/>
          <w:sz w:val="20"/>
          <w:szCs w:val="20"/>
        </w:rPr>
        <w:t>executados concomitantemente</w:t>
      </w:r>
      <w:r>
        <w:rPr>
          <w:rFonts w:ascii="Arial" w:hAnsi="Arial"/>
          <w:sz w:val="20"/>
          <w:szCs w:val="20"/>
        </w:rPr>
        <w:t xml:space="preserve"> e que, em conjunto, atendam às exigências técnicas estabelecidas neste edital.</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13.6.7. Os atestados poderão ser apresentados </w:t>
      </w:r>
      <w:r>
        <w:rPr>
          <w:rFonts w:ascii="Arial" w:hAnsi="Arial"/>
          <w:b/>
          <w:bCs/>
          <w:sz w:val="20"/>
          <w:szCs w:val="20"/>
        </w:rPr>
        <w:t>em nome da matriz ou da filial</w:t>
      </w:r>
      <w:r>
        <w:rPr>
          <w:rFonts w:ascii="Arial" w:hAnsi="Arial"/>
          <w:sz w:val="20"/>
          <w:szCs w:val="20"/>
        </w:rPr>
        <w:t xml:space="preserve"> da empresa licitante, desde que haja comprovação documental da responsabilidade técnica da unidade que executou o objeto declarado.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13.6.8. A empresa deverá manter à disposição da Administração os documentos comprobatórios necessários à validação dos atestados apresentados, incluindo cópias dos contratos correspondentes, </w:t>
      </w:r>
      <w:r>
        <w:rPr>
          <w:rFonts w:ascii="Arial" w:hAnsi="Arial"/>
          <w:b/>
          <w:bCs/>
          <w:sz w:val="20"/>
          <w:szCs w:val="20"/>
        </w:rPr>
        <w:t>endereço atualizado das contratantes e local de execução dos serviços</w:t>
      </w:r>
      <w:r>
        <w:rPr>
          <w:rFonts w:ascii="Arial" w:hAnsi="Arial"/>
          <w:sz w:val="20"/>
          <w:szCs w:val="20"/>
        </w:rPr>
        <w:t>, sempre que solicitado formalmente.</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13.6.9. Caso haja previsão de participação de cooperativas, será exigida documentação complementar, a fim de garantir a </w:t>
      </w:r>
      <w:r>
        <w:rPr>
          <w:rFonts w:ascii="Arial" w:hAnsi="Arial"/>
          <w:b/>
          <w:bCs/>
          <w:sz w:val="20"/>
          <w:szCs w:val="20"/>
        </w:rPr>
        <w:t>vinculação direta dos cooperados à execução contratual</w:t>
      </w:r>
      <w:r>
        <w:rPr>
          <w:rFonts w:ascii="Arial" w:hAnsi="Arial"/>
          <w:sz w:val="20"/>
          <w:szCs w:val="20"/>
        </w:rPr>
        <w:t xml:space="preserve">, nos termos do </w:t>
      </w:r>
      <w:r>
        <w:rPr>
          <w:rFonts w:ascii="Arial" w:hAnsi="Arial"/>
          <w:b/>
          <w:bCs/>
          <w:sz w:val="20"/>
          <w:szCs w:val="20"/>
        </w:rPr>
        <w:t>art. 107 da Lei nº 5.764/1971</w:t>
      </w:r>
      <w:r>
        <w:rPr>
          <w:rFonts w:ascii="Arial" w:hAnsi="Arial"/>
          <w:sz w:val="20"/>
          <w:szCs w:val="20"/>
        </w:rPr>
        <w:t>, compreendendo, no mínimo: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a) </w:t>
      </w:r>
      <w:r>
        <w:rPr>
          <w:rFonts w:ascii="Arial" w:hAnsi="Arial"/>
          <w:b/>
          <w:bCs/>
          <w:sz w:val="20"/>
          <w:szCs w:val="20"/>
        </w:rPr>
        <w:t>Relação nominal dos cooperados</w:t>
      </w:r>
      <w:r>
        <w:rPr>
          <w:rFonts w:ascii="Arial" w:hAnsi="Arial"/>
          <w:sz w:val="20"/>
          <w:szCs w:val="20"/>
        </w:rPr>
        <w:t xml:space="preserve"> vinculados ao objeto, acompanhada das respectivas atas de admissão;</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b) </w:t>
      </w:r>
      <w:r>
        <w:rPr>
          <w:rFonts w:ascii="Arial" w:hAnsi="Arial"/>
          <w:b/>
          <w:bCs/>
          <w:sz w:val="20"/>
          <w:szCs w:val="20"/>
        </w:rPr>
        <w:t>Declaração de Regularidade da Situação do Contribuinte Individual (DRSCI)</w:t>
      </w:r>
      <w:r>
        <w:rPr>
          <w:rFonts w:ascii="Arial" w:hAnsi="Arial"/>
          <w:sz w:val="20"/>
          <w:szCs w:val="20"/>
        </w:rPr>
        <w:t xml:space="preserve"> dos cooperados indicados;</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c) </w:t>
      </w:r>
      <w:r>
        <w:rPr>
          <w:rFonts w:ascii="Arial" w:hAnsi="Arial"/>
          <w:b/>
          <w:bCs/>
          <w:sz w:val="20"/>
          <w:szCs w:val="20"/>
        </w:rPr>
        <w:t>Comprovação da integralização do capital social</w:t>
      </w:r>
      <w:r>
        <w:rPr>
          <w:rFonts w:ascii="Arial" w:hAnsi="Arial"/>
          <w:sz w:val="20"/>
          <w:szCs w:val="20"/>
        </w:rPr>
        <w:t xml:space="preserve"> correspondente à participação dos cooperados;</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d) </w:t>
      </w:r>
      <w:r>
        <w:rPr>
          <w:rFonts w:ascii="Arial" w:hAnsi="Arial"/>
          <w:b/>
          <w:bCs/>
          <w:sz w:val="20"/>
          <w:szCs w:val="20"/>
        </w:rPr>
        <w:t>Registro da cooperativa</w:t>
      </w:r>
      <w:r>
        <w:rPr>
          <w:rFonts w:ascii="Arial" w:hAnsi="Arial"/>
          <w:sz w:val="20"/>
          <w:szCs w:val="20"/>
        </w:rPr>
        <w:t xml:space="preserve"> e comprovação de regularidade fiscal e jurídica;</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e) Documentos que comprovem a </w:t>
      </w:r>
      <w:r>
        <w:rPr>
          <w:rFonts w:ascii="Arial" w:hAnsi="Arial"/>
          <w:b/>
          <w:bCs/>
          <w:sz w:val="20"/>
          <w:szCs w:val="20"/>
        </w:rPr>
        <w:t>autorização assemblear para participação na contratação pública</w:t>
      </w:r>
      <w:r>
        <w:rPr>
          <w:rFonts w:ascii="Arial" w:hAnsi="Arial"/>
          <w:sz w:val="20"/>
          <w:szCs w:val="20"/>
        </w:rPr>
        <w:t>.</w:t>
      </w:r>
    </w:p>
    <w:p>
      <w:pPr>
        <w:pStyle w:val="Nivel2"/>
        <w:numPr>
          <w:ilvl w:val="0"/>
          <w:numId w:val="0"/>
        </w:numPr>
        <w:spacing w:lineRule="auto" w:line="240" w:before="120" w:after="288"/>
        <w:ind w:hanging="0" w:left="0"/>
        <w:rPr>
          <w:rFonts w:ascii="Arial" w:hAnsi="Arial"/>
          <w:sz w:val="20"/>
          <w:szCs w:val="20"/>
        </w:rPr>
      </w:pPr>
      <w:r>
        <w:rPr>
          <w:rFonts w:ascii="Arial" w:hAnsi="Arial"/>
          <w:sz w:val="20"/>
          <w:szCs w:val="20"/>
        </w:rPr>
        <w:t xml:space="preserve">13.6.10. Deverá ser apresentada a </w:t>
      </w:r>
      <w:r>
        <w:rPr>
          <w:rFonts w:ascii="Arial" w:hAnsi="Arial"/>
          <w:b/>
          <w:bCs/>
          <w:sz w:val="20"/>
          <w:szCs w:val="20"/>
        </w:rPr>
        <w:t>última auditoria contábil-financeira da cooperativa</w:t>
      </w:r>
      <w:r>
        <w:rPr>
          <w:rFonts w:ascii="Arial" w:hAnsi="Arial"/>
          <w:sz w:val="20"/>
          <w:szCs w:val="20"/>
        </w:rPr>
        <w:t xml:space="preserve">, conforme previsto no </w:t>
      </w:r>
      <w:r>
        <w:rPr>
          <w:rFonts w:ascii="Arial" w:hAnsi="Arial"/>
          <w:b/>
          <w:bCs/>
          <w:sz w:val="20"/>
          <w:szCs w:val="20"/>
        </w:rPr>
        <w:t>art. 112 da Lei nº 5.764/1971</w:t>
      </w:r>
      <w:r>
        <w:rPr>
          <w:rFonts w:ascii="Arial" w:hAnsi="Arial"/>
          <w:sz w:val="20"/>
          <w:szCs w:val="20"/>
        </w:rPr>
        <w:t>, ou, alternativamente, declaração formal, sob as penas da lei, de que tal auditoria não foi exigida pelo órgão fiscalizador competente.</w:t>
      </w:r>
    </w:p>
    <w:p>
      <w:pPr>
        <w:pStyle w:val="Nivel2"/>
        <w:numPr>
          <w:ilvl w:val="0"/>
          <w:numId w:val="0"/>
        </w:numPr>
        <w:spacing w:lineRule="auto" w:line="240" w:before="120" w:after="288"/>
        <w:ind w:hanging="0" w:left="0"/>
        <w:rPr>
          <w:rFonts w:ascii="Arial" w:hAnsi="Arial"/>
          <w:sz w:val="20"/>
          <w:szCs w:val="20"/>
        </w:rPr>
      </w:pPr>
      <w:r>
        <w:rPr>
          <w:rFonts w:cs="Times New Roman" w:ascii="Arial" w:hAnsi="Arial"/>
          <w:sz w:val="20"/>
          <w:szCs w:val="20"/>
        </w:rPr>
        <w:t xml:space="preserve"> </w:t>
      </w:r>
      <w:r>
        <w:rPr>
          <w:rFonts w:ascii="Arial" w:hAnsi="Arial"/>
          <w:b/>
          <w:sz w:val="20"/>
          <w:szCs w:val="20"/>
        </w:rPr>
        <w:t xml:space="preserve">14. ADEQUAÇÃO ORÇAMENTARIA </w:t>
      </w:r>
    </w:p>
    <w:p>
      <w:pPr>
        <w:pStyle w:val="Normal"/>
        <w:spacing w:lineRule="auto" w:line="240"/>
        <w:jc w:val="both"/>
        <w:rPr>
          <w:rFonts w:ascii="Arial" w:hAnsi="Arial"/>
          <w:sz w:val="20"/>
          <w:szCs w:val="20"/>
        </w:rPr>
      </w:pPr>
      <w:r>
        <w:rPr>
          <w:sz w:val="20"/>
          <w:szCs w:val="20"/>
        </w:rPr>
        <w:t>14.1. Os recursos orçamentários necessários ao atendimento do objeto deste Termo correrão pelo Orçamento da Secretaria de Segurança e Ordem Pública no exercício de 2025, e serão alocados pela Secretaria Municipal de Finanças.</w:t>
      </w:r>
    </w:p>
    <w:p>
      <w:pPr>
        <w:pStyle w:val="Normal"/>
        <w:spacing w:lineRule="auto" w:line="240"/>
        <w:jc w:val="both"/>
        <w:rPr>
          <w:rFonts w:ascii="Arial" w:hAnsi="Arial"/>
          <w:sz w:val="20"/>
          <w:szCs w:val="20"/>
        </w:rPr>
      </w:pPr>
      <w:r>
        <w:rPr>
          <w:sz w:val="20"/>
          <w:szCs w:val="20"/>
        </w:rPr>
        <w:t xml:space="preserve"> </w:t>
      </w:r>
    </w:p>
    <w:tbl>
      <w:tblPr>
        <w:tblW w:w="11033" w:type="dxa"/>
        <w:jc w:val="left"/>
        <w:tblInd w:w="123" w:type="dxa"/>
        <w:tblLayout w:type="fixed"/>
        <w:tblCellMar>
          <w:top w:w="0" w:type="dxa"/>
          <w:left w:w="108" w:type="dxa"/>
          <w:bottom w:w="0" w:type="dxa"/>
          <w:right w:w="108" w:type="dxa"/>
        </w:tblCellMar>
        <w:tblLook w:firstRow="1" w:noVBand="1" w:lastRow="0" w:firstColumn="1" w:lastColumn="0" w:noHBand="0" w:val="04a0"/>
      </w:tblPr>
      <w:tblGrid>
        <w:gridCol w:w="3853"/>
        <w:gridCol w:w="2567"/>
        <w:gridCol w:w="1710"/>
        <w:gridCol w:w="2902"/>
      </w:tblGrid>
      <w:tr>
        <w:trPr>
          <w:trHeight w:val="218" w:hRule="atLeast"/>
        </w:trPr>
        <w:tc>
          <w:tcPr>
            <w:tcW w:w="3853" w:type="dxa"/>
            <w:tcBorders>
              <w:top w:val="single" w:sz="4" w:space="0" w:color="000000"/>
              <w:left w:val="single" w:sz="4" w:space="0" w:color="000000"/>
              <w:bottom w:val="single" w:sz="4" w:space="0" w:color="000000"/>
              <w:right w:val="single" w:sz="4" w:space="0" w:color="000000"/>
            </w:tcBorders>
            <w:shd w:color="auto" w:fill="4F81BD" w:themeFill="accent1" w:val="clear"/>
          </w:tcPr>
          <w:p>
            <w:pPr>
              <w:pStyle w:val="Normal"/>
              <w:widowControl w:val="false"/>
              <w:spacing w:lineRule="auto" w:line="240"/>
              <w:ind w:hanging="0" w:right="-74"/>
              <w:jc w:val="center"/>
              <w:rPr>
                <w:rFonts w:ascii="Arial" w:hAnsi="Arial"/>
                <w:b/>
                <w:bCs/>
                <w:sz w:val="20"/>
                <w:szCs w:val="20"/>
              </w:rPr>
            </w:pPr>
            <w:r>
              <w:rPr>
                <w:b/>
                <w:bCs/>
                <w:sz w:val="20"/>
                <w:szCs w:val="20"/>
              </w:rPr>
              <w:t>Programa de Trabalho</w:t>
            </w:r>
          </w:p>
        </w:tc>
        <w:tc>
          <w:tcPr>
            <w:tcW w:w="2567" w:type="dxa"/>
            <w:tcBorders>
              <w:top w:val="single" w:sz="4" w:space="0" w:color="000000"/>
              <w:left w:val="single" w:sz="4" w:space="0" w:color="000000"/>
              <w:bottom w:val="single" w:sz="4" w:space="0" w:color="000000"/>
              <w:right w:val="single" w:sz="4" w:space="0" w:color="000000"/>
            </w:tcBorders>
            <w:shd w:color="auto" w:fill="4F81BD" w:themeFill="accent1" w:val="clear"/>
          </w:tcPr>
          <w:p>
            <w:pPr>
              <w:pStyle w:val="Normal"/>
              <w:widowControl w:val="false"/>
              <w:spacing w:lineRule="auto" w:line="240"/>
              <w:ind w:hanging="0" w:right="-74"/>
              <w:jc w:val="center"/>
              <w:rPr>
                <w:rFonts w:ascii="Arial" w:hAnsi="Arial"/>
                <w:b/>
                <w:bCs/>
                <w:sz w:val="20"/>
                <w:szCs w:val="20"/>
              </w:rPr>
            </w:pPr>
            <w:r>
              <w:rPr>
                <w:b/>
                <w:bCs/>
                <w:sz w:val="20"/>
                <w:szCs w:val="20"/>
              </w:rPr>
              <w:t>Elemento de Despesa</w:t>
            </w:r>
          </w:p>
        </w:tc>
        <w:tc>
          <w:tcPr>
            <w:tcW w:w="1710" w:type="dxa"/>
            <w:tcBorders>
              <w:top w:val="single" w:sz="4" w:space="0" w:color="000000"/>
              <w:left w:val="single" w:sz="4" w:space="0" w:color="000000"/>
              <w:bottom w:val="single" w:sz="4" w:space="0" w:color="000000"/>
              <w:right w:val="single" w:sz="4" w:space="0" w:color="000000"/>
            </w:tcBorders>
            <w:shd w:color="auto" w:fill="4F81BD" w:themeFill="accent1" w:val="clear"/>
          </w:tcPr>
          <w:p>
            <w:pPr>
              <w:pStyle w:val="Normal"/>
              <w:widowControl w:val="false"/>
              <w:spacing w:lineRule="auto" w:line="240"/>
              <w:ind w:hanging="0" w:right="-74"/>
              <w:jc w:val="center"/>
              <w:rPr>
                <w:rFonts w:ascii="Arial" w:hAnsi="Arial"/>
                <w:b/>
                <w:bCs/>
                <w:sz w:val="20"/>
                <w:szCs w:val="20"/>
              </w:rPr>
            </w:pPr>
            <w:r>
              <w:rPr>
                <w:b/>
                <w:bCs/>
                <w:sz w:val="20"/>
                <w:szCs w:val="20"/>
              </w:rPr>
              <w:t>Fonte</w:t>
            </w:r>
          </w:p>
        </w:tc>
        <w:tc>
          <w:tcPr>
            <w:tcW w:w="2902" w:type="dxa"/>
            <w:tcBorders>
              <w:top w:val="single" w:sz="4" w:space="0" w:color="000000"/>
              <w:left w:val="single" w:sz="4" w:space="0" w:color="000000"/>
              <w:bottom w:val="single" w:sz="4" w:space="0" w:color="000000"/>
              <w:right w:val="single" w:sz="4" w:space="0" w:color="000000"/>
            </w:tcBorders>
            <w:shd w:color="auto" w:fill="4F81BD" w:themeFill="accent1" w:val="clear"/>
          </w:tcPr>
          <w:p>
            <w:pPr>
              <w:pStyle w:val="Normal"/>
              <w:widowControl w:val="false"/>
              <w:spacing w:lineRule="auto" w:line="240"/>
              <w:ind w:hanging="0" w:right="-74"/>
              <w:jc w:val="center"/>
              <w:rPr>
                <w:rFonts w:ascii="Arial" w:hAnsi="Arial"/>
                <w:b/>
                <w:bCs/>
                <w:sz w:val="20"/>
                <w:szCs w:val="20"/>
              </w:rPr>
            </w:pPr>
            <w:r>
              <w:rPr>
                <w:b/>
                <w:bCs/>
                <w:sz w:val="20"/>
                <w:szCs w:val="20"/>
              </w:rPr>
              <w:t>Código Reduzido</w:t>
            </w:r>
          </w:p>
        </w:tc>
      </w:tr>
      <w:tr>
        <w:trPr>
          <w:trHeight w:val="683" w:hRule="atLeast"/>
        </w:trPr>
        <w:tc>
          <w:tcPr>
            <w:tcW w:w="38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41.01.06.122.0006.2010</w:t>
            </w:r>
          </w:p>
        </w:tc>
        <w:tc>
          <w:tcPr>
            <w:tcW w:w="25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3.3.90.39.00.00.00.00</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0084</w:t>
            </w:r>
          </w:p>
        </w:tc>
        <w:tc>
          <w:tcPr>
            <w:tcW w:w="29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2750</w:t>
            </w:r>
          </w:p>
        </w:tc>
      </w:tr>
      <w:tr>
        <w:trPr>
          <w:trHeight w:val="683" w:hRule="atLeast"/>
        </w:trPr>
        <w:tc>
          <w:tcPr>
            <w:tcW w:w="38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41.01.26.181.0014.2317</w:t>
            </w:r>
          </w:p>
        </w:tc>
        <w:tc>
          <w:tcPr>
            <w:tcW w:w="256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3.3.90.39.00.00.00.00</w:t>
            </w:r>
          </w:p>
        </w:tc>
        <w:tc>
          <w:tcPr>
            <w:tcW w:w="171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0084</w:t>
            </w:r>
          </w:p>
        </w:tc>
        <w:tc>
          <w:tcPr>
            <w:tcW w:w="2902"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jc w:val="center"/>
              <w:rPr>
                <w:rFonts w:ascii="Arial" w:hAnsi="Arial"/>
                <w:b/>
                <w:bCs/>
                <w:sz w:val="20"/>
                <w:szCs w:val="20"/>
              </w:rPr>
            </w:pPr>
            <w:r>
              <w:rPr>
                <w:b/>
                <w:bCs/>
                <w:sz w:val="20"/>
                <w:szCs w:val="20"/>
              </w:rPr>
              <w:t>2757</w:t>
            </w:r>
          </w:p>
        </w:tc>
      </w:tr>
    </w:tbl>
    <w:p>
      <w:pPr>
        <w:pStyle w:val="Normal"/>
        <w:spacing w:lineRule="auto" w:line="240"/>
        <w:ind w:hanging="0" w:right="567"/>
        <w:jc w:val="both"/>
        <w:rPr>
          <w:rFonts w:ascii="Arial" w:hAnsi="Arial"/>
          <w:b/>
          <w:sz w:val="20"/>
          <w:szCs w:val="20"/>
        </w:rPr>
      </w:pPr>
      <w:r>
        <w:rPr>
          <w:b/>
          <w:sz w:val="20"/>
          <w:szCs w:val="20"/>
        </w:rPr>
      </w:r>
    </w:p>
    <w:p>
      <w:pPr>
        <w:pStyle w:val="Normal"/>
        <w:spacing w:lineRule="auto" w:line="240"/>
        <w:jc w:val="both"/>
        <w:rPr>
          <w:rFonts w:ascii="Arial" w:hAnsi="Arial"/>
          <w:sz w:val="20"/>
          <w:szCs w:val="20"/>
        </w:rPr>
      </w:pPr>
      <w:r>
        <w:rPr>
          <w:b/>
          <w:sz w:val="20"/>
          <w:szCs w:val="20"/>
        </w:rPr>
        <w:t xml:space="preserve">15. DISPOSIÇÕES GERAIS </w:t>
      </w:r>
    </w:p>
    <w:p>
      <w:pPr>
        <w:pStyle w:val="Normal"/>
        <w:spacing w:lineRule="auto" w:line="240"/>
        <w:jc w:val="both"/>
        <w:rPr>
          <w:rFonts w:ascii="Arial" w:hAnsi="Arial"/>
          <w:sz w:val="20"/>
          <w:szCs w:val="20"/>
        </w:rPr>
      </w:pPr>
      <w:r>
        <w:rPr>
          <w:sz w:val="20"/>
          <w:szCs w:val="20"/>
        </w:rPr>
        <w:t>15.1. O valor final para o cumprimento do objeto do presente Termo de Referência será definido após a Cotação Prévia de Preços;</w:t>
      </w:r>
    </w:p>
    <w:p>
      <w:pPr>
        <w:pStyle w:val="Normal"/>
        <w:spacing w:lineRule="auto" w:line="240"/>
        <w:jc w:val="both"/>
        <w:rPr>
          <w:rFonts w:ascii="Arial" w:hAnsi="Arial"/>
          <w:sz w:val="20"/>
          <w:szCs w:val="20"/>
        </w:rPr>
      </w:pPr>
      <w:r>
        <w:rPr>
          <w:sz w:val="20"/>
          <w:szCs w:val="20"/>
        </w:rPr>
        <w:t xml:space="preserve">15.2. O CONTRATANTE poderá realizar acréscimos ou supressões nas quantidades inicialmente previstas, respeitados os limites do artigo 125 da Lei 14.133/21 e suas alterações, tendo como base os preços constantes da proposta da CONTRATADA. </w:t>
      </w:r>
    </w:p>
    <w:p>
      <w:pPr>
        <w:pStyle w:val="Normal"/>
        <w:spacing w:lineRule="auto" w:line="240"/>
        <w:jc w:val="both"/>
        <w:rPr>
          <w:rFonts w:ascii="Arial" w:hAnsi="Arial"/>
          <w:sz w:val="20"/>
          <w:szCs w:val="20"/>
        </w:rPr>
      </w:pPr>
      <w:r>
        <w:rPr>
          <w:sz w:val="20"/>
          <w:szCs w:val="20"/>
        </w:rPr>
      </w:r>
    </w:p>
    <w:p>
      <w:pPr>
        <w:pStyle w:val="Normal"/>
        <w:spacing w:lineRule="auto" w:line="240"/>
        <w:ind w:hanging="0" w:right="567"/>
        <w:jc w:val="right"/>
        <w:rPr>
          <w:rFonts w:ascii="Arial" w:hAnsi="Arial"/>
          <w:sz w:val="20"/>
          <w:szCs w:val="20"/>
        </w:rPr>
      </w:pPr>
      <w:r>
        <w:rPr>
          <w:sz w:val="20"/>
          <w:szCs w:val="20"/>
        </w:rPr>
        <w:t>Paracambi, 24 de abril de 2025.</w:t>
      </w:r>
    </w:p>
    <w:p>
      <w:pPr>
        <w:pStyle w:val="Normal"/>
        <w:spacing w:lineRule="auto" w:line="240"/>
        <w:ind w:hanging="0" w:right="567"/>
        <w:jc w:val="both"/>
        <w:rPr>
          <w:rFonts w:ascii="Arial" w:hAnsi="Arial"/>
          <w:sz w:val="20"/>
          <w:szCs w:val="20"/>
        </w:rPr>
      </w:pPr>
      <w:r>
        <w:rPr>
          <w:sz w:val="20"/>
          <w:szCs w:val="20"/>
        </w:rPr>
        <w:t xml:space="preserve">Elaborado por: </w:t>
      </w:r>
    </w:p>
    <w:p>
      <w:pPr>
        <w:pStyle w:val="Normal"/>
        <w:spacing w:lineRule="auto" w:line="240"/>
        <w:ind w:hanging="0" w:right="567"/>
        <w:jc w:val="center"/>
        <w:rPr>
          <w:rFonts w:ascii="Arial" w:hAnsi="Arial"/>
          <w:sz w:val="20"/>
          <w:szCs w:val="20"/>
        </w:rPr>
      </w:pPr>
      <w:r>
        <w:rPr>
          <w:b/>
          <w:bCs/>
          <w:sz w:val="20"/>
          <w:szCs w:val="20"/>
        </w:rPr>
        <w:t>___________________________</w:t>
      </w:r>
    </w:p>
    <w:p>
      <w:pPr>
        <w:pStyle w:val="Normal"/>
        <w:spacing w:lineRule="auto" w:line="240"/>
        <w:ind w:hanging="0" w:right="567"/>
        <w:jc w:val="center"/>
        <w:rPr>
          <w:rFonts w:ascii="Arial" w:hAnsi="Arial"/>
          <w:sz w:val="20"/>
          <w:szCs w:val="20"/>
        </w:rPr>
      </w:pPr>
      <w:r>
        <w:rPr>
          <w:b/>
          <w:bCs/>
          <w:sz w:val="20"/>
          <w:szCs w:val="20"/>
        </w:rPr>
        <w:t>RESPONSÁVEL TÉCNICO</w:t>
      </w:r>
    </w:p>
    <w:p>
      <w:pPr>
        <w:pStyle w:val="Normal"/>
        <w:spacing w:lineRule="auto" w:line="240"/>
        <w:ind w:hanging="0" w:right="567"/>
        <w:jc w:val="center"/>
        <w:rPr>
          <w:b/>
          <w:bCs/>
        </w:rPr>
      </w:pPr>
      <w:r>
        <w:rPr>
          <w:b/>
          <w:bCs/>
        </w:rPr>
      </w:r>
    </w:p>
    <w:p>
      <w:pPr>
        <w:pStyle w:val="Normal"/>
        <w:spacing w:lineRule="auto" w:line="240"/>
        <w:ind w:hanging="0" w:right="567"/>
        <w:jc w:val="center"/>
        <w:rPr>
          <w:b/>
          <w:bCs/>
        </w:rPr>
      </w:pPr>
      <w:r>
        <w:rPr>
          <w:b/>
          <w:bCs/>
        </w:rPr>
      </w:r>
    </w:p>
    <w:p>
      <w:pPr>
        <w:pStyle w:val="Normal"/>
        <w:spacing w:lineRule="auto" w:line="240"/>
        <w:ind w:hanging="0" w:right="567"/>
        <w:jc w:val="both"/>
        <w:rPr>
          <w:rFonts w:ascii="Arial" w:hAnsi="Arial"/>
          <w:b/>
          <w:sz w:val="20"/>
          <w:szCs w:val="20"/>
        </w:rPr>
      </w:pPr>
      <w:r>
        <w:rPr>
          <w:b/>
          <w:sz w:val="20"/>
          <w:szCs w:val="20"/>
        </w:rPr>
      </w:r>
    </w:p>
    <w:p>
      <w:pPr>
        <w:pStyle w:val="Normal"/>
        <w:spacing w:lineRule="auto" w:line="240"/>
        <w:ind w:hanging="0" w:right="567"/>
        <w:jc w:val="both"/>
        <w:rPr>
          <w:rFonts w:ascii="Arial" w:hAnsi="Arial"/>
          <w:sz w:val="20"/>
          <w:szCs w:val="20"/>
        </w:rPr>
      </w:pPr>
      <w:r>
        <w:rPr>
          <w:b/>
          <w:sz w:val="20"/>
          <w:szCs w:val="20"/>
        </w:rPr>
        <w:t>GABINETE DO SECRETÁRIO, 24 DE ABRIL DE 2025.</w:t>
      </w:r>
    </w:p>
    <w:p>
      <w:pPr>
        <w:pStyle w:val="Normal"/>
        <w:spacing w:lineRule="auto" w:line="240"/>
        <w:ind w:hanging="0" w:right="567"/>
        <w:jc w:val="both"/>
        <w:rPr>
          <w:b/>
        </w:rPr>
      </w:pPr>
      <w:r>
        <w:rPr>
          <w:b/>
        </w:rPr>
      </w:r>
    </w:p>
    <w:p>
      <w:pPr>
        <w:pStyle w:val="Normal"/>
        <w:numPr>
          <w:ilvl w:val="0"/>
          <w:numId w:val="21"/>
        </w:numPr>
        <w:tabs>
          <w:tab w:val="clear" w:pos="720"/>
          <w:tab w:val="left" w:pos="284" w:leader="none"/>
        </w:tabs>
        <w:spacing w:lineRule="auto" w:line="240" w:before="0" w:after="0"/>
        <w:ind w:hanging="0" w:left="0" w:right="567"/>
        <w:jc w:val="both"/>
        <w:rPr>
          <w:rFonts w:ascii="Arial" w:hAnsi="Arial"/>
          <w:sz w:val="20"/>
          <w:szCs w:val="20"/>
        </w:rPr>
      </w:pPr>
      <w:r>
        <w:rPr>
          <w:sz w:val="20"/>
          <w:szCs w:val="20"/>
        </w:rPr>
        <w:t>Ciente;</w:t>
      </w:r>
    </w:p>
    <w:p>
      <w:pPr>
        <w:pStyle w:val="Normal"/>
        <w:numPr>
          <w:ilvl w:val="0"/>
          <w:numId w:val="22"/>
        </w:numPr>
        <w:tabs>
          <w:tab w:val="clear" w:pos="720"/>
          <w:tab w:val="left" w:pos="284" w:leader="none"/>
        </w:tabs>
        <w:spacing w:lineRule="auto" w:line="240" w:before="0" w:after="0"/>
        <w:ind w:hanging="0" w:left="0" w:right="567"/>
        <w:jc w:val="both"/>
        <w:rPr>
          <w:rFonts w:ascii="Arial" w:hAnsi="Arial"/>
          <w:sz w:val="20"/>
          <w:szCs w:val="20"/>
        </w:rPr>
      </w:pPr>
      <w:r>
        <w:rPr>
          <w:sz w:val="20"/>
          <w:szCs w:val="20"/>
        </w:rPr>
        <w:t>De acordo;</w:t>
      </w:r>
    </w:p>
    <w:p>
      <w:pPr>
        <w:pStyle w:val="Normal"/>
        <w:numPr>
          <w:ilvl w:val="0"/>
          <w:numId w:val="23"/>
        </w:numPr>
        <w:tabs>
          <w:tab w:val="clear" w:pos="720"/>
          <w:tab w:val="left" w:pos="284" w:leader="none"/>
        </w:tabs>
        <w:spacing w:lineRule="auto" w:line="240" w:before="0" w:after="0"/>
        <w:ind w:hanging="0" w:left="0" w:right="567"/>
        <w:jc w:val="both"/>
        <w:rPr>
          <w:rFonts w:ascii="Arial" w:hAnsi="Arial"/>
          <w:sz w:val="20"/>
          <w:szCs w:val="20"/>
        </w:rPr>
      </w:pPr>
      <w:r>
        <w:rPr>
          <w:sz w:val="20"/>
          <w:szCs w:val="20"/>
        </w:rPr>
        <w:t>Autorizo o prosseguimento do feito.</w:t>
      </w:r>
    </w:p>
    <w:p>
      <w:pPr>
        <w:pStyle w:val="Normal"/>
        <w:tabs>
          <w:tab w:val="clear" w:pos="720"/>
          <w:tab w:val="left" w:pos="284" w:leader="none"/>
        </w:tabs>
        <w:spacing w:lineRule="auto" w:line="240" w:before="0" w:after="0"/>
        <w:ind w:hanging="0" w:left="0" w:right="567"/>
        <w:jc w:val="both"/>
        <w:rPr>
          <w:rFonts w:ascii="Arial" w:hAnsi="Arial"/>
          <w:sz w:val="20"/>
          <w:szCs w:val="20"/>
        </w:rPr>
      </w:pPr>
      <w:r>
        <w:rPr>
          <w:sz w:val="20"/>
          <w:szCs w:val="20"/>
        </w:rPr>
      </w:r>
    </w:p>
    <w:p>
      <w:pPr>
        <w:pStyle w:val="Normal"/>
        <w:tabs>
          <w:tab w:val="clear" w:pos="720"/>
          <w:tab w:val="left" w:pos="284" w:leader="none"/>
        </w:tabs>
        <w:spacing w:lineRule="auto" w:line="240" w:before="0" w:after="0"/>
        <w:ind w:hanging="0" w:right="567"/>
        <w:jc w:val="both"/>
        <w:rPr>
          <w:rFonts w:ascii="Arial" w:hAnsi="Arial"/>
          <w:sz w:val="20"/>
          <w:szCs w:val="20"/>
        </w:rPr>
      </w:pPr>
      <w:r>
        <w:rPr>
          <w:sz w:val="20"/>
          <w:szCs w:val="20"/>
        </w:rPr>
      </w:r>
    </w:p>
    <w:p>
      <w:pPr>
        <w:pStyle w:val="Normal"/>
        <w:spacing w:lineRule="auto" w:line="240"/>
        <w:ind w:hanging="0" w:right="567"/>
        <w:jc w:val="both"/>
        <w:rPr>
          <w:rFonts w:ascii="Arial" w:hAnsi="Arial"/>
          <w:sz w:val="20"/>
          <w:szCs w:val="20"/>
        </w:rPr>
      </w:pPr>
      <w:r>
        <w:rPr>
          <w:sz w:val="20"/>
          <w:szCs w:val="20"/>
        </w:rPr>
      </w:r>
    </w:p>
    <w:p>
      <w:pPr>
        <w:pStyle w:val="Normal"/>
        <w:spacing w:lineRule="auto" w:line="240" w:before="0" w:after="0"/>
        <w:ind w:hanging="0" w:right="567"/>
        <w:jc w:val="center"/>
        <w:rPr>
          <w:rFonts w:ascii="Arial" w:hAnsi="Arial"/>
          <w:sz w:val="20"/>
          <w:szCs w:val="20"/>
        </w:rPr>
      </w:pPr>
      <w:r>
        <w:rPr>
          <w:b/>
          <w:bCs/>
          <w:sz w:val="20"/>
          <w:szCs w:val="20"/>
        </w:rPr>
        <w:t>_______________________________</w:t>
      </w:r>
    </w:p>
    <w:p>
      <w:pPr>
        <w:pStyle w:val="Normal"/>
        <w:spacing w:lineRule="auto" w:line="240" w:before="0" w:after="0"/>
        <w:ind w:hanging="0" w:right="567"/>
        <w:jc w:val="center"/>
        <w:rPr>
          <w:rFonts w:ascii="Arial" w:hAnsi="Arial"/>
          <w:sz w:val="20"/>
          <w:szCs w:val="20"/>
        </w:rPr>
      </w:pPr>
      <w:r>
        <w:rPr>
          <w:b/>
          <w:bCs/>
          <w:sz w:val="20"/>
          <w:szCs w:val="20"/>
        </w:rPr>
        <w:t>SECRETÁRIO MUNICIPAL DE SEGURANÇA E ORDEM PÚBLICA</w:t>
      </w:r>
    </w:p>
    <w:p>
      <w:pPr>
        <w:pStyle w:val="Normal"/>
        <w:spacing w:lineRule="auto" w:line="360"/>
        <w:ind w:hanging="0" w:right="567"/>
        <w:rPr>
          <w:rFonts w:ascii="Times New Roman" w:hAnsi="Times New Roman"/>
          <w:b/>
          <w:bCs/>
        </w:rPr>
      </w:pPr>
      <w:r>
        <w:rPr>
          <w:rFonts w:ascii="Times New Roman" w:hAnsi="Times New Roman"/>
          <w:b/>
          <w:bCs/>
        </w:rPr>
      </w:r>
    </w:p>
    <w:p>
      <w:pPr>
        <w:pStyle w:val="Normal"/>
        <w:spacing w:lineRule="auto" w:line="360"/>
        <w:rPr>
          <w:rFonts w:ascii="Times New Roman" w:hAnsi="Times New Roman"/>
        </w:rPr>
      </w:pPr>
      <w:r>
        <w:rPr>
          <w:rFonts w:ascii="Times New Roman" w:hAnsi="Times New Roman"/>
        </w:rPr>
      </w:r>
    </w:p>
    <w:p>
      <w:pPr>
        <w:pStyle w:val="Standard"/>
        <w:numPr>
          <w:ilvl w:val="0"/>
          <w:numId w:val="1"/>
        </w:numPr>
        <w:rPr>
          <w:rFonts w:ascii="Arial" w:hAnsi="Arial"/>
        </w:rPr>
      </w:pPr>
      <w:r>
        <w:rPr/>
      </w:r>
    </w:p>
    <w:p>
      <w:pPr>
        <w:pStyle w:val="Standard"/>
        <w:numPr>
          <w:ilvl w:val="0"/>
          <w:numId w:val="1"/>
        </w:numPr>
        <w:jc w:val="left"/>
        <w:rPr>
          <w:rFonts w:ascii="Arial" w:hAnsi="Arial"/>
          <w:b/>
          <w:bCs/>
        </w:rPr>
      </w:pPr>
      <w:r>
        <w:rPr>
          <w:b/>
          <w:bCs/>
        </w:rPr>
      </w:r>
    </w:p>
    <w:p>
      <w:pPr>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495" w:right="356" w:gutter="0" w:header="405" w:top="1378" w:footer="278" w:bottom="987"/>
          <w:pgNumType w:start="1" w:fmt="decimal"/>
          <w:formProt w:val="false"/>
          <w:textDirection w:val="lrTb"/>
          <w:docGrid w:type="default" w:linePitch="100" w:charSpace="8192"/>
        </w:sectPr>
      </w:pPr>
    </w:p>
    <w:p>
      <w:pPr>
        <w:pStyle w:val="Normal"/>
        <w:jc w:val="both"/>
        <w:rPr>
          <w:rFonts w:ascii="Arial" w:hAnsi="Arial"/>
        </w:rPr>
      </w:pPr>
      <w:r>
        <w:rPr/>
      </w:r>
    </w:p>
    <w:p>
      <w:pPr>
        <w:pStyle w:val="Normal"/>
        <w:jc w:val="both"/>
        <w:rPr>
          <w:rFonts w:ascii="Arial" w:hAnsi="Arial"/>
        </w:rPr>
      </w:pPr>
      <w:r>
        <w:rPr/>
      </w:r>
    </w:p>
    <w:p>
      <w:pPr>
        <w:pStyle w:val="Normal"/>
        <w:jc w:val="both"/>
        <w:rPr>
          <w:rFonts w:ascii="Arial" w:hAnsi="Arial"/>
        </w:rPr>
      </w:pPr>
      <w:r>
        <w:rPr/>
      </w:r>
    </w:p>
    <w:p>
      <w:pPr>
        <w:pStyle w:val="Normal"/>
        <w:jc w:val="both"/>
        <w:rPr>
          <w:rFonts w:ascii="Arial" w:hAnsi="Arial"/>
        </w:rPr>
      </w:pPr>
      <w:r>
        <w:rPr/>
      </w:r>
    </w:p>
    <w:p>
      <w:pPr>
        <w:pStyle w:val="Normal"/>
        <w:jc w:val="both"/>
        <w:rPr>
          <w:rFonts w:ascii="Arial" w:hAnsi="Arial"/>
        </w:rPr>
      </w:pPr>
      <w:r>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pStyle w:val="Normal"/>
        <w:spacing w:lineRule="auto" w:line="240"/>
        <w:jc w:val="both"/>
        <w:rPr>
          <w:rFonts w:ascii="Arial" w:hAnsi="Arial"/>
          <w:sz w:val="20"/>
          <w:szCs w:val="20"/>
        </w:rPr>
      </w:pPr>
      <w:r>
        <w:rPr>
          <w:sz w:val="20"/>
          <w:szCs w:val="20"/>
        </w:rPr>
      </w:r>
    </w:p>
    <w:p>
      <w:pPr>
        <w:sectPr>
          <w:type w:val="continuous"/>
          <w:pgSz w:w="11906" w:h="16838"/>
          <w:pgMar w:left="495" w:right="356" w:gutter="0" w:header="405" w:top="1378" w:footer="278" w:bottom="987"/>
          <w:formProt w:val="false"/>
          <w:textDirection w:val="lrTb"/>
          <w:docGrid w:type="default" w:linePitch="100" w:charSpace="8192"/>
        </w:sectPr>
      </w:pPr>
    </w:p>
    <w:p>
      <w:pPr>
        <w:pStyle w:val="LO-normal"/>
        <w:spacing w:lineRule="auto" w:line="240"/>
        <w:jc w:val="center"/>
        <w:rPr>
          <w:rFonts w:ascii="Arial" w:hAnsi="Arial"/>
          <w:sz w:val="20"/>
          <w:szCs w:val="20"/>
        </w:rPr>
      </w:pPr>
      <w:r>
        <w:rPr>
          <w:b/>
          <w:sz w:val="20"/>
          <w:szCs w:val="20"/>
          <w:u w:val="single"/>
        </w:rPr>
        <w:t>ANEXO III</w:t>
      </w:r>
    </w:p>
    <w:p>
      <w:pPr>
        <w:pStyle w:val="LO-normal"/>
        <w:spacing w:lineRule="auto" w:line="240"/>
        <w:jc w:val="center"/>
        <w:rPr>
          <w:rFonts w:ascii="Arial" w:hAnsi="Arial"/>
          <w:sz w:val="20"/>
          <w:szCs w:val="20"/>
          <w:u w:val="single"/>
        </w:rPr>
      </w:pPr>
      <w:r>
        <w:rPr>
          <w:sz w:val="20"/>
          <w:szCs w:val="20"/>
          <w:u w:val="single"/>
        </w:rPr>
      </w:r>
    </w:p>
    <w:tbl>
      <w:tblPr>
        <w:tblW w:w="11220" w:type="dxa"/>
        <w:jc w:val="left"/>
        <w:tblInd w:w="-88" w:type="dxa"/>
        <w:tblLayout w:type="fixed"/>
        <w:tblCellMar>
          <w:top w:w="55" w:type="dxa"/>
          <w:left w:w="55" w:type="dxa"/>
          <w:bottom w:w="55" w:type="dxa"/>
          <w:right w:w="55" w:type="dxa"/>
        </w:tblCellMar>
        <w:tblLook w:firstRow="0" w:noVBand="0" w:lastRow="0" w:firstColumn="0" w:lastColumn="0" w:noHBand="0" w:val="0000"/>
      </w:tblPr>
      <w:tblGrid>
        <w:gridCol w:w="11220"/>
      </w:tblGrid>
      <w:tr>
        <w:trPr>
          <w:trHeight w:val="416" w:hRule="atLeast"/>
        </w:trPr>
        <w:tc>
          <w:tcPr>
            <w:tcW w:w="11220" w:type="dxa"/>
            <w:tcBorders>
              <w:top w:val="single" w:sz="2" w:space="0" w:color="000000"/>
              <w:left w:val="single" w:sz="2" w:space="0" w:color="000000"/>
              <w:bottom w:val="single" w:sz="2" w:space="0" w:color="000000"/>
              <w:right w:val="single" w:sz="2" w:space="0" w:color="000000"/>
            </w:tcBorders>
            <w:shd w:color="auto" w:fill="4F81BD" w:themeFill="accent1" w:val="clear"/>
          </w:tcPr>
          <w:p>
            <w:pPr>
              <w:pStyle w:val="Contedodatabela"/>
              <w:widowControl w:val="false"/>
              <w:spacing w:lineRule="auto" w:line="240"/>
              <w:jc w:val="center"/>
              <w:rPr>
                <w:rFonts w:ascii="Arial" w:hAnsi="Arial" w:cs="Times New Roman"/>
                <w:b/>
                <w:bCs/>
                <w:sz w:val="20"/>
                <w:szCs w:val="20"/>
              </w:rPr>
            </w:pPr>
            <w:r>
              <w:rPr>
                <w:rFonts w:cs="Times New Roman"/>
                <w:b/>
                <w:bCs/>
                <w:sz w:val="20"/>
                <w:szCs w:val="20"/>
              </w:rPr>
              <w:t>ESTUDO TÉCNICO PRELIMINAR</w:t>
            </w:r>
          </w:p>
        </w:tc>
      </w:tr>
    </w:tbl>
    <w:p>
      <w:pPr>
        <w:pStyle w:val="Standard"/>
        <w:widowControl w:val="false"/>
        <w:tabs>
          <w:tab w:val="clear" w:pos="720"/>
          <w:tab w:val="left" w:pos="6521" w:leader="none"/>
        </w:tabs>
        <w:spacing w:lineRule="auto" w:line="240"/>
        <w:jc w:val="both"/>
        <w:rPr>
          <w:rFonts w:ascii="Arial" w:hAnsi="Arial" w:cs="Times New Roman"/>
          <w:color w:val="000000"/>
          <w:spacing w:val="-6"/>
          <w:sz w:val="20"/>
          <w:szCs w:val="20"/>
        </w:rPr>
      </w:pPr>
      <w:r>
        <w:rPr>
          <w:rFonts w:cs="Times New Roman"/>
          <w:color w:val="000000"/>
          <w:spacing w:val="-6"/>
          <w:sz w:val="20"/>
          <w:szCs w:val="20"/>
        </w:rPr>
      </w:r>
    </w:p>
    <w:p>
      <w:pPr>
        <w:pStyle w:val="Standard"/>
        <w:widowControl w:val="false"/>
        <w:tabs>
          <w:tab w:val="clear" w:pos="720"/>
          <w:tab w:val="left" w:pos="6521" w:leader="none"/>
        </w:tabs>
        <w:spacing w:lineRule="auto" w:line="240"/>
        <w:jc w:val="both"/>
        <w:rPr>
          <w:rFonts w:ascii="Arial" w:hAnsi="Arial"/>
          <w:sz w:val="20"/>
          <w:szCs w:val="20"/>
        </w:rPr>
      </w:pPr>
      <w:r>
        <w:rPr>
          <w:rFonts w:cs="Times New Roman"/>
          <w:b/>
          <w:bCs/>
          <w:color w:val="000000"/>
          <w:sz w:val="20"/>
          <w:szCs w:val="20"/>
        </w:rPr>
        <w:t>Considerando</w:t>
      </w:r>
      <w:r>
        <w:rPr>
          <w:rFonts w:cs="Times New Roman"/>
          <w:color w:val="000000"/>
          <w:sz w:val="20"/>
          <w:szCs w:val="20"/>
        </w:rPr>
        <w:t xml:space="preserve"> que o Estudo Técnico Preliminar (ETP) constitui documento essencial na fase inicial do planejamento de uma contratação, conforme disposto no </w:t>
      </w:r>
      <w:r>
        <w:rPr>
          <w:rFonts w:cs="Times New Roman"/>
          <w:b/>
          <w:bCs/>
          <w:color w:val="000000"/>
          <w:sz w:val="20"/>
          <w:szCs w:val="20"/>
        </w:rPr>
        <w:t>art. 6º, inciso XX da Lei nº 14.133/2021</w:t>
      </w:r>
      <w:r>
        <w:rPr>
          <w:rFonts w:cs="Times New Roman"/>
          <w:color w:val="000000"/>
          <w:sz w:val="20"/>
          <w:szCs w:val="20"/>
        </w:rPr>
        <w:t>. Este documento caracteriza o interesse público envolvido, apresenta a melhor solução para atender às necessidades administrativas e fornece a base para a elaboração do anteprojeto, termo de referência ou projeto básico, quando se conclui pela viabilidade da contratação;</w:t>
      </w:r>
    </w:p>
    <w:p>
      <w:pPr>
        <w:pStyle w:val="Standard"/>
        <w:widowControl w:val="false"/>
        <w:tabs>
          <w:tab w:val="clear" w:pos="720"/>
          <w:tab w:val="left" w:pos="6521" w:leader="none"/>
        </w:tabs>
        <w:spacing w:lineRule="auto" w:line="240"/>
        <w:jc w:val="both"/>
        <w:rPr>
          <w:rFonts w:ascii="Arial" w:hAnsi="Arial"/>
          <w:color w:val="000000"/>
          <w:sz w:val="12"/>
          <w:szCs w:val="12"/>
        </w:rPr>
      </w:pPr>
      <w:r>
        <w:rPr>
          <w:color w:val="000000"/>
          <w:sz w:val="12"/>
          <w:szCs w:val="12"/>
        </w:rPr>
      </w:r>
    </w:p>
    <w:p>
      <w:pPr>
        <w:pStyle w:val="Standard"/>
        <w:widowControl w:val="false"/>
        <w:tabs>
          <w:tab w:val="clear" w:pos="720"/>
          <w:tab w:val="left" w:pos="6521" w:leader="none"/>
        </w:tabs>
        <w:spacing w:lineRule="auto" w:line="240"/>
        <w:jc w:val="both"/>
        <w:rPr>
          <w:rFonts w:ascii="Arial" w:hAnsi="Arial"/>
          <w:sz w:val="20"/>
          <w:szCs w:val="20"/>
        </w:rPr>
      </w:pPr>
      <w:r>
        <w:rPr>
          <w:b/>
          <w:bCs/>
          <w:color w:val="000000"/>
          <w:sz w:val="20"/>
          <w:szCs w:val="20"/>
        </w:rPr>
        <w:t>Considerando</w:t>
      </w:r>
      <w:r>
        <w:rPr>
          <w:color w:val="000000"/>
          <w:sz w:val="20"/>
          <w:szCs w:val="20"/>
        </w:rPr>
        <w:t xml:space="preserve"> o disposto no Decreto Municipal nº 5.558, de 09 de fevereiro de 2023, que regulamenta as diretrizes para contratações no âmbito da Administração Pública Municipal, reforçando a obrigatoriedade de que as contratações sejam precedidas de estudos técnicos que evidenciem a necessidade e a viabilidade do objeto;</w:t>
      </w:r>
    </w:p>
    <w:p>
      <w:pPr>
        <w:pStyle w:val="Standard"/>
        <w:widowControl w:val="false"/>
        <w:tabs>
          <w:tab w:val="clear" w:pos="720"/>
          <w:tab w:val="left" w:pos="6521" w:leader="none"/>
        </w:tabs>
        <w:spacing w:lineRule="auto" w:line="240"/>
        <w:jc w:val="both"/>
        <w:rPr>
          <w:rFonts w:ascii="Arial" w:hAnsi="Arial"/>
          <w:color w:val="000000"/>
          <w:sz w:val="12"/>
          <w:szCs w:val="12"/>
        </w:rPr>
      </w:pPr>
      <w:r>
        <w:rPr>
          <w:color w:val="000000"/>
          <w:sz w:val="12"/>
          <w:szCs w:val="12"/>
        </w:rPr>
      </w:r>
    </w:p>
    <w:p>
      <w:pPr>
        <w:pStyle w:val="Standard"/>
        <w:widowControl w:val="false"/>
        <w:tabs>
          <w:tab w:val="clear" w:pos="720"/>
          <w:tab w:val="left" w:pos="6521" w:leader="none"/>
        </w:tabs>
        <w:spacing w:lineRule="auto" w:line="240"/>
        <w:jc w:val="both"/>
        <w:rPr>
          <w:rFonts w:ascii="Arial" w:hAnsi="Arial"/>
          <w:sz w:val="20"/>
          <w:szCs w:val="20"/>
        </w:rPr>
      </w:pPr>
      <w:r>
        <w:rPr>
          <w:color w:val="000000"/>
          <w:sz w:val="20"/>
          <w:szCs w:val="20"/>
        </w:rPr>
        <w:t xml:space="preserve">Conforme destaca </w:t>
      </w:r>
      <w:r>
        <w:rPr>
          <w:b/>
          <w:bCs/>
          <w:color w:val="000000"/>
          <w:sz w:val="20"/>
          <w:szCs w:val="20"/>
        </w:rPr>
        <w:t>Carlos Ari Sundfeld</w:t>
      </w:r>
      <w:r>
        <w:rPr>
          <w:color w:val="000000"/>
          <w:sz w:val="20"/>
          <w:szCs w:val="20"/>
        </w:rPr>
        <w:t>, “o Estudo Técnico Preliminar é o primeiro passo do planejamento eficiente, sendo essencial para que a Administração Pública tome decisões fundamentadas, identificando com clareza as soluções mais adequadas para atender ao interesse público, respeitando os princípios da economicidade e eficiência” (SUNDFELD, 2021, p. 192)</w:t>
      </w:r>
      <w:r>
        <w:rPr>
          <w:rStyle w:val="FootnoteReference"/>
          <w:color w:val="000000"/>
          <w:sz w:val="20"/>
          <w:szCs w:val="20"/>
        </w:rPr>
        <w:footnoteReference w:id="2"/>
      </w:r>
      <w:r>
        <w:rPr>
          <w:color w:val="000000"/>
          <w:sz w:val="20"/>
          <w:szCs w:val="20"/>
        </w:rPr>
        <w:t>.</w:t>
      </w:r>
    </w:p>
    <w:p>
      <w:pPr>
        <w:pStyle w:val="Standard"/>
        <w:widowControl w:val="false"/>
        <w:tabs>
          <w:tab w:val="clear" w:pos="720"/>
          <w:tab w:val="left" w:pos="6521" w:leader="none"/>
        </w:tabs>
        <w:spacing w:lineRule="auto" w:line="240"/>
        <w:jc w:val="both"/>
        <w:rPr>
          <w:rFonts w:ascii="Arial" w:hAnsi="Arial"/>
          <w:color w:val="000000"/>
          <w:sz w:val="12"/>
          <w:szCs w:val="12"/>
        </w:rPr>
      </w:pPr>
      <w:r>
        <w:rPr>
          <w:color w:val="000000"/>
          <w:sz w:val="12"/>
          <w:szCs w:val="12"/>
        </w:rPr>
      </w:r>
    </w:p>
    <w:p>
      <w:pPr>
        <w:pStyle w:val="Standard"/>
        <w:widowControl w:val="false"/>
        <w:tabs>
          <w:tab w:val="clear" w:pos="720"/>
          <w:tab w:val="left" w:pos="6521" w:leader="none"/>
        </w:tabs>
        <w:spacing w:lineRule="auto" w:line="240"/>
        <w:jc w:val="both"/>
        <w:rPr>
          <w:rFonts w:ascii="Arial" w:hAnsi="Arial"/>
          <w:sz w:val="20"/>
          <w:szCs w:val="20"/>
        </w:rPr>
      </w:pPr>
      <w:r>
        <w:rPr>
          <w:color w:val="000000"/>
          <w:sz w:val="20"/>
          <w:szCs w:val="20"/>
        </w:rPr>
        <w:t xml:space="preserve">Segundo </w:t>
      </w:r>
      <w:r>
        <w:rPr>
          <w:b/>
          <w:bCs/>
          <w:color w:val="000000"/>
          <w:sz w:val="20"/>
          <w:szCs w:val="20"/>
        </w:rPr>
        <w:t>Rafael Oliveira</w:t>
      </w:r>
      <w:r>
        <w:rPr>
          <w:color w:val="000000"/>
          <w:sz w:val="20"/>
          <w:szCs w:val="20"/>
        </w:rPr>
        <w:t>, “a elaboração do ETP reflete a importância do planejamento como ferramenta de governança pública, permitindo maior controle sobre os riscos e possibilitando escolhas administrativas embasadas, com foco na melhor execução do contrato” (OLIVEIRA, 2022, p. 87)</w:t>
      </w:r>
      <w:r>
        <w:rPr>
          <w:rStyle w:val="FootnoteReference"/>
          <w:color w:val="000000"/>
          <w:sz w:val="20"/>
          <w:szCs w:val="20"/>
        </w:rPr>
        <w:footnoteReference w:id="3"/>
      </w:r>
      <w:r>
        <w:rPr>
          <w:color w:val="000000"/>
          <w:sz w:val="20"/>
          <w:szCs w:val="20"/>
        </w:rPr>
        <w:t>.</w:t>
      </w:r>
    </w:p>
    <w:p>
      <w:pPr>
        <w:pStyle w:val="Standard"/>
        <w:widowControl w:val="false"/>
        <w:tabs>
          <w:tab w:val="clear" w:pos="720"/>
          <w:tab w:val="left" w:pos="6521" w:leader="none"/>
        </w:tabs>
        <w:spacing w:lineRule="auto" w:line="240"/>
        <w:jc w:val="both"/>
        <w:rPr>
          <w:rFonts w:ascii="Arial" w:hAnsi="Arial"/>
          <w:color w:val="000000"/>
          <w:sz w:val="12"/>
          <w:szCs w:val="12"/>
        </w:rPr>
      </w:pPr>
      <w:r>
        <w:rPr>
          <w:color w:val="000000"/>
          <w:sz w:val="12"/>
          <w:szCs w:val="12"/>
        </w:rPr>
      </w:r>
    </w:p>
    <w:p>
      <w:pPr>
        <w:pStyle w:val="Standard"/>
        <w:widowControl w:val="false"/>
        <w:tabs>
          <w:tab w:val="clear" w:pos="720"/>
          <w:tab w:val="left" w:pos="6521" w:leader="none"/>
        </w:tabs>
        <w:spacing w:lineRule="auto" w:line="240"/>
        <w:jc w:val="both"/>
        <w:rPr>
          <w:rFonts w:ascii="Arial" w:hAnsi="Arial"/>
          <w:sz w:val="20"/>
          <w:szCs w:val="20"/>
        </w:rPr>
      </w:pPr>
      <w:r>
        <w:rPr>
          <w:b/>
          <w:bCs/>
          <w:color w:val="000000"/>
          <w:sz w:val="20"/>
          <w:szCs w:val="20"/>
        </w:rPr>
        <w:t>Sirvo-me do presente para apresentar o Estudo Técnico Preliminar (ETP), com os elementos essenciais para a análise da viabilidade e da oportunidade da contratação, em conformidade com as normas aplicáveis e os princípios que regem a Administração Pública.</w:t>
      </w:r>
    </w:p>
    <w:p>
      <w:pPr>
        <w:pStyle w:val="Standard"/>
        <w:widowControl w:val="false"/>
        <w:tabs>
          <w:tab w:val="clear" w:pos="720"/>
          <w:tab w:val="left" w:pos="6521" w:leader="none"/>
        </w:tabs>
        <w:spacing w:lineRule="auto" w:line="240"/>
        <w:jc w:val="both"/>
        <w:rPr>
          <w:rFonts w:ascii="Arial" w:hAnsi="Arial" w:cs="Times New Roman"/>
          <w:sz w:val="12"/>
          <w:szCs w:val="12"/>
        </w:rPr>
      </w:pPr>
      <w:r>
        <w:rPr>
          <w:rFonts w:cs="Times New Roman"/>
          <w:sz w:val="12"/>
          <w:szCs w:val="12"/>
        </w:rPr>
      </w:r>
    </w:p>
    <w:p>
      <w:pPr>
        <w:pStyle w:val="Contedodatabela"/>
        <w:tabs>
          <w:tab w:val="clear" w:pos="720"/>
          <w:tab w:val="left" w:pos="6521" w:leader="none"/>
        </w:tabs>
        <w:spacing w:lineRule="auto" w:line="240"/>
        <w:jc w:val="both"/>
        <w:rPr>
          <w:rFonts w:ascii="Arial" w:hAnsi="Arial"/>
          <w:sz w:val="20"/>
          <w:szCs w:val="20"/>
        </w:rPr>
      </w:pPr>
      <w:r>
        <w:rPr>
          <w:rFonts w:cs="Times New Roman"/>
          <w:b/>
          <w:bCs/>
          <w:sz w:val="20"/>
          <w:szCs w:val="20"/>
        </w:rPr>
        <w:t>Descrição Sumária do Item:</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rHeight w:val="1210" w:hRule="atLeast"/>
        </w:trPr>
        <w:tc>
          <w:tcPr>
            <w:tcW w:w="10995"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jc w:val="both"/>
              <w:rPr>
                <w:rFonts w:ascii="Arial" w:hAnsi="Arial" w:cs="Times New Roman"/>
                <w:sz w:val="20"/>
                <w:szCs w:val="20"/>
              </w:rPr>
            </w:pPr>
            <w:bookmarkStart w:id="22" w:name="_Hlk196123181"/>
            <w:r>
              <w:rPr>
                <w:rFonts w:cs="Times New Roman"/>
                <w:sz w:val="20"/>
                <w:szCs w:val="20"/>
              </w:rPr>
              <w:t>O objeto do presente instrumento consiste na contratação de empresa especializada para a prestação de serviços de locação de veículos, com o objetivo de atender às necessidades operacionais da Secretaria Municipal de Segurança e Ordem Pública, especialmente no que tange ao apoio logístico às ações implementadas no âmbito do Programa Estadual de Integração na Segurança – PROEIS.</w:t>
            </w:r>
            <w:bookmarkEnd w:id="22"/>
          </w:p>
        </w:tc>
      </w:tr>
    </w:tbl>
    <w:p>
      <w:pPr>
        <w:pStyle w:val="Standard"/>
        <w:widowControl w:val="false"/>
        <w:tabs>
          <w:tab w:val="clear" w:pos="720"/>
          <w:tab w:val="left" w:pos="6521" w:leader="none"/>
        </w:tabs>
        <w:spacing w:lineRule="auto" w:line="240"/>
        <w:jc w:val="both"/>
        <w:rPr>
          <w:rFonts w:ascii="Arial" w:hAnsi="Arial" w:cs="Times New Roman"/>
          <w:sz w:val="12"/>
          <w:szCs w:val="12"/>
        </w:rPr>
      </w:pPr>
      <w:r>
        <w:rPr>
          <w:rFonts w:cs="Times New Roman"/>
          <w:sz w:val="12"/>
          <w:szCs w:val="12"/>
        </w:rPr>
      </w:r>
    </w:p>
    <w:p>
      <w:pPr>
        <w:pStyle w:val="Textbody1"/>
        <w:spacing w:lineRule="auto" w:line="240" w:before="0" w:after="0"/>
        <w:jc w:val="both"/>
        <w:rPr>
          <w:rFonts w:ascii="Arial" w:hAnsi="Arial"/>
          <w:sz w:val="20"/>
          <w:szCs w:val="20"/>
        </w:rPr>
      </w:pPr>
      <w:r>
        <w:rPr>
          <w:rFonts w:cs="Times New Roman"/>
          <w:b/>
          <w:bCs/>
          <w:color w:val="000000"/>
          <w:sz w:val="20"/>
          <w:szCs w:val="20"/>
        </w:rPr>
        <w:t>I - Descrição da necessidade da contratação, considerado o problema a ser resolvido sob a perspectiva do interesse público (Art. 19, § 1°, I do Decreto n° 5.558/2023):</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jc w:val="both"/>
              <w:rPr>
                <w:rFonts w:ascii="Arial" w:hAnsi="Arial"/>
                <w:sz w:val="20"/>
                <w:szCs w:val="20"/>
              </w:rPr>
            </w:pPr>
            <w:r>
              <w:rPr>
                <w:sz w:val="20"/>
                <w:szCs w:val="20"/>
              </w:rPr>
              <w:t>A presente contratação tem por finalidade suprir a necessidade administrativa da Secretaria Municipal de Segurança e Ordem Pública do Município de Paracambi, decorrente da impossibilidade jurídica e contratual de renovação do contrato vigente para a prestação de serviços de locação de veículos.</w:t>
            </w:r>
          </w:p>
          <w:p>
            <w:pPr>
              <w:pStyle w:val="Contedodatabela"/>
              <w:widowControl w:val="false"/>
              <w:spacing w:lineRule="auto" w:line="240"/>
              <w:jc w:val="both"/>
              <w:rPr>
                <w:rFonts w:ascii="Arial" w:hAnsi="Arial"/>
                <w:sz w:val="20"/>
                <w:szCs w:val="20"/>
              </w:rPr>
            </w:pPr>
            <w:r>
              <w:rPr>
                <w:sz w:val="20"/>
                <w:szCs w:val="20"/>
              </w:rPr>
            </w:r>
          </w:p>
          <w:p>
            <w:pPr>
              <w:pStyle w:val="Contedodatabela"/>
              <w:widowControl w:val="false"/>
              <w:spacing w:lineRule="auto" w:line="240"/>
              <w:jc w:val="both"/>
              <w:rPr>
                <w:rFonts w:ascii="Arial" w:hAnsi="Arial"/>
                <w:sz w:val="20"/>
                <w:szCs w:val="20"/>
              </w:rPr>
            </w:pPr>
            <w:r>
              <w:rPr>
                <w:sz w:val="20"/>
                <w:szCs w:val="20"/>
              </w:rPr>
              <w:t xml:space="preserve">Diante da proximidade do término da vigência do contrato anterior e da ausência de cláusula ou hipótese legal que viabilize sua prorrogação, revela-se imprescindível a celebração de novo contrato, com vistas a evitar a descontinuidade dos serviços essenciais de apoio logístico às ações de segurança pública, especialmente aquelas executadas no âmbito do </w:t>
            </w:r>
            <w:r>
              <w:rPr>
                <w:b/>
                <w:bCs/>
                <w:sz w:val="20"/>
                <w:szCs w:val="20"/>
              </w:rPr>
              <w:t>Programa Estadual de Integração na Segurança – PROEIS</w:t>
            </w:r>
            <w:r>
              <w:rPr>
                <w:sz w:val="20"/>
                <w:szCs w:val="20"/>
              </w:rPr>
              <w:t>.</w:t>
            </w:r>
          </w:p>
          <w:p>
            <w:pPr>
              <w:pStyle w:val="Contedodatabela"/>
              <w:widowControl w:val="false"/>
              <w:spacing w:lineRule="auto" w:line="240"/>
              <w:jc w:val="both"/>
              <w:rPr>
                <w:rFonts w:ascii="Arial" w:hAnsi="Arial"/>
                <w:sz w:val="20"/>
                <w:szCs w:val="20"/>
              </w:rPr>
            </w:pPr>
            <w:r>
              <w:rPr>
                <w:sz w:val="20"/>
                <w:szCs w:val="20"/>
              </w:rPr>
            </w:r>
          </w:p>
          <w:p>
            <w:pPr>
              <w:pStyle w:val="Contedodatabela"/>
              <w:widowControl w:val="false"/>
              <w:spacing w:lineRule="auto" w:line="240"/>
              <w:jc w:val="both"/>
              <w:rPr>
                <w:rFonts w:ascii="Arial" w:hAnsi="Arial"/>
                <w:sz w:val="20"/>
                <w:szCs w:val="20"/>
              </w:rPr>
            </w:pPr>
            <w:r>
              <w:rPr>
                <w:sz w:val="20"/>
                <w:szCs w:val="20"/>
              </w:rPr>
              <w:t>A locação dos veículos justifica-se pela ausência de frota própria suficiente e adequada ao cumprimento das atividades institucionais atribuídas à Pasta, notadamente as relacionadas à segurança ostensiva, patrulhamento preventivo, apoio às operações integradas e manutenção da ordem pública.</w:t>
            </w:r>
          </w:p>
          <w:p>
            <w:pPr>
              <w:pStyle w:val="Contedodatabela"/>
              <w:widowControl w:val="false"/>
              <w:spacing w:lineRule="auto" w:line="240"/>
              <w:jc w:val="both"/>
              <w:rPr>
                <w:rFonts w:ascii="Arial" w:hAnsi="Arial"/>
                <w:sz w:val="20"/>
                <w:szCs w:val="20"/>
              </w:rPr>
            </w:pPr>
            <w:r>
              <w:rPr>
                <w:sz w:val="20"/>
                <w:szCs w:val="20"/>
              </w:rPr>
            </w:r>
          </w:p>
          <w:p>
            <w:pPr>
              <w:pStyle w:val="Contedodatabela"/>
              <w:widowControl w:val="false"/>
              <w:spacing w:lineRule="auto" w:line="240"/>
              <w:jc w:val="both"/>
              <w:rPr>
                <w:rFonts w:ascii="Arial" w:hAnsi="Arial"/>
                <w:sz w:val="20"/>
                <w:szCs w:val="20"/>
              </w:rPr>
            </w:pPr>
            <w:r>
              <w:rPr>
                <w:sz w:val="20"/>
                <w:szCs w:val="20"/>
              </w:rPr>
              <w:t>Sob a perspectiva do interesse público, a contratação ora pretendida representa medida necessária para assegurar a continuidade, a eficiência e a regularidade das ações de segurança no território municipal, em consonância com os princípios da legalidade, eficiência, planejamento e supremacia do interesse público, que norteiam a Administração Pública.</w:t>
            </w:r>
          </w:p>
        </w:tc>
      </w:tr>
    </w:tbl>
    <w:p>
      <w:pPr>
        <w:pStyle w:val="Textbody1"/>
        <w:spacing w:lineRule="auto" w:line="240" w:before="0" w:after="0"/>
        <w:jc w:val="both"/>
        <w:rPr>
          <w:rFonts w:ascii="Arial" w:hAnsi="Arial" w:cs="Times New Roman"/>
          <w:b/>
          <w:bCs/>
          <w:color w:val="162937"/>
          <w:sz w:val="20"/>
          <w:szCs w:val="20"/>
        </w:rPr>
      </w:pPr>
      <w:r>
        <w:rPr>
          <w:rFonts w:cs="Times New Roman"/>
          <w:b/>
          <w:bCs/>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II – Demonstração da previsão da contratação no plano de contratações anual, indicando seu alinhamento com o planejamento (Art. 19, § 1°, II do Decreto n° 5.558/2023):</w:t>
      </w:r>
    </w:p>
    <w:p>
      <w:pPr>
        <w:pStyle w:val="Textbody1"/>
        <w:spacing w:lineRule="auto" w:line="240" w:before="0" w:after="0"/>
        <w:jc w:val="both"/>
        <w:rPr>
          <w:rFonts w:ascii="Arial" w:hAnsi="Arial"/>
          <w:sz w:val="20"/>
          <w:szCs w:val="20"/>
        </w:rPr>
      </w:pPr>
      <w:r>
        <w:rPr>
          <w:rFonts w:cs="Times New Roman"/>
          <w:b/>
          <w:bCs/>
          <w:color w:val="000000"/>
          <w:sz w:val="20"/>
          <w:szCs w:val="20"/>
        </w:rPr>
        <w:t>( X ) não aplica</w:t>
      </w:r>
    </w:p>
    <w:p>
      <w:pPr>
        <w:pStyle w:val="Textbody1"/>
        <w:spacing w:lineRule="auto" w:line="240" w:before="0" w:after="0"/>
        <w:jc w:val="both"/>
        <w:rPr>
          <w:rFonts w:ascii="Arial" w:hAnsi="Arial"/>
          <w:sz w:val="20"/>
          <w:szCs w:val="20"/>
        </w:rPr>
      </w:pPr>
      <w:r>
        <w:rPr>
          <w:rFonts w:cs="Times New Roman"/>
          <w:b/>
          <w:bCs/>
          <w:color w:val="000000"/>
          <w:sz w:val="20"/>
          <w:szCs w:val="20"/>
        </w:rPr>
        <w:t xml:space="preserve">(  ) aplica, justifique:   </w:t>
      </w:r>
    </w:p>
    <w:p>
      <w:pPr>
        <w:pStyle w:val="Textbody1"/>
        <w:spacing w:lineRule="auto" w:line="240" w:before="0" w:after="0"/>
        <w:jc w:val="both"/>
        <w:rPr>
          <w:rFonts w:cs="Times New Roman"/>
          <w:b/>
          <w:bCs/>
          <w:color w:val="000000"/>
        </w:rPr>
      </w:pPr>
      <w:r>
        <w:rPr>
          <w:rFonts w:cs="Times New Roman"/>
          <w:b/>
          <w:bCs/>
          <w:color w:val="000000"/>
        </w:rPr>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A contratação não consta do Plano de Contratações Anual (PCA), tendo em vista que a </w:t>
            </w:r>
            <w:r>
              <w:rPr>
                <w:b/>
                <w:bCs/>
                <w:sz w:val="20"/>
                <w:szCs w:val="20"/>
              </w:rPr>
              <w:t>Secretaria Municipal de Segurança e Ordem Pública foi criada recentemente, no mês de janeiro de 2025</w:t>
            </w:r>
            <w:r>
              <w:rPr>
                <w:sz w:val="20"/>
                <w:szCs w:val="20"/>
              </w:rPr>
              <w:t xml:space="preserve">, encontrando-se em fase de estruturação administrativa e organizacional. Em razão da sua recente instituição, </w:t>
            </w:r>
            <w:r>
              <w:rPr>
                <w:b/>
                <w:bCs/>
                <w:sz w:val="20"/>
                <w:szCs w:val="20"/>
              </w:rPr>
              <w:t>o Plano de Contratações Anual ainda não foi formalmente elaborado</w:t>
            </w:r>
            <w:r>
              <w:rPr>
                <w:sz w:val="20"/>
                <w:szCs w:val="20"/>
              </w:rPr>
              <w:t>, motivo pelo qual não há registro prévio da contratação pretendida nesse instrumento de planejamento.</w:t>
            </w:r>
          </w:p>
          <w:p>
            <w:pPr>
              <w:pStyle w:val="Standard"/>
              <w:widowControl w:val="false"/>
              <w:spacing w:lineRule="auto" w:line="240"/>
              <w:jc w:val="both"/>
              <w:rPr>
                <w:rFonts w:ascii="Arial" w:hAnsi="Arial"/>
                <w:sz w:val="20"/>
                <w:szCs w:val="20"/>
              </w:rPr>
            </w:pPr>
            <w:r>
              <w:rPr>
                <w:sz w:val="20"/>
                <w:szCs w:val="20"/>
              </w:rPr>
              <w:t xml:space="preserve">Não obstante, cumpre destacar que a </w:t>
            </w:r>
            <w:r>
              <w:rPr>
                <w:b/>
                <w:bCs/>
                <w:sz w:val="20"/>
                <w:szCs w:val="20"/>
              </w:rPr>
              <w:t>contratação objeto deste processo encontra-se regularmente prevista na Lei Orçamentária Anual (LOA) para o exercício de 2025</w:t>
            </w:r>
            <w:r>
              <w:rPr>
                <w:sz w:val="20"/>
                <w:szCs w:val="20"/>
              </w:rPr>
              <w:t xml:space="preserve">, evidenciando o seu </w:t>
            </w:r>
            <w:r>
              <w:rPr>
                <w:b/>
                <w:bCs/>
                <w:sz w:val="20"/>
                <w:szCs w:val="20"/>
              </w:rPr>
              <w:t>alinhamento com as diretrizes orçamentárias e com as ações programáticas previstas para a Secretaria</w:t>
            </w:r>
            <w:r>
              <w:rPr>
                <w:sz w:val="20"/>
                <w:szCs w:val="20"/>
              </w:rPr>
              <w:t>, especialmente no que se refere ao suporte logístico necessário à execução das atividades do Programa Estadual de Integração na Segurança – PROEIS.</w:t>
            </w:r>
          </w:p>
          <w:p>
            <w:pPr>
              <w:pStyle w:val="Standard"/>
              <w:widowControl w:val="false"/>
              <w:spacing w:lineRule="auto" w:line="240"/>
              <w:jc w:val="both"/>
              <w:rPr>
                <w:rFonts w:ascii="Arial" w:hAnsi="Arial"/>
                <w:sz w:val="20"/>
                <w:szCs w:val="20"/>
              </w:rPr>
            </w:pPr>
            <w:r>
              <w:rPr>
                <w:sz w:val="20"/>
                <w:szCs w:val="20"/>
              </w:rPr>
              <w:t>Dessa forma, mesmo diante da ausência de previsão no PCA, justificada pelo contexto de criação recente da Pasta, a presente contratação encontra respaldo orçamentário e atende ao planejamento institucional da Administração, em conformidade com os princípios da legalidade, da eficiência e do interesse público.</w:t>
            </w:r>
          </w:p>
        </w:tc>
      </w:tr>
    </w:tbl>
    <w:p>
      <w:pPr>
        <w:pStyle w:val="Textbody1"/>
        <w:spacing w:lineRule="auto" w:line="240" w:before="0" w:after="0"/>
        <w:jc w:val="both"/>
        <w:rPr>
          <w:rFonts w:ascii="Arial" w:hAnsi="Arial" w:cs="Times New Roman"/>
          <w:b/>
          <w:bCs/>
          <w:color w:val="162937"/>
          <w:sz w:val="20"/>
          <w:szCs w:val="20"/>
        </w:rPr>
      </w:pPr>
      <w:r>
        <w:rPr>
          <w:rFonts w:cs="Times New Roman"/>
          <w:b/>
          <w:bCs/>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III - Descrição dos requisitos necessários e suficientes à escolha da solução, prevendo critérios e práticas de sustentabilidade (Art. 19, § 1°, III do Decreto n° 5.558/2023):</w:t>
      </w:r>
    </w:p>
    <w:p>
      <w:pPr>
        <w:pStyle w:val="Textbody1"/>
        <w:spacing w:lineRule="auto" w:line="240" w:before="0" w:after="0"/>
        <w:jc w:val="both"/>
        <w:rPr>
          <w:rFonts w:ascii="Arial" w:hAnsi="Arial"/>
          <w:sz w:val="20"/>
          <w:szCs w:val="20"/>
        </w:rPr>
      </w:pPr>
      <w:r>
        <w:rPr>
          <w:rFonts w:cs="Times New Roman"/>
          <w:b/>
          <w:bCs/>
          <w:color w:val="000000"/>
          <w:sz w:val="20"/>
          <w:szCs w:val="20"/>
        </w:rPr>
        <w:t>(  ) não aplica</w:t>
      </w:r>
    </w:p>
    <w:p>
      <w:pPr>
        <w:pStyle w:val="Textbody1"/>
        <w:spacing w:lineRule="auto" w:line="240" w:before="0" w:after="0"/>
        <w:jc w:val="both"/>
        <w:rPr>
          <w:rFonts w:ascii="Arial" w:hAnsi="Arial"/>
          <w:sz w:val="20"/>
          <w:szCs w:val="20"/>
        </w:rPr>
      </w:pPr>
      <w:r>
        <w:rPr>
          <w:rFonts w:cs="Times New Roman"/>
          <w:b/>
          <w:bCs/>
          <w:color w:val="000000"/>
          <w:sz w:val="20"/>
          <w:szCs w:val="20"/>
        </w:rPr>
        <w:t xml:space="preserve">( X ) aplica, justifique: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jc w:val="both"/>
              <w:rPr>
                <w:rFonts w:ascii="Arial" w:hAnsi="Arial"/>
                <w:sz w:val="20"/>
                <w:szCs w:val="20"/>
              </w:rPr>
            </w:pPr>
            <w:r>
              <w:rPr>
                <w:sz w:val="20"/>
                <w:szCs w:val="20"/>
              </w:rPr>
              <w:t xml:space="preserve">A solução mais adequada para o atendimento da demanda da Secretaria Municipal de Segurança e Ordem Pública consiste na </w:t>
            </w:r>
            <w:r>
              <w:rPr>
                <w:b/>
                <w:bCs/>
                <w:sz w:val="20"/>
                <w:szCs w:val="20"/>
              </w:rPr>
              <w:t>locação de quatro (04) veículos automotores, tipo passeio, modelo hatch, 0 km</w:t>
            </w:r>
            <w:r>
              <w:rPr>
                <w:sz w:val="20"/>
                <w:szCs w:val="20"/>
              </w:rPr>
              <w:t xml:space="preserve">, destinados ao suporte das ações operacionais vinculadas ao </w:t>
            </w:r>
            <w:r>
              <w:rPr>
                <w:b/>
                <w:bCs/>
                <w:sz w:val="20"/>
                <w:szCs w:val="20"/>
              </w:rPr>
              <w:t>Programa Estadual de Integração na Segurança – PROEIS</w:t>
            </w:r>
            <w:r>
              <w:rPr>
                <w:sz w:val="20"/>
                <w:szCs w:val="20"/>
              </w:rPr>
              <w:t>, no âmbito do Município de Paracambi.</w:t>
            </w:r>
          </w:p>
          <w:p>
            <w:pPr>
              <w:pStyle w:val="Contedodatabela"/>
              <w:widowControl w:val="false"/>
              <w:spacing w:lineRule="auto" w:line="240"/>
              <w:jc w:val="both"/>
              <w:rPr>
                <w:rFonts w:ascii="Arial" w:hAnsi="Arial"/>
                <w:sz w:val="20"/>
                <w:szCs w:val="20"/>
              </w:rPr>
            </w:pPr>
            <w:r>
              <w:rPr>
                <w:sz w:val="20"/>
                <w:szCs w:val="20"/>
              </w:rPr>
              <w:t xml:space="preserve">Os requisitos técnicos mínimos considerados </w:t>
            </w:r>
            <w:r>
              <w:rPr>
                <w:b/>
                <w:bCs/>
                <w:sz w:val="20"/>
                <w:szCs w:val="20"/>
              </w:rPr>
              <w:t>necessários e suficientes</w:t>
            </w:r>
            <w:r>
              <w:rPr>
                <w:sz w:val="20"/>
                <w:szCs w:val="20"/>
              </w:rPr>
              <w:t xml:space="preserve"> à adequada prestação do serviço são os seguintes:</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Veículos tipo passeio, modelo hatch, </w:t>
            </w:r>
            <w:r>
              <w:rPr>
                <w:b/>
                <w:bCs/>
                <w:sz w:val="20"/>
                <w:szCs w:val="20"/>
              </w:rPr>
              <w:t>0 (zero) quilômetro</w:t>
            </w:r>
            <w:r>
              <w:rPr>
                <w:sz w:val="20"/>
                <w:szCs w:val="20"/>
              </w:rPr>
              <w:t>;</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Motorização 1.0, </w:t>
            </w:r>
            <w:r>
              <w:rPr>
                <w:b/>
                <w:bCs/>
                <w:sz w:val="20"/>
                <w:szCs w:val="20"/>
              </w:rPr>
              <w:t>flex (etanol/gasolina)</w:t>
            </w:r>
            <w:r>
              <w:rPr>
                <w:sz w:val="20"/>
                <w:szCs w:val="20"/>
              </w:rPr>
              <w:t>;</w:t>
            </w:r>
          </w:p>
          <w:p>
            <w:pPr>
              <w:pStyle w:val="Contedodatabela"/>
              <w:widowControl w:val="false"/>
              <w:numPr>
                <w:ilvl w:val="0"/>
                <w:numId w:val="1"/>
              </w:numPr>
              <w:spacing w:lineRule="auto" w:line="240"/>
              <w:jc w:val="both"/>
              <w:rPr>
                <w:rFonts w:ascii="Arial" w:hAnsi="Arial"/>
                <w:sz w:val="20"/>
                <w:szCs w:val="20"/>
              </w:rPr>
            </w:pPr>
            <w:r>
              <w:rPr>
                <w:b/>
                <w:bCs/>
                <w:sz w:val="20"/>
                <w:szCs w:val="20"/>
              </w:rPr>
              <w:t>Freios ABS</w:t>
            </w:r>
            <w:r>
              <w:rPr>
                <w:sz w:val="20"/>
                <w:szCs w:val="20"/>
              </w:rPr>
              <w:t xml:space="preserve"> e </w:t>
            </w:r>
            <w:r>
              <w:rPr>
                <w:b/>
                <w:bCs/>
                <w:sz w:val="20"/>
                <w:szCs w:val="20"/>
              </w:rPr>
              <w:t>airbag duplo (motorista e passageiro)</w:t>
            </w:r>
            <w:r>
              <w:rPr>
                <w:sz w:val="20"/>
                <w:szCs w:val="20"/>
              </w:rPr>
              <w:t>;</w:t>
            </w:r>
          </w:p>
          <w:p>
            <w:pPr>
              <w:pStyle w:val="Contedodatabela"/>
              <w:widowControl w:val="false"/>
              <w:numPr>
                <w:ilvl w:val="0"/>
                <w:numId w:val="1"/>
              </w:numPr>
              <w:spacing w:lineRule="auto" w:line="240"/>
              <w:jc w:val="both"/>
              <w:rPr>
                <w:rFonts w:ascii="Arial" w:hAnsi="Arial"/>
                <w:sz w:val="20"/>
                <w:szCs w:val="20"/>
              </w:rPr>
            </w:pPr>
            <w:r>
              <w:rPr>
                <w:b/>
                <w:bCs/>
                <w:sz w:val="20"/>
                <w:szCs w:val="20"/>
              </w:rPr>
              <w:t>Câmbio manual</w:t>
            </w:r>
            <w:r>
              <w:rPr>
                <w:sz w:val="20"/>
                <w:szCs w:val="20"/>
              </w:rPr>
              <w:t xml:space="preserve">, </w:t>
            </w:r>
            <w:r>
              <w:rPr>
                <w:b/>
                <w:bCs/>
                <w:sz w:val="20"/>
                <w:szCs w:val="20"/>
              </w:rPr>
              <w:t>quatro portas</w:t>
            </w:r>
            <w:r>
              <w:rPr>
                <w:sz w:val="20"/>
                <w:szCs w:val="20"/>
              </w:rPr>
              <w:t>;</w:t>
            </w:r>
          </w:p>
          <w:p>
            <w:pPr>
              <w:pStyle w:val="Contedodatabela"/>
              <w:widowControl w:val="false"/>
              <w:numPr>
                <w:ilvl w:val="0"/>
                <w:numId w:val="1"/>
              </w:numPr>
              <w:spacing w:lineRule="auto" w:line="240"/>
              <w:jc w:val="both"/>
              <w:rPr>
                <w:rFonts w:ascii="Arial" w:hAnsi="Arial"/>
                <w:sz w:val="20"/>
                <w:szCs w:val="20"/>
              </w:rPr>
            </w:pPr>
            <w:r>
              <w:rPr>
                <w:b/>
                <w:bCs/>
                <w:sz w:val="20"/>
                <w:szCs w:val="20"/>
              </w:rPr>
              <w:t>Direção hidráulica ou elétrica assistida</w:t>
            </w:r>
            <w:r>
              <w:rPr>
                <w:sz w:val="20"/>
                <w:szCs w:val="20"/>
              </w:rPr>
              <w:t>;</w:t>
            </w:r>
          </w:p>
          <w:p>
            <w:pPr>
              <w:pStyle w:val="Contedodatabela"/>
              <w:widowControl w:val="false"/>
              <w:numPr>
                <w:ilvl w:val="0"/>
                <w:numId w:val="1"/>
              </w:numPr>
              <w:spacing w:lineRule="auto" w:line="240"/>
              <w:jc w:val="both"/>
              <w:rPr>
                <w:rFonts w:ascii="Arial" w:hAnsi="Arial"/>
                <w:sz w:val="20"/>
                <w:szCs w:val="20"/>
              </w:rPr>
            </w:pPr>
            <w:r>
              <w:rPr>
                <w:b/>
                <w:bCs/>
                <w:sz w:val="20"/>
                <w:szCs w:val="20"/>
              </w:rPr>
              <w:t>Ar-condicionado</w:t>
            </w:r>
            <w:r>
              <w:rPr>
                <w:sz w:val="20"/>
                <w:szCs w:val="20"/>
              </w:rPr>
              <w:t xml:space="preserve"> de fábrica;</w:t>
            </w:r>
          </w:p>
          <w:p>
            <w:pPr>
              <w:pStyle w:val="Contedodatabela"/>
              <w:widowControl w:val="false"/>
              <w:numPr>
                <w:ilvl w:val="0"/>
                <w:numId w:val="1"/>
              </w:numPr>
              <w:spacing w:lineRule="auto" w:line="240"/>
              <w:jc w:val="both"/>
              <w:rPr>
                <w:rFonts w:ascii="Arial" w:hAnsi="Arial"/>
                <w:sz w:val="20"/>
                <w:szCs w:val="20"/>
              </w:rPr>
            </w:pPr>
            <w:r>
              <w:rPr>
                <w:b/>
                <w:bCs/>
                <w:sz w:val="20"/>
                <w:szCs w:val="20"/>
              </w:rPr>
              <w:t>Trio elétrico completo</w:t>
            </w:r>
            <w:r>
              <w:rPr>
                <w:sz w:val="20"/>
                <w:szCs w:val="20"/>
              </w:rPr>
              <w:t>: travas, vidros e alarme;</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Contrato com </w:t>
            </w:r>
            <w:r>
              <w:rPr>
                <w:b/>
                <w:bCs/>
                <w:sz w:val="20"/>
                <w:szCs w:val="20"/>
              </w:rPr>
              <w:t>quilometragem livre</w:t>
            </w:r>
            <w:r>
              <w:rPr>
                <w:sz w:val="20"/>
                <w:szCs w:val="20"/>
              </w:rPr>
              <w:t>;</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Fornecimento </w:t>
            </w:r>
            <w:r>
              <w:rPr>
                <w:b/>
                <w:bCs/>
                <w:sz w:val="20"/>
                <w:szCs w:val="20"/>
              </w:rPr>
              <w:t>sem motorista</w:t>
            </w:r>
            <w:r>
              <w:rPr>
                <w:sz w:val="20"/>
                <w:szCs w:val="20"/>
              </w:rPr>
              <w:t xml:space="preserve"> e </w:t>
            </w:r>
            <w:r>
              <w:rPr>
                <w:b/>
                <w:bCs/>
                <w:sz w:val="20"/>
                <w:szCs w:val="20"/>
              </w:rPr>
              <w:t>sem combustível</w:t>
            </w:r>
            <w:r>
              <w:rPr>
                <w:sz w:val="20"/>
                <w:szCs w:val="20"/>
              </w:rPr>
              <w:t>;</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Veículos devidamente </w:t>
            </w:r>
            <w:r>
              <w:rPr>
                <w:b/>
                <w:bCs/>
                <w:sz w:val="20"/>
                <w:szCs w:val="20"/>
              </w:rPr>
              <w:t>documentados</w:t>
            </w:r>
            <w:r>
              <w:rPr>
                <w:sz w:val="20"/>
                <w:szCs w:val="20"/>
              </w:rPr>
              <w:t xml:space="preserve">, com </w:t>
            </w:r>
            <w:r>
              <w:rPr>
                <w:b/>
                <w:bCs/>
                <w:sz w:val="20"/>
                <w:szCs w:val="20"/>
              </w:rPr>
              <w:t>licenciamento em dia</w:t>
            </w:r>
            <w:r>
              <w:rPr>
                <w:sz w:val="20"/>
                <w:szCs w:val="20"/>
              </w:rPr>
              <w:t xml:space="preserve"> e </w:t>
            </w:r>
            <w:r>
              <w:rPr>
                <w:b/>
                <w:bCs/>
                <w:sz w:val="20"/>
                <w:szCs w:val="20"/>
              </w:rPr>
              <w:t>seguro total (com cobertura contra colisão, furto/roubo, terceiros e danos materiais e pessoais)</w:t>
            </w:r>
            <w:r>
              <w:rPr>
                <w:sz w:val="20"/>
                <w:szCs w:val="20"/>
              </w:rPr>
              <w:t>;</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Aplicação de </w:t>
            </w:r>
            <w:r>
              <w:rPr>
                <w:b/>
                <w:bCs/>
                <w:sz w:val="20"/>
                <w:szCs w:val="20"/>
              </w:rPr>
              <w:t>adesivagem institucional obrigatória</w:t>
            </w:r>
            <w:r>
              <w:rPr>
                <w:sz w:val="20"/>
                <w:szCs w:val="20"/>
              </w:rPr>
              <w:t>, contendo as inscrições “Prefeitura Municipal de Paracambi”, “Secretaria de Segurança e Ordem Pública”, e demais elementos visuais definidos pela Administração;</w:t>
            </w:r>
          </w:p>
          <w:p>
            <w:pPr>
              <w:pStyle w:val="Contedodatabela"/>
              <w:widowControl w:val="false"/>
              <w:numPr>
                <w:ilvl w:val="0"/>
                <w:numId w:val="1"/>
              </w:numPr>
              <w:spacing w:lineRule="auto" w:line="240"/>
              <w:jc w:val="both"/>
              <w:rPr>
                <w:rFonts w:ascii="Arial" w:hAnsi="Arial"/>
                <w:sz w:val="20"/>
                <w:szCs w:val="20"/>
              </w:rPr>
            </w:pPr>
            <w:r>
              <w:rPr>
                <w:sz w:val="20"/>
                <w:szCs w:val="20"/>
              </w:rPr>
              <w:t xml:space="preserve">Instalação de </w:t>
            </w:r>
            <w:r>
              <w:rPr>
                <w:b/>
                <w:bCs/>
                <w:sz w:val="20"/>
                <w:szCs w:val="20"/>
              </w:rPr>
              <w:t>sistema de sinalização sonora e visual (giroflex e sirene)</w:t>
            </w:r>
            <w:r>
              <w:rPr>
                <w:sz w:val="20"/>
                <w:szCs w:val="20"/>
              </w:rPr>
              <w:t xml:space="preserve"> em conformidade com as normas vigentes do CONTRAN, de modo a garantir a adequada identificação e operacionalidade dos veículos em ações de patrulhamento.</w:t>
            </w:r>
          </w:p>
          <w:p>
            <w:pPr>
              <w:pStyle w:val="Contedodatabela"/>
              <w:widowControl w:val="false"/>
              <w:spacing w:lineRule="auto" w:line="240"/>
              <w:jc w:val="both"/>
              <w:rPr>
                <w:rFonts w:ascii="Arial" w:hAnsi="Arial"/>
                <w:sz w:val="20"/>
                <w:szCs w:val="20"/>
              </w:rPr>
            </w:pPr>
            <w:r>
              <w:rPr>
                <w:sz w:val="20"/>
                <w:szCs w:val="20"/>
              </w:rPr>
              <w:t xml:space="preserve">Adicionalmente, a contratação deverá observar </w:t>
            </w:r>
            <w:r>
              <w:rPr>
                <w:b/>
                <w:bCs/>
                <w:sz w:val="20"/>
                <w:szCs w:val="20"/>
              </w:rPr>
              <w:t>critérios de sustentabilidade</w:t>
            </w:r>
            <w:r>
              <w:rPr>
                <w:sz w:val="20"/>
                <w:szCs w:val="20"/>
              </w:rPr>
              <w:t>, conforme diretrizes legais e boas práticas ambientais, destacando-se:</w:t>
            </w:r>
          </w:p>
          <w:p>
            <w:pPr>
              <w:pStyle w:val="Contedodatabela"/>
              <w:widowControl w:val="false"/>
              <w:numPr>
                <w:ilvl w:val="0"/>
                <w:numId w:val="2"/>
              </w:numPr>
              <w:spacing w:lineRule="auto" w:line="240"/>
              <w:jc w:val="both"/>
              <w:rPr>
                <w:rFonts w:ascii="Arial" w:hAnsi="Arial"/>
                <w:sz w:val="20"/>
                <w:szCs w:val="20"/>
              </w:rPr>
            </w:pPr>
            <w:r>
              <w:rPr>
                <w:sz w:val="20"/>
                <w:szCs w:val="20"/>
              </w:rPr>
              <w:t xml:space="preserve">Preferência por veículos com </w:t>
            </w:r>
            <w:r>
              <w:rPr>
                <w:b/>
                <w:bCs/>
                <w:sz w:val="20"/>
                <w:szCs w:val="20"/>
              </w:rPr>
              <w:t>tecnologia de menor emissão de poluentes</w:t>
            </w:r>
            <w:r>
              <w:rPr>
                <w:sz w:val="20"/>
                <w:szCs w:val="20"/>
              </w:rPr>
              <w:t xml:space="preserve">, como motores flex de baixa cilindrada, que contribuem para a </w:t>
            </w:r>
            <w:r>
              <w:rPr>
                <w:b/>
                <w:bCs/>
                <w:sz w:val="20"/>
                <w:szCs w:val="20"/>
              </w:rPr>
              <w:t>redução da pegada de carbono</w:t>
            </w:r>
            <w:r>
              <w:rPr>
                <w:sz w:val="20"/>
                <w:szCs w:val="20"/>
              </w:rPr>
              <w:t>;</w:t>
            </w:r>
          </w:p>
          <w:p>
            <w:pPr>
              <w:pStyle w:val="Contedodatabela"/>
              <w:widowControl w:val="false"/>
              <w:numPr>
                <w:ilvl w:val="0"/>
                <w:numId w:val="2"/>
              </w:numPr>
              <w:spacing w:lineRule="auto" w:line="240"/>
              <w:jc w:val="both"/>
              <w:rPr>
                <w:rFonts w:ascii="Arial" w:hAnsi="Arial"/>
                <w:sz w:val="20"/>
                <w:szCs w:val="20"/>
              </w:rPr>
            </w:pPr>
            <w:r>
              <w:rPr>
                <w:b/>
                <w:bCs/>
                <w:sz w:val="20"/>
                <w:szCs w:val="20"/>
              </w:rPr>
              <w:t>Manutenção preventiva obrigatória</w:t>
            </w:r>
            <w:r>
              <w:rPr>
                <w:sz w:val="20"/>
                <w:szCs w:val="20"/>
              </w:rPr>
              <w:t>, com controle de emissão de gases e descarte ambientalmente adequado de peças e resíduos automotivos;</w:t>
            </w:r>
          </w:p>
          <w:p>
            <w:pPr>
              <w:pStyle w:val="Contedodatabela"/>
              <w:widowControl w:val="false"/>
              <w:numPr>
                <w:ilvl w:val="0"/>
                <w:numId w:val="2"/>
              </w:numPr>
              <w:spacing w:lineRule="auto" w:line="240"/>
              <w:jc w:val="both"/>
              <w:rPr>
                <w:rFonts w:ascii="Arial" w:hAnsi="Arial"/>
                <w:sz w:val="20"/>
                <w:szCs w:val="20"/>
              </w:rPr>
            </w:pPr>
            <w:r>
              <w:rPr>
                <w:sz w:val="20"/>
                <w:szCs w:val="20"/>
              </w:rPr>
              <w:t>Incentivo ao uso racional da frota, evitando deslocamentos desnecessários e promovendo o uso eficiente dos recursos públicos.</w:t>
            </w:r>
          </w:p>
        </w:tc>
      </w:tr>
    </w:tbl>
    <w:p>
      <w:pPr>
        <w:pStyle w:val="Textbody1"/>
        <w:spacing w:lineRule="auto" w:line="240" w:before="0" w:after="0"/>
        <w:jc w:val="both"/>
        <w:rPr>
          <w:rFonts w:ascii="Arial" w:hAnsi="Arial" w:cs="Times New Roman"/>
          <w:color w:val="000000"/>
          <w:sz w:val="20"/>
          <w:szCs w:val="20"/>
        </w:rPr>
      </w:pPr>
      <w:r>
        <w:rPr>
          <w:rFonts w:cs="Times New Roman"/>
          <w:color w:val="000000"/>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IV - Estimativa das quantidades a serem contratadas (Art. 19, § 1°, IV do Decreto n° 5.558/2023):</w:t>
      </w:r>
      <w:r>
        <w:rPr>
          <w:rFonts w:cs="Times New Roman"/>
          <w:b/>
          <w:bCs/>
          <w:color w:val="162937"/>
          <w:sz w:val="20"/>
          <w:szCs w:val="20"/>
        </w:rPr>
        <w:t xml:space="preserv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A presente contratação contempla a </w:t>
            </w:r>
            <w:r>
              <w:rPr>
                <w:b/>
                <w:bCs/>
                <w:sz w:val="20"/>
                <w:szCs w:val="20"/>
              </w:rPr>
              <w:t>locação de quatro (04) veículos automotores tipo passeio, modelo hatch, 0 (zero) quilômetro</w:t>
            </w:r>
            <w:r>
              <w:rPr>
                <w:sz w:val="20"/>
                <w:szCs w:val="20"/>
              </w:rPr>
              <w:t xml:space="preserve">, com características técnicas previamente definidas, os quais serão disponibilizados à </w:t>
            </w:r>
            <w:r>
              <w:rPr>
                <w:b/>
                <w:bCs/>
                <w:sz w:val="20"/>
                <w:szCs w:val="20"/>
              </w:rPr>
              <w:t>Secretaria Municipal de Segurança e Ordem Pública do Município de Paracambi</w:t>
            </w:r>
            <w:r>
              <w:rPr>
                <w:sz w:val="20"/>
                <w:szCs w:val="20"/>
              </w:rPr>
              <w:t xml:space="preserve"> para atendimento direto das demandas operacionais do </w:t>
            </w:r>
            <w:r>
              <w:rPr>
                <w:b/>
                <w:bCs/>
                <w:sz w:val="20"/>
                <w:szCs w:val="20"/>
              </w:rPr>
              <w:t>Programa Estadual de Integração na Segurança – PROEIS</w:t>
            </w:r>
            <w:r>
              <w:rPr>
                <w:sz w:val="20"/>
                <w:szCs w:val="20"/>
              </w:rPr>
              <w:t>.</w:t>
            </w:r>
          </w:p>
          <w:p>
            <w:pPr>
              <w:pStyle w:val="Standard"/>
              <w:widowControl w:val="false"/>
              <w:spacing w:lineRule="auto" w:line="240"/>
              <w:jc w:val="both"/>
              <w:rPr>
                <w:rFonts w:ascii="Arial" w:hAnsi="Arial"/>
                <w:sz w:val="20"/>
                <w:szCs w:val="20"/>
              </w:rPr>
            </w:pPr>
            <w:r>
              <w:rPr>
                <w:sz w:val="20"/>
                <w:szCs w:val="20"/>
              </w:rPr>
              <w:t xml:space="preserve">A estimativa da quantidade a ser contratada fundamenta-se na necessidade de estruturação logística mínima e suficiente para assegurar a atuação plena das </w:t>
            </w:r>
            <w:r>
              <w:rPr>
                <w:b/>
                <w:bCs/>
                <w:sz w:val="20"/>
                <w:szCs w:val="20"/>
              </w:rPr>
              <w:t>equipes designadas ao PROEIS</w:t>
            </w:r>
            <w:r>
              <w:rPr>
                <w:sz w:val="20"/>
                <w:szCs w:val="20"/>
              </w:rPr>
              <w:t>, cuja execução envolve ações de patrulhamento ostensivo, fiscalização de áreas de risco, ordenamento urbano e cooperação com os órgãos estaduais de segurança pública.</w:t>
            </w:r>
          </w:p>
          <w:p>
            <w:pPr>
              <w:pStyle w:val="Standard"/>
              <w:widowControl w:val="false"/>
              <w:spacing w:lineRule="auto" w:line="240"/>
              <w:jc w:val="both"/>
              <w:rPr>
                <w:rFonts w:ascii="Arial" w:hAnsi="Arial"/>
                <w:sz w:val="20"/>
                <w:szCs w:val="20"/>
              </w:rPr>
            </w:pPr>
            <w:r>
              <w:rPr>
                <w:sz w:val="20"/>
                <w:szCs w:val="20"/>
              </w:rPr>
              <w:t xml:space="preserve">O número de quatro (04) veículos foi estabelecido com base no </w:t>
            </w:r>
            <w:r>
              <w:rPr>
                <w:b/>
                <w:bCs/>
                <w:sz w:val="20"/>
                <w:szCs w:val="20"/>
              </w:rPr>
              <w:t>dimensionamento da força-tarefa atualmente vinculada ao Programa no município</w:t>
            </w:r>
            <w:r>
              <w:rPr>
                <w:sz w:val="20"/>
                <w:szCs w:val="20"/>
              </w:rPr>
              <w:t>, considerando os turnos operacionais e a abrangência territorial das rotas de policiamento preventivo que exigem presença contínua e coordenada da equipe.</w:t>
            </w:r>
          </w:p>
          <w:p>
            <w:pPr>
              <w:pStyle w:val="Standard"/>
              <w:widowControl w:val="false"/>
              <w:spacing w:lineRule="auto" w:line="240"/>
              <w:jc w:val="both"/>
              <w:rPr>
                <w:rFonts w:ascii="Arial" w:hAnsi="Arial"/>
                <w:sz w:val="20"/>
                <w:szCs w:val="20"/>
              </w:rPr>
            </w:pPr>
            <w:r>
              <w:rPr>
                <w:sz w:val="20"/>
                <w:szCs w:val="20"/>
              </w:rPr>
              <w:t xml:space="preserve">Destaca-se que a Administração Pública Municipal </w:t>
            </w:r>
            <w:r>
              <w:rPr>
                <w:b/>
                <w:bCs/>
                <w:sz w:val="20"/>
                <w:szCs w:val="20"/>
              </w:rPr>
              <w:t>não dispõe de veículos próprios com as especificações técnicas exigidas</w:t>
            </w:r>
            <w:r>
              <w:rPr>
                <w:sz w:val="20"/>
                <w:szCs w:val="20"/>
              </w:rPr>
              <w:t xml:space="preserve"> para esse tipo de atuação especializada, sendo, portanto, necessária a contratação de empresa do setor privado para a prestação do serviço em regime de locação, observando-se os princípios da eficiência, economicidade e continuidade dos serviços públicos essenciais.</w:t>
            </w:r>
          </w:p>
        </w:tc>
      </w:tr>
    </w:tbl>
    <w:p>
      <w:pPr>
        <w:pStyle w:val="Textbody1"/>
        <w:spacing w:lineRule="auto" w:line="240" w:before="0" w:after="0"/>
        <w:jc w:val="both"/>
        <w:rPr>
          <w:rFonts w:ascii="Arial" w:hAnsi="Arial" w:cs="Times New Roman"/>
          <w:b/>
          <w:bCs/>
          <w:color w:val="000000"/>
          <w:sz w:val="20"/>
          <w:szCs w:val="20"/>
        </w:rPr>
      </w:pPr>
      <w:r>
        <w:rPr>
          <w:rFonts w:cs="Times New Roman"/>
          <w:b/>
          <w:bCs/>
          <w:color w:val="000000"/>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V - Levantamento de mercado, que consiste na prospecção e análise das alternativas possíveis de soluções (Art. 19, § 1°, V do Decreto n° 5.558/2023):</w:t>
      </w:r>
    </w:p>
    <w:p>
      <w:pPr>
        <w:pStyle w:val="Textbody1"/>
        <w:spacing w:lineRule="auto" w:line="240" w:before="0" w:after="0"/>
        <w:jc w:val="both"/>
        <w:rPr>
          <w:rFonts w:ascii="Arial" w:hAnsi="Arial"/>
          <w:sz w:val="20"/>
          <w:szCs w:val="20"/>
        </w:rPr>
      </w:pPr>
      <w:r>
        <w:rPr>
          <w:rFonts w:cs="Times New Roman"/>
          <w:b/>
          <w:bCs/>
          <w:color w:val="000000"/>
          <w:sz w:val="20"/>
          <w:szCs w:val="20"/>
        </w:rPr>
        <w:t>( ) não aplica</w:t>
      </w:r>
    </w:p>
    <w:p>
      <w:pPr>
        <w:pStyle w:val="Textbody1"/>
        <w:spacing w:lineRule="auto" w:line="240" w:before="0" w:after="0"/>
        <w:jc w:val="both"/>
        <w:rPr>
          <w:rFonts w:ascii="Arial" w:hAnsi="Arial"/>
          <w:sz w:val="20"/>
          <w:szCs w:val="20"/>
        </w:rPr>
      </w:pPr>
      <w:r>
        <w:rPr>
          <w:rFonts w:cs="Times New Roman"/>
          <w:b/>
          <w:bCs/>
          <w:color w:val="000000"/>
          <w:sz w:val="20"/>
          <w:szCs w:val="20"/>
        </w:rPr>
        <w:t xml:space="preserve">( X ) aplica, justifique: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Textbody1"/>
              <w:widowControl w:val="false"/>
              <w:spacing w:lineRule="auto" w:line="240" w:before="0" w:after="0"/>
              <w:jc w:val="both"/>
              <w:rPr>
                <w:rFonts w:ascii="Arial" w:hAnsi="Arial"/>
                <w:sz w:val="20"/>
                <w:szCs w:val="20"/>
              </w:rPr>
            </w:pPr>
            <w:r>
              <w:rPr>
                <w:sz w:val="20"/>
                <w:szCs w:val="20"/>
              </w:rPr>
              <w:t xml:space="preserve">Para atender à necessidade identificada pela Secretaria Municipal de Segurança e Ordem Pública, foi realizado levantamento de mercado com o objetivo de </w:t>
            </w:r>
            <w:r>
              <w:rPr>
                <w:b/>
                <w:bCs/>
                <w:sz w:val="20"/>
                <w:szCs w:val="20"/>
              </w:rPr>
              <w:t>identificar as alternativas disponíveis para o fornecimento de veículos tipo passeio, modelo hatch, com características técnicas compatíveis à atividade de apoio logístico ao Programa Estadual de Integração na Segurança – PROEIS</w:t>
            </w:r>
            <w:r>
              <w:rPr>
                <w:sz w:val="20"/>
                <w:szCs w:val="20"/>
              </w:rPr>
              <w:t>.</w:t>
            </w:r>
          </w:p>
          <w:p>
            <w:pPr>
              <w:pStyle w:val="Textbody1"/>
              <w:widowControl w:val="false"/>
              <w:spacing w:lineRule="auto" w:line="240" w:before="0" w:after="0"/>
              <w:jc w:val="both"/>
              <w:rPr>
                <w:rFonts w:ascii="Arial" w:hAnsi="Arial"/>
                <w:sz w:val="20"/>
                <w:szCs w:val="20"/>
              </w:rPr>
            </w:pPr>
            <w:r>
              <w:rPr>
                <w:sz w:val="20"/>
                <w:szCs w:val="20"/>
              </w:rPr>
              <w:t xml:space="preserve">Foram analisadas duas principais </w:t>
            </w:r>
            <w:r>
              <w:rPr>
                <w:b/>
                <w:bCs/>
                <w:sz w:val="20"/>
                <w:szCs w:val="20"/>
              </w:rPr>
              <w:t>modalidades de atendimento da demanda</w:t>
            </w:r>
            <w:r>
              <w:rPr>
                <w:sz w:val="20"/>
                <w:szCs w:val="20"/>
              </w:rPr>
              <w:t>:</w:t>
            </w:r>
          </w:p>
          <w:p>
            <w:pPr>
              <w:pStyle w:val="Textbody1"/>
              <w:widowControl w:val="false"/>
              <w:numPr>
                <w:ilvl w:val="0"/>
                <w:numId w:val="9"/>
              </w:numPr>
              <w:spacing w:lineRule="auto" w:line="240" w:before="0" w:after="0"/>
              <w:jc w:val="both"/>
              <w:rPr>
                <w:rFonts w:ascii="Arial" w:hAnsi="Arial"/>
                <w:sz w:val="20"/>
                <w:szCs w:val="20"/>
              </w:rPr>
            </w:pPr>
            <w:r>
              <w:rPr>
                <w:b/>
                <w:bCs/>
                <w:sz w:val="20"/>
                <w:szCs w:val="20"/>
              </w:rPr>
              <w:t>Aquisição direta de veículos novos</w:t>
            </w:r>
            <w:r>
              <w:rPr>
                <w:sz w:val="20"/>
                <w:szCs w:val="20"/>
              </w:rPr>
              <w:t xml:space="preserve"> por meio de processo licitatório tradicional;</w:t>
            </w:r>
          </w:p>
          <w:p>
            <w:pPr>
              <w:pStyle w:val="Textbody1"/>
              <w:widowControl w:val="false"/>
              <w:numPr>
                <w:ilvl w:val="0"/>
                <w:numId w:val="9"/>
              </w:numPr>
              <w:spacing w:lineRule="auto" w:line="240" w:before="0" w:after="0"/>
              <w:jc w:val="both"/>
              <w:rPr>
                <w:rFonts w:ascii="Arial" w:hAnsi="Arial"/>
                <w:sz w:val="20"/>
                <w:szCs w:val="20"/>
              </w:rPr>
            </w:pPr>
            <w:r>
              <w:rPr>
                <w:b/>
                <w:bCs/>
                <w:sz w:val="20"/>
                <w:szCs w:val="20"/>
              </w:rPr>
              <w:t>Contratação de empresa especializada para locação de veículos</w:t>
            </w:r>
            <w:r>
              <w:rPr>
                <w:sz w:val="20"/>
                <w:szCs w:val="20"/>
              </w:rPr>
              <w:t>.</w:t>
            </w:r>
          </w:p>
          <w:p>
            <w:pPr>
              <w:pStyle w:val="Textbody1"/>
              <w:widowControl w:val="false"/>
              <w:spacing w:lineRule="auto" w:line="240" w:before="0" w:after="0"/>
              <w:jc w:val="both"/>
              <w:rPr>
                <w:rFonts w:ascii="Arial" w:hAnsi="Arial"/>
                <w:sz w:val="20"/>
                <w:szCs w:val="20"/>
              </w:rPr>
            </w:pPr>
            <w:r>
              <w:rPr>
                <w:sz w:val="20"/>
                <w:szCs w:val="20"/>
              </w:rPr>
              <w:t>Durante a prospecção de mercado, foram verificados valores médios de aquisição de veículos com as especificações técnicas exigidas, os quais apresentaram custo unitário superior a R$ 80.000,00, o que resultaria em um investimento total acima de R$ 320.000,00, sem incluir despesas acessórias como:</w:t>
            </w:r>
          </w:p>
          <w:p>
            <w:pPr>
              <w:pStyle w:val="Textbody1"/>
              <w:widowControl w:val="false"/>
              <w:numPr>
                <w:ilvl w:val="0"/>
                <w:numId w:val="6"/>
              </w:numPr>
              <w:spacing w:lineRule="auto" w:line="240" w:before="0" w:after="0"/>
              <w:jc w:val="both"/>
              <w:rPr>
                <w:rFonts w:ascii="Arial" w:hAnsi="Arial"/>
                <w:sz w:val="20"/>
                <w:szCs w:val="20"/>
              </w:rPr>
            </w:pPr>
            <w:r>
              <w:rPr>
                <w:sz w:val="20"/>
                <w:szCs w:val="20"/>
              </w:rPr>
              <w:t>Emplacamento e documentação;</w:t>
            </w:r>
          </w:p>
          <w:p>
            <w:pPr>
              <w:pStyle w:val="Textbody1"/>
              <w:widowControl w:val="false"/>
              <w:numPr>
                <w:ilvl w:val="0"/>
                <w:numId w:val="6"/>
              </w:numPr>
              <w:spacing w:lineRule="auto" w:line="240" w:before="0" w:after="0"/>
              <w:jc w:val="both"/>
              <w:rPr>
                <w:rFonts w:ascii="Arial" w:hAnsi="Arial"/>
                <w:sz w:val="20"/>
                <w:szCs w:val="20"/>
              </w:rPr>
            </w:pPr>
            <w:r>
              <w:rPr>
                <w:sz w:val="20"/>
                <w:szCs w:val="20"/>
              </w:rPr>
              <w:t>Seguro total obrigatório;</w:t>
            </w:r>
          </w:p>
          <w:p>
            <w:pPr>
              <w:pStyle w:val="Textbody1"/>
              <w:widowControl w:val="false"/>
              <w:numPr>
                <w:ilvl w:val="0"/>
                <w:numId w:val="6"/>
              </w:numPr>
              <w:spacing w:lineRule="auto" w:line="240" w:before="0" w:after="0"/>
              <w:jc w:val="both"/>
              <w:rPr>
                <w:rFonts w:ascii="Arial" w:hAnsi="Arial"/>
                <w:sz w:val="20"/>
                <w:szCs w:val="20"/>
              </w:rPr>
            </w:pPr>
            <w:r>
              <w:rPr>
                <w:sz w:val="20"/>
                <w:szCs w:val="20"/>
              </w:rPr>
              <w:t>Manutenção preventiva e corretiva;</w:t>
            </w:r>
          </w:p>
          <w:p>
            <w:pPr>
              <w:pStyle w:val="Textbody1"/>
              <w:widowControl w:val="false"/>
              <w:numPr>
                <w:ilvl w:val="0"/>
                <w:numId w:val="6"/>
              </w:numPr>
              <w:spacing w:lineRule="auto" w:line="240" w:before="0" w:after="0"/>
              <w:jc w:val="both"/>
              <w:rPr>
                <w:rFonts w:ascii="Arial" w:hAnsi="Arial"/>
                <w:sz w:val="20"/>
                <w:szCs w:val="20"/>
              </w:rPr>
            </w:pPr>
            <w:r>
              <w:rPr>
                <w:sz w:val="20"/>
                <w:szCs w:val="20"/>
              </w:rPr>
              <w:t>Substituição de veículos por avaria ou pane;</w:t>
            </w:r>
          </w:p>
          <w:p>
            <w:pPr>
              <w:pStyle w:val="Textbody1"/>
              <w:widowControl w:val="false"/>
              <w:numPr>
                <w:ilvl w:val="0"/>
                <w:numId w:val="6"/>
              </w:numPr>
              <w:spacing w:lineRule="auto" w:line="240" w:before="0" w:after="0"/>
              <w:jc w:val="both"/>
              <w:rPr>
                <w:rFonts w:ascii="Arial" w:hAnsi="Arial"/>
                <w:sz w:val="20"/>
                <w:szCs w:val="20"/>
              </w:rPr>
            </w:pPr>
            <w:r>
              <w:rPr>
                <w:sz w:val="20"/>
                <w:szCs w:val="20"/>
              </w:rPr>
              <w:t>Necessidade de contratação de empresa especializada para manutenção.</w:t>
            </w:r>
          </w:p>
          <w:p>
            <w:pPr>
              <w:pStyle w:val="Textbody1"/>
              <w:widowControl w:val="false"/>
              <w:spacing w:lineRule="auto" w:line="240" w:before="0" w:after="0"/>
              <w:jc w:val="both"/>
              <w:rPr>
                <w:rFonts w:ascii="Arial" w:hAnsi="Arial"/>
                <w:sz w:val="20"/>
                <w:szCs w:val="20"/>
              </w:rPr>
            </w:pPr>
            <w:r>
              <w:rPr>
                <w:sz w:val="20"/>
                <w:szCs w:val="20"/>
              </w:rPr>
              <w:t xml:space="preserve">Além do elevado custo inicial, a </w:t>
            </w:r>
            <w:r>
              <w:rPr>
                <w:b/>
                <w:bCs/>
                <w:sz w:val="20"/>
                <w:szCs w:val="20"/>
              </w:rPr>
              <w:t>Secretaria Municipal de Segurança e Ordem Pública, recém-criada em janeiro de 2025</w:t>
            </w:r>
            <w:r>
              <w:rPr>
                <w:sz w:val="20"/>
                <w:szCs w:val="20"/>
              </w:rPr>
              <w:t xml:space="preserve">, </w:t>
            </w:r>
            <w:r>
              <w:rPr>
                <w:b/>
                <w:bCs/>
                <w:sz w:val="20"/>
                <w:szCs w:val="20"/>
              </w:rPr>
              <w:t>não dispõe de recursos de fonte de investimento</w:t>
            </w:r>
            <w:r>
              <w:rPr>
                <w:sz w:val="20"/>
                <w:szCs w:val="20"/>
              </w:rPr>
              <w:t xml:space="preserve"> consignados na Lei Orçamentária Anual (LOA 2025) para aquisição de bens permanentes, o que inviabiliza financeiramente esta alternativa.</w:t>
            </w:r>
          </w:p>
          <w:p>
            <w:pPr>
              <w:pStyle w:val="Textbody1"/>
              <w:widowControl w:val="false"/>
              <w:spacing w:lineRule="auto" w:line="240" w:before="0" w:after="0"/>
              <w:jc w:val="both"/>
              <w:rPr>
                <w:rFonts w:ascii="Arial" w:hAnsi="Arial"/>
                <w:sz w:val="20"/>
                <w:szCs w:val="20"/>
              </w:rPr>
            </w:pPr>
            <w:r>
              <w:rPr>
                <w:sz w:val="20"/>
                <w:szCs w:val="20"/>
              </w:rPr>
              <w:t xml:space="preserve">Por outro lado, a </w:t>
            </w:r>
            <w:r>
              <w:rPr>
                <w:b/>
                <w:bCs/>
                <w:sz w:val="20"/>
                <w:szCs w:val="20"/>
              </w:rPr>
              <w:t>locação de veículos foi identificada como solução mais vantajosa, sob os aspectos técnico, orçamentário, administrativo e operacional</w:t>
            </w:r>
            <w:r>
              <w:rPr>
                <w:sz w:val="20"/>
                <w:szCs w:val="20"/>
              </w:rPr>
              <w:t>, por reunir as seguintes características:</w:t>
            </w:r>
          </w:p>
          <w:p>
            <w:pPr>
              <w:pStyle w:val="Textbody1"/>
              <w:widowControl w:val="false"/>
              <w:numPr>
                <w:ilvl w:val="0"/>
                <w:numId w:val="7"/>
              </w:numPr>
              <w:spacing w:lineRule="auto" w:line="240" w:before="0" w:after="0"/>
              <w:jc w:val="both"/>
              <w:rPr>
                <w:rFonts w:ascii="Arial" w:hAnsi="Arial"/>
                <w:sz w:val="20"/>
                <w:szCs w:val="20"/>
              </w:rPr>
            </w:pPr>
            <w:r>
              <w:rPr>
                <w:sz w:val="20"/>
                <w:szCs w:val="20"/>
              </w:rPr>
              <w:t>Menor custo inicial e pagamentos mensais previsíveis;</w:t>
            </w:r>
          </w:p>
          <w:p>
            <w:pPr>
              <w:pStyle w:val="Textbody1"/>
              <w:widowControl w:val="false"/>
              <w:numPr>
                <w:ilvl w:val="0"/>
                <w:numId w:val="7"/>
              </w:numPr>
              <w:spacing w:lineRule="auto" w:line="240" w:before="0" w:after="0"/>
              <w:jc w:val="both"/>
              <w:rPr>
                <w:rFonts w:ascii="Arial" w:hAnsi="Arial"/>
                <w:sz w:val="20"/>
                <w:szCs w:val="20"/>
              </w:rPr>
            </w:pPr>
            <w:r>
              <w:rPr>
                <w:sz w:val="20"/>
                <w:szCs w:val="20"/>
              </w:rPr>
              <w:t>Inclusão de seguro total e documentação em nome da contratada;</w:t>
            </w:r>
          </w:p>
          <w:p>
            <w:pPr>
              <w:pStyle w:val="Textbody1"/>
              <w:widowControl w:val="false"/>
              <w:numPr>
                <w:ilvl w:val="0"/>
                <w:numId w:val="7"/>
              </w:numPr>
              <w:spacing w:lineRule="auto" w:line="240" w:before="0" w:after="0"/>
              <w:jc w:val="both"/>
              <w:rPr>
                <w:rFonts w:ascii="Arial" w:hAnsi="Arial"/>
                <w:sz w:val="20"/>
                <w:szCs w:val="20"/>
              </w:rPr>
            </w:pPr>
            <w:r>
              <w:rPr>
                <w:sz w:val="20"/>
                <w:szCs w:val="20"/>
              </w:rPr>
              <w:t>Responsabilidade integral da contratada pela manutenção preventiva e corretiva;</w:t>
            </w:r>
          </w:p>
          <w:p>
            <w:pPr>
              <w:pStyle w:val="Textbody1"/>
              <w:widowControl w:val="false"/>
              <w:numPr>
                <w:ilvl w:val="0"/>
                <w:numId w:val="7"/>
              </w:numPr>
              <w:spacing w:lineRule="auto" w:line="240" w:before="0" w:after="0"/>
              <w:jc w:val="both"/>
              <w:rPr>
                <w:rFonts w:ascii="Arial" w:hAnsi="Arial"/>
                <w:sz w:val="20"/>
                <w:szCs w:val="20"/>
              </w:rPr>
            </w:pPr>
            <w:r>
              <w:rPr>
                <w:sz w:val="20"/>
                <w:szCs w:val="20"/>
              </w:rPr>
              <w:t>Substituição imediata de veículos em caso de sinistro ou pane;</w:t>
            </w:r>
          </w:p>
          <w:p>
            <w:pPr>
              <w:pStyle w:val="Textbody1"/>
              <w:widowControl w:val="false"/>
              <w:numPr>
                <w:ilvl w:val="0"/>
                <w:numId w:val="7"/>
              </w:numPr>
              <w:spacing w:lineRule="auto" w:line="240" w:before="0" w:after="0"/>
              <w:jc w:val="both"/>
              <w:rPr>
                <w:rFonts w:ascii="Arial" w:hAnsi="Arial"/>
                <w:sz w:val="20"/>
                <w:szCs w:val="20"/>
              </w:rPr>
            </w:pPr>
            <w:r>
              <w:rPr>
                <w:sz w:val="20"/>
                <w:szCs w:val="20"/>
              </w:rPr>
              <w:t>Menor burocracia administrativa para gestão da frota;</w:t>
            </w:r>
          </w:p>
          <w:p>
            <w:pPr>
              <w:pStyle w:val="Textbody1"/>
              <w:widowControl w:val="false"/>
              <w:numPr>
                <w:ilvl w:val="0"/>
                <w:numId w:val="7"/>
              </w:numPr>
              <w:spacing w:lineRule="auto" w:line="240" w:before="0" w:after="0"/>
              <w:jc w:val="both"/>
              <w:rPr>
                <w:rFonts w:ascii="Arial" w:hAnsi="Arial"/>
                <w:sz w:val="20"/>
                <w:szCs w:val="20"/>
              </w:rPr>
            </w:pPr>
            <w:r>
              <w:rPr>
                <w:sz w:val="20"/>
                <w:szCs w:val="20"/>
              </w:rPr>
              <w:t>Agilidade na disponibilização dos veículos 0 km, prontos para uso;</w:t>
            </w:r>
          </w:p>
          <w:p>
            <w:pPr>
              <w:pStyle w:val="Textbody1"/>
              <w:widowControl w:val="false"/>
              <w:numPr>
                <w:ilvl w:val="0"/>
                <w:numId w:val="7"/>
              </w:numPr>
              <w:spacing w:lineRule="auto" w:line="240" w:before="0" w:after="0"/>
              <w:jc w:val="both"/>
              <w:rPr>
                <w:rFonts w:ascii="Arial" w:hAnsi="Arial"/>
                <w:sz w:val="20"/>
                <w:szCs w:val="20"/>
              </w:rPr>
            </w:pPr>
            <w:r>
              <w:rPr>
                <w:sz w:val="20"/>
                <w:szCs w:val="20"/>
              </w:rPr>
              <w:t>Flexibilidade contratual, permitindo adequações futuras.</w:t>
            </w:r>
          </w:p>
          <w:p>
            <w:pPr>
              <w:pStyle w:val="Textbody1"/>
              <w:widowControl w:val="false"/>
              <w:spacing w:lineRule="auto" w:line="240" w:before="0" w:after="0"/>
              <w:jc w:val="both"/>
              <w:rPr>
                <w:rFonts w:ascii="Arial" w:hAnsi="Arial"/>
                <w:sz w:val="20"/>
                <w:szCs w:val="20"/>
              </w:rPr>
            </w:pPr>
            <w:r>
              <w:rPr>
                <w:b/>
                <w:bCs/>
                <w:sz w:val="20"/>
                <w:szCs w:val="20"/>
              </w:rPr>
              <w:t>a) Contratações similares em outros órgãos e entidades públicas</w:t>
            </w:r>
            <w:r>
              <w:rPr>
                <w:sz w:val="20"/>
                <w:szCs w:val="20"/>
              </w:rPr>
              <w:t xml:space="preserve"> foram consultadas como parâmetro de mercado. Verificou-se ampla adoção do modelo de locação de veículos por órgãos da Administração Pública municipal e estadual, sobretudo no setor de segurança e fiscalização, inclusive por prefeituras de porte similar ao de Paracambi, como medida de contenção de custos e garantia de maior eficiência operacional.</w:t>
            </w:r>
          </w:p>
          <w:p>
            <w:pPr>
              <w:pStyle w:val="Textbody1"/>
              <w:widowControl w:val="false"/>
              <w:spacing w:lineRule="auto" w:line="240" w:before="0" w:after="0"/>
              <w:jc w:val="both"/>
              <w:rPr>
                <w:rFonts w:ascii="Arial" w:hAnsi="Arial"/>
                <w:sz w:val="20"/>
                <w:szCs w:val="20"/>
              </w:rPr>
            </w:pPr>
            <w:r>
              <w:rPr>
                <w:b/>
                <w:bCs/>
                <w:sz w:val="20"/>
                <w:szCs w:val="20"/>
              </w:rPr>
              <w:t>b) Quanto à interação com o mercado</w:t>
            </w:r>
            <w:r>
              <w:rPr>
                <w:sz w:val="20"/>
                <w:szCs w:val="20"/>
              </w:rPr>
              <w:t>, foram realizadas consultas a fornecedores especializados no segmento de locação de frotas, tendo sido identificadas diversas empresas com capacidade técnica para o fornecimento dos veículos com as exigências detalhadas neste processo. A especificação técnica adotada não restringe a competitividade, tratando-se de requisitos mínimos indispensáveis à segurança, padronização e eficiência dos serviços de patrulhamento ostensivo e apoio institucional.</w:t>
            </w:r>
          </w:p>
          <w:p>
            <w:pPr>
              <w:pStyle w:val="Textbody1"/>
              <w:widowControl w:val="false"/>
              <w:spacing w:lineRule="auto" w:line="240" w:before="0" w:after="0"/>
              <w:jc w:val="both"/>
              <w:rPr>
                <w:rFonts w:ascii="Arial" w:hAnsi="Arial"/>
                <w:sz w:val="20"/>
                <w:szCs w:val="20"/>
              </w:rPr>
            </w:pPr>
            <w:r>
              <w:rPr>
                <w:sz w:val="20"/>
                <w:szCs w:val="20"/>
              </w:rPr>
              <w:t xml:space="preserve">Dessa forma, a escolha pela locação, além de representar </w:t>
            </w:r>
            <w:r>
              <w:rPr>
                <w:b/>
                <w:bCs/>
                <w:sz w:val="20"/>
                <w:szCs w:val="20"/>
              </w:rPr>
              <w:t>prática consolidada e eficiente no setor público</w:t>
            </w:r>
            <w:r>
              <w:rPr>
                <w:sz w:val="20"/>
                <w:szCs w:val="20"/>
              </w:rPr>
              <w:t xml:space="preserve">, apresenta-se como </w:t>
            </w:r>
            <w:r>
              <w:rPr>
                <w:b/>
                <w:bCs/>
                <w:sz w:val="20"/>
                <w:szCs w:val="20"/>
              </w:rPr>
              <w:t>solução mais viável economicamente, adequada tecnicamente e compatível com a realidade orçamentária da Administração Municipal</w:t>
            </w:r>
            <w:r>
              <w:rPr>
                <w:sz w:val="20"/>
                <w:szCs w:val="20"/>
              </w:rPr>
              <w:t>, em estrita observância aos princípios da economicidade, da eficiência e da legalidade.</w:t>
            </w:r>
          </w:p>
        </w:tc>
      </w:tr>
    </w:tbl>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VI - Estimativa do valor da contratação (Art. 19, § 1°, VI do Decreto n° 5.558/2023):</w:t>
      </w:r>
      <w:r>
        <w:rPr>
          <w:rFonts w:cs="Times New Roman"/>
          <w:b/>
          <w:bCs/>
          <w:color w:val="162937"/>
          <w:sz w:val="20"/>
          <w:szCs w:val="20"/>
        </w:rPr>
        <w:t xml:space="preserv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Em m estrita observância ao disposto no </w:t>
            </w:r>
            <w:r>
              <w:rPr>
                <w:b/>
                <w:bCs/>
                <w:sz w:val="20"/>
                <w:szCs w:val="20"/>
              </w:rPr>
              <w:t>art. 23 da Lei Federal nº 14.133/2021</w:t>
            </w:r>
            <w:r>
              <w:rPr>
                <w:sz w:val="20"/>
                <w:szCs w:val="20"/>
              </w:rPr>
              <w:t xml:space="preserve">, bem como ao </w:t>
            </w:r>
            <w:r>
              <w:rPr>
                <w:b/>
                <w:bCs/>
                <w:sz w:val="20"/>
                <w:szCs w:val="20"/>
              </w:rPr>
              <w:t>art. 19, § 1º, inciso VI, do Decreto Municipal nº 5.558/2023</w:t>
            </w:r>
            <w:r>
              <w:rPr>
                <w:sz w:val="20"/>
                <w:szCs w:val="20"/>
              </w:rPr>
              <w:t xml:space="preserve">, foi realizada pesquisa de mercado com base em contratações públicas similares, formalmente celebradas por entes da Administração Pública, cujos instrumentos e documentos comprobatórios encontram-se devidamente </w:t>
            </w:r>
            <w:r>
              <w:rPr>
                <w:b/>
                <w:bCs/>
                <w:sz w:val="20"/>
                <w:szCs w:val="20"/>
              </w:rPr>
              <w:t>acostados aos autos</w:t>
            </w:r>
            <w:r>
              <w:rPr>
                <w:sz w:val="20"/>
                <w:szCs w:val="20"/>
              </w:rPr>
              <w:t xml:space="preserve"> deste processo administrativo.</w:t>
            </w:r>
          </w:p>
          <w:p>
            <w:pPr>
              <w:pStyle w:val="Standard"/>
              <w:widowControl w:val="false"/>
              <w:spacing w:lineRule="auto" w:line="240"/>
              <w:jc w:val="both"/>
              <w:rPr>
                <w:rFonts w:ascii="Arial" w:hAnsi="Arial"/>
                <w:sz w:val="20"/>
                <w:szCs w:val="20"/>
              </w:rPr>
            </w:pPr>
            <w:r>
              <w:rPr>
                <w:sz w:val="20"/>
                <w:szCs w:val="20"/>
              </w:rPr>
              <w:t xml:space="preserve">A presente </w:t>
            </w:r>
            <w:r>
              <w:rPr>
                <w:b/>
                <w:bCs/>
                <w:sz w:val="20"/>
                <w:szCs w:val="20"/>
              </w:rPr>
              <w:t>estimativa de valor</w:t>
            </w:r>
            <w:r>
              <w:rPr>
                <w:sz w:val="20"/>
                <w:szCs w:val="20"/>
              </w:rPr>
              <w:t xml:space="preserve"> refere-se à </w:t>
            </w:r>
            <w:r>
              <w:rPr>
                <w:b/>
                <w:bCs/>
                <w:sz w:val="20"/>
                <w:szCs w:val="20"/>
              </w:rPr>
              <w:t>locação de quatro (04) veículos automotores tipo passeio, modelo hatch, zero quilômetro</w:t>
            </w:r>
            <w:r>
              <w:rPr>
                <w:sz w:val="20"/>
                <w:szCs w:val="20"/>
              </w:rPr>
              <w:t xml:space="preserve">, com as seguintes </w:t>
            </w:r>
            <w:r>
              <w:rPr>
                <w:b/>
                <w:bCs/>
                <w:sz w:val="20"/>
                <w:szCs w:val="20"/>
              </w:rPr>
              <w:t>especificações mínimas</w:t>
            </w:r>
            <w:r>
              <w:rPr>
                <w:sz w:val="20"/>
                <w:szCs w:val="20"/>
              </w:rPr>
              <w:t xml:space="preserve">: motorização 1.0, combustível flex, direção hidráulica ou elétrica, câmbio manual, quatro portas, airbag duplo, freios ABS, ar-condicionado, trio elétrico (vidros, travas e alarme), quilometragem livre, veículo sem motorista, sem combustível, com seguro total, </w:t>
            </w:r>
            <w:r>
              <w:rPr>
                <w:b/>
                <w:bCs/>
                <w:sz w:val="20"/>
                <w:szCs w:val="20"/>
              </w:rPr>
              <w:t>adesivagem institucional exigida pela Administração</w:t>
            </w:r>
            <w:r>
              <w:rPr>
                <w:sz w:val="20"/>
                <w:szCs w:val="20"/>
              </w:rPr>
              <w:t xml:space="preserve">, e com </w:t>
            </w:r>
            <w:r>
              <w:rPr>
                <w:b/>
                <w:bCs/>
                <w:sz w:val="20"/>
                <w:szCs w:val="20"/>
              </w:rPr>
              <w:t>instalação de giroflex e sirenes</w:t>
            </w:r>
            <w:r>
              <w:rPr>
                <w:sz w:val="20"/>
                <w:szCs w:val="20"/>
              </w:rPr>
              <w:t>.</w:t>
            </w:r>
          </w:p>
          <w:p>
            <w:pPr>
              <w:pStyle w:val="Standard"/>
              <w:widowControl w:val="false"/>
              <w:spacing w:lineRule="auto" w:line="240"/>
              <w:jc w:val="both"/>
              <w:rPr>
                <w:rFonts w:ascii="Arial" w:hAnsi="Arial"/>
                <w:sz w:val="20"/>
                <w:szCs w:val="20"/>
              </w:rPr>
            </w:pPr>
            <w:r>
              <w:rPr>
                <w:sz w:val="20"/>
                <w:szCs w:val="20"/>
              </w:rPr>
              <w:t xml:space="preserve">Para fins de composição do valor estimado, </w:t>
            </w:r>
            <w:r>
              <w:rPr>
                <w:b/>
                <w:bCs/>
                <w:sz w:val="20"/>
                <w:szCs w:val="20"/>
              </w:rPr>
              <w:t>considerou-se exclusivamente o valor unitário mensal constante da Ata de Registro de Preços nº 030/2024, firmada pelo Município de Valença</w:t>
            </w:r>
            <w:r>
              <w:rPr>
                <w:sz w:val="20"/>
                <w:szCs w:val="20"/>
              </w:rPr>
              <w:t>, conforme detalhamento a seguir:</w:t>
            </w:r>
          </w:p>
          <w:p>
            <w:pPr>
              <w:pStyle w:val="Standard"/>
              <w:widowControl w:val="false"/>
              <w:spacing w:lineRule="auto" w:line="240"/>
              <w:jc w:val="both"/>
              <w:rPr>
                <w:rFonts w:ascii="Arial" w:hAnsi="Arial"/>
                <w:sz w:val="20"/>
                <w:szCs w:val="20"/>
              </w:rPr>
            </w:pPr>
            <w:r>
              <w:rPr>
                <w:sz w:val="20"/>
                <w:szCs w:val="20"/>
              </w:rPr>
            </w:r>
          </w:p>
          <w:tbl>
            <w:tblPr>
              <w:tblW w:w="9920" w:type="dxa"/>
              <w:jc w:val="center"/>
              <w:tblInd w:w="0" w:type="dxa"/>
              <w:tblLayout w:type="fixed"/>
              <w:tblCellMar>
                <w:top w:w="15" w:type="dxa"/>
                <w:left w:w="15" w:type="dxa"/>
                <w:bottom w:w="15" w:type="dxa"/>
                <w:right w:w="15" w:type="dxa"/>
              </w:tblCellMar>
              <w:tblLook w:firstRow="1" w:noVBand="1" w:lastRow="0" w:firstColumn="1" w:lastColumn="0" w:noHBand="0" w:val="04a0"/>
            </w:tblPr>
            <w:tblGrid>
              <w:gridCol w:w="803"/>
              <w:gridCol w:w="2167"/>
              <w:gridCol w:w="651"/>
              <w:gridCol w:w="1325"/>
              <w:gridCol w:w="1710"/>
              <w:gridCol w:w="1342"/>
              <w:gridCol w:w="1921"/>
            </w:tblGrid>
            <w:tr>
              <w:trPr>
                <w:tblHeader w:val="true"/>
                <w:trHeight w:val="771" w:hRule="atLeast"/>
              </w:trPr>
              <w:tc>
                <w:tcPr>
                  <w:tcW w:w="80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ITEM</w:t>
                  </w:r>
                </w:p>
              </w:tc>
              <w:tc>
                <w:tcPr>
                  <w:tcW w:w="2167"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DESCRIÇÃO RESUMIDA</w:t>
                  </w:r>
                </w:p>
              </w:tc>
              <w:tc>
                <w:tcPr>
                  <w:tcW w:w="65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QTD</w:t>
                  </w:r>
                </w:p>
              </w:tc>
              <w:tc>
                <w:tcPr>
                  <w:tcW w:w="1325"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PERÍODO</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VALOR UNITÁRIO MENSAL</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VALOR GLOBAL</w:t>
                  </w:r>
                </w:p>
              </w:tc>
              <w:tc>
                <w:tcPr>
                  <w:tcW w:w="192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b/>
                      <w:bCs/>
                      <w:sz w:val="20"/>
                      <w:szCs w:val="20"/>
                    </w:rPr>
                  </w:pPr>
                  <w:r>
                    <w:rPr>
                      <w:b/>
                      <w:bCs/>
                      <w:sz w:val="20"/>
                      <w:szCs w:val="20"/>
                    </w:rPr>
                    <w:t>FONTE</w:t>
                  </w:r>
                </w:p>
              </w:tc>
            </w:tr>
            <w:tr>
              <w:trPr>
                <w:trHeight w:val="1381" w:hRule="atLeast"/>
              </w:trPr>
              <w:tc>
                <w:tcPr>
                  <w:tcW w:w="803"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01</w:t>
                  </w:r>
                </w:p>
              </w:tc>
              <w:tc>
                <w:tcPr>
                  <w:tcW w:w="2167"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Locação de 04 (quatro) veículos com especificações compatíveis</w:t>
                  </w:r>
                </w:p>
              </w:tc>
              <w:tc>
                <w:tcPr>
                  <w:tcW w:w="65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04</w:t>
                  </w:r>
                </w:p>
              </w:tc>
              <w:tc>
                <w:tcPr>
                  <w:tcW w:w="1325"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4 meses</w:t>
                  </w:r>
                </w:p>
              </w:tc>
              <w:tc>
                <w:tcPr>
                  <w:tcW w:w="1710"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R$ 13.100,00</w:t>
                  </w:r>
                </w:p>
              </w:tc>
              <w:tc>
                <w:tcPr>
                  <w:tcW w:w="1342"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R$ 52.400,00</w:t>
                  </w:r>
                </w:p>
              </w:tc>
              <w:tc>
                <w:tcPr>
                  <w:tcW w:w="1921" w:type="dxa"/>
                  <w:tcBorders>
                    <w:top w:val="single" w:sz="4" w:space="0" w:color="000000"/>
                    <w:left w:val="single" w:sz="4" w:space="0" w:color="000000"/>
                    <w:bottom w:val="single" w:sz="4" w:space="0" w:color="000000"/>
                    <w:right w:val="single" w:sz="4" w:space="0" w:color="000000"/>
                  </w:tcBorders>
                  <w:vAlign w:val="center"/>
                </w:tcPr>
                <w:p>
                  <w:pPr>
                    <w:pStyle w:val="Standard"/>
                    <w:widowControl w:val="false"/>
                    <w:spacing w:lineRule="auto" w:line="240"/>
                    <w:jc w:val="center"/>
                    <w:rPr>
                      <w:rFonts w:ascii="Arial" w:hAnsi="Arial"/>
                      <w:sz w:val="20"/>
                      <w:szCs w:val="20"/>
                    </w:rPr>
                  </w:pPr>
                  <w:r>
                    <w:rPr>
                      <w:sz w:val="20"/>
                      <w:szCs w:val="20"/>
                    </w:rPr>
                    <w:t>Município de Valença – Ata de Registro de Preços PE nº 030/2024</w:t>
                  </w:r>
                </w:p>
              </w:tc>
            </w:tr>
          </w:tbl>
          <w:p>
            <w:pPr>
              <w:pStyle w:val="Standard"/>
              <w:widowControl w:val="false"/>
              <w:spacing w:lineRule="auto" w:line="240"/>
              <w:jc w:val="both"/>
              <w:rPr>
                <w:rFonts w:ascii="Arial" w:hAnsi="Arial"/>
                <w:sz w:val="20"/>
                <w:szCs w:val="20"/>
              </w:rPr>
            </w:pPr>
            <w:r>
              <w:rPr>
                <w:sz w:val="20"/>
                <w:szCs w:val="20"/>
              </w:rPr>
            </w:r>
          </w:p>
          <w:p>
            <w:pPr>
              <w:pStyle w:val="Standard"/>
              <w:widowControl w:val="false"/>
              <w:spacing w:lineRule="auto" w:line="240"/>
              <w:jc w:val="both"/>
              <w:rPr>
                <w:rFonts w:ascii="Arial" w:hAnsi="Arial"/>
                <w:sz w:val="20"/>
                <w:szCs w:val="20"/>
              </w:rPr>
            </w:pPr>
            <w:r>
              <w:rPr>
                <w:sz w:val="20"/>
                <w:szCs w:val="20"/>
              </w:rPr>
              <w:t xml:space="preserve">Dessa forma, </w:t>
            </w:r>
            <w:r>
              <w:rPr>
                <w:b/>
                <w:bCs/>
                <w:sz w:val="20"/>
                <w:szCs w:val="20"/>
              </w:rPr>
              <w:t>adota-se como parâmetro oficial de referência o valor unitário mensal de R$ 13.100,00 (treze mil e cem reais)</w:t>
            </w:r>
            <w:r>
              <w:rPr>
                <w:sz w:val="20"/>
                <w:szCs w:val="20"/>
              </w:rPr>
              <w:t xml:space="preserve">, o qual reflete o custo praticado em contexto administrativo análogo, encontra-se em consonância com os </w:t>
            </w:r>
            <w:r>
              <w:rPr>
                <w:b/>
                <w:bCs/>
                <w:sz w:val="20"/>
                <w:szCs w:val="20"/>
              </w:rPr>
              <w:t>princípios da razoabilidade, da economicidade, da vinculação ao interesse público e da legalidade</w:t>
            </w:r>
            <w:r>
              <w:rPr>
                <w:sz w:val="20"/>
                <w:szCs w:val="20"/>
              </w:rPr>
              <w:t xml:space="preserve">, e representa </w:t>
            </w:r>
            <w:r>
              <w:rPr>
                <w:b/>
                <w:bCs/>
                <w:sz w:val="20"/>
                <w:szCs w:val="20"/>
              </w:rPr>
              <w:t>referencial válido para balizar a contratação pretendida</w:t>
            </w:r>
            <w:r>
              <w:rPr>
                <w:sz w:val="20"/>
                <w:szCs w:val="20"/>
              </w:rPr>
              <w:t>.</w:t>
            </w:r>
          </w:p>
          <w:p>
            <w:pPr>
              <w:pStyle w:val="Standard"/>
              <w:widowControl w:val="false"/>
              <w:spacing w:lineRule="auto" w:line="240"/>
              <w:jc w:val="both"/>
              <w:rPr>
                <w:rFonts w:ascii="Arial" w:hAnsi="Arial"/>
                <w:sz w:val="20"/>
                <w:szCs w:val="20"/>
              </w:rPr>
            </w:pPr>
            <w:r>
              <w:rPr>
                <w:sz w:val="20"/>
                <w:szCs w:val="20"/>
              </w:rPr>
              <w:t xml:space="preserve">Por conseguinte, a </w:t>
            </w:r>
            <w:r>
              <w:rPr>
                <w:b/>
                <w:bCs/>
                <w:sz w:val="20"/>
                <w:szCs w:val="20"/>
              </w:rPr>
              <w:t>estimativa total da contratação, para o período de 4 (quatro) meses, é de R$ 52.400,00 (cinquenta e dois mil e quatrocentos reais)</w:t>
            </w:r>
            <w:r>
              <w:rPr>
                <w:sz w:val="20"/>
                <w:szCs w:val="20"/>
              </w:rPr>
              <w:t>, nos termos da fonte acima indicada.</w:t>
            </w:r>
          </w:p>
          <w:p>
            <w:pPr>
              <w:pStyle w:val="Standard"/>
              <w:widowControl w:val="false"/>
              <w:spacing w:lineRule="auto" w:line="240"/>
              <w:jc w:val="both"/>
              <w:rPr>
                <w:rFonts w:ascii="Arial" w:hAnsi="Arial"/>
                <w:sz w:val="20"/>
                <w:szCs w:val="20"/>
              </w:rPr>
            </w:pPr>
            <w:r>
              <w:rPr>
                <w:sz w:val="20"/>
                <w:szCs w:val="20"/>
              </w:rPr>
              <w:t xml:space="preserve">Ressalte-se que o documento comprobatório da referida Ata encontra-se </w:t>
            </w:r>
            <w:r>
              <w:rPr>
                <w:b/>
                <w:bCs/>
                <w:sz w:val="20"/>
                <w:szCs w:val="20"/>
              </w:rPr>
              <w:t>anexado aos autos em apenso</w:t>
            </w:r>
            <w:r>
              <w:rPr>
                <w:sz w:val="20"/>
                <w:szCs w:val="20"/>
              </w:rPr>
              <w:t xml:space="preserve">, o que assegura a </w:t>
            </w:r>
            <w:r>
              <w:rPr>
                <w:b/>
                <w:bCs/>
                <w:sz w:val="20"/>
                <w:szCs w:val="20"/>
              </w:rPr>
              <w:t>publicidade, a transparência e a rastreabilidade</w:t>
            </w:r>
            <w:r>
              <w:rPr>
                <w:sz w:val="20"/>
                <w:szCs w:val="20"/>
              </w:rPr>
              <w:t xml:space="preserve"> dos critérios utilizados para a formação do juízo de valor administrativo, conferindo </w:t>
            </w:r>
            <w:r>
              <w:rPr>
                <w:b/>
                <w:bCs/>
                <w:sz w:val="20"/>
                <w:szCs w:val="20"/>
              </w:rPr>
              <w:t>regularidade e legitimidade à presente estimativa de preços</w:t>
            </w:r>
            <w:r>
              <w:rPr>
                <w:sz w:val="20"/>
                <w:szCs w:val="20"/>
              </w:rPr>
              <w:t>.</w:t>
            </w:r>
          </w:p>
        </w:tc>
      </w:tr>
    </w:tbl>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VII - Descrição da solução como um todo (Art. 19, § 1°, VII do Decreto n° 5.558/2023</w:t>
      </w:r>
      <w:r>
        <w:rPr>
          <w:rFonts w:eastAsia="Segoe UI Emoji" w:cs="Segoe UI Emoji"/>
          <w:b/>
          <w:bCs/>
          <w:color w:val="000000"/>
          <w:sz w:val="20"/>
          <w:szCs w:val="20"/>
        </w:rPr>
        <w:t>):</w:t>
      </w:r>
      <w:r>
        <w:rPr>
          <w:rFonts w:cs="Times New Roman"/>
          <w:b/>
          <w:bCs/>
          <w:color w:val="162937"/>
          <w:sz w:val="20"/>
          <w:szCs w:val="20"/>
        </w:rPr>
        <w:t xml:space="preserve"> </w:t>
      </w:r>
      <w:r>
        <w:rPr>
          <w:rFonts w:eastAsia="Calibri" w:cs="Times New Roman"/>
          <w:b/>
          <w:bCs/>
          <w:color w:val="FF0000"/>
          <w:sz w:val="20"/>
          <w:szCs w:val="20"/>
        </w:rPr>
        <w:t>(PREENCHIMENTO OBRIGATÓRIO)</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A solução adotada pela Administração consiste na </w:t>
            </w:r>
            <w:r>
              <w:rPr>
                <w:b/>
                <w:bCs/>
                <w:sz w:val="20"/>
                <w:szCs w:val="20"/>
              </w:rPr>
              <w:t>locação de quatro (04) veículos automotores tipo passeio, modelo hatch, 0 (zero) quilômetro</w:t>
            </w:r>
            <w:r>
              <w:rPr>
                <w:sz w:val="20"/>
                <w:szCs w:val="20"/>
              </w:rPr>
              <w:t xml:space="preserve">, com especificações técnicas compatíveis às necessidades operacionais da </w:t>
            </w:r>
            <w:r>
              <w:rPr>
                <w:b/>
                <w:bCs/>
                <w:sz w:val="20"/>
                <w:szCs w:val="20"/>
              </w:rPr>
              <w:t>Secretaria Municipal de Segurança e Ordem Pública do Município de Paracambi</w:t>
            </w:r>
            <w:r>
              <w:rPr>
                <w:sz w:val="20"/>
                <w:szCs w:val="20"/>
              </w:rPr>
              <w:t xml:space="preserve">, visando o suporte logístico necessário à execução das atividades vinculadas ao </w:t>
            </w:r>
            <w:r>
              <w:rPr>
                <w:b/>
                <w:bCs/>
                <w:sz w:val="20"/>
                <w:szCs w:val="20"/>
              </w:rPr>
              <w:t>Programa Estadual de Integração na Segurança – PROEIS</w:t>
            </w:r>
            <w:r>
              <w:rPr>
                <w:sz w:val="20"/>
                <w:szCs w:val="20"/>
              </w:rPr>
              <w:t>.</w:t>
            </w:r>
          </w:p>
          <w:p>
            <w:pPr>
              <w:pStyle w:val="Standard"/>
              <w:widowControl w:val="false"/>
              <w:spacing w:lineRule="auto" w:line="240"/>
              <w:jc w:val="both"/>
              <w:rPr>
                <w:rFonts w:ascii="Arial" w:hAnsi="Arial"/>
                <w:sz w:val="20"/>
                <w:szCs w:val="20"/>
              </w:rPr>
            </w:pPr>
            <w:r>
              <w:rPr>
                <w:sz w:val="20"/>
                <w:szCs w:val="20"/>
              </w:rPr>
              <w:t>Os veículos deverão observar os seguintes requisitos mínimos:</w:t>
            </w:r>
          </w:p>
          <w:p>
            <w:pPr>
              <w:pStyle w:val="Standard"/>
              <w:widowControl w:val="false"/>
              <w:numPr>
                <w:ilvl w:val="0"/>
                <w:numId w:val="3"/>
              </w:numPr>
              <w:spacing w:lineRule="auto" w:line="240"/>
              <w:jc w:val="both"/>
              <w:rPr>
                <w:rFonts w:ascii="Arial" w:hAnsi="Arial"/>
                <w:sz w:val="20"/>
                <w:szCs w:val="20"/>
              </w:rPr>
            </w:pPr>
            <w:r>
              <w:rPr>
                <w:sz w:val="20"/>
                <w:szCs w:val="20"/>
              </w:rPr>
              <w:t>Motorização 1.0, modelo flex (etanol/gasolina);</w:t>
            </w:r>
          </w:p>
          <w:p>
            <w:pPr>
              <w:pStyle w:val="Standard"/>
              <w:widowControl w:val="false"/>
              <w:numPr>
                <w:ilvl w:val="0"/>
                <w:numId w:val="3"/>
              </w:numPr>
              <w:spacing w:lineRule="auto" w:line="240"/>
              <w:jc w:val="both"/>
              <w:rPr>
                <w:rFonts w:ascii="Arial" w:hAnsi="Arial"/>
                <w:sz w:val="20"/>
                <w:szCs w:val="20"/>
              </w:rPr>
            </w:pPr>
            <w:r>
              <w:rPr>
                <w:sz w:val="20"/>
                <w:szCs w:val="20"/>
              </w:rPr>
              <w:t>Quilometragem livre, quatro portas, câmbio manual, direção hidráulica ou elétrica e ar-condicionado;</w:t>
            </w:r>
          </w:p>
          <w:p>
            <w:pPr>
              <w:pStyle w:val="Standard"/>
              <w:widowControl w:val="false"/>
              <w:numPr>
                <w:ilvl w:val="0"/>
                <w:numId w:val="3"/>
              </w:numPr>
              <w:spacing w:lineRule="auto" w:line="240"/>
              <w:jc w:val="both"/>
              <w:rPr>
                <w:rFonts w:ascii="Arial" w:hAnsi="Arial"/>
                <w:sz w:val="20"/>
                <w:szCs w:val="20"/>
              </w:rPr>
            </w:pPr>
            <w:r>
              <w:rPr>
                <w:sz w:val="20"/>
                <w:szCs w:val="20"/>
              </w:rPr>
              <w:t>Freios ABS, airbag duplo, trio elétrico (vidros, travas e alarme);</w:t>
            </w:r>
          </w:p>
          <w:p>
            <w:pPr>
              <w:pStyle w:val="Standard"/>
              <w:widowControl w:val="false"/>
              <w:numPr>
                <w:ilvl w:val="0"/>
                <w:numId w:val="3"/>
              </w:numPr>
              <w:spacing w:lineRule="auto" w:line="240"/>
              <w:jc w:val="both"/>
              <w:rPr>
                <w:rFonts w:ascii="Arial" w:hAnsi="Arial"/>
                <w:sz w:val="20"/>
                <w:szCs w:val="20"/>
              </w:rPr>
            </w:pPr>
            <w:r>
              <w:rPr>
                <w:sz w:val="20"/>
                <w:szCs w:val="20"/>
              </w:rPr>
              <w:t>Veículos 0 km, devidamente documentados e licenciados;</w:t>
            </w:r>
          </w:p>
          <w:p>
            <w:pPr>
              <w:pStyle w:val="Standard"/>
              <w:widowControl w:val="false"/>
              <w:numPr>
                <w:ilvl w:val="0"/>
                <w:numId w:val="3"/>
              </w:numPr>
              <w:spacing w:lineRule="auto" w:line="240"/>
              <w:jc w:val="both"/>
              <w:rPr>
                <w:rFonts w:ascii="Arial" w:hAnsi="Arial"/>
                <w:sz w:val="20"/>
                <w:szCs w:val="20"/>
              </w:rPr>
            </w:pPr>
            <w:r>
              <w:rPr>
                <w:sz w:val="20"/>
                <w:szCs w:val="20"/>
              </w:rPr>
              <w:t>Seguro total (cobertura contra colisão, roubo/furto, terceiros e danos materiais e corporais);</w:t>
            </w:r>
          </w:p>
          <w:p>
            <w:pPr>
              <w:pStyle w:val="Standard"/>
              <w:widowControl w:val="false"/>
              <w:numPr>
                <w:ilvl w:val="0"/>
                <w:numId w:val="3"/>
              </w:numPr>
              <w:spacing w:lineRule="auto" w:line="240"/>
              <w:jc w:val="both"/>
              <w:rPr>
                <w:rFonts w:ascii="Arial" w:hAnsi="Arial"/>
                <w:sz w:val="20"/>
                <w:szCs w:val="20"/>
              </w:rPr>
            </w:pPr>
            <w:r>
              <w:rPr>
                <w:sz w:val="20"/>
                <w:szCs w:val="20"/>
              </w:rPr>
              <w:t>Adesivagem institucional com os dizeres “Prefeitura Municipal de Paracambi” e “Secretaria Municipal de Segurança e Ordem Pública”, além de outras identificações que venham a ser definidas;</w:t>
            </w:r>
          </w:p>
          <w:p>
            <w:pPr>
              <w:pStyle w:val="Standard"/>
              <w:widowControl w:val="false"/>
              <w:numPr>
                <w:ilvl w:val="0"/>
                <w:numId w:val="3"/>
              </w:numPr>
              <w:spacing w:lineRule="auto" w:line="240"/>
              <w:jc w:val="both"/>
              <w:rPr>
                <w:rFonts w:ascii="Arial" w:hAnsi="Arial"/>
                <w:sz w:val="20"/>
                <w:szCs w:val="20"/>
              </w:rPr>
            </w:pPr>
            <w:r>
              <w:rPr>
                <w:sz w:val="20"/>
                <w:szCs w:val="20"/>
              </w:rPr>
              <w:t xml:space="preserve">Instalação de </w:t>
            </w:r>
            <w:r>
              <w:rPr>
                <w:b/>
                <w:bCs/>
                <w:sz w:val="20"/>
                <w:szCs w:val="20"/>
              </w:rPr>
              <w:t>giroflex e sirenes</w:t>
            </w:r>
            <w:r>
              <w:rPr>
                <w:sz w:val="20"/>
                <w:szCs w:val="20"/>
              </w:rPr>
              <w:t xml:space="preserve"> conforme as normas do CONTRAN;</w:t>
            </w:r>
          </w:p>
          <w:p>
            <w:pPr>
              <w:pStyle w:val="Standard"/>
              <w:widowControl w:val="false"/>
              <w:numPr>
                <w:ilvl w:val="0"/>
                <w:numId w:val="3"/>
              </w:numPr>
              <w:spacing w:lineRule="auto" w:line="240"/>
              <w:jc w:val="both"/>
              <w:rPr>
                <w:rFonts w:ascii="Arial" w:hAnsi="Arial"/>
                <w:sz w:val="20"/>
                <w:szCs w:val="20"/>
              </w:rPr>
            </w:pPr>
            <w:r>
              <w:rPr>
                <w:b/>
                <w:bCs/>
                <w:sz w:val="20"/>
                <w:szCs w:val="20"/>
              </w:rPr>
              <w:t>Responsabilidade da contratada pela manutenção preventiva e corretiva</w:t>
            </w:r>
            <w:r>
              <w:rPr>
                <w:sz w:val="20"/>
                <w:szCs w:val="20"/>
              </w:rPr>
              <w:t>, com obrigação de substituição imediata dos veículos em caso de falha, pane ou sinistro.</w:t>
            </w:r>
          </w:p>
          <w:p>
            <w:pPr>
              <w:pStyle w:val="Standard"/>
              <w:widowControl w:val="false"/>
              <w:spacing w:lineRule="auto" w:line="240"/>
              <w:jc w:val="both"/>
              <w:rPr>
                <w:rFonts w:ascii="Arial" w:hAnsi="Arial"/>
                <w:sz w:val="20"/>
                <w:szCs w:val="20"/>
              </w:rPr>
            </w:pPr>
            <w:r>
              <w:rPr>
                <w:b/>
                <w:bCs/>
                <w:sz w:val="20"/>
                <w:szCs w:val="20"/>
              </w:rPr>
              <w:t>Justificativa técnica e econômica da solução:</w:t>
            </w:r>
          </w:p>
          <w:p>
            <w:pPr>
              <w:pStyle w:val="Standard"/>
              <w:widowControl w:val="false"/>
              <w:spacing w:lineRule="auto" w:line="240"/>
              <w:jc w:val="both"/>
              <w:rPr>
                <w:rFonts w:ascii="Arial" w:hAnsi="Arial"/>
                <w:sz w:val="20"/>
                <w:szCs w:val="20"/>
              </w:rPr>
            </w:pPr>
            <w:r>
              <w:rPr>
                <w:sz w:val="20"/>
                <w:szCs w:val="20"/>
              </w:rPr>
              <w:t xml:space="preserve">A opção pela </w:t>
            </w:r>
            <w:r>
              <w:rPr>
                <w:b/>
                <w:bCs/>
                <w:sz w:val="20"/>
                <w:szCs w:val="20"/>
              </w:rPr>
              <w:t>locação</w:t>
            </w:r>
            <w:r>
              <w:rPr>
                <w:sz w:val="20"/>
                <w:szCs w:val="20"/>
              </w:rPr>
              <w:t xml:space="preserve"> de veículos, em detrimento da aquisição definitiva, revela-se a alternativa mais </w:t>
            </w:r>
            <w:r>
              <w:rPr>
                <w:b/>
                <w:bCs/>
                <w:sz w:val="20"/>
                <w:szCs w:val="20"/>
              </w:rPr>
              <w:t>razoável, viável e vantajosa para a Administração</w:t>
            </w:r>
            <w:r>
              <w:rPr>
                <w:sz w:val="20"/>
                <w:szCs w:val="20"/>
              </w:rPr>
              <w:t>, considerando-se os seguintes fatores:</w:t>
            </w:r>
          </w:p>
          <w:p>
            <w:pPr>
              <w:pStyle w:val="Standard"/>
              <w:widowControl w:val="false"/>
              <w:numPr>
                <w:ilvl w:val="0"/>
                <w:numId w:val="10"/>
              </w:numPr>
              <w:spacing w:lineRule="auto" w:line="240"/>
              <w:jc w:val="both"/>
              <w:rPr>
                <w:rFonts w:ascii="Arial" w:hAnsi="Arial"/>
                <w:sz w:val="20"/>
                <w:szCs w:val="20"/>
              </w:rPr>
            </w:pPr>
            <w:r>
              <w:rPr>
                <w:b/>
                <w:bCs/>
                <w:sz w:val="20"/>
                <w:szCs w:val="20"/>
              </w:rPr>
              <w:t>Recente criação da Secretaria Municipal de Segurança e Ordem Pública</w:t>
            </w:r>
            <w:r>
              <w:rPr>
                <w:sz w:val="20"/>
                <w:szCs w:val="20"/>
              </w:rPr>
              <w:t>, instituída em janeiro de 2025, que ainda se encontra em fase de estruturação organizacional, não dispondo de frota própria, tampouco de recursos materiais e humanos suficientes para gerir internamente os encargos operacionais decorrentes da posse e manutenção de veículos oficiais;</w:t>
            </w:r>
          </w:p>
          <w:p>
            <w:pPr>
              <w:pStyle w:val="Standard"/>
              <w:widowControl w:val="false"/>
              <w:numPr>
                <w:ilvl w:val="0"/>
                <w:numId w:val="10"/>
              </w:numPr>
              <w:spacing w:lineRule="auto" w:line="240"/>
              <w:jc w:val="both"/>
              <w:rPr>
                <w:rFonts w:ascii="Arial" w:hAnsi="Arial"/>
                <w:sz w:val="20"/>
                <w:szCs w:val="20"/>
              </w:rPr>
            </w:pPr>
            <w:r>
              <w:rPr>
                <w:b/>
                <w:bCs/>
                <w:sz w:val="20"/>
                <w:szCs w:val="20"/>
              </w:rPr>
              <w:t>Inexistência de dotação orçamentária vinculada a fontes de investimento</w:t>
            </w:r>
            <w:r>
              <w:rPr>
                <w:sz w:val="20"/>
                <w:szCs w:val="20"/>
              </w:rPr>
              <w:t xml:space="preserve"> (como transferências voluntárias ou recursos próprios de capital) que viabilizem, no exercício de 2025, a aquisição de veículos, sendo que eventual compra oneraria sobremaneira o orçamento da Pasta e da municipalidade;</w:t>
            </w:r>
          </w:p>
          <w:p>
            <w:pPr>
              <w:pStyle w:val="Standard"/>
              <w:widowControl w:val="false"/>
              <w:numPr>
                <w:ilvl w:val="0"/>
                <w:numId w:val="10"/>
              </w:numPr>
              <w:spacing w:lineRule="auto" w:line="240"/>
              <w:jc w:val="both"/>
              <w:rPr>
                <w:rFonts w:ascii="Arial" w:hAnsi="Arial"/>
                <w:sz w:val="20"/>
                <w:szCs w:val="20"/>
              </w:rPr>
            </w:pPr>
            <w:r>
              <w:rPr>
                <w:sz w:val="20"/>
                <w:szCs w:val="20"/>
              </w:rPr>
              <w:t xml:space="preserve">Em caso de aquisição direta, </w:t>
            </w:r>
            <w:r>
              <w:rPr>
                <w:b/>
                <w:bCs/>
                <w:sz w:val="20"/>
                <w:szCs w:val="20"/>
              </w:rPr>
              <w:t>seria necessária a abertura de processo autônomo para a contratação de empresa especializada em manutenção preventiva e corretiva da frota</w:t>
            </w:r>
            <w:r>
              <w:rPr>
                <w:sz w:val="20"/>
                <w:szCs w:val="20"/>
              </w:rPr>
              <w:t>, com todos os trâmites e custos a ele inerentes (cotação de peças, mão de obra, tempo de inatividade, gerenciamento de contratos e prazos), o que representa maior complexidade administrativa e aumento do custo global da operação;</w:t>
            </w:r>
          </w:p>
          <w:p>
            <w:pPr>
              <w:pStyle w:val="Standard"/>
              <w:widowControl w:val="false"/>
              <w:numPr>
                <w:ilvl w:val="0"/>
                <w:numId w:val="10"/>
              </w:numPr>
              <w:spacing w:lineRule="auto" w:line="240"/>
              <w:jc w:val="both"/>
              <w:rPr>
                <w:rFonts w:ascii="Arial" w:hAnsi="Arial"/>
                <w:sz w:val="20"/>
                <w:szCs w:val="20"/>
              </w:rPr>
            </w:pPr>
            <w:r>
              <w:rPr>
                <w:sz w:val="20"/>
                <w:szCs w:val="20"/>
              </w:rPr>
              <w:t xml:space="preserve">A locação, por sua vez, </w:t>
            </w:r>
            <w:r>
              <w:rPr>
                <w:b/>
                <w:bCs/>
                <w:sz w:val="20"/>
                <w:szCs w:val="20"/>
              </w:rPr>
              <w:t>reúne vantagens técnicas e operacionais</w:t>
            </w:r>
            <w:r>
              <w:rPr>
                <w:sz w:val="20"/>
                <w:szCs w:val="20"/>
              </w:rPr>
              <w:t xml:space="preserve">, tais como a entrega imediata de veículos novos e padronizados, com cobertura securitária e assistência permanente, sem gerar encargos de manutenção para a Administração, assegurando a </w:t>
            </w:r>
            <w:r>
              <w:rPr>
                <w:b/>
                <w:bCs/>
                <w:sz w:val="20"/>
                <w:szCs w:val="20"/>
              </w:rPr>
              <w:t>continuidade do serviço público, previsibilidade orçamentária e mobilidade institucional imediata</w:t>
            </w:r>
            <w:r>
              <w:rPr>
                <w:sz w:val="20"/>
                <w:szCs w:val="20"/>
              </w:rPr>
              <w:t>;</w:t>
            </w:r>
          </w:p>
          <w:p>
            <w:pPr>
              <w:pStyle w:val="Standard"/>
              <w:widowControl w:val="false"/>
              <w:numPr>
                <w:ilvl w:val="0"/>
                <w:numId w:val="10"/>
              </w:numPr>
              <w:spacing w:lineRule="auto" w:line="240"/>
              <w:jc w:val="both"/>
              <w:rPr>
                <w:rFonts w:ascii="Arial" w:hAnsi="Arial"/>
                <w:sz w:val="20"/>
                <w:szCs w:val="20"/>
              </w:rPr>
            </w:pPr>
            <w:r>
              <w:rPr>
                <w:sz w:val="20"/>
                <w:szCs w:val="20"/>
              </w:rPr>
              <w:t>Do ponto de vista econômico, a contratação por locação elimina os riscos de depreciação patrimonial, dispensa investimentos de capital fixo e transfere à contratada a responsabilidade por eventuais imprevistos operacionais, o que, à luz do princípio da economicidade, representa solução mais racional e eficiente para a consecução dos fins públicos.</w:t>
            </w:r>
          </w:p>
        </w:tc>
      </w:tr>
    </w:tbl>
    <w:p>
      <w:pPr>
        <w:pStyle w:val="Textbody1"/>
        <w:spacing w:lineRule="auto" w:line="240" w:before="0" w:after="0"/>
        <w:jc w:val="both"/>
        <w:rPr>
          <w:rFonts w:ascii="Arial" w:hAnsi="Arial"/>
          <w:sz w:val="20"/>
          <w:szCs w:val="20"/>
        </w:rPr>
      </w:pPr>
      <w:r>
        <w:rPr>
          <w:rFonts w:cs="Times New Roman"/>
          <w:b/>
          <w:bCs/>
          <w:color w:val="000000"/>
          <w:sz w:val="20"/>
          <w:szCs w:val="20"/>
        </w:rPr>
        <w:t>VIII - Justificativas para o parcelamento ou não da solução, se aplicável (Art. 19, § 1°, VIII do Decreto n° 5.558/2023):</w:t>
      </w:r>
      <w:r>
        <w:rPr>
          <w:rFonts w:cs="Times New Roman"/>
          <w:b/>
          <w:bCs/>
          <w:color w:val="162937"/>
          <w:sz w:val="20"/>
          <w:szCs w:val="20"/>
        </w:rPr>
        <w:t xml:space="preserv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Após análise técnica da natureza do objeto e do mercado fornecedor, </w:t>
            </w:r>
            <w:r>
              <w:rPr>
                <w:b/>
                <w:bCs/>
                <w:sz w:val="20"/>
                <w:szCs w:val="20"/>
              </w:rPr>
              <w:t>verificou-se que o parcelamento da solução não se mostra aplicável no presente caso</w:t>
            </w:r>
            <w:r>
              <w:rPr>
                <w:sz w:val="20"/>
                <w:szCs w:val="20"/>
              </w:rPr>
              <w:t xml:space="preserve">, tendo em vista as especificidades da contratação pretendida, que visa à </w:t>
            </w:r>
            <w:r>
              <w:rPr>
                <w:b/>
                <w:bCs/>
                <w:sz w:val="20"/>
                <w:szCs w:val="20"/>
              </w:rPr>
              <w:t>locação de quatro (04) veículos automotores tipo passeio, modelo hatch, 0 km, com características técnicas padronizadas e obrigações contratuais uniformes</w:t>
            </w:r>
            <w:r>
              <w:rPr>
                <w:sz w:val="20"/>
                <w:szCs w:val="20"/>
              </w:rPr>
              <w:t>, destinadas à Secretaria Municipal de Segurança e Ordem Pública do Município de Paracambi.</w:t>
            </w:r>
          </w:p>
          <w:p>
            <w:pPr>
              <w:pStyle w:val="Standard"/>
              <w:widowControl w:val="false"/>
              <w:spacing w:lineRule="auto" w:line="240"/>
              <w:jc w:val="both"/>
              <w:rPr>
                <w:rFonts w:ascii="Arial" w:hAnsi="Arial"/>
                <w:sz w:val="20"/>
                <w:szCs w:val="20"/>
              </w:rPr>
            </w:pPr>
            <w:r>
              <w:rPr>
                <w:sz w:val="20"/>
                <w:szCs w:val="20"/>
              </w:rPr>
              <w:t xml:space="preserve">Embora o </w:t>
            </w:r>
            <w:r>
              <w:rPr>
                <w:b/>
                <w:bCs/>
                <w:sz w:val="20"/>
                <w:szCs w:val="20"/>
              </w:rPr>
              <w:t>parcelamento seja regra geral na Administração Pública</w:t>
            </w:r>
            <w:r>
              <w:rPr>
                <w:sz w:val="20"/>
                <w:szCs w:val="20"/>
              </w:rPr>
              <w:t xml:space="preserve">, conforme previsto na legislação vigente, sua adoção deve observar </w:t>
            </w:r>
            <w:r>
              <w:rPr>
                <w:b/>
                <w:bCs/>
                <w:sz w:val="20"/>
                <w:szCs w:val="20"/>
              </w:rPr>
              <w:t>critérios de viabilidade técnica e econômica</w:t>
            </w:r>
            <w:r>
              <w:rPr>
                <w:sz w:val="20"/>
                <w:szCs w:val="20"/>
              </w:rPr>
              <w:t xml:space="preserve">, conforme dispõe o caput do art. 19 do Decreto nº 5.558/2023. No presente caso, </w:t>
            </w:r>
            <w:r>
              <w:rPr>
                <w:b/>
                <w:bCs/>
                <w:sz w:val="20"/>
                <w:szCs w:val="20"/>
              </w:rPr>
              <w:t>o fracionamento da contratação acarretaria prejuízos operacionais, perda de economia de escala e aumento do custo administrativo da gestão contratual</w:t>
            </w:r>
            <w:r>
              <w:rPr>
                <w:sz w:val="20"/>
                <w:szCs w:val="20"/>
              </w:rPr>
              <w:t>, uma vez que a solução exige:</w:t>
            </w:r>
          </w:p>
          <w:p>
            <w:pPr>
              <w:pStyle w:val="Standard"/>
              <w:widowControl w:val="false"/>
              <w:numPr>
                <w:ilvl w:val="0"/>
                <w:numId w:val="8"/>
              </w:numPr>
              <w:spacing w:lineRule="auto" w:line="240"/>
              <w:jc w:val="both"/>
              <w:rPr>
                <w:rFonts w:ascii="Arial" w:hAnsi="Arial"/>
                <w:sz w:val="20"/>
                <w:szCs w:val="20"/>
              </w:rPr>
            </w:pPr>
            <w:r>
              <w:rPr>
                <w:b/>
                <w:bCs/>
                <w:sz w:val="20"/>
                <w:szCs w:val="20"/>
              </w:rPr>
              <w:t>Padronização dos veículos</w:t>
            </w:r>
            <w:r>
              <w:rPr>
                <w:sz w:val="20"/>
                <w:szCs w:val="20"/>
              </w:rPr>
              <w:t>, com mesma marca, modelo, motorização e configuração de equipamentos (giroflex, sirene, adesivagem, seguro total, etc.), de modo a garantir uniformidade na identificação visual e operacional do serviço;</w:t>
            </w:r>
          </w:p>
          <w:p>
            <w:pPr>
              <w:pStyle w:val="Standard"/>
              <w:widowControl w:val="false"/>
              <w:numPr>
                <w:ilvl w:val="0"/>
                <w:numId w:val="8"/>
              </w:numPr>
              <w:spacing w:lineRule="auto" w:line="240"/>
              <w:jc w:val="both"/>
              <w:rPr>
                <w:rFonts w:ascii="Arial" w:hAnsi="Arial"/>
                <w:sz w:val="20"/>
                <w:szCs w:val="20"/>
              </w:rPr>
            </w:pPr>
            <w:r>
              <w:rPr>
                <w:b/>
                <w:bCs/>
                <w:sz w:val="20"/>
                <w:szCs w:val="20"/>
              </w:rPr>
              <w:t>Tratamento contratual unificado</w:t>
            </w:r>
            <w:r>
              <w:rPr>
                <w:sz w:val="20"/>
                <w:szCs w:val="20"/>
              </w:rPr>
              <w:t xml:space="preserve"> quanto à manutenção preventiva e corretiva, reposição, cobertura securitária, documentação, prazos e demais obrigações contratuais, o que seria comprometido caso houvesse múltiplos contratos com fornecedores distintos;</w:t>
            </w:r>
          </w:p>
          <w:p>
            <w:pPr>
              <w:pStyle w:val="Standard"/>
              <w:widowControl w:val="false"/>
              <w:numPr>
                <w:ilvl w:val="0"/>
                <w:numId w:val="8"/>
              </w:numPr>
              <w:spacing w:lineRule="auto" w:line="240"/>
              <w:jc w:val="both"/>
              <w:rPr>
                <w:rFonts w:ascii="Arial" w:hAnsi="Arial"/>
                <w:sz w:val="20"/>
                <w:szCs w:val="20"/>
              </w:rPr>
            </w:pPr>
            <w:r>
              <w:rPr>
                <w:b/>
                <w:bCs/>
                <w:sz w:val="20"/>
                <w:szCs w:val="20"/>
              </w:rPr>
              <w:t>Maior eficiência administrativa e controle mais efetivo</w:t>
            </w:r>
            <w:r>
              <w:rPr>
                <w:sz w:val="20"/>
                <w:szCs w:val="20"/>
              </w:rPr>
              <w:t xml:space="preserve"> sobre a execução contratual, evitando multiplicidade de gestões, fiscalizações, prazos e termos aditivos em paralelo.</w:t>
            </w:r>
          </w:p>
          <w:p>
            <w:pPr>
              <w:pStyle w:val="Standard"/>
              <w:widowControl w:val="false"/>
              <w:spacing w:lineRule="auto" w:line="240"/>
              <w:jc w:val="both"/>
              <w:rPr>
                <w:rFonts w:ascii="Arial" w:hAnsi="Arial"/>
                <w:sz w:val="20"/>
                <w:szCs w:val="20"/>
              </w:rPr>
            </w:pPr>
            <w:r>
              <w:rPr>
                <w:sz w:val="20"/>
                <w:szCs w:val="20"/>
              </w:rPr>
              <w:t xml:space="preserve">Adicionalmente, o levantamento de mercado evidenciou que as </w:t>
            </w:r>
            <w:r>
              <w:rPr>
                <w:b/>
                <w:bCs/>
                <w:sz w:val="20"/>
                <w:szCs w:val="20"/>
              </w:rPr>
              <w:t>empresas atuantes no ramo de locação de frotas corporativas e governamentais operam com estruturas compatíveis com a entrega e gestão conjunta do quantitativo pretendido</w:t>
            </w:r>
            <w:r>
              <w:rPr>
                <w:sz w:val="20"/>
                <w:szCs w:val="20"/>
              </w:rPr>
              <w:t>, inexistindo qualquer limitação de competitividade ou de barreira à ampla participação de licitantes em razão da não adoção do parcelamento.</w:t>
            </w:r>
          </w:p>
          <w:p>
            <w:pPr>
              <w:pStyle w:val="Standard"/>
              <w:widowControl w:val="false"/>
              <w:spacing w:lineRule="auto" w:line="240"/>
              <w:jc w:val="both"/>
              <w:rPr>
                <w:rFonts w:ascii="Arial" w:hAnsi="Arial"/>
                <w:sz w:val="20"/>
                <w:szCs w:val="20"/>
              </w:rPr>
            </w:pPr>
            <w:r>
              <w:rPr>
                <w:sz w:val="20"/>
                <w:szCs w:val="20"/>
              </w:rPr>
              <w:t xml:space="preserve">Portanto, a contratação por </w:t>
            </w:r>
            <w:r>
              <w:rPr>
                <w:b/>
                <w:bCs/>
                <w:sz w:val="20"/>
                <w:szCs w:val="20"/>
              </w:rPr>
              <w:t>item único e indivisível</w:t>
            </w:r>
            <w:r>
              <w:rPr>
                <w:sz w:val="20"/>
                <w:szCs w:val="20"/>
              </w:rPr>
              <w:t xml:space="preserve"> revela-se </w:t>
            </w:r>
            <w:r>
              <w:rPr>
                <w:b/>
                <w:bCs/>
                <w:sz w:val="20"/>
                <w:szCs w:val="20"/>
              </w:rPr>
              <w:t>tecnicamente mais adequada, economicamente mais vantajosa e juridicamente justificada</w:t>
            </w:r>
            <w:r>
              <w:rPr>
                <w:sz w:val="20"/>
                <w:szCs w:val="20"/>
              </w:rPr>
              <w:t xml:space="preserve">, à luz do princípio da eficiência, da economicidade e da racionalidade administrativa, </w:t>
            </w:r>
            <w:r>
              <w:rPr>
                <w:b/>
                <w:bCs/>
                <w:sz w:val="20"/>
                <w:szCs w:val="20"/>
              </w:rPr>
              <w:t>não sendo recomendável a divisão da licitação em lotes ou itens separados</w:t>
            </w:r>
            <w:r>
              <w:rPr>
                <w:sz w:val="20"/>
                <w:szCs w:val="20"/>
              </w:rPr>
              <w:t>.</w:t>
            </w:r>
          </w:p>
        </w:tc>
      </w:tr>
    </w:tbl>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IX – Demonstração dos resultados pretendidos em termos de economicidade e de melhor aproveitamento dos recursos humanos, materiais e financeiros disponíveis (Art. 19, § 1°, IX do Decreto n° 5.558/2023:</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A contratação visa alcançar resultados concretos em termos de </w:t>
            </w:r>
            <w:r>
              <w:rPr>
                <w:b/>
                <w:bCs/>
                <w:sz w:val="20"/>
                <w:szCs w:val="20"/>
              </w:rPr>
              <w:t>economicidade, eficiência administrativa e otimização dos recursos públicos disponíveis</w:t>
            </w:r>
            <w:r>
              <w:rPr>
                <w:sz w:val="20"/>
                <w:szCs w:val="20"/>
              </w:rPr>
              <w:t xml:space="preserve">, por meio da </w:t>
            </w:r>
            <w:r>
              <w:rPr>
                <w:b/>
                <w:bCs/>
                <w:sz w:val="20"/>
                <w:szCs w:val="20"/>
              </w:rPr>
              <w:t>locação de quatro (04) veículos automotores tipo passeio, modelo hatch, 0 km</w:t>
            </w:r>
            <w:r>
              <w:rPr>
                <w:sz w:val="20"/>
                <w:szCs w:val="20"/>
              </w:rPr>
              <w:t xml:space="preserve">, destinados à execução das ações operacionais da Secretaria Municipal de Segurança e Ordem Pública, notadamente no âmbito do </w:t>
            </w:r>
            <w:r>
              <w:rPr>
                <w:b/>
                <w:bCs/>
                <w:sz w:val="20"/>
                <w:szCs w:val="20"/>
              </w:rPr>
              <w:t>Programa Estadual de Integração na Segurança – PROEIS</w:t>
            </w:r>
            <w:r>
              <w:rPr>
                <w:sz w:val="20"/>
                <w:szCs w:val="20"/>
              </w:rPr>
              <w:t>.</w:t>
            </w:r>
          </w:p>
          <w:p>
            <w:pPr>
              <w:pStyle w:val="Standard"/>
              <w:widowControl w:val="false"/>
              <w:spacing w:lineRule="auto" w:line="240"/>
              <w:jc w:val="both"/>
              <w:rPr>
                <w:rFonts w:ascii="Arial" w:hAnsi="Arial"/>
                <w:sz w:val="20"/>
                <w:szCs w:val="20"/>
              </w:rPr>
            </w:pPr>
            <w:r>
              <w:rPr>
                <w:sz w:val="20"/>
                <w:szCs w:val="20"/>
              </w:rPr>
              <w:t xml:space="preserve">Do ponto de vista </w:t>
            </w:r>
            <w:r>
              <w:rPr>
                <w:b/>
                <w:bCs/>
                <w:sz w:val="20"/>
                <w:szCs w:val="20"/>
              </w:rPr>
              <w:t>financeiro</w:t>
            </w:r>
            <w:r>
              <w:rPr>
                <w:sz w:val="20"/>
                <w:szCs w:val="20"/>
              </w:rPr>
              <w:t>, a opção pela locação, em detrimento da aquisição definitiva dos veículos, assegura economia direta e indireta, considerando-se:</w:t>
            </w:r>
          </w:p>
          <w:p>
            <w:pPr>
              <w:pStyle w:val="Standard"/>
              <w:widowControl w:val="false"/>
              <w:numPr>
                <w:ilvl w:val="0"/>
                <w:numId w:val="11"/>
              </w:numPr>
              <w:spacing w:lineRule="auto" w:line="240"/>
              <w:jc w:val="both"/>
              <w:rPr>
                <w:rFonts w:ascii="Arial" w:hAnsi="Arial"/>
                <w:sz w:val="20"/>
                <w:szCs w:val="20"/>
              </w:rPr>
            </w:pPr>
            <w:r>
              <w:rPr>
                <w:b/>
                <w:bCs/>
                <w:sz w:val="20"/>
                <w:szCs w:val="20"/>
              </w:rPr>
              <w:t>Eliminação dos custos de aquisição e depreciação patrimonial</w:t>
            </w:r>
            <w:r>
              <w:rPr>
                <w:sz w:val="20"/>
                <w:szCs w:val="20"/>
              </w:rPr>
              <w:t>;</w:t>
            </w:r>
          </w:p>
          <w:p>
            <w:pPr>
              <w:pStyle w:val="Standard"/>
              <w:widowControl w:val="false"/>
              <w:numPr>
                <w:ilvl w:val="0"/>
                <w:numId w:val="11"/>
              </w:numPr>
              <w:spacing w:lineRule="auto" w:line="240"/>
              <w:jc w:val="both"/>
              <w:rPr>
                <w:rFonts w:ascii="Arial" w:hAnsi="Arial"/>
                <w:sz w:val="20"/>
                <w:szCs w:val="20"/>
              </w:rPr>
            </w:pPr>
            <w:r>
              <w:rPr>
                <w:b/>
                <w:bCs/>
                <w:sz w:val="20"/>
                <w:szCs w:val="20"/>
              </w:rPr>
              <w:t>Ausência de necessidade de dotação de fonte de investimento</w:t>
            </w:r>
            <w:r>
              <w:rPr>
                <w:sz w:val="20"/>
                <w:szCs w:val="20"/>
              </w:rPr>
              <w:t>, indisponível para a Pasta no exercício de 2025;</w:t>
            </w:r>
          </w:p>
          <w:p>
            <w:pPr>
              <w:pStyle w:val="Standard"/>
              <w:widowControl w:val="false"/>
              <w:numPr>
                <w:ilvl w:val="0"/>
                <w:numId w:val="11"/>
              </w:numPr>
              <w:spacing w:lineRule="auto" w:line="240"/>
              <w:jc w:val="both"/>
              <w:rPr>
                <w:rFonts w:ascii="Arial" w:hAnsi="Arial"/>
                <w:sz w:val="20"/>
                <w:szCs w:val="20"/>
              </w:rPr>
            </w:pPr>
            <w:r>
              <w:rPr>
                <w:b/>
                <w:bCs/>
                <w:sz w:val="20"/>
                <w:szCs w:val="20"/>
              </w:rPr>
              <w:t>Inclusão de seguro total, documentação e manutenção</w:t>
            </w:r>
            <w:r>
              <w:rPr>
                <w:sz w:val="20"/>
                <w:szCs w:val="20"/>
              </w:rPr>
              <w:t xml:space="preserve"> no valor da locação, o que evita abertura de procedimentos autônomos para contratação de empresas de assistência técnica e gestão da frota, com respectivos custos administrativos e operacionais;</w:t>
            </w:r>
          </w:p>
          <w:p>
            <w:pPr>
              <w:pStyle w:val="Standard"/>
              <w:widowControl w:val="false"/>
              <w:numPr>
                <w:ilvl w:val="0"/>
                <w:numId w:val="11"/>
              </w:numPr>
              <w:spacing w:lineRule="auto" w:line="240"/>
              <w:jc w:val="both"/>
              <w:rPr>
                <w:rFonts w:ascii="Arial" w:hAnsi="Arial"/>
                <w:sz w:val="20"/>
                <w:szCs w:val="20"/>
              </w:rPr>
            </w:pPr>
            <w:r>
              <w:rPr>
                <w:b/>
                <w:bCs/>
                <w:sz w:val="20"/>
                <w:szCs w:val="20"/>
              </w:rPr>
              <w:t>Previsibilidade orçamentária</w:t>
            </w:r>
            <w:r>
              <w:rPr>
                <w:sz w:val="20"/>
                <w:szCs w:val="20"/>
              </w:rPr>
              <w:t>, com pagamentos mensais fixados contratualmente e sem encargos extraordinários.</w:t>
            </w:r>
          </w:p>
          <w:p>
            <w:pPr>
              <w:pStyle w:val="Standard"/>
              <w:widowControl w:val="false"/>
              <w:spacing w:lineRule="auto" w:line="240"/>
              <w:jc w:val="both"/>
              <w:rPr>
                <w:rFonts w:ascii="Arial" w:hAnsi="Arial"/>
                <w:sz w:val="20"/>
                <w:szCs w:val="20"/>
              </w:rPr>
            </w:pPr>
            <w:r>
              <w:rPr>
                <w:sz w:val="20"/>
                <w:szCs w:val="20"/>
              </w:rPr>
              <w:t xml:space="preserve">Em relação à </w:t>
            </w:r>
            <w:r>
              <w:rPr>
                <w:b/>
                <w:bCs/>
                <w:sz w:val="20"/>
                <w:szCs w:val="20"/>
              </w:rPr>
              <w:t>racionalização do uso dos recursos humanos e materiais</w:t>
            </w:r>
            <w:r>
              <w:rPr>
                <w:sz w:val="20"/>
                <w:szCs w:val="20"/>
              </w:rPr>
              <w:t>, a contratação contribuirá para:</w:t>
            </w:r>
          </w:p>
          <w:p>
            <w:pPr>
              <w:pStyle w:val="Standard"/>
              <w:widowControl w:val="false"/>
              <w:numPr>
                <w:ilvl w:val="0"/>
                <w:numId w:val="24"/>
              </w:numPr>
              <w:spacing w:lineRule="auto" w:line="240"/>
              <w:jc w:val="both"/>
              <w:rPr>
                <w:rFonts w:ascii="Arial" w:hAnsi="Arial"/>
                <w:sz w:val="20"/>
                <w:szCs w:val="20"/>
              </w:rPr>
            </w:pPr>
            <w:r>
              <w:rPr>
                <w:b/>
                <w:bCs/>
                <w:sz w:val="20"/>
                <w:szCs w:val="20"/>
              </w:rPr>
              <w:t>Desonerar a estrutura administrativa da Secretaria</w:t>
            </w:r>
            <w:r>
              <w:rPr>
                <w:sz w:val="20"/>
                <w:szCs w:val="20"/>
              </w:rPr>
              <w:t>, que não precisará alocar servidores para o controle direto de manutenção, licenciamento, sinistros e trâmites de seguradora;</w:t>
            </w:r>
          </w:p>
          <w:p>
            <w:pPr>
              <w:pStyle w:val="Standard"/>
              <w:widowControl w:val="false"/>
              <w:numPr>
                <w:ilvl w:val="0"/>
                <w:numId w:val="25"/>
              </w:numPr>
              <w:spacing w:lineRule="auto" w:line="240"/>
              <w:jc w:val="both"/>
              <w:rPr>
                <w:rFonts w:ascii="Arial" w:hAnsi="Arial"/>
                <w:sz w:val="20"/>
                <w:szCs w:val="20"/>
              </w:rPr>
            </w:pPr>
            <w:r>
              <w:rPr>
                <w:b/>
                <w:bCs/>
                <w:sz w:val="20"/>
                <w:szCs w:val="20"/>
              </w:rPr>
              <w:t>Reduzir a sobrecarga sobre o setor de compras e contratos</w:t>
            </w:r>
            <w:r>
              <w:rPr>
                <w:sz w:val="20"/>
                <w:szCs w:val="20"/>
              </w:rPr>
              <w:t>, evitando múltiplas licitações ou aditivos relacionados à gestão veicular;</w:t>
            </w:r>
          </w:p>
          <w:p>
            <w:pPr>
              <w:pStyle w:val="Standard"/>
              <w:widowControl w:val="false"/>
              <w:numPr>
                <w:ilvl w:val="0"/>
                <w:numId w:val="26"/>
              </w:numPr>
              <w:spacing w:lineRule="auto" w:line="240"/>
              <w:jc w:val="both"/>
              <w:rPr>
                <w:rFonts w:ascii="Arial" w:hAnsi="Arial"/>
                <w:sz w:val="20"/>
                <w:szCs w:val="20"/>
              </w:rPr>
            </w:pPr>
            <w:r>
              <w:rPr>
                <w:b/>
                <w:bCs/>
                <w:sz w:val="20"/>
                <w:szCs w:val="20"/>
              </w:rPr>
              <w:t>Aumentar a disponibilidade operacional imediata das equipes do PROEIS</w:t>
            </w:r>
            <w:r>
              <w:rPr>
                <w:sz w:val="20"/>
                <w:szCs w:val="20"/>
              </w:rPr>
              <w:t>, garantindo maior cobertura territorial, agilidade nas operações e reforço nas ações de patrulhamento preventivo e ostensivo, promovendo maior segurança pública à população de Paracambi.</w:t>
            </w:r>
          </w:p>
          <w:p>
            <w:pPr>
              <w:pStyle w:val="Standard"/>
              <w:widowControl w:val="false"/>
              <w:spacing w:lineRule="auto" w:line="240"/>
              <w:jc w:val="both"/>
              <w:rPr>
                <w:rFonts w:ascii="Arial" w:hAnsi="Arial"/>
                <w:sz w:val="20"/>
                <w:szCs w:val="20"/>
              </w:rPr>
            </w:pPr>
            <w:r>
              <w:rPr>
                <w:sz w:val="20"/>
                <w:szCs w:val="20"/>
              </w:rPr>
              <w:t xml:space="preserve">Sob a ótica da </w:t>
            </w:r>
            <w:r>
              <w:rPr>
                <w:b/>
                <w:bCs/>
                <w:sz w:val="20"/>
                <w:szCs w:val="20"/>
              </w:rPr>
              <w:t>eficiência na aplicação dos recursos públicos</w:t>
            </w:r>
            <w:r>
              <w:rPr>
                <w:sz w:val="20"/>
                <w:szCs w:val="20"/>
              </w:rPr>
              <w:t xml:space="preserve">, a solução adotada permite que a Secretaria concentre seus esforços na </w:t>
            </w:r>
            <w:r>
              <w:rPr>
                <w:b/>
                <w:bCs/>
                <w:sz w:val="20"/>
                <w:szCs w:val="20"/>
              </w:rPr>
              <w:t>coordenação e fiscalização das atividades finalísticas</w:t>
            </w:r>
            <w:r>
              <w:rPr>
                <w:sz w:val="20"/>
                <w:szCs w:val="20"/>
              </w:rPr>
              <w:t xml:space="preserve">, enquanto a contratada se responsabiliza integralmente pela </w:t>
            </w:r>
            <w:r>
              <w:rPr>
                <w:b/>
                <w:bCs/>
                <w:sz w:val="20"/>
                <w:szCs w:val="20"/>
              </w:rPr>
              <w:t>gestão da frota locada</w:t>
            </w:r>
            <w:r>
              <w:rPr>
                <w:sz w:val="20"/>
                <w:szCs w:val="20"/>
              </w:rPr>
              <w:t>, nos termos e prazos definidos contratualmente.</w:t>
            </w:r>
          </w:p>
          <w:p>
            <w:pPr>
              <w:pStyle w:val="Standard"/>
              <w:widowControl w:val="false"/>
              <w:spacing w:lineRule="auto" w:line="240"/>
              <w:jc w:val="both"/>
              <w:rPr>
                <w:rFonts w:ascii="Arial" w:hAnsi="Arial"/>
                <w:sz w:val="20"/>
                <w:szCs w:val="20"/>
              </w:rPr>
            </w:pPr>
            <w:r>
              <w:rPr>
                <w:sz w:val="20"/>
                <w:szCs w:val="20"/>
              </w:rPr>
              <w:t xml:space="preserve">Assim, a presente contratação proporcionará resultados positivos mensuráveis em termos de </w:t>
            </w:r>
            <w:r>
              <w:rPr>
                <w:b/>
                <w:bCs/>
                <w:sz w:val="20"/>
                <w:szCs w:val="20"/>
              </w:rPr>
              <w:t>redução de custos globais, melhor desempenho institucional, celeridade operacional e uso estratégico dos recursos financeiros e logísticos da Administração Municipal</w:t>
            </w:r>
            <w:r>
              <w:rPr>
                <w:sz w:val="20"/>
                <w:szCs w:val="20"/>
              </w:rPr>
              <w:t>, em plena conformidade com os princípios da eficiência, economicidade, interesse público e planejamento.</w:t>
            </w:r>
          </w:p>
        </w:tc>
      </w:tr>
    </w:tbl>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X - Providências a serem adotadas (Art. 19, § 1°, X do Decreto n° 5.558/2023);</w:t>
      </w:r>
    </w:p>
    <w:p>
      <w:pPr>
        <w:pStyle w:val="Textbody1"/>
        <w:spacing w:lineRule="auto" w:line="240" w:before="0" w:after="0"/>
        <w:jc w:val="both"/>
        <w:rPr>
          <w:rFonts w:ascii="Arial" w:hAnsi="Arial"/>
          <w:sz w:val="20"/>
          <w:szCs w:val="20"/>
        </w:rPr>
      </w:pPr>
      <w:r>
        <w:rPr>
          <w:rFonts w:cs="Times New Roman"/>
          <w:b/>
          <w:bCs/>
          <w:color w:val="000000"/>
          <w:sz w:val="20"/>
          <w:szCs w:val="20"/>
        </w:rPr>
        <w:t>( ) não aplica</w:t>
      </w:r>
    </w:p>
    <w:p>
      <w:pPr>
        <w:pStyle w:val="Textbody1"/>
        <w:spacing w:lineRule="auto" w:line="240" w:before="0" w:after="0"/>
        <w:jc w:val="both"/>
        <w:rPr>
          <w:rFonts w:ascii="Arial" w:hAnsi="Arial"/>
          <w:sz w:val="20"/>
          <w:szCs w:val="20"/>
        </w:rPr>
      </w:pPr>
      <w:r>
        <w:rPr>
          <w:rFonts w:cs="Times New Roman"/>
          <w:b/>
          <w:bCs/>
          <w:color w:val="000000"/>
          <w:sz w:val="20"/>
          <w:szCs w:val="20"/>
        </w:rPr>
        <w:t xml:space="preserve">(X) aplica, justifique: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Textbody1"/>
              <w:widowControl w:val="false"/>
              <w:spacing w:lineRule="auto" w:line="240" w:before="0" w:after="0"/>
              <w:jc w:val="both"/>
              <w:rPr>
                <w:rFonts w:ascii="Arial" w:hAnsi="Arial"/>
                <w:sz w:val="20"/>
                <w:szCs w:val="20"/>
              </w:rPr>
            </w:pPr>
            <w:r>
              <w:rPr>
                <w:sz w:val="20"/>
                <w:szCs w:val="20"/>
              </w:rPr>
              <w:t xml:space="preserve">Para a plena execução do objeto contratado, serão adotadas providências administrativas voltadas à </w:t>
            </w:r>
            <w:r>
              <w:rPr>
                <w:b/>
                <w:bCs/>
                <w:sz w:val="20"/>
                <w:szCs w:val="20"/>
              </w:rPr>
              <w:t>estruturação e preparação da gestão e fiscalização contratual</w:t>
            </w:r>
            <w:r>
              <w:rPr>
                <w:sz w:val="20"/>
                <w:szCs w:val="20"/>
              </w:rPr>
              <w:t>, conforme preconizam os artigos 117 a 121 da Lei Federal nº 14.133/2021 e o Decreto Municipal nº 5.558/2023.</w:t>
            </w:r>
          </w:p>
          <w:p>
            <w:pPr>
              <w:pStyle w:val="Textbody1"/>
              <w:widowControl w:val="false"/>
              <w:spacing w:lineRule="auto" w:line="240" w:before="0" w:after="0"/>
              <w:jc w:val="both"/>
              <w:rPr>
                <w:rFonts w:ascii="Arial" w:hAnsi="Arial"/>
                <w:sz w:val="20"/>
                <w:szCs w:val="20"/>
              </w:rPr>
            </w:pPr>
            <w:r>
              <w:rPr>
                <w:sz w:val="20"/>
                <w:szCs w:val="20"/>
              </w:rPr>
            </w:r>
          </w:p>
          <w:p>
            <w:pPr>
              <w:pStyle w:val="Textbody1"/>
              <w:widowControl w:val="false"/>
              <w:spacing w:lineRule="auto" w:line="240" w:before="0" w:after="0"/>
              <w:jc w:val="both"/>
              <w:rPr>
                <w:rFonts w:ascii="Arial" w:hAnsi="Arial"/>
                <w:sz w:val="20"/>
                <w:szCs w:val="20"/>
              </w:rPr>
            </w:pPr>
            <w:r>
              <w:rPr>
                <w:sz w:val="20"/>
                <w:szCs w:val="20"/>
              </w:rPr>
              <w:t xml:space="preserve">Considerando que a </w:t>
            </w:r>
            <w:r>
              <w:rPr>
                <w:b/>
                <w:bCs/>
                <w:sz w:val="20"/>
                <w:szCs w:val="20"/>
              </w:rPr>
              <w:t>Secretaria Municipal de Segurança e Ordem Pública foi instituída em janeiro de 2025</w:t>
            </w:r>
            <w:r>
              <w:rPr>
                <w:sz w:val="20"/>
                <w:szCs w:val="20"/>
              </w:rPr>
              <w:t xml:space="preserve">, sendo ainda uma Pasta em fase de consolidação organizacional, faz-se necessária a </w:t>
            </w:r>
            <w:r>
              <w:rPr>
                <w:b/>
                <w:bCs/>
                <w:sz w:val="20"/>
                <w:szCs w:val="20"/>
              </w:rPr>
              <w:t>designação formal de servidores para atuar como fiscais técnico e administrativo do contrato</w:t>
            </w:r>
            <w:r>
              <w:rPr>
                <w:sz w:val="20"/>
                <w:szCs w:val="20"/>
              </w:rPr>
              <w:t xml:space="preserve">, bem como </w:t>
            </w:r>
            <w:r>
              <w:rPr>
                <w:b/>
                <w:bCs/>
                <w:sz w:val="20"/>
                <w:szCs w:val="20"/>
              </w:rPr>
              <w:t>eventual capacitação desses agentes</w:t>
            </w:r>
            <w:r>
              <w:rPr>
                <w:sz w:val="20"/>
                <w:szCs w:val="20"/>
              </w:rPr>
              <w:t>, especialmente quanto às competências relativas à gestão de contratos de prestação de serviços continuados, com foco em locação de bens móveis.</w:t>
            </w:r>
          </w:p>
          <w:p>
            <w:pPr>
              <w:pStyle w:val="Textbody1"/>
              <w:widowControl w:val="false"/>
              <w:spacing w:lineRule="auto" w:line="240" w:before="0" w:after="0"/>
              <w:jc w:val="both"/>
              <w:rPr>
                <w:rFonts w:ascii="Arial" w:hAnsi="Arial"/>
                <w:sz w:val="20"/>
                <w:szCs w:val="20"/>
              </w:rPr>
            </w:pPr>
            <w:r>
              <w:rPr>
                <w:sz w:val="20"/>
                <w:szCs w:val="20"/>
              </w:rPr>
            </w:r>
          </w:p>
          <w:p>
            <w:pPr>
              <w:pStyle w:val="Textbody1"/>
              <w:widowControl w:val="false"/>
              <w:spacing w:lineRule="auto" w:line="240" w:before="0" w:after="0"/>
              <w:jc w:val="both"/>
              <w:rPr>
                <w:rFonts w:ascii="Arial" w:hAnsi="Arial"/>
                <w:sz w:val="20"/>
                <w:szCs w:val="20"/>
              </w:rPr>
            </w:pPr>
            <w:r>
              <w:rPr>
                <w:sz w:val="20"/>
                <w:szCs w:val="20"/>
              </w:rPr>
              <w:t>As providências a serem adotadas incluem:</w:t>
            </w:r>
          </w:p>
          <w:p>
            <w:pPr>
              <w:pStyle w:val="Textbody1"/>
              <w:widowControl w:val="false"/>
              <w:numPr>
                <w:ilvl w:val="0"/>
                <w:numId w:val="12"/>
              </w:numPr>
              <w:spacing w:lineRule="auto" w:line="240" w:before="0" w:after="0"/>
              <w:jc w:val="both"/>
              <w:rPr>
                <w:rFonts w:ascii="Arial" w:hAnsi="Arial"/>
                <w:sz w:val="20"/>
                <w:szCs w:val="20"/>
              </w:rPr>
            </w:pPr>
            <w:r>
              <w:rPr>
                <w:b/>
                <w:bCs/>
                <w:sz w:val="20"/>
                <w:szCs w:val="20"/>
              </w:rPr>
              <w:t>Emissão de portaria designando o gestor e fiscais do contrato</w:t>
            </w:r>
            <w:r>
              <w:rPr>
                <w:sz w:val="20"/>
                <w:szCs w:val="20"/>
              </w:rPr>
              <w:t>, com base nos critérios de competência técnica e disponibilidade funcional;</w:t>
            </w:r>
          </w:p>
          <w:p>
            <w:pPr>
              <w:pStyle w:val="Textbody1"/>
              <w:widowControl w:val="false"/>
              <w:numPr>
                <w:ilvl w:val="0"/>
                <w:numId w:val="12"/>
              </w:numPr>
              <w:spacing w:lineRule="auto" w:line="240" w:before="0" w:after="0"/>
              <w:jc w:val="both"/>
              <w:rPr>
                <w:rFonts w:ascii="Arial" w:hAnsi="Arial"/>
                <w:sz w:val="20"/>
                <w:szCs w:val="20"/>
              </w:rPr>
            </w:pPr>
            <w:r>
              <w:rPr>
                <w:b/>
                <w:bCs/>
                <w:sz w:val="20"/>
                <w:szCs w:val="20"/>
              </w:rPr>
              <w:t>Capacitação interna dos agentes designados</w:t>
            </w:r>
            <w:r>
              <w:rPr>
                <w:sz w:val="20"/>
                <w:szCs w:val="20"/>
              </w:rPr>
              <w:t>, com apoio da Controladoria Geral do Município, da Procuradoria Geral ou de cursos externos, abordando temas como:</w:t>
            </w:r>
          </w:p>
          <w:p>
            <w:pPr>
              <w:pStyle w:val="Textbody1"/>
              <w:widowControl w:val="false"/>
              <w:numPr>
                <w:ilvl w:val="1"/>
                <w:numId w:val="12"/>
              </w:numPr>
              <w:spacing w:lineRule="auto" w:line="240" w:before="0" w:after="0"/>
              <w:jc w:val="both"/>
              <w:rPr>
                <w:rFonts w:ascii="Arial" w:hAnsi="Arial"/>
                <w:sz w:val="20"/>
                <w:szCs w:val="20"/>
              </w:rPr>
            </w:pPr>
            <w:r>
              <w:rPr>
                <w:sz w:val="20"/>
                <w:szCs w:val="20"/>
              </w:rPr>
              <w:t>Execução e fiscalização contratual;</w:t>
            </w:r>
          </w:p>
          <w:p>
            <w:pPr>
              <w:pStyle w:val="Textbody1"/>
              <w:widowControl w:val="false"/>
              <w:numPr>
                <w:ilvl w:val="1"/>
                <w:numId w:val="12"/>
              </w:numPr>
              <w:spacing w:lineRule="auto" w:line="240" w:before="0" w:after="0"/>
              <w:jc w:val="both"/>
              <w:rPr>
                <w:rFonts w:ascii="Arial" w:hAnsi="Arial"/>
                <w:sz w:val="20"/>
                <w:szCs w:val="20"/>
              </w:rPr>
            </w:pPr>
            <w:r>
              <w:rPr>
                <w:sz w:val="20"/>
                <w:szCs w:val="20"/>
              </w:rPr>
              <w:t>Controle de recebimento de bens e serviços;</w:t>
            </w:r>
          </w:p>
          <w:p>
            <w:pPr>
              <w:pStyle w:val="Textbody1"/>
              <w:widowControl w:val="false"/>
              <w:numPr>
                <w:ilvl w:val="1"/>
                <w:numId w:val="12"/>
              </w:numPr>
              <w:spacing w:lineRule="auto" w:line="240" w:before="0" w:after="0"/>
              <w:jc w:val="both"/>
              <w:rPr>
                <w:rFonts w:ascii="Arial" w:hAnsi="Arial"/>
                <w:sz w:val="20"/>
                <w:szCs w:val="20"/>
              </w:rPr>
            </w:pPr>
            <w:r>
              <w:rPr>
                <w:sz w:val="20"/>
                <w:szCs w:val="20"/>
              </w:rPr>
              <w:t>Registro de ocorrências e aplicação de penalidades;</w:t>
            </w:r>
          </w:p>
          <w:p>
            <w:pPr>
              <w:pStyle w:val="Textbody1"/>
              <w:widowControl w:val="false"/>
              <w:numPr>
                <w:ilvl w:val="1"/>
                <w:numId w:val="12"/>
              </w:numPr>
              <w:spacing w:lineRule="auto" w:line="240" w:before="0" w:after="0"/>
              <w:jc w:val="both"/>
              <w:rPr>
                <w:rFonts w:ascii="Arial" w:hAnsi="Arial"/>
                <w:sz w:val="20"/>
                <w:szCs w:val="20"/>
              </w:rPr>
            </w:pPr>
            <w:r>
              <w:rPr>
                <w:sz w:val="20"/>
                <w:szCs w:val="20"/>
              </w:rPr>
              <w:t>Acompanhamento da regularidade documental da contratada;</w:t>
            </w:r>
          </w:p>
          <w:p>
            <w:pPr>
              <w:pStyle w:val="Textbody1"/>
              <w:widowControl w:val="false"/>
              <w:numPr>
                <w:ilvl w:val="0"/>
                <w:numId w:val="12"/>
              </w:numPr>
              <w:spacing w:lineRule="auto" w:line="240" w:before="0" w:after="0"/>
              <w:jc w:val="both"/>
              <w:rPr>
                <w:rFonts w:ascii="Arial" w:hAnsi="Arial"/>
                <w:sz w:val="20"/>
                <w:szCs w:val="20"/>
              </w:rPr>
            </w:pPr>
            <w:r>
              <w:rPr>
                <w:b/>
                <w:bCs/>
                <w:sz w:val="20"/>
                <w:szCs w:val="20"/>
              </w:rPr>
              <w:t>Adequação dos fluxos administrativos e de monitoramento da frota locada</w:t>
            </w:r>
            <w:r>
              <w:rPr>
                <w:sz w:val="20"/>
                <w:szCs w:val="20"/>
              </w:rPr>
              <w:t>, incluindo a criação de relatório mensal de uso e desempenho dos veículos;</w:t>
            </w:r>
          </w:p>
          <w:p>
            <w:pPr>
              <w:pStyle w:val="Textbody1"/>
              <w:widowControl w:val="false"/>
              <w:numPr>
                <w:ilvl w:val="0"/>
                <w:numId w:val="12"/>
              </w:numPr>
              <w:spacing w:lineRule="auto" w:line="240" w:before="0" w:after="0"/>
              <w:jc w:val="both"/>
              <w:rPr>
                <w:rFonts w:ascii="Arial" w:hAnsi="Arial"/>
                <w:sz w:val="20"/>
                <w:szCs w:val="20"/>
              </w:rPr>
            </w:pPr>
            <w:r>
              <w:rPr>
                <w:b/>
                <w:bCs/>
                <w:sz w:val="20"/>
                <w:szCs w:val="20"/>
              </w:rPr>
              <w:t>Acompanhamento contínuo da execução contratual</w:t>
            </w:r>
            <w:r>
              <w:rPr>
                <w:sz w:val="20"/>
                <w:szCs w:val="20"/>
              </w:rPr>
              <w:t>, por meio de instrumentos de controle interno e relatórios circunstanciados, com vistas à aferição da conformidade dos serviços prestados e da economicidade do contrato.</w:t>
            </w:r>
          </w:p>
        </w:tc>
      </w:tr>
    </w:tbl>
    <w:p>
      <w:pPr>
        <w:pStyle w:val="Textbody1"/>
        <w:spacing w:lineRule="auto" w:line="240" w:before="0" w:after="0"/>
        <w:jc w:val="both"/>
        <w:rPr>
          <w:rFonts w:ascii="Arial" w:hAnsi="Arial"/>
          <w:sz w:val="20"/>
          <w:szCs w:val="20"/>
        </w:rPr>
      </w:pPr>
      <w:r>
        <w:rPr>
          <w:rFonts w:cs="Times New Roman"/>
          <w:b/>
          <w:bCs/>
          <w:color w:val="000000"/>
          <w:sz w:val="20"/>
          <w:szCs w:val="20"/>
        </w:rPr>
        <w:t>XI - Contratações correlatas e/ou interdependentes (Art. 19, § 1°, XI do Decreto n° 5.558/2023):</w:t>
      </w:r>
    </w:p>
    <w:p>
      <w:pPr>
        <w:pStyle w:val="Textbody1"/>
        <w:spacing w:lineRule="auto" w:line="240" w:before="0" w:after="0"/>
        <w:jc w:val="both"/>
        <w:rPr>
          <w:rFonts w:ascii="Arial" w:hAnsi="Arial"/>
          <w:sz w:val="20"/>
          <w:szCs w:val="20"/>
        </w:rPr>
      </w:pPr>
      <w:r>
        <w:rPr>
          <w:rFonts w:cs="Times New Roman"/>
          <w:b/>
          <w:bCs/>
          <w:color w:val="000000"/>
          <w:sz w:val="20"/>
          <w:szCs w:val="20"/>
        </w:rPr>
        <w:t>(  ) não aplica</w:t>
      </w:r>
    </w:p>
    <w:p>
      <w:pPr>
        <w:pStyle w:val="Textbody1"/>
        <w:spacing w:lineRule="auto" w:line="240" w:before="0" w:after="0"/>
        <w:jc w:val="both"/>
        <w:rPr>
          <w:rFonts w:ascii="Arial" w:hAnsi="Arial"/>
          <w:sz w:val="20"/>
          <w:szCs w:val="20"/>
        </w:rPr>
      </w:pPr>
      <w:r>
        <w:rPr>
          <w:rFonts w:cs="Times New Roman"/>
          <w:b/>
          <w:bCs/>
          <w:color w:val="000000"/>
          <w:sz w:val="20"/>
          <w:szCs w:val="20"/>
        </w:rPr>
        <w:t xml:space="preserve">( X ) aplica, justifique: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Contedodatabela"/>
              <w:widowControl w:val="false"/>
              <w:spacing w:lineRule="auto" w:line="240"/>
              <w:jc w:val="both"/>
              <w:rPr>
                <w:rFonts w:ascii="Arial" w:hAnsi="Arial"/>
                <w:sz w:val="20"/>
                <w:szCs w:val="20"/>
              </w:rPr>
            </w:pPr>
            <w:r>
              <w:rPr>
                <w:sz w:val="20"/>
                <w:szCs w:val="20"/>
              </w:rPr>
              <w:t xml:space="preserve">A medida excepcional adotada por meio da dispensa decorre da </w:t>
            </w:r>
            <w:r>
              <w:rPr>
                <w:b/>
                <w:bCs/>
                <w:sz w:val="20"/>
                <w:szCs w:val="20"/>
              </w:rPr>
              <w:t>iminência do encerramento do contrato atualmente em vigor</w:t>
            </w:r>
            <w:r>
              <w:rPr>
                <w:sz w:val="20"/>
                <w:szCs w:val="20"/>
              </w:rPr>
              <w:t xml:space="preserve">, cuja </w:t>
            </w:r>
            <w:r>
              <w:rPr>
                <w:b/>
                <w:bCs/>
                <w:sz w:val="20"/>
                <w:szCs w:val="20"/>
              </w:rPr>
              <w:t>prorrogação não é juridicamente admissível</w:t>
            </w:r>
            <w:r>
              <w:rPr>
                <w:sz w:val="20"/>
                <w:szCs w:val="20"/>
              </w:rPr>
              <w:t xml:space="preserve">, sendo, portanto, </w:t>
            </w:r>
            <w:r>
              <w:rPr>
                <w:b/>
                <w:bCs/>
                <w:sz w:val="20"/>
                <w:szCs w:val="20"/>
              </w:rPr>
              <w:t>imprescindível a adoção de contratação emergencial para evitar qualquer forma de desassistência ou descontinuidade na prestação de serviço público essencial</w:t>
            </w:r>
            <w:r>
              <w:rPr>
                <w:sz w:val="20"/>
                <w:szCs w:val="20"/>
              </w:rPr>
              <w:t>.</w:t>
            </w:r>
          </w:p>
          <w:p>
            <w:pPr>
              <w:pStyle w:val="Contedodatabela"/>
              <w:widowControl w:val="false"/>
              <w:spacing w:lineRule="auto" w:line="240"/>
              <w:jc w:val="both"/>
              <w:rPr>
                <w:rFonts w:ascii="Arial" w:hAnsi="Arial"/>
                <w:sz w:val="20"/>
                <w:szCs w:val="20"/>
              </w:rPr>
            </w:pPr>
            <w:r>
              <w:rPr>
                <w:sz w:val="20"/>
                <w:szCs w:val="20"/>
              </w:rPr>
              <w:t xml:space="preserve">Ressalte-se que a </w:t>
            </w:r>
            <w:r>
              <w:rPr>
                <w:b/>
                <w:bCs/>
                <w:sz w:val="20"/>
                <w:szCs w:val="20"/>
              </w:rPr>
              <w:t>existência e tramitação do procedimento licitatório regular não prejudica, invalida ou compromete o processamento da contratação emergencial por dispensa</w:t>
            </w:r>
            <w:r>
              <w:rPr>
                <w:sz w:val="20"/>
                <w:szCs w:val="20"/>
              </w:rPr>
              <w:t xml:space="preserve">, uma vez que esta possui </w:t>
            </w:r>
            <w:r>
              <w:rPr>
                <w:b/>
                <w:bCs/>
                <w:sz w:val="20"/>
                <w:szCs w:val="20"/>
              </w:rPr>
              <w:t>caráter pontual e transitório</w:t>
            </w:r>
            <w:r>
              <w:rPr>
                <w:sz w:val="20"/>
                <w:szCs w:val="20"/>
              </w:rPr>
              <w:t xml:space="preserve">, tendo como finalidade suprir as necessidades imediatas da Pasta </w:t>
            </w:r>
            <w:r>
              <w:rPr>
                <w:b/>
                <w:bCs/>
                <w:sz w:val="20"/>
                <w:szCs w:val="20"/>
              </w:rPr>
              <w:t>até a formalização da nova contratação, oriunda de processo competitivo e definitivo</w:t>
            </w:r>
            <w:r>
              <w:rPr>
                <w:sz w:val="20"/>
                <w:szCs w:val="20"/>
              </w:rPr>
              <w:t>.</w:t>
            </w:r>
          </w:p>
          <w:p>
            <w:pPr>
              <w:pStyle w:val="Contedodatabela"/>
              <w:widowControl w:val="false"/>
              <w:spacing w:lineRule="auto" w:line="240"/>
              <w:jc w:val="both"/>
              <w:rPr>
                <w:rFonts w:ascii="Arial" w:hAnsi="Arial"/>
                <w:sz w:val="20"/>
                <w:szCs w:val="20"/>
              </w:rPr>
            </w:pPr>
            <w:r>
              <w:rPr>
                <w:sz w:val="20"/>
                <w:szCs w:val="20"/>
              </w:rPr>
              <w:t xml:space="preserve">Cumpre esclarecer que os dois procedimentos </w:t>
            </w:r>
            <w:r>
              <w:rPr>
                <w:b/>
                <w:bCs/>
                <w:sz w:val="20"/>
                <w:szCs w:val="20"/>
              </w:rPr>
              <w:t>possuem escopos e finalidades temporais distintas</w:t>
            </w:r>
            <w:r>
              <w:rPr>
                <w:sz w:val="20"/>
                <w:szCs w:val="20"/>
              </w:rPr>
              <w:t xml:space="preserve">, sendo o processo licitatório regular o </w:t>
            </w:r>
            <w:r>
              <w:rPr>
                <w:b/>
                <w:bCs/>
                <w:sz w:val="20"/>
                <w:szCs w:val="20"/>
              </w:rPr>
              <w:t>instrumento previsto no planejamento institucional para atendimento estável e duradouro</w:t>
            </w:r>
            <w:r>
              <w:rPr>
                <w:sz w:val="20"/>
                <w:szCs w:val="20"/>
              </w:rPr>
              <w:t xml:space="preserve">, em conformidade com o Decreto Municipal nº 5.558/2023 e com a Lei Federal nº 14.133/2021. Já a contratação por dispensa, por sua vez, constitui </w:t>
            </w:r>
            <w:r>
              <w:rPr>
                <w:b/>
                <w:bCs/>
                <w:sz w:val="20"/>
                <w:szCs w:val="20"/>
              </w:rPr>
              <w:t>medida transitória, excepcional e devidamente justificada</w:t>
            </w:r>
            <w:r>
              <w:rPr>
                <w:sz w:val="20"/>
                <w:szCs w:val="20"/>
              </w:rPr>
              <w:t xml:space="preserve">, com amparo legal, e orientada pelos princípios da </w:t>
            </w:r>
            <w:r>
              <w:rPr>
                <w:b/>
                <w:bCs/>
                <w:sz w:val="20"/>
                <w:szCs w:val="20"/>
              </w:rPr>
              <w:t>eficiência, continuidade do serviço público e supremacia do interesse público</w:t>
            </w:r>
            <w:r>
              <w:rPr>
                <w:sz w:val="20"/>
                <w:szCs w:val="20"/>
              </w:rPr>
              <w:t>.</w:t>
            </w:r>
          </w:p>
          <w:p>
            <w:pPr>
              <w:pStyle w:val="Contedodatabela"/>
              <w:widowControl w:val="false"/>
              <w:spacing w:lineRule="auto" w:line="240"/>
              <w:jc w:val="both"/>
              <w:rPr>
                <w:rFonts w:ascii="Arial" w:hAnsi="Arial"/>
                <w:sz w:val="20"/>
                <w:szCs w:val="20"/>
              </w:rPr>
            </w:pPr>
            <w:r>
              <w:rPr>
                <w:sz w:val="20"/>
                <w:szCs w:val="20"/>
              </w:rPr>
              <w:t xml:space="preserve">Por fim, destaca-se que a </w:t>
            </w:r>
            <w:r>
              <w:rPr>
                <w:b/>
                <w:bCs/>
                <w:sz w:val="20"/>
                <w:szCs w:val="20"/>
              </w:rPr>
              <w:t>coexistência entre os dois procedimentos é juridicamente admissível e recomendável</w:t>
            </w:r>
            <w:r>
              <w:rPr>
                <w:sz w:val="20"/>
                <w:szCs w:val="20"/>
              </w:rPr>
              <w:t xml:space="preserve">, sob a perspectiva do planejamento e da boa gestão contratual, desde que observadas as devidas cautelas administrativas, </w:t>
            </w:r>
            <w:r>
              <w:rPr>
                <w:b/>
                <w:bCs/>
                <w:sz w:val="20"/>
                <w:szCs w:val="20"/>
              </w:rPr>
              <w:t>notadamente quanto à não sobreposição de vigência contratual e à adequada transição entre os instrumentos contratuais</w:t>
            </w:r>
            <w:r>
              <w:rPr>
                <w:sz w:val="20"/>
                <w:szCs w:val="20"/>
              </w:rPr>
              <w:t>, garantindo-se, assim, a regularidade, a continuidade e a eficiência dos serviços prestados à população.</w:t>
            </w:r>
          </w:p>
        </w:tc>
      </w:tr>
    </w:tbl>
    <w:p>
      <w:pPr>
        <w:pStyle w:val="Textbody1"/>
        <w:spacing w:lineRule="auto" w:line="240" w:before="0" w:after="0"/>
        <w:jc w:val="both"/>
        <w:rPr>
          <w:rFonts w:ascii="Arial" w:hAnsi="Arial"/>
          <w:sz w:val="20"/>
          <w:szCs w:val="20"/>
        </w:rPr>
      </w:pPr>
      <w:r>
        <w:rPr>
          <w:rFonts w:cs="Times New Roman"/>
          <w:b/>
          <w:bCs/>
          <w:color w:val="000000"/>
          <w:sz w:val="20"/>
          <w:szCs w:val="20"/>
        </w:rPr>
        <w:t>XII - Possíveis impactos ambientais e respectivas medidas de tratamento (Art. 19, § 1°, XII do Decreto n° 5.558/2023);</w:t>
      </w:r>
    </w:p>
    <w:p>
      <w:pPr>
        <w:pStyle w:val="Textbody1"/>
        <w:spacing w:lineRule="auto" w:line="240" w:before="0" w:after="0"/>
        <w:jc w:val="both"/>
        <w:rPr>
          <w:rFonts w:ascii="Arial" w:hAnsi="Arial"/>
          <w:sz w:val="20"/>
          <w:szCs w:val="20"/>
        </w:rPr>
      </w:pPr>
      <w:r>
        <w:rPr>
          <w:rFonts w:cs="Times New Roman"/>
          <w:b/>
          <w:bCs/>
          <w:color w:val="000000"/>
          <w:sz w:val="20"/>
          <w:szCs w:val="20"/>
        </w:rPr>
        <w:t>(  ) não aplica</w:t>
      </w:r>
    </w:p>
    <w:p>
      <w:pPr>
        <w:pStyle w:val="Textbody1"/>
        <w:spacing w:lineRule="auto" w:line="240" w:before="0" w:after="0"/>
        <w:jc w:val="both"/>
        <w:rPr>
          <w:rFonts w:ascii="Arial" w:hAnsi="Arial"/>
          <w:sz w:val="20"/>
          <w:szCs w:val="20"/>
        </w:rPr>
      </w:pPr>
      <w:r>
        <w:rPr>
          <w:rFonts w:cs="Times New Roman"/>
          <w:b/>
          <w:bCs/>
          <w:color w:val="000000"/>
          <w:sz w:val="20"/>
          <w:szCs w:val="20"/>
        </w:rPr>
        <w:t xml:space="preserve">( X ) aplica, justifique: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sz w:val="20"/>
                <w:szCs w:val="20"/>
              </w:rPr>
            </w:pPr>
            <w:r>
              <w:rPr>
                <w:sz w:val="20"/>
                <w:szCs w:val="20"/>
              </w:rPr>
              <w:t xml:space="preserve">Considerando o objeto da presente contratação — </w:t>
            </w:r>
            <w:r>
              <w:rPr>
                <w:b/>
                <w:bCs/>
                <w:sz w:val="20"/>
                <w:szCs w:val="20"/>
              </w:rPr>
              <w:t>locação de quatro (04) veículos automotores, tipo passeio, modelo hatch, 0 km, para uso em atividades operacionais da Secretaria Municipal de Segurança e Ordem Pública, no âmbito do PROEIS</w:t>
            </w:r>
            <w:r>
              <w:rPr>
                <w:sz w:val="20"/>
                <w:szCs w:val="20"/>
              </w:rPr>
              <w:t xml:space="preserve"> —, verifica-se que </w:t>
            </w:r>
            <w:r>
              <w:rPr>
                <w:b/>
                <w:bCs/>
                <w:sz w:val="20"/>
                <w:szCs w:val="20"/>
              </w:rPr>
              <w:t>há impactos ambientais potenciais relacionados ao consumo de combustíveis fósseis, emissão de gases poluentes, desgaste de peças e resíduos decorrentes da operação veicular.</w:t>
            </w:r>
          </w:p>
          <w:p>
            <w:pPr>
              <w:pStyle w:val="Standard"/>
              <w:widowControl w:val="false"/>
              <w:spacing w:lineRule="auto" w:line="240"/>
              <w:jc w:val="both"/>
              <w:rPr>
                <w:rFonts w:ascii="Arial" w:hAnsi="Arial"/>
                <w:sz w:val="20"/>
                <w:szCs w:val="20"/>
              </w:rPr>
            </w:pPr>
            <w:r>
              <w:rPr>
                <w:sz w:val="20"/>
                <w:szCs w:val="20"/>
              </w:rPr>
              <w:t xml:space="preserve">Nesse sentido, em alinhamento com o </w:t>
            </w:r>
            <w:r>
              <w:rPr>
                <w:b/>
                <w:bCs/>
                <w:sz w:val="20"/>
                <w:szCs w:val="20"/>
              </w:rPr>
              <w:t>Guia Nacional de Licitações Sustentáveis da AGU/CGU</w:t>
            </w:r>
            <w:r>
              <w:rPr>
                <w:sz w:val="20"/>
                <w:szCs w:val="20"/>
              </w:rPr>
              <w:t xml:space="preserve"> e com o </w:t>
            </w:r>
            <w:r>
              <w:rPr>
                <w:b/>
                <w:bCs/>
                <w:sz w:val="20"/>
                <w:szCs w:val="20"/>
              </w:rPr>
              <w:t>art. 5º da Instrução Normativa SEGES nº 1/2010</w:t>
            </w:r>
            <w:r>
              <w:rPr>
                <w:sz w:val="20"/>
                <w:szCs w:val="20"/>
              </w:rPr>
              <w:t xml:space="preserve">, foram incluídos </w:t>
            </w:r>
            <w:r>
              <w:rPr>
                <w:b/>
                <w:bCs/>
                <w:sz w:val="20"/>
                <w:szCs w:val="20"/>
              </w:rPr>
              <w:t>critérios de sustentabilidade na especificação técnica do objeto</w:t>
            </w:r>
            <w:r>
              <w:rPr>
                <w:sz w:val="20"/>
                <w:szCs w:val="20"/>
              </w:rPr>
              <w:t xml:space="preserve">, bem como obrigações da futura contratada com vistas à </w:t>
            </w:r>
            <w:r>
              <w:rPr>
                <w:b/>
                <w:bCs/>
                <w:sz w:val="20"/>
                <w:szCs w:val="20"/>
              </w:rPr>
              <w:t>mitigação dos impactos ambientais associados à execução contratual</w:t>
            </w:r>
            <w:r>
              <w:rPr>
                <w:sz w:val="20"/>
                <w:szCs w:val="20"/>
              </w:rPr>
              <w:t>.</w:t>
            </w:r>
          </w:p>
          <w:p>
            <w:pPr>
              <w:pStyle w:val="Standard"/>
              <w:widowControl w:val="false"/>
              <w:spacing w:lineRule="auto" w:line="240"/>
              <w:jc w:val="both"/>
              <w:rPr>
                <w:rFonts w:ascii="Arial" w:hAnsi="Arial"/>
                <w:sz w:val="20"/>
                <w:szCs w:val="20"/>
              </w:rPr>
            </w:pPr>
            <w:r>
              <w:rPr>
                <w:sz w:val="20"/>
                <w:szCs w:val="20"/>
              </w:rPr>
            </w:r>
          </w:p>
          <w:p>
            <w:pPr>
              <w:pStyle w:val="Standard"/>
              <w:widowControl w:val="false"/>
              <w:spacing w:lineRule="auto" w:line="240"/>
              <w:jc w:val="both"/>
              <w:rPr>
                <w:rFonts w:ascii="Arial" w:hAnsi="Arial"/>
                <w:sz w:val="20"/>
                <w:szCs w:val="20"/>
              </w:rPr>
            </w:pPr>
            <w:r>
              <w:rPr>
                <w:b/>
                <w:bCs/>
                <w:sz w:val="20"/>
                <w:szCs w:val="20"/>
              </w:rPr>
              <w:t>Dentre as medidas de tratamento e mitigação ambiental previstas, destacam-se:</w:t>
            </w:r>
          </w:p>
          <w:p>
            <w:pPr>
              <w:pStyle w:val="Standard"/>
              <w:widowControl w:val="false"/>
              <w:numPr>
                <w:ilvl w:val="0"/>
                <w:numId w:val="13"/>
              </w:numPr>
              <w:spacing w:lineRule="auto" w:line="240"/>
              <w:jc w:val="both"/>
              <w:rPr>
                <w:rFonts w:ascii="Arial" w:hAnsi="Arial"/>
                <w:sz w:val="20"/>
                <w:szCs w:val="20"/>
              </w:rPr>
            </w:pPr>
            <w:r>
              <w:rPr>
                <w:b/>
                <w:bCs/>
                <w:sz w:val="20"/>
                <w:szCs w:val="20"/>
              </w:rPr>
              <w:t>Obrigatoriedade de fornecimento de veículos com tecnologia flex (etanol/gasolina), motorização 1.0</w:t>
            </w:r>
            <w:r>
              <w:rPr>
                <w:sz w:val="20"/>
                <w:szCs w:val="20"/>
              </w:rPr>
              <w:t>, que promovem menor consumo e menor emissão de CO₂ por quilômetro rodado, conforme diretrizes do Programa de Controle da Poluição do Ar por Veículos Automotores (PROCONVE);</w:t>
            </w:r>
          </w:p>
          <w:p>
            <w:pPr>
              <w:pStyle w:val="Standard"/>
              <w:widowControl w:val="false"/>
              <w:numPr>
                <w:ilvl w:val="0"/>
                <w:numId w:val="13"/>
              </w:numPr>
              <w:spacing w:lineRule="auto" w:line="240"/>
              <w:jc w:val="both"/>
              <w:rPr>
                <w:rFonts w:ascii="Arial" w:hAnsi="Arial"/>
                <w:sz w:val="20"/>
                <w:szCs w:val="20"/>
              </w:rPr>
            </w:pPr>
            <w:r>
              <w:rPr>
                <w:b/>
                <w:bCs/>
                <w:sz w:val="20"/>
                <w:szCs w:val="20"/>
              </w:rPr>
              <w:t>Exigência de veículos 0 km</w:t>
            </w:r>
            <w:r>
              <w:rPr>
                <w:sz w:val="20"/>
                <w:szCs w:val="20"/>
              </w:rPr>
              <w:t>, o que assegura maior eficiência energética, menor índice de emissão de gases poluentes e atendimento aos padrões ambientais atuais da indústria automotiva nacional;</w:t>
            </w:r>
          </w:p>
          <w:p>
            <w:pPr>
              <w:pStyle w:val="Standard"/>
              <w:widowControl w:val="false"/>
              <w:numPr>
                <w:ilvl w:val="0"/>
                <w:numId w:val="13"/>
              </w:numPr>
              <w:spacing w:lineRule="auto" w:line="240"/>
              <w:jc w:val="both"/>
              <w:rPr>
                <w:rFonts w:ascii="Arial" w:hAnsi="Arial"/>
                <w:sz w:val="20"/>
                <w:szCs w:val="20"/>
              </w:rPr>
            </w:pPr>
            <w:r>
              <w:rPr>
                <w:b/>
                <w:bCs/>
                <w:sz w:val="20"/>
                <w:szCs w:val="20"/>
              </w:rPr>
              <w:t>Inclusão de cláusula contratual impondo à contratada a responsabilidade pela realização periódica da manutenção preventiva dos veículos</w:t>
            </w:r>
            <w:r>
              <w:rPr>
                <w:sz w:val="20"/>
                <w:szCs w:val="20"/>
              </w:rPr>
              <w:t>, com troca adequada de filtros, óleo e peças, de modo a garantir o funcionamento eficiente do motor e reduzir a emissão de gases tóxicos;</w:t>
            </w:r>
          </w:p>
          <w:p>
            <w:pPr>
              <w:pStyle w:val="Standard"/>
              <w:widowControl w:val="false"/>
              <w:numPr>
                <w:ilvl w:val="0"/>
                <w:numId w:val="13"/>
              </w:numPr>
              <w:spacing w:lineRule="auto" w:line="240"/>
              <w:jc w:val="both"/>
              <w:rPr>
                <w:rFonts w:ascii="Arial" w:hAnsi="Arial"/>
                <w:sz w:val="20"/>
                <w:szCs w:val="20"/>
              </w:rPr>
            </w:pPr>
            <w:r>
              <w:rPr>
                <w:b/>
                <w:bCs/>
                <w:sz w:val="20"/>
                <w:szCs w:val="20"/>
              </w:rPr>
              <w:t>Obrigatoriedade de destinação ambientalmente adequada de resíduos automotivos</w:t>
            </w:r>
            <w:r>
              <w:rPr>
                <w:sz w:val="20"/>
                <w:szCs w:val="20"/>
              </w:rPr>
              <w:t xml:space="preserve"> (como pneus, baterias, óleos lubrificantes e peças substituídas), conforme legislação ambiental vigente;</w:t>
            </w:r>
          </w:p>
          <w:p>
            <w:pPr>
              <w:pStyle w:val="Standard"/>
              <w:widowControl w:val="false"/>
              <w:numPr>
                <w:ilvl w:val="0"/>
                <w:numId w:val="13"/>
              </w:numPr>
              <w:spacing w:lineRule="auto" w:line="240"/>
              <w:jc w:val="both"/>
              <w:rPr>
                <w:rFonts w:ascii="Arial" w:hAnsi="Arial"/>
                <w:sz w:val="20"/>
                <w:szCs w:val="20"/>
              </w:rPr>
            </w:pPr>
            <w:r>
              <w:rPr>
                <w:b/>
                <w:bCs/>
                <w:sz w:val="20"/>
                <w:szCs w:val="20"/>
              </w:rPr>
              <w:t>Recomendações administrativas para uso racional da frota por parte da Administração</w:t>
            </w:r>
            <w:r>
              <w:rPr>
                <w:sz w:val="20"/>
                <w:szCs w:val="20"/>
              </w:rPr>
              <w:t>, incluindo controle de rotas e turnos de operação, visando à redução do consumo de combustível e ao prolongamento da vida útil dos veículos.</w:t>
            </w:r>
          </w:p>
        </w:tc>
      </w:tr>
    </w:tbl>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sz w:val="20"/>
          <w:szCs w:val="20"/>
        </w:rPr>
      </w:pPr>
      <w:r>
        <w:rPr>
          <w:rFonts w:cs="Times New Roman"/>
          <w:b/>
          <w:bCs/>
          <w:color w:val="000000"/>
          <w:sz w:val="20"/>
          <w:szCs w:val="20"/>
        </w:rPr>
        <w:t>XIII - Posicionamento conclusivo sobre a viabilidade e razoabilidade da contratação (Art. 19, § 1°, XIII do Decreto n° 5.558/2023):</w:t>
      </w:r>
      <w:r>
        <w:rPr>
          <w:rFonts w:cs="Times New Roman"/>
          <w:b/>
          <w:bCs/>
          <w:color w:val="162937"/>
          <w:sz w:val="20"/>
          <w:szCs w:val="20"/>
        </w:rPr>
        <w:t xml:space="preserve"> </w:t>
      </w:r>
    </w:p>
    <w:tbl>
      <w:tblPr>
        <w:tblW w:w="10995" w:type="dxa"/>
        <w:jc w:val="right"/>
        <w:tblInd w:w="0" w:type="dxa"/>
        <w:tblLayout w:type="fixed"/>
        <w:tblCellMar>
          <w:top w:w="55" w:type="dxa"/>
          <w:left w:w="55" w:type="dxa"/>
          <w:bottom w:w="55" w:type="dxa"/>
          <w:right w:w="55" w:type="dxa"/>
        </w:tblCellMar>
        <w:tblLook w:firstRow="0" w:noVBand="0" w:lastRow="0" w:firstColumn="0" w:lastColumn="0" w:noHBand="0" w:val="0000"/>
      </w:tblPr>
      <w:tblGrid>
        <w:gridCol w:w="10995"/>
      </w:tblGrid>
      <w:tr>
        <w:trPr/>
        <w:tc>
          <w:tcPr>
            <w:tcW w:w="10995" w:type="dxa"/>
            <w:tcBorders>
              <w:top w:val="single" w:sz="2" w:space="0" w:color="000000"/>
              <w:left w:val="single" w:sz="2" w:space="0" w:color="000000"/>
              <w:bottom w:val="single" w:sz="2" w:space="0" w:color="000000"/>
              <w:right w:val="single" w:sz="2" w:space="0" w:color="000000"/>
            </w:tcBorders>
          </w:tcPr>
          <w:p>
            <w:pPr>
              <w:pStyle w:val="Standard"/>
              <w:widowControl w:val="false"/>
              <w:spacing w:lineRule="auto" w:line="240"/>
              <w:jc w:val="both"/>
              <w:rPr>
                <w:rFonts w:ascii="Arial" w:hAnsi="Arial"/>
                <w:bCs/>
                <w:color w:val="000000"/>
                <w:sz w:val="20"/>
                <w:szCs w:val="20"/>
              </w:rPr>
            </w:pPr>
            <w:r>
              <w:rPr>
                <w:b/>
                <w:bCs/>
                <w:color w:val="000000"/>
                <w:sz w:val="20"/>
                <w:szCs w:val="20"/>
              </w:rPr>
              <w:t>Declaro, para todos os fins, que a presente contratação é plenamente viável e razoável</w:t>
            </w:r>
            <w:r>
              <w:rPr>
                <w:bCs/>
                <w:color w:val="000000"/>
                <w:sz w:val="20"/>
                <w:szCs w:val="20"/>
              </w:rPr>
              <w:t>, à luz dos elementos técnicos, operacionais, orçamentários e legais demonstrados neste Estudo Técnico Preliminar.</w:t>
            </w:r>
          </w:p>
          <w:p>
            <w:pPr>
              <w:pStyle w:val="Standard"/>
              <w:widowControl w:val="false"/>
              <w:spacing w:lineRule="auto" w:line="240"/>
              <w:jc w:val="both"/>
              <w:rPr>
                <w:rFonts w:ascii="Arial" w:hAnsi="Arial"/>
                <w:bCs/>
                <w:color w:val="000000"/>
                <w:sz w:val="20"/>
                <w:szCs w:val="20"/>
              </w:rPr>
            </w:pPr>
            <w:r>
              <w:rPr>
                <w:bCs/>
                <w:color w:val="000000"/>
                <w:sz w:val="20"/>
                <w:szCs w:val="20"/>
              </w:rPr>
            </w:r>
          </w:p>
          <w:p>
            <w:pPr>
              <w:pStyle w:val="Standard"/>
              <w:widowControl w:val="false"/>
              <w:spacing w:lineRule="auto" w:line="240"/>
              <w:jc w:val="both"/>
              <w:rPr>
                <w:rFonts w:ascii="Arial" w:hAnsi="Arial"/>
                <w:bCs/>
                <w:color w:val="000000"/>
                <w:sz w:val="20"/>
                <w:szCs w:val="20"/>
              </w:rPr>
            </w:pPr>
            <w:r>
              <w:rPr>
                <w:bCs/>
                <w:color w:val="000000"/>
                <w:sz w:val="20"/>
                <w:szCs w:val="20"/>
              </w:rPr>
              <w:t xml:space="preserve">A </w:t>
            </w:r>
            <w:r>
              <w:rPr>
                <w:b/>
                <w:bCs/>
                <w:color w:val="000000"/>
                <w:sz w:val="20"/>
                <w:szCs w:val="20"/>
              </w:rPr>
              <w:t>locação de quatro (04) veículos automotores tipo passeio, modelo hatch, 0 km</w:t>
            </w:r>
            <w:r>
              <w:rPr>
                <w:bCs/>
                <w:color w:val="000000"/>
                <w:sz w:val="20"/>
                <w:szCs w:val="20"/>
              </w:rPr>
              <w:t xml:space="preserve">, para atendimento das demandas da </w:t>
            </w:r>
            <w:r>
              <w:rPr>
                <w:b/>
                <w:bCs/>
                <w:color w:val="000000"/>
                <w:sz w:val="20"/>
                <w:szCs w:val="20"/>
              </w:rPr>
              <w:t>Secretaria Municipal de Segurança e Ordem Pública</w:t>
            </w:r>
            <w:r>
              <w:rPr>
                <w:bCs/>
                <w:color w:val="000000"/>
                <w:sz w:val="20"/>
                <w:szCs w:val="20"/>
              </w:rPr>
              <w:t xml:space="preserve">, especialmente no âmbito do </w:t>
            </w:r>
            <w:r>
              <w:rPr>
                <w:b/>
                <w:bCs/>
                <w:color w:val="000000"/>
                <w:sz w:val="20"/>
                <w:szCs w:val="20"/>
              </w:rPr>
              <w:t>Programa Estadual de Integração na Segurança – PROEIS</w:t>
            </w:r>
            <w:r>
              <w:rPr>
                <w:bCs/>
                <w:color w:val="000000"/>
                <w:sz w:val="20"/>
                <w:szCs w:val="20"/>
              </w:rPr>
              <w:t xml:space="preserve">, apresenta-se como a </w:t>
            </w:r>
            <w:r>
              <w:rPr>
                <w:b/>
                <w:bCs/>
                <w:color w:val="000000"/>
                <w:sz w:val="20"/>
                <w:szCs w:val="20"/>
              </w:rPr>
              <w:t>solução mais adequada, eficiente e vantajosa</w:t>
            </w:r>
            <w:r>
              <w:rPr>
                <w:bCs/>
                <w:color w:val="000000"/>
                <w:sz w:val="20"/>
                <w:szCs w:val="20"/>
              </w:rPr>
              <w:t xml:space="preserve"> diante da realidade administrativa atual, notadamente pela inexistência de frota própria, impossibilidade de renovação do contrato vigente e ausência de dotação para aquisição de bens permanentes.</w:t>
            </w:r>
          </w:p>
          <w:p>
            <w:pPr>
              <w:pStyle w:val="Standard"/>
              <w:widowControl w:val="false"/>
              <w:spacing w:lineRule="auto" w:line="240"/>
              <w:jc w:val="both"/>
              <w:rPr>
                <w:rFonts w:ascii="Arial" w:hAnsi="Arial"/>
                <w:bCs/>
                <w:color w:val="000000"/>
                <w:sz w:val="20"/>
                <w:szCs w:val="20"/>
              </w:rPr>
            </w:pPr>
            <w:r>
              <w:rPr>
                <w:bCs/>
                <w:color w:val="000000"/>
                <w:sz w:val="20"/>
                <w:szCs w:val="20"/>
              </w:rPr>
            </w:r>
          </w:p>
          <w:p>
            <w:pPr>
              <w:pStyle w:val="Standard"/>
              <w:widowControl w:val="false"/>
              <w:spacing w:lineRule="auto" w:line="240"/>
              <w:jc w:val="both"/>
              <w:rPr>
                <w:rFonts w:ascii="Arial" w:hAnsi="Arial"/>
                <w:bCs/>
                <w:color w:val="000000"/>
                <w:sz w:val="20"/>
                <w:szCs w:val="20"/>
              </w:rPr>
            </w:pPr>
            <w:r>
              <w:rPr>
                <w:bCs/>
                <w:color w:val="000000"/>
                <w:sz w:val="20"/>
                <w:szCs w:val="20"/>
              </w:rPr>
              <w:t xml:space="preserve">Portanto, </w:t>
            </w:r>
            <w:r>
              <w:rPr>
                <w:b/>
                <w:bCs/>
                <w:color w:val="000000"/>
                <w:sz w:val="20"/>
                <w:szCs w:val="20"/>
              </w:rPr>
              <w:t>ratifica-se a viabilidade da contratação</w:t>
            </w:r>
            <w:r>
              <w:rPr>
                <w:bCs/>
                <w:color w:val="000000"/>
                <w:sz w:val="20"/>
                <w:szCs w:val="20"/>
              </w:rPr>
              <w:t>, recomendando-se o seu regular prosseguimento, conforme os princípios da legalidade, economicidade, continuidade do serviço público e supremacia do interesse público.</w:t>
            </w:r>
          </w:p>
        </w:tc>
      </w:tr>
    </w:tbl>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0"/>
        <w:jc w:val="both"/>
        <w:rPr>
          <w:rFonts w:ascii="Arial" w:hAnsi="Arial" w:cs="Times New Roman"/>
          <w:color w:val="162937"/>
          <w:sz w:val="20"/>
          <w:szCs w:val="20"/>
        </w:rPr>
      </w:pPr>
      <w:r>
        <w:rPr>
          <w:rFonts w:cs="Times New Roman"/>
          <w:color w:val="162937"/>
          <w:sz w:val="20"/>
          <w:szCs w:val="20"/>
        </w:rPr>
      </w:r>
    </w:p>
    <w:p>
      <w:pPr>
        <w:pStyle w:val="Textbody1"/>
        <w:spacing w:lineRule="auto" w:line="240" w:before="0" w:after="150"/>
        <w:jc w:val="right"/>
        <w:rPr>
          <w:rFonts w:ascii="Arial" w:hAnsi="Arial"/>
          <w:sz w:val="20"/>
          <w:szCs w:val="20"/>
        </w:rPr>
      </w:pPr>
      <w:r>
        <w:rPr>
          <w:rFonts w:cs="Times New Roman"/>
          <w:b/>
          <w:bCs/>
          <w:sz w:val="20"/>
          <w:szCs w:val="20"/>
        </w:rPr>
        <w:t>Paracambi, 16 de abril de 2025</w:t>
      </w:r>
      <w:r>
        <w:rPr>
          <w:rFonts w:cs="Times New Roman"/>
          <w:b/>
          <w:bCs/>
          <w:color w:val="000000"/>
          <w:sz w:val="20"/>
          <w:szCs w:val="20"/>
        </w:rPr>
        <w:t>.</w:t>
      </w:r>
    </w:p>
    <w:p>
      <w:pPr>
        <w:pStyle w:val="Textbody1"/>
        <w:spacing w:lineRule="auto" w:line="240" w:before="0" w:after="150"/>
        <w:jc w:val="center"/>
        <w:rPr>
          <w:rFonts w:ascii="Arial" w:hAnsi="Arial" w:cs="Times New Roman"/>
          <w:b/>
          <w:bCs/>
          <w:color w:val="000000"/>
          <w:sz w:val="20"/>
          <w:szCs w:val="20"/>
        </w:rPr>
      </w:pPr>
      <w:r>
        <w:rPr>
          <w:rFonts w:cs="Times New Roman"/>
          <w:b/>
          <w:bCs/>
          <w:color w:val="000000"/>
          <w:sz w:val="20"/>
          <w:szCs w:val="20"/>
        </w:rPr>
      </w:r>
    </w:p>
    <w:p>
      <w:pPr>
        <w:pStyle w:val="Normal"/>
        <w:spacing w:lineRule="auto" w:line="240"/>
        <w:jc w:val="center"/>
        <w:rPr>
          <w:rFonts w:ascii="Arial" w:hAnsi="Arial"/>
          <w:sz w:val="20"/>
          <w:szCs w:val="20"/>
        </w:rPr>
      </w:pPr>
      <w:r>
        <w:rPr>
          <w:rFonts w:cs="Arial"/>
          <w:sz w:val="20"/>
          <w:szCs w:val="20"/>
        </w:rPr>
        <w:t>Anderson G. do Amaral                   Leonilson Souza Santos                   Douglas de C.Goulart</w:t>
      </w:r>
    </w:p>
    <w:tbl>
      <w:tblPr>
        <w:tblStyle w:val="Tabelacomgrade"/>
        <w:tblW w:w="965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090"/>
        <w:gridCol w:w="233"/>
        <w:gridCol w:w="3096"/>
        <w:gridCol w:w="236"/>
        <w:gridCol w:w="239"/>
        <w:gridCol w:w="2762"/>
      </w:tblGrid>
      <w:tr>
        <w:trPr>
          <w:trHeight w:val="265" w:hRule="atLeast"/>
        </w:trPr>
        <w:tc>
          <w:tcPr>
            <w:tcW w:w="3090" w:type="dxa"/>
            <w:tcBorders/>
          </w:tcPr>
          <w:p>
            <w:pPr>
              <w:pStyle w:val="Normal"/>
              <w:widowControl/>
              <w:spacing w:lineRule="auto" w:line="240" w:before="0" w:after="0"/>
              <w:jc w:val="center"/>
              <w:rPr>
                <w:rFonts w:ascii="Arial" w:hAnsi="Arial" w:cs="Arial"/>
                <w:b/>
                <w:bCs/>
                <w:kern w:val="0"/>
                <w:sz w:val="20"/>
                <w:szCs w:val="20"/>
                <w:lang w:val="pt-BR" w:bidi="ar-SA"/>
              </w:rPr>
            </w:pPr>
            <w:r>
              <w:rPr>
                <w:rFonts w:cs="Arial"/>
                <w:b/>
                <w:bCs/>
                <w:kern w:val="0"/>
                <w:sz w:val="20"/>
                <w:szCs w:val="20"/>
                <w:lang w:val="pt-BR" w:bidi="ar-SA"/>
              </w:rPr>
              <w:t>Presidente</w:t>
            </w:r>
          </w:p>
          <w:p>
            <w:pPr>
              <w:pStyle w:val="Normal"/>
              <w:widowControl/>
              <w:spacing w:lineRule="auto" w:line="240" w:before="0" w:after="0"/>
              <w:jc w:val="center"/>
              <w:rPr>
                <w:rFonts w:ascii="Arial" w:hAnsi="Arial" w:cs="Arial"/>
                <w:b/>
                <w:bCs/>
                <w:kern w:val="0"/>
                <w:sz w:val="20"/>
                <w:szCs w:val="20"/>
                <w:lang w:val="pt-BR" w:bidi="ar-SA"/>
              </w:rPr>
            </w:pPr>
            <w:r>
              <w:rPr>
                <w:rFonts w:cs="Arial"/>
                <w:b/>
                <w:bCs/>
                <w:kern w:val="0"/>
                <w:sz w:val="20"/>
                <w:szCs w:val="20"/>
                <w:lang w:val="pt-BR" w:bidi="ar-SA"/>
              </w:rPr>
              <w:t>Mat. 36/12124</w:t>
            </w:r>
          </w:p>
        </w:tc>
        <w:tc>
          <w:tcPr>
            <w:tcW w:w="233" w:type="dxa"/>
            <w:tcBorders/>
          </w:tcPr>
          <w:p>
            <w:pPr>
              <w:pStyle w:val="Normal"/>
              <w:widowControl/>
              <w:spacing w:lineRule="auto" w:line="240" w:before="0" w:after="0"/>
              <w:jc w:val="center"/>
              <w:rPr>
                <w:rFonts w:ascii="Arial" w:hAnsi="Arial" w:cs="Arial"/>
                <w:b/>
                <w:bCs/>
                <w:kern w:val="0"/>
                <w:sz w:val="20"/>
                <w:szCs w:val="20"/>
                <w:lang w:val="pt-BR" w:bidi="ar-SA"/>
              </w:rPr>
            </w:pPr>
            <w:r>
              <w:rPr>
                <w:rFonts w:cs="Arial"/>
                <w:b/>
                <w:bCs/>
                <w:kern w:val="0"/>
                <w:sz w:val="20"/>
                <w:szCs w:val="20"/>
                <w:lang w:val="pt-BR" w:bidi="ar-SA"/>
              </w:rPr>
            </w:r>
          </w:p>
        </w:tc>
        <w:tc>
          <w:tcPr>
            <w:tcW w:w="3096" w:type="dxa"/>
            <w:tcBorders/>
          </w:tcPr>
          <w:p>
            <w:pPr>
              <w:pStyle w:val="Normal"/>
              <w:widowControl/>
              <w:spacing w:lineRule="auto" w:line="240" w:before="0" w:after="0"/>
              <w:jc w:val="center"/>
              <w:rPr>
                <w:rFonts w:ascii="Arial" w:hAnsi="Arial" w:cs="Arial"/>
                <w:b/>
                <w:bCs/>
                <w:kern w:val="0"/>
                <w:sz w:val="20"/>
                <w:szCs w:val="20"/>
                <w:lang w:val="pt-BR" w:bidi="ar-SA"/>
              </w:rPr>
            </w:pPr>
            <w:r>
              <w:rPr>
                <w:rFonts w:cs="Arial"/>
                <w:b/>
                <w:bCs/>
                <w:kern w:val="0"/>
                <w:sz w:val="20"/>
                <w:szCs w:val="20"/>
                <w:lang w:val="pt-BR" w:bidi="ar-SA"/>
              </w:rPr>
              <w:t>Membro</w:t>
            </w:r>
          </w:p>
          <w:p>
            <w:pPr>
              <w:pStyle w:val="Normal"/>
              <w:widowControl/>
              <w:spacing w:lineRule="auto" w:line="240" w:before="0" w:after="0"/>
              <w:jc w:val="center"/>
              <w:rPr>
                <w:rFonts w:ascii="Arial" w:hAnsi="Arial" w:cs="Arial"/>
                <w:b/>
                <w:bCs/>
                <w:kern w:val="0"/>
                <w:sz w:val="20"/>
                <w:szCs w:val="20"/>
                <w:lang w:val="pt-BR" w:bidi="ar-SA"/>
              </w:rPr>
            </w:pPr>
            <w:r>
              <w:rPr>
                <w:rFonts w:cs="Arial"/>
                <w:b/>
                <w:bCs/>
                <w:kern w:val="0"/>
                <w:sz w:val="20"/>
                <w:szCs w:val="20"/>
                <w:lang w:val="pt-BR" w:bidi="ar-SA"/>
              </w:rPr>
              <w:t>Mat.15.710</w:t>
            </w:r>
          </w:p>
        </w:tc>
        <w:tc>
          <w:tcPr>
            <w:tcW w:w="236" w:type="dxa"/>
            <w:tcBorders/>
          </w:tcPr>
          <w:p>
            <w:pPr>
              <w:pStyle w:val="Normal"/>
              <w:widowControl/>
              <w:spacing w:lineRule="auto" w:line="240" w:before="0" w:after="0"/>
              <w:ind w:hanging="0" w:right="3160"/>
              <w:jc w:val="center"/>
              <w:rPr>
                <w:rFonts w:ascii="Arial" w:hAnsi="Arial" w:cs="Arial"/>
                <w:b/>
                <w:bCs/>
                <w:kern w:val="0"/>
                <w:sz w:val="20"/>
                <w:szCs w:val="20"/>
                <w:highlight w:val="yellow"/>
                <w:lang w:val="pt-BR" w:bidi="ar-SA"/>
              </w:rPr>
            </w:pPr>
            <w:r>
              <w:rPr>
                <w:rFonts w:cs="Arial"/>
                <w:b/>
                <w:bCs/>
                <w:kern w:val="0"/>
                <w:sz w:val="20"/>
                <w:szCs w:val="20"/>
                <w:highlight w:val="yellow"/>
                <w:lang w:val="pt-BR" w:bidi="ar-SA"/>
              </w:rPr>
            </w:r>
          </w:p>
        </w:tc>
        <w:tc>
          <w:tcPr>
            <w:tcW w:w="239" w:type="dxa"/>
            <w:tcBorders/>
          </w:tcPr>
          <w:p>
            <w:pPr>
              <w:pStyle w:val="Normal"/>
              <w:widowControl/>
              <w:spacing w:lineRule="auto" w:line="240" w:before="0" w:after="0"/>
              <w:ind w:hanging="0" w:right="3160"/>
              <w:jc w:val="center"/>
              <w:rPr>
                <w:rFonts w:ascii="Arial" w:hAnsi="Arial" w:cs="Arial"/>
                <w:b/>
                <w:bCs/>
                <w:kern w:val="0"/>
                <w:sz w:val="20"/>
                <w:szCs w:val="20"/>
                <w:highlight w:val="yellow"/>
                <w:lang w:val="pt-BR" w:bidi="ar-SA"/>
              </w:rPr>
            </w:pPr>
            <w:r>
              <w:rPr>
                <w:rFonts w:cs="Arial"/>
                <w:b/>
                <w:bCs/>
                <w:kern w:val="0"/>
                <w:sz w:val="20"/>
                <w:szCs w:val="20"/>
                <w:highlight w:val="yellow"/>
                <w:lang w:val="pt-BR" w:bidi="ar-SA"/>
              </w:rPr>
            </w:r>
          </w:p>
        </w:tc>
        <w:tc>
          <w:tcPr>
            <w:tcW w:w="2762" w:type="dxa"/>
            <w:tcBorders/>
          </w:tcPr>
          <w:p>
            <w:pPr>
              <w:pStyle w:val="Normal"/>
              <w:widowControl/>
              <w:spacing w:lineRule="auto" w:line="240" w:before="0" w:after="0"/>
              <w:jc w:val="center"/>
              <w:rPr>
                <w:rFonts w:ascii="Arial" w:hAnsi="Arial" w:cs="Arial"/>
                <w:b/>
                <w:bCs/>
                <w:kern w:val="0"/>
                <w:sz w:val="20"/>
                <w:szCs w:val="20"/>
                <w:lang w:val="pt-BR" w:bidi="ar-SA"/>
              </w:rPr>
            </w:pPr>
            <w:r>
              <w:rPr>
                <w:rFonts w:cs="Arial"/>
                <w:b/>
                <w:bCs/>
                <w:kern w:val="0"/>
                <w:sz w:val="20"/>
                <w:szCs w:val="20"/>
                <w:lang w:val="pt-BR" w:bidi="ar-SA"/>
              </w:rPr>
              <w:t>Membro</w:t>
            </w:r>
          </w:p>
          <w:p>
            <w:pPr>
              <w:pStyle w:val="Normal"/>
              <w:widowControl/>
              <w:spacing w:lineRule="auto" w:line="240" w:before="0" w:after="0"/>
              <w:ind w:hanging="0" w:right="-114"/>
              <w:jc w:val="center"/>
              <w:rPr>
                <w:rFonts w:ascii="Arial" w:hAnsi="Arial" w:cs="Arial"/>
                <w:b/>
                <w:bCs/>
                <w:kern w:val="0"/>
                <w:sz w:val="20"/>
                <w:szCs w:val="20"/>
                <w:lang w:val="pt-BR" w:bidi="ar-SA"/>
              </w:rPr>
            </w:pPr>
            <w:r>
              <w:rPr>
                <w:rFonts w:cs="Arial"/>
                <w:b/>
                <w:bCs/>
                <w:kern w:val="0"/>
                <w:sz w:val="20"/>
                <w:szCs w:val="20"/>
                <w:lang w:val="pt-BR" w:bidi="ar-SA"/>
              </w:rPr>
              <w:t>Mat.36/1218</w:t>
            </w:r>
          </w:p>
        </w:tc>
      </w:tr>
      <w:tr>
        <w:trPr>
          <w:trHeight w:val="265" w:hRule="atLeast"/>
        </w:trPr>
        <w:tc>
          <w:tcPr>
            <w:tcW w:w="3090" w:type="dxa"/>
            <w:tcBorders/>
          </w:tcPr>
          <w:p>
            <w:pPr>
              <w:pStyle w:val="Normal"/>
              <w:widowControl/>
              <w:spacing w:lineRule="auto" w:line="240" w:before="0" w:after="200"/>
              <w:jc w:val="center"/>
              <w:rPr>
                <w:rFonts w:ascii="Arial" w:hAnsi="Arial" w:cs="Arial"/>
                <w:kern w:val="0"/>
                <w:sz w:val="20"/>
                <w:szCs w:val="20"/>
                <w:lang w:val="pt-BR" w:bidi="ar-SA"/>
              </w:rPr>
            </w:pPr>
            <w:r>
              <w:rPr>
                <w:rFonts w:cs="Arial"/>
                <w:kern w:val="0"/>
                <w:sz w:val="20"/>
                <w:szCs w:val="20"/>
                <w:lang w:val="pt-BR" w:bidi="ar-SA"/>
              </w:rPr>
            </w:r>
          </w:p>
        </w:tc>
        <w:tc>
          <w:tcPr>
            <w:tcW w:w="233" w:type="dxa"/>
            <w:tcBorders/>
          </w:tcPr>
          <w:p>
            <w:pPr>
              <w:pStyle w:val="Normal"/>
              <w:widowControl/>
              <w:spacing w:lineRule="auto" w:line="240" w:before="0" w:after="200"/>
              <w:jc w:val="center"/>
              <w:rPr>
                <w:rFonts w:ascii="Arial" w:hAnsi="Arial" w:cs="Arial"/>
                <w:kern w:val="0"/>
                <w:sz w:val="20"/>
                <w:szCs w:val="20"/>
                <w:lang w:val="pt-BR" w:bidi="ar-SA"/>
              </w:rPr>
            </w:pPr>
            <w:r>
              <w:rPr>
                <w:rFonts w:cs="Arial"/>
                <w:kern w:val="0"/>
                <w:sz w:val="20"/>
                <w:szCs w:val="20"/>
                <w:lang w:val="pt-BR" w:bidi="ar-SA"/>
              </w:rPr>
            </w:r>
          </w:p>
        </w:tc>
        <w:tc>
          <w:tcPr>
            <w:tcW w:w="3096" w:type="dxa"/>
            <w:tcBorders/>
          </w:tcPr>
          <w:p>
            <w:pPr>
              <w:pStyle w:val="Normal"/>
              <w:widowControl/>
              <w:spacing w:lineRule="auto" w:line="240" w:before="0" w:after="200"/>
              <w:jc w:val="center"/>
              <w:rPr>
                <w:rFonts w:ascii="Arial" w:hAnsi="Arial" w:cs="Arial"/>
                <w:kern w:val="0"/>
                <w:sz w:val="20"/>
                <w:szCs w:val="20"/>
                <w:lang w:val="pt-BR" w:bidi="ar-SA"/>
              </w:rPr>
            </w:pPr>
            <w:r>
              <w:rPr>
                <w:rFonts w:cs="Arial"/>
                <w:kern w:val="0"/>
                <w:sz w:val="20"/>
                <w:szCs w:val="20"/>
                <w:lang w:val="pt-BR" w:bidi="ar-SA"/>
              </w:rPr>
            </w:r>
          </w:p>
        </w:tc>
        <w:tc>
          <w:tcPr>
            <w:tcW w:w="236" w:type="dxa"/>
            <w:tcBorders/>
          </w:tcPr>
          <w:p>
            <w:pPr>
              <w:pStyle w:val="Normal"/>
              <w:widowControl/>
              <w:spacing w:lineRule="auto" w:line="240" w:before="0" w:after="200"/>
              <w:ind w:hanging="0" w:right="3160"/>
              <w:jc w:val="center"/>
              <w:rPr>
                <w:rFonts w:ascii="Arial" w:hAnsi="Arial" w:cs="Arial"/>
                <w:kern w:val="0"/>
                <w:sz w:val="20"/>
                <w:szCs w:val="20"/>
                <w:lang w:val="pt-BR" w:bidi="ar-SA"/>
              </w:rPr>
            </w:pPr>
            <w:r>
              <w:rPr>
                <w:rFonts w:cs="Arial"/>
                <w:kern w:val="0"/>
                <w:sz w:val="20"/>
                <w:szCs w:val="20"/>
                <w:lang w:val="pt-BR" w:bidi="ar-SA"/>
              </w:rPr>
            </w:r>
          </w:p>
        </w:tc>
        <w:tc>
          <w:tcPr>
            <w:tcW w:w="239" w:type="dxa"/>
            <w:tcBorders/>
          </w:tcPr>
          <w:p>
            <w:pPr>
              <w:pStyle w:val="Normal"/>
              <w:widowControl/>
              <w:spacing w:lineRule="auto" w:line="240" w:before="0" w:after="200"/>
              <w:ind w:hanging="0" w:right="3160"/>
              <w:jc w:val="center"/>
              <w:rPr>
                <w:rFonts w:ascii="Arial" w:hAnsi="Arial" w:cs="Arial"/>
                <w:kern w:val="0"/>
                <w:sz w:val="20"/>
                <w:szCs w:val="20"/>
                <w:lang w:val="pt-BR" w:bidi="ar-SA"/>
              </w:rPr>
            </w:pPr>
            <w:r>
              <w:rPr>
                <w:rFonts w:cs="Arial"/>
                <w:kern w:val="0"/>
                <w:sz w:val="20"/>
                <w:szCs w:val="20"/>
                <w:lang w:val="pt-BR" w:bidi="ar-SA"/>
              </w:rPr>
            </w:r>
          </w:p>
        </w:tc>
        <w:tc>
          <w:tcPr>
            <w:tcW w:w="2762" w:type="dxa"/>
            <w:tcBorders/>
          </w:tcPr>
          <w:p>
            <w:pPr>
              <w:pStyle w:val="Normal"/>
              <w:widowControl/>
              <w:spacing w:lineRule="auto" w:line="240" w:before="0" w:after="200"/>
              <w:ind w:hanging="0" w:right="-114"/>
              <w:jc w:val="center"/>
              <w:rPr>
                <w:rFonts w:ascii="Arial" w:hAnsi="Arial" w:cs="Arial"/>
                <w:kern w:val="0"/>
                <w:sz w:val="20"/>
                <w:szCs w:val="20"/>
                <w:lang w:val="pt-BR" w:bidi="ar-SA"/>
              </w:rPr>
            </w:pPr>
            <w:r>
              <w:rPr>
                <w:rFonts w:cs="Arial"/>
                <w:kern w:val="0"/>
                <w:sz w:val="20"/>
                <w:szCs w:val="20"/>
                <w:lang w:val="pt-BR" w:bidi="ar-SA"/>
              </w:rPr>
            </w:r>
          </w:p>
        </w:tc>
      </w:tr>
      <w:tr>
        <w:trPr>
          <w:trHeight w:val="265" w:hRule="atLeast"/>
        </w:trPr>
        <w:tc>
          <w:tcPr>
            <w:tcW w:w="3090" w:type="dxa"/>
            <w:tcBorders/>
          </w:tcPr>
          <w:p>
            <w:pPr>
              <w:pStyle w:val="Normal"/>
              <w:widowControl/>
              <w:spacing w:lineRule="auto" w:line="240" w:before="0" w:after="200"/>
              <w:jc w:val="both"/>
              <w:rPr>
                <w:rFonts w:ascii="Arial" w:hAnsi="Arial" w:cs="Arial"/>
                <w:kern w:val="0"/>
                <w:sz w:val="20"/>
                <w:szCs w:val="20"/>
                <w:lang w:val="pt-BR" w:bidi="ar-SA"/>
              </w:rPr>
            </w:pPr>
            <w:r>
              <w:rPr>
                <w:rFonts w:cs="Arial"/>
                <w:kern w:val="0"/>
                <w:sz w:val="20"/>
                <w:szCs w:val="20"/>
                <w:lang w:val="pt-BR" w:bidi="ar-SA"/>
              </w:rPr>
            </w:r>
          </w:p>
        </w:tc>
        <w:tc>
          <w:tcPr>
            <w:tcW w:w="233" w:type="dxa"/>
            <w:tcBorders/>
          </w:tcPr>
          <w:p>
            <w:pPr>
              <w:pStyle w:val="Normal"/>
              <w:widowControl/>
              <w:spacing w:lineRule="auto" w:line="240" w:before="0" w:after="200"/>
              <w:jc w:val="both"/>
              <w:rPr>
                <w:rFonts w:ascii="Arial" w:hAnsi="Arial" w:cs="Arial"/>
                <w:kern w:val="0"/>
                <w:sz w:val="20"/>
                <w:szCs w:val="20"/>
                <w:lang w:val="pt-BR" w:bidi="ar-SA"/>
              </w:rPr>
            </w:pPr>
            <w:r>
              <w:rPr>
                <w:rFonts w:cs="Arial"/>
                <w:kern w:val="0"/>
                <w:sz w:val="20"/>
                <w:szCs w:val="20"/>
                <w:lang w:val="pt-BR" w:bidi="ar-SA"/>
              </w:rPr>
            </w:r>
          </w:p>
        </w:tc>
        <w:tc>
          <w:tcPr>
            <w:tcW w:w="3096" w:type="dxa"/>
            <w:tcBorders/>
          </w:tcPr>
          <w:p>
            <w:pPr>
              <w:pStyle w:val="Normal"/>
              <w:widowControl/>
              <w:spacing w:lineRule="auto" w:line="240" w:before="0" w:after="200"/>
              <w:jc w:val="both"/>
              <w:rPr>
                <w:rFonts w:ascii="Arial" w:hAnsi="Arial" w:cs="Arial"/>
                <w:kern w:val="0"/>
                <w:sz w:val="20"/>
                <w:szCs w:val="20"/>
                <w:lang w:val="pt-BR" w:bidi="ar-SA"/>
              </w:rPr>
            </w:pPr>
            <w:r>
              <w:rPr>
                <w:rFonts w:cs="Arial"/>
                <w:kern w:val="0"/>
                <w:sz w:val="20"/>
                <w:szCs w:val="20"/>
                <w:lang w:val="pt-BR" w:bidi="ar-SA"/>
              </w:rPr>
            </w:r>
          </w:p>
        </w:tc>
        <w:tc>
          <w:tcPr>
            <w:tcW w:w="236" w:type="dxa"/>
            <w:tcBorders/>
          </w:tcPr>
          <w:p>
            <w:pPr>
              <w:pStyle w:val="Normal"/>
              <w:widowControl/>
              <w:spacing w:lineRule="auto" w:line="240" w:before="0" w:after="200"/>
              <w:ind w:hanging="0" w:right="3160"/>
              <w:jc w:val="both"/>
              <w:rPr>
                <w:rFonts w:ascii="Arial" w:hAnsi="Arial" w:cs="Arial"/>
                <w:kern w:val="0"/>
                <w:sz w:val="20"/>
                <w:szCs w:val="20"/>
                <w:lang w:val="pt-BR" w:bidi="ar-SA"/>
              </w:rPr>
            </w:pPr>
            <w:r>
              <w:rPr>
                <w:rFonts w:cs="Arial"/>
                <w:kern w:val="0"/>
                <w:sz w:val="20"/>
                <w:szCs w:val="20"/>
                <w:lang w:val="pt-BR" w:bidi="ar-SA"/>
              </w:rPr>
            </w:r>
          </w:p>
        </w:tc>
        <w:tc>
          <w:tcPr>
            <w:tcW w:w="239" w:type="dxa"/>
            <w:tcBorders/>
          </w:tcPr>
          <w:p>
            <w:pPr>
              <w:pStyle w:val="Normal"/>
              <w:widowControl/>
              <w:spacing w:lineRule="auto" w:line="240" w:before="0" w:after="200"/>
              <w:ind w:hanging="0" w:right="3160"/>
              <w:jc w:val="both"/>
              <w:rPr>
                <w:rFonts w:ascii="Arial" w:hAnsi="Arial" w:cs="Arial"/>
                <w:kern w:val="0"/>
                <w:sz w:val="20"/>
                <w:szCs w:val="20"/>
                <w:lang w:val="pt-BR" w:bidi="ar-SA"/>
              </w:rPr>
            </w:pPr>
            <w:r>
              <w:rPr>
                <w:rFonts w:cs="Arial"/>
                <w:kern w:val="0"/>
                <w:sz w:val="20"/>
                <w:szCs w:val="20"/>
                <w:lang w:val="pt-BR" w:bidi="ar-SA"/>
              </w:rPr>
            </w:r>
          </w:p>
        </w:tc>
        <w:tc>
          <w:tcPr>
            <w:tcW w:w="2762" w:type="dxa"/>
            <w:tcBorders/>
          </w:tcPr>
          <w:p>
            <w:pPr>
              <w:pStyle w:val="Normal"/>
              <w:widowControl/>
              <w:spacing w:lineRule="auto" w:line="240" w:before="0" w:after="200"/>
              <w:ind w:hanging="0" w:right="-114"/>
              <w:jc w:val="both"/>
              <w:rPr>
                <w:rFonts w:ascii="Arial" w:hAnsi="Arial" w:cs="Arial"/>
                <w:kern w:val="0"/>
                <w:sz w:val="20"/>
                <w:szCs w:val="20"/>
                <w:lang w:val="pt-BR" w:bidi="ar-SA"/>
              </w:rPr>
            </w:pPr>
            <w:r>
              <w:rPr>
                <w:rFonts w:cs="Arial"/>
                <w:kern w:val="0"/>
                <w:sz w:val="20"/>
                <w:szCs w:val="20"/>
                <w:lang w:val="pt-BR" w:bidi="ar-SA"/>
              </w:rPr>
            </w:r>
          </w:p>
        </w:tc>
      </w:tr>
    </w:tbl>
    <w:p>
      <w:pPr>
        <w:pStyle w:val="Normal"/>
        <w:spacing w:lineRule="auto" w:line="240"/>
        <w:rPr>
          <w:rFonts w:ascii="Arial" w:hAnsi="Arial" w:cs="Arial"/>
          <w:sz w:val="20"/>
          <w:szCs w:val="20"/>
        </w:rPr>
      </w:pPr>
      <w:r>
        <w:rPr>
          <w:rFonts w:cs="Arial"/>
          <w:sz w:val="20"/>
          <w:szCs w:val="20"/>
        </w:rPr>
      </w:r>
    </w:p>
    <w:p>
      <w:pPr>
        <w:pStyle w:val="Normal"/>
        <w:spacing w:lineRule="auto" w:line="240"/>
        <w:rPr>
          <w:rFonts w:ascii="Arial" w:hAnsi="Arial" w:cs="Arial"/>
          <w:sz w:val="20"/>
          <w:szCs w:val="20"/>
        </w:rPr>
      </w:pPr>
      <w:r>
        <w:rPr>
          <w:rFonts w:cs="Arial"/>
          <w:sz w:val="20"/>
          <w:szCs w:val="20"/>
        </w:rPr>
      </w:r>
    </w:p>
    <w:p>
      <w:pPr>
        <w:pStyle w:val="Normal"/>
        <w:spacing w:lineRule="auto" w:line="240"/>
        <w:rPr>
          <w:rFonts w:ascii="Arial" w:hAnsi="Arial"/>
          <w:sz w:val="20"/>
          <w:szCs w:val="20"/>
        </w:rPr>
      </w:pPr>
      <w:r>
        <w:rPr>
          <w:rFonts w:cs="Arial"/>
          <w:bCs/>
          <w:sz w:val="20"/>
          <w:szCs w:val="20"/>
        </w:rPr>
        <w:t>1.  Ciente;</w:t>
      </w:r>
    </w:p>
    <w:p>
      <w:pPr>
        <w:pStyle w:val="Normal"/>
        <w:spacing w:lineRule="auto" w:line="240"/>
        <w:rPr>
          <w:rFonts w:ascii="Arial" w:hAnsi="Arial"/>
          <w:sz w:val="20"/>
          <w:szCs w:val="20"/>
        </w:rPr>
      </w:pPr>
      <w:r>
        <w:rPr>
          <w:rFonts w:cs="Arial"/>
          <w:bCs/>
          <w:sz w:val="20"/>
          <w:szCs w:val="20"/>
        </w:rPr>
        <w:t>2. De acordo:</w:t>
      </w:r>
    </w:p>
    <w:p>
      <w:pPr>
        <w:pStyle w:val="Normal"/>
        <w:spacing w:lineRule="auto" w:line="240"/>
        <w:rPr>
          <w:rFonts w:ascii="Arial" w:hAnsi="Arial" w:cs="Arial"/>
          <w:sz w:val="20"/>
          <w:szCs w:val="20"/>
        </w:rPr>
      </w:pPr>
      <w:r>
        <w:rPr>
          <w:rFonts w:cs="Arial"/>
          <w:sz w:val="20"/>
          <w:szCs w:val="20"/>
        </w:rPr>
      </w:r>
    </w:p>
    <w:p>
      <w:pPr>
        <w:pStyle w:val="Normal"/>
        <w:spacing w:lineRule="auto" w:line="240" w:before="0" w:after="0"/>
        <w:rPr>
          <w:rFonts w:ascii="Arial" w:hAnsi="Arial"/>
          <w:sz w:val="20"/>
          <w:szCs w:val="20"/>
        </w:rPr>
      </w:pPr>
      <w:r>
        <w:rPr>
          <w:rFonts w:cs="Arial"/>
          <w:b/>
          <w:bCs/>
          <w:sz w:val="20"/>
          <w:szCs w:val="20"/>
        </w:rPr>
        <w:t>___________________________</w:t>
      </w:r>
    </w:p>
    <w:p>
      <w:pPr>
        <w:pStyle w:val="Normal"/>
        <w:spacing w:lineRule="auto" w:line="240" w:before="0" w:after="0"/>
        <w:jc w:val="both"/>
        <w:rPr>
          <w:rFonts w:ascii="Arial" w:hAnsi="Arial"/>
          <w:sz w:val="20"/>
          <w:szCs w:val="20"/>
        </w:rPr>
      </w:pPr>
      <w:r>
        <w:rPr>
          <w:rFonts w:cs="Arial"/>
          <w:b/>
          <w:bCs/>
          <w:sz w:val="20"/>
          <w:szCs w:val="20"/>
        </w:rPr>
        <w:t>Ayrton José Lucas de Souza</w:t>
      </w:r>
    </w:p>
    <w:p>
      <w:pPr>
        <w:pStyle w:val="Normal"/>
        <w:spacing w:lineRule="auto" w:line="240" w:before="0" w:after="0"/>
        <w:jc w:val="both"/>
        <w:rPr>
          <w:rFonts w:ascii="Arial" w:hAnsi="Arial"/>
          <w:sz w:val="20"/>
          <w:szCs w:val="20"/>
        </w:rPr>
      </w:pPr>
      <w:r>
        <w:rPr>
          <w:rFonts w:cs="Arial"/>
          <w:b/>
          <w:bCs/>
          <w:sz w:val="20"/>
          <w:szCs w:val="20"/>
        </w:rPr>
        <w:t xml:space="preserve">Secretário de Segurança e Ordem Pública </w:t>
      </w:r>
    </w:p>
    <w:p>
      <w:pPr>
        <w:pStyle w:val="Normal"/>
        <w:spacing w:lineRule="auto" w:line="240" w:before="0" w:after="0"/>
        <w:jc w:val="both"/>
        <w:rPr>
          <w:rFonts w:ascii="Arial" w:hAnsi="Arial"/>
          <w:sz w:val="20"/>
          <w:szCs w:val="20"/>
        </w:rPr>
      </w:pPr>
      <w:r>
        <w:rPr>
          <w:rFonts w:cs="Arial"/>
          <w:b/>
          <w:bCs/>
          <w:sz w:val="20"/>
          <w:szCs w:val="20"/>
        </w:rPr>
        <w:t>Mat. 15.732</w:t>
      </w:r>
    </w:p>
    <w:p>
      <w:pPr>
        <w:pStyle w:val="Textbody1"/>
        <w:spacing w:lineRule="auto" w:line="240" w:before="0" w:after="150"/>
        <w:jc w:val="center"/>
        <w:rPr>
          <w:rFonts w:ascii="Arial" w:hAnsi="Arial"/>
          <w:sz w:val="20"/>
          <w:szCs w:val="20"/>
        </w:rPr>
      </w:pPr>
      <w:r>
        <w:rPr>
          <w:rFonts w:cs="Times New Roman"/>
          <w:b/>
          <w:bCs/>
          <w:color w:val="000000"/>
          <w:sz w:val="20"/>
          <w:szCs w:val="20"/>
        </w:rPr>
        <w:t xml:space="preserve">                                                                                                                                                                                                                                                                                                                                                                                                                                                                           </w:t>
      </w:r>
    </w:p>
    <w:p>
      <w:pPr>
        <w:pStyle w:val="Normal"/>
        <w:spacing w:lineRule="auto" w:line="240"/>
        <w:rPr>
          <w:rFonts w:ascii="Arial" w:hAnsi="Arial"/>
          <w:sz w:val="20"/>
          <w:szCs w:val="20"/>
        </w:rPr>
      </w:pPr>
      <w:r>
        <w:rPr>
          <w:sz w:val="20"/>
          <w:szCs w:val="20"/>
        </w:rPr>
      </w:r>
    </w:p>
    <w:p>
      <w:pPr>
        <w:pStyle w:val="Normal"/>
        <w:spacing w:lineRule="auto" w:line="360"/>
        <w:rPr/>
      </w:pPr>
      <w:r>
        <w:rPr/>
      </w:r>
    </w:p>
    <w:p>
      <w:pPr>
        <w:pStyle w:val="Normal"/>
        <w:spacing w:lineRule="auto" w:line="360"/>
        <w:rPr/>
      </w:pPr>
      <w:r>
        <w:rPr/>
      </w:r>
    </w:p>
    <w:p>
      <w:pPr>
        <w:pStyle w:val="Normal"/>
        <w:spacing w:lineRule="auto" w:line="360"/>
        <w:rPr/>
      </w:pPr>
      <w:r>
        <w:rPr/>
      </w:r>
    </w:p>
    <w:p>
      <w:pPr>
        <w:pStyle w:val="Normal"/>
        <w:spacing w:lineRule="auto" w:line="360"/>
        <w:rPr/>
      </w:pPr>
      <w:r>
        <w:rPr/>
      </w:r>
    </w:p>
    <w:p>
      <w:pPr>
        <w:pStyle w:val="Normal"/>
        <w:spacing w:lineRule="auto" w:line="360"/>
        <w:rPr/>
      </w:pPr>
      <w:r>
        <w:rPr/>
      </w:r>
    </w:p>
    <w:p>
      <w:pPr>
        <w:pStyle w:val="Normal"/>
        <w:spacing w:lineRule="auto" w:line="360"/>
        <w:rPr/>
      </w:pPr>
      <w:r>
        <w:rPr/>
      </w:r>
    </w:p>
    <w:p>
      <w:pPr>
        <w:pStyle w:val="Normal"/>
        <w:spacing w:lineRule="auto" w:line="360"/>
        <w:rPr/>
      </w:pPr>
      <w:r>
        <w:rPr/>
      </w:r>
    </w:p>
    <w:p>
      <w:pPr>
        <w:pStyle w:val="LO-normal"/>
        <w:jc w:val="center"/>
        <w:rPr>
          <w:u w:val="single"/>
        </w:rPr>
      </w:pPr>
      <w:r>
        <w:rPr>
          <w:b/>
          <w:u w:val="single"/>
        </w:rPr>
        <w:t>ANEXO IV</w:t>
      </w:r>
    </w:p>
    <w:p>
      <w:pPr>
        <w:pStyle w:val="LO-normal"/>
        <w:jc w:val="center"/>
        <w:rPr>
          <w:color w:val="000000"/>
        </w:rPr>
      </w:pPr>
      <w:r>
        <w:rPr>
          <w:color w:val="000000"/>
        </w:rPr>
      </w:r>
    </w:p>
    <w:p>
      <w:pPr>
        <w:pStyle w:val="LO-normal"/>
        <w:jc w:val="center"/>
        <w:rPr>
          <w:highlight w:val="none"/>
          <w:shd w:fill="auto" w:val="clear"/>
        </w:rPr>
      </w:pPr>
      <w:r>
        <w:rPr>
          <w:b/>
          <w:bCs/>
          <w:color w:val="000000"/>
          <w:u w:val="single"/>
          <w:shd w:fill="auto" w:val="clear"/>
        </w:rPr>
        <w:t>MODELO DA PROPOSTA</w:t>
      </w:r>
    </w:p>
    <w:p>
      <w:pPr>
        <w:pStyle w:val="LO-normal"/>
        <w:jc w:val="center"/>
        <w:rPr>
          <w:u w:val="single"/>
        </w:rPr>
      </w:pPr>
      <w:r>
        <w:rPr>
          <w:u w:val="single"/>
        </w:rPr>
      </w:r>
    </w:p>
    <w:p>
      <w:pPr>
        <w:pStyle w:val="LO-normal"/>
        <w:jc w:val="center"/>
        <w:rPr>
          <w:color w:val="000000"/>
        </w:rPr>
      </w:pPr>
      <w:r>
        <w:rPr>
          <w:color w:val="000000"/>
        </w:rPr>
      </w:r>
    </w:p>
    <w:tbl>
      <w:tblPr>
        <w:tblW w:w="10935" w:type="dxa"/>
        <w:jc w:val="left"/>
        <w:tblInd w:w="55" w:type="dxa"/>
        <w:tblLayout w:type="fixed"/>
        <w:tblCellMar>
          <w:top w:w="55" w:type="dxa"/>
          <w:left w:w="55" w:type="dxa"/>
          <w:bottom w:w="55" w:type="dxa"/>
          <w:right w:w="55" w:type="dxa"/>
        </w:tblCellMar>
        <w:tblLook w:firstRow="1" w:noVBand="1" w:lastRow="0" w:firstColumn="1" w:lastColumn="0" w:noHBand="0" w:val="04a0"/>
      </w:tblPr>
      <w:tblGrid>
        <w:gridCol w:w="10935"/>
      </w:tblGrid>
      <w:tr>
        <w:trPr/>
        <w:tc>
          <w:tcPr>
            <w:tcW w:w="10935" w:type="dxa"/>
            <w:tcBorders>
              <w:top w:val="single" w:sz="2" w:space="0" w:color="000000"/>
              <w:left w:val="single" w:sz="2" w:space="0" w:color="000000"/>
              <w:bottom w:val="single" w:sz="2" w:space="0" w:color="000000"/>
              <w:right w:val="single" w:sz="2" w:space="0" w:color="000000"/>
            </w:tcBorders>
          </w:tcPr>
          <w:p>
            <w:pPr>
              <w:pStyle w:val="LO-normal"/>
              <w:widowControl w:val="false"/>
              <w:spacing w:lineRule="auto" w:line="276" w:before="120" w:after="120"/>
              <w:jc w:val="both"/>
              <w:rPr>
                <w:b/>
                <w:bCs/>
                <w:color w:val="000000"/>
              </w:rPr>
            </w:pPr>
            <w:r>
              <w:rPr>
                <w:b/>
                <w:bCs/>
                <w:color w:val="000000"/>
              </w:rPr>
              <w:t xml:space="preserve">OBJETO: </w:t>
            </w:r>
            <w:r>
              <w:rPr>
                <w:b w:val="false"/>
                <w:bCs w:val="false"/>
                <w:color w:val="000000"/>
              </w:rPr>
              <w:t xml:space="preserve"> </w:t>
            </w:r>
            <w:r>
              <w:rPr>
                <w:rFonts w:eastAsia="Arial" w:cs="Arial"/>
                <w:b/>
                <w:bCs/>
                <w:color w:val="000000"/>
                <w:kern w:val="0"/>
                <w:sz w:val="20"/>
                <w:szCs w:val="20"/>
                <w:lang w:val="pt-BR" w:eastAsia="zh-CN" w:bidi="hi-IN"/>
              </w:rPr>
              <w:t>PRESTAÇÃO DE SERVIÇOS LOCAÇÃO DE VEÍCULOS-PROEIS</w:t>
            </w:r>
          </w:p>
        </w:tc>
      </w:tr>
    </w:tbl>
    <w:p>
      <w:pPr>
        <w:pStyle w:val="LO-normal"/>
        <w:rPr>
          <w:color w:val="000000"/>
        </w:rPr>
      </w:pPr>
      <w:r>
        <w:rPr>
          <w:color w:val="000000"/>
        </w:rPr>
      </w:r>
    </w:p>
    <w:p>
      <w:pPr>
        <w:pStyle w:val="LO-normal"/>
        <w:widowControl/>
        <w:suppressAutoHyphens w:val="true"/>
        <w:bidi w:val="0"/>
        <w:spacing w:before="0" w:after="0"/>
        <w:ind w:hanging="0" w:left="0" w:right="113"/>
        <w:jc w:val="both"/>
        <w:rPr/>
      </w:pPr>
      <w:r>
        <w:rPr>
          <w:color w:val="000000"/>
        </w:rPr>
        <w:t xml:space="preserve">Proposta que faz a empresa__________________________ para </w:t>
      </w:r>
      <w:r>
        <w:rPr>
          <w:rFonts w:eastAsia="Arial" w:cs="Arial"/>
          <w:b w:val="false"/>
          <w:bCs w:val="false"/>
          <w:color w:val="000000"/>
          <w:kern w:val="0"/>
          <w:sz w:val="20"/>
          <w:szCs w:val="20"/>
          <w:lang w:val="pt-BR" w:eastAsia="zh-CN" w:bidi="hi-IN"/>
        </w:rPr>
        <w:t xml:space="preserve"> </w:t>
      </w:r>
      <w:r>
        <w:rPr>
          <w:rFonts w:eastAsia="Arial" w:cs="Arial"/>
          <w:b/>
          <w:bCs/>
          <w:color w:val="000000"/>
          <w:kern w:val="0"/>
          <w:sz w:val="20"/>
          <w:szCs w:val="20"/>
          <w:lang w:val="pt-BR" w:eastAsia="zh-CN" w:bidi="hi-IN"/>
        </w:rPr>
        <w:t>PRESTAÇÃO DE SERVIÇOS LOCAÇÃO DE VEÍCULOS-PROEIS</w:t>
      </w:r>
      <w:r>
        <w:rPr>
          <w:b/>
          <w:bCs/>
          <w:color w:val="000000"/>
        </w:rPr>
        <w:t xml:space="preserve">, </w:t>
      </w:r>
      <w:r>
        <w:rPr>
          <w:color w:val="000000"/>
        </w:rPr>
        <w:t>conforme tabela abaixo:</w:t>
      </w:r>
    </w:p>
    <w:p>
      <w:pPr>
        <w:pStyle w:val="LO-normal"/>
        <w:widowControl/>
        <w:suppressAutoHyphens w:val="true"/>
        <w:bidi w:val="0"/>
        <w:spacing w:before="0" w:after="0"/>
        <w:ind w:hanging="0" w:left="0" w:right="113"/>
        <w:jc w:val="both"/>
        <w:rPr>
          <w:color w:val="000000"/>
        </w:rPr>
      </w:pPr>
      <w:r>
        <w:rPr>
          <w:color w:val="000000"/>
        </w:rPr>
      </w:r>
    </w:p>
    <w:p>
      <w:pPr>
        <w:pStyle w:val="LO-normal"/>
        <w:widowControl/>
        <w:suppressAutoHyphens w:val="true"/>
        <w:bidi w:val="0"/>
        <w:spacing w:before="0" w:after="0"/>
        <w:ind w:hanging="0" w:left="0" w:right="113"/>
        <w:jc w:val="both"/>
        <w:rPr>
          <w:color w:val="000000"/>
        </w:rPr>
      </w:pPr>
      <w:r>
        <w:rPr>
          <w:color w:val="000000"/>
        </w:rPr>
      </w:r>
    </w:p>
    <w:p>
      <w:pPr>
        <w:pStyle w:val="LO-normal"/>
        <w:jc w:val="center"/>
        <w:rPr>
          <w:b/>
          <w:bCs/>
          <w:color w:val="000000"/>
        </w:rPr>
      </w:pPr>
      <w:r>
        <w:rPr>
          <w:b/>
          <w:bCs/>
          <w:color w:val="000000"/>
        </w:rPr>
        <w:t>PLANILHA DE FORMAÇÃO DE PREÇO</w:t>
      </w:r>
    </w:p>
    <w:p>
      <w:pPr>
        <w:pStyle w:val="LO-normal"/>
        <w:rPr>
          <w:b/>
          <w:bCs/>
          <w:color w:val="000000"/>
        </w:rPr>
      </w:pPr>
      <w:r>
        <w:rPr>
          <w:b/>
          <w:bCs/>
          <w:color w:val="000000"/>
        </w:rPr>
      </w:r>
    </w:p>
    <w:tbl>
      <w:tblPr>
        <w:tblW w:w="10935" w:type="dxa"/>
        <w:jc w:val="left"/>
        <w:tblInd w:w="93" w:type="dxa"/>
        <w:tblLayout w:type="fixed"/>
        <w:tblCellMar>
          <w:top w:w="0" w:type="dxa"/>
          <w:left w:w="108" w:type="dxa"/>
          <w:bottom w:w="0" w:type="dxa"/>
          <w:right w:w="108" w:type="dxa"/>
        </w:tblCellMar>
        <w:tblLook w:firstRow="0" w:noVBand="1" w:lastRow="0" w:firstColumn="0" w:lastColumn="0" w:noHBand="0" w:val="0400"/>
      </w:tblPr>
      <w:tblGrid>
        <w:gridCol w:w="854"/>
        <w:gridCol w:w="4471"/>
        <w:gridCol w:w="1140"/>
        <w:gridCol w:w="1022"/>
        <w:gridCol w:w="1920"/>
        <w:gridCol w:w="1527"/>
      </w:tblGrid>
      <w:tr>
        <w:trPr/>
        <w:tc>
          <w:tcPr>
            <w:tcW w:w="854"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color w:val="000000"/>
                <w:sz w:val="20"/>
                <w:szCs w:val="20"/>
              </w:rPr>
            </w:pPr>
            <w:r>
              <w:rPr>
                <w:b/>
                <w:color w:val="000000"/>
                <w:sz w:val="20"/>
                <w:szCs w:val="20"/>
              </w:rPr>
            </w:r>
          </w:p>
          <w:p>
            <w:pPr>
              <w:pStyle w:val="LO-normal"/>
              <w:widowControl w:val="false"/>
              <w:jc w:val="center"/>
              <w:rPr>
                <w:b/>
                <w:color w:val="000000"/>
                <w:sz w:val="20"/>
                <w:szCs w:val="20"/>
              </w:rPr>
            </w:pPr>
            <w:r>
              <w:rPr>
                <w:b/>
                <w:color w:val="000000"/>
                <w:sz w:val="20"/>
                <w:szCs w:val="20"/>
              </w:rPr>
              <w:t>ITEM</w:t>
            </w:r>
          </w:p>
          <w:p>
            <w:pPr>
              <w:pStyle w:val="LO-normal"/>
              <w:widowControl w:val="false"/>
              <w:jc w:val="center"/>
              <w:rPr>
                <w:b/>
                <w:color w:val="000000"/>
                <w:sz w:val="20"/>
                <w:szCs w:val="20"/>
              </w:rPr>
            </w:pPr>
            <w:r>
              <w:rPr>
                <w:b/>
                <w:color w:val="000000"/>
                <w:sz w:val="20"/>
                <w:szCs w:val="20"/>
              </w:rPr>
            </w:r>
          </w:p>
        </w:tc>
        <w:tc>
          <w:tcPr>
            <w:tcW w:w="4471"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color w:val="000000"/>
                <w:sz w:val="20"/>
                <w:szCs w:val="20"/>
              </w:rPr>
            </w:pPr>
            <w:r>
              <w:rPr>
                <w:b/>
                <w:color w:val="000000"/>
                <w:sz w:val="20"/>
                <w:szCs w:val="20"/>
              </w:rPr>
            </w:r>
          </w:p>
          <w:p>
            <w:pPr>
              <w:pStyle w:val="LO-normal"/>
              <w:widowControl w:val="false"/>
              <w:jc w:val="center"/>
              <w:rPr>
                <w:b/>
                <w:color w:val="000000"/>
                <w:sz w:val="20"/>
                <w:szCs w:val="20"/>
              </w:rPr>
            </w:pPr>
            <w:r>
              <w:rPr>
                <w:b/>
                <w:color w:val="000000"/>
                <w:sz w:val="20"/>
                <w:szCs w:val="20"/>
              </w:rPr>
              <w:t>DESCRIÇÃO</w:t>
            </w:r>
          </w:p>
          <w:p>
            <w:pPr>
              <w:pStyle w:val="LO-normal"/>
              <w:widowControl w:val="false"/>
              <w:jc w:val="center"/>
              <w:rPr>
                <w:color w:val="000000"/>
                <w:sz w:val="20"/>
                <w:szCs w:val="20"/>
              </w:rPr>
            </w:pPr>
            <w:r>
              <w:rPr>
                <w:color w:val="000000"/>
                <w:sz w:val="20"/>
                <w:szCs w:val="20"/>
              </w:rPr>
            </w:r>
          </w:p>
        </w:tc>
        <w:tc>
          <w:tcPr>
            <w:tcW w:w="114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20"/>
                <w:szCs w:val="20"/>
              </w:rPr>
            </w:pPr>
            <w:r>
              <w:rPr>
                <w:b/>
                <w:color w:val="000000"/>
                <w:sz w:val="20"/>
                <w:szCs w:val="20"/>
              </w:rPr>
              <w:t>UNID.</w:t>
            </w:r>
          </w:p>
        </w:tc>
        <w:tc>
          <w:tcPr>
            <w:tcW w:w="1022"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20"/>
                <w:szCs w:val="20"/>
              </w:rPr>
            </w:pPr>
            <w:r>
              <w:rPr>
                <w:b/>
                <w:color w:val="000000"/>
                <w:sz w:val="20"/>
                <w:szCs w:val="20"/>
              </w:rPr>
              <w:t>QUANT.</w:t>
            </w:r>
          </w:p>
        </w:tc>
        <w:tc>
          <w:tcPr>
            <w:tcW w:w="1920"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LO-normal"/>
              <w:widowControl w:val="false"/>
              <w:jc w:val="center"/>
              <w:rPr>
                <w:b/>
                <w:color w:val="000000"/>
                <w:sz w:val="20"/>
                <w:szCs w:val="20"/>
              </w:rPr>
            </w:pPr>
            <w:r>
              <w:rPr>
                <w:rFonts w:eastAsia="Arial" w:cs="Arial"/>
                <w:b/>
                <w:color w:val="000000"/>
                <w:kern w:val="0"/>
                <w:sz w:val="20"/>
                <w:szCs w:val="20"/>
                <w:lang w:val="pt-BR" w:eastAsia="zh-CN" w:bidi="hi-IN"/>
              </w:rPr>
              <w:t>V.</w:t>
            </w:r>
            <w:r>
              <w:rPr>
                <w:b/>
                <w:color w:val="000000"/>
                <w:sz w:val="20"/>
                <w:szCs w:val="20"/>
              </w:rPr>
              <w:t xml:space="preserve"> UNITÁRIO R$</w:t>
            </w:r>
          </w:p>
        </w:tc>
        <w:tc>
          <w:tcPr>
            <w:tcW w:w="15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jc w:val="center"/>
              <w:rPr>
                <w:b/>
                <w:color w:val="000000"/>
                <w:sz w:val="20"/>
                <w:szCs w:val="20"/>
              </w:rPr>
            </w:pPr>
            <w:r>
              <w:rPr>
                <w:b/>
                <w:color w:val="000000"/>
                <w:sz w:val="20"/>
                <w:szCs w:val="20"/>
              </w:rPr>
            </w:r>
          </w:p>
          <w:p>
            <w:pPr>
              <w:pStyle w:val="LO-normal"/>
              <w:widowControl w:val="false"/>
              <w:jc w:val="center"/>
              <w:rPr>
                <w:b/>
                <w:color w:val="000000"/>
                <w:sz w:val="20"/>
                <w:szCs w:val="20"/>
              </w:rPr>
            </w:pPr>
            <w:r>
              <w:rPr>
                <w:rFonts w:eastAsia="Arial" w:cs="Arial"/>
                <w:b/>
                <w:color w:val="000000"/>
                <w:kern w:val="0"/>
                <w:sz w:val="20"/>
                <w:szCs w:val="20"/>
                <w:lang w:val="pt-BR" w:eastAsia="zh-CN" w:bidi="hi-IN"/>
              </w:rPr>
              <w:t>V.</w:t>
            </w:r>
            <w:r>
              <w:rPr>
                <w:b/>
                <w:color w:val="000000"/>
                <w:sz w:val="20"/>
                <w:szCs w:val="20"/>
              </w:rPr>
              <w:t xml:space="preserve"> TOTAL R$</w:t>
            </w:r>
          </w:p>
        </w:tc>
      </w:tr>
      <w:tr>
        <w:trPr>
          <w:trHeight w:val="1040" w:hRule="atLeast"/>
        </w:trPr>
        <w:tc>
          <w:tcPr>
            <w:tcW w:w="854"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color w:val="000000"/>
                <w:sz w:val="20"/>
                <w:szCs w:val="20"/>
              </w:rPr>
            </w:pPr>
            <w:r>
              <w:rPr>
                <w:b/>
                <w:color w:val="000000"/>
                <w:sz w:val="20"/>
                <w:szCs w:val="20"/>
              </w:rPr>
            </w:r>
          </w:p>
          <w:p>
            <w:pPr>
              <w:pStyle w:val="LO-normal"/>
              <w:widowControl w:val="false"/>
              <w:spacing w:lineRule="auto" w:line="276" w:before="0" w:after="120"/>
              <w:jc w:val="center"/>
              <w:rPr>
                <w:b/>
                <w:color w:val="000000"/>
                <w:sz w:val="20"/>
                <w:szCs w:val="20"/>
              </w:rPr>
            </w:pPr>
            <w:r>
              <w:rPr>
                <w:b/>
                <w:color w:val="000000"/>
                <w:sz w:val="20"/>
                <w:szCs w:val="20"/>
              </w:rPr>
              <w:t>1</w:t>
            </w:r>
          </w:p>
        </w:tc>
        <w:tc>
          <w:tcPr>
            <w:tcW w:w="4471" w:type="dxa"/>
            <w:tcBorders>
              <w:top w:val="single" w:sz="4" w:space="0" w:color="000000"/>
              <w:left w:val="single" w:sz="4" w:space="0" w:color="000000"/>
              <w:bottom w:val="single" w:sz="4" w:space="0" w:color="000000"/>
              <w:right w:val="single" w:sz="4" w:space="0" w:color="000000"/>
            </w:tcBorders>
          </w:tcPr>
          <w:p>
            <w:pPr>
              <w:pStyle w:val="LO-normal"/>
              <w:widowControl w:val="false"/>
              <w:suppressAutoHyphens w:val="true"/>
              <w:bidi w:val="0"/>
              <w:spacing w:lineRule="auto" w:line="276" w:before="120" w:after="120"/>
              <w:ind w:hanging="0" w:left="57" w:right="0"/>
              <w:jc w:val="both"/>
              <w:rPr>
                <w:b/>
                <w:color w:val="000000"/>
              </w:rPr>
            </w:pPr>
            <w:r>
              <w:rPr>
                <w:rFonts w:eastAsia="Arial" w:cs="Arial"/>
                <w:b/>
                <w:bCs/>
                <w:color w:val="000000"/>
                <w:kern w:val="0"/>
                <w:sz w:val="20"/>
                <w:szCs w:val="20"/>
                <w:lang w:val="pt-BR" w:eastAsia="zh-CN" w:bidi="hi-IN"/>
              </w:rPr>
              <w:t>Locação de 04 (quatro) veículos tipo passeio, modelo hatch 0 km, freios ABS, airbag duplo, câmbio manual, 4 portas, direção hidráulica elétrica, motor 1.0, ar condicionado, trio elétrico trava, vidro, alarme, km livre, sem motorista, sem combustível, devidamente documentado com seguro total, contendo adesivos da Prefeitura Municipal de Paracambi, Secretaria de Segurança de Ordem Pública e outros a definir pela Administração, com GIROFLEX E SIRENES instalados.</w:t>
            </w:r>
          </w:p>
        </w:tc>
        <w:tc>
          <w:tcPr>
            <w:tcW w:w="1140"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color w:val="000000"/>
                <w:sz w:val="20"/>
                <w:szCs w:val="20"/>
              </w:rPr>
            </w:pPr>
            <w:r>
              <w:rPr>
                <w:b/>
                <w:color w:val="000000"/>
                <w:sz w:val="20"/>
                <w:szCs w:val="20"/>
              </w:rPr>
            </w:r>
          </w:p>
          <w:p>
            <w:pPr>
              <w:pStyle w:val="LO-normal"/>
              <w:widowControl w:val="false"/>
              <w:spacing w:lineRule="auto" w:line="276" w:before="0" w:after="120"/>
              <w:jc w:val="center"/>
              <w:rPr>
                <w:rFonts w:ascii="Arial" w:hAnsi="Arial" w:eastAsia="Arial" w:cs="Arial"/>
                <w:b/>
                <w:color w:val="000000"/>
                <w:kern w:val="0"/>
                <w:sz w:val="20"/>
                <w:szCs w:val="20"/>
                <w:lang w:val="pt-BR" w:eastAsia="zh-CN" w:bidi="hi-IN"/>
              </w:rPr>
            </w:pPr>
            <w:r>
              <w:rPr>
                <w:rFonts w:eastAsia="Arial" w:cs="Arial"/>
                <w:b/>
                <w:color w:val="000000"/>
                <w:kern w:val="0"/>
                <w:sz w:val="20"/>
                <w:szCs w:val="20"/>
                <w:lang w:val="pt-BR" w:eastAsia="zh-CN" w:bidi="hi-IN"/>
              </w:rPr>
              <w:t>MENSAL</w:t>
            </w:r>
          </w:p>
        </w:tc>
        <w:tc>
          <w:tcPr>
            <w:tcW w:w="1022"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color w:val="000000"/>
                <w:sz w:val="20"/>
                <w:szCs w:val="20"/>
              </w:rPr>
            </w:pPr>
            <w:r>
              <w:rPr>
                <w:b/>
                <w:color w:val="000000"/>
                <w:sz w:val="20"/>
                <w:szCs w:val="20"/>
              </w:rPr>
            </w:r>
          </w:p>
          <w:p>
            <w:pPr>
              <w:pStyle w:val="LO-normal"/>
              <w:widowControl w:val="false"/>
              <w:spacing w:lineRule="auto" w:line="276" w:before="0" w:after="120"/>
              <w:jc w:val="center"/>
              <w:rPr>
                <w:rFonts w:ascii="Arial" w:hAnsi="Arial" w:eastAsia="Arial" w:cs="Arial"/>
                <w:b/>
                <w:color w:val="000000"/>
                <w:kern w:val="0"/>
                <w:sz w:val="20"/>
                <w:szCs w:val="20"/>
                <w:lang w:val="pt-BR" w:eastAsia="zh-CN" w:bidi="hi-IN"/>
              </w:rPr>
            </w:pPr>
            <w:r>
              <w:rPr>
                <w:rFonts w:eastAsia="Arial" w:cs="Arial"/>
                <w:b/>
                <w:color w:val="000000"/>
                <w:kern w:val="0"/>
                <w:sz w:val="20"/>
                <w:szCs w:val="20"/>
                <w:lang w:val="pt-BR" w:eastAsia="zh-CN" w:bidi="hi-IN"/>
              </w:rPr>
              <w:t>4</w:t>
            </w:r>
          </w:p>
        </w:tc>
        <w:tc>
          <w:tcPr>
            <w:tcW w:w="1920"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color w:val="000000"/>
                <w:sz w:val="20"/>
                <w:szCs w:val="20"/>
                <w:shd w:fill="FFFF00" w:val="clear"/>
              </w:rPr>
            </w:pPr>
            <w:r>
              <w:rPr>
                <w:b/>
                <w:color w:val="000000"/>
                <w:sz w:val="20"/>
                <w:szCs w:val="20"/>
                <w:shd w:fill="FFFF00" w:val="clear"/>
              </w:rPr>
            </w:r>
          </w:p>
          <w:p>
            <w:pPr>
              <w:pStyle w:val="LO-normal"/>
              <w:widowControl w:val="false"/>
              <w:spacing w:lineRule="auto" w:line="276" w:before="0" w:after="120"/>
              <w:rPr/>
            </w:pPr>
            <w:r>
              <w:rPr/>
            </w:r>
          </w:p>
        </w:tc>
        <w:tc>
          <w:tcPr>
            <w:tcW w:w="15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pPr>
            <w:r>
              <w:rPr/>
            </w:r>
          </w:p>
        </w:tc>
      </w:tr>
      <w:tr>
        <w:trPr/>
        <w:tc>
          <w:tcPr>
            <w:tcW w:w="854" w:type="dxa"/>
            <w:tcBorders>
              <w:top w:val="single" w:sz="4" w:space="0" w:color="000000"/>
            </w:tcBorders>
          </w:tcPr>
          <w:p>
            <w:pPr>
              <w:pStyle w:val="LO-normal"/>
              <w:widowControl w:val="false"/>
              <w:spacing w:lineRule="auto" w:line="276" w:before="0" w:after="120"/>
              <w:jc w:val="center"/>
              <w:rPr>
                <w:b/>
                <w:color w:val="000000"/>
                <w:sz w:val="16"/>
                <w:szCs w:val="16"/>
              </w:rPr>
            </w:pPr>
            <w:r>
              <w:rPr>
                <w:b/>
                <w:color w:val="000000"/>
                <w:sz w:val="16"/>
                <w:szCs w:val="16"/>
              </w:rPr>
            </w:r>
          </w:p>
        </w:tc>
        <w:tc>
          <w:tcPr>
            <w:tcW w:w="4471" w:type="dxa"/>
            <w:tcBorders>
              <w:top w:val="single" w:sz="4" w:space="0" w:color="000000"/>
            </w:tcBorders>
          </w:tcPr>
          <w:p>
            <w:pPr>
              <w:pStyle w:val="LO-normal"/>
              <w:widowControl w:val="false"/>
              <w:spacing w:lineRule="auto" w:line="276" w:before="0" w:after="120"/>
              <w:rPr>
                <w:color w:val="000000"/>
                <w:sz w:val="16"/>
                <w:szCs w:val="16"/>
              </w:rPr>
            </w:pPr>
            <w:r>
              <w:rPr>
                <w:color w:val="000000"/>
                <w:sz w:val="16"/>
                <w:szCs w:val="16"/>
              </w:rPr>
            </w:r>
          </w:p>
        </w:tc>
        <w:tc>
          <w:tcPr>
            <w:tcW w:w="1140" w:type="dxa"/>
            <w:tcBorders>
              <w:top w:val="single" w:sz="4" w:space="0" w:color="000000"/>
            </w:tcBorders>
          </w:tcPr>
          <w:p>
            <w:pPr>
              <w:pStyle w:val="LO-normal"/>
              <w:widowControl w:val="false"/>
              <w:spacing w:lineRule="auto" w:line="276" w:before="0" w:after="120"/>
              <w:jc w:val="center"/>
              <w:rPr>
                <w:color w:val="000000"/>
                <w:sz w:val="16"/>
                <w:szCs w:val="16"/>
              </w:rPr>
            </w:pPr>
            <w:r>
              <w:rPr>
                <w:color w:val="000000"/>
                <w:sz w:val="16"/>
                <w:szCs w:val="16"/>
              </w:rPr>
            </w:r>
          </w:p>
        </w:tc>
        <w:tc>
          <w:tcPr>
            <w:tcW w:w="1022" w:type="dxa"/>
            <w:tcBorders>
              <w:top w:val="single" w:sz="4" w:space="0" w:color="000000"/>
            </w:tcBorders>
          </w:tcPr>
          <w:p>
            <w:pPr>
              <w:pStyle w:val="LO-normal"/>
              <w:widowControl w:val="false"/>
              <w:spacing w:lineRule="auto" w:line="276" w:before="0" w:after="120"/>
              <w:jc w:val="center"/>
              <w:rPr>
                <w:color w:val="000000"/>
                <w:sz w:val="16"/>
                <w:szCs w:val="16"/>
              </w:rPr>
            </w:pPr>
            <w:r>
              <w:rPr>
                <w:color w:val="000000"/>
                <w:sz w:val="16"/>
                <w:szCs w:val="16"/>
              </w:rPr>
            </w:r>
          </w:p>
        </w:tc>
        <w:tc>
          <w:tcPr>
            <w:tcW w:w="1920"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bCs/>
                <w:color w:val="000000"/>
                <w:highlight w:val="none"/>
                <w:shd w:fill="auto" w:val="clear"/>
              </w:rPr>
            </w:pPr>
            <w:r>
              <w:rPr>
                <w:b/>
                <w:bCs/>
                <w:color w:val="000000"/>
                <w:shd w:fill="auto" w:val="clear"/>
              </w:rPr>
            </w:r>
          </w:p>
          <w:p>
            <w:pPr>
              <w:pStyle w:val="LO-normal"/>
              <w:widowControl w:val="false"/>
              <w:spacing w:lineRule="auto" w:line="276" w:before="0" w:after="120"/>
              <w:rPr>
                <w:b/>
                <w:bCs/>
                <w:color w:val="000000"/>
                <w:highlight w:val="none"/>
                <w:shd w:fill="auto" w:val="clear"/>
              </w:rPr>
            </w:pPr>
            <w:r>
              <w:rPr>
                <w:b/>
                <w:bCs/>
                <w:color w:val="000000"/>
                <w:shd w:fill="auto" w:val="clear"/>
              </w:rPr>
              <w:t>TOTAL GERAL</w:t>
            </w:r>
          </w:p>
        </w:tc>
        <w:tc>
          <w:tcPr>
            <w:tcW w:w="1527"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b/>
                <w:bCs/>
                <w:color w:val="000000"/>
                <w:highlight w:val="none"/>
                <w:shd w:fill="auto" w:val="clear"/>
              </w:rPr>
            </w:pPr>
            <w:r>
              <w:rPr>
                <w:b/>
                <w:bCs/>
                <w:color w:val="000000"/>
                <w:shd w:fill="auto" w:val="clear"/>
              </w:rPr>
            </w:r>
          </w:p>
          <w:p>
            <w:pPr>
              <w:pStyle w:val="LO-normal"/>
              <w:widowControl w:val="false"/>
              <w:spacing w:lineRule="auto" w:line="276" w:before="0" w:after="120"/>
              <w:rPr>
                <w:b/>
                <w:bCs/>
                <w:color w:val="000000"/>
                <w:highlight w:val="none"/>
                <w:shd w:fill="auto" w:val="clear"/>
              </w:rPr>
            </w:pPr>
            <w:r>
              <w:rPr>
                <w:b/>
                <w:bCs/>
                <w:color w:val="000000"/>
                <w:shd w:fill="auto" w:val="clear"/>
              </w:rPr>
            </w:r>
          </w:p>
        </w:tc>
      </w:tr>
    </w:tbl>
    <w:p>
      <w:pPr>
        <w:pStyle w:val="LO-normal"/>
        <w:rPr>
          <w:color w:val="000000"/>
        </w:rPr>
      </w:pPr>
      <w:r>
        <w:rPr>
          <w:color w:val="000000"/>
        </w:rPr>
      </w:r>
    </w:p>
    <w:p>
      <w:pPr>
        <w:pStyle w:val="LO-normal"/>
        <w:widowControl/>
        <w:suppressAutoHyphens w:val="true"/>
        <w:bidi w:val="0"/>
        <w:spacing w:before="0" w:after="0"/>
        <w:ind w:hanging="0" w:left="0" w:right="113"/>
        <w:jc w:val="left"/>
        <w:rPr>
          <w:color w:val="000000"/>
        </w:rPr>
      </w:pPr>
      <w:r>
        <w:rPr>
          <w:b/>
          <w:bCs/>
          <w:color w:val="000000"/>
        </w:rPr>
        <w:t>TOTAL GERAL DA PROPOSTA R</w:t>
      </w:r>
      <w:r>
        <w:rPr>
          <w:color w:val="000000"/>
        </w:rPr>
        <w:t>$ ________________ (__________________________________________________)</w:t>
      </w:r>
    </w:p>
    <w:p>
      <w:pPr>
        <w:pStyle w:val="LO-normal"/>
        <w:rPr>
          <w:color w:val="000000"/>
        </w:rPr>
      </w:pPr>
      <w:r>
        <w:rPr>
          <w:color w:val="000000"/>
        </w:rPr>
      </w:r>
    </w:p>
    <w:p>
      <w:pPr>
        <w:pStyle w:val="LO-normal"/>
        <w:widowControl/>
        <w:suppressAutoHyphens w:val="true"/>
        <w:bidi w:val="0"/>
        <w:spacing w:before="0" w:after="0"/>
        <w:ind w:hanging="0" w:left="0" w:right="-340"/>
        <w:jc w:val="both"/>
        <w:rPr/>
      </w:pPr>
      <w:r>
        <w:rPr>
          <w:color w:val="000000"/>
        </w:rPr>
        <w:t>O prazo de validade da proposta não será inferior a 60 (sessenta) dias, a contar da data de sua apresentação.</w:t>
      </w:r>
    </w:p>
    <w:p>
      <w:pPr>
        <w:pStyle w:val="LO-normal"/>
        <w:widowControl/>
        <w:suppressAutoHyphens w:val="true"/>
        <w:bidi w:val="0"/>
        <w:spacing w:before="0" w:after="0"/>
        <w:ind w:hanging="0" w:left="0" w:right="-340"/>
        <w:jc w:val="both"/>
        <w:rPr/>
      </w:pPr>
      <w:r>
        <w:rPr>
          <w:color w:val="000000"/>
        </w:rPr>
        <w:t xml:space="preserve"> </w:t>
      </w:r>
    </w:p>
    <w:p>
      <w:pPr>
        <w:pStyle w:val="LO-normal"/>
        <w:widowControl/>
        <w:suppressAutoHyphens w:val="true"/>
        <w:bidi w:val="0"/>
        <w:spacing w:before="0" w:after="0"/>
        <w:ind w:hanging="0" w:left="0" w:right="113"/>
        <w:jc w:val="both"/>
        <w:rPr/>
      </w:pPr>
      <w:r>
        <w:rPr>
          <w:color w:val="000000"/>
        </w:rPr>
        <w:t>Nos preços apresentados estão computados todos os custos decorrentes do fornecimento, objeto da licitação e incluídos todos os impostos, encargos trabalhistas, previdenciários, fiscais, comerciais, taxas, fretes, seguros e deslocamento de pessoal e quaisquer outros que incidam direta ou indiretamente sobre o objeto contratado.</w:t>
      </w:r>
    </w:p>
    <w:p>
      <w:pPr>
        <w:pStyle w:val="LO-normal"/>
        <w:rPr>
          <w:color w:val="000000"/>
        </w:rPr>
      </w:pPr>
      <w:r>
        <w:rPr>
          <w:color w:val="000000"/>
        </w:rPr>
      </w:r>
    </w:p>
    <w:p>
      <w:pPr>
        <w:pStyle w:val="LO-normal"/>
        <w:spacing w:lineRule="auto" w:line="276"/>
        <w:rPr>
          <w:color w:val="000000"/>
        </w:rPr>
      </w:pPr>
      <w:r>
        <w:rPr>
          <w:color w:val="000000"/>
        </w:rPr>
        <w:t xml:space="preserve"> </w:t>
      </w:r>
      <w:r>
        <w:rPr>
          <w:color w:val="000000"/>
        </w:rPr>
        <w:t>Dados da empresa:</w:t>
      </w:r>
    </w:p>
    <w:p>
      <w:pPr>
        <w:pStyle w:val="LO-normal"/>
        <w:spacing w:lineRule="auto" w:line="276"/>
        <w:rPr>
          <w:color w:val="000000"/>
        </w:rPr>
      </w:pPr>
      <w:r>
        <w:rPr>
          <w:color w:val="000000"/>
        </w:rPr>
        <w:t xml:space="preserve"> </w:t>
      </w:r>
      <w:r>
        <w:rPr>
          <w:color w:val="000000"/>
        </w:rPr>
        <w:t>Razão Social:</w:t>
      </w:r>
    </w:p>
    <w:p>
      <w:pPr>
        <w:pStyle w:val="LO-normal"/>
        <w:spacing w:lineRule="auto" w:line="276"/>
        <w:rPr>
          <w:color w:val="000000"/>
        </w:rPr>
      </w:pPr>
      <w:r>
        <w:rPr>
          <w:color w:val="000000"/>
        </w:rPr>
        <w:t xml:space="preserve"> </w:t>
      </w:r>
      <w:r>
        <w:rPr>
          <w:color w:val="000000"/>
        </w:rPr>
        <w:t>CNPJ (MF) nº:</w:t>
      </w:r>
    </w:p>
    <w:p>
      <w:pPr>
        <w:pStyle w:val="LO-normal"/>
        <w:spacing w:lineRule="auto" w:line="276"/>
        <w:rPr>
          <w:color w:val="000000"/>
        </w:rPr>
      </w:pPr>
      <w:r>
        <w:rPr>
          <w:color w:val="000000"/>
        </w:rPr>
        <w:t xml:space="preserve"> </w:t>
      </w:r>
      <w:r>
        <w:rPr>
          <w:color w:val="000000"/>
        </w:rPr>
        <w:t>Inscrição Estadual nº:</w:t>
      </w:r>
    </w:p>
    <w:p>
      <w:pPr>
        <w:pStyle w:val="LO-normal"/>
        <w:spacing w:lineRule="auto" w:line="276"/>
        <w:rPr>
          <w:color w:val="000000"/>
        </w:rPr>
      </w:pPr>
      <w:r>
        <w:rPr>
          <w:color w:val="000000"/>
        </w:rPr>
        <w:t xml:space="preserve"> </w:t>
      </w:r>
      <w:r>
        <w:rPr>
          <w:color w:val="000000"/>
        </w:rPr>
        <w:t>Endereço:</w:t>
      </w:r>
    </w:p>
    <w:p>
      <w:pPr>
        <w:pStyle w:val="LO-normal"/>
        <w:spacing w:lineRule="auto" w:line="276"/>
        <w:rPr>
          <w:color w:val="000000"/>
        </w:rPr>
      </w:pPr>
      <w:r>
        <w:rPr>
          <w:color w:val="000000"/>
        </w:rPr>
        <w:t xml:space="preserve"> </w:t>
      </w:r>
      <w:r>
        <w:rPr>
          <w:color w:val="000000"/>
        </w:rPr>
        <w:t>Cidade:</w:t>
      </w:r>
    </w:p>
    <w:p>
      <w:pPr>
        <w:pStyle w:val="LO-normal"/>
        <w:spacing w:lineRule="auto" w:line="276"/>
        <w:rPr>
          <w:color w:val="000000"/>
        </w:rPr>
      </w:pPr>
      <w:r>
        <w:rPr>
          <w:color w:val="000000"/>
        </w:rPr>
        <w:t xml:space="preserve"> </w:t>
      </w:r>
      <w:r>
        <w:rPr>
          <w:color w:val="000000"/>
        </w:rPr>
        <w:t>CEP:</w:t>
      </w:r>
    </w:p>
    <w:p>
      <w:pPr>
        <w:pStyle w:val="LO-normal"/>
        <w:spacing w:lineRule="auto" w:line="276"/>
        <w:rPr>
          <w:color w:val="000000"/>
        </w:rPr>
      </w:pPr>
      <w:r>
        <w:rPr>
          <w:color w:val="000000"/>
        </w:rPr>
        <w:t xml:space="preserve"> </w:t>
      </w:r>
      <w:r>
        <w:rPr>
          <w:color w:val="000000"/>
        </w:rPr>
        <w:t>Estado:</w:t>
      </w:r>
    </w:p>
    <w:p>
      <w:pPr>
        <w:pStyle w:val="LO-normal"/>
        <w:spacing w:lineRule="auto" w:line="276"/>
        <w:rPr>
          <w:color w:val="000000"/>
        </w:rPr>
      </w:pPr>
      <w:r>
        <w:rPr>
          <w:color w:val="000000"/>
        </w:rPr>
        <w:t xml:space="preserve"> </w:t>
      </w:r>
      <w:r>
        <w:rPr>
          <w:color w:val="000000"/>
        </w:rPr>
        <w:t>Endereço eletrônico:</w:t>
      </w:r>
    </w:p>
    <w:p>
      <w:pPr>
        <w:pStyle w:val="LO-normal"/>
        <w:spacing w:lineRule="auto" w:line="276"/>
        <w:rPr>
          <w:color w:val="000000"/>
        </w:rPr>
      </w:pPr>
      <w:r>
        <w:rPr>
          <w:color w:val="000000"/>
        </w:rPr>
        <w:t xml:space="preserve"> </w:t>
      </w:r>
      <w:r>
        <w:rPr>
          <w:color w:val="000000"/>
        </w:rPr>
        <w:t>Representante legal com poderes para assinar o contrato:</w:t>
      </w:r>
    </w:p>
    <w:p>
      <w:pPr>
        <w:pStyle w:val="LO-normal"/>
        <w:spacing w:lineRule="auto" w:line="276"/>
        <w:rPr>
          <w:color w:val="000000"/>
        </w:rPr>
      </w:pPr>
      <w:r>
        <w:rPr>
          <w:color w:val="000000"/>
        </w:rPr>
        <w:t xml:space="preserve"> </w:t>
      </w:r>
      <w:r>
        <w:rPr>
          <w:color w:val="000000"/>
        </w:rPr>
        <w:t>Qualificação (cargo, RG, CPF):</w:t>
      </w:r>
    </w:p>
    <w:p>
      <w:pPr>
        <w:pStyle w:val="LO-normal"/>
        <w:jc w:val="center"/>
        <w:rPr>
          <w:color w:val="000000"/>
        </w:rPr>
      </w:pPr>
      <w:r>
        <w:rPr>
          <w:color w:val="000000"/>
        </w:rPr>
      </w:r>
    </w:p>
    <w:p>
      <w:pPr>
        <w:pStyle w:val="LO-normal"/>
        <w:jc w:val="center"/>
        <w:rPr>
          <w:b/>
          <w:bCs/>
        </w:rPr>
      </w:pPr>
      <w:r>
        <w:rPr>
          <w:b/>
          <w:bCs/>
          <w:color w:val="000000"/>
        </w:rPr>
        <w:t>LOCAL/DATA</w:t>
      </w:r>
    </w:p>
    <w:p>
      <w:pPr>
        <w:pStyle w:val="LO-normal"/>
        <w:jc w:val="center"/>
        <w:rPr>
          <w:b/>
          <w:bCs/>
          <w:color w:val="000000"/>
        </w:rPr>
      </w:pPr>
      <w:r>
        <w:rPr>
          <w:b/>
          <w:bCs/>
          <w:color w:val="000000"/>
        </w:rPr>
      </w:r>
    </w:p>
    <w:p>
      <w:pPr>
        <w:pStyle w:val="LO-normal"/>
        <w:jc w:val="center"/>
        <w:rPr>
          <w:b/>
          <w:bCs/>
        </w:rPr>
      </w:pPr>
      <w:r>
        <w:rPr>
          <w:b/>
          <w:bCs/>
          <w:color w:val="000000"/>
        </w:rPr>
        <w:t>ASSINATURA REPRESENTANTE LEGAL</w:t>
      </w:r>
    </w:p>
    <w:p>
      <w:pPr>
        <w:pStyle w:val="LO-normal"/>
        <w:jc w:val="center"/>
        <w:rPr>
          <w:sz w:val="19"/>
          <w:szCs w:val="19"/>
          <w:u w:val="single"/>
        </w:rPr>
      </w:pPr>
      <w:r>
        <w:rPr>
          <w:b/>
          <w:bCs/>
          <w:color w:val="000000"/>
          <w:sz w:val="19"/>
          <w:szCs w:val="19"/>
          <w:u w:val="single"/>
        </w:rPr>
        <w:t>ANEXO V</w:t>
      </w:r>
    </w:p>
    <w:p>
      <w:pPr>
        <w:pStyle w:val="LO-normal"/>
        <w:jc w:val="center"/>
        <w:rPr>
          <w:b/>
          <w:bCs/>
          <w:color w:val="000000"/>
        </w:rPr>
      </w:pPr>
      <w:r>
        <w:rPr>
          <w:b/>
          <w:bCs/>
          <w:color w:val="000000"/>
        </w:rPr>
      </w:r>
    </w:p>
    <w:p>
      <w:pPr>
        <w:pStyle w:val="LO-normal"/>
        <w:jc w:val="center"/>
        <w:rPr>
          <w:sz w:val="19"/>
          <w:szCs w:val="19"/>
          <w:u w:val="single"/>
        </w:rPr>
      </w:pPr>
      <w:r>
        <w:rPr>
          <w:b/>
          <w:bCs/>
          <w:color w:val="000000"/>
          <w:sz w:val="19"/>
          <w:szCs w:val="19"/>
          <w:u w:val="single"/>
        </w:rPr>
        <w:t xml:space="preserve">MINUTA DE TERMO DE CONTRATO </w:t>
      </w:r>
    </w:p>
    <w:p>
      <w:pPr>
        <w:pStyle w:val="LO-normal"/>
        <w:keepNext w:val="true"/>
        <w:keepLines/>
        <w:tabs>
          <w:tab w:val="clear" w:pos="720"/>
          <w:tab w:val="left" w:pos="567" w:leader="none"/>
        </w:tabs>
        <w:spacing w:before="240" w:after="0"/>
        <w:ind w:hanging="0" w:left="4422"/>
        <w:jc w:val="both"/>
        <w:rPr>
          <w:sz w:val="19"/>
          <w:szCs w:val="19"/>
        </w:rPr>
      </w:pPr>
      <w:r>
        <w:rPr>
          <w:b/>
          <w:color w:val="000000"/>
          <w:sz w:val="19"/>
          <w:szCs w:val="19"/>
        </w:rPr>
        <w:t xml:space="preserve">CONTRATO ADMINISTRATIVO Nº________/2025, QUE FAZEM ENTRE SI O MUNICÍPIO DE PARACAMBI, POR INTERMÉDIO DA SECRETARIA MUNICIPAL DE </w:t>
      </w:r>
      <w:r>
        <w:rPr>
          <w:rFonts w:eastAsia="Arial" w:cs="Arial"/>
          <w:b/>
          <w:color w:val="000000"/>
          <w:kern w:val="0"/>
          <w:sz w:val="19"/>
          <w:szCs w:val="19"/>
          <w:lang w:val="pt-BR" w:eastAsia="zh-CN" w:bidi="hi-IN"/>
        </w:rPr>
        <w:t>SEGURANÇA E ORDEM PÚBLICA</w:t>
      </w:r>
      <w:r>
        <w:rPr>
          <w:b/>
          <w:color w:val="000000"/>
          <w:sz w:val="19"/>
          <w:szCs w:val="19"/>
        </w:rPr>
        <w:t xml:space="preserve"> E A EMPRESA ____________________________________________.</w:t>
      </w:r>
    </w:p>
    <w:p>
      <w:pPr>
        <w:pStyle w:val="LO-normal"/>
        <w:keepNext w:val="true"/>
        <w:keepLines/>
        <w:tabs>
          <w:tab w:val="clear" w:pos="720"/>
          <w:tab w:val="left" w:pos="567" w:leader="none"/>
        </w:tabs>
        <w:spacing w:lineRule="auto" w:line="276" w:before="240" w:after="0"/>
        <w:jc w:val="both"/>
        <w:rPr>
          <w:sz w:val="19"/>
          <w:szCs w:val="19"/>
        </w:rPr>
      </w:pPr>
      <w:r>
        <w:rPr>
          <w:b/>
          <w:color w:val="000000"/>
          <w:sz w:val="19"/>
          <w:szCs w:val="19"/>
        </w:rPr>
        <w:tab/>
      </w:r>
      <w:r>
        <w:rPr>
          <w:color w:val="000000"/>
          <w:sz w:val="19"/>
          <w:szCs w:val="19"/>
        </w:rPr>
        <w:t xml:space="preserve">O MUNICÍPIO DE PARACAMBI, pessoa jurídica de direito público interno, cuja Prefeitura tem sede na Rua: Juiz Emílio Carmo, 50 – Centro – Paracambi/RJ, inscrito no CNPJ nº 29.138.294.0001-02, neste ato representado(a) pelo Srº </w:t>
      </w:r>
      <w:r>
        <w:rPr>
          <w:rFonts w:eastAsia="Arial" w:cs="Arial"/>
          <w:b/>
          <w:bCs/>
          <w:color w:val="000000"/>
          <w:kern w:val="0"/>
          <w:sz w:val="19"/>
          <w:szCs w:val="19"/>
          <w:lang w:val="pt-BR" w:eastAsia="zh-CN" w:bidi="hi-IN"/>
        </w:rPr>
        <w:t>AYRTON JOSÉ LUCAS DE SOUZA</w:t>
      </w:r>
      <w:r>
        <w:rPr>
          <w:color w:val="000000"/>
          <w:sz w:val="19"/>
          <w:szCs w:val="19"/>
        </w:rPr>
        <w:t xml:space="preserve">, Secretário Municipal de </w:t>
      </w:r>
      <w:r>
        <w:rPr>
          <w:rFonts w:eastAsia="Arial" w:cs="Arial"/>
          <w:color w:val="000000"/>
          <w:kern w:val="0"/>
          <w:sz w:val="19"/>
          <w:szCs w:val="19"/>
          <w:lang w:val="pt-BR" w:eastAsia="zh-CN" w:bidi="hi-IN"/>
        </w:rPr>
        <w:t>Segurança e Ordem Pública</w:t>
      </w:r>
      <w:r>
        <w:rPr>
          <w:color w:val="000000"/>
          <w:sz w:val="19"/>
          <w:szCs w:val="19"/>
        </w:rPr>
        <w:t>, Matr.</w:t>
      </w:r>
      <w:r>
        <w:rPr>
          <w:rFonts w:eastAsia="Arial" w:cs="Arial"/>
          <w:color w:val="000000"/>
          <w:kern w:val="0"/>
          <w:sz w:val="19"/>
          <w:szCs w:val="19"/>
          <w:lang w:val="pt-BR" w:eastAsia="zh-CN" w:bidi="hi-IN"/>
        </w:rPr>
        <w:t>15.732</w:t>
      </w:r>
      <w:r>
        <w:rPr>
          <w:color w:val="000000"/>
          <w:sz w:val="19"/>
          <w:szCs w:val="19"/>
        </w:rPr>
        <w:t xml:space="preserve">, doravante denominado CONTRATANTE, e o(a) </w:t>
      </w:r>
      <w:r>
        <w:rPr>
          <w:i/>
          <w:color w:val="000000"/>
          <w:sz w:val="19"/>
          <w:szCs w:val="19"/>
        </w:rPr>
        <w:t>_______________________</w:t>
      </w:r>
      <w:r>
        <w:rPr>
          <w:color w:val="000000"/>
          <w:sz w:val="19"/>
          <w:szCs w:val="19"/>
        </w:rPr>
        <w:t>, inscrito(a) no CNPJ/MF sob o nº ______________, sediado(a) na</w:t>
      </w:r>
      <w:r>
        <w:rPr>
          <w:i/>
          <w:color w:val="FF0000"/>
          <w:sz w:val="19"/>
          <w:szCs w:val="19"/>
        </w:rPr>
        <w:t>_</w:t>
      </w:r>
      <w:r>
        <w:rPr>
          <w:i/>
          <w:color w:val="000000"/>
          <w:sz w:val="19"/>
          <w:szCs w:val="19"/>
        </w:rPr>
        <w:t>_______________________</w:t>
      </w:r>
      <w:r>
        <w:rPr>
          <w:color w:val="000000"/>
          <w:sz w:val="19"/>
          <w:szCs w:val="19"/>
        </w:rPr>
        <w:t xml:space="preserve">, doravante designado CONTRATADO, neste ato representada por </w:t>
      </w:r>
      <w:r>
        <w:rPr>
          <w:i/>
          <w:color w:val="FF0000"/>
          <w:sz w:val="19"/>
          <w:szCs w:val="19"/>
        </w:rPr>
        <w:t>.</w:t>
      </w:r>
      <w:r>
        <w:rPr>
          <w:color w:val="000000"/>
          <w:sz w:val="19"/>
          <w:szCs w:val="19"/>
        </w:rPr>
        <w:t xml:space="preserve">____________________________, tendo em vista o que consta no Processo nº </w:t>
      </w:r>
      <w:r>
        <w:rPr>
          <w:rFonts w:eastAsia="Arial" w:cs="Arial"/>
          <w:b/>
          <w:bCs/>
          <w:color w:val="000000"/>
          <w:kern w:val="0"/>
          <w:sz w:val="19"/>
          <w:szCs w:val="19"/>
          <w:lang w:val="pt-BR" w:eastAsia="zh-CN" w:bidi="hi-IN"/>
        </w:rPr>
        <w:t>2538/2025</w:t>
      </w:r>
      <w:r>
        <w:rPr>
          <w:i/>
          <w:color w:val="FF0000"/>
          <w:sz w:val="19"/>
          <w:szCs w:val="19"/>
        </w:rPr>
        <w:t>.</w:t>
      </w:r>
      <w:r>
        <w:rPr>
          <w:color w:val="000000"/>
          <w:sz w:val="19"/>
          <w:szCs w:val="19"/>
        </w:rPr>
        <w:t xml:space="preserve"> e em observância às disposições da Lei nº 14.133/2021 e do Decreto Municipal nº 5.558/2023, resolvem celebrar o presente Termo de Contrato, decorrente da Dispensa Eletrônica, mediante as cláusulas e condições a seguir enunciadas.</w:t>
      </w:r>
    </w:p>
    <w:p>
      <w:pPr>
        <w:pStyle w:val="LO-normal"/>
        <w:keepNext w:val="true"/>
        <w:keepLines/>
        <w:tabs>
          <w:tab w:val="clear" w:pos="720"/>
          <w:tab w:val="left" w:pos="567" w:leader="none"/>
        </w:tabs>
        <w:spacing w:before="240" w:after="160"/>
        <w:jc w:val="both"/>
        <w:rPr>
          <w:sz w:val="19"/>
          <w:szCs w:val="19"/>
        </w:rPr>
      </w:pPr>
      <w:r>
        <w:rPr>
          <w:b/>
          <w:sz w:val="19"/>
          <w:szCs w:val="19"/>
        </w:rPr>
        <w:t>1. CLÁUSULA PRIMEIRA – OBJETO (art. 92, I e II)</w:t>
      </w:r>
    </w:p>
    <w:p>
      <w:pPr>
        <w:pStyle w:val="LO-normal"/>
        <w:spacing w:lineRule="auto" w:line="276" w:before="120" w:after="160"/>
        <w:jc w:val="both"/>
        <w:rPr>
          <w:sz w:val="19"/>
          <w:szCs w:val="19"/>
        </w:rPr>
      </w:pPr>
      <w:r>
        <w:rPr>
          <w:color w:val="000000"/>
          <w:sz w:val="19"/>
          <w:szCs w:val="19"/>
        </w:rPr>
        <w:t xml:space="preserve">1.1. O objeto do presente instrumento é a contratação de serviços de </w:t>
      </w:r>
      <w:r>
        <w:rPr>
          <w:rFonts w:eastAsia="Arial" w:cs="Arial"/>
          <w:b/>
          <w:bCs/>
          <w:color w:val="000000"/>
          <w:kern w:val="0"/>
          <w:sz w:val="19"/>
          <w:szCs w:val="19"/>
          <w:lang w:val="pt-BR" w:eastAsia="zh-CN" w:bidi="hi-IN"/>
        </w:rPr>
        <w:t>PRESTAÇÃO DE SERVIÇOS LOCAÇÃO DE VEÍCULOS-PROEIS</w:t>
      </w:r>
      <w:r>
        <w:rPr>
          <w:b/>
          <w:bCs/>
          <w:color w:val="000000"/>
          <w:sz w:val="19"/>
          <w:szCs w:val="19"/>
        </w:rPr>
        <w:t>,</w:t>
      </w:r>
      <w:r>
        <w:rPr>
          <w:color w:val="000000"/>
          <w:sz w:val="19"/>
          <w:szCs w:val="19"/>
        </w:rPr>
        <w:t xml:space="preserve"> </w:t>
      </w:r>
      <w:r>
        <w:rPr>
          <w:rFonts w:eastAsia="Arial" w:cs="Arial"/>
          <w:color w:val="000000"/>
          <w:kern w:val="0"/>
          <w:sz w:val="19"/>
          <w:szCs w:val="19"/>
          <w:lang w:val="pt-BR" w:eastAsia="zh-CN" w:bidi="hi-IN"/>
        </w:rPr>
        <w:t>nas condições estabelecidas no</w:t>
      </w:r>
      <w:r>
        <w:rPr>
          <w:color w:val="000000"/>
          <w:sz w:val="19"/>
          <w:szCs w:val="19"/>
        </w:rPr>
        <w:t xml:space="preserve"> Termo de Referência.</w:t>
      </w:r>
    </w:p>
    <w:p>
      <w:pPr>
        <w:pStyle w:val="LO-normal"/>
        <w:spacing w:lineRule="auto" w:line="276" w:before="120" w:after="120"/>
        <w:jc w:val="both"/>
        <w:rPr>
          <w:sz w:val="19"/>
          <w:szCs w:val="19"/>
        </w:rPr>
      </w:pPr>
      <w:r>
        <w:rPr>
          <w:sz w:val="19"/>
          <w:szCs w:val="19"/>
        </w:rPr>
        <w:t>1.2. Objeto da contratação:</w:t>
      </w:r>
    </w:p>
    <w:tbl>
      <w:tblPr>
        <w:tblStyle w:val="10"/>
        <w:tblW w:w="11115" w:type="dxa"/>
        <w:jc w:val="left"/>
        <w:tblInd w:w="93" w:type="dxa"/>
        <w:tblLayout w:type="fixed"/>
        <w:tblCellMar>
          <w:top w:w="0" w:type="dxa"/>
          <w:left w:w="108" w:type="dxa"/>
          <w:bottom w:w="0" w:type="dxa"/>
          <w:right w:w="108" w:type="dxa"/>
        </w:tblCellMar>
      </w:tblPr>
      <w:tblGrid>
        <w:gridCol w:w="733"/>
        <w:gridCol w:w="4020"/>
        <w:gridCol w:w="797"/>
        <w:gridCol w:w="1770"/>
        <w:gridCol w:w="2373"/>
        <w:gridCol w:w="1421"/>
      </w:tblGrid>
      <w:tr>
        <w:trPr/>
        <w:tc>
          <w:tcPr>
            <w:tcW w:w="733"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color w:val="000000"/>
                <w:sz w:val="18"/>
                <w:szCs w:val="18"/>
              </w:rPr>
            </w:pPr>
            <w:r>
              <w:rPr>
                <w:b/>
                <w:color w:val="000000"/>
                <w:sz w:val="18"/>
                <w:szCs w:val="18"/>
              </w:rPr>
            </w:r>
          </w:p>
          <w:p>
            <w:pPr>
              <w:pStyle w:val="LO-normal"/>
              <w:widowControl w:val="false"/>
              <w:jc w:val="center"/>
              <w:rPr>
                <w:b/>
                <w:color w:val="000000"/>
                <w:sz w:val="18"/>
                <w:szCs w:val="18"/>
              </w:rPr>
            </w:pPr>
            <w:r>
              <w:rPr>
                <w:b/>
                <w:color w:val="000000"/>
                <w:sz w:val="18"/>
                <w:szCs w:val="18"/>
              </w:rPr>
              <w:t>ITEM</w:t>
            </w:r>
          </w:p>
          <w:p>
            <w:pPr>
              <w:pStyle w:val="LO-normal"/>
              <w:widowControl w:val="false"/>
              <w:jc w:val="center"/>
              <w:rPr>
                <w:b/>
                <w:color w:val="000000"/>
                <w:sz w:val="18"/>
                <w:szCs w:val="18"/>
              </w:rPr>
            </w:pPr>
            <w:r>
              <w:rPr>
                <w:b/>
                <w:color w:val="000000"/>
                <w:sz w:val="18"/>
                <w:szCs w:val="18"/>
              </w:rPr>
            </w:r>
          </w:p>
        </w:tc>
        <w:tc>
          <w:tcPr>
            <w:tcW w:w="402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b/>
                <w:color w:val="000000"/>
                <w:sz w:val="18"/>
                <w:szCs w:val="18"/>
              </w:rPr>
            </w:pPr>
            <w:r>
              <w:rPr>
                <w:b/>
                <w:color w:val="000000"/>
                <w:sz w:val="18"/>
                <w:szCs w:val="18"/>
              </w:rPr>
            </w:r>
          </w:p>
          <w:p>
            <w:pPr>
              <w:pStyle w:val="LO-normal"/>
              <w:widowControl w:val="false"/>
              <w:jc w:val="center"/>
              <w:rPr>
                <w:b/>
                <w:color w:val="000000"/>
                <w:sz w:val="18"/>
                <w:szCs w:val="18"/>
              </w:rPr>
            </w:pPr>
            <w:r>
              <w:rPr>
                <w:b/>
                <w:color w:val="000000"/>
                <w:sz w:val="18"/>
                <w:szCs w:val="18"/>
              </w:rPr>
              <w:t>DESCRIÇÃO</w:t>
            </w:r>
          </w:p>
          <w:p>
            <w:pPr>
              <w:pStyle w:val="LO-normal"/>
              <w:widowControl w:val="false"/>
              <w:jc w:val="center"/>
              <w:rPr>
                <w:color w:val="000000"/>
                <w:sz w:val="18"/>
                <w:szCs w:val="18"/>
              </w:rPr>
            </w:pPr>
            <w:r>
              <w:rPr>
                <w:color w:val="000000"/>
                <w:sz w:val="18"/>
                <w:szCs w:val="18"/>
              </w:rPr>
            </w:r>
          </w:p>
        </w:tc>
        <w:tc>
          <w:tcPr>
            <w:tcW w:w="797"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18"/>
                <w:szCs w:val="18"/>
              </w:rPr>
            </w:pPr>
            <w:r>
              <w:rPr>
                <w:b/>
                <w:color w:val="000000"/>
                <w:sz w:val="18"/>
                <w:szCs w:val="18"/>
              </w:rPr>
              <w:t>UNID.</w:t>
            </w:r>
          </w:p>
        </w:tc>
        <w:tc>
          <w:tcPr>
            <w:tcW w:w="1770" w:type="dxa"/>
            <w:tcBorders>
              <w:top w:val="single" w:sz="4" w:space="0" w:color="000000"/>
              <w:left w:val="single" w:sz="4" w:space="0" w:color="000000"/>
              <w:bottom w:val="single" w:sz="4" w:space="0" w:color="000000"/>
              <w:right w:val="single" w:sz="4" w:space="0" w:color="000000"/>
            </w:tcBorders>
            <w:vAlign w:val="center"/>
          </w:tcPr>
          <w:p>
            <w:pPr>
              <w:pStyle w:val="LO-normal"/>
              <w:widowControl w:val="false"/>
              <w:jc w:val="center"/>
              <w:rPr>
                <w:color w:val="000000"/>
                <w:sz w:val="18"/>
                <w:szCs w:val="18"/>
              </w:rPr>
            </w:pPr>
            <w:r>
              <w:rPr>
                <w:b/>
                <w:color w:val="000000"/>
                <w:sz w:val="18"/>
                <w:szCs w:val="18"/>
              </w:rPr>
              <w:t>QUANT.MESES</w:t>
            </w:r>
          </w:p>
        </w:tc>
        <w:tc>
          <w:tcPr>
            <w:tcW w:w="2373"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LO-normal"/>
              <w:widowControl w:val="false"/>
              <w:jc w:val="center"/>
              <w:rPr>
                <w:b/>
                <w:color w:val="000000"/>
                <w:sz w:val="18"/>
                <w:szCs w:val="18"/>
              </w:rPr>
            </w:pPr>
            <w:r>
              <w:rPr>
                <w:b/>
                <w:color w:val="000000"/>
                <w:sz w:val="18"/>
                <w:szCs w:val="18"/>
              </w:rPr>
              <w:t>PREÇO UNITÁRIO MENSAL R$</w:t>
            </w:r>
          </w:p>
        </w:tc>
        <w:tc>
          <w:tcPr>
            <w:tcW w:w="1421"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jc w:val="center"/>
              <w:rPr>
                <w:sz w:val="18"/>
                <w:szCs w:val="18"/>
              </w:rPr>
            </w:pPr>
            <w:r>
              <w:rPr>
                <w:sz w:val="18"/>
                <w:szCs w:val="18"/>
              </w:rPr>
            </w:r>
          </w:p>
          <w:p>
            <w:pPr>
              <w:pStyle w:val="LO-normal"/>
              <w:widowControl w:val="false"/>
              <w:jc w:val="center"/>
              <w:rPr>
                <w:sz w:val="18"/>
                <w:szCs w:val="18"/>
              </w:rPr>
            </w:pPr>
            <w:r>
              <w:rPr>
                <w:b/>
                <w:color w:val="000000"/>
                <w:sz w:val="18"/>
                <w:szCs w:val="18"/>
              </w:rPr>
              <w:t>PREÇO TOTAL R$</w:t>
            </w:r>
          </w:p>
        </w:tc>
      </w:tr>
      <w:tr>
        <w:trPr>
          <w:trHeight w:val="1040" w:hRule="atLeast"/>
        </w:trPr>
        <w:tc>
          <w:tcPr>
            <w:tcW w:w="733"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color w:val="000000"/>
                <w:sz w:val="18"/>
                <w:szCs w:val="18"/>
              </w:rPr>
            </w:pPr>
            <w:r>
              <w:rPr>
                <w:b/>
                <w:color w:val="000000"/>
                <w:sz w:val="18"/>
                <w:szCs w:val="18"/>
              </w:rPr>
            </w:r>
          </w:p>
          <w:p>
            <w:pPr>
              <w:pStyle w:val="LO-normal"/>
              <w:widowControl w:val="false"/>
              <w:spacing w:lineRule="auto" w:line="276" w:before="0" w:after="120"/>
              <w:jc w:val="center"/>
              <w:rPr>
                <w:b/>
                <w:color w:val="000000"/>
                <w:sz w:val="18"/>
                <w:szCs w:val="18"/>
              </w:rPr>
            </w:pPr>
            <w:r>
              <w:rPr>
                <w:b/>
                <w:color w:val="000000"/>
                <w:sz w:val="18"/>
                <w:szCs w:val="18"/>
              </w:rPr>
              <w:t>1</w:t>
            </w:r>
          </w:p>
        </w:tc>
        <w:tc>
          <w:tcPr>
            <w:tcW w:w="4020" w:type="dxa"/>
            <w:tcBorders>
              <w:top w:val="single" w:sz="4" w:space="0" w:color="000000"/>
              <w:left w:val="single" w:sz="4" w:space="0" w:color="000000"/>
              <w:bottom w:val="single" w:sz="4" w:space="0" w:color="000000"/>
              <w:right w:val="single" w:sz="4" w:space="0" w:color="000000"/>
            </w:tcBorders>
          </w:tcPr>
          <w:p>
            <w:pPr>
              <w:pStyle w:val="LO-normal"/>
              <w:widowControl w:val="false"/>
              <w:suppressAutoHyphens w:val="true"/>
              <w:bidi w:val="0"/>
              <w:spacing w:lineRule="auto" w:line="276" w:before="120" w:after="120"/>
              <w:ind w:hanging="0" w:left="57" w:right="0"/>
              <w:jc w:val="both"/>
              <w:rPr>
                <w:b/>
                <w:color w:val="000000"/>
                <w:sz w:val="18"/>
                <w:szCs w:val="18"/>
              </w:rPr>
            </w:pPr>
            <w:r>
              <w:rPr>
                <w:b/>
                <w:bCs/>
                <w:color w:val="000000"/>
                <w:sz w:val="18"/>
                <w:szCs w:val="18"/>
              </w:rPr>
              <w:t>Locação de 04 (quatro) veículos tipo passeio, modelo hatch 0 km, freios ABS, airbag duplo, câmbio manual, 4 portas, direção hidráulica elétrica, motor 1.0, ar condicionado, trio elétrico trava, vidro, alarme, km livre, sem motorista, sem combustível, devidamente documentado com seguro total, contendo adesivos da Prefeitura Municipal de Paracambi, Secretaria de Segurança de Ordem Pública e outros a definir pela Administração, com GIROFLEX E SIRENES instalados.</w:t>
            </w:r>
          </w:p>
        </w:tc>
        <w:tc>
          <w:tcPr>
            <w:tcW w:w="797"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color w:val="000000"/>
                <w:sz w:val="18"/>
                <w:szCs w:val="18"/>
              </w:rPr>
            </w:pPr>
            <w:r>
              <w:rPr>
                <w:b/>
                <w:color w:val="000000"/>
                <w:sz w:val="18"/>
                <w:szCs w:val="18"/>
              </w:rPr>
            </w:r>
          </w:p>
          <w:p>
            <w:pPr>
              <w:pStyle w:val="LO-normal"/>
              <w:widowControl w:val="false"/>
              <w:spacing w:lineRule="auto" w:line="276" w:before="0" w:after="120"/>
              <w:jc w:val="center"/>
              <w:rPr>
                <w:b/>
                <w:color w:val="000000"/>
                <w:sz w:val="18"/>
                <w:szCs w:val="18"/>
              </w:rPr>
            </w:pPr>
            <w:r>
              <w:rPr>
                <w:b/>
                <w:color w:val="000000"/>
                <w:sz w:val="18"/>
                <w:szCs w:val="18"/>
              </w:rPr>
              <w:t>UND.</w:t>
            </w:r>
          </w:p>
        </w:tc>
        <w:tc>
          <w:tcPr>
            <w:tcW w:w="1770" w:type="dxa"/>
            <w:tcBorders>
              <w:top w:val="single" w:sz="4" w:space="0" w:color="000000"/>
              <w:left w:val="single" w:sz="4" w:space="0" w:color="000000"/>
              <w:bottom w:val="single" w:sz="4" w:space="0" w:color="000000"/>
              <w:right w:val="single" w:sz="4" w:space="0" w:color="000000"/>
            </w:tcBorders>
          </w:tcPr>
          <w:p>
            <w:pPr>
              <w:pStyle w:val="LO-normal"/>
              <w:widowControl w:val="false"/>
              <w:spacing w:lineRule="auto" w:line="276" w:before="0" w:after="120"/>
              <w:jc w:val="center"/>
              <w:rPr>
                <w:b/>
                <w:color w:val="000000"/>
                <w:sz w:val="18"/>
                <w:szCs w:val="18"/>
              </w:rPr>
            </w:pPr>
            <w:r>
              <w:rPr>
                <w:b/>
                <w:color w:val="000000"/>
                <w:sz w:val="18"/>
                <w:szCs w:val="18"/>
              </w:rPr>
            </w:r>
          </w:p>
          <w:p>
            <w:pPr>
              <w:pStyle w:val="LO-normal"/>
              <w:widowControl w:val="false"/>
              <w:spacing w:lineRule="auto" w:line="276" w:before="0" w:after="120"/>
              <w:jc w:val="center"/>
              <w:rPr>
                <w:rFonts w:ascii="Arial" w:hAnsi="Arial" w:eastAsia="Arial" w:cs="Arial"/>
                <w:b/>
                <w:color w:val="000000"/>
                <w:kern w:val="0"/>
                <w:sz w:val="18"/>
                <w:szCs w:val="18"/>
                <w:lang w:val="pt-BR" w:eastAsia="zh-CN" w:bidi="hi-IN"/>
              </w:rPr>
            </w:pPr>
            <w:r>
              <w:rPr>
                <w:rFonts w:eastAsia="Arial" w:cs="Arial"/>
                <w:b/>
                <w:color w:val="000000"/>
                <w:kern w:val="0"/>
                <w:sz w:val="18"/>
                <w:szCs w:val="18"/>
                <w:lang w:val="pt-BR" w:eastAsia="zh-CN" w:bidi="hi-IN"/>
              </w:rPr>
              <w:t>04</w:t>
            </w:r>
          </w:p>
        </w:tc>
        <w:tc>
          <w:tcPr>
            <w:tcW w:w="2373"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sz w:val="18"/>
                <w:szCs w:val="18"/>
              </w:rPr>
            </w:pPr>
            <w:r>
              <w:rPr>
                <w:sz w:val="18"/>
                <w:szCs w:val="18"/>
              </w:rPr>
            </w:r>
          </w:p>
        </w:tc>
        <w:tc>
          <w:tcPr>
            <w:tcW w:w="1421"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sz w:val="18"/>
                <w:szCs w:val="18"/>
              </w:rPr>
            </w:pPr>
            <w:r>
              <w:rPr>
                <w:sz w:val="18"/>
                <w:szCs w:val="18"/>
              </w:rPr>
            </w:r>
          </w:p>
        </w:tc>
      </w:tr>
      <w:tr>
        <w:trPr/>
        <w:tc>
          <w:tcPr>
            <w:tcW w:w="733" w:type="dxa"/>
            <w:tcBorders>
              <w:top w:val="single" w:sz="4" w:space="0" w:color="000000"/>
            </w:tcBorders>
          </w:tcPr>
          <w:p>
            <w:pPr>
              <w:pStyle w:val="LO-normal"/>
              <w:widowControl w:val="false"/>
              <w:spacing w:lineRule="auto" w:line="276" w:before="0" w:after="120"/>
              <w:jc w:val="center"/>
              <w:rPr>
                <w:b/>
                <w:color w:val="000000"/>
                <w:sz w:val="18"/>
                <w:szCs w:val="18"/>
              </w:rPr>
            </w:pPr>
            <w:r>
              <w:rPr>
                <w:b/>
                <w:color w:val="000000"/>
                <w:sz w:val="18"/>
                <w:szCs w:val="18"/>
              </w:rPr>
            </w:r>
          </w:p>
        </w:tc>
        <w:tc>
          <w:tcPr>
            <w:tcW w:w="4020" w:type="dxa"/>
            <w:tcBorders>
              <w:top w:val="single" w:sz="4" w:space="0" w:color="000000"/>
            </w:tcBorders>
          </w:tcPr>
          <w:p>
            <w:pPr>
              <w:pStyle w:val="LO-normal"/>
              <w:widowControl w:val="false"/>
              <w:spacing w:lineRule="auto" w:line="276" w:before="0" w:after="120"/>
              <w:rPr>
                <w:color w:val="000000"/>
                <w:sz w:val="18"/>
                <w:szCs w:val="18"/>
              </w:rPr>
            </w:pPr>
            <w:r>
              <w:rPr>
                <w:color w:val="000000"/>
                <w:sz w:val="18"/>
                <w:szCs w:val="18"/>
              </w:rPr>
            </w:r>
          </w:p>
        </w:tc>
        <w:tc>
          <w:tcPr>
            <w:tcW w:w="797" w:type="dxa"/>
            <w:tcBorders>
              <w:top w:val="single" w:sz="4" w:space="0" w:color="000000"/>
            </w:tcBorders>
          </w:tcPr>
          <w:p>
            <w:pPr>
              <w:pStyle w:val="LO-normal"/>
              <w:widowControl w:val="false"/>
              <w:spacing w:lineRule="auto" w:line="276" w:before="0" w:after="120"/>
              <w:jc w:val="center"/>
              <w:rPr>
                <w:color w:val="000000"/>
                <w:sz w:val="18"/>
                <w:szCs w:val="18"/>
              </w:rPr>
            </w:pPr>
            <w:r>
              <w:rPr>
                <w:color w:val="000000"/>
                <w:sz w:val="18"/>
                <w:szCs w:val="18"/>
              </w:rPr>
            </w:r>
          </w:p>
        </w:tc>
        <w:tc>
          <w:tcPr>
            <w:tcW w:w="1770" w:type="dxa"/>
            <w:tcBorders>
              <w:top w:val="single" w:sz="4" w:space="0" w:color="000000"/>
            </w:tcBorders>
          </w:tcPr>
          <w:p>
            <w:pPr>
              <w:pStyle w:val="LO-normal"/>
              <w:widowControl w:val="false"/>
              <w:spacing w:lineRule="auto" w:line="276" w:before="0" w:after="120"/>
              <w:jc w:val="center"/>
              <w:rPr>
                <w:color w:val="000000"/>
                <w:sz w:val="18"/>
                <w:szCs w:val="18"/>
              </w:rPr>
            </w:pPr>
            <w:r>
              <w:rPr>
                <w:color w:val="000000"/>
                <w:sz w:val="18"/>
                <w:szCs w:val="18"/>
              </w:rPr>
            </w:r>
          </w:p>
        </w:tc>
        <w:tc>
          <w:tcPr>
            <w:tcW w:w="2373"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LO-normal"/>
              <w:widowControl w:val="false"/>
              <w:spacing w:lineRule="auto" w:line="240" w:before="0" w:after="6"/>
              <w:rPr>
                <w:b/>
                <w:bCs/>
                <w:color w:val="000000"/>
                <w:sz w:val="18"/>
                <w:szCs w:val="18"/>
              </w:rPr>
            </w:pPr>
            <w:r>
              <w:rPr>
                <w:b/>
                <w:bCs/>
                <w:color w:val="000000"/>
                <w:sz w:val="18"/>
                <w:szCs w:val="18"/>
              </w:rPr>
              <w:t>TOTAL GERAL</w:t>
            </w:r>
          </w:p>
        </w:tc>
        <w:tc>
          <w:tcPr>
            <w:tcW w:w="1421"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LO-normal"/>
              <w:widowControl w:val="false"/>
              <w:spacing w:lineRule="auto" w:line="276" w:before="0" w:after="120"/>
              <w:rPr>
                <w:sz w:val="18"/>
                <w:szCs w:val="18"/>
              </w:rPr>
            </w:pPr>
            <w:r>
              <w:rPr>
                <w:sz w:val="18"/>
                <w:szCs w:val="18"/>
              </w:rPr>
            </w:r>
            <w:bookmarkStart w:id="23" w:name="_Hlk1734072761"/>
            <w:bookmarkStart w:id="24" w:name="_Hlk1734072761"/>
            <w:bookmarkEnd w:id="24"/>
          </w:p>
        </w:tc>
      </w:tr>
    </w:tbl>
    <w:p>
      <w:pPr>
        <w:pStyle w:val="LO-normal"/>
        <w:keepNext w:val="true"/>
        <w:keepLines/>
        <w:tabs>
          <w:tab w:val="clear" w:pos="720"/>
          <w:tab w:val="left" w:pos="567" w:leader="none"/>
        </w:tabs>
        <w:spacing w:before="183" w:after="0"/>
        <w:jc w:val="both"/>
        <w:rPr>
          <w:sz w:val="19"/>
          <w:szCs w:val="19"/>
        </w:rPr>
      </w:pPr>
      <w:r>
        <w:rPr>
          <w:color w:val="000000"/>
          <w:sz w:val="19"/>
          <w:szCs w:val="19"/>
        </w:rPr>
        <w:t>1.3. São anexos a este instrumento e vinculam esta contratação, independentemente de transcrição:</w:t>
      </w:r>
    </w:p>
    <w:p>
      <w:pPr>
        <w:pStyle w:val="LO-normal"/>
        <w:tabs>
          <w:tab w:val="clear" w:pos="720"/>
          <w:tab w:val="left" w:pos="567" w:leader="none"/>
        </w:tabs>
        <w:spacing w:before="183" w:after="0"/>
        <w:jc w:val="both"/>
        <w:rPr>
          <w:sz w:val="19"/>
          <w:szCs w:val="19"/>
        </w:rPr>
      </w:pPr>
      <w:r>
        <w:rPr>
          <w:color w:val="000000"/>
          <w:sz w:val="19"/>
          <w:szCs w:val="19"/>
        </w:rPr>
        <w:t>1.3.1. O Termo de Referência que embasou a contratação;</w:t>
      </w:r>
    </w:p>
    <w:p>
      <w:pPr>
        <w:pStyle w:val="LO-normal"/>
        <w:tabs>
          <w:tab w:val="clear" w:pos="720"/>
          <w:tab w:val="left" w:pos="567" w:leader="none"/>
        </w:tabs>
        <w:spacing w:before="183" w:after="0"/>
        <w:jc w:val="both"/>
        <w:rPr>
          <w:sz w:val="19"/>
          <w:szCs w:val="19"/>
        </w:rPr>
      </w:pPr>
      <w:r>
        <w:rPr>
          <w:color w:val="000000"/>
          <w:sz w:val="19"/>
          <w:szCs w:val="19"/>
        </w:rPr>
        <w:t>1.3.2. A Autorização de Dispensa Eletrônica,</w:t>
      </w:r>
    </w:p>
    <w:p>
      <w:pPr>
        <w:pStyle w:val="LO-normal"/>
        <w:tabs>
          <w:tab w:val="clear" w:pos="720"/>
          <w:tab w:val="left" w:pos="567" w:leader="none"/>
        </w:tabs>
        <w:spacing w:before="183" w:after="0"/>
        <w:jc w:val="both"/>
        <w:rPr>
          <w:sz w:val="19"/>
          <w:szCs w:val="19"/>
        </w:rPr>
      </w:pPr>
      <w:r>
        <w:rPr>
          <w:color w:val="000000"/>
          <w:sz w:val="19"/>
          <w:szCs w:val="19"/>
        </w:rPr>
        <w:t>1.3.3.  A Proposta do Contratado;</w:t>
      </w:r>
    </w:p>
    <w:p>
      <w:pPr>
        <w:pStyle w:val="LO-normal"/>
        <w:tabs>
          <w:tab w:val="clear" w:pos="720"/>
          <w:tab w:val="left" w:pos="567" w:leader="none"/>
        </w:tabs>
        <w:spacing w:before="183" w:after="0"/>
        <w:jc w:val="both"/>
        <w:rPr>
          <w:sz w:val="19"/>
          <w:szCs w:val="19"/>
        </w:rPr>
      </w:pPr>
      <w:r>
        <w:rPr>
          <w:color w:val="000000"/>
          <w:sz w:val="19"/>
          <w:szCs w:val="19"/>
        </w:rPr>
        <w:t>1.3.4. Eventuais anexos dos documentos supracitados.</w:t>
      </w:r>
    </w:p>
    <w:p>
      <w:pPr>
        <w:pStyle w:val="LO-normal"/>
        <w:tabs>
          <w:tab w:val="clear" w:pos="720"/>
          <w:tab w:val="left" w:pos="567" w:leader="none"/>
        </w:tabs>
        <w:spacing w:before="240" w:after="0"/>
        <w:jc w:val="both"/>
        <w:rPr>
          <w:sz w:val="19"/>
          <w:szCs w:val="19"/>
        </w:rPr>
      </w:pPr>
      <w:r>
        <w:rPr>
          <w:b/>
          <w:color w:val="000000"/>
          <w:sz w:val="19"/>
          <w:szCs w:val="19"/>
        </w:rPr>
        <w:t>2. CLÁUSULA SEGUNDA – VIGÊNCIA E PRORROGAÇÃO</w:t>
      </w:r>
    </w:p>
    <w:p>
      <w:pPr>
        <w:pStyle w:val="LO-normal"/>
        <w:tabs>
          <w:tab w:val="clear" w:pos="720"/>
          <w:tab w:val="left" w:pos="567" w:leader="none"/>
        </w:tabs>
        <w:spacing w:before="240" w:after="0"/>
        <w:jc w:val="both"/>
        <w:rPr>
          <w:sz w:val="19"/>
          <w:szCs w:val="19"/>
        </w:rPr>
      </w:pPr>
      <w:r>
        <w:rPr>
          <w:color w:val="000000"/>
          <w:sz w:val="19"/>
          <w:szCs w:val="19"/>
        </w:rPr>
        <w:t xml:space="preserve">2.1. </w:t>
      </w:r>
      <w:r>
        <w:rPr>
          <w:color w:val="000000"/>
          <w:sz w:val="19"/>
          <w:szCs w:val="19"/>
          <w:shd w:fill="CAC6C6" w:val="clear"/>
        </w:rPr>
        <w:t xml:space="preserve">7.4. O prazo de vigência da contratação é de </w:t>
      </w:r>
      <w:r>
        <w:rPr>
          <w:rFonts w:eastAsia="Arial" w:cs="Arial"/>
          <w:color w:val="000000"/>
          <w:kern w:val="0"/>
          <w:sz w:val="19"/>
          <w:szCs w:val="19"/>
          <w:shd w:fill="CAC6C6" w:val="clear"/>
          <w:lang w:val="pt-BR" w:eastAsia="zh-CN" w:bidi="hi-IN"/>
        </w:rPr>
        <w:t>4 (quatro) meses.</w:t>
      </w:r>
    </w:p>
    <w:p>
      <w:pPr>
        <w:pStyle w:val="LO-normal"/>
        <w:tabs>
          <w:tab w:val="clear" w:pos="720"/>
          <w:tab w:val="left" w:pos="567" w:leader="none"/>
        </w:tabs>
        <w:spacing w:before="126" w:after="0"/>
        <w:jc w:val="both"/>
        <w:rPr>
          <w:sz w:val="19"/>
          <w:szCs w:val="19"/>
        </w:rPr>
      </w:pPr>
      <w:r>
        <w:rPr>
          <w:b/>
          <w:color w:val="000000"/>
          <w:sz w:val="19"/>
          <w:szCs w:val="19"/>
        </w:rPr>
        <w:t>3. CLÁUSULA TERCEIRA – MODELOS DE EXECUÇÃO E GESTÃO CONTRATUAIS (art. 92, IV, VII e XVIII)</w:t>
      </w:r>
    </w:p>
    <w:p>
      <w:pPr>
        <w:pStyle w:val="LO-normal"/>
        <w:tabs>
          <w:tab w:val="clear" w:pos="720"/>
          <w:tab w:val="left" w:pos="567" w:leader="none"/>
        </w:tabs>
        <w:spacing w:before="126" w:after="0"/>
        <w:jc w:val="both"/>
        <w:rPr>
          <w:sz w:val="19"/>
          <w:szCs w:val="19"/>
        </w:rPr>
      </w:pPr>
      <w:r>
        <w:rPr>
          <w:color w:val="000000"/>
          <w:sz w:val="19"/>
          <w:szCs w:val="19"/>
        </w:rPr>
        <w:t>3.1. O regime de execução contratual, o modelo de gestão, assim como os prazos e condições de conclusão, entrega, observação e recebimento definitivo constam no Termo de Referência, anexo a este Contrato.</w:t>
      </w:r>
    </w:p>
    <w:p>
      <w:pPr>
        <w:pStyle w:val="LO-normal"/>
        <w:tabs>
          <w:tab w:val="clear" w:pos="720"/>
          <w:tab w:val="left" w:pos="567" w:leader="none"/>
        </w:tabs>
        <w:spacing w:before="240" w:after="0"/>
        <w:jc w:val="both"/>
        <w:rPr>
          <w:sz w:val="19"/>
          <w:szCs w:val="19"/>
        </w:rPr>
      </w:pPr>
      <w:r>
        <w:rPr>
          <w:b/>
          <w:bCs/>
          <w:sz w:val="19"/>
          <w:szCs w:val="19"/>
        </w:rPr>
        <w:t xml:space="preserve">4. CLÁUSULA QUARTA - SUBCONTRATAÇÃO </w:t>
      </w:r>
    </w:p>
    <w:p>
      <w:pPr>
        <w:pStyle w:val="LO-normal"/>
        <w:spacing w:lineRule="auto" w:line="276" w:before="120" w:after="120"/>
        <w:jc w:val="both"/>
        <w:rPr>
          <w:sz w:val="19"/>
          <w:szCs w:val="19"/>
        </w:rPr>
      </w:pPr>
      <w:r>
        <w:rPr>
          <w:color w:val="000000"/>
          <w:sz w:val="19"/>
          <w:szCs w:val="19"/>
        </w:rPr>
        <w:t>4.1. Não será admitida a subcontratação do objeto contratual.</w:t>
      </w:r>
    </w:p>
    <w:p>
      <w:pPr>
        <w:pStyle w:val="LO-normal"/>
        <w:keepNext w:val="true"/>
        <w:keepLines/>
        <w:tabs>
          <w:tab w:val="clear" w:pos="720"/>
          <w:tab w:val="left" w:pos="567" w:leader="none"/>
        </w:tabs>
        <w:spacing w:before="240" w:after="0"/>
        <w:ind w:hanging="360" w:left="360"/>
        <w:jc w:val="both"/>
        <w:rPr>
          <w:sz w:val="19"/>
          <w:szCs w:val="19"/>
        </w:rPr>
      </w:pPr>
      <w:r>
        <w:rPr>
          <w:b/>
          <w:color w:val="000000"/>
          <w:sz w:val="19"/>
          <w:szCs w:val="19"/>
        </w:rPr>
        <w:t>5. CLÁUSULA QUINTA - PAGAMENTO (art. 92, V e VI)</w:t>
      </w:r>
    </w:p>
    <w:p>
      <w:pPr>
        <w:pStyle w:val="LO-normal"/>
        <w:spacing w:lineRule="auto" w:line="276" w:before="63" w:after="63"/>
        <w:jc w:val="both"/>
        <w:rPr>
          <w:sz w:val="19"/>
          <w:szCs w:val="19"/>
        </w:rPr>
      </w:pPr>
      <w:r>
        <w:rPr>
          <w:color w:val="000000"/>
          <w:sz w:val="19"/>
          <w:szCs w:val="19"/>
        </w:rPr>
        <w:t>5.1. PREÇO</w:t>
      </w:r>
    </w:p>
    <w:p>
      <w:pPr>
        <w:pStyle w:val="LO-normal"/>
        <w:spacing w:lineRule="auto" w:line="276" w:before="63" w:after="63"/>
        <w:ind w:hanging="0" w:left="709"/>
        <w:jc w:val="both"/>
        <w:rPr>
          <w:sz w:val="19"/>
          <w:szCs w:val="19"/>
        </w:rPr>
      </w:pPr>
      <w:r>
        <w:rPr>
          <w:color w:val="000000"/>
          <w:sz w:val="19"/>
          <w:szCs w:val="19"/>
        </w:rPr>
        <w:t xml:space="preserve">5.1.1. O valor </w:t>
      </w:r>
      <w:r>
        <w:rPr>
          <w:rFonts w:eastAsia="Arial" w:cs="Arial"/>
          <w:color w:val="000000"/>
          <w:kern w:val="0"/>
          <w:sz w:val="19"/>
          <w:szCs w:val="19"/>
          <w:lang w:val="pt-BR" w:eastAsia="zh-CN" w:bidi="hi-IN"/>
        </w:rPr>
        <w:t>total</w:t>
      </w:r>
      <w:r>
        <w:rPr>
          <w:color w:val="000000"/>
          <w:sz w:val="19"/>
          <w:szCs w:val="19"/>
        </w:rPr>
        <w:t xml:space="preserve"> da contratação é de R$ ________________(________________________________________).</w:t>
      </w:r>
    </w:p>
    <w:p>
      <w:pPr>
        <w:pStyle w:val="LO-normal"/>
        <w:spacing w:lineRule="auto" w:line="276" w:before="120" w:after="120"/>
        <w:ind w:hanging="0" w:left="709"/>
        <w:jc w:val="both"/>
        <w:rPr>
          <w:sz w:val="19"/>
          <w:szCs w:val="19"/>
        </w:rPr>
      </w:pPr>
      <w:r>
        <w:rPr>
          <w:sz w:val="19"/>
          <w:szCs w:val="19"/>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
        <w:spacing w:lineRule="auto" w:line="276" w:before="120" w:after="120"/>
        <w:jc w:val="both"/>
        <w:rPr>
          <w:sz w:val="19"/>
          <w:szCs w:val="19"/>
        </w:rPr>
      </w:pPr>
      <w:r>
        <w:rPr>
          <w:b/>
          <w:color w:val="000000"/>
          <w:sz w:val="19"/>
          <w:szCs w:val="19"/>
        </w:rPr>
        <w:t>5.2. FORMA DE PAGAMENTO</w:t>
      </w:r>
    </w:p>
    <w:p>
      <w:pPr>
        <w:pStyle w:val="LO-normal"/>
        <w:spacing w:lineRule="auto" w:line="276" w:before="120" w:after="120"/>
        <w:ind w:hanging="0" w:left="709"/>
        <w:jc w:val="both"/>
        <w:rPr>
          <w:sz w:val="19"/>
          <w:szCs w:val="19"/>
        </w:rPr>
      </w:pPr>
      <w:r>
        <w:rPr>
          <w:color w:val="000000"/>
          <w:sz w:val="19"/>
          <w:szCs w:val="19"/>
        </w:rPr>
        <w:t>5.2.1. O pagamento será realizado através de ordem bancária, para crédito em banco, agência e conta corrente indicados pelo contratado.</w:t>
      </w:r>
    </w:p>
    <w:p>
      <w:pPr>
        <w:pStyle w:val="LO-normal"/>
        <w:spacing w:lineRule="auto" w:line="276" w:before="120" w:after="120"/>
        <w:jc w:val="both"/>
        <w:rPr>
          <w:sz w:val="19"/>
          <w:szCs w:val="19"/>
        </w:rPr>
      </w:pPr>
      <w:r>
        <w:rPr>
          <w:b/>
          <w:color w:val="000000"/>
          <w:sz w:val="19"/>
          <w:szCs w:val="19"/>
        </w:rPr>
        <w:t>5.3. PRAZO DE PAGAMENTO</w:t>
      </w:r>
    </w:p>
    <w:p>
      <w:pPr>
        <w:pStyle w:val="LO-normal"/>
        <w:spacing w:lineRule="auto" w:line="276" w:before="120" w:after="120"/>
        <w:ind w:hanging="0" w:left="709"/>
        <w:jc w:val="both"/>
        <w:rPr>
          <w:sz w:val="19"/>
          <w:szCs w:val="19"/>
        </w:rPr>
      </w:pPr>
      <w:r>
        <w:rPr>
          <w:color w:val="000000"/>
          <w:sz w:val="19"/>
          <w:szCs w:val="19"/>
        </w:rPr>
        <w:t xml:space="preserve">5.3.1. O </w:t>
      </w:r>
      <w:r>
        <w:rPr>
          <w:sz w:val="19"/>
          <w:szCs w:val="19"/>
        </w:rPr>
        <w:t>pagamento</w:t>
      </w:r>
      <w:r>
        <w:rPr>
          <w:color w:val="000000"/>
          <w:sz w:val="19"/>
          <w:szCs w:val="19"/>
        </w:rPr>
        <w:t xml:space="preserve"> será efetuado no prazo máximo de até 30 (trinta)</w:t>
      </w:r>
      <w:r>
        <w:rPr>
          <w:color w:val="FF0000"/>
          <w:sz w:val="19"/>
          <w:szCs w:val="19"/>
        </w:rPr>
        <w:t xml:space="preserve"> </w:t>
      </w:r>
      <w:r>
        <w:rPr>
          <w:color w:val="000000"/>
          <w:sz w:val="19"/>
          <w:szCs w:val="19"/>
        </w:rPr>
        <w:t>dias, contados do recebimento da Nota Fiscal/Fatura.</w:t>
      </w:r>
    </w:p>
    <w:p>
      <w:pPr>
        <w:pStyle w:val="LO-normal"/>
        <w:spacing w:lineRule="auto" w:line="276" w:before="120" w:after="120"/>
        <w:ind w:hanging="0" w:left="709"/>
        <w:jc w:val="both"/>
        <w:rPr>
          <w:sz w:val="19"/>
          <w:szCs w:val="19"/>
        </w:rPr>
      </w:pPr>
      <w:r>
        <w:rPr>
          <w:color w:val="000000"/>
          <w:sz w:val="19"/>
          <w:szCs w:val="19"/>
        </w:rPr>
        <w:t>5.3.2. Considera-se ocorrido o recebimento da nota fiscal ou fatura quando o órgão contratante atestar a execução do objeto do contrato.</w:t>
      </w:r>
    </w:p>
    <w:p>
      <w:pPr>
        <w:pStyle w:val="LO-normal"/>
        <w:spacing w:lineRule="auto" w:line="276" w:before="120" w:after="120"/>
        <w:ind w:hanging="0" w:left="709"/>
        <w:jc w:val="both"/>
        <w:rPr>
          <w:sz w:val="19"/>
          <w:szCs w:val="19"/>
        </w:rPr>
      </w:pPr>
      <w:r>
        <w:rPr>
          <w:color w:val="000000"/>
          <w:sz w:val="19"/>
          <w:szCs w:val="19"/>
        </w:rPr>
        <w:t>5.3.3. No caso de atraso pelo Contratante, os valores devidos ao contratado serão atualizados monetariamente entre o termo final do prazo de pagamento até a data de sua efetiva realização, mediante aplicação do índice IPCA de correção monetária.</w:t>
      </w:r>
    </w:p>
    <w:p>
      <w:pPr>
        <w:pStyle w:val="LO-normal"/>
        <w:spacing w:lineRule="auto" w:line="276" w:before="120" w:after="120"/>
        <w:jc w:val="both"/>
        <w:rPr>
          <w:sz w:val="19"/>
          <w:szCs w:val="19"/>
        </w:rPr>
      </w:pPr>
      <w:r>
        <w:rPr>
          <w:b/>
          <w:color w:val="000000"/>
          <w:sz w:val="19"/>
          <w:szCs w:val="19"/>
        </w:rPr>
        <w:t>5.4. CONDIÇÕES DE PAGAMENTO</w:t>
      </w:r>
    </w:p>
    <w:p>
      <w:pPr>
        <w:pStyle w:val="LO-normal"/>
        <w:spacing w:lineRule="auto" w:line="276" w:before="120" w:after="120"/>
        <w:ind w:hanging="0" w:left="709"/>
        <w:jc w:val="both"/>
        <w:rPr>
          <w:sz w:val="19"/>
          <w:szCs w:val="19"/>
        </w:rPr>
      </w:pPr>
      <w:r>
        <w:rPr>
          <w:sz w:val="19"/>
          <w:szCs w:val="19"/>
        </w:rPr>
        <w:t xml:space="preserve">5.4.1. A emissão da </w:t>
      </w:r>
      <w:r>
        <w:rPr>
          <w:color w:val="000000"/>
          <w:sz w:val="19"/>
          <w:szCs w:val="19"/>
        </w:rPr>
        <w:t>Nota Fiscal/Fatura será precedida do recebimento definitivo do objeto da contratação, conforme disposto neste instrumento e/ou no Termo de Referência.</w:t>
      </w:r>
    </w:p>
    <w:p>
      <w:pPr>
        <w:pStyle w:val="LO-normal"/>
        <w:spacing w:lineRule="auto" w:line="276" w:before="120" w:after="120"/>
        <w:ind w:hanging="0" w:left="709"/>
        <w:jc w:val="both"/>
        <w:rPr>
          <w:sz w:val="19"/>
          <w:szCs w:val="19"/>
        </w:rPr>
      </w:pPr>
      <w:r>
        <w:rPr>
          <w:sz w:val="19"/>
          <w:szCs w:val="19"/>
        </w:rPr>
        <w:t xml:space="preserve">5.4.2. </w:t>
      </w:r>
      <w:r>
        <w:rPr>
          <w:color w:val="000000"/>
          <w:sz w:val="19"/>
          <w:szCs w:val="19"/>
        </w:rPr>
        <w:t>Quando houver glosa parcial do objeto, o contratante deverá comunicar a empresa para que emita a nota fiscal ou fatura com o valor exato dimensionado.</w:t>
      </w:r>
    </w:p>
    <w:p>
      <w:pPr>
        <w:pStyle w:val="LO-normal"/>
        <w:spacing w:lineRule="auto" w:line="276" w:before="120" w:after="120"/>
        <w:ind w:hanging="0" w:left="709"/>
        <w:jc w:val="both"/>
        <w:rPr>
          <w:sz w:val="19"/>
          <w:szCs w:val="19"/>
        </w:rPr>
      </w:pPr>
      <w:r>
        <w:rPr>
          <w:sz w:val="19"/>
          <w:szCs w:val="19"/>
        </w:rPr>
        <w:t>5.</w:t>
      </w:r>
      <w:r>
        <w:rPr>
          <w:color w:val="000000"/>
          <w:sz w:val="19"/>
          <w:szCs w:val="19"/>
        </w:rPr>
        <w:t xml:space="preserve">4.3. O setor competente para proceder o pagamento deve verificar se a Nota Fiscal ou Fatura apresentada expressa os elementos necessários e essenciais do documento, tais como: </w:t>
      </w:r>
    </w:p>
    <w:p>
      <w:pPr>
        <w:pStyle w:val="LO-normal"/>
        <w:spacing w:lineRule="auto" w:line="276" w:before="120" w:after="120"/>
        <w:ind w:firstLine="490" w:left="709"/>
        <w:jc w:val="both"/>
        <w:rPr>
          <w:sz w:val="19"/>
          <w:szCs w:val="19"/>
        </w:rPr>
      </w:pPr>
      <w:r>
        <w:rPr>
          <w:color w:val="000000"/>
          <w:sz w:val="19"/>
          <w:szCs w:val="19"/>
        </w:rPr>
        <w:t xml:space="preserve">a) o prazo de validade; </w:t>
      </w:r>
    </w:p>
    <w:p>
      <w:pPr>
        <w:pStyle w:val="LO-normal"/>
        <w:spacing w:lineRule="auto" w:line="276" w:before="120" w:after="120"/>
        <w:ind w:firstLine="490" w:left="709"/>
        <w:jc w:val="both"/>
        <w:rPr>
          <w:sz w:val="19"/>
          <w:szCs w:val="19"/>
        </w:rPr>
      </w:pPr>
      <w:r>
        <w:rPr>
          <w:color w:val="000000"/>
          <w:sz w:val="19"/>
          <w:szCs w:val="19"/>
        </w:rPr>
        <w:t xml:space="preserve">b) a data da emissão; </w:t>
      </w:r>
    </w:p>
    <w:p>
      <w:pPr>
        <w:pStyle w:val="LO-normal"/>
        <w:spacing w:lineRule="auto" w:line="276" w:before="120" w:after="120"/>
        <w:ind w:firstLine="490" w:left="709"/>
        <w:jc w:val="both"/>
        <w:rPr>
          <w:sz w:val="19"/>
          <w:szCs w:val="19"/>
        </w:rPr>
      </w:pPr>
      <w:r>
        <w:rPr>
          <w:color w:val="000000"/>
          <w:sz w:val="19"/>
          <w:szCs w:val="19"/>
        </w:rPr>
        <w:t xml:space="preserve">c) os dados do contrato e do órgão contratante; </w:t>
      </w:r>
    </w:p>
    <w:p>
      <w:pPr>
        <w:pStyle w:val="LO-normal"/>
        <w:spacing w:lineRule="auto" w:line="276" w:before="120" w:after="120"/>
        <w:ind w:firstLine="490" w:left="709"/>
        <w:jc w:val="both"/>
        <w:rPr>
          <w:sz w:val="19"/>
          <w:szCs w:val="19"/>
        </w:rPr>
      </w:pPr>
      <w:r>
        <w:rPr>
          <w:color w:val="000000"/>
          <w:sz w:val="19"/>
          <w:szCs w:val="19"/>
        </w:rPr>
        <w:t xml:space="preserve">d) o período respectivo de execução do contrato; </w:t>
      </w:r>
    </w:p>
    <w:p>
      <w:pPr>
        <w:pStyle w:val="LO-normal"/>
        <w:spacing w:lineRule="auto" w:line="276" w:before="120" w:after="120"/>
        <w:ind w:firstLine="490" w:left="709"/>
        <w:jc w:val="both"/>
        <w:rPr>
          <w:sz w:val="19"/>
          <w:szCs w:val="19"/>
        </w:rPr>
      </w:pPr>
      <w:r>
        <w:rPr>
          <w:color w:val="000000"/>
          <w:sz w:val="19"/>
          <w:szCs w:val="19"/>
        </w:rPr>
        <w:t xml:space="preserve">e) o valor a pagar; e </w:t>
      </w:r>
    </w:p>
    <w:p>
      <w:pPr>
        <w:pStyle w:val="LO-normal"/>
        <w:spacing w:lineRule="auto" w:line="276" w:before="120" w:after="120"/>
        <w:ind w:firstLine="490" w:left="709"/>
        <w:jc w:val="both"/>
        <w:rPr>
          <w:sz w:val="19"/>
          <w:szCs w:val="19"/>
        </w:rPr>
      </w:pPr>
      <w:r>
        <w:rPr>
          <w:color w:val="000000"/>
          <w:sz w:val="19"/>
          <w:szCs w:val="19"/>
        </w:rPr>
        <w:t>f) eventual destaque do valor de retenções tributárias cabíveis.</w:t>
      </w:r>
    </w:p>
    <w:p>
      <w:pPr>
        <w:pStyle w:val="LO-normal"/>
        <w:spacing w:lineRule="auto" w:line="276" w:before="120" w:after="120"/>
        <w:ind w:hanging="0" w:left="709"/>
        <w:jc w:val="both"/>
        <w:rPr>
          <w:sz w:val="19"/>
          <w:szCs w:val="19"/>
        </w:rPr>
      </w:pPr>
      <w:r>
        <w:rPr>
          <w:sz w:val="19"/>
          <w:szCs w:val="19"/>
        </w:rPr>
        <w:t xml:space="preserve">5.4.4. Havendo erro </w:t>
      </w:r>
      <w:r>
        <w:rPr>
          <w:color w:val="000000"/>
          <w:sz w:val="19"/>
          <w:szCs w:val="19"/>
        </w:rPr>
        <w:t>na</w:t>
      </w:r>
      <w:r>
        <w:rPr>
          <w:sz w:val="19"/>
          <w:szCs w:val="19"/>
        </w:rPr>
        <w:t xml:space="preserve"> apresentação da Nota Fiscal/Fatura, ou circunstância que impeça a liquidação da </w:t>
      </w:r>
      <w:r>
        <w:rPr>
          <w:color w:val="000000"/>
          <w:sz w:val="19"/>
          <w:szCs w:val="19"/>
        </w:rPr>
        <w:t>despesa</w:t>
      </w:r>
      <w:r>
        <w:rPr>
          <w:sz w:val="19"/>
          <w:szCs w:val="19"/>
        </w:rPr>
        <w:t>, o pagamento ficará sobrestado até que o contratado providencie as medidas saneadoras. Nessa hipótese, o prazo para pagamento iniciar-se-á após a comprovação da regularização da situação, não acarretando qualquer ônus para o contratante;</w:t>
      </w:r>
    </w:p>
    <w:p>
      <w:pPr>
        <w:pStyle w:val="LO-normal"/>
        <w:spacing w:lineRule="auto" w:line="276" w:before="120" w:after="120"/>
        <w:ind w:hanging="0" w:left="708"/>
        <w:jc w:val="both"/>
        <w:rPr>
          <w:sz w:val="19"/>
          <w:szCs w:val="19"/>
        </w:rPr>
      </w:pPr>
      <w:r>
        <w:rPr>
          <w:color w:val="000000"/>
          <w:sz w:val="19"/>
          <w:szCs w:val="19"/>
        </w:rPr>
        <w:t xml:space="preserve">5.4.5. A Nota Fiscal ou Fatura deverá ser obrigatoriamente acompanhada da comprovação da regularidade fiscal, constatada por meio de consulta </w:t>
      </w:r>
      <w:r>
        <w:rPr>
          <w:i/>
          <w:color w:val="000000"/>
          <w:sz w:val="19"/>
          <w:szCs w:val="19"/>
        </w:rPr>
        <w:t>on-line</w:t>
      </w:r>
      <w:r>
        <w:rPr>
          <w:color w:val="000000"/>
          <w:sz w:val="19"/>
          <w:szCs w:val="19"/>
        </w:rPr>
        <w:t xml:space="preserve"> ao SICAF ou, na impossibilidade de acesso ao referido Sistema, mediante consulta aos sítios eletrônicos oficiais ou à documentação mencionada no art. 68 da Lei nº </w:t>
      </w:r>
      <w:r>
        <w:rPr>
          <w:sz w:val="19"/>
          <w:szCs w:val="19"/>
        </w:rPr>
        <w:t xml:space="preserve">14.133/2021. </w:t>
      </w:r>
      <w:r>
        <w:rPr>
          <w:color w:val="000000"/>
          <w:sz w:val="19"/>
          <w:szCs w:val="19"/>
        </w:rPr>
        <w:t xml:space="preserve">  </w:t>
      </w:r>
    </w:p>
    <w:p>
      <w:pPr>
        <w:pStyle w:val="LO-normal"/>
        <w:spacing w:lineRule="auto" w:line="276" w:before="120" w:after="120"/>
        <w:ind w:hanging="0" w:left="708"/>
        <w:jc w:val="both"/>
        <w:rPr>
          <w:sz w:val="19"/>
          <w:szCs w:val="19"/>
        </w:rPr>
      </w:pPr>
      <w:r>
        <w:rPr>
          <w:color w:val="000000"/>
          <w:sz w:val="19"/>
          <w:szCs w:val="19"/>
        </w:rPr>
        <w:t xml:space="preserve">5.4.6. </w:t>
      </w:r>
      <w:r>
        <w:rPr>
          <w:sz w:val="19"/>
          <w:szCs w:val="19"/>
        </w:rPr>
        <w:t xml:space="preserve">Previamente à emissão de nota de empenho e a cada pagamento, a Administração deverá realizar consulta ao </w:t>
      </w:r>
      <w:r>
        <w:rPr>
          <w:color w:val="000000"/>
          <w:sz w:val="19"/>
          <w:szCs w:val="19"/>
        </w:rPr>
        <w:t>SICAF</w:t>
      </w:r>
      <w:r>
        <w:rPr>
          <w:sz w:val="19"/>
          <w:szCs w:val="19"/>
        </w:rPr>
        <w:t xml:space="preserve"> para:</w:t>
      </w:r>
    </w:p>
    <w:p>
      <w:pPr>
        <w:pStyle w:val="LO-normal"/>
        <w:spacing w:lineRule="auto" w:line="276" w:before="120" w:after="120"/>
        <w:ind w:hanging="0" w:left="708"/>
        <w:jc w:val="both"/>
        <w:rPr>
          <w:sz w:val="19"/>
          <w:szCs w:val="19"/>
        </w:rPr>
      </w:pPr>
      <w:r>
        <w:rPr>
          <w:sz w:val="19"/>
          <w:szCs w:val="19"/>
        </w:rPr>
        <w:t xml:space="preserve">a) verificar a manutenção das condições de habilitação exigidas no edital; </w:t>
      </w:r>
    </w:p>
    <w:p>
      <w:pPr>
        <w:pStyle w:val="LO-normal"/>
        <w:spacing w:lineRule="auto" w:line="276" w:before="120" w:after="120"/>
        <w:ind w:hanging="0" w:left="708"/>
        <w:jc w:val="both"/>
        <w:rPr>
          <w:sz w:val="19"/>
          <w:szCs w:val="19"/>
        </w:rPr>
      </w:pPr>
      <w:r>
        <w:rPr>
          <w:sz w:val="19"/>
          <w:szCs w:val="19"/>
        </w:rPr>
        <w:t>b) identificar possível razão que impeça a participação em licitação, no âmbito do órgão ou entidade, proibição de contratar com o Poder Público, bem como ocorrências impeditivas indiretas.</w:t>
      </w:r>
    </w:p>
    <w:p>
      <w:pPr>
        <w:pStyle w:val="LO-normal"/>
        <w:spacing w:lineRule="auto" w:line="276" w:before="120" w:after="120"/>
        <w:ind w:hanging="0" w:left="708"/>
        <w:jc w:val="both"/>
        <w:rPr>
          <w:sz w:val="19"/>
          <w:szCs w:val="19"/>
        </w:rPr>
      </w:pPr>
      <w:r>
        <w:rPr>
          <w:color w:val="000000"/>
          <w:sz w:val="19"/>
          <w:szCs w:val="19"/>
        </w:rPr>
        <w:t>5.</w:t>
      </w:r>
      <w:r>
        <w:rPr>
          <w:sz w:val="19"/>
          <w:szCs w:val="19"/>
        </w:rPr>
        <w:t xml:space="preserve">4.7. Constatando-se, junto ao SICAF, a situação de irregularidade do contratado, será providenciada sua </w:t>
      </w:r>
      <w:r>
        <w:rPr>
          <w:color w:val="000000"/>
          <w:sz w:val="19"/>
          <w:szCs w:val="19"/>
        </w:rPr>
        <w:t>notificação</w:t>
      </w:r>
      <w:r>
        <w:rPr>
          <w:sz w:val="19"/>
          <w:szCs w:val="19"/>
        </w:rPr>
        <w:t>, por escrito, para que, no prazo de 5 (cinco) dias úteis, regularize sua situação ou, no mesmo prazo, apresente sua defesa. O prazo poderá ser prorrogado uma vez, por igual período, a critério do contratante.</w:t>
      </w:r>
    </w:p>
    <w:p>
      <w:pPr>
        <w:pStyle w:val="LO-normal"/>
        <w:spacing w:lineRule="auto" w:line="276" w:before="120" w:after="120"/>
        <w:ind w:hanging="0" w:left="709"/>
        <w:jc w:val="both"/>
        <w:rPr>
          <w:sz w:val="19"/>
          <w:szCs w:val="19"/>
        </w:rPr>
      </w:pPr>
      <w:r>
        <w:rPr>
          <w:color w:val="000000"/>
          <w:sz w:val="19"/>
          <w:szCs w:val="19"/>
        </w:rPr>
        <w:t>5.</w:t>
      </w:r>
      <w:r>
        <w:rPr>
          <w:sz w:val="19"/>
          <w:szCs w:val="19"/>
        </w:rPr>
        <w:t>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O-normal"/>
        <w:spacing w:lineRule="auto" w:line="276" w:before="120" w:after="120"/>
        <w:ind w:hanging="0" w:left="708"/>
        <w:jc w:val="both"/>
        <w:rPr>
          <w:sz w:val="19"/>
          <w:szCs w:val="19"/>
        </w:rPr>
      </w:pPr>
      <w:r>
        <w:rPr>
          <w:color w:val="000000"/>
          <w:sz w:val="19"/>
          <w:szCs w:val="19"/>
        </w:rPr>
        <w:t>5.</w:t>
      </w:r>
      <w:r>
        <w:rPr>
          <w:sz w:val="19"/>
          <w:szCs w:val="19"/>
        </w:rPr>
        <w:t xml:space="preserve">4.9. Persistindo a irregularidade, o contratante deverá adotar as medidas necessárias à rescisão contratual nos autos do processo administrativo correspondente, assegurada ao contratado a ampla defesa. </w:t>
      </w:r>
    </w:p>
    <w:p>
      <w:pPr>
        <w:pStyle w:val="LO-normal"/>
        <w:spacing w:lineRule="auto" w:line="276" w:before="120" w:after="120"/>
        <w:ind w:hanging="0" w:left="708"/>
        <w:jc w:val="both"/>
        <w:rPr>
          <w:sz w:val="19"/>
          <w:szCs w:val="19"/>
        </w:rPr>
      </w:pPr>
      <w:r>
        <w:rPr>
          <w:color w:val="000000"/>
          <w:sz w:val="19"/>
          <w:szCs w:val="19"/>
        </w:rPr>
        <w:t>5.</w:t>
      </w:r>
      <w:r>
        <w:rPr>
          <w:sz w:val="19"/>
          <w:szCs w:val="19"/>
        </w:rPr>
        <w:t>4.10. Havendo a efetiva execução do objeto, os pagamentos serão realizados normalmente, até que se decida pela rescisão do contrato, caso o contratado não regularize sua situação junto ao SICAF.</w:t>
      </w:r>
    </w:p>
    <w:p>
      <w:pPr>
        <w:pStyle w:val="LO-normal"/>
        <w:spacing w:lineRule="auto" w:line="276" w:before="120" w:after="120"/>
        <w:ind w:hanging="0" w:left="708"/>
        <w:jc w:val="both"/>
        <w:rPr>
          <w:sz w:val="19"/>
          <w:szCs w:val="19"/>
        </w:rPr>
      </w:pPr>
      <w:r>
        <w:rPr>
          <w:color w:val="000000"/>
          <w:sz w:val="19"/>
          <w:szCs w:val="19"/>
        </w:rPr>
        <w:t>5.</w:t>
      </w:r>
      <w:r>
        <w:rPr>
          <w:sz w:val="19"/>
          <w:szCs w:val="19"/>
        </w:rPr>
        <w:t>4.11. Quando do pagamento, será efetuada a retenção tributária prevista na legislação aplicável.</w:t>
      </w:r>
    </w:p>
    <w:p>
      <w:pPr>
        <w:pStyle w:val="LO-normal"/>
        <w:spacing w:lineRule="auto" w:line="276" w:before="120" w:after="120"/>
        <w:ind w:hanging="0" w:left="1416"/>
        <w:jc w:val="both"/>
        <w:rPr>
          <w:sz w:val="19"/>
          <w:szCs w:val="19"/>
        </w:rPr>
      </w:pPr>
      <w:r>
        <w:rPr>
          <w:color w:val="000000"/>
          <w:sz w:val="19"/>
          <w:szCs w:val="19"/>
        </w:rPr>
        <w:t>5.</w:t>
      </w:r>
      <w:r>
        <w:rPr>
          <w:sz w:val="19"/>
          <w:szCs w:val="19"/>
        </w:rPr>
        <w:t>4.11.1. Independentemente do percentual de tributo inserido na planilha, no pagamento serão retidos na fonte os percentuais estabelecidos na legislação vigente.</w:t>
      </w:r>
    </w:p>
    <w:p>
      <w:pPr>
        <w:pStyle w:val="LO-normal"/>
        <w:spacing w:lineRule="auto" w:line="276" w:before="120" w:after="120"/>
        <w:ind w:hanging="0" w:left="1416"/>
        <w:jc w:val="both"/>
        <w:rPr>
          <w:sz w:val="19"/>
          <w:szCs w:val="19"/>
        </w:rPr>
      </w:pPr>
      <w:r>
        <w:rPr>
          <w:color w:val="000000"/>
          <w:sz w:val="19"/>
          <w:szCs w:val="19"/>
        </w:rPr>
        <w:t>5.4.11.2.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
        <w:spacing w:lineRule="auto" w:line="276" w:before="120" w:after="120"/>
        <w:jc w:val="both"/>
        <w:rPr>
          <w:sz w:val="19"/>
          <w:szCs w:val="19"/>
        </w:rPr>
      </w:pPr>
      <w:r>
        <w:rPr>
          <w:b/>
          <w:color w:val="000000"/>
          <w:sz w:val="19"/>
          <w:szCs w:val="19"/>
        </w:rPr>
        <w:t>6. CLÁUSULA SEXTA - RE</w:t>
      </w:r>
      <w:r>
        <w:rPr>
          <w:rFonts w:eastAsia="Arial" w:cs="Arial"/>
          <w:b/>
          <w:color w:val="000000"/>
          <w:kern w:val="0"/>
          <w:sz w:val="19"/>
          <w:szCs w:val="19"/>
          <w:lang w:val="pt-BR" w:eastAsia="zh-CN" w:bidi="hi-IN"/>
        </w:rPr>
        <w:t>AJUSTE</w:t>
      </w:r>
      <w:r>
        <w:rPr>
          <w:b/>
          <w:color w:val="000000"/>
          <w:sz w:val="19"/>
          <w:szCs w:val="19"/>
        </w:rPr>
        <w:t xml:space="preserve"> (art. 92, V)</w:t>
      </w:r>
    </w:p>
    <w:p>
      <w:pPr>
        <w:pStyle w:val="LO-normal"/>
        <w:spacing w:lineRule="auto" w:line="276" w:before="120" w:after="160"/>
        <w:jc w:val="both"/>
        <w:rPr>
          <w:sz w:val="19"/>
          <w:szCs w:val="19"/>
        </w:rPr>
      </w:pPr>
      <w:r>
        <w:rPr>
          <w:sz w:val="19"/>
          <w:szCs w:val="19"/>
        </w:rPr>
        <w:t xml:space="preserve">6.1. Os preços inicialmente contratados são fixos e irreajustáveis no prazo de 6 (seis) meses contados da data da </w:t>
      </w:r>
      <w:r>
        <w:rPr>
          <w:rFonts w:eastAsia="Arial" w:cs="Arial"/>
          <w:color w:val="auto"/>
          <w:kern w:val="0"/>
          <w:sz w:val="19"/>
          <w:szCs w:val="19"/>
          <w:lang w:val="pt-BR" w:eastAsia="zh-CN" w:bidi="hi-IN"/>
        </w:rPr>
        <w:t>assinatura do contrato.</w:t>
      </w:r>
    </w:p>
    <w:p>
      <w:pPr>
        <w:pStyle w:val="LO-normal"/>
        <w:keepNext w:val="true"/>
        <w:keepLines/>
        <w:tabs>
          <w:tab w:val="clear" w:pos="720"/>
          <w:tab w:val="left" w:pos="567" w:leader="none"/>
        </w:tabs>
        <w:spacing w:before="240" w:after="0"/>
        <w:jc w:val="both"/>
        <w:rPr>
          <w:sz w:val="19"/>
          <w:szCs w:val="19"/>
        </w:rPr>
      </w:pPr>
      <w:r>
        <w:rPr>
          <w:b/>
          <w:color w:val="000000"/>
          <w:sz w:val="19"/>
          <w:szCs w:val="19"/>
        </w:rPr>
        <w:t>7. CLÁUSULA SÉTIMA - OBRIGAÇÕES DO CONTRATANTE (art. 92, X, XI e XIV)</w:t>
      </w:r>
    </w:p>
    <w:p>
      <w:pPr>
        <w:pStyle w:val="LO-normal"/>
        <w:spacing w:lineRule="auto" w:line="276" w:before="120" w:after="120"/>
        <w:jc w:val="both"/>
        <w:rPr>
          <w:sz w:val="19"/>
          <w:szCs w:val="19"/>
        </w:rPr>
      </w:pPr>
      <w:r>
        <w:rPr>
          <w:sz w:val="19"/>
          <w:szCs w:val="19"/>
        </w:rPr>
        <w:t>7.1. São obrigações do Contratante:</w:t>
      </w:r>
    </w:p>
    <w:p>
      <w:pPr>
        <w:pStyle w:val="LO-normal"/>
        <w:spacing w:lineRule="auto" w:line="276" w:before="120" w:after="120"/>
        <w:ind w:hanging="0" w:left="708"/>
        <w:jc w:val="both"/>
        <w:rPr>
          <w:sz w:val="19"/>
          <w:szCs w:val="19"/>
        </w:rPr>
      </w:pPr>
      <w:r>
        <w:rPr>
          <w:sz w:val="19"/>
          <w:szCs w:val="19"/>
        </w:rPr>
        <w:t>7.1.1. Exigir</w:t>
      </w:r>
      <w:r>
        <w:rPr>
          <w:color w:val="000000"/>
          <w:sz w:val="19"/>
          <w:szCs w:val="19"/>
        </w:rPr>
        <w:t xml:space="preserve"> o cumprimento de todas as obrigações assumidas pelo Contratado, de acordo com o contrato e seus anexos;</w:t>
      </w:r>
    </w:p>
    <w:p>
      <w:pPr>
        <w:pStyle w:val="LO-normal"/>
        <w:spacing w:lineRule="auto" w:line="276" w:before="120" w:after="120"/>
        <w:ind w:hanging="0" w:left="708"/>
        <w:jc w:val="both"/>
        <w:rPr>
          <w:sz w:val="19"/>
          <w:szCs w:val="19"/>
        </w:rPr>
      </w:pPr>
      <w:r>
        <w:rPr>
          <w:sz w:val="19"/>
          <w:szCs w:val="19"/>
        </w:rPr>
        <w:t>7.1.2. Receber o objeto no prazo e condições estabelecidas no Termo de Referência;</w:t>
      </w:r>
    </w:p>
    <w:p>
      <w:pPr>
        <w:pStyle w:val="LO-normal"/>
        <w:spacing w:lineRule="auto" w:line="276" w:before="120" w:after="120"/>
        <w:ind w:hanging="0" w:left="708"/>
        <w:jc w:val="both"/>
        <w:rPr>
          <w:sz w:val="19"/>
          <w:szCs w:val="19"/>
        </w:rPr>
      </w:pPr>
      <w:r>
        <w:rPr>
          <w:color w:val="000000"/>
          <w:sz w:val="19"/>
          <w:szCs w:val="19"/>
        </w:rPr>
        <w:t>7.1.3. Notificar o Contratado</w:t>
      </w:r>
      <w:r>
        <w:rPr>
          <w:sz w:val="19"/>
          <w:szCs w:val="19"/>
        </w:rPr>
        <w:t>, por escrito, sobre vícios, defeitos ou incorreções verificadas no objeto fornecido, para que seja por ele substituído, reparado ou corrigido, no total ou em parte, às suas expensas;</w:t>
      </w:r>
    </w:p>
    <w:p>
      <w:pPr>
        <w:pStyle w:val="LO-normal"/>
        <w:spacing w:lineRule="auto" w:line="276" w:before="120" w:after="120"/>
        <w:ind w:hanging="0" w:left="708"/>
        <w:jc w:val="both"/>
        <w:rPr>
          <w:sz w:val="19"/>
          <w:szCs w:val="19"/>
        </w:rPr>
      </w:pPr>
      <w:r>
        <w:rPr>
          <w:sz w:val="19"/>
          <w:szCs w:val="19"/>
        </w:rPr>
        <w:t>7.1.4. Acompanhar e fiscalizar a execução do contrato e o cumprimento das obrigações pelo Contratado</w:t>
      </w:r>
      <w:r>
        <w:rPr>
          <w:color w:val="000000"/>
          <w:sz w:val="19"/>
          <w:szCs w:val="19"/>
        </w:rPr>
        <w:t>;</w:t>
      </w:r>
    </w:p>
    <w:p>
      <w:pPr>
        <w:pStyle w:val="LO-normal"/>
        <w:spacing w:lineRule="auto" w:line="276" w:before="120" w:after="120"/>
        <w:ind w:hanging="0" w:left="709"/>
        <w:jc w:val="both"/>
        <w:rPr>
          <w:sz w:val="19"/>
          <w:szCs w:val="19"/>
        </w:rPr>
      </w:pPr>
      <w:r>
        <w:rPr>
          <w:sz w:val="19"/>
          <w:szCs w:val="19"/>
        </w:rPr>
        <w:t>7.1.5. Efetuar o pagamento ao Contratado</w:t>
      </w:r>
      <w:r>
        <w:rPr>
          <w:b/>
          <w:sz w:val="19"/>
          <w:szCs w:val="19"/>
        </w:rPr>
        <w:t xml:space="preserve"> </w:t>
      </w:r>
      <w:r>
        <w:rPr>
          <w:sz w:val="19"/>
          <w:szCs w:val="19"/>
        </w:rPr>
        <w:t>do valor correspondente ao fornecimento do objeto, no prazo, forma e condições estabelecidos no presente Contrato;</w:t>
      </w:r>
    </w:p>
    <w:p>
      <w:pPr>
        <w:pStyle w:val="LO-normal"/>
        <w:spacing w:lineRule="auto" w:line="276" w:before="120" w:after="120"/>
        <w:ind w:hanging="0" w:left="709"/>
        <w:jc w:val="both"/>
        <w:rPr>
          <w:sz w:val="19"/>
          <w:szCs w:val="19"/>
        </w:rPr>
      </w:pPr>
      <w:r>
        <w:rPr>
          <w:color w:val="000000"/>
          <w:sz w:val="19"/>
          <w:szCs w:val="19"/>
        </w:rPr>
        <w:t>7.1.6. Aplicar ao Contratado sanções motivadas pela inexecução total ou parcial do Contrato;</w:t>
      </w:r>
    </w:p>
    <w:p>
      <w:pPr>
        <w:pStyle w:val="LO-normal"/>
        <w:spacing w:lineRule="auto" w:line="276" w:before="120" w:after="120"/>
        <w:ind w:hanging="0" w:left="709"/>
        <w:jc w:val="both"/>
        <w:rPr>
          <w:sz w:val="19"/>
          <w:szCs w:val="19"/>
        </w:rPr>
      </w:pPr>
      <w:r>
        <w:rPr>
          <w:color w:val="000000"/>
          <w:sz w:val="19"/>
          <w:szCs w:val="19"/>
        </w:rPr>
        <w:t>7.1.7. Cientificar a Procuradoria Geral do Município para adoção das medidas cabíveis quando ao descumprimento de obrigações pelo Contratado;</w:t>
      </w:r>
    </w:p>
    <w:p>
      <w:pPr>
        <w:pStyle w:val="LO-normal"/>
        <w:spacing w:lineRule="auto" w:line="276" w:before="120" w:after="120"/>
        <w:jc w:val="both"/>
        <w:rPr>
          <w:sz w:val="19"/>
          <w:szCs w:val="19"/>
        </w:rPr>
      </w:pPr>
      <w:r>
        <w:rPr>
          <w:sz w:val="19"/>
          <w:szCs w:val="19"/>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
        <w:keepNext w:val="true"/>
        <w:keepLines/>
        <w:tabs>
          <w:tab w:val="clear" w:pos="720"/>
          <w:tab w:val="left" w:pos="567" w:leader="none"/>
        </w:tabs>
        <w:spacing w:before="240" w:after="240"/>
        <w:jc w:val="both"/>
        <w:rPr>
          <w:sz w:val="19"/>
          <w:szCs w:val="19"/>
        </w:rPr>
      </w:pPr>
      <w:r>
        <w:rPr>
          <w:b/>
          <w:color w:val="000000"/>
          <w:sz w:val="19"/>
          <w:szCs w:val="19"/>
        </w:rPr>
        <w:t>8. CLÁUSULA OITAVA - OBRIGAÇÕES DO CONTRATADO (art. 92, XIV, XVI e XVII)</w:t>
      </w:r>
    </w:p>
    <w:p>
      <w:pPr>
        <w:pStyle w:val="LO-normal"/>
        <w:spacing w:lineRule="auto" w:line="276" w:before="120" w:after="120"/>
        <w:jc w:val="both"/>
        <w:rPr>
          <w:sz w:val="19"/>
          <w:szCs w:val="19"/>
        </w:rPr>
      </w:pPr>
      <w:r>
        <w:rPr>
          <w:sz w:val="19"/>
          <w:szCs w:val="19"/>
        </w:rPr>
        <w:t>8.1.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LO-normal"/>
        <w:spacing w:lineRule="auto" w:line="276" w:before="120" w:after="120"/>
        <w:ind w:hanging="0" w:left="708"/>
        <w:jc w:val="both"/>
        <w:rPr>
          <w:sz w:val="19"/>
          <w:szCs w:val="19"/>
        </w:rPr>
      </w:pPr>
      <w:r>
        <w:rPr>
          <w:sz w:val="19"/>
          <w:szCs w:val="19"/>
        </w:rPr>
        <w:t xml:space="preserve">8.1.1. </w:t>
      </w:r>
      <w:r>
        <w:rPr>
          <w:color w:val="000000"/>
          <w:sz w:val="19"/>
          <w:szCs w:val="19"/>
        </w:rPr>
        <w:t>manter preposto aceito pela Administração no local da obra ou do serviço para representá-lo na execução do contrato.</w:t>
      </w:r>
    </w:p>
    <w:p>
      <w:pPr>
        <w:pStyle w:val="LO-normal"/>
        <w:spacing w:lineRule="auto" w:line="276" w:before="120" w:after="120"/>
        <w:ind w:hanging="0" w:left="1416"/>
        <w:jc w:val="both"/>
        <w:rPr>
          <w:sz w:val="19"/>
          <w:szCs w:val="19"/>
        </w:rPr>
      </w:pPr>
      <w:r>
        <w:rPr>
          <w:sz w:val="19"/>
          <w:szCs w:val="19"/>
        </w:rPr>
        <w:t>8.1.1.1. A indicação ou a manutenção do preposto da empresa poderá ser recusada pelo órgão ou entidade, desde que devidamente justificada, devendo a empresa designar outro para o exercício da atividade.</w:t>
      </w:r>
    </w:p>
    <w:p>
      <w:pPr>
        <w:pStyle w:val="LO-normal"/>
        <w:spacing w:lineRule="auto" w:line="276" w:before="120" w:after="120"/>
        <w:ind w:hanging="0" w:left="708"/>
        <w:jc w:val="both"/>
        <w:rPr>
          <w:sz w:val="19"/>
          <w:szCs w:val="19"/>
        </w:rPr>
      </w:pPr>
      <w:r>
        <w:rPr>
          <w:sz w:val="19"/>
          <w:szCs w:val="19"/>
        </w:rPr>
        <w:t>8.1.2. Atender às determinações regulares emitidas pelo fiscal do contrato ou autoridade superior (art. 137, II);</w:t>
      </w:r>
    </w:p>
    <w:p>
      <w:pPr>
        <w:pStyle w:val="LO-normal"/>
        <w:spacing w:lineRule="auto" w:line="276" w:before="120" w:after="120"/>
        <w:ind w:hanging="0" w:left="708"/>
        <w:jc w:val="both"/>
        <w:rPr>
          <w:sz w:val="19"/>
          <w:szCs w:val="19"/>
        </w:rPr>
      </w:pPr>
      <w:r>
        <w:rPr>
          <w:sz w:val="19"/>
          <w:szCs w:val="19"/>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O-normal"/>
        <w:spacing w:lineRule="auto" w:line="276" w:before="120" w:after="120"/>
        <w:ind w:hanging="0" w:left="708"/>
        <w:jc w:val="both"/>
        <w:rPr>
          <w:sz w:val="19"/>
          <w:szCs w:val="19"/>
        </w:rPr>
      </w:pPr>
      <w:r>
        <w:rPr>
          <w:sz w:val="19"/>
          <w:szCs w:val="19"/>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O-normal"/>
        <w:spacing w:lineRule="auto" w:line="276" w:before="120" w:after="120"/>
        <w:ind w:hanging="0" w:left="708"/>
        <w:jc w:val="both"/>
        <w:rPr>
          <w:sz w:val="19"/>
          <w:szCs w:val="19"/>
        </w:rPr>
      </w:pPr>
      <w:r>
        <w:rPr>
          <w:sz w:val="19"/>
          <w:szCs w:val="19"/>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LO-normal"/>
        <w:spacing w:lineRule="auto" w:line="276" w:before="120" w:after="120"/>
        <w:ind w:hanging="0" w:left="708"/>
        <w:jc w:val="both"/>
        <w:rPr>
          <w:sz w:val="19"/>
          <w:szCs w:val="19"/>
        </w:rPr>
      </w:pPr>
      <w:r>
        <w:rPr>
          <w:sz w:val="19"/>
          <w:szCs w:val="19"/>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pPr>
        <w:pStyle w:val="LO-normal"/>
        <w:spacing w:lineRule="auto" w:line="276" w:before="120" w:after="120"/>
        <w:ind w:hanging="0" w:left="708"/>
        <w:jc w:val="both"/>
        <w:rPr>
          <w:sz w:val="19"/>
          <w:szCs w:val="19"/>
        </w:rPr>
      </w:pPr>
      <w:r>
        <w:rPr>
          <w:sz w:val="19"/>
          <w:szCs w:val="19"/>
        </w:rPr>
        <w:t xml:space="preserve">8.1.7.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w:t>
      </w:r>
      <w:r>
        <w:rPr>
          <w:color w:val="000000"/>
          <w:sz w:val="19"/>
          <w:szCs w:val="19"/>
        </w:rPr>
        <w:t xml:space="preserve">Estadual </w:t>
      </w:r>
      <w:r>
        <w:rPr>
          <w:sz w:val="19"/>
          <w:szCs w:val="19"/>
        </w:rPr>
        <w:t xml:space="preserve">do domicílio ou sede do contratado; 4) Certidão de Regularidade do FGTS – CRF; e 5) Certidão Negativa de Débitos Trabalhistas – CNDT; </w:t>
      </w:r>
    </w:p>
    <w:p>
      <w:pPr>
        <w:pStyle w:val="LO-normal"/>
        <w:spacing w:lineRule="auto" w:line="276" w:before="120" w:after="120"/>
        <w:ind w:hanging="0" w:left="708"/>
        <w:jc w:val="both"/>
        <w:rPr>
          <w:sz w:val="19"/>
          <w:szCs w:val="19"/>
        </w:rPr>
      </w:pPr>
      <w:r>
        <w:rPr>
          <w:sz w:val="19"/>
          <w:szCs w:val="19"/>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LO-normal"/>
        <w:spacing w:lineRule="auto" w:line="276" w:before="120" w:after="120"/>
        <w:ind w:hanging="0" w:left="709"/>
        <w:jc w:val="both"/>
        <w:rPr>
          <w:sz w:val="19"/>
          <w:szCs w:val="19"/>
        </w:rPr>
      </w:pPr>
      <w:r>
        <w:rPr>
          <w:sz w:val="19"/>
          <w:szCs w:val="19"/>
        </w:rPr>
        <w:t>8.1.9. Comunicar ao Fiscal do contrato, no prazo de 24 (vinte e quatro) horas, qualquer ocorrência anormal ou acidente que se verifique no local dos serviços.</w:t>
      </w:r>
    </w:p>
    <w:p>
      <w:pPr>
        <w:pStyle w:val="LO-normal"/>
        <w:spacing w:lineRule="auto" w:line="276" w:before="120" w:after="120"/>
        <w:ind w:hanging="0" w:left="709"/>
        <w:jc w:val="both"/>
        <w:rPr>
          <w:sz w:val="19"/>
          <w:szCs w:val="19"/>
        </w:rPr>
      </w:pPr>
      <w:r>
        <w:rPr>
          <w:sz w:val="19"/>
          <w:szCs w:val="19"/>
        </w:rPr>
        <w:t>8.1.10. Prestar todo esclarecimento ou informação solicitada pelo Contratante ou por seus prepostos, garantindo-lhes o acesso, a qualquer tempo, ao local dos trabalhos, bem como aos documentos relativos à execução do empreendimento.</w:t>
      </w:r>
    </w:p>
    <w:p>
      <w:pPr>
        <w:pStyle w:val="LO-normal"/>
        <w:spacing w:lineRule="auto" w:line="276" w:before="120" w:after="120"/>
        <w:ind w:hanging="0" w:left="709"/>
        <w:jc w:val="both"/>
        <w:rPr>
          <w:sz w:val="19"/>
          <w:szCs w:val="19"/>
        </w:rPr>
      </w:pPr>
      <w:r>
        <w:rPr>
          <w:sz w:val="19"/>
          <w:szCs w:val="19"/>
        </w:rPr>
        <w:t>8.1.11. Paralisar, por determinação do Contratante, qualquer atividade que não esteja sendo executada de acordo com a boa técnica ou que ponha em risco a segurança de pessoas ou bens de terceiros.</w:t>
      </w:r>
    </w:p>
    <w:p>
      <w:pPr>
        <w:pStyle w:val="LO-normal"/>
        <w:spacing w:lineRule="auto" w:line="276" w:before="120" w:after="120"/>
        <w:ind w:hanging="0" w:left="709"/>
        <w:jc w:val="both"/>
        <w:rPr>
          <w:sz w:val="19"/>
          <w:szCs w:val="19"/>
        </w:rPr>
      </w:pPr>
      <w:r>
        <w:rPr>
          <w:sz w:val="19"/>
          <w:szCs w:val="19"/>
        </w:rPr>
        <w:t>8.1.12. Promover a guarda, manutenção e vigilância de materiais, ferramentas, e tudo o que for necessário à execução do objeto, durante a vigência do contrato.</w:t>
      </w:r>
    </w:p>
    <w:p>
      <w:pPr>
        <w:pStyle w:val="LO-normal"/>
        <w:spacing w:lineRule="auto" w:line="276" w:before="120" w:after="120"/>
        <w:ind w:hanging="0" w:left="709"/>
        <w:jc w:val="both"/>
        <w:rPr>
          <w:sz w:val="19"/>
          <w:szCs w:val="19"/>
        </w:rPr>
      </w:pPr>
      <w:r>
        <w:rPr>
          <w:sz w:val="19"/>
          <w:szCs w:val="19"/>
        </w:rPr>
        <w:t>8.1.13. Conduzir os trabalhos com estrita observância às normas da legislação pertinente, cumprindo as determinações dos Poderes Públicos, mantendo sempre limpo o local dos serviços e nas melhores condições de segurança, higiene e disciplina.</w:t>
      </w:r>
    </w:p>
    <w:p>
      <w:pPr>
        <w:pStyle w:val="LO-normal"/>
        <w:spacing w:lineRule="auto" w:line="276" w:before="120" w:after="120"/>
        <w:ind w:hanging="0" w:left="709"/>
        <w:jc w:val="both"/>
        <w:rPr>
          <w:sz w:val="19"/>
          <w:szCs w:val="19"/>
        </w:rPr>
      </w:pPr>
      <w:r>
        <w:rPr>
          <w:sz w:val="19"/>
          <w:szCs w:val="19"/>
        </w:rPr>
        <w:t>8.1.14. Submeter previamente, por escrito, ao Contratante, para análise e aprovação, quaisquer mudanças nos métodos executivos que fujam às especificações do memorial descritivo ou instrumento congênere.</w:t>
      </w:r>
    </w:p>
    <w:p>
      <w:pPr>
        <w:pStyle w:val="LO-normal"/>
        <w:spacing w:lineRule="auto" w:line="276" w:before="120" w:after="120"/>
        <w:ind w:hanging="0" w:left="709"/>
        <w:jc w:val="both"/>
        <w:rPr>
          <w:sz w:val="19"/>
          <w:szCs w:val="19"/>
        </w:rPr>
      </w:pPr>
      <w:r>
        <w:rPr>
          <w:sz w:val="19"/>
          <w:szCs w:val="19"/>
        </w:rPr>
        <w:t>8.1.15. Não permitir a utilização de qualquer trabalho do menor de dezesseis anos, exceto na condição de aprendiz para os maiores de quatorze anos, nem permitir a utilização do trabalho do menor de dezoito anos em trabalho noturno, perigoso ou insalubre;</w:t>
      </w:r>
    </w:p>
    <w:p>
      <w:pPr>
        <w:pStyle w:val="LO-normal"/>
        <w:spacing w:lineRule="auto" w:line="276" w:before="120" w:after="120"/>
        <w:ind w:hanging="0" w:left="709"/>
        <w:jc w:val="both"/>
        <w:rPr>
          <w:sz w:val="19"/>
          <w:szCs w:val="19"/>
        </w:rPr>
      </w:pPr>
      <w:r>
        <w:rPr>
          <w:sz w:val="19"/>
          <w:szCs w:val="19"/>
        </w:rPr>
        <w:t xml:space="preserve">8.1.16. Manter durante toda a vigência do contrato, em compatibilidade com as obrigações assumidas, todas as condições exigidas para habilitação na licitação, ou para qualificação, na contratação direta; </w:t>
      </w:r>
    </w:p>
    <w:p>
      <w:pPr>
        <w:pStyle w:val="LO-normal"/>
        <w:spacing w:lineRule="auto" w:line="276" w:before="120" w:after="120"/>
        <w:ind w:hanging="0" w:left="709"/>
        <w:jc w:val="both"/>
        <w:rPr>
          <w:sz w:val="19"/>
          <w:szCs w:val="19"/>
        </w:rPr>
      </w:pPr>
      <w:r>
        <w:rPr>
          <w:sz w:val="19"/>
          <w:szCs w:val="19"/>
        </w:rPr>
        <w:t>8.1.17. Cumprir, durante todo o período de execução do contrato, a reserva de cargos prevista em lei para pessoa com deficiência, para reabilitado da Previdência Social ou para aprendiz, bem como as reservas de cargos previstas na legislação (art. 116);</w:t>
      </w:r>
    </w:p>
    <w:p>
      <w:pPr>
        <w:pStyle w:val="LO-normal"/>
        <w:spacing w:lineRule="auto" w:line="276" w:before="120" w:after="120"/>
        <w:ind w:hanging="0" w:left="709"/>
        <w:jc w:val="both"/>
        <w:rPr>
          <w:sz w:val="19"/>
          <w:szCs w:val="19"/>
        </w:rPr>
      </w:pPr>
      <w:r>
        <w:rPr>
          <w:sz w:val="19"/>
          <w:szCs w:val="19"/>
        </w:rPr>
        <w:t>8.1.18. Comprovar a reserva de cargos a que se refere a cláusula acima, no prazo fixado pelo fiscal do contrato, com a indicação dos empregados que preencheram as referidas vagas (art. 116, parágrafo único);</w:t>
      </w:r>
    </w:p>
    <w:p>
      <w:pPr>
        <w:pStyle w:val="LO-normal"/>
        <w:spacing w:lineRule="auto" w:line="276" w:before="120" w:after="120"/>
        <w:ind w:hanging="0" w:left="709"/>
        <w:jc w:val="both"/>
        <w:rPr>
          <w:sz w:val="19"/>
          <w:szCs w:val="19"/>
        </w:rPr>
      </w:pPr>
      <w:r>
        <w:rPr>
          <w:sz w:val="19"/>
          <w:szCs w:val="19"/>
        </w:rPr>
        <w:t xml:space="preserve">8.1.19. Guardar sigilo sobre todas as informações obtidas em decorrência do cumprimento do contrato; </w:t>
      </w:r>
    </w:p>
    <w:p>
      <w:pPr>
        <w:pStyle w:val="LO-normal"/>
        <w:spacing w:lineRule="auto" w:line="276" w:before="120" w:after="120"/>
        <w:ind w:hanging="0" w:left="709"/>
        <w:jc w:val="both"/>
        <w:rPr>
          <w:sz w:val="19"/>
          <w:szCs w:val="19"/>
        </w:rPr>
      </w:pPr>
      <w:r>
        <w:rPr>
          <w:sz w:val="19"/>
          <w:szCs w:val="19"/>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pPr>
        <w:pStyle w:val="LO-normal"/>
        <w:spacing w:lineRule="auto" w:line="276" w:before="120" w:after="120"/>
        <w:ind w:hanging="0" w:left="709"/>
        <w:jc w:val="both"/>
        <w:rPr>
          <w:sz w:val="19"/>
          <w:szCs w:val="19"/>
        </w:rPr>
      </w:pPr>
      <w:r>
        <w:rPr>
          <w:sz w:val="19"/>
          <w:szCs w:val="19"/>
        </w:rPr>
        <w:t>8.1.21. Cumprir, além dos postulados legais vigentes de âmbito federal, estadual ou municipal, as normas de segurança do Contratante;</w:t>
      </w:r>
    </w:p>
    <w:p>
      <w:pPr>
        <w:pStyle w:val="LO-normal"/>
        <w:keepNext w:val="true"/>
        <w:keepLines/>
        <w:tabs>
          <w:tab w:val="clear" w:pos="720"/>
          <w:tab w:val="left" w:pos="567" w:leader="none"/>
        </w:tabs>
        <w:spacing w:before="240" w:after="0"/>
        <w:jc w:val="both"/>
        <w:rPr>
          <w:sz w:val="19"/>
          <w:szCs w:val="19"/>
        </w:rPr>
      </w:pPr>
      <w:r>
        <w:rPr>
          <w:b/>
          <w:color w:val="000000"/>
          <w:sz w:val="19"/>
          <w:szCs w:val="19"/>
          <w:shd w:fill="auto" w:val="clear"/>
        </w:rPr>
        <w:t xml:space="preserve">9. CLÁUSULA </w:t>
      </w:r>
      <w:r>
        <w:rPr>
          <w:rFonts w:eastAsia="Arial" w:cs="Arial"/>
          <w:b/>
          <w:color w:val="000000"/>
          <w:kern w:val="0"/>
          <w:sz w:val="19"/>
          <w:szCs w:val="19"/>
          <w:shd w:fill="auto" w:val="clear"/>
          <w:lang w:val="pt-BR" w:eastAsia="zh-CN" w:bidi="hi-IN"/>
        </w:rPr>
        <w:t>NONA</w:t>
      </w:r>
      <w:r>
        <w:rPr>
          <w:b/>
          <w:color w:val="000000"/>
          <w:sz w:val="19"/>
          <w:szCs w:val="19"/>
          <w:shd w:fill="auto" w:val="clear"/>
        </w:rPr>
        <w:t>– GARANTIA DE EXECUÇÃO (art. 92, XII e XIII)</w:t>
      </w:r>
    </w:p>
    <w:p>
      <w:pPr>
        <w:pStyle w:val="LO-normal"/>
        <w:spacing w:lineRule="auto" w:line="276" w:before="120" w:after="120"/>
        <w:jc w:val="both"/>
        <w:rPr>
          <w:sz w:val="19"/>
          <w:szCs w:val="19"/>
        </w:rPr>
      </w:pPr>
      <w:r>
        <w:rPr>
          <w:color w:val="000000"/>
          <w:sz w:val="19"/>
          <w:szCs w:val="19"/>
        </w:rPr>
        <w:t>9.1. Não haverá exigência de garantia contratual da execução.</w:t>
      </w:r>
    </w:p>
    <w:p>
      <w:pPr>
        <w:pStyle w:val="LO-normal"/>
        <w:keepNext w:val="true"/>
        <w:keepLines/>
        <w:tabs>
          <w:tab w:val="clear" w:pos="720"/>
          <w:tab w:val="left" w:pos="567" w:leader="none"/>
        </w:tabs>
        <w:spacing w:before="240" w:after="240"/>
        <w:jc w:val="both"/>
        <w:rPr>
          <w:sz w:val="19"/>
          <w:szCs w:val="19"/>
        </w:rPr>
      </w:pPr>
      <w:r>
        <w:rPr>
          <w:b/>
          <w:color w:val="000000"/>
          <w:sz w:val="19"/>
          <w:szCs w:val="19"/>
        </w:rPr>
        <w:t>10. CLÁUSULA DÉCIMA  – INFRAÇÕES E SANÇÕES ADMINISTRATIVAS (art. 92, XIV)</w:t>
      </w:r>
    </w:p>
    <w:p>
      <w:pPr>
        <w:pStyle w:val="LO-normal"/>
        <w:spacing w:lineRule="auto" w:line="276" w:before="120" w:after="120"/>
        <w:jc w:val="both"/>
        <w:rPr>
          <w:sz w:val="19"/>
          <w:szCs w:val="19"/>
        </w:rPr>
      </w:pPr>
      <w:r>
        <w:rPr>
          <w:sz w:val="19"/>
          <w:szCs w:val="19"/>
        </w:rPr>
        <w:t>10.1. Comete infração administrativa, nos termos da Lei nº 14.133/2021, o Contratado que:</w:t>
      </w:r>
    </w:p>
    <w:p>
      <w:pPr>
        <w:pStyle w:val="LO-normal"/>
        <w:spacing w:lineRule="auto" w:line="276" w:before="120" w:after="120"/>
        <w:ind w:hanging="0" w:left="708" w:right="-30"/>
        <w:jc w:val="both"/>
        <w:rPr>
          <w:sz w:val="19"/>
          <w:szCs w:val="19"/>
        </w:rPr>
      </w:pPr>
      <w:r>
        <w:rPr>
          <w:color w:val="000000"/>
          <w:sz w:val="19"/>
          <w:szCs w:val="19"/>
        </w:rPr>
        <w:t>a) der causa à inexecução parcial do contrato;</w:t>
      </w:r>
    </w:p>
    <w:p>
      <w:pPr>
        <w:pStyle w:val="LO-normal"/>
        <w:spacing w:lineRule="auto" w:line="276" w:before="120" w:after="120"/>
        <w:ind w:hanging="0" w:left="708" w:right="-30"/>
        <w:jc w:val="both"/>
        <w:rPr>
          <w:sz w:val="19"/>
          <w:szCs w:val="19"/>
        </w:rPr>
      </w:pPr>
      <w:r>
        <w:rPr>
          <w:color w:val="000000"/>
          <w:sz w:val="19"/>
          <w:szCs w:val="19"/>
        </w:rPr>
        <w:t>b) der causa à inexecução parcial do contrato que cause grave dano à Administração ou ao funcionamento dos serviços públicos ou ao interesse coletivo;</w:t>
      </w:r>
    </w:p>
    <w:p>
      <w:pPr>
        <w:pStyle w:val="LO-normal"/>
        <w:spacing w:lineRule="auto" w:line="276" w:before="120" w:after="120"/>
        <w:ind w:hanging="0" w:left="708" w:right="-30"/>
        <w:jc w:val="both"/>
        <w:rPr>
          <w:sz w:val="19"/>
          <w:szCs w:val="19"/>
        </w:rPr>
      </w:pPr>
      <w:r>
        <w:rPr>
          <w:color w:val="000000"/>
          <w:sz w:val="19"/>
          <w:szCs w:val="19"/>
        </w:rPr>
        <w:t>c) der causa à inexecução total do contrato;</w:t>
      </w:r>
    </w:p>
    <w:p>
      <w:pPr>
        <w:pStyle w:val="LO-normal"/>
        <w:spacing w:lineRule="auto" w:line="276" w:before="120" w:after="120"/>
        <w:ind w:hanging="0" w:left="708" w:right="-30"/>
        <w:jc w:val="both"/>
        <w:rPr>
          <w:sz w:val="19"/>
          <w:szCs w:val="19"/>
        </w:rPr>
      </w:pPr>
      <w:r>
        <w:rPr>
          <w:color w:val="000000"/>
          <w:sz w:val="19"/>
          <w:szCs w:val="19"/>
        </w:rPr>
        <w:t>d) deixar de entregar a documentação exigida para o certame;</w:t>
      </w:r>
    </w:p>
    <w:p>
      <w:pPr>
        <w:pStyle w:val="LO-normal"/>
        <w:spacing w:lineRule="auto" w:line="276" w:before="120" w:after="120"/>
        <w:ind w:hanging="0" w:left="708" w:right="-30"/>
        <w:jc w:val="both"/>
        <w:rPr>
          <w:sz w:val="19"/>
          <w:szCs w:val="19"/>
        </w:rPr>
      </w:pPr>
      <w:r>
        <w:rPr>
          <w:color w:val="000000"/>
          <w:sz w:val="19"/>
          <w:szCs w:val="19"/>
        </w:rPr>
        <w:t>e) não mantiver a proposta, salvo em decorrência de fato superveniente devidamente justificado;</w:t>
      </w:r>
    </w:p>
    <w:p>
      <w:pPr>
        <w:pStyle w:val="LO-normal"/>
        <w:spacing w:lineRule="auto" w:line="276" w:before="120" w:after="120"/>
        <w:ind w:hanging="0" w:left="708" w:right="-30"/>
        <w:jc w:val="both"/>
        <w:rPr>
          <w:sz w:val="19"/>
          <w:szCs w:val="19"/>
        </w:rPr>
      </w:pPr>
      <w:r>
        <w:rPr>
          <w:color w:val="000000"/>
          <w:sz w:val="19"/>
          <w:szCs w:val="19"/>
        </w:rPr>
        <w:t>f) não celebrar o contrato ou não entregar a documentação exigida para a contratação, quando convocado dentro do prazo de validade de sua proposta;</w:t>
      </w:r>
    </w:p>
    <w:p>
      <w:pPr>
        <w:pStyle w:val="LO-normal"/>
        <w:spacing w:lineRule="auto" w:line="276" w:before="120" w:after="120"/>
        <w:ind w:hanging="0" w:left="708" w:right="-30"/>
        <w:jc w:val="both"/>
        <w:rPr>
          <w:sz w:val="19"/>
          <w:szCs w:val="19"/>
        </w:rPr>
      </w:pPr>
      <w:r>
        <w:rPr>
          <w:color w:val="000000"/>
          <w:sz w:val="19"/>
          <w:szCs w:val="19"/>
        </w:rPr>
        <w:t>g) ensejar o retardamento da execução ou da entrega do objeto da contratação sem motivo justificado;</w:t>
      </w:r>
    </w:p>
    <w:p>
      <w:pPr>
        <w:pStyle w:val="LO-normal"/>
        <w:spacing w:lineRule="auto" w:line="276" w:before="120" w:after="120"/>
        <w:ind w:hanging="0" w:left="708" w:right="-30"/>
        <w:jc w:val="both"/>
        <w:rPr>
          <w:sz w:val="19"/>
          <w:szCs w:val="19"/>
        </w:rPr>
      </w:pPr>
      <w:r>
        <w:rPr>
          <w:color w:val="000000"/>
          <w:sz w:val="19"/>
          <w:szCs w:val="19"/>
        </w:rPr>
        <w:t>h) apresentar declaração ou documentação falsa exigida para o certame ou prestar declaração falsa durante a dispensa eletrônica ou execução do contrato;</w:t>
      </w:r>
    </w:p>
    <w:p>
      <w:pPr>
        <w:pStyle w:val="LO-normal"/>
        <w:spacing w:lineRule="auto" w:line="276" w:before="120" w:after="120"/>
        <w:ind w:hanging="0" w:left="708" w:right="-30"/>
        <w:jc w:val="both"/>
        <w:rPr>
          <w:sz w:val="19"/>
          <w:szCs w:val="19"/>
        </w:rPr>
      </w:pPr>
      <w:r>
        <w:rPr>
          <w:color w:val="000000"/>
          <w:sz w:val="19"/>
          <w:szCs w:val="19"/>
        </w:rPr>
        <w:t>i) fraudar a contratação ou praticar ato fraudulento na execução do contrato;</w:t>
      </w:r>
    </w:p>
    <w:p>
      <w:pPr>
        <w:pStyle w:val="LO-normal"/>
        <w:spacing w:lineRule="auto" w:line="276" w:before="120" w:after="120"/>
        <w:ind w:hanging="0" w:left="708" w:right="-30"/>
        <w:jc w:val="both"/>
        <w:rPr>
          <w:sz w:val="19"/>
          <w:szCs w:val="19"/>
        </w:rPr>
      </w:pPr>
      <w:r>
        <w:rPr>
          <w:color w:val="000000"/>
          <w:sz w:val="19"/>
          <w:szCs w:val="19"/>
        </w:rPr>
        <w:t>j) comportar-se de modo inidôneo ou cometer fraude de qualquer natureza;</w:t>
      </w:r>
    </w:p>
    <w:p>
      <w:pPr>
        <w:pStyle w:val="LO-normal"/>
        <w:spacing w:lineRule="auto" w:line="276" w:before="120" w:after="120"/>
        <w:ind w:hanging="0" w:left="708" w:right="-30"/>
        <w:jc w:val="both"/>
        <w:rPr>
          <w:sz w:val="19"/>
          <w:szCs w:val="19"/>
        </w:rPr>
      </w:pPr>
      <w:r>
        <w:rPr>
          <w:color w:val="000000"/>
          <w:sz w:val="19"/>
          <w:szCs w:val="19"/>
        </w:rPr>
        <w:t>k) praticar atos ilícitos com vistas a frustrar os objetivos do certame;</w:t>
      </w:r>
    </w:p>
    <w:p>
      <w:pPr>
        <w:pStyle w:val="LO-normal"/>
        <w:spacing w:lineRule="auto" w:line="276" w:before="120" w:after="120"/>
        <w:ind w:hanging="0" w:left="708" w:right="-30"/>
        <w:jc w:val="both"/>
        <w:rPr>
          <w:sz w:val="19"/>
          <w:szCs w:val="19"/>
        </w:rPr>
      </w:pPr>
      <w:r>
        <w:rPr>
          <w:color w:val="000000"/>
          <w:sz w:val="19"/>
          <w:szCs w:val="19"/>
        </w:rPr>
        <w:t>l) praticar ato lesivo previsto no art. 5º da Lei nº 12.846/2013.</w:t>
      </w:r>
    </w:p>
    <w:p>
      <w:pPr>
        <w:pStyle w:val="LO-normal"/>
        <w:spacing w:lineRule="auto" w:line="276" w:before="120" w:after="120"/>
        <w:jc w:val="both"/>
        <w:rPr>
          <w:sz w:val="19"/>
          <w:szCs w:val="19"/>
        </w:rPr>
      </w:pPr>
      <w:r>
        <w:rPr>
          <w:sz w:val="19"/>
          <w:szCs w:val="19"/>
        </w:rPr>
        <w:t>10.2. Serão aplicadas ao responsável pelas infrações administrativas acima descritas as seguintes sanções:</w:t>
      </w:r>
    </w:p>
    <w:p>
      <w:pPr>
        <w:pStyle w:val="LO-normal"/>
        <w:spacing w:lineRule="auto" w:line="276" w:before="120" w:after="120"/>
        <w:ind w:hanging="0" w:left="708"/>
        <w:jc w:val="both"/>
        <w:rPr>
          <w:sz w:val="19"/>
          <w:szCs w:val="19"/>
        </w:rPr>
      </w:pPr>
      <w:r>
        <w:rPr>
          <w:sz w:val="19"/>
          <w:szCs w:val="19"/>
        </w:rPr>
        <w:t>a)</w:t>
      </w:r>
      <w:r>
        <w:rPr>
          <w:b/>
          <w:sz w:val="19"/>
          <w:szCs w:val="19"/>
        </w:rPr>
        <w:t xml:space="preserve"> Advertência</w:t>
      </w:r>
      <w:r>
        <w:rPr>
          <w:sz w:val="19"/>
          <w:szCs w:val="19"/>
        </w:rPr>
        <w:t>, quando o Contratado der causa à inexecução parcial do contrato, sempre que não se justificar a imposição de penalidade mais grave (art. 156, §2º, da Lei);</w:t>
      </w:r>
    </w:p>
    <w:p>
      <w:pPr>
        <w:pStyle w:val="LO-normal"/>
        <w:spacing w:lineRule="auto" w:line="276" w:before="120" w:after="120"/>
        <w:ind w:hanging="0" w:left="708"/>
        <w:jc w:val="both"/>
        <w:rPr>
          <w:sz w:val="19"/>
          <w:szCs w:val="19"/>
        </w:rPr>
      </w:pPr>
      <w:r>
        <w:rPr>
          <w:sz w:val="19"/>
          <w:szCs w:val="19"/>
        </w:rPr>
        <w:t>b)</w:t>
      </w:r>
      <w:r>
        <w:rPr>
          <w:b/>
          <w:sz w:val="19"/>
          <w:szCs w:val="19"/>
        </w:rPr>
        <w:t xml:space="preserve"> Impedimento de licitar e contratar</w:t>
      </w:r>
      <w:r>
        <w:rPr>
          <w:sz w:val="19"/>
          <w:szCs w:val="19"/>
        </w:rPr>
        <w:t>, quando praticadas as condutas descritas nas alíneas b, c, d, e, f e g do subitem acima deste Contrato, sempre que não se justificar a imposição de penalidade mais grave (art. 156, §4º, da Lei);</w:t>
      </w:r>
    </w:p>
    <w:p>
      <w:pPr>
        <w:pStyle w:val="LO-normal"/>
        <w:spacing w:lineRule="auto" w:line="276" w:before="120" w:after="120"/>
        <w:ind w:hanging="0" w:left="708"/>
        <w:jc w:val="both"/>
        <w:rPr>
          <w:sz w:val="19"/>
          <w:szCs w:val="19"/>
        </w:rPr>
      </w:pPr>
      <w:r>
        <w:rPr>
          <w:sz w:val="19"/>
          <w:szCs w:val="19"/>
        </w:rPr>
        <w:t>c)</w:t>
      </w:r>
      <w:r>
        <w:rPr>
          <w:b/>
          <w:sz w:val="19"/>
          <w:szCs w:val="19"/>
        </w:rPr>
        <w:t xml:space="preserve"> Declaração de inidoneidade para licitar e contratar</w:t>
      </w:r>
      <w:r>
        <w:rPr>
          <w:sz w:val="19"/>
          <w:szCs w:val="19"/>
        </w:rPr>
        <w:t>, quando praticadas as condutas descritas nas alíneas h, i, j, k e l do subitem acima deste Contrato, bem como nas alíneas b, c, d, e, f e g, que justifiquem a imposição de penalidade mais grave (art. 156, §5º, da Lei)</w:t>
      </w:r>
    </w:p>
    <w:p>
      <w:pPr>
        <w:pStyle w:val="LO-normal"/>
        <w:spacing w:lineRule="auto" w:line="276" w:before="120" w:after="120"/>
        <w:ind w:hanging="0" w:left="708"/>
        <w:jc w:val="both"/>
        <w:rPr>
          <w:sz w:val="19"/>
          <w:szCs w:val="19"/>
        </w:rPr>
      </w:pPr>
      <w:r>
        <w:rPr>
          <w:sz w:val="19"/>
          <w:szCs w:val="19"/>
        </w:rPr>
        <w:t>d)</w:t>
      </w:r>
      <w:r>
        <w:rPr>
          <w:b/>
          <w:sz w:val="19"/>
          <w:szCs w:val="19"/>
        </w:rPr>
        <w:t xml:space="preserve"> Multa:</w:t>
      </w:r>
    </w:p>
    <w:p>
      <w:pPr>
        <w:pStyle w:val="LO-normal"/>
        <w:spacing w:lineRule="auto" w:line="276" w:before="120" w:after="120"/>
        <w:ind w:hanging="0" w:left="1416"/>
        <w:jc w:val="both"/>
        <w:rPr>
          <w:sz w:val="19"/>
          <w:szCs w:val="19"/>
        </w:rPr>
      </w:pPr>
      <w:r>
        <w:rPr>
          <w:sz w:val="19"/>
          <w:szCs w:val="19"/>
        </w:rPr>
        <w:t xml:space="preserve">d.1) moratória de </w:t>
      </w:r>
      <w:r>
        <w:rPr>
          <w:color w:val="000000"/>
          <w:sz w:val="19"/>
          <w:szCs w:val="19"/>
        </w:rPr>
        <w:t>1% (um</w:t>
      </w:r>
      <w:r>
        <w:rPr>
          <w:sz w:val="19"/>
          <w:szCs w:val="19"/>
        </w:rPr>
        <w:t xml:space="preserve"> por cento) por dia de atraso injustificado sobre o valor da parcela inadimplida, até o limite de </w:t>
      </w:r>
      <w:r>
        <w:rPr>
          <w:b/>
          <w:bCs/>
          <w:color w:val="000000"/>
          <w:sz w:val="19"/>
          <w:szCs w:val="19"/>
        </w:rPr>
        <w:t xml:space="preserve">30 (trinta) </w:t>
      </w:r>
      <w:r>
        <w:rPr>
          <w:sz w:val="19"/>
          <w:szCs w:val="19"/>
        </w:rPr>
        <w:t>dias;</w:t>
      </w:r>
    </w:p>
    <w:p>
      <w:pPr>
        <w:pStyle w:val="LO-normal"/>
        <w:spacing w:lineRule="auto" w:line="276" w:before="120" w:after="120"/>
        <w:ind w:hanging="0" w:left="1440"/>
        <w:jc w:val="both"/>
        <w:rPr>
          <w:sz w:val="19"/>
          <w:szCs w:val="19"/>
        </w:rPr>
      </w:pPr>
      <w:r>
        <w:rPr>
          <w:sz w:val="19"/>
          <w:szCs w:val="19"/>
        </w:rPr>
        <w:t xml:space="preserve">d.2) compensatória de </w:t>
      </w:r>
      <w:r>
        <w:rPr>
          <w:color w:val="000000"/>
          <w:sz w:val="19"/>
          <w:szCs w:val="19"/>
        </w:rPr>
        <w:t>10% (dez</w:t>
      </w:r>
      <w:r>
        <w:rPr>
          <w:color w:val="FF0000"/>
          <w:sz w:val="19"/>
          <w:szCs w:val="19"/>
        </w:rPr>
        <w:t xml:space="preserve"> </w:t>
      </w:r>
      <w:r>
        <w:rPr>
          <w:sz w:val="19"/>
          <w:szCs w:val="19"/>
        </w:rPr>
        <w:t>por cento) sobre o valor total do contrato, no caso de inexecução total do objeto;</w:t>
      </w:r>
    </w:p>
    <w:p>
      <w:pPr>
        <w:pStyle w:val="LO-normal"/>
        <w:spacing w:lineRule="auto" w:line="276" w:before="120" w:after="120"/>
        <w:jc w:val="both"/>
        <w:rPr>
          <w:sz w:val="19"/>
          <w:szCs w:val="19"/>
        </w:rPr>
      </w:pPr>
      <w:r>
        <w:rPr>
          <w:sz w:val="19"/>
          <w:szCs w:val="19"/>
        </w:rPr>
        <w:t>10.3. A aplicação das sanções previstas neste Contrato não exclui, em hipótese alguma, a obrigação de reparação integral do dano causado ao Contratante (art. 156, §9º)</w:t>
      </w:r>
    </w:p>
    <w:p>
      <w:pPr>
        <w:pStyle w:val="LO-normal"/>
        <w:spacing w:lineRule="auto" w:line="276" w:before="120" w:after="120"/>
        <w:jc w:val="both"/>
        <w:rPr>
          <w:sz w:val="19"/>
          <w:szCs w:val="19"/>
        </w:rPr>
      </w:pPr>
      <w:r>
        <w:rPr>
          <w:sz w:val="19"/>
          <w:szCs w:val="19"/>
        </w:rPr>
        <w:t>10.4. Todas as sanções previstas neste Contrato poderão ser aplicadas cumulativamente com a multa (art. 156, §7º).</w:t>
      </w:r>
    </w:p>
    <w:p>
      <w:pPr>
        <w:pStyle w:val="LO-normal"/>
        <w:spacing w:lineRule="auto" w:line="276" w:before="120" w:after="120"/>
        <w:ind w:hanging="0" w:left="708"/>
        <w:jc w:val="both"/>
        <w:rPr>
          <w:sz w:val="19"/>
          <w:szCs w:val="19"/>
        </w:rPr>
      </w:pPr>
      <w:r>
        <w:rPr>
          <w:sz w:val="19"/>
          <w:szCs w:val="19"/>
        </w:rPr>
        <w:t>10.4.1. Antes da aplicação da multa será facultada a defesa do interessado no prazo de 15 (quinze) dias úteis, contado da data de sua intimação (art. 157)</w:t>
      </w:r>
    </w:p>
    <w:p>
      <w:pPr>
        <w:pStyle w:val="LO-normal"/>
        <w:spacing w:lineRule="auto" w:line="276" w:before="120" w:after="120"/>
        <w:ind w:hanging="0" w:left="708"/>
        <w:jc w:val="both"/>
        <w:rPr>
          <w:sz w:val="19"/>
          <w:szCs w:val="19"/>
        </w:rPr>
      </w:pPr>
      <w:r>
        <w:rPr>
          <w:sz w:val="19"/>
          <w:szCs w:val="19"/>
        </w:rPr>
        <w:t>10.4.2.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LO-normal"/>
        <w:spacing w:lineRule="auto" w:line="276" w:before="120" w:after="120"/>
        <w:ind w:hanging="0" w:left="708"/>
        <w:jc w:val="both"/>
        <w:rPr>
          <w:sz w:val="19"/>
          <w:szCs w:val="19"/>
        </w:rPr>
      </w:pPr>
      <w:r>
        <w:rPr>
          <w:sz w:val="19"/>
          <w:szCs w:val="19"/>
        </w:rPr>
        <w:t xml:space="preserve">10.4.3. Previamente ao encaminhamento à cobrança judicial, a multa poderá ser recolhida administrativamente no prazo máximo de </w:t>
      </w:r>
      <w:r>
        <w:rPr>
          <w:color w:val="000000"/>
          <w:sz w:val="19"/>
          <w:szCs w:val="19"/>
        </w:rPr>
        <w:t>30 (trinta)</w:t>
      </w:r>
      <w:r>
        <w:rPr>
          <w:sz w:val="19"/>
          <w:szCs w:val="19"/>
        </w:rPr>
        <w:t xml:space="preserve"> dias, a contar da data do recebimento da comunicação enviada pela autoridade competente.</w:t>
      </w:r>
    </w:p>
    <w:p>
      <w:pPr>
        <w:pStyle w:val="LO-normal"/>
        <w:spacing w:lineRule="auto" w:line="276" w:before="120" w:after="120"/>
        <w:ind w:hanging="0" w:left="708"/>
        <w:jc w:val="both"/>
        <w:rPr>
          <w:sz w:val="19"/>
          <w:szCs w:val="19"/>
        </w:rPr>
      </w:pPr>
      <w:r>
        <w:rPr>
          <w:color w:val="000000"/>
          <w:sz w:val="19"/>
          <w:szCs w:val="19"/>
        </w:rPr>
        <w:t>10.5.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pPr>
        <w:pStyle w:val="LO-normal"/>
        <w:spacing w:lineRule="auto" w:line="276" w:before="120" w:after="120"/>
        <w:ind w:hanging="0" w:left="708"/>
        <w:jc w:val="both"/>
        <w:rPr>
          <w:sz w:val="19"/>
          <w:szCs w:val="19"/>
        </w:rPr>
      </w:pPr>
      <w:r>
        <w:rPr>
          <w:color w:val="000000"/>
          <w:sz w:val="19"/>
          <w:szCs w:val="19"/>
        </w:rPr>
        <w:t>10.6. Na aplicação das sanções serão considerados (art. 156, §1º):</w:t>
      </w:r>
    </w:p>
    <w:p>
      <w:pPr>
        <w:pStyle w:val="LO-normal"/>
        <w:spacing w:lineRule="auto" w:line="276" w:before="120" w:after="120"/>
        <w:ind w:hanging="0" w:left="708"/>
        <w:jc w:val="both"/>
        <w:rPr>
          <w:sz w:val="19"/>
          <w:szCs w:val="19"/>
        </w:rPr>
      </w:pPr>
      <w:r>
        <w:rPr>
          <w:color w:val="000000"/>
          <w:sz w:val="19"/>
          <w:szCs w:val="19"/>
        </w:rPr>
        <w:t>a) a natureza e a gravidade da infração cometida;</w:t>
      </w:r>
    </w:p>
    <w:p>
      <w:pPr>
        <w:pStyle w:val="LO-normal"/>
        <w:spacing w:lineRule="auto" w:line="276" w:before="120" w:after="120"/>
        <w:ind w:hanging="0" w:left="708"/>
        <w:jc w:val="both"/>
        <w:rPr>
          <w:sz w:val="19"/>
          <w:szCs w:val="19"/>
        </w:rPr>
      </w:pPr>
      <w:r>
        <w:rPr>
          <w:color w:val="000000"/>
          <w:sz w:val="19"/>
          <w:szCs w:val="19"/>
        </w:rPr>
        <w:t>b) as peculiaridades do caso concreto;</w:t>
      </w:r>
    </w:p>
    <w:p>
      <w:pPr>
        <w:pStyle w:val="LO-normal"/>
        <w:spacing w:lineRule="auto" w:line="276" w:before="120" w:after="120"/>
        <w:ind w:hanging="0" w:left="708"/>
        <w:jc w:val="both"/>
        <w:rPr>
          <w:sz w:val="19"/>
          <w:szCs w:val="19"/>
        </w:rPr>
      </w:pPr>
      <w:r>
        <w:rPr>
          <w:color w:val="000000"/>
          <w:sz w:val="19"/>
          <w:szCs w:val="19"/>
        </w:rPr>
        <w:t>c) as circunstâncias agravantes ou atenuantes;</w:t>
      </w:r>
    </w:p>
    <w:p>
      <w:pPr>
        <w:pStyle w:val="LO-normal"/>
        <w:spacing w:lineRule="auto" w:line="276" w:before="120" w:after="120"/>
        <w:ind w:hanging="0" w:left="708"/>
        <w:jc w:val="both"/>
        <w:rPr>
          <w:sz w:val="19"/>
          <w:szCs w:val="19"/>
        </w:rPr>
      </w:pPr>
      <w:r>
        <w:rPr>
          <w:color w:val="000000"/>
          <w:sz w:val="19"/>
          <w:szCs w:val="19"/>
        </w:rPr>
        <w:t>d) os danos que dela provierem para o Contratante;</w:t>
      </w:r>
    </w:p>
    <w:p>
      <w:pPr>
        <w:pStyle w:val="LO-normal"/>
        <w:spacing w:lineRule="auto" w:line="276" w:before="120" w:after="120"/>
        <w:ind w:hanging="0" w:left="708"/>
        <w:jc w:val="both"/>
        <w:rPr>
          <w:sz w:val="19"/>
          <w:szCs w:val="19"/>
        </w:rPr>
      </w:pPr>
      <w:r>
        <w:rPr>
          <w:color w:val="000000"/>
          <w:sz w:val="19"/>
          <w:szCs w:val="19"/>
        </w:rPr>
        <w:t>e) a implantação ou o aperfeiçoamento de programa de integridade, conforme normas e orientações dos órgãos de controle.</w:t>
      </w:r>
    </w:p>
    <w:p>
      <w:pPr>
        <w:pStyle w:val="LO-normal"/>
        <w:spacing w:lineRule="auto" w:line="276" w:before="120" w:after="120"/>
        <w:ind w:hanging="0" w:left="708"/>
        <w:jc w:val="both"/>
        <w:rPr>
          <w:sz w:val="19"/>
          <w:szCs w:val="19"/>
        </w:rPr>
      </w:pPr>
      <w:r>
        <w:rPr>
          <w:color w:val="000000"/>
          <w:sz w:val="19"/>
          <w:szCs w:val="19"/>
        </w:rPr>
        <w:t>10.7.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pPr>
        <w:pStyle w:val="LO-normal"/>
        <w:spacing w:lineRule="auto" w:line="276" w:before="120" w:after="120"/>
        <w:ind w:hanging="0" w:left="708"/>
        <w:jc w:val="both"/>
        <w:rPr>
          <w:sz w:val="19"/>
          <w:szCs w:val="19"/>
        </w:rPr>
      </w:pPr>
      <w:r>
        <w:rPr>
          <w:color w:val="000000"/>
          <w:sz w:val="19"/>
          <w:szCs w:val="19"/>
        </w:rPr>
        <w:t>10.8.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pStyle w:val="LO-normal"/>
        <w:spacing w:lineRule="auto" w:line="276" w:before="120" w:after="120"/>
        <w:ind w:hanging="0" w:left="708"/>
        <w:jc w:val="both"/>
        <w:rPr>
          <w:sz w:val="19"/>
          <w:szCs w:val="19"/>
        </w:rPr>
      </w:pPr>
      <w:r>
        <w:rPr>
          <w:color w:val="000000"/>
          <w:sz w:val="19"/>
          <w:szCs w:val="19"/>
        </w:rPr>
        <w:t>10.9.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pStyle w:val="LO-normal"/>
        <w:spacing w:lineRule="auto" w:line="276" w:before="120" w:after="120"/>
        <w:ind w:hanging="0" w:left="708"/>
        <w:jc w:val="both"/>
        <w:rPr>
          <w:sz w:val="19"/>
          <w:szCs w:val="19"/>
        </w:rPr>
      </w:pPr>
      <w:r>
        <w:rPr>
          <w:color w:val="000000"/>
          <w:sz w:val="19"/>
          <w:szCs w:val="19"/>
        </w:rPr>
        <w:t>10.10. As sanções de impedimento de licitar e contratar e declaração de inidoneidade para licitar ou contratar são passíveis de reabilitação na forma do art. 163 da Lei nº 14.133/2021.</w:t>
      </w:r>
    </w:p>
    <w:p>
      <w:pPr>
        <w:pStyle w:val="LO-normal"/>
        <w:keepNext w:val="true"/>
        <w:keepLines/>
        <w:tabs>
          <w:tab w:val="clear" w:pos="720"/>
          <w:tab w:val="left" w:pos="567" w:leader="none"/>
        </w:tabs>
        <w:spacing w:before="240" w:after="0"/>
        <w:jc w:val="both"/>
        <w:rPr>
          <w:sz w:val="19"/>
          <w:szCs w:val="19"/>
        </w:rPr>
      </w:pPr>
      <w:r>
        <w:rPr>
          <w:b/>
          <w:color w:val="000000"/>
          <w:sz w:val="19"/>
          <w:szCs w:val="19"/>
        </w:rPr>
        <w:t xml:space="preserve">11. CLÁUSULA DÉCIMA </w:t>
      </w:r>
      <w:r>
        <w:rPr>
          <w:rFonts w:eastAsia="Arial" w:cs="Arial"/>
          <w:b/>
          <w:color w:val="000000"/>
          <w:kern w:val="0"/>
          <w:sz w:val="19"/>
          <w:szCs w:val="19"/>
          <w:lang w:val="pt-BR" w:eastAsia="zh-CN" w:bidi="hi-IN"/>
        </w:rPr>
        <w:t>PRIMEIRA</w:t>
      </w:r>
      <w:r>
        <w:rPr>
          <w:b/>
          <w:color w:val="000000"/>
          <w:sz w:val="19"/>
          <w:szCs w:val="19"/>
        </w:rPr>
        <w:t xml:space="preserve"> – DA EXTINÇÃO CONTRATUAL (art. 92, XIX)</w:t>
      </w:r>
    </w:p>
    <w:p>
      <w:pPr>
        <w:pStyle w:val="LO-normal"/>
        <w:spacing w:lineRule="auto" w:line="276" w:before="120" w:after="160"/>
        <w:jc w:val="both"/>
        <w:rPr>
          <w:sz w:val="19"/>
          <w:szCs w:val="19"/>
        </w:rPr>
      </w:pPr>
      <w:r>
        <w:rPr>
          <w:color w:val="000000"/>
          <w:sz w:val="19"/>
          <w:szCs w:val="19"/>
        </w:rPr>
        <w:t>11.1. O contrato será extinto quando vencido o prazo nele estipulado, independentemente de terem sido cumpridas ou não as obrigações de ambas as partes contraentes.</w:t>
      </w:r>
    </w:p>
    <w:p>
      <w:pPr>
        <w:pStyle w:val="LO-normal"/>
        <w:keepNext w:val="true"/>
        <w:keepLines/>
        <w:tabs>
          <w:tab w:val="clear" w:pos="720"/>
          <w:tab w:val="left" w:pos="567" w:leader="none"/>
        </w:tabs>
        <w:spacing w:before="240" w:after="0"/>
        <w:jc w:val="both"/>
        <w:rPr>
          <w:sz w:val="19"/>
          <w:szCs w:val="19"/>
        </w:rPr>
      </w:pPr>
      <w:r>
        <w:rPr>
          <w:b/>
          <w:color w:val="000000"/>
          <w:sz w:val="19"/>
          <w:szCs w:val="19"/>
        </w:rPr>
        <w:t xml:space="preserve">12. CLÁUSULA DÉCIMA </w:t>
      </w:r>
      <w:r>
        <w:rPr>
          <w:rFonts w:eastAsia="Arial" w:cs="Arial"/>
          <w:b/>
          <w:color w:val="000000"/>
          <w:kern w:val="0"/>
          <w:sz w:val="19"/>
          <w:szCs w:val="19"/>
          <w:lang w:val="pt-BR" w:eastAsia="zh-CN" w:bidi="hi-IN"/>
        </w:rPr>
        <w:t>SEGUNDA</w:t>
      </w:r>
      <w:r>
        <w:rPr>
          <w:b/>
          <w:color w:val="000000"/>
          <w:sz w:val="19"/>
          <w:szCs w:val="19"/>
        </w:rPr>
        <w:t xml:space="preserve"> – DOTAÇÃO ORÇAMENTÁRIA (art. 92, VIII)</w:t>
      </w:r>
    </w:p>
    <w:p>
      <w:pPr>
        <w:pStyle w:val="LO-normal"/>
        <w:spacing w:lineRule="auto" w:line="276" w:before="120" w:after="120"/>
        <w:jc w:val="both"/>
        <w:rPr>
          <w:sz w:val="19"/>
          <w:szCs w:val="19"/>
        </w:rPr>
      </w:pPr>
      <w:r>
        <w:rPr>
          <w:sz w:val="19"/>
          <w:szCs w:val="19"/>
        </w:rPr>
        <w:t>12.1. As despesas decorrentes da presente contratação correrão à conta de recursos específicos consignados no orçamento do Município deste exercício, na dotação abaixo discriminada:</w:t>
      </w:r>
    </w:p>
    <w:p>
      <w:pPr>
        <w:pStyle w:val="LO-normal"/>
        <w:spacing w:lineRule="auto" w:line="276" w:before="120" w:after="120"/>
        <w:ind w:hanging="0" w:left="708"/>
        <w:jc w:val="both"/>
        <w:rPr>
          <w:sz w:val="19"/>
          <w:szCs w:val="19"/>
        </w:rPr>
      </w:pPr>
      <w:r>
        <w:rPr>
          <w:color w:val="000000"/>
          <w:sz w:val="19"/>
          <w:szCs w:val="19"/>
        </w:rPr>
        <w:t>Origem dos recursos: 0084 - 0084</w:t>
      </w:r>
    </w:p>
    <w:p>
      <w:pPr>
        <w:pStyle w:val="LO-normal"/>
        <w:spacing w:lineRule="auto" w:line="276" w:before="120" w:after="120"/>
        <w:ind w:hanging="0" w:left="708"/>
        <w:jc w:val="both"/>
        <w:rPr>
          <w:sz w:val="19"/>
          <w:szCs w:val="19"/>
        </w:rPr>
      </w:pPr>
      <w:r>
        <w:rPr>
          <w:color w:val="000000"/>
          <w:sz w:val="19"/>
          <w:szCs w:val="19"/>
        </w:rPr>
        <w:t xml:space="preserve">Programa de trabalho: </w:t>
      </w:r>
      <w:r>
        <w:rPr>
          <w:rFonts w:eastAsia="Arial" w:cs="Arial"/>
          <w:color w:val="000000"/>
          <w:kern w:val="0"/>
          <w:sz w:val="19"/>
          <w:szCs w:val="19"/>
          <w:lang w:val="pt-BR" w:eastAsia="zh-CN" w:bidi="hi-IN"/>
        </w:rPr>
        <w:t>41.01.06.122.0006.2010 – 41.01.26.181.0014.2317</w:t>
      </w:r>
    </w:p>
    <w:p>
      <w:pPr>
        <w:pStyle w:val="LO-normal"/>
        <w:spacing w:lineRule="auto" w:line="276" w:before="120" w:after="120"/>
        <w:ind w:hanging="0" w:left="708"/>
        <w:jc w:val="both"/>
        <w:rPr>
          <w:sz w:val="19"/>
          <w:szCs w:val="19"/>
        </w:rPr>
      </w:pPr>
      <w:r>
        <w:rPr>
          <w:color w:val="000000"/>
          <w:sz w:val="19"/>
          <w:szCs w:val="19"/>
        </w:rPr>
        <w:t>Elemento de despesa: 3.3.90.39.00.00.00.00</w:t>
      </w:r>
    </w:p>
    <w:p>
      <w:pPr>
        <w:pStyle w:val="LO-normal"/>
        <w:keepNext w:val="true"/>
        <w:keepLines/>
        <w:tabs>
          <w:tab w:val="clear" w:pos="720"/>
          <w:tab w:val="left" w:pos="567" w:leader="none"/>
        </w:tabs>
        <w:spacing w:before="240" w:after="0"/>
        <w:ind w:hanging="360" w:left="360"/>
        <w:jc w:val="both"/>
        <w:rPr>
          <w:sz w:val="19"/>
          <w:szCs w:val="19"/>
        </w:rPr>
      </w:pPr>
      <w:r>
        <w:rPr>
          <w:b/>
          <w:color w:val="000000"/>
          <w:sz w:val="19"/>
          <w:szCs w:val="19"/>
        </w:rPr>
        <w:t xml:space="preserve">13. CLÁUSULA DÉCIMA </w:t>
      </w:r>
      <w:r>
        <w:rPr>
          <w:rFonts w:eastAsia="Arial" w:cs="Arial"/>
          <w:b/>
          <w:color w:val="000000"/>
          <w:kern w:val="0"/>
          <w:sz w:val="19"/>
          <w:szCs w:val="19"/>
          <w:lang w:val="pt-BR" w:eastAsia="zh-CN" w:bidi="hi-IN"/>
        </w:rPr>
        <w:t>TERCEIR</w:t>
      </w:r>
      <w:r>
        <w:rPr>
          <w:b/>
          <w:color w:val="000000"/>
          <w:sz w:val="19"/>
          <w:szCs w:val="19"/>
        </w:rPr>
        <w:t>A – DOS CASOS OMISSOS (art. 92, III)</w:t>
      </w:r>
    </w:p>
    <w:p>
      <w:pPr>
        <w:pStyle w:val="LO-normal"/>
        <w:spacing w:lineRule="auto" w:line="276" w:before="120" w:after="120"/>
        <w:jc w:val="both"/>
        <w:rPr>
          <w:sz w:val="19"/>
          <w:szCs w:val="19"/>
        </w:rPr>
      </w:pPr>
      <w:r>
        <w:rPr>
          <w:sz w:val="19"/>
          <w:szCs w:val="19"/>
        </w:rPr>
        <w:t>13.1. Os casos omissos serão decididos pelo CONTRATANTE, segundo as disposições contidas na Lei nº 14.133/2021, e demais normas federais aplicáveis e, subsidiariamente, segundo as disposições contidas na Lei nº 8.078/1990 – Código de Defesa do Consumidor – e normas e princípios gerais dos contratos.</w:t>
      </w:r>
    </w:p>
    <w:p>
      <w:pPr>
        <w:pStyle w:val="LO-normal"/>
        <w:keepNext w:val="true"/>
        <w:keepLines/>
        <w:tabs>
          <w:tab w:val="clear" w:pos="720"/>
          <w:tab w:val="left" w:pos="567" w:leader="none"/>
        </w:tabs>
        <w:spacing w:before="240" w:after="0"/>
        <w:ind w:hanging="360" w:left="360"/>
        <w:jc w:val="both"/>
        <w:rPr>
          <w:sz w:val="19"/>
          <w:szCs w:val="19"/>
        </w:rPr>
      </w:pPr>
      <w:r>
        <w:rPr>
          <w:b/>
          <w:color w:val="000000"/>
          <w:sz w:val="19"/>
          <w:szCs w:val="19"/>
        </w:rPr>
        <w:t>14. CLÁUSULA DÉCIMA QU</w:t>
      </w:r>
      <w:r>
        <w:rPr>
          <w:rFonts w:eastAsia="Arial" w:cs="Arial"/>
          <w:b/>
          <w:color w:val="000000"/>
          <w:kern w:val="0"/>
          <w:sz w:val="19"/>
          <w:szCs w:val="19"/>
          <w:lang w:val="pt-BR" w:eastAsia="zh-CN" w:bidi="hi-IN"/>
        </w:rPr>
        <w:t>AR</w:t>
      </w:r>
      <w:r>
        <w:rPr>
          <w:b/>
          <w:color w:val="000000"/>
          <w:sz w:val="19"/>
          <w:szCs w:val="19"/>
        </w:rPr>
        <w:t>TA – ALTERAÇÕES</w:t>
      </w:r>
    </w:p>
    <w:p>
      <w:pPr>
        <w:pStyle w:val="LO-normal"/>
        <w:spacing w:lineRule="auto" w:line="276" w:before="120" w:after="120"/>
        <w:jc w:val="both"/>
        <w:rPr>
          <w:sz w:val="19"/>
          <w:szCs w:val="19"/>
        </w:rPr>
      </w:pPr>
      <w:r>
        <w:rPr>
          <w:sz w:val="19"/>
          <w:szCs w:val="19"/>
        </w:rPr>
        <w:t>14.1. Eventuais alterações contratuais reger-se-ão pela disciplina dos arts. 124 e seguintes da Lei nº 14.133/2021.</w:t>
      </w:r>
    </w:p>
    <w:p>
      <w:pPr>
        <w:pStyle w:val="LO-normal"/>
        <w:spacing w:lineRule="auto" w:line="276" w:before="120" w:after="120"/>
        <w:jc w:val="both"/>
        <w:rPr>
          <w:sz w:val="19"/>
          <w:szCs w:val="19"/>
        </w:rPr>
      </w:pPr>
      <w:r>
        <w:rPr>
          <w:sz w:val="19"/>
          <w:szCs w:val="19"/>
        </w:rPr>
        <w:t>14.2. O Contratado é obrigado a aceitar, nas mesmas condições contratuais, os acréscimos ou supressões que se fizerem necessários, até o limite de 25% (vinte e cinco por cento) do valor inicial atualizado do contrato.</w:t>
      </w:r>
    </w:p>
    <w:p>
      <w:pPr>
        <w:pStyle w:val="LO-normal"/>
        <w:spacing w:lineRule="auto" w:line="276" w:before="120" w:after="120"/>
        <w:jc w:val="both"/>
        <w:rPr>
          <w:sz w:val="19"/>
          <w:szCs w:val="19"/>
        </w:rPr>
      </w:pPr>
      <w:r>
        <w:rPr>
          <w:sz w:val="19"/>
          <w:szCs w:val="19"/>
        </w:rPr>
        <w:t>14.3. As supressões resultantes de acordo celebrado entre as partes contratantes poderão exceder o limite de 25% (vinte e cinco por cento) do valor inicial atualizado do termo de contrato.</w:t>
      </w:r>
    </w:p>
    <w:p>
      <w:pPr>
        <w:pStyle w:val="LO-normal"/>
        <w:spacing w:lineRule="auto" w:line="276" w:before="120" w:after="120"/>
        <w:jc w:val="both"/>
        <w:rPr>
          <w:sz w:val="19"/>
          <w:szCs w:val="19"/>
        </w:rPr>
      </w:pPr>
      <w:r>
        <w:rPr>
          <w:sz w:val="19"/>
          <w:szCs w:val="19"/>
        </w:rPr>
        <w:t>14.4. Registros que não caracterizam alteração do contrato podem ser realizados por simples apostila, dispensada a celebração de termo aditivo, na forma do art. 136 da Lei nº 14.133/2021.</w:t>
      </w:r>
    </w:p>
    <w:p>
      <w:pPr>
        <w:pStyle w:val="LO-normal"/>
        <w:keepNext w:val="true"/>
        <w:keepLines/>
        <w:tabs>
          <w:tab w:val="clear" w:pos="720"/>
          <w:tab w:val="left" w:pos="567" w:leader="none"/>
        </w:tabs>
        <w:spacing w:before="240" w:after="0"/>
        <w:jc w:val="both"/>
        <w:rPr>
          <w:sz w:val="19"/>
          <w:szCs w:val="19"/>
        </w:rPr>
      </w:pPr>
      <w:r>
        <w:rPr>
          <w:b/>
          <w:color w:val="000000"/>
          <w:sz w:val="19"/>
          <w:szCs w:val="19"/>
        </w:rPr>
        <w:t xml:space="preserve">15. CLÁUSULA DÉCIMA </w:t>
      </w:r>
      <w:r>
        <w:rPr>
          <w:rFonts w:eastAsia="Arial" w:cs="Arial"/>
          <w:b/>
          <w:color w:val="000000"/>
          <w:kern w:val="0"/>
          <w:sz w:val="19"/>
          <w:szCs w:val="19"/>
          <w:lang w:val="pt-BR" w:eastAsia="zh-CN" w:bidi="hi-IN"/>
        </w:rPr>
        <w:t>QUINTA</w:t>
      </w:r>
      <w:r>
        <w:rPr>
          <w:b/>
          <w:color w:val="000000"/>
          <w:sz w:val="19"/>
          <w:szCs w:val="19"/>
        </w:rPr>
        <w:t xml:space="preserve"> – PUBLICAÇÃO</w:t>
      </w:r>
    </w:p>
    <w:p>
      <w:pPr>
        <w:pStyle w:val="LO-normal"/>
        <w:spacing w:lineRule="auto" w:line="276" w:before="120" w:after="120"/>
        <w:jc w:val="both"/>
        <w:rPr>
          <w:sz w:val="19"/>
          <w:szCs w:val="19"/>
        </w:rPr>
      </w:pPr>
      <w:r>
        <w:rPr>
          <w:sz w:val="19"/>
          <w:szCs w:val="19"/>
        </w:rPr>
        <w:t>15.1. Incumbirá ao Contratante providenciar a publicação deste instrumento nos termos e condições previstas na Lei nº 14.133/2021.</w:t>
      </w:r>
    </w:p>
    <w:p>
      <w:pPr>
        <w:pStyle w:val="LO-normal"/>
        <w:keepNext w:val="true"/>
        <w:keepLines/>
        <w:tabs>
          <w:tab w:val="clear" w:pos="720"/>
          <w:tab w:val="left" w:pos="567" w:leader="none"/>
        </w:tabs>
        <w:spacing w:before="240" w:after="0"/>
        <w:jc w:val="both"/>
        <w:rPr>
          <w:sz w:val="19"/>
          <w:szCs w:val="19"/>
        </w:rPr>
      </w:pPr>
      <w:r>
        <w:rPr>
          <w:b/>
          <w:color w:val="000000"/>
          <w:sz w:val="19"/>
          <w:szCs w:val="19"/>
        </w:rPr>
        <w:t>16. CLÁUSULA DÉCIMA S</w:t>
      </w:r>
      <w:r>
        <w:rPr>
          <w:rFonts w:eastAsia="Arial" w:cs="Arial"/>
          <w:b/>
          <w:color w:val="000000"/>
          <w:kern w:val="0"/>
          <w:sz w:val="19"/>
          <w:szCs w:val="19"/>
          <w:lang w:val="pt-BR" w:eastAsia="zh-CN" w:bidi="hi-IN"/>
        </w:rPr>
        <w:t>EXT</w:t>
      </w:r>
      <w:r>
        <w:rPr>
          <w:b/>
          <w:color w:val="000000"/>
          <w:sz w:val="19"/>
          <w:szCs w:val="19"/>
        </w:rPr>
        <w:t>A – FORO (art. 92, §1º)</w:t>
      </w:r>
    </w:p>
    <w:p>
      <w:pPr>
        <w:pStyle w:val="LO-normal"/>
        <w:spacing w:lineRule="auto" w:line="276" w:before="120" w:after="120"/>
        <w:jc w:val="both"/>
        <w:rPr>
          <w:sz w:val="19"/>
          <w:szCs w:val="19"/>
        </w:rPr>
      </w:pPr>
      <w:r>
        <w:rPr>
          <w:sz w:val="19"/>
          <w:szCs w:val="19"/>
        </w:rPr>
        <w:t>16.1. É eleito o Foro da Comarca de Paracambi para dirimir os litígios que decorrerem da execução deste Termo de Contrato que não possam ser compostos pela conciliação, conforme art. 92, §1º da Lei nº 14.133/2021.</w:t>
      </w:r>
    </w:p>
    <w:p>
      <w:pPr>
        <w:pStyle w:val="LO-normal"/>
        <w:spacing w:lineRule="auto" w:line="360" w:before="0" w:after="120"/>
        <w:ind w:hanging="0" w:right="-15"/>
        <w:jc w:val="right"/>
        <w:rPr>
          <w:sz w:val="19"/>
          <w:szCs w:val="19"/>
        </w:rPr>
      </w:pPr>
      <w:r>
        <w:rPr>
          <w:sz w:val="19"/>
          <w:szCs w:val="19"/>
        </w:rPr>
      </w:r>
    </w:p>
    <w:p>
      <w:pPr>
        <w:pStyle w:val="LO-normal"/>
        <w:spacing w:lineRule="auto" w:line="360" w:before="0" w:after="120"/>
        <w:ind w:hanging="0" w:right="-15"/>
        <w:jc w:val="right"/>
        <w:rPr>
          <w:sz w:val="19"/>
          <w:szCs w:val="19"/>
        </w:rPr>
      </w:pPr>
      <w:r>
        <w:rPr>
          <w:sz w:val="19"/>
          <w:szCs w:val="19"/>
        </w:rPr>
        <w:t>Paracambi,_______de ____________________de 2024.</w:t>
      </w:r>
    </w:p>
    <w:p>
      <w:pPr>
        <w:pStyle w:val="LO-normal"/>
        <w:spacing w:before="0" w:after="120"/>
        <w:jc w:val="both"/>
        <w:rPr>
          <w:sz w:val="19"/>
          <w:szCs w:val="19"/>
        </w:rPr>
      </w:pPr>
      <w:r>
        <w:rPr>
          <w:sz w:val="19"/>
          <w:szCs w:val="19"/>
        </w:rPr>
      </w:r>
    </w:p>
    <w:p>
      <w:pPr>
        <w:pStyle w:val="LO-normal"/>
        <w:spacing w:before="0" w:after="120"/>
        <w:jc w:val="center"/>
        <w:rPr>
          <w:sz w:val="19"/>
          <w:szCs w:val="19"/>
        </w:rPr>
      </w:pPr>
      <w:r>
        <w:rPr>
          <w:sz w:val="19"/>
          <w:szCs w:val="19"/>
        </w:rPr>
        <w:t>_________________________</w:t>
      </w:r>
    </w:p>
    <w:p>
      <w:pPr>
        <w:pStyle w:val="LO-normal"/>
        <w:keepNext w:val="true"/>
        <w:keepLines/>
        <w:tabs>
          <w:tab w:val="clear" w:pos="720"/>
          <w:tab w:val="left" w:pos="567" w:leader="none"/>
        </w:tabs>
        <w:spacing w:lineRule="auto" w:line="240" w:before="69" w:after="0"/>
        <w:jc w:val="center"/>
        <w:rPr>
          <w:sz w:val="19"/>
          <w:szCs w:val="19"/>
        </w:rPr>
      </w:pPr>
      <w:r>
        <w:rPr>
          <w:rFonts w:eastAsia="Arial" w:cs="Arial"/>
          <w:b/>
          <w:bCs/>
          <w:color w:val="000000"/>
          <w:kern w:val="0"/>
          <w:sz w:val="19"/>
          <w:szCs w:val="19"/>
          <w:lang w:val="pt-BR" w:eastAsia="zh-CN" w:bidi="hi-IN"/>
        </w:rPr>
        <w:t>AYRTON JOSÉ LUCAS DE SOUZA</w:t>
      </w:r>
    </w:p>
    <w:p>
      <w:pPr>
        <w:pStyle w:val="LO-normal"/>
        <w:tabs>
          <w:tab w:val="clear" w:pos="720"/>
          <w:tab w:val="left" w:pos="567" w:leader="none"/>
        </w:tabs>
        <w:spacing w:lineRule="auto" w:line="240" w:before="69" w:after="0"/>
        <w:jc w:val="center"/>
        <w:rPr>
          <w:sz w:val="19"/>
          <w:szCs w:val="19"/>
        </w:rPr>
      </w:pPr>
      <w:r>
        <w:rPr>
          <w:rFonts w:eastAsia="SimSun" w:cs="Arial"/>
          <w:b w:val="false"/>
          <w:bCs w:val="false"/>
          <w:color w:val="000000"/>
          <w:kern w:val="2"/>
          <w:sz w:val="19"/>
          <w:szCs w:val="19"/>
          <w:lang w:val="pt-BR" w:eastAsia="zh-CN" w:bidi="hi-IN"/>
        </w:rPr>
        <w:t xml:space="preserve">Secretário Municipal de </w:t>
      </w:r>
      <w:r>
        <w:rPr>
          <w:rFonts w:eastAsia="Arial" w:cs="Arial"/>
          <w:b w:val="false"/>
          <w:bCs w:val="false"/>
          <w:color w:val="000000"/>
          <w:kern w:val="0"/>
          <w:sz w:val="19"/>
          <w:szCs w:val="19"/>
          <w:lang w:val="pt-BR" w:eastAsia="zh-CN" w:bidi="hi-IN"/>
        </w:rPr>
        <w:t>Segurança e Ordem Pública</w:t>
      </w:r>
    </w:p>
    <w:p>
      <w:pPr>
        <w:pStyle w:val="LO-normal"/>
        <w:tabs>
          <w:tab w:val="clear" w:pos="720"/>
          <w:tab w:val="left" w:pos="567" w:leader="none"/>
        </w:tabs>
        <w:spacing w:lineRule="auto" w:line="240" w:before="69" w:after="0"/>
        <w:jc w:val="center"/>
        <w:rPr>
          <w:sz w:val="19"/>
          <w:szCs w:val="19"/>
        </w:rPr>
      </w:pPr>
      <w:r>
        <w:rPr>
          <w:rFonts w:eastAsia="SimSun" w:cs="Arial"/>
          <w:b w:val="false"/>
          <w:bCs w:val="false"/>
          <w:color w:val="000000"/>
          <w:kern w:val="2"/>
          <w:sz w:val="19"/>
          <w:szCs w:val="19"/>
          <w:lang w:val="pt-BR" w:eastAsia="zh-CN" w:bidi="hi-IN"/>
        </w:rPr>
        <w:t>Matr.</w:t>
      </w:r>
      <w:r>
        <w:rPr>
          <w:rFonts w:eastAsia="Arial" w:cs="Arial"/>
          <w:b w:val="false"/>
          <w:bCs w:val="false"/>
          <w:color w:val="000000"/>
          <w:kern w:val="0"/>
          <w:sz w:val="19"/>
          <w:szCs w:val="19"/>
          <w:lang w:val="pt-BR" w:eastAsia="zh-CN" w:bidi="hi-IN"/>
        </w:rPr>
        <w:t>15.732</w:t>
      </w:r>
    </w:p>
    <w:p>
      <w:pPr>
        <w:pStyle w:val="LO-normal"/>
        <w:spacing w:before="0" w:after="120"/>
        <w:jc w:val="center"/>
        <w:rPr>
          <w:sz w:val="19"/>
          <w:szCs w:val="19"/>
        </w:rPr>
      </w:pPr>
      <w:r>
        <w:rPr>
          <w:sz w:val="19"/>
          <w:szCs w:val="19"/>
        </w:rPr>
      </w:r>
    </w:p>
    <w:p>
      <w:pPr>
        <w:pStyle w:val="LO-normal"/>
        <w:spacing w:before="0" w:after="120"/>
        <w:jc w:val="center"/>
        <w:rPr>
          <w:sz w:val="19"/>
          <w:szCs w:val="19"/>
        </w:rPr>
      </w:pPr>
      <w:r>
        <w:rPr>
          <w:sz w:val="19"/>
          <w:szCs w:val="19"/>
        </w:rPr>
      </w:r>
    </w:p>
    <w:p>
      <w:pPr>
        <w:pStyle w:val="LO-normal"/>
        <w:spacing w:before="0" w:after="120"/>
        <w:jc w:val="center"/>
        <w:rPr>
          <w:sz w:val="19"/>
          <w:szCs w:val="19"/>
        </w:rPr>
      </w:pPr>
      <w:r>
        <w:rPr>
          <w:sz w:val="19"/>
          <w:szCs w:val="19"/>
        </w:rPr>
        <w:t>_________________________</w:t>
      </w:r>
    </w:p>
    <w:p>
      <w:pPr>
        <w:pStyle w:val="LO-normal"/>
        <w:spacing w:before="0" w:after="120"/>
        <w:jc w:val="center"/>
        <w:rPr>
          <w:sz w:val="19"/>
          <w:szCs w:val="19"/>
        </w:rPr>
      </w:pPr>
      <w:r>
        <w:rPr>
          <w:sz w:val="19"/>
          <w:szCs w:val="19"/>
        </w:rPr>
        <w:t>Representante legal do CONTRATADO</w:t>
      </w:r>
    </w:p>
    <w:p>
      <w:pPr>
        <w:pStyle w:val="LO-normal"/>
        <w:spacing w:before="0" w:after="120"/>
        <w:jc w:val="center"/>
        <w:rPr>
          <w:sz w:val="19"/>
          <w:szCs w:val="19"/>
        </w:rPr>
      </w:pPr>
      <w:r>
        <w:rPr>
          <w:sz w:val="19"/>
          <w:szCs w:val="19"/>
        </w:rPr>
      </w:r>
    </w:p>
    <w:p>
      <w:pPr>
        <w:pStyle w:val="LO-normal"/>
        <w:spacing w:before="0" w:after="120"/>
        <w:jc w:val="both"/>
        <w:rPr>
          <w:sz w:val="19"/>
          <w:szCs w:val="19"/>
        </w:rPr>
      </w:pPr>
      <w:r>
        <w:rPr>
          <w:color w:val="000000"/>
          <w:sz w:val="19"/>
          <w:szCs w:val="19"/>
        </w:rPr>
        <w:t>TESTEMUNHAS:</w:t>
      </w:r>
    </w:p>
    <w:p>
      <w:pPr>
        <w:pStyle w:val="LO-normal"/>
        <w:rPr>
          <w:sz w:val="19"/>
          <w:szCs w:val="19"/>
        </w:rPr>
      </w:pPr>
      <w:r>
        <w:rPr>
          <w:color w:val="000000"/>
          <w:sz w:val="19"/>
          <w:szCs w:val="19"/>
        </w:rPr>
        <w:t>1-_______________________</w:t>
      </w:r>
    </w:p>
    <w:p>
      <w:pPr>
        <w:pStyle w:val="LO-normal"/>
        <w:rPr>
          <w:sz w:val="19"/>
          <w:szCs w:val="19"/>
        </w:rPr>
      </w:pPr>
      <w:r>
        <w:rPr>
          <w:color w:val="000000"/>
          <w:sz w:val="19"/>
          <w:szCs w:val="19"/>
        </w:rPr>
        <w:t>CPF:____________________</w:t>
      </w:r>
    </w:p>
    <w:p>
      <w:pPr>
        <w:pStyle w:val="LO-normal"/>
        <w:rPr>
          <w:sz w:val="19"/>
          <w:szCs w:val="19"/>
        </w:rPr>
      </w:pPr>
      <w:r>
        <w:rPr>
          <w:sz w:val="19"/>
          <w:szCs w:val="19"/>
        </w:rPr>
      </w:r>
    </w:p>
    <w:p>
      <w:pPr>
        <w:pStyle w:val="LO-normal"/>
        <w:rPr>
          <w:sz w:val="19"/>
          <w:szCs w:val="19"/>
        </w:rPr>
      </w:pPr>
      <w:r>
        <w:rPr>
          <w:sz w:val="19"/>
          <w:szCs w:val="19"/>
        </w:rPr>
      </w:r>
    </w:p>
    <w:p>
      <w:pPr>
        <w:pStyle w:val="LO-normal"/>
        <w:rPr>
          <w:sz w:val="19"/>
          <w:szCs w:val="19"/>
        </w:rPr>
      </w:pPr>
      <w:r>
        <w:rPr>
          <w:color w:val="000000"/>
          <w:sz w:val="19"/>
          <w:szCs w:val="19"/>
        </w:rPr>
        <w:t>2- ______________________</w:t>
      </w:r>
    </w:p>
    <w:p>
      <w:pPr>
        <w:pStyle w:val="LO-normal"/>
        <w:jc w:val="left"/>
        <w:rPr>
          <w:b w:val="false"/>
          <w:bCs w:val="false"/>
          <w:sz w:val="19"/>
          <w:szCs w:val="19"/>
          <w:u w:val="single"/>
        </w:rPr>
      </w:pPr>
      <w:r>
        <w:rPr>
          <w:b w:val="false"/>
          <w:bCs w:val="false"/>
          <w:color w:val="000000"/>
          <w:sz w:val="19"/>
          <w:szCs w:val="19"/>
          <w:u w:val="single"/>
        </w:rPr>
        <w:t>CPF:____________________</w:t>
      </w:r>
    </w:p>
    <w:sectPr>
      <w:footnotePr>
        <w:numFmt w:val="decimal"/>
      </w:footnotePr>
      <w:type w:val="continuous"/>
      <w:pgSz w:w="11906" w:h="16838"/>
      <w:pgMar w:left="495" w:right="356" w:gutter="0" w:header="405" w:top="1378" w:footer="278" w:bottom="987"/>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Ecofont_Spranq_eco_Sans">
    <w:charset w:val="00"/>
    <w:family w:val="roman"/>
    <w:pitch w:val="variable"/>
  </w:font>
  <w:font w:name="Segoe UI">
    <w:charset w:val="00"/>
    <w:family w:val="roman"/>
    <w:pitch w:val="variable"/>
  </w:font>
  <w:font w:name="Liberation Sans">
    <w:altName w:val="Arial"/>
    <w:charset w:val="00"/>
    <w:family w:val="swiss"/>
    <w:pitch w:val="variable"/>
  </w:font>
  <w:font w:name="Georgia">
    <w:charset w:val="00"/>
    <w:family w:val="roman"/>
    <w:pitch w:val="variable"/>
  </w:font>
  <w:font w:name="Calibri">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rStyle w:val="Fontepargpadro"/>
        <w:rFonts w:cs="Arial"/>
        <w:b/>
        <w:bCs/>
        <w:color w:val="000000"/>
        <w:sz w:val="14"/>
        <w:szCs w:val="14"/>
      </w:rPr>
      <w:t>Superintendência de Contratações</w:t>
    </w:r>
  </w:p>
  <w:p>
    <w:pPr>
      <w:pStyle w:val="LO-normal"/>
      <w:tabs>
        <w:tab w:val="clear" w:pos="720"/>
        <w:tab w:val="center" w:pos="4252" w:leader="none"/>
        <w:tab w:val="right" w:pos="8504" w:leader="none"/>
      </w:tabs>
      <w:bidi w:val="0"/>
      <w:jc w:val="center"/>
      <w:rPr/>
    </w:pPr>
    <w:r>
      <w:rPr>
        <w:rStyle w:val="Fontepargpadro"/>
        <w:b/>
        <w:bCs/>
        <w:color w:val="000000"/>
        <w:sz w:val="14"/>
        <w:szCs w:val="14"/>
      </w:rPr>
      <w:t>Rua Juiz Emílio Carmo, 50 – Centro – Paracambi/ Rj</w:t>
    </w:r>
  </w:p>
  <w:p>
    <w:pPr>
      <w:pStyle w:val="LO-normal"/>
      <w:tabs>
        <w:tab w:val="clear" w:pos="720"/>
        <w:tab w:val="center" w:pos="4252" w:leader="none"/>
        <w:tab w:val="right" w:pos="8504" w:leader="none"/>
      </w:tabs>
      <w:bidi w:val="0"/>
      <w:ind w:right="360"/>
      <w:jc w:val="center"/>
      <w:rPr/>
    </w:pPr>
    <w:r>
      <w:rPr>
        <w:rStyle w:val="Fontepargpadro"/>
        <w:b/>
        <w:bCs/>
        <w:color w:val="000000"/>
        <w:sz w:val="14"/>
        <w:szCs w:val="14"/>
      </w:rPr>
      <w:t xml:space="preserve">Tel.: (21) 2683-9115 – E-mail: </w:t>
    </w:r>
    <w:hyperlink r:id="rId1" w:tgtFrame="_blank">
      <w:r>
        <w:rPr>
          <w:rStyle w:val="Hyperlink"/>
          <w:b/>
          <w:bCs/>
          <w:color w:val="000000"/>
          <w:sz w:val="14"/>
          <w:szCs w:val="14"/>
        </w:rPr>
        <w:t>spcontratacoes@paracambi.rj.gov.br</w:t>
      </w:r>
    </w:hyperlink>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rStyle w:val="Fontepargpadro"/>
        <w:rFonts w:cs="Arial"/>
        <w:b/>
        <w:bCs/>
        <w:color w:val="000000"/>
        <w:sz w:val="14"/>
        <w:szCs w:val="14"/>
      </w:rPr>
      <w:t>Superintendência de Contratações</w:t>
    </w:r>
  </w:p>
  <w:p>
    <w:pPr>
      <w:pStyle w:val="LO-normal"/>
      <w:tabs>
        <w:tab w:val="clear" w:pos="720"/>
        <w:tab w:val="center" w:pos="4252" w:leader="none"/>
        <w:tab w:val="right" w:pos="8504" w:leader="none"/>
      </w:tabs>
      <w:bidi w:val="0"/>
      <w:jc w:val="center"/>
      <w:rPr/>
    </w:pPr>
    <w:r>
      <w:rPr>
        <w:rStyle w:val="Fontepargpadro"/>
        <w:b/>
        <w:bCs/>
        <w:color w:val="000000"/>
        <w:sz w:val="14"/>
        <w:szCs w:val="14"/>
      </w:rPr>
      <w:t>Rua Juiz Emílio Carmo, 50 – Centro – Paracambi/ Rj</w:t>
    </w:r>
  </w:p>
  <w:p>
    <w:pPr>
      <w:pStyle w:val="LO-normal"/>
      <w:tabs>
        <w:tab w:val="clear" w:pos="720"/>
        <w:tab w:val="center" w:pos="4252" w:leader="none"/>
        <w:tab w:val="right" w:pos="8504" w:leader="none"/>
      </w:tabs>
      <w:bidi w:val="0"/>
      <w:ind w:right="360"/>
      <w:jc w:val="center"/>
      <w:rPr/>
    </w:pPr>
    <w:r>
      <w:rPr>
        <w:rStyle w:val="Fontepargpadro"/>
        <w:b/>
        <w:bCs/>
        <w:color w:val="000000"/>
        <w:sz w:val="14"/>
        <w:szCs w:val="14"/>
      </w:rPr>
      <w:t xml:space="preserve">Tel.: (21) 2683-9115 – E-mail: </w:t>
    </w:r>
    <w:hyperlink r:id="rId1" w:tgtFrame="_blank">
      <w:r>
        <w:rPr>
          <w:rStyle w:val="Hyperlink"/>
          <w:b/>
          <w:bCs/>
          <w:color w:val="000000"/>
          <w:sz w:val="14"/>
          <w:szCs w:val="14"/>
        </w:rPr>
        <w:t>spcontratacoes@paracambi.rj.gov.br</w:t>
      </w:r>
    </w:hyperlink>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rPr>
          <w:rFonts w:ascii="Times New Roman" w:hAnsi="Times New Roman"/>
        </w:rPr>
      </w:pPr>
      <w:r>
        <w:rPr>
          <w:rStyle w:val="Caracteresdenotaderodap"/>
        </w:rPr>
        <w:footnoteRef/>
      </w:r>
      <w:r>
        <w:rPr>
          <w:rFonts w:ascii="Times New Roman" w:hAnsi="Times New Roman"/>
        </w:rPr>
        <w:tab/>
        <w:t xml:space="preserve"> </w:t>
      </w:r>
      <w:r>
        <w:rPr>
          <w:rFonts w:ascii="Times New Roman" w:hAnsi="Times New Roman"/>
          <w:b/>
          <w:bCs/>
        </w:rPr>
        <w:t>SUNDFELD</w:t>
      </w:r>
      <w:r>
        <w:rPr>
          <w:rFonts w:ascii="Times New Roman" w:hAnsi="Times New Roman"/>
        </w:rPr>
        <w:t xml:space="preserve">, Carlos Ari. </w:t>
      </w:r>
      <w:r>
        <w:rPr>
          <w:rFonts w:ascii="Times New Roman" w:hAnsi="Times New Roman"/>
          <w:i/>
          <w:iCs/>
        </w:rPr>
        <w:t>Direito Administrativo para Céticos</w:t>
      </w:r>
      <w:r>
        <w:rPr>
          <w:rFonts w:ascii="Times New Roman" w:hAnsi="Times New Roman"/>
        </w:rPr>
        <w:t>. 2. ed. São Paulo: Malheiros, 2021.</w:t>
      </w:r>
    </w:p>
  </w:footnote>
  <w:footnote w:id="3">
    <w:p>
      <w:pPr>
        <w:pStyle w:val="FootnoteText"/>
        <w:rPr>
          <w:rFonts w:ascii="Times New Roman" w:hAnsi="Times New Roman"/>
        </w:rPr>
      </w:pPr>
      <w:r>
        <w:rPr>
          <w:rStyle w:val="Caracteresdenotaderodap"/>
        </w:rPr>
        <w:footnoteRef/>
      </w:r>
      <w:r>
        <w:rPr>
          <w:rFonts w:ascii="Times New Roman" w:hAnsi="Times New Roman"/>
        </w:rPr>
        <w:tab/>
        <w:t xml:space="preserve"> </w:t>
      </w:r>
      <w:r>
        <w:rPr>
          <w:rFonts w:ascii="Times New Roman" w:hAnsi="Times New Roman"/>
          <w:b/>
          <w:bCs/>
        </w:rPr>
        <w:t>OLIVEIRA</w:t>
      </w:r>
      <w:r>
        <w:rPr>
          <w:rFonts w:ascii="Times New Roman" w:hAnsi="Times New Roman"/>
        </w:rPr>
        <w:t xml:space="preserve">, Rafael. </w:t>
      </w:r>
      <w:r>
        <w:rPr>
          <w:rFonts w:ascii="Times New Roman" w:hAnsi="Times New Roman"/>
          <w:i/>
          <w:iCs/>
        </w:rPr>
        <w:t>Novo Curso de Licitações e Contratos Administrativos: Lei nº 14.133/2021</w:t>
      </w:r>
      <w:r>
        <w:rPr>
          <w:rFonts w:ascii="Times New Roman" w:hAnsi="Times New Roman"/>
        </w:rPr>
        <w:t>. São Paulo: Método, 2022.</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hanging="0" w:left="0" w:right="0"/>
      <w:rPr/>
    </w:pPr>
    <w:r>
      <w:rPr>
        <w:rStyle w:val="Fontepargpadro"/>
        <w:color w:val="000000"/>
        <w:sz w:val="20"/>
        <w:szCs w:val="20"/>
      </w:rPr>
      <w:drawing>
        <wp:anchor behindDoc="1" distT="0" distB="0" distL="0" distR="0" simplePos="0" locked="0" layoutInCell="0" allowOverlap="1" relativeHeight="40">
          <wp:simplePos x="0" y="0"/>
          <wp:positionH relativeFrom="column">
            <wp:posOffset>-25400</wp:posOffset>
          </wp:positionH>
          <wp:positionV relativeFrom="paragraph">
            <wp:posOffset>-57150</wp:posOffset>
          </wp:positionV>
          <wp:extent cx="572135" cy="594995"/>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1"/>
                  <a:stretch>
                    <a:fillRect/>
                  </a:stretch>
                </pic:blipFill>
                <pic:spPr bwMode="auto">
                  <a:xfrm>
                    <a:off x="0" y="0"/>
                    <a:ext cx="572135" cy="594995"/>
                  </a:xfrm>
                  <a:prstGeom prst="rect">
                    <a:avLst/>
                  </a:prstGeom>
                  <a:noFill/>
                </pic:spPr>
              </pic:pic>
            </a:graphicData>
          </a:graphic>
        </wp:anchor>
      </w:drawing>
      <w:t xml:space="preserve">                   </w:t>
    </w:r>
    <w:r>
      <w:rPr>
        <w:rStyle w:val="Fontepargpadro"/>
        <w:color w:val="000000"/>
        <w:sz w:val="20"/>
        <w:szCs w:val="20"/>
      </w:rPr>
      <w:t xml:space="preserve">Estado </w:t>
    </w:r>
    <w:r>
      <w:drawing>
        <wp:anchor behindDoc="1" distT="0" distB="0" distL="0" distR="0" simplePos="0" locked="0" layoutInCell="0" allowOverlap="1" relativeHeight="79">
          <wp:simplePos x="0" y="0"/>
          <wp:positionH relativeFrom="column">
            <wp:posOffset>5718175</wp:posOffset>
          </wp:positionH>
          <wp:positionV relativeFrom="paragraph">
            <wp:posOffset>-190500</wp:posOffset>
          </wp:positionV>
          <wp:extent cx="1190625" cy="723900"/>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2"/>
                  <a:stretch>
                    <a:fillRect/>
                  </a:stretch>
                </pic:blipFill>
                <pic:spPr bwMode="auto">
                  <a:xfrm>
                    <a:off x="0" y="0"/>
                    <a:ext cx="1190625" cy="723900"/>
                  </a:xfrm>
                  <a:prstGeom prst="rect">
                    <a:avLst/>
                  </a:prstGeom>
                  <a:noFill/>
                </pic:spPr>
              </pic:pic>
            </a:graphicData>
          </a:graphic>
        </wp:anchor>
      </w:drawing>
    </w:r>
    <w:r>
      <w:rPr>
        <w:rStyle w:val="Fontepargpadro"/>
        <w:color w:val="000000"/>
        <w:sz w:val="20"/>
        <w:szCs w:val="20"/>
      </w:rPr>
      <w:t>do Rio de Janeiro</w:t>
    </w:r>
  </w:p>
  <w:p>
    <w:pPr>
      <w:pStyle w:val="Normal"/>
      <w:ind w:hanging="0" w:left="0" w:right="0"/>
      <w:rPr/>
    </w:pPr>
    <w:r>
      <w:rPr>
        <w:rStyle w:val="Fontepargpadro"/>
        <w:color w:val="000000"/>
        <w:sz w:val="20"/>
        <w:szCs w:val="20"/>
      </w:rPr>
      <w:t xml:space="preserve">                   </w:t>
    </w:r>
    <w:r>
      <w:rPr>
        <w:rStyle w:val="Fontepargpadro"/>
        <w:color w:val="000000"/>
        <w:sz w:val="20"/>
        <w:szCs w:val="20"/>
      </w:rPr>
      <w:t xml:space="preserve">Prefeitura Municipal </w:t>
    </w:r>
    <w:r>
      <w:rPr>
        <w:color w:val="000000"/>
        <w:sz w:val="20"/>
        <w:szCs w:val="20"/>
      </w:rPr>
      <w:t>de Paracambi</w:t>
    </w:r>
  </w:p>
  <w:p>
    <w:pPr>
      <w:pStyle w:val="Normal"/>
      <w:ind w:hanging="0" w:left="0" w:right="0"/>
      <w:rPr/>
    </w:pPr>
    <w:r>
      <w:rPr>
        <w:color w:val="000000"/>
        <w:sz w:val="20"/>
        <w:szCs w:val="20"/>
      </w:rPr>
      <w:t xml:space="preserve">                   </w:t>
    </w:r>
    <w:r>
      <w:rPr>
        <w:color w:val="000000"/>
        <w:sz w:val="20"/>
        <w:szCs w:val="20"/>
      </w:rPr>
      <w:t>Superintendência de Contratações</w:t>
    </w:r>
  </w:p>
  <w:p>
    <w:pPr>
      <w:pStyle w:val="BodyText"/>
      <w:spacing w:before="0" w:after="140"/>
      <w:ind w:hanging="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hanging="0" w:left="0" w:right="0"/>
      <w:rPr/>
    </w:pPr>
    <w:r>
      <w:rPr>
        <w:rStyle w:val="Fontepargpadro"/>
        <w:color w:val="000000"/>
        <w:sz w:val="20"/>
        <w:szCs w:val="20"/>
      </w:rPr>
      <w:drawing>
        <wp:anchor behindDoc="1" distT="0" distB="0" distL="0" distR="0" simplePos="0" locked="0" layoutInCell="0" allowOverlap="1" relativeHeight="40">
          <wp:simplePos x="0" y="0"/>
          <wp:positionH relativeFrom="column">
            <wp:posOffset>-25400</wp:posOffset>
          </wp:positionH>
          <wp:positionV relativeFrom="paragraph">
            <wp:posOffset>-57150</wp:posOffset>
          </wp:positionV>
          <wp:extent cx="572135" cy="594995"/>
          <wp:effectExtent l="0" t="0" r="0" b="0"/>
          <wp:wrapSquare wrapText="largest"/>
          <wp:docPr id="3"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descr=""/>
                  <pic:cNvPicPr>
                    <a:picLocks noChangeAspect="1" noChangeArrowheads="1"/>
                  </pic:cNvPicPr>
                </pic:nvPicPr>
                <pic:blipFill>
                  <a:blip r:embed="rId1"/>
                  <a:stretch>
                    <a:fillRect/>
                  </a:stretch>
                </pic:blipFill>
                <pic:spPr bwMode="auto">
                  <a:xfrm>
                    <a:off x="0" y="0"/>
                    <a:ext cx="572135" cy="594995"/>
                  </a:xfrm>
                  <a:prstGeom prst="rect">
                    <a:avLst/>
                  </a:prstGeom>
                  <a:noFill/>
                </pic:spPr>
              </pic:pic>
            </a:graphicData>
          </a:graphic>
        </wp:anchor>
      </w:drawing>
      <w:t xml:space="preserve">                   </w:t>
    </w:r>
    <w:r>
      <w:rPr>
        <w:rStyle w:val="Fontepargpadro"/>
        <w:color w:val="000000"/>
        <w:sz w:val="20"/>
        <w:szCs w:val="20"/>
      </w:rPr>
      <w:t xml:space="preserve">Estado </w:t>
    </w:r>
    <w:r>
      <w:drawing>
        <wp:anchor behindDoc="1" distT="0" distB="0" distL="0" distR="0" simplePos="0" locked="0" layoutInCell="0" allowOverlap="1" relativeHeight="79">
          <wp:simplePos x="0" y="0"/>
          <wp:positionH relativeFrom="column">
            <wp:posOffset>5718175</wp:posOffset>
          </wp:positionH>
          <wp:positionV relativeFrom="paragraph">
            <wp:posOffset>-190500</wp:posOffset>
          </wp:positionV>
          <wp:extent cx="1190625" cy="723900"/>
          <wp:effectExtent l="0" t="0" r="0" b="0"/>
          <wp:wrapSquare wrapText="largest"/>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2"/>
                  <a:stretch>
                    <a:fillRect/>
                  </a:stretch>
                </pic:blipFill>
                <pic:spPr bwMode="auto">
                  <a:xfrm>
                    <a:off x="0" y="0"/>
                    <a:ext cx="1190625" cy="723900"/>
                  </a:xfrm>
                  <a:prstGeom prst="rect">
                    <a:avLst/>
                  </a:prstGeom>
                  <a:noFill/>
                </pic:spPr>
              </pic:pic>
            </a:graphicData>
          </a:graphic>
        </wp:anchor>
      </w:drawing>
    </w:r>
    <w:r>
      <w:rPr>
        <w:rStyle w:val="Fontepargpadro"/>
        <w:color w:val="000000"/>
        <w:sz w:val="20"/>
        <w:szCs w:val="20"/>
      </w:rPr>
      <w:t>do Rio de Janeiro</w:t>
    </w:r>
  </w:p>
  <w:p>
    <w:pPr>
      <w:pStyle w:val="Normal"/>
      <w:ind w:hanging="0" w:left="0" w:right="0"/>
      <w:rPr/>
    </w:pPr>
    <w:r>
      <w:rPr>
        <w:rStyle w:val="Fontepargpadro"/>
        <w:color w:val="000000"/>
        <w:sz w:val="20"/>
        <w:szCs w:val="20"/>
      </w:rPr>
      <w:t xml:space="preserve">                   </w:t>
    </w:r>
    <w:r>
      <w:rPr>
        <w:rStyle w:val="Fontepargpadro"/>
        <w:color w:val="000000"/>
        <w:sz w:val="20"/>
        <w:szCs w:val="20"/>
      </w:rPr>
      <w:t xml:space="preserve">Prefeitura Municipal </w:t>
    </w:r>
    <w:r>
      <w:rPr>
        <w:color w:val="000000"/>
        <w:sz w:val="20"/>
        <w:szCs w:val="20"/>
      </w:rPr>
      <w:t>de Paracambi</w:t>
    </w:r>
  </w:p>
  <w:p>
    <w:pPr>
      <w:pStyle w:val="Normal"/>
      <w:ind w:hanging="0" w:left="0" w:right="0"/>
      <w:rPr/>
    </w:pPr>
    <w:r>
      <w:rPr>
        <w:color w:val="000000"/>
        <w:sz w:val="20"/>
        <w:szCs w:val="20"/>
      </w:rPr>
      <w:t xml:space="preserve">                   </w:t>
    </w:r>
    <w:r>
      <w:rPr>
        <w:color w:val="000000"/>
        <w:sz w:val="20"/>
        <w:szCs w:val="20"/>
      </w:rPr>
      <w:t>Superintendência de Contratações</w:t>
    </w:r>
  </w:p>
  <w:p>
    <w:pPr>
      <w:pStyle w:val="BodyText"/>
      <w:spacing w:before="0" w:after="140"/>
      <w:ind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7"/>
      <w:numFmt w:val="decimal"/>
      <w:lvlText w:val="%1"/>
      <w:lvlJc w:val="left"/>
      <w:pPr>
        <w:tabs>
          <w:tab w:val="num" w:pos="0"/>
        </w:tabs>
        <w:ind w:left="122" w:hanging="428"/>
      </w:pPr>
      <w:rPr/>
    </w:lvl>
    <w:lvl w:ilvl="1">
      <w:start w:val="0"/>
      <w:numFmt w:val="none"/>
      <w:suff w:val="nothing"/>
      <w:lvlText w:val=""/>
      <w:lvlJc w:val="left"/>
      <w:pPr>
        <w:tabs>
          <w:tab w:val="num" w:pos="0"/>
        </w:tabs>
        <w:ind w:left="0" w:hanging="0"/>
      </w:pPr>
      <w:rPr/>
    </w:lvl>
    <w:lvl w:ilvl="2">
      <w:start w:val="0"/>
      <w:numFmt w:val="none"/>
      <w:suff w:val="nothing"/>
      <w:lvlText w:val=""/>
      <w:lvlJc w:val="left"/>
      <w:pPr>
        <w:tabs>
          <w:tab w:val="num" w:pos="0"/>
        </w:tabs>
        <w:ind w:left="0" w:hanging="0"/>
      </w:pPr>
      <w:rPr/>
    </w:lvl>
    <w:lvl w:ilvl="3">
      <w:start w:val="0"/>
      <w:numFmt w:val="bullet"/>
      <w:lvlText w:val=""/>
      <w:lvlJc w:val="left"/>
      <w:pPr>
        <w:tabs>
          <w:tab w:val="num" w:pos="0"/>
        </w:tabs>
        <w:ind w:left="2808" w:hanging="608"/>
      </w:pPr>
      <w:rPr>
        <w:rFonts w:ascii="Symbol" w:hAnsi="Symbol" w:cs="Symbol" w:hint="default"/>
      </w:rPr>
    </w:lvl>
    <w:lvl w:ilvl="4">
      <w:start w:val="0"/>
      <w:numFmt w:val="bullet"/>
      <w:lvlText w:val=""/>
      <w:lvlJc w:val="left"/>
      <w:pPr>
        <w:tabs>
          <w:tab w:val="num" w:pos="0"/>
        </w:tabs>
        <w:ind w:left="3704" w:hanging="608"/>
      </w:pPr>
      <w:rPr>
        <w:rFonts w:ascii="Symbol" w:hAnsi="Symbol" w:cs="Symbol" w:hint="default"/>
      </w:rPr>
    </w:lvl>
    <w:lvl w:ilvl="5">
      <w:start w:val="0"/>
      <w:numFmt w:val="bullet"/>
      <w:lvlText w:val=""/>
      <w:lvlJc w:val="left"/>
      <w:pPr>
        <w:tabs>
          <w:tab w:val="num" w:pos="0"/>
        </w:tabs>
        <w:ind w:left="4600" w:hanging="608"/>
      </w:pPr>
      <w:rPr>
        <w:rFonts w:ascii="Symbol" w:hAnsi="Symbol" w:cs="Symbol" w:hint="default"/>
      </w:rPr>
    </w:lvl>
    <w:lvl w:ilvl="6">
      <w:start w:val="0"/>
      <w:numFmt w:val="bullet"/>
      <w:lvlText w:val=""/>
      <w:lvlJc w:val="left"/>
      <w:pPr>
        <w:tabs>
          <w:tab w:val="num" w:pos="0"/>
        </w:tabs>
        <w:ind w:left="5496" w:hanging="608"/>
      </w:pPr>
      <w:rPr>
        <w:rFonts w:ascii="Symbol" w:hAnsi="Symbol" w:cs="Symbol" w:hint="default"/>
      </w:rPr>
    </w:lvl>
    <w:lvl w:ilvl="7">
      <w:start w:val="0"/>
      <w:numFmt w:val="bullet"/>
      <w:lvlText w:val=""/>
      <w:lvlJc w:val="left"/>
      <w:pPr>
        <w:tabs>
          <w:tab w:val="num" w:pos="0"/>
        </w:tabs>
        <w:ind w:left="6392" w:hanging="608"/>
      </w:pPr>
      <w:rPr>
        <w:rFonts w:ascii="Symbol" w:hAnsi="Symbol" w:cs="Symbol" w:hint="default"/>
      </w:rPr>
    </w:lvl>
    <w:lvl w:ilvl="8">
      <w:start w:val="0"/>
      <w:numFmt w:val="bullet"/>
      <w:lvlText w:val=""/>
      <w:lvlJc w:val="left"/>
      <w:pPr>
        <w:tabs>
          <w:tab w:val="num" w:pos="0"/>
        </w:tabs>
        <w:ind w:left="7288" w:hanging="608"/>
      </w:pPr>
      <w:rPr>
        <w:rFonts w:ascii="Symbol" w:hAnsi="Symbol" w:cs="Symbol" w:hint="default"/>
      </w:rPr>
    </w:lvl>
  </w:abstractNum>
  <w:abstractNum w:abstractNumId="3">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4">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lowerLetter"/>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lvl w:ilvl="0">
      <w:start w:val="1"/>
      <w:numFmt w:val="lowerLetter"/>
      <w:lvlText w:val="%1)"/>
      <w:lvlJc w:val="left"/>
      <w:pPr>
        <w:tabs>
          <w:tab w:val="num" w:pos="0"/>
        </w:tabs>
        <w:ind w:left="2988" w:hanging="360"/>
      </w:pPr>
      <w:rPr/>
    </w:lvl>
    <w:lvl w:ilvl="1">
      <w:start w:val="1"/>
      <w:numFmt w:val="lowerLetter"/>
      <w:lvlText w:val="%2."/>
      <w:lvlJc w:val="left"/>
      <w:pPr>
        <w:tabs>
          <w:tab w:val="num" w:pos="0"/>
        </w:tabs>
        <w:ind w:left="3708" w:hanging="360"/>
      </w:pPr>
      <w:rPr/>
    </w:lvl>
    <w:lvl w:ilvl="2">
      <w:start w:val="1"/>
      <w:numFmt w:val="lowerRoman"/>
      <w:lvlText w:val="%3."/>
      <w:lvlJc w:val="right"/>
      <w:pPr>
        <w:tabs>
          <w:tab w:val="num" w:pos="0"/>
        </w:tabs>
        <w:ind w:left="4428" w:hanging="180"/>
      </w:pPr>
      <w:rPr/>
    </w:lvl>
    <w:lvl w:ilvl="3">
      <w:start w:val="1"/>
      <w:numFmt w:val="decimal"/>
      <w:lvlText w:val="%4."/>
      <w:lvlJc w:val="left"/>
      <w:pPr>
        <w:tabs>
          <w:tab w:val="num" w:pos="0"/>
        </w:tabs>
        <w:ind w:left="5148" w:hanging="360"/>
      </w:pPr>
      <w:rPr/>
    </w:lvl>
    <w:lvl w:ilvl="4">
      <w:start w:val="1"/>
      <w:numFmt w:val="lowerLetter"/>
      <w:lvlText w:val="%5."/>
      <w:lvlJc w:val="left"/>
      <w:pPr>
        <w:tabs>
          <w:tab w:val="num" w:pos="0"/>
        </w:tabs>
        <w:ind w:left="5868" w:hanging="360"/>
      </w:pPr>
      <w:rPr/>
    </w:lvl>
    <w:lvl w:ilvl="5">
      <w:start w:val="1"/>
      <w:numFmt w:val="lowerRoman"/>
      <w:lvlText w:val="%6."/>
      <w:lvlJc w:val="right"/>
      <w:pPr>
        <w:tabs>
          <w:tab w:val="num" w:pos="0"/>
        </w:tabs>
        <w:ind w:left="6588" w:hanging="180"/>
      </w:pPr>
      <w:rPr/>
    </w:lvl>
    <w:lvl w:ilvl="6">
      <w:start w:val="1"/>
      <w:numFmt w:val="decimal"/>
      <w:lvlText w:val="%7."/>
      <w:lvlJc w:val="left"/>
      <w:pPr>
        <w:tabs>
          <w:tab w:val="num" w:pos="0"/>
        </w:tabs>
        <w:ind w:left="7308" w:hanging="360"/>
      </w:pPr>
      <w:rPr/>
    </w:lvl>
    <w:lvl w:ilvl="7">
      <w:start w:val="1"/>
      <w:numFmt w:val="lowerLetter"/>
      <w:lvlText w:val="%8."/>
      <w:lvlJc w:val="left"/>
      <w:pPr>
        <w:tabs>
          <w:tab w:val="num" w:pos="0"/>
        </w:tabs>
        <w:ind w:left="8028" w:hanging="360"/>
      </w:pPr>
      <w:rPr/>
    </w:lvl>
    <w:lvl w:ilvl="8">
      <w:start w:val="1"/>
      <w:numFmt w:val="lowerRoman"/>
      <w:lvlText w:val="%9."/>
      <w:lvlJc w:val="right"/>
      <w:pPr>
        <w:tabs>
          <w:tab w:val="num" w:pos="0"/>
        </w:tabs>
        <w:ind w:left="8748" w:hanging="180"/>
      </w:pPr>
      <w:rPr/>
    </w:lvl>
  </w:abstractNum>
  <w:abstractNum w:abstractNumId="7">
    <w:lvl w:ilvl="0">
      <w:start w:val="13"/>
      <w:numFmt w:val="decimal"/>
      <w:lvlText w:val="%1."/>
      <w:lvlJc w:val="left"/>
      <w:pPr>
        <w:tabs>
          <w:tab w:val="num" w:pos="0"/>
        </w:tabs>
        <w:ind w:left="645" w:hanging="645"/>
      </w:pPr>
      <w:rPr/>
    </w:lvl>
    <w:lvl w:ilvl="1">
      <w:start w:val="2"/>
      <w:numFmt w:val="decimal"/>
      <w:lvlText w:val="%1.%2."/>
      <w:lvlJc w:val="left"/>
      <w:pPr>
        <w:tabs>
          <w:tab w:val="num" w:pos="0"/>
        </w:tabs>
        <w:ind w:left="645" w:hanging="645"/>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8">
    <w:lvl w:ilvl="0">
      <w:start w:val="13"/>
      <w:numFmt w:val="decimal"/>
      <w:lvlText w:val="%1."/>
      <w:lvlJc w:val="left"/>
      <w:pPr>
        <w:tabs>
          <w:tab w:val="num" w:pos="0"/>
        </w:tabs>
        <w:ind w:left="645" w:hanging="645"/>
      </w:pPr>
      <w:rPr/>
    </w:lvl>
    <w:lvl w:ilvl="1">
      <w:start w:val="4"/>
      <w:numFmt w:val="decimal"/>
      <w:lvlText w:val="%1.%2."/>
      <w:lvlJc w:val="left"/>
      <w:pPr>
        <w:tabs>
          <w:tab w:val="num" w:pos="0"/>
        </w:tabs>
        <w:ind w:left="645" w:hanging="645"/>
      </w:pPr>
      <w:rPr/>
    </w:lvl>
    <w:lvl w:ilvl="2">
      <w:start w:val="3"/>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9">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0">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decimal"/>
      <w:lvlText w:val="%1."/>
      <w:lvlJc w:val="left"/>
      <w:pPr>
        <w:tabs>
          <w:tab w:val="num" w:pos="720"/>
        </w:tabs>
        <w:ind w:left="720" w:hanging="360"/>
      </w:pP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3">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5">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14"/>
    <w:lvlOverride w:ilvl="0">
      <w:startOverride w:val="1"/>
    </w:lvlOverride>
  </w:num>
  <w:num w:numId="22">
    <w:abstractNumId w:val="14"/>
  </w:num>
  <w:num w:numId="23">
    <w:abstractNumId w:val="14"/>
  </w:num>
  <w:num w:numId="24">
    <w:abstractNumId w:val="14"/>
  </w:num>
  <w:num w:numId="25">
    <w:abstractNumId w:val="14"/>
  </w:num>
  <w:num w:numId="26">
    <w:abstractNumId w:val="14"/>
  </w:num>
</w:numbering>
</file>

<file path=word/settings.xml><?xml version="1.0" encoding="utf-8"?>
<w:settings xmlns:w="http://schemas.openxmlformats.org/wordprocessingml/2006/main">
  <w:zoom w:percent="100"/>
  <w:defaultTabStop w:val="720"/>
  <w:autoHyphenation w:val="true"/>
  <w:hyphenationZone w:val="425"/>
  <w:footnotePr>
    <w:numFmt w:val="decimal"/>
    <w:footnote w:id="0"/>
    <w:footnote w:id="1"/>
  </w:footnotePr>
  <w:compat>
    <w:compatSetting w:name="compatibilityMode" w:uri="http://schemas.microsoft.com/office/word" w:val="12"/>
  </w:compat>
  <w:themeFontLang w:val="zh-CN" w:eastAsia="zh-CN" w:bidi="zh-C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0" w:semiHidden="0" w:qFormat="1"/>
    <w:lsdException w:name="header" w:uiPriority="99" w:semiHidden="0"/>
    <w:lsdException w:name="footer" w:uiPriority="99" w:semiHidden="0"/>
    <w:lsdException w:name="index heading" w:uiPriority="99"/>
    <w:lsdException w:name="caption" w:uiPriority="0" w:semiHidden="0" w:unhideWhenUsed="0" w:qFormat="1"/>
    <w:lsdException w:name="table of figures" w:uiPriority="99"/>
    <w:lsdException w:name="envelope address" w:uiPriority="99"/>
    <w:lsdException w:name="envelope return" w:uiPriority="99"/>
    <w:lsdException w:name="footnote reference" w:uiPriority="99"/>
    <w:lsdException w:name="annotation reference" w:uiPriority="0"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0" w:semiHidden="0" w:unhideWhenUsed="0"/>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0" w:semiHidden="0" w:unhideWhenUsed="0"/>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0" w:semiHidden="0" w:unhideWhenUsed="0"/>
    <w:lsdException w:name="Table Theme" w:uiPriority="99"/>
    <w:lsdException w:name="List Paragraph" w:uiPriority="34" w:semiHidden="0" w:unhideWhenUsed="0" w:qFormat="1"/>
    <w:lsdException w:name="Quote" w:uiPriority="0" w:semiHidden="0" w:unhideWhenUsed="0" w:qFormat="1"/>
  </w:latentStyles>
  <w:style w:type="paragraph" w:styleId="Normal" w:default="1">
    <w:name w:val="Normal"/>
    <w:uiPriority w:val="0"/>
    <w:qFormat/>
    <w:pPr>
      <w:widowControl/>
      <w:suppressAutoHyphens w:val="true"/>
      <w:bidi w:val="0"/>
      <w:spacing w:before="0" w:after="0"/>
      <w:jc w:val="left"/>
    </w:pPr>
    <w:rPr>
      <w:rFonts w:ascii="Arial" w:hAnsi="Arial" w:eastAsia="Times New Roman" w:cs="Tahoma"/>
      <w:color w:val="auto"/>
      <w:kern w:val="0"/>
      <w:sz w:val="20"/>
      <w:szCs w:val="24"/>
      <w:lang w:val="pt-BR" w:eastAsia="pt-BR" w:bidi="hi-IN"/>
    </w:rPr>
  </w:style>
  <w:style w:type="paragraph" w:styleId="Heading1">
    <w:name w:val="heading 1"/>
    <w:basedOn w:val="LO-normal"/>
    <w:next w:val="LO-normal"/>
    <w:uiPriority w:val="9"/>
    <w:qFormat/>
    <w:pPr>
      <w:keepNext w:val="true"/>
      <w:keepLines/>
      <w:spacing w:before="240" w:after="120"/>
      <w:outlineLvl w:val="0"/>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2">
    <w:name w:val="heading 2"/>
    <w:basedOn w:val="LO-normal"/>
    <w:next w:val="LO-normal"/>
    <w:uiPriority w:val="9"/>
    <w:semiHidden/>
    <w:unhideWhenUsed/>
    <w:qFormat/>
    <w:pPr>
      <w:keepNext w:val="true"/>
      <w:keepLines/>
      <w:spacing w:before="360" w:after="80"/>
      <w:outlineLvl w:val="1"/>
    </w:pPr>
    <w:rPr>
      <w:b/>
      <w:sz w:val="36"/>
      <w:szCs w:val="36"/>
    </w:rPr>
  </w:style>
  <w:style w:type="paragraph" w:styleId="Heading3">
    <w:name w:val="heading 3"/>
    <w:basedOn w:val="LO-normal"/>
    <w:next w:val="LO-normal"/>
    <w:uiPriority w:val="9"/>
    <w:semiHidden/>
    <w:unhideWhenUsed/>
    <w:qFormat/>
    <w:pPr>
      <w:keepNext w:val="true"/>
      <w:keepLines/>
      <w:spacing w:before="280" w:after="80"/>
      <w:outlineLvl w:val="2"/>
    </w:pPr>
    <w:rPr>
      <w:b/>
      <w:sz w:val="28"/>
      <w:szCs w:val="28"/>
    </w:rPr>
  </w:style>
  <w:style w:type="paragraph" w:styleId="Heading4">
    <w:name w:val="heading 4"/>
    <w:basedOn w:val="LO-normal"/>
    <w:next w:val="LO-normal"/>
    <w:uiPriority w:val="9"/>
    <w:semiHidden/>
    <w:unhideWhenUsed/>
    <w:qFormat/>
    <w:pPr>
      <w:keepNext w:val="true"/>
      <w:keepLines/>
      <w:spacing w:before="240" w:after="40"/>
      <w:outlineLvl w:val="3"/>
    </w:pPr>
    <w:rPr>
      <w:b/>
      <w:sz w:val="24"/>
      <w:szCs w:val="24"/>
    </w:rPr>
  </w:style>
  <w:style w:type="paragraph" w:styleId="Heading5">
    <w:name w:val="heading 5"/>
    <w:basedOn w:val="LO-normal"/>
    <w:next w:val="LO-normal"/>
    <w:uiPriority w:val="9"/>
    <w:semiHidden/>
    <w:unhideWhenUsed/>
    <w:qFormat/>
    <w:pPr>
      <w:keepNext w:val="true"/>
      <w:keepLines/>
      <w:spacing w:before="220" w:after="40"/>
      <w:outlineLvl w:val="4"/>
    </w:pPr>
    <w:rPr>
      <w:b/>
      <w:sz w:val="22"/>
      <w:szCs w:val="22"/>
    </w:rPr>
  </w:style>
  <w:style w:type="paragraph" w:styleId="Heading6">
    <w:name w:val="heading 6"/>
    <w:basedOn w:val="LO-normal"/>
    <w:next w:val="LO-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CommentReference">
    <w:name w:val="annotation reference"/>
    <w:basedOn w:val="DefaultParagraphFont"/>
    <w:uiPriority w:val="0"/>
    <w:semiHidden/>
    <w:unhideWhenUsed/>
    <w:qFormat/>
    <w:rPr>
      <w:sz w:val="16"/>
      <w:szCs w:val="16"/>
    </w:rPr>
  </w:style>
  <w:style w:type="character" w:styleId="CitaoChar" w:customStyle="1">
    <w:name w:val="Citação Char"/>
    <w:basedOn w:val="DefaultParagraphFont"/>
    <w:uiPriority w:val="0"/>
    <w:qFormat/>
    <w:rPr>
      <w:rFonts w:ascii="Arial" w:hAnsi="Arial" w:eastAsia="Calibri" w:cs="Tahoma"/>
      <w:i/>
      <w:iCs/>
      <w:color w:val="000000"/>
      <w:sz w:val="20"/>
      <w:szCs w:val="24"/>
      <w:shd w:fill="FFFFCC" w:val="clear"/>
    </w:rPr>
  </w:style>
  <w:style w:type="character" w:styleId="Nivel01Char" w:customStyle="1">
    <w:name w:val="Nivel 01 Char"/>
    <w:basedOn w:val="Ttulo1Char"/>
    <w:uiPriority w:val="0"/>
    <w:qFormat/>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Pr>
      <w:rFonts w:ascii="Calibri Light" w:hAnsi="Calibri Light" w:eastAsia="" w:cs="" w:asciiTheme="majorHAnsi" w:cstheme="majorBidi" w:eastAsiaTheme="majorEastAsia" w:hAnsiTheme="majorHAnsi"/>
      <w:color w:themeColor="accent1" w:themeShade="bf" w:val="2F5496"/>
      <w:sz w:val="32"/>
      <w:szCs w:val="32"/>
      <w:lang w:eastAsia="pt-BR"/>
    </w:rPr>
  </w:style>
  <w:style w:type="character" w:styleId="citao2Char" w:customStyle="1">
    <w:name w:val="citação 2 Char"/>
    <w:basedOn w:val="CitaoChar"/>
    <w:uiPriority w:val="0"/>
    <w:qFormat/>
    <w:rPr>
      <w:rFonts w:ascii="Arial" w:hAnsi="Arial" w:eastAsia="Calibri" w:cs="Tahoma"/>
      <w:color w:val="000000"/>
      <w:sz w:val="20"/>
      <w:szCs w:val="20"/>
      <w:shd w:fill="FFFFCC" w:val="clear"/>
    </w:rPr>
  </w:style>
  <w:style w:type="character" w:styleId="QuoteChar" w:customStyle="1">
    <w:name w:val="Quote Char"/>
    <w:basedOn w:val="DefaultParagraphFont"/>
    <w:uiPriority w:val="0"/>
    <w:qFormat/>
    <w:rPr>
      <w:rFonts w:ascii="Ecofont_Spranq_eco_Sans" w:hAnsi="Ecofont_Spranq_eco_Sans" w:eastAsia="Calibri" w:cs="Tahoma"/>
      <w:i/>
      <w:iCs/>
      <w:color w:val="000000"/>
      <w:shd w:fill="FFFFCC" w:val="clear"/>
    </w:rPr>
  </w:style>
  <w:style w:type="character" w:styleId="TextodecomentrioChar" w:customStyle="1">
    <w:name w:val="Texto de comentário Char"/>
    <w:basedOn w:val="DefaultParagraphFont"/>
    <w:uiPriority w:val="0"/>
    <w:qFormat/>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Pr>
      <w:rFonts w:ascii="Arial" w:hAnsi="Arial" w:eastAsia="Times New Roman" w:cs="Tahoma"/>
      <w:b/>
      <w:bCs/>
      <w:sz w:val="20"/>
      <w:szCs w:val="20"/>
      <w:lang w:eastAsia="pt-BR"/>
    </w:rPr>
  </w:style>
  <w:style w:type="character" w:styleId="Hyperlink" w:customStyle="1">
    <w:name w:val="Hyperlink"/>
    <w:uiPriority w:val="0"/>
    <w:qFormat/>
    <w:rPr>
      <w:color w:val="000080"/>
      <w:u w:val="single"/>
    </w:rPr>
  </w:style>
  <w:style w:type="character" w:styleId="Nivel4Char" w:customStyle="1">
    <w:name w:val="Nivel 4 Char"/>
    <w:basedOn w:val="DefaultParagraphFont"/>
    <w:uiPriority w:val="0"/>
    <w:qFormat/>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Pr>
      <w:rFonts w:ascii="Arial" w:hAnsi="Arial" w:eastAsia="Times New Roman" w:cs="Tahoma"/>
      <w:sz w:val="20"/>
      <w:szCs w:val="24"/>
      <w:lang w:eastAsia="pt-BR"/>
    </w:rPr>
  </w:style>
  <w:style w:type="character" w:styleId="RodapChar" w:customStyle="1">
    <w:name w:val="Rodapé Char"/>
    <w:basedOn w:val="DefaultParagraphFont"/>
    <w:uiPriority w:val="99"/>
    <w:qFormat/>
    <w:rPr>
      <w:rFonts w:ascii="Arial" w:hAnsi="Arial" w:eastAsia="Times New Roman" w:cs="Tahoma"/>
      <w:sz w:val="20"/>
      <w:szCs w:val="24"/>
      <w:lang w:eastAsia="pt-BR"/>
    </w:rPr>
  </w:style>
  <w:style w:type="character" w:styleId="Fontepargpadro">
    <w:name w:val="Fonte parág. padrão"/>
    <w:qFormat/>
    <w:rPr/>
  </w:style>
  <w:style w:type="character" w:styleId="Caracteresdenotaderodap">
    <w:name w:val="Caracteres de nota de rodapé"/>
    <w:qFormat/>
    <w:rPr>
      <w:vertAlign w:val="superscript"/>
    </w:rPr>
  </w:style>
  <w:style w:type="character" w:styleId="FootnoteReference">
    <w:name w:val="footnote reference"/>
    <w:qFormat/>
    <w:rPr>
      <w:vertAlign w:val="superscript"/>
    </w:rPr>
  </w:style>
  <w:style w:type="character" w:styleId="EndnoteReference">
    <w:name w:val="endnote reference"/>
    <w:qFormat/>
    <w:rPr>
      <w:vertAlign w:val="superscript"/>
    </w:rPr>
  </w:style>
  <w:style w:type="character" w:styleId="Caracteresdenotadefim">
    <w:name w:val="Caracteres de nota de fim"/>
    <w:qFormat/>
    <w:rPr>
      <w:vertAlign w:val="superscript"/>
    </w:rPr>
  </w:style>
  <w:style w:type="character" w:styleId="Caracteresdenotaderodapuser">
    <w:name w:val="Caracteres de nota de rodapé (user)"/>
    <w:qFormat/>
    <w:rPr/>
  </w:style>
  <w:style w:type="character" w:styleId="Caracteresdenotadefimuser">
    <w:name w:val="Caracteres de nota de fim (user)"/>
    <w:qFormat/>
    <w:rPr/>
  </w:style>
  <w:style w:type="character" w:styleId="FollowedHyperlink">
    <w:name w:val="FollowedHyperlink"/>
    <w:rPr>
      <w:color w:val="80000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0"/>
    <w:pPr>
      <w:spacing w:lineRule="auto" w:line="276" w:before="0" w:after="140"/>
    </w:pPr>
    <w:rPr/>
  </w:style>
  <w:style w:type="paragraph" w:styleId="List">
    <w:name w:val="List"/>
    <w:basedOn w:val="BodyText"/>
    <w:uiPriority w:val="0"/>
    <w:pPr/>
    <w:rPr>
      <w:rFonts w:cs="Arial"/>
    </w:rPr>
  </w:style>
  <w:style w:type="paragraph" w:styleId="Caption">
    <w:name w:val="caption"/>
    <w:basedOn w:val="Normal"/>
    <w:uiPriority w:val="0"/>
    <w:qFormat/>
    <w:pPr>
      <w:suppressLineNumbers/>
      <w:spacing w:before="120" w:after="120"/>
    </w:pPr>
    <w:rPr>
      <w:rFonts w:cs="Arial"/>
      <w:i/>
      <w:iCs/>
      <w:sz w:val="24"/>
    </w:rPr>
  </w:style>
  <w:style w:type="paragraph" w:styleId="ndice" w:customStyle="1">
    <w:name w:val="Índice"/>
    <w:basedOn w:val="Normal"/>
    <w:uiPriority w:val="0"/>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O-normal" w:customStyle="1">
    <w:name w:val="LO-normal"/>
    <w:uiPriority w:val="0"/>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 w:type="paragraph" w:styleId="CommentText">
    <w:name w:val="annotation text"/>
    <w:basedOn w:val="LO-normal"/>
    <w:uiPriority w:val="0"/>
    <w:unhideWhenUsed/>
    <w:qFormat/>
    <w:pPr/>
    <w:rPr/>
  </w:style>
  <w:style w:type="paragraph" w:styleId="Title">
    <w:name w:val="Title"/>
    <w:basedOn w:val="LO-normal"/>
    <w:next w:val="BodyText"/>
    <w:uiPriority w:val="10"/>
    <w:qFormat/>
    <w:pPr>
      <w:keepNext w:val="true"/>
      <w:keepLines/>
      <w:spacing w:before="480" w:after="120"/>
    </w:pPr>
    <w:rPr>
      <w:b/>
      <w:sz w:val="72"/>
      <w:szCs w:val="72"/>
    </w:rPr>
  </w:style>
  <w:style w:type="paragraph" w:styleId="CabealhoeRodap" w:customStyle="1">
    <w:name w:val="Cabeçalho e Rodapé"/>
    <w:basedOn w:val="Normal"/>
    <w:uiPriority w:val="0"/>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LO-normal"/>
    <w:uiPriority w:val="99"/>
    <w:unhideWhenUsed/>
    <w:pPr>
      <w:tabs>
        <w:tab w:val="clear" w:pos="720"/>
        <w:tab w:val="center" w:pos="4252" w:leader="none"/>
        <w:tab w:val="right" w:pos="8504" w:leader="none"/>
      </w:tabs>
    </w:pPr>
    <w:rPr/>
  </w:style>
  <w:style w:type="paragraph" w:styleId="annotationsubject">
    <w:name w:val="annotation subject"/>
    <w:basedOn w:val="CommentText"/>
    <w:next w:val="CommentText"/>
    <w:uiPriority w:val="99"/>
    <w:semiHidden/>
    <w:unhideWhenUsed/>
    <w:qFormat/>
    <w:pPr/>
    <w:rPr>
      <w:b/>
      <w:bCs/>
    </w:rPr>
  </w:style>
  <w:style w:type="paragraph" w:styleId="Footer">
    <w:name w:val="footer"/>
    <w:basedOn w:val="LO-normal"/>
    <w:uiPriority w:val="99"/>
    <w:unhideWhenUsed/>
    <w:pPr>
      <w:tabs>
        <w:tab w:val="clear" w:pos="720"/>
        <w:tab w:val="center" w:pos="4252" w:leader="none"/>
        <w:tab w:val="right" w:pos="8504" w:leader="none"/>
      </w:tabs>
    </w:pPr>
    <w:rPr/>
  </w:style>
  <w:style w:type="paragraph" w:styleId="BalloonText">
    <w:name w:val="Balloon Text"/>
    <w:basedOn w:val="LO-normal"/>
    <w:uiPriority w:val="99"/>
    <w:semiHidden/>
    <w:unhideWhenUsed/>
    <w:qFormat/>
    <w:pPr/>
    <w:rPr>
      <w:rFonts w:ascii="Segoe UI" w:hAnsi="Segoe UI" w:cs="Segoe UI"/>
      <w:sz w:val="18"/>
      <w:szCs w:val="18"/>
    </w:rPr>
  </w:style>
  <w:style w:type="paragraph" w:styleId="Subtitle">
    <w:name w:val="Subtitle"/>
    <w:basedOn w:val="LO-normal"/>
    <w:next w:val="LO-normal"/>
    <w:uiPriority w:val="11"/>
    <w:qFormat/>
    <w:pPr>
      <w:keepNext w:val="true"/>
      <w:keepLines/>
      <w:spacing w:before="360" w:after="80"/>
    </w:pPr>
    <w:rPr>
      <w:rFonts w:ascii="Georgia" w:hAnsi="Georgia" w:eastAsia="Georgia" w:cs="Georgia"/>
      <w:i/>
      <w:color w:val="666666"/>
      <w:sz w:val="48"/>
      <w:szCs w:val="48"/>
    </w:rPr>
  </w:style>
  <w:style w:type="paragraph" w:styleId="Quote">
    <w:name w:val="Quote"/>
    <w:basedOn w:val="LO-normal"/>
    <w:next w:val="LO-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LO-normal"/>
    <w:uiPriority w:val="0"/>
    <w:qFormat/>
    <w:pPr>
      <w:spacing w:lineRule="auto" w:line="276" w:before="480" w:after="120"/>
      <w:ind w:hanging="0" w:right="-15"/>
      <w:jc w:val="both"/>
      <w:outlineLvl w:val="9"/>
    </w:pPr>
    <w:rPr>
      <w:rFonts w:ascii="Arial" w:hAnsi="Arial" w:cs="Times New Roman"/>
      <w:b/>
      <w:bCs/>
      <w:color w:themeColor="accent1" w:themeShade="bf" w:val="000000"/>
      <w:sz w:val="20"/>
      <w:szCs w:val="20"/>
    </w:rPr>
  </w:style>
  <w:style w:type="paragraph" w:styleId="Citao1" w:customStyle="1">
    <w:name w:val="Citação1"/>
    <w:basedOn w:val="LO-normal"/>
    <w:next w:val="LO-normal"/>
    <w:uiPriority w:val="0"/>
    <w:qFormat/>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Nivel4" w:customStyle="1">
    <w:name w:val="Nivel 4"/>
    <w:basedOn w:val="Nivel3"/>
    <w:uiPriority w:val="0"/>
    <w:qFormat/>
    <w:pPr/>
    <w:rPr>
      <w:color w:val="auto"/>
    </w:rPr>
  </w:style>
  <w:style w:type="paragraph" w:styleId="Nivel3" w:customStyle="1">
    <w:name w:val="Nivel 3"/>
    <w:basedOn w:val="Nivel2"/>
    <w:uiPriority w:val="0"/>
    <w:qFormat/>
    <w:pPr/>
    <w:rPr>
      <w:rFonts w:cs="Arial"/>
      <w:color w:val="000000"/>
    </w:rPr>
  </w:style>
  <w:style w:type="paragraph" w:styleId="Nivel2" w:customStyle="1">
    <w:name w:val="Nivel 2"/>
    <w:uiPriority w:val="0"/>
    <w:qFormat/>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hi-IN"/>
    </w:rPr>
  </w:style>
  <w:style w:type="paragraph" w:styleId="Ttulo1" w:customStyle="1">
    <w:name w:val="Título1"/>
    <w:basedOn w:val="Normal"/>
    <w:next w:val="BodyText"/>
    <w:uiPriority w:val="0"/>
    <w:qFormat/>
    <w:pPr>
      <w:keepNext w:val="true"/>
      <w:spacing w:before="240" w:after="120"/>
    </w:pPr>
    <w:rPr>
      <w:rFonts w:ascii="Liberation Sans" w:hAnsi="Liberation Sans" w:eastAsia="Microsoft YaHei" w:cs="Arial"/>
      <w:sz w:val="28"/>
      <w:szCs w:val="28"/>
    </w:rPr>
  </w:style>
  <w:style w:type="paragraph" w:styleId="PADRO" w:customStyle="1">
    <w:name w:val="PADRÃO"/>
    <w:uiPriority w:val="0"/>
    <w:qFormat/>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LO-normal"/>
    <w:uiPriority w:val="34"/>
    <w:qFormat/>
    <w:pPr>
      <w:spacing w:before="0" w:after="0"/>
      <w:ind w:hanging="0" w:left="720"/>
      <w:contextualSpacing/>
    </w:pPr>
    <w:rPr/>
  </w:style>
  <w:style w:type="paragraph" w:styleId="citao2" w:customStyle="1">
    <w:name w:val="citação 2"/>
    <w:basedOn w:val="Quote"/>
    <w:uiPriority w:val="0"/>
    <w:qFormat/>
    <w:pPr/>
    <w:rPr/>
  </w:style>
  <w:style w:type="paragraph" w:styleId="Nivel1" w:customStyle="1">
    <w:name w:val="Nivel1"/>
    <w:basedOn w:val="Heading1"/>
    <w:uiPriority w:val="0"/>
    <w:qFormat/>
    <w:pPr>
      <w:spacing w:lineRule="auto" w:line="276" w:before="480" w:after="120"/>
      <w:ind w:hanging="360" w:left="644"/>
      <w:jc w:val="both"/>
      <w:outlineLvl w:val="9"/>
    </w:pPr>
    <w:rPr>
      <w:rFonts w:ascii="Arial" w:hAnsi="Arial" w:cs="Times New Roman"/>
      <w:b/>
      <w:color w:themeColor="accent1" w:themeShade="bf" w:val="000000"/>
      <w:sz w:val="20"/>
      <w:szCs w:val="20"/>
    </w:rPr>
  </w:style>
  <w:style w:type="paragraph" w:styleId="Nivel11" w:customStyle="1">
    <w:name w:val="Nivel 1"/>
    <w:basedOn w:val="Nivel2"/>
    <w:next w:val="Nivel2"/>
    <w:uiPriority w:val="0"/>
    <w:qFormat/>
    <w:pPr/>
    <w:rPr>
      <w:rFonts w:cs="Arial"/>
      <w:b/>
    </w:rPr>
  </w:style>
  <w:style w:type="paragraph" w:styleId="Nivel5" w:customStyle="1">
    <w:name w:val="Nivel 5"/>
    <w:basedOn w:val="Nivel4"/>
    <w:uiPriority w:val="0"/>
    <w:qFormat/>
    <w:pPr>
      <w:tabs>
        <w:tab w:val="clear" w:pos="720"/>
        <w:tab w:val="left" w:pos="360" w:leader="none"/>
      </w:tabs>
    </w:pPr>
    <w:rPr/>
  </w:style>
  <w:style w:type="paragraph" w:styleId="textbody" w:customStyle="1">
    <w:name w:val="textbody"/>
    <w:basedOn w:val="LO-normal"/>
    <w:uiPriority w:val="0"/>
    <w:qFormat/>
    <w:pPr>
      <w:spacing w:beforeAutospacing="1" w:afterAutospacing="1"/>
    </w:pPr>
    <w:rPr>
      <w:rFonts w:ascii="Times New Roman" w:hAnsi="Times New Roman" w:cs="Times New Roman"/>
      <w:sz w:val="24"/>
    </w:rPr>
  </w:style>
  <w:style w:type="paragraph" w:styleId="Contedodatabela" w:customStyle="1">
    <w:name w:val="Conteúdo da tabela"/>
    <w:basedOn w:val="Normal"/>
    <w:uiPriority w:val="0"/>
    <w:qFormat/>
    <w:pPr>
      <w:widowControl w:val="false"/>
      <w:suppressLineNumbers/>
    </w:pPr>
    <w:rPr/>
  </w:style>
  <w:style w:type="paragraph" w:styleId="Ttulodetabela" w:customStyle="1">
    <w:name w:val="Título de tabela"/>
    <w:basedOn w:val="Contedodatabela"/>
    <w:uiPriority w:val="0"/>
    <w:qFormat/>
    <w:pPr>
      <w:jc w:val="center"/>
    </w:pPr>
    <w:rPr>
      <w:b/>
      <w:bCs/>
    </w:rPr>
  </w:style>
  <w:style w:type="paragraph" w:styleId="Standard" w:customStyle="1">
    <w:name w:val="Standard"/>
    <w:uiPriority w:val="0"/>
    <w:qFormat/>
    <w:pPr>
      <w:widowControl/>
      <w:suppressAutoHyphens w:val="true"/>
      <w:bidi w:val="0"/>
      <w:spacing w:before="0" w:after="0"/>
      <w:jc w:val="center"/>
      <w:textAlignment w:val="top"/>
    </w:pPr>
    <w:rPr>
      <w:rFonts w:ascii="Arial" w:hAnsi="Arial" w:eastAsia="SimSun" w:cs="Arial"/>
      <w:color w:val="auto"/>
      <w:kern w:val="2"/>
      <w:sz w:val="20"/>
      <w:szCs w:val="20"/>
      <w:lang w:val="pt-BR" w:eastAsia="zh-CN" w:bidi="hi-IN"/>
    </w:rPr>
  </w:style>
  <w:style w:type="paragraph" w:styleId="Contedodoquadro" w:customStyle="1">
    <w:name w:val="Conteúdo do quadro"/>
    <w:basedOn w:val="Normal"/>
    <w:uiPriority w:val="0"/>
    <w:qFormat/>
    <w:pPr>
      <w:suppressAutoHyphens w:val="false"/>
      <w:spacing w:lineRule="auto" w:line="259" w:before="0" w:after="160"/>
    </w:pPr>
    <w:rPr>
      <w:rFonts w:ascii="Calibri" w:hAnsi="Calibri" w:eastAsia="Calibri" w:cs="" w:asciiTheme="minorHAnsi" w:cstheme="minorBidi" w:eastAsiaTheme="minorHAnsi" w:hAnsiTheme="minorHAnsi"/>
      <w:sz w:val="22"/>
      <w:szCs w:val="22"/>
      <w:lang w:eastAsia="en-US" w:bidi="ar-SA"/>
    </w:rPr>
  </w:style>
  <w:style w:type="paragraph" w:styleId="SemEspaamento1" w:customStyle="1">
    <w:name w:val="Sem Espaçamento1"/>
    <w:uiPriority w:val="0"/>
    <w:qFormat/>
    <w:pPr>
      <w:widowControl/>
      <w:suppressAutoHyphens w:val="false"/>
      <w:bidi w:val="0"/>
      <w:spacing w:before="0" w:after="0"/>
      <w:jc w:val="left"/>
    </w:pPr>
    <w:rPr>
      <w:rFonts w:ascii="Calibri" w:hAnsi="Calibri" w:eastAsia="Calibri" w:cs="Times New Roman"/>
      <w:color w:val="auto"/>
      <w:kern w:val="0"/>
      <w:sz w:val="22"/>
      <w:szCs w:val="22"/>
      <w:lang w:val="pt-BR" w:eastAsia="en-US" w:bidi="ar-SA"/>
    </w:rPr>
  </w:style>
  <w:style w:type="paragraph" w:styleId="Textbody1">
    <w:name w:val="Text body"/>
    <w:basedOn w:val="Standard"/>
    <w:qFormat/>
    <w:pPr>
      <w:spacing w:lineRule="auto" w:line="276" w:before="0" w:after="140"/>
    </w:pPr>
    <w:rPr/>
  </w:style>
  <w:style w:type="paragraph" w:styleId="western">
    <w:name w:val="western"/>
    <w:basedOn w:val="Normal"/>
    <w:qFormat/>
    <w:pPr>
      <w:suppressAutoHyphens w:val="false"/>
      <w:spacing w:beforeAutospacing="1" w:after="119"/>
    </w:pPr>
    <w:rPr>
      <w:rFonts w:ascii="Times New Roman" w:hAnsi="Times New Roman" w:eastAsia="Times New Roman" w:cs="Times New Roman"/>
      <w:kern w:val="0"/>
      <w:lang w:eastAsia="pt-BR" w:bidi="ar-SA"/>
    </w:rPr>
  </w:style>
  <w:style w:type="paragraph" w:styleId="NoSpacing">
    <w:name w:val="No Spacing"/>
    <w:qFormat/>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en-US" w:bidi="hi-IN"/>
    </w:rPr>
  </w:style>
  <w:style w:type="paragraph" w:styleId="Nvel1-SemNum">
    <w:name w:val="Nível 1-Sem Num"/>
    <w:basedOn w:val="Nivel01"/>
    <w:qFormat/>
    <w:pPr>
      <w:ind w:hanging="0" w:left="357"/>
      <w:outlineLvl w:val="1"/>
    </w:pPr>
    <w:rPr>
      <w:rFonts w:eastAsia="Calibri" w:eastAsiaTheme="minorHAnsi"/>
      <w:color w:themeColor="accent1" w:themeShade="bf" w:val="FF0000"/>
    </w:rPr>
  </w:style>
  <w:style w:type="paragraph" w:styleId="Nvel3-R">
    <w:name w:val="Nível 3-R"/>
    <w:basedOn w:val="Nivel3"/>
    <w:qFormat/>
    <w:pPr>
      <w:ind w:hanging="504" w:left="504"/>
    </w:pPr>
    <w:rPr>
      <w:rFonts w:eastAsia="Calibri" w:eastAsiaTheme="minorHAnsi"/>
      <w:i/>
      <w:iCs/>
      <w:color w:val="FF0000"/>
    </w:rPr>
  </w:style>
  <w:style w:type="paragraph" w:styleId="FootnoteText">
    <w:name w:val="footnote text"/>
    <w:basedOn w:val="Normal"/>
    <w:pPr>
      <w:suppressLineNumbers/>
      <w:ind w:hanging="340" w:left="340"/>
    </w:pPr>
    <w:rPr>
      <w:sz w:val="20"/>
      <w:szCs w:val="20"/>
    </w:rPr>
  </w:style>
  <w:style w:type="table" w:default="1" w:styleId="10">
    <w:name w:val="Normal Table"/>
    <w:uiPriority w:val="99"/>
    <w:semiHidden/>
    <w:unhideWhenUsed/>
    <w:tblPr>
      <w:tblCellMar>
        <w:top w:w="0" w:type="dxa"/>
        <w:left w:w="108" w:type="dxa"/>
        <w:bottom w:w="0" w:type="dxa"/>
        <w:right w:w="108" w:type="dxa"/>
      </w:tblCellMar>
    </w:tblPr>
  </w:style>
  <w:style w:type="table" w:styleId="22">
    <w:name w:val="Table Grid"/>
    <w:basedOn w:val="10"/>
    <w:uiPriority w:val="0"/>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6">
    <w:name w:val="Table Normal"/>
    <w:uiPriority w:val="0"/>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rtaldatransparencia.gov.br/ceis" TargetMode="External"/><Relationship Id="rId3" Type="http://schemas.openxmlformats.org/officeDocument/2006/relationships/hyperlink" Target="http://www.cnj.jus.br/improbidade_adm/consultar_requerido.php" TargetMode="External"/><Relationship Id="rId4" Type="http://schemas.openxmlformats.org/officeDocument/2006/relationships/hyperlink" Target="https://in.gov.br/en/web/dou/-/instrucao-normativa-seges/me-n-77-de-4-de-novembro-de-2022-441681061" TargetMode="External"/><Relationship Id="rId5" Type="http://schemas.openxmlformats.org/officeDocument/2006/relationships/hyperlink" Target="https://www.planalto.gov.br/ccivil_03/leis/lcp/lcp123.htm" TargetMode="External"/><Relationship Id="rId6" Type="http://schemas.openxmlformats.org/officeDocument/2006/relationships/hyperlink" Target="https://www.gov.br/compras/pt-br/acesso-a-informacao/legislacao/instrucoes-normativas/instrucao-normativa-no-53-de-8-de-julho-de-2020" TargetMode="External"/><Relationship Id="rId7" Type="http://schemas.openxmlformats.org/officeDocument/2006/relationships/hyperlink" Target="http://www.planalto.gov.br/ccivil_03/AGU/Pareceres/2019-2022/PRC-JL-01-2020.htm" TargetMode="External"/><Relationship Id="rId8" Type="http://schemas.openxmlformats.org/officeDocument/2006/relationships/hyperlink" Target="https://www.gov.br/empresas-e-negocios/pt-br/empreendedor" TargetMode="External"/><Relationship Id="rId9" Type="http://schemas.openxmlformats.org/officeDocument/2006/relationships/hyperlink" Target="https://www.gov.br/economia/pt-br/assuntos/drei/legislacao/arquivos/legislacoes-federais/indrei772020.pdf" TargetMode="External"/><Relationship Id="rId10" Type="http://schemas.openxmlformats.org/officeDocument/2006/relationships/hyperlink" Target="https://www.gov.br/trabalho-e-previdencia/pt-br/servicos/empregador/programa-de-alimentacao-do-trabalhador-pat/arquivos-legislacao/instrucoes-normativas/pat_in_971_2009.pdf"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otnotes" Target="footnotes.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
</Relationships>
</file>

<file path=word/_rels/footer2.xml.rels><?xml version="1.0" encoding="UTF-8"?>
<Relationships xmlns="http://schemas.openxmlformats.org/package/2006/relationships"><Relationship Id="rId1" Type="http://schemas.openxmlformats.org/officeDocument/2006/relationships/hyperlink" Target="mailto:spcontratacoes@paracambi.rj.gov.br" TargetMode="External"/>
</Relationships>
</file>

<file path=word/_rels/footer3.xml.rels><?xml version="1.0" encoding="UTF-8"?>
<Relationships xmlns="http://schemas.openxmlformats.org/package/2006/relationships"><Relationship Id="rId1" Type="http://schemas.openxmlformats.org/officeDocument/2006/relationships/hyperlink" Target="mailto:spcontratacoes@paracambi.rj.gov.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aBdP1iiJ6LYP7r2WLm4K/RBVbSw==">AMUW2mXx3YCQWuFRnoZTrC+x37dt260tJjE9CS84FbV4EBKew4RCfx9uTueyqS69IJMCGGb/RCy2oYsH8HnhAc2uEqzQCx6qyrjqF/U4w/3q1u+ohU7DX3myO6hVS2Gw9IstC9r6TsCdiLgDlqJ6ptki6wZ40y/QuXmiH5eu40/Wkf4/yPJ+ky6aoQlP7HKy9CElApsoEGjkPPDwqb/IgH3v2IkRe7Ku2I3bkQSHDZjDjGxpEBXDuNdVcstYG3wdXfdcs90ZoFqL</go:docsCustomData>
</go:gDocsCustomXmlDataStorag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Application>LibreOffice/25.2.2.2$Windows_X86_64 LibreOffice_project/7370d4be9e3cf6031a51beef54ff3bda878e3fac</Application>
  <AppVersion>15.0000</AppVersion>
  <Pages>39</Pages>
  <Words>20414</Words>
  <Characters>120692</Characters>
  <CharactersWithSpaces>140962</CharactersWithSpaces>
  <Paragraphs>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2022-04-03T15:09:00Z</dcterms:created>
  <dc:creator>Hugo Sales</dc:creator>
  <dc:description/>
  <dc:language>pt-BR</dc:language>
  <cp:lastModifiedBy/>
  <dcterms:modified xsi:type="dcterms:W3CDTF">2025-04-25T15:05:05Z</dcterms:modified>
  <cp:revision>39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4D0D7D3B750C4AC0B97090222DB20E3A_12</vt:lpwstr>
  </property>
  <property fmtid="{D5CDD505-2E9C-101B-9397-08002B2CF9AE}" pid="3" name="KSOProductBuildVer">
    <vt:lpwstr>1046-12.2.0.17545</vt:lpwstr>
  </property>
</Properties>
</file>