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84DA3" w14:textId="1B2A8793" w:rsidR="00D30A31" w:rsidRDefault="006B1BAE">
      <w:pPr>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EDITAL DE LICITAÇÃO</w:t>
      </w:r>
    </w:p>
    <w:p w14:paraId="18974A8C" w14:textId="2EC74A79" w:rsidR="00D30A31" w:rsidRDefault="006B1BAE">
      <w:pPr>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sz w:val="24"/>
          <w:szCs w:val="24"/>
        </w:rPr>
        <w:t>Concorrência Eletrônica</w:t>
      </w:r>
      <w:r>
        <w:rPr>
          <w:rFonts w:ascii="Times New Roman" w:eastAsia="Times New Roman" w:hAnsi="Times New Roman" w:cs="Times New Roman"/>
          <w:b/>
          <w:bCs/>
          <w:color w:val="000000"/>
          <w:sz w:val="24"/>
          <w:szCs w:val="24"/>
        </w:rPr>
        <w:t xml:space="preserve"> Nº </w:t>
      </w:r>
      <w:r w:rsidR="00CC6A1B">
        <w:rPr>
          <w:rFonts w:ascii="Times New Roman" w:eastAsia="Times New Roman" w:hAnsi="Times New Roman" w:cs="Times New Roman"/>
          <w:b/>
          <w:bCs/>
          <w:color w:val="000000"/>
          <w:sz w:val="24"/>
          <w:szCs w:val="24"/>
        </w:rPr>
        <w:t>005/2026</w:t>
      </w:r>
    </w:p>
    <w:p w14:paraId="7F1398A6" w14:textId="77777777" w:rsidR="00D30A31" w:rsidRDefault="00D30A31">
      <w:pPr>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p>
    <w:p w14:paraId="2DD4168F" w14:textId="77777777" w:rsidR="00D30A31" w:rsidRDefault="006B1BA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bookmarkStart w:id="0" w:name="_rjdw5xq08sus" w:colFirst="0" w:colLast="0"/>
      <w:bookmarkEnd w:id="0"/>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sz w:val="24"/>
          <w:szCs w:val="24"/>
        </w:rPr>
        <w:t>O MUNICÍPIO DE MAGÉ</w:t>
      </w:r>
      <w:r>
        <w:rPr>
          <w:rFonts w:ascii="Times New Roman" w:eastAsia="Times New Roman" w:hAnsi="Times New Roman" w:cs="Times New Roman"/>
          <w:sz w:val="24"/>
          <w:szCs w:val="24"/>
        </w:rPr>
        <w:t xml:space="preserve">, por intermédio da </w:t>
      </w:r>
      <w:r>
        <w:rPr>
          <w:rFonts w:ascii="Times New Roman" w:eastAsia="Times New Roman" w:hAnsi="Times New Roman" w:cs="Times New Roman"/>
          <w:b/>
          <w:bCs/>
          <w:sz w:val="24"/>
          <w:szCs w:val="24"/>
        </w:rPr>
        <w:t>SECRETARIA MUNICIPAL DE SAÚDE</w:t>
      </w:r>
      <w:r>
        <w:rPr>
          <w:rFonts w:ascii="Times New Roman" w:eastAsia="Times New Roman" w:hAnsi="Times New Roman" w:cs="Times New Roman"/>
          <w:sz w:val="24"/>
          <w:szCs w:val="24"/>
        </w:rPr>
        <w:t xml:space="preserve">, na qualidade de órgão demandante/contratante, torna público, para conhecimento dos interessados, que realizará licitação na modalidade </w:t>
      </w:r>
      <w:r>
        <w:rPr>
          <w:rFonts w:ascii="Times New Roman" w:eastAsia="Times New Roman" w:hAnsi="Times New Roman" w:cs="Times New Roman"/>
          <w:b/>
          <w:bCs/>
          <w:sz w:val="24"/>
          <w:szCs w:val="24"/>
        </w:rPr>
        <w:t>Concorrência Eletrônica</w:t>
      </w:r>
      <w:r>
        <w:rPr>
          <w:rFonts w:ascii="Times New Roman" w:eastAsia="Times New Roman" w:hAnsi="Times New Roman" w:cs="Times New Roman"/>
          <w:sz w:val="24"/>
          <w:szCs w:val="24"/>
        </w:rPr>
        <w:t xml:space="preserve">, pelo critério de julgamento </w:t>
      </w:r>
      <w:r>
        <w:rPr>
          <w:rFonts w:ascii="Times New Roman" w:eastAsia="Times New Roman" w:hAnsi="Times New Roman" w:cs="Times New Roman"/>
          <w:b/>
          <w:bCs/>
          <w:sz w:val="24"/>
          <w:szCs w:val="24"/>
        </w:rPr>
        <w:t>menor preço global</w:t>
      </w:r>
      <w:r>
        <w:rPr>
          <w:rFonts w:ascii="Times New Roman" w:eastAsia="Times New Roman" w:hAnsi="Times New Roman" w:cs="Times New Roman"/>
          <w:sz w:val="24"/>
          <w:szCs w:val="24"/>
        </w:rPr>
        <w:t xml:space="preserve">, sob o regime de execução de </w:t>
      </w:r>
      <w:r>
        <w:rPr>
          <w:rFonts w:ascii="Times New Roman" w:eastAsia="Times New Roman" w:hAnsi="Times New Roman" w:cs="Times New Roman"/>
          <w:b/>
          <w:bCs/>
          <w:sz w:val="24"/>
          <w:szCs w:val="24"/>
        </w:rPr>
        <w:t>empreitada por preço unitário</w:t>
      </w:r>
      <w:r>
        <w:rPr>
          <w:rFonts w:ascii="Times New Roman" w:eastAsia="Times New Roman" w:hAnsi="Times New Roman" w:cs="Times New Roman"/>
          <w:sz w:val="24"/>
          <w:szCs w:val="24"/>
        </w:rPr>
        <w:t xml:space="preserve">, destinada à contratação de empresa especializada para execução de obra/serviço de engenharia, conforme condições, especificações, quantitativos e demais exigências estabelecidas neste Edital e em seus anexos, especialmente no </w:t>
      </w:r>
      <w:r>
        <w:rPr>
          <w:rFonts w:ascii="Times New Roman" w:eastAsia="Times New Roman" w:hAnsi="Times New Roman" w:cs="Times New Roman"/>
          <w:b/>
          <w:bCs/>
          <w:sz w:val="24"/>
          <w:szCs w:val="24"/>
        </w:rPr>
        <w:t>Anexo I - Projeto</w:t>
      </w:r>
      <w:r>
        <w:rPr>
          <w:rFonts w:ascii="Times New Roman" w:eastAsia="Times New Roman" w:hAnsi="Times New Roman" w:cs="Times New Roman"/>
          <w:b/>
          <w:bCs/>
          <w:sz w:val="24"/>
          <w:szCs w:val="24"/>
        </w:rPr>
        <w:t xml:space="preserve"> Básico</w:t>
      </w:r>
      <w:r>
        <w:rPr>
          <w:rFonts w:ascii="Times New Roman" w:eastAsia="Times New Roman" w:hAnsi="Times New Roman" w:cs="Times New Roman"/>
          <w:sz w:val="24"/>
          <w:szCs w:val="24"/>
        </w:rPr>
        <w:t>,</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 xml:space="preserve">através do site </w:t>
      </w:r>
      <w:hyperlink r:id="rId7">
        <w:r>
          <w:rPr>
            <w:rFonts w:ascii="Times New Roman" w:eastAsia="Times New Roman" w:hAnsi="Times New Roman" w:cs="Times New Roman"/>
            <w:color w:val="00007F"/>
            <w:sz w:val="24"/>
            <w:szCs w:val="24"/>
            <w:u w:val="single"/>
          </w:rPr>
          <w:t>www.portaldecompraspublicas.com.br</w:t>
        </w:r>
      </w:hyperlink>
      <w:r>
        <w:rPr>
          <w:rFonts w:ascii="Times New Roman" w:eastAsia="Times New Roman" w:hAnsi="Times New Roman" w:cs="Times New Roman"/>
          <w:color w:val="000000"/>
          <w:sz w:val="24"/>
          <w:szCs w:val="24"/>
        </w:rPr>
        <w:t xml:space="preserve">, conforme instruído no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rocesso nº 8924/2026, </w:t>
      </w:r>
      <w:r>
        <w:rPr>
          <w:rFonts w:ascii="Times New Roman" w:eastAsia="Times New Roman" w:hAnsi="Times New Roman" w:cs="Times New Roman"/>
          <w:sz w:val="24"/>
          <w:szCs w:val="24"/>
        </w:rPr>
        <w:t>com fundamento nos arts. 6º, inciso XXXVIII, e 28, inciso II, da Lei Federal nº 14.133, de 1º de abril de 2021; na Lei Complementar Federal nº 123/2006, com as alterações promovidas pela Lei Complementar Federal nº 147/2014; na Lei Complementar Federal nº 101/2000 - Lei de Responsabilidade Fiscal; na Lei Federal nº 8.078/1990 - Código de Defesa do Consumidor, no que couber; nos Decretos Municipais nº 3.635/2023 e nº 3.642/2023, com suas alterações posteriores; e nas demais normas aplicáveis, observadas as c</w:t>
      </w:r>
      <w:r>
        <w:rPr>
          <w:rFonts w:ascii="Times New Roman" w:eastAsia="Times New Roman" w:hAnsi="Times New Roman" w:cs="Times New Roman"/>
          <w:sz w:val="24"/>
          <w:szCs w:val="24"/>
        </w:rPr>
        <w:t>ondições estabelecidas neste Edital e em seus anexos.</w:t>
      </w:r>
    </w:p>
    <w:p w14:paraId="3C724856" w14:textId="77777777" w:rsidR="00D30A31" w:rsidRDefault="006B1BA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noProof/>
        </w:rPr>
        <mc:AlternateContent>
          <mc:Choice Requires="wps">
            <w:drawing>
              <wp:anchor distT="0" distB="0" distL="0" distR="0" simplePos="0" relativeHeight="251658240" behindDoc="0" locked="0" layoutInCell="1" hidden="0" allowOverlap="1" wp14:anchorId="081C0E93" wp14:editId="3767E137">
                <wp:simplePos x="0" y="0"/>
                <wp:positionH relativeFrom="column">
                  <wp:posOffset>8100</wp:posOffset>
                </wp:positionH>
                <wp:positionV relativeFrom="paragraph">
                  <wp:posOffset>142875</wp:posOffset>
                </wp:positionV>
                <wp:extent cx="6203950" cy="1905000"/>
                <wp:effectExtent l="0" t="0" r="0" b="0"/>
                <wp:wrapTopAndBottom distT="0" distB="0"/>
                <wp:docPr id="2" name="Retângulo 2"/>
                <wp:cNvGraphicFramePr/>
                <a:graphic xmlns:a="http://schemas.openxmlformats.org/drawingml/2006/main">
                  <a:graphicData uri="http://schemas.microsoft.com/office/word/2010/wordprocessingShape">
                    <wps:wsp>
                      <wps:cNvSpPr/>
                      <wps:spPr>
                        <a:xfrm>
                          <a:off x="2248788" y="2832263"/>
                          <a:ext cx="6194425" cy="1895475"/>
                        </a:xfrm>
                        <a:prstGeom prst="rect">
                          <a:avLst/>
                        </a:prstGeom>
                        <a:noFill/>
                        <a:ln w="9525" cap="flat" cmpd="sng">
                          <a:solidFill>
                            <a:srgbClr val="000000"/>
                          </a:solidFill>
                          <a:prstDash val="solid"/>
                          <a:miter lim="8000"/>
                          <a:headEnd type="none" w="sm" len="sm"/>
                          <a:tailEnd type="none" w="sm" len="sm"/>
                        </a:ln>
                      </wps:spPr>
                      <wps:txbx>
                        <w:txbxContent>
                          <w:p w14:paraId="600E153C" w14:textId="53DBD5FF" w:rsidR="00D30A31" w:rsidRDefault="006B1BAE">
                            <w:pPr>
                              <w:spacing w:line="360" w:lineRule="auto"/>
                              <w:ind w:left="55" w:right="2258" w:firstLine="55"/>
                              <w:textDirection w:val="btLr"/>
                            </w:pPr>
                            <w:r>
                              <w:rPr>
                                <w:rFonts w:ascii="Arial Narrow" w:eastAsia="Arial Narrow" w:hAnsi="Arial Narrow" w:cs="Arial Narrow"/>
                                <w:b/>
                                <w:color w:val="000000"/>
                                <w:sz w:val="24"/>
                              </w:rPr>
                              <w:t xml:space="preserve">CADASTRO DAS PROPOSTAS INICIAIS ATÉ: </w:t>
                            </w:r>
                            <w:r w:rsidR="00723C23">
                              <w:rPr>
                                <w:rFonts w:ascii="Arial Narrow" w:eastAsia="Arial Narrow" w:hAnsi="Arial Narrow" w:cs="Arial Narrow"/>
                                <w:b/>
                                <w:color w:val="000000"/>
                                <w:sz w:val="24"/>
                              </w:rPr>
                              <w:t>12/06/2026</w:t>
                            </w:r>
                            <w:r>
                              <w:rPr>
                                <w:rFonts w:ascii="Arial Narrow" w:eastAsia="Arial Narrow" w:hAnsi="Arial Narrow" w:cs="Arial Narrow"/>
                                <w:color w:val="000000"/>
                                <w:sz w:val="24"/>
                              </w:rPr>
                              <w:t xml:space="preserve"> </w:t>
                            </w:r>
                            <w:r>
                              <w:rPr>
                                <w:rFonts w:ascii="Arial Narrow" w:eastAsia="Arial Narrow" w:hAnsi="Arial Narrow" w:cs="Arial Narrow"/>
                                <w:b/>
                                <w:color w:val="000000"/>
                                <w:sz w:val="24"/>
                              </w:rPr>
                              <w:t xml:space="preserve">às </w:t>
                            </w:r>
                            <w:r w:rsidR="00723C23" w:rsidRPr="00723C23">
                              <w:rPr>
                                <w:rFonts w:ascii="Arial Narrow" w:eastAsia="Arial Narrow" w:hAnsi="Arial Narrow" w:cs="Arial Narrow"/>
                                <w:b/>
                                <w:color w:val="000000"/>
                                <w:sz w:val="24"/>
                              </w:rPr>
                              <w:t>16:00H</w:t>
                            </w:r>
                            <w:r>
                              <w:rPr>
                                <w:rFonts w:ascii="Arial Narrow" w:eastAsia="Arial Narrow" w:hAnsi="Arial Narrow" w:cs="Arial Narrow"/>
                                <w:b/>
                                <w:color w:val="000000"/>
                                <w:sz w:val="24"/>
                              </w:rPr>
                              <w:t xml:space="preserve"> </w:t>
                            </w:r>
                          </w:p>
                          <w:p w14:paraId="175194BD" w14:textId="2356CB58" w:rsidR="00D30A31" w:rsidRDefault="006B1BAE">
                            <w:pPr>
                              <w:spacing w:line="360" w:lineRule="auto"/>
                              <w:ind w:left="55" w:right="2258" w:firstLine="55"/>
                              <w:textDirection w:val="btLr"/>
                            </w:pPr>
                            <w:r>
                              <w:rPr>
                                <w:rFonts w:ascii="Arial Narrow" w:eastAsia="Arial Narrow" w:hAnsi="Arial Narrow" w:cs="Arial Narrow"/>
                                <w:b/>
                                <w:color w:val="000000"/>
                                <w:sz w:val="24"/>
                              </w:rPr>
                              <w:t xml:space="preserve">DATA DA SESSÃO: </w:t>
                            </w:r>
                            <w:r w:rsidR="00A653A7">
                              <w:rPr>
                                <w:rFonts w:ascii="Arial Narrow" w:eastAsia="Arial Narrow" w:hAnsi="Arial Narrow" w:cs="Arial Narrow"/>
                                <w:b/>
                                <w:color w:val="000000"/>
                                <w:sz w:val="24"/>
                              </w:rPr>
                              <w:t>12/06/2026</w:t>
                            </w:r>
                          </w:p>
                          <w:p w14:paraId="2FC3C664" w14:textId="0196608E" w:rsidR="00D30A31" w:rsidRDefault="006B1BAE">
                            <w:pPr>
                              <w:spacing w:line="360" w:lineRule="auto"/>
                              <w:ind w:left="55" w:firstLine="55"/>
                              <w:textDirection w:val="btLr"/>
                            </w:pPr>
                            <w:r>
                              <w:rPr>
                                <w:rFonts w:ascii="Arial Narrow" w:eastAsia="Arial Narrow" w:hAnsi="Arial Narrow" w:cs="Arial Narrow"/>
                                <w:b/>
                                <w:color w:val="000000"/>
                                <w:sz w:val="24"/>
                              </w:rPr>
                              <w:t xml:space="preserve">HORÁRIO: </w:t>
                            </w:r>
                            <w:r w:rsidR="00A653A7">
                              <w:rPr>
                                <w:rFonts w:ascii="Arial Narrow" w:eastAsia="Arial Narrow" w:hAnsi="Arial Narrow" w:cs="Arial Narrow"/>
                                <w:b/>
                                <w:color w:val="000000"/>
                                <w:sz w:val="24"/>
                              </w:rPr>
                              <w:t>16</w:t>
                            </w:r>
                            <w:r>
                              <w:rPr>
                                <w:rFonts w:ascii="Arial Narrow" w:eastAsia="Arial Narrow" w:hAnsi="Arial Narrow" w:cs="Arial Narrow"/>
                                <w:b/>
                                <w:color w:val="000000"/>
                                <w:sz w:val="24"/>
                              </w:rPr>
                              <w:t>:00H</w:t>
                            </w:r>
                          </w:p>
                          <w:p w14:paraId="049EB8DB" w14:textId="77777777" w:rsidR="00D30A31" w:rsidRDefault="006B1BAE">
                            <w:pPr>
                              <w:spacing w:line="360" w:lineRule="auto"/>
                              <w:ind w:left="55" w:right="1265" w:firstLine="55"/>
                              <w:textDirection w:val="btLr"/>
                            </w:pPr>
                            <w:r>
                              <w:rPr>
                                <w:rFonts w:ascii="Arial Narrow" w:eastAsia="Arial Narrow" w:hAnsi="Arial Narrow" w:cs="Arial Narrow"/>
                                <w:b/>
                                <w:color w:val="000000"/>
                                <w:sz w:val="24"/>
                              </w:rPr>
                              <w:t xml:space="preserve">LOCAL: </w:t>
                            </w:r>
                            <w:r>
                              <w:rPr>
                                <w:rFonts w:ascii="Arial Narrow" w:eastAsia="Arial Narrow" w:hAnsi="Arial Narrow" w:cs="Arial Narrow"/>
                                <w:b/>
                                <w:color w:val="00007F"/>
                                <w:sz w:val="24"/>
                                <w:u w:val="single"/>
                              </w:rPr>
                              <w:t>www.portaldecompraspublicas.com.br</w:t>
                            </w:r>
                            <w:r>
                              <w:rPr>
                                <w:rFonts w:ascii="Arial Narrow" w:eastAsia="Arial Narrow" w:hAnsi="Arial Narrow" w:cs="Arial Narrow"/>
                                <w:b/>
                                <w:color w:val="00007F"/>
                                <w:sz w:val="24"/>
                              </w:rPr>
                              <w:t xml:space="preserve"> </w:t>
                            </w:r>
                          </w:p>
                          <w:p w14:paraId="58266AD2" w14:textId="77777777" w:rsidR="00D30A31" w:rsidRDefault="006B1BAE">
                            <w:pPr>
                              <w:spacing w:line="360" w:lineRule="auto"/>
                              <w:ind w:left="55" w:right="2115" w:firstLine="55"/>
                              <w:textDirection w:val="btLr"/>
                            </w:pPr>
                            <w:r>
                              <w:rPr>
                                <w:rFonts w:ascii="Arial Narrow" w:eastAsia="Arial Narrow" w:hAnsi="Arial Narrow" w:cs="Arial Narrow"/>
                                <w:b/>
                                <w:color w:val="000000"/>
                                <w:sz w:val="24"/>
                              </w:rPr>
                              <w:t xml:space="preserve">CRITÉRIO DE JULGAMENTO: </w:t>
                            </w:r>
                            <w:r>
                              <w:rPr>
                                <w:rFonts w:ascii="Arial Narrow" w:eastAsia="Arial Narrow" w:hAnsi="Arial Narrow" w:cs="Arial Narrow"/>
                                <w:color w:val="000000"/>
                                <w:sz w:val="24"/>
                              </w:rPr>
                              <w:t>Menor Preço Global</w:t>
                            </w:r>
                          </w:p>
                          <w:p w14:paraId="54DCDC25" w14:textId="77777777" w:rsidR="00D30A31" w:rsidRDefault="006B1BAE">
                            <w:pPr>
                              <w:spacing w:line="360" w:lineRule="auto"/>
                              <w:ind w:left="55" w:right="2115" w:firstLine="55"/>
                              <w:textDirection w:val="btLr"/>
                            </w:pPr>
                            <w:r>
                              <w:rPr>
                                <w:rFonts w:ascii="Arial Narrow" w:eastAsia="Arial Narrow" w:hAnsi="Arial Narrow" w:cs="Arial Narrow"/>
                                <w:b/>
                                <w:color w:val="000000"/>
                                <w:sz w:val="24"/>
                              </w:rPr>
                              <w:t xml:space="preserve">MODO DE DISPUTA: </w:t>
                            </w:r>
                            <w:r>
                              <w:rPr>
                                <w:rFonts w:ascii="Arial Narrow" w:eastAsia="Arial Narrow" w:hAnsi="Arial Narrow" w:cs="Arial Narrow"/>
                                <w:color w:val="000000"/>
                                <w:sz w:val="24"/>
                              </w:rPr>
                              <w:t>Aberto</w:t>
                            </w:r>
                          </w:p>
                          <w:p w14:paraId="37F659D3" w14:textId="789E599E" w:rsidR="00D30A31" w:rsidRDefault="006B1BAE">
                            <w:pPr>
                              <w:spacing w:line="360" w:lineRule="auto"/>
                              <w:ind w:left="55"/>
                              <w:textDirection w:val="btLr"/>
                            </w:pPr>
                            <w:r>
                              <w:rPr>
                                <w:rFonts w:ascii="Arial Narrow" w:eastAsia="Arial Narrow" w:hAnsi="Arial Narrow" w:cs="Arial Narrow"/>
                                <w:b/>
                                <w:color w:val="000000"/>
                                <w:sz w:val="24"/>
                              </w:rPr>
                              <w:t>IMPUGNAÇÕES E ESCLARECIMENTOS</w:t>
                            </w:r>
                            <w:r>
                              <w:rPr>
                                <w:rFonts w:ascii="Arial Narrow" w:eastAsia="Arial Narrow" w:hAnsi="Arial Narrow" w:cs="Arial Narrow"/>
                                <w:color w:val="000000"/>
                                <w:sz w:val="24"/>
                              </w:rPr>
                              <w:t xml:space="preserve"> </w:t>
                            </w:r>
                            <w:r>
                              <w:rPr>
                                <w:rFonts w:ascii="Arial Narrow" w:eastAsia="Arial Narrow" w:hAnsi="Arial Narrow" w:cs="Arial Narrow"/>
                                <w:b/>
                                <w:color w:val="000000"/>
                                <w:sz w:val="24"/>
                              </w:rPr>
                              <w:t xml:space="preserve">ATÉ: dia </w:t>
                            </w:r>
                            <w:r w:rsidR="00BD5ED9" w:rsidRPr="00BD5ED9">
                              <w:rPr>
                                <w:rFonts w:ascii="Arial Narrow" w:eastAsia="Arial Narrow" w:hAnsi="Arial Narrow" w:cs="Arial Narrow"/>
                                <w:b/>
                                <w:color w:val="000000"/>
                                <w:sz w:val="24"/>
                              </w:rPr>
                              <w:t>08/06/2026</w:t>
                            </w:r>
                          </w:p>
                        </w:txbxContent>
                      </wps:txbx>
                      <wps:bodyPr spcFirstLastPara="1" wrap="square" lIns="0" tIns="0" rIns="0" bIns="0" anchor="t" anchorCtr="0">
                        <a:noAutofit/>
                      </wps:bodyPr>
                    </wps:wsp>
                  </a:graphicData>
                </a:graphic>
              </wp:anchor>
            </w:drawing>
          </mc:Choice>
          <mc:Fallback>
            <w:pict>
              <v:rect w14:anchorId="081C0E93" id="Retângulo 2" o:spid="_x0000_s1026" style="position:absolute;left:0;text-align:left;margin-left:.65pt;margin-top:11.25pt;width:488.5pt;height:150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" filled="f">
                <v:stroke startarrowwidth="narrow" startarrowlength="short" endarrowwidth="narrow" endarrowlength="short" miterlimit="5243f"/>
                <v:textbox inset="0,0,0,0">
                  <w:txbxContent>
                    <w:p w14:paraId="600E153C" w14:textId="53DBD5FF" w:rsidR="00D30A31" w:rsidRDefault="006B1BAE">
                      <w:pPr>
                        <w:spacing w:line="360" w:lineRule="auto"/>
                        <w:ind w:left="55" w:right="2258" w:firstLine="55"/>
                        <w:textDirection w:val="btLr"/>
                      </w:pPr>
                      <w:r>
                        <w:rPr>
                          <w:rFonts w:ascii="Arial Narrow" w:eastAsia="Arial Narrow" w:hAnsi="Arial Narrow" w:cs="Arial Narrow"/>
                          <w:b/>
                          <w:color w:val="000000"/>
                          <w:sz w:val="24"/>
                        </w:rPr>
                        <w:t xml:space="preserve">CADASTRO DAS PROPOSTAS INICIAIS ATÉ: </w:t>
                      </w:r>
                      <w:r w:rsidR="00723C23">
                        <w:rPr>
                          <w:rFonts w:ascii="Arial Narrow" w:eastAsia="Arial Narrow" w:hAnsi="Arial Narrow" w:cs="Arial Narrow"/>
                          <w:b/>
                          <w:color w:val="000000"/>
                          <w:sz w:val="24"/>
                        </w:rPr>
                        <w:t>12/06/2026</w:t>
                      </w:r>
                      <w:r>
                        <w:rPr>
                          <w:rFonts w:ascii="Arial Narrow" w:eastAsia="Arial Narrow" w:hAnsi="Arial Narrow" w:cs="Arial Narrow"/>
                          <w:color w:val="000000"/>
                          <w:sz w:val="24"/>
                        </w:rPr>
                        <w:t xml:space="preserve"> </w:t>
                      </w:r>
                      <w:r>
                        <w:rPr>
                          <w:rFonts w:ascii="Arial Narrow" w:eastAsia="Arial Narrow" w:hAnsi="Arial Narrow" w:cs="Arial Narrow"/>
                          <w:b/>
                          <w:color w:val="000000"/>
                          <w:sz w:val="24"/>
                        </w:rPr>
                        <w:t xml:space="preserve">às </w:t>
                      </w:r>
                      <w:r w:rsidR="00723C23" w:rsidRPr="00723C23">
                        <w:rPr>
                          <w:rFonts w:ascii="Arial Narrow" w:eastAsia="Arial Narrow" w:hAnsi="Arial Narrow" w:cs="Arial Narrow"/>
                          <w:b/>
                          <w:color w:val="000000"/>
                          <w:sz w:val="24"/>
                        </w:rPr>
                        <w:t>16:00H</w:t>
                      </w:r>
                      <w:r>
                        <w:rPr>
                          <w:rFonts w:ascii="Arial Narrow" w:eastAsia="Arial Narrow" w:hAnsi="Arial Narrow" w:cs="Arial Narrow"/>
                          <w:b/>
                          <w:color w:val="000000"/>
                          <w:sz w:val="24"/>
                        </w:rPr>
                        <w:t xml:space="preserve"> </w:t>
                      </w:r>
                    </w:p>
                    <w:p w14:paraId="175194BD" w14:textId="2356CB58" w:rsidR="00D30A31" w:rsidRDefault="006B1BAE">
                      <w:pPr>
                        <w:spacing w:line="360" w:lineRule="auto"/>
                        <w:ind w:left="55" w:right="2258" w:firstLine="55"/>
                        <w:textDirection w:val="btLr"/>
                      </w:pPr>
                      <w:r>
                        <w:rPr>
                          <w:rFonts w:ascii="Arial Narrow" w:eastAsia="Arial Narrow" w:hAnsi="Arial Narrow" w:cs="Arial Narrow"/>
                          <w:b/>
                          <w:color w:val="000000"/>
                          <w:sz w:val="24"/>
                        </w:rPr>
                        <w:t xml:space="preserve">DATA DA SESSÃO: </w:t>
                      </w:r>
                      <w:r w:rsidR="00A653A7">
                        <w:rPr>
                          <w:rFonts w:ascii="Arial Narrow" w:eastAsia="Arial Narrow" w:hAnsi="Arial Narrow" w:cs="Arial Narrow"/>
                          <w:b/>
                          <w:color w:val="000000"/>
                          <w:sz w:val="24"/>
                        </w:rPr>
                        <w:t>12/06/2026</w:t>
                      </w:r>
                    </w:p>
                    <w:p w14:paraId="2FC3C664" w14:textId="0196608E" w:rsidR="00D30A31" w:rsidRDefault="006B1BAE">
                      <w:pPr>
                        <w:spacing w:line="360" w:lineRule="auto"/>
                        <w:ind w:left="55" w:firstLine="55"/>
                        <w:textDirection w:val="btLr"/>
                      </w:pPr>
                      <w:r>
                        <w:rPr>
                          <w:rFonts w:ascii="Arial Narrow" w:eastAsia="Arial Narrow" w:hAnsi="Arial Narrow" w:cs="Arial Narrow"/>
                          <w:b/>
                          <w:color w:val="000000"/>
                          <w:sz w:val="24"/>
                        </w:rPr>
                        <w:t xml:space="preserve">HORÁRIO: </w:t>
                      </w:r>
                      <w:r w:rsidR="00A653A7">
                        <w:rPr>
                          <w:rFonts w:ascii="Arial Narrow" w:eastAsia="Arial Narrow" w:hAnsi="Arial Narrow" w:cs="Arial Narrow"/>
                          <w:b/>
                          <w:color w:val="000000"/>
                          <w:sz w:val="24"/>
                        </w:rPr>
                        <w:t>16</w:t>
                      </w:r>
                      <w:r>
                        <w:rPr>
                          <w:rFonts w:ascii="Arial Narrow" w:eastAsia="Arial Narrow" w:hAnsi="Arial Narrow" w:cs="Arial Narrow"/>
                          <w:b/>
                          <w:color w:val="000000"/>
                          <w:sz w:val="24"/>
                        </w:rPr>
                        <w:t>:00H</w:t>
                      </w:r>
                    </w:p>
                    <w:p w14:paraId="049EB8DB" w14:textId="77777777" w:rsidR="00D30A31" w:rsidRDefault="006B1BAE">
                      <w:pPr>
                        <w:spacing w:line="360" w:lineRule="auto"/>
                        <w:ind w:left="55" w:right="1265" w:firstLine="55"/>
                        <w:textDirection w:val="btLr"/>
                      </w:pPr>
                      <w:r>
                        <w:rPr>
                          <w:rFonts w:ascii="Arial Narrow" w:eastAsia="Arial Narrow" w:hAnsi="Arial Narrow" w:cs="Arial Narrow"/>
                          <w:b/>
                          <w:color w:val="000000"/>
                          <w:sz w:val="24"/>
                        </w:rPr>
                        <w:t xml:space="preserve">LOCAL: </w:t>
                      </w:r>
                      <w:r>
                        <w:rPr>
                          <w:rFonts w:ascii="Arial Narrow" w:eastAsia="Arial Narrow" w:hAnsi="Arial Narrow" w:cs="Arial Narrow"/>
                          <w:b/>
                          <w:color w:val="00007F"/>
                          <w:sz w:val="24"/>
                          <w:u w:val="single"/>
                        </w:rPr>
                        <w:t>www.portaldecompraspublicas.com.br</w:t>
                      </w:r>
                      <w:r>
                        <w:rPr>
                          <w:rFonts w:ascii="Arial Narrow" w:eastAsia="Arial Narrow" w:hAnsi="Arial Narrow" w:cs="Arial Narrow"/>
                          <w:b/>
                          <w:color w:val="00007F"/>
                          <w:sz w:val="24"/>
                        </w:rPr>
                        <w:t xml:space="preserve"> </w:t>
                      </w:r>
                    </w:p>
                    <w:p w14:paraId="58266AD2" w14:textId="77777777" w:rsidR="00D30A31" w:rsidRDefault="006B1BAE">
                      <w:pPr>
                        <w:spacing w:line="360" w:lineRule="auto"/>
                        <w:ind w:left="55" w:right="2115" w:firstLine="55"/>
                        <w:textDirection w:val="btLr"/>
                      </w:pPr>
                      <w:r>
                        <w:rPr>
                          <w:rFonts w:ascii="Arial Narrow" w:eastAsia="Arial Narrow" w:hAnsi="Arial Narrow" w:cs="Arial Narrow"/>
                          <w:b/>
                          <w:color w:val="000000"/>
                          <w:sz w:val="24"/>
                        </w:rPr>
                        <w:t xml:space="preserve">CRITÉRIO DE JULGAMENTO: </w:t>
                      </w:r>
                      <w:r>
                        <w:rPr>
                          <w:rFonts w:ascii="Arial Narrow" w:eastAsia="Arial Narrow" w:hAnsi="Arial Narrow" w:cs="Arial Narrow"/>
                          <w:color w:val="000000"/>
                          <w:sz w:val="24"/>
                        </w:rPr>
                        <w:t>Menor Preço Global</w:t>
                      </w:r>
                    </w:p>
                    <w:p w14:paraId="54DCDC25" w14:textId="77777777" w:rsidR="00D30A31" w:rsidRDefault="006B1BAE">
                      <w:pPr>
                        <w:spacing w:line="360" w:lineRule="auto"/>
                        <w:ind w:left="55" w:right="2115" w:firstLine="55"/>
                        <w:textDirection w:val="btLr"/>
                      </w:pPr>
                      <w:r>
                        <w:rPr>
                          <w:rFonts w:ascii="Arial Narrow" w:eastAsia="Arial Narrow" w:hAnsi="Arial Narrow" w:cs="Arial Narrow"/>
                          <w:b/>
                          <w:color w:val="000000"/>
                          <w:sz w:val="24"/>
                        </w:rPr>
                        <w:t xml:space="preserve">MODO DE DISPUTA: </w:t>
                      </w:r>
                      <w:r>
                        <w:rPr>
                          <w:rFonts w:ascii="Arial Narrow" w:eastAsia="Arial Narrow" w:hAnsi="Arial Narrow" w:cs="Arial Narrow"/>
                          <w:color w:val="000000"/>
                          <w:sz w:val="24"/>
                        </w:rPr>
                        <w:t>Aberto</w:t>
                      </w:r>
                    </w:p>
                    <w:p w14:paraId="37F659D3" w14:textId="789E599E" w:rsidR="00D30A31" w:rsidRDefault="006B1BAE">
                      <w:pPr>
                        <w:spacing w:line="360" w:lineRule="auto"/>
                        <w:ind w:left="55"/>
                        <w:textDirection w:val="btLr"/>
                      </w:pPr>
                      <w:r>
                        <w:rPr>
                          <w:rFonts w:ascii="Arial Narrow" w:eastAsia="Arial Narrow" w:hAnsi="Arial Narrow" w:cs="Arial Narrow"/>
                          <w:b/>
                          <w:color w:val="000000"/>
                          <w:sz w:val="24"/>
                        </w:rPr>
                        <w:t>IMPUGNAÇÕES E ESCLARECIMENTOS</w:t>
                      </w:r>
                      <w:r>
                        <w:rPr>
                          <w:rFonts w:ascii="Arial Narrow" w:eastAsia="Arial Narrow" w:hAnsi="Arial Narrow" w:cs="Arial Narrow"/>
                          <w:color w:val="000000"/>
                          <w:sz w:val="24"/>
                        </w:rPr>
                        <w:t xml:space="preserve"> </w:t>
                      </w:r>
                      <w:r>
                        <w:rPr>
                          <w:rFonts w:ascii="Arial Narrow" w:eastAsia="Arial Narrow" w:hAnsi="Arial Narrow" w:cs="Arial Narrow"/>
                          <w:b/>
                          <w:color w:val="000000"/>
                          <w:sz w:val="24"/>
                        </w:rPr>
                        <w:t xml:space="preserve">ATÉ: dia </w:t>
                      </w:r>
                      <w:r w:rsidR="00BD5ED9" w:rsidRPr="00BD5ED9">
                        <w:rPr>
                          <w:rFonts w:ascii="Arial Narrow" w:eastAsia="Arial Narrow" w:hAnsi="Arial Narrow" w:cs="Arial Narrow"/>
                          <w:b/>
                          <w:color w:val="000000"/>
                          <w:sz w:val="24"/>
                        </w:rPr>
                        <w:t>08/06/2026</w:t>
                      </w:r>
                    </w:p>
                  </w:txbxContent>
                </v:textbox>
                <w10:wrap type="topAndBottom"/>
              </v:rect>
            </w:pict>
          </mc:Fallback>
        </mc:AlternateContent>
      </w:r>
    </w:p>
    <w:p w14:paraId="074DE3A9" w14:textId="77777777" w:rsidR="00D30A31" w:rsidRDefault="006B1BAE">
      <w:pPr>
        <w:numPr>
          <w:ilvl w:val="0"/>
          <w:numId w:val="3"/>
        </w:numPr>
        <w:pBdr>
          <w:top w:val="nil"/>
          <w:left w:val="nil"/>
          <w:bottom w:val="nil"/>
          <w:right w:val="nil"/>
          <w:between w:val="nil"/>
        </w:pBdr>
        <w:spacing w:line="360" w:lineRule="auto"/>
        <w:ind w:left="0" w:right="1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presente licitação será processada exclusivamente por meio eletrônico, sendo utilizado o Sistema Portal de Compras Públicas, disponibilizado e processado no endereço eletrônico https://www.portaldecompraspublicas.com.br, a que as licitantes interessadas se submetem, devendo providenciar o seu credenciamento junto ao referido sistema, no sítio antes indicado, para obtenção da chave de identificação e da senha, antes da data determinada para a realização da Concorrência Eletrônica.</w:t>
      </w:r>
    </w:p>
    <w:p w14:paraId="52238AC2" w14:textId="77777777" w:rsidR="00D30A31" w:rsidRDefault="006B1BAE">
      <w:pPr>
        <w:numPr>
          <w:ilvl w:val="0"/>
          <w:numId w:val="3"/>
        </w:numPr>
        <w:pBdr>
          <w:top w:val="nil"/>
          <w:left w:val="nil"/>
          <w:bottom w:val="nil"/>
          <w:right w:val="nil"/>
          <w:between w:val="nil"/>
        </w:pBdr>
        <w:spacing w:line="360" w:lineRule="auto"/>
        <w:ind w:left="0" w:right="1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As retificações do Edital obrigarão todas as licitantes e serão divulgadas pelos mesmos meios de divulgação do Edital.</w:t>
      </w:r>
    </w:p>
    <w:p w14:paraId="388F0F71" w14:textId="77777777" w:rsidR="00D30A31" w:rsidRDefault="006B1BAE">
      <w:pPr>
        <w:numPr>
          <w:ilvl w:val="0"/>
          <w:numId w:val="3"/>
        </w:numPr>
        <w:pBdr>
          <w:top w:val="nil"/>
          <w:left w:val="nil"/>
          <w:bottom w:val="nil"/>
          <w:right w:val="nil"/>
          <w:between w:val="nil"/>
        </w:pBdr>
        <w:spacing w:line="360" w:lineRule="auto"/>
        <w:ind w:left="0" w:right="1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trabalhos serão conduzidos por funcionário do Município de Magé, denominado Agente de Contratação, mediante a inserção e monitoramento de dados gerados ou transferidos para o</w:t>
      </w:r>
      <w:r>
        <w:rPr>
          <w:rFonts w:ascii="Times New Roman" w:eastAsia="Times New Roman" w:hAnsi="Times New Roman" w:cs="Times New Roman"/>
          <w:color w:val="00007F"/>
          <w:sz w:val="24"/>
          <w:szCs w:val="24"/>
        </w:rPr>
        <w:t xml:space="preserve"> </w:t>
      </w:r>
      <w:hyperlink r:id="rId8">
        <w:r>
          <w:rPr>
            <w:rFonts w:ascii="Times New Roman" w:eastAsia="Times New Roman" w:hAnsi="Times New Roman" w:cs="Times New Roman"/>
            <w:color w:val="00007F"/>
            <w:sz w:val="24"/>
            <w:szCs w:val="24"/>
            <w:u w:val="single"/>
          </w:rPr>
          <w:t>www.portaldecompraspublicas.com.br</w:t>
        </w:r>
      </w:hyperlink>
      <w:r>
        <w:rPr>
          <w:rFonts w:ascii="Times New Roman" w:eastAsia="Times New Roman" w:hAnsi="Times New Roman" w:cs="Times New Roman"/>
          <w:color w:val="000000"/>
          <w:sz w:val="24"/>
          <w:szCs w:val="24"/>
        </w:rPr>
        <w:t>.</w:t>
      </w:r>
    </w:p>
    <w:p w14:paraId="63502928" w14:textId="77777777" w:rsidR="00D30A31" w:rsidRDefault="00D30A31">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1547CBD6" w14:textId="77777777" w:rsidR="00D30A31" w:rsidRDefault="006B1BAE">
      <w:pPr>
        <w:pStyle w:val="Ttulo1"/>
        <w:numPr>
          <w:ilvl w:val="0"/>
          <w:numId w:val="2"/>
        </w:numPr>
        <w:tabs>
          <w:tab w:val="left" w:pos="372"/>
        </w:tabs>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sz w:val="24"/>
          <w:szCs w:val="24"/>
          <w:u w:val="single"/>
        </w:rPr>
        <w:t>DO OBJETO</w:t>
      </w:r>
    </w:p>
    <w:p w14:paraId="7E637E38"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O objeto da presente licitação é a </w:t>
      </w:r>
      <w:r>
        <w:rPr>
          <w:rFonts w:ascii="Times New Roman" w:eastAsia="Times New Roman" w:hAnsi="Times New Roman" w:cs="Times New Roman"/>
          <w:b/>
          <w:bCs/>
          <w:sz w:val="24"/>
          <w:szCs w:val="24"/>
        </w:rPr>
        <w:t>CONTRATAÇÃO DE EMPRESA ESPECIALIZADA EM SERVIÇOS DE ENGENHARIA CIVIL PARA CONSTRUÇÃO DE UNIDADE BÁSICA DE SAÚDE - UBS PORTE II, LOCALIZADA NA RUA DR. ARNOLPHO TAVARES, Nº 137, PARQUE ESTRELA, 6º DISTRITO, MUNICÍPIO DE MAGÉ/RJ</w:t>
      </w:r>
      <w:r>
        <w:rPr>
          <w:rFonts w:ascii="Times New Roman" w:eastAsia="Times New Roman" w:hAnsi="Times New Roman" w:cs="Times New Roman"/>
          <w:sz w:val="24"/>
          <w:szCs w:val="24"/>
        </w:rPr>
        <w:t xml:space="preserve">, sob o regime de execução de </w:t>
      </w:r>
      <w:r>
        <w:rPr>
          <w:rFonts w:ascii="Times New Roman" w:eastAsia="Times New Roman" w:hAnsi="Times New Roman" w:cs="Times New Roman"/>
          <w:b/>
          <w:bCs/>
          <w:sz w:val="24"/>
          <w:szCs w:val="24"/>
        </w:rPr>
        <w:t>EMPREITADA POR PREÇO UNITÁRIO</w:t>
      </w:r>
      <w:r>
        <w:rPr>
          <w:rFonts w:ascii="Times New Roman" w:eastAsia="Times New Roman" w:hAnsi="Times New Roman" w:cs="Times New Roman"/>
          <w:sz w:val="24"/>
          <w:szCs w:val="24"/>
        </w:rPr>
        <w:t>, conforme condições, especificações, quantitativos e exigências estabelecidas neste Edital e em seus anexos, especialmente no Projeto Básico - Anexo I.</w:t>
      </w:r>
    </w:p>
    <w:p w14:paraId="49EE345D"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O valor máximo estimado da contratação é de </w:t>
      </w:r>
      <w:r>
        <w:rPr>
          <w:rFonts w:ascii="Times New Roman" w:eastAsia="Times New Roman" w:hAnsi="Times New Roman" w:cs="Times New Roman"/>
          <w:b/>
          <w:bCs/>
          <w:sz w:val="24"/>
          <w:szCs w:val="24"/>
        </w:rPr>
        <w:t>R$ 4.079.693,45 (QUATRO MILHÕES, SETENTA E NOVE MIL, SEISCENTOS E NOVENTA E TRÊS REAIS E QUARENTA E CINCO CENTAVOS)</w:t>
      </w:r>
      <w:r>
        <w:rPr>
          <w:rFonts w:ascii="Times New Roman" w:eastAsia="Times New Roman" w:hAnsi="Times New Roman" w:cs="Times New Roman"/>
          <w:sz w:val="24"/>
          <w:szCs w:val="24"/>
        </w:rPr>
        <w:t>, conforme Planilha Orçamentária anexa, estando nele incluídas todas as despesas diretas e indiretas necessárias à integral execução da obra, inclusive o BDI - Benefícios e Despesas Indiretas.</w:t>
      </w:r>
    </w:p>
    <w:p w14:paraId="525B9DBD"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Pr>
          <w:rFonts w:ascii="Times New Roman" w:eastAsia="Times New Roman" w:hAnsi="Times New Roman" w:cs="Times New Roman"/>
          <w:b/>
          <w:bCs/>
          <w:sz w:val="24"/>
          <w:szCs w:val="24"/>
        </w:rPr>
        <w:t>O PRAZO TOTAL DE EXECUÇÃO DA OBRA SERÁ DE 360 (TREZENTOS E SESSENTA) DIAS</w:t>
      </w:r>
      <w:r>
        <w:rPr>
          <w:rFonts w:ascii="Times New Roman" w:eastAsia="Times New Roman" w:hAnsi="Times New Roman" w:cs="Times New Roman"/>
          <w:sz w:val="24"/>
          <w:szCs w:val="24"/>
        </w:rPr>
        <w:t>, contados a partir do primeiro dia subsequente à emissão da ordem de início, observadas as etapas, os marcos de execução e os desembolsos previstos no Cronograma Físico-Financeiro.</w:t>
      </w:r>
    </w:p>
    <w:p w14:paraId="1FBF4037"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A execução da obra será organizada em 12 (doze) etapas, com duração estimada de até 30 (trinta) dias cada, conforme o Cronograma Físico-Financeiro integrante dos anexos deste Edital.</w:t>
      </w:r>
    </w:p>
    <w:p w14:paraId="070F4EA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r>
        <w:rPr>
          <w:rFonts w:ascii="Times New Roman" w:eastAsia="Times New Roman" w:hAnsi="Times New Roman" w:cs="Times New Roman"/>
          <w:b/>
          <w:bCs/>
          <w:sz w:val="24"/>
          <w:szCs w:val="24"/>
        </w:rPr>
        <w:t>O PRAZO DE VIGÊNCIA DO CONTRATO SERÁ DE 455 (QUATROCENTOS E CINQUENTA E CINCO) DIAS</w:t>
      </w:r>
      <w:r>
        <w:rPr>
          <w:rFonts w:ascii="Times New Roman" w:eastAsia="Times New Roman" w:hAnsi="Times New Roman" w:cs="Times New Roman"/>
          <w:sz w:val="24"/>
          <w:szCs w:val="24"/>
        </w:rPr>
        <w:t>, contados do primeiro dia subsequente à sua assinatura, compreendendo o prazo necessário à mobilização inicial, execução da obra, regularizações perante os órgãos competentes, comunicação de conclusão, recebimento provisório, recebimento definitivo e adoção das providências administrativas necessárias ao encerramento contratual e ao pagamento.</w:t>
      </w:r>
    </w:p>
    <w:p w14:paraId="714A34BC"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1.6. Todos os materiais, equipamentos, insumos e serviços empregados na execução do objeto deverão atender às exigências mínimas de qualidade, segurança, desempenho e durabilidade, observadas a legislação vigente, as normas técnicas aplicáveis, especialmente as normas da </w:t>
      </w:r>
      <w:r>
        <w:rPr>
          <w:rFonts w:ascii="Times New Roman" w:eastAsia="Times New Roman" w:hAnsi="Times New Roman" w:cs="Times New Roman"/>
          <w:b/>
          <w:bCs/>
          <w:sz w:val="24"/>
          <w:szCs w:val="24"/>
        </w:rPr>
        <w:t>ABNT/NBR</w:t>
      </w:r>
      <w:r>
        <w:rPr>
          <w:rFonts w:ascii="Times New Roman" w:eastAsia="Times New Roman" w:hAnsi="Times New Roman" w:cs="Times New Roman"/>
          <w:sz w:val="24"/>
          <w:szCs w:val="24"/>
        </w:rPr>
        <w:t>, bem como os padrões fixados pelos órgãos competentes de controle, certificação e fiscalização, quando couber.</w:t>
      </w:r>
    </w:p>
    <w:p w14:paraId="46D61418" w14:textId="77777777" w:rsidR="00D30A31" w:rsidRDefault="00D30A31">
      <w:pPr>
        <w:pBdr>
          <w:top w:val="nil"/>
          <w:left w:val="nil"/>
          <w:bottom w:val="nil"/>
          <w:right w:val="nil"/>
          <w:between w:val="nil"/>
        </w:pBdr>
        <w:spacing w:line="360" w:lineRule="auto"/>
        <w:ind w:right="134"/>
        <w:jc w:val="both"/>
        <w:rPr>
          <w:rFonts w:ascii="Times New Roman" w:eastAsia="Times New Roman" w:hAnsi="Times New Roman" w:cs="Times New Roman"/>
          <w:sz w:val="24"/>
          <w:szCs w:val="24"/>
        </w:rPr>
      </w:pPr>
    </w:p>
    <w:p w14:paraId="1DCDCA0B" w14:textId="77777777" w:rsidR="00D30A31" w:rsidRDefault="006B1BAE">
      <w:pPr>
        <w:pStyle w:val="Ttulo1"/>
        <w:numPr>
          <w:ilvl w:val="0"/>
          <w:numId w:val="2"/>
        </w:numPr>
        <w:tabs>
          <w:tab w:val="left" w:pos="372"/>
        </w:tabs>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sz w:val="24"/>
          <w:szCs w:val="24"/>
          <w:u w:val="single"/>
        </w:rPr>
        <w:t>DAS CONDIÇÕES PARA PARTICIPAÇÃO</w:t>
      </w:r>
    </w:p>
    <w:p w14:paraId="7ACCBBFE"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Poderão participar desta licitação os interessados regularmente estabelecidos no País, cujo ramo de atividade seja compatível com o objeto licitado, que atendam a todas as exigências, condições, especificações e normas estabelecidas neste Edital e em seus anexos, e que estejam previamente credenciados no sistema eletrônico do Portal de Compras Públicas.</w:t>
      </w:r>
    </w:p>
    <w:p w14:paraId="1B5501BA"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O credenciamento do licitante deverá ser realizado diretamente no endereço eletrônico do Portal de Compras Públicas, até o horário limite fixado neste Edital para cadastramento da proposta e dos documentos exigidos.</w:t>
      </w:r>
    </w:p>
    <w:p w14:paraId="272FF930"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A participação na Concorrência Eletrônica fica condicionada ao regular credenciamento do licitante no sistema eletrônico utilizado para a realização do certame.</w:t>
      </w:r>
    </w:p>
    <w:p w14:paraId="76777E40"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A licitação será processada por meio de sistema eletrônico disponibilizado por pessoa jurídica de direito privado, cabendo ao licitante observar as regras de utilização da plataforma, inclusive quanto a eventuais custos operacionais, quando previstos pelo provedor do sistema.</w:t>
      </w:r>
    </w:p>
    <w:p w14:paraId="613358F4"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 Além das vedações previstas no art. 9º, §§ 1º e 2º, da Lei Federal nº 14.133/2021, não poderão participar desta licitação, nos termos do art. 14 da referida Lei:</w:t>
      </w:r>
    </w:p>
    <w:p w14:paraId="09E884A7"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o autor do anteprojeto, do projeto básico ou do projeto executivo, pessoa física ou jurídica, quando a licitação versar sobre obra, serviço ou fornecimento de bens a ele relacionados;</w:t>
      </w:r>
    </w:p>
    <w:p w14:paraId="38359F62"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empresa, isoladamente ou em consórcio, responsável pela elaboração do projeto básico ou do projeto executivo, ou empresa da qual o autor do projeto seja dirigente, gerente, controlador, acionista ou detentor de mais de 5% do capital com direito a voto, responsável técnico ou subcontratado, quando a licitação versar sobre obra, serviço ou fornecimento de bens a ela necessários;</w:t>
      </w:r>
    </w:p>
    <w:p w14:paraId="7C304C96"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III - pessoa física ou jurídica que se encontre, ao tempo da licitação, impossibilitada de participar em decorrência de sanção que lhe tenha sido imposta;</w:t>
      </w:r>
    </w:p>
    <w:p w14:paraId="63F71C76"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aquele que mantenha vínculo de natureza técnica, comercial, econômica, financeira, trabalhista ou civil com dirigente do órgão ou entidade contratante ou com agente público que desempenhe função na licitação, na fiscalização ou na gestão do contrato, ou que deles seja cônjuge, companheiro ou parente em linha reta, colateral ou por afinidade, até o terceiro grau;</w:t>
      </w:r>
    </w:p>
    <w:p w14:paraId="1A0BD261"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empresas controladoras, controladas ou coligadas, nos termos da Lei Federal nº 6.404, de 15 de dezembro de 1976, concorrendo entre si;</w:t>
      </w:r>
    </w:p>
    <w:p w14:paraId="5292A236"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 pessoa física ou jurídica que, nos 5 anos anteriores à divulgação do Edital, tenha sido condenada judicialmente, com trânsito em julgado, por exploração de trabalho infantil, submissão de trabalhadores a condições análogas às de escravo ou contratação de adolescentes nos casos vedados pela legislação trabalhista.</w:t>
      </w:r>
    </w:p>
    <w:p w14:paraId="5E65DCB0"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 O impedimento de que trata o inciso III do item 2.5 aplica-se também ao licitante que atue em substituição a outra pessoa, física ou jurídica, com o intuito de burlar a efetividade da sanção a ela aplicada, inclusive sua controladora, controlada ou coligada, desde que devidamente comprovado o ilícito ou o uso fraudulento da personalidade jurídica do licitante.</w:t>
      </w:r>
    </w:p>
    <w:p w14:paraId="04D03B6F"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A critério da Administração e exclusivamente a seu serviço, o autor dos projetos e a empresa referidos nos incisos I e II do item 2.5 poderão participar do apoio às atividades de planejamento da contratação, de execução da licitação ou de gestão do contrato, desde que sob supervisão exclusiva de agentes públicos do órgão ou entidade contratante.</w:t>
      </w:r>
    </w:p>
    <w:p w14:paraId="4384CF97"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 Equiparam-se aos autores do projeto as empresas integrantes do mesmo grupo econômico.</w:t>
      </w:r>
    </w:p>
    <w:p w14:paraId="591CAB85"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O disposto no item 2.5 não impede a licitação ou a contratação de obra ou serviço que inclua, como encargo do contratado, a elaboração do projeto executivo, nos regimes de execução em que essa providência seja admitida pela Lei Federal nº 14.133/2021, observado o disposto neste Edital e em seus anexos.</w:t>
      </w:r>
    </w:p>
    <w:p w14:paraId="3BECFB16"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2.10. Em licitações e contratações realizadas no âmbito de projetos e programas parcialmente financiados por agência oficial de cooperação estrangeira ou por organismo financeiro internacional, </w:t>
      </w:r>
      <w:r>
        <w:rPr>
          <w:rFonts w:ascii="Times New Roman" w:eastAsia="Times New Roman" w:hAnsi="Times New Roman" w:cs="Times New Roman"/>
          <w:sz w:val="24"/>
          <w:szCs w:val="24"/>
        </w:rPr>
        <w:lastRenderedPageBreak/>
        <w:t>com recursos do financiamento ou da contrapartida nacional, não poderá participar pessoa física ou jurídica que integre o rol de pessoas sancionadas por essas entidades ou que seja declarada inidônea nos termos da Lei Federal nº 14.133/2021.</w:t>
      </w:r>
    </w:p>
    <w:p w14:paraId="0D6958CE" w14:textId="77777777" w:rsidR="00D30A31" w:rsidRDefault="006B1BAE">
      <w:pPr>
        <w:pStyle w:val="Ttulo2"/>
        <w:keepNext w:val="0"/>
        <w:keepLines w:val="0"/>
        <w:tabs>
          <w:tab w:val="left" w:pos="620"/>
        </w:tabs>
        <w:spacing w:line="360" w:lineRule="auto"/>
        <w:ind w:right="144"/>
        <w:jc w:val="both"/>
        <w:rPr>
          <w:rFonts w:ascii="Times New Roman" w:eastAsia="Times New Roman" w:hAnsi="Times New Roman" w:cs="Times New Roman"/>
          <w:sz w:val="24"/>
          <w:szCs w:val="24"/>
        </w:rPr>
      </w:pPr>
      <w:bookmarkStart w:id="1" w:name="_yucflknk0p64" w:colFirst="0" w:colLast="0"/>
      <w:bookmarkEnd w:id="1"/>
      <w:r>
        <w:rPr>
          <w:rFonts w:ascii="Times New Roman" w:eastAsia="Times New Roman" w:hAnsi="Times New Roman" w:cs="Times New Roman"/>
          <w:sz w:val="24"/>
          <w:szCs w:val="24"/>
        </w:rPr>
        <w:t>2.11. DO TRATAMENTO DIFERENCIADO ÀS MICROEMPRESAS E EMPRESAS DE PEQUENO PORTE</w:t>
      </w:r>
    </w:p>
    <w:p w14:paraId="1D809A33"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2.11.1. Para fins de obtenção do tratamento diferenciado previsto na Lei Complementar Federal nº 123/2006, com as alterações promovidas pela Lei Complementar Federal nº 147/2014, as microempresas e empresas de pequeno porte deverão declarar sua condição no sistema eletrônico e apresentar a documentação comprobatória exigida neste Edital.</w:t>
      </w:r>
    </w:p>
    <w:p w14:paraId="69A85551"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2.11.2. A comprovação da condição de microempresa ou empresa de pequeno porte poderá ser feita mediante apresentação de certidão simplificada expedida pela Junta Comercial competente ou por outro documento idôneo que demonstre o enquadramento legal da licitante, sem prejuízo da verificação pela Administração.</w:t>
      </w:r>
    </w:p>
    <w:p w14:paraId="79DDE681"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2.11.3. As microempresas e empresas de pequeno porte deverão apresentar toda a documentação exigida para fins de comprovação de regularidade fiscal e trabalhista, ainda que esta apresente alguma restrição.</w:t>
      </w:r>
    </w:p>
    <w:p w14:paraId="50E0DA26"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2.11.4. Havendo alguma restrição na comprovação da regularidade fiscal ou trabalhista da microempresa ou empresa de pequeno porte, será assegurado o prazo de 5 dias úteis para regularização, cujo termo inicial corresponderá ao momento em que a licitante for declarada vencedora do certame, prorrogável por igual período, a critério da Administração Pública.</w:t>
      </w:r>
    </w:p>
    <w:p w14:paraId="5D1DC43C" w14:textId="77777777" w:rsidR="00D30A31" w:rsidRDefault="006B1BAE">
      <w:pPr>
        <w:tabs>
          <w:tab w:val="left" w:pos="62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2.11.5. A não regularização da documentação no prazo previsto no item anterior implicará decadência do direito à contratação, sem prejuízo das sanções cabíveis, facultando-se à Administração convocar as licitantes remanescentes, na ordem de classificação, para análise da proposta e dos documentos de habilitação, ou revogar a licitação, conforme o interesse público.</w:t>
      </w:r>
    </w:p>
    <w:p w14:paraId="59FE293B" w14:textId="77777777" w:rsidR="00D30A31" w:rsidRDefault="006B1BAE">
      <w:pPr>
        <w:tabs>
          <w:tab w:val="left" w:pos="620"/>
        </w:tabs>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2.11.6. Caso a licitante declare enquadramento como microempresa ou empresa de pequeno porte e não comprove tal condição, ou deixe de atender às demais exigências habilitatórias, será inabilitada, sem prejuízo da apuração de eventual responsabilidade pela declaração prestada.</w:t>
      </w:r>
    </w:p>
    <w:p w14:paraId="0680AACF" w14:textId="77777777" w:rsidR="00D30A31" w:rsidRDefault="006B1BAE">
      <w:pPr>
        <w:numPr>
          <w:ilvl w:val="0"/>
          <w:numId w:val="2"/>
        </w:numPr>
        <w:pBdr>
          <w:top w:val="nil"/>
          <w:left w:val="nil"/>
          <w:bottom w:val="nil"/>
          <w:right w:val="nil"/>
          <w:between w:val="nil"/>
        </w:pBdr>
        <w:ind w:left="0" w:firstLine="0"/>
        <w:jc w:val="both"/>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lastRenderedPageBreak/>
        <w:t>RECURSOS ORÇAMENTÁRIOS / VALOR ESTIMADO</w:t>
      </w:r>
    </w:p>
    <w:p w14:paraId="112569AB" w14:textId="77777777" w:rsidR="00D30A31" w:rsidRDefault="00D30A31">
      <w:pPr>
        <w:pBdr>
          <w:top w:val="nil"/>
          <w:left w:val="nil"/>
          <w:bottom w:val="nil"/>
          <w:right w:val="nil"/>
          <w:between w:val="nil"/>
        </w:pBdr>
        <w:jc w:val="both"/>
        <w:rPr>
          <w:rFonts w:ascii="Times New Roman" w:eastAsia="Times New Roman" w:hAnsi="Times New Roman" w:cs="Times New Roman"/>
          <w:b/>
          <w:bCs/>
          <w:color w:val="000000"/>
          <w:sz w:val="24"/>
          <w:szCs w:val="24"/>
          <w:u w:val="single"/>
        </w:rPr>
      </w:pPr>
    </w:p>
    <w:p w14:paraId="63538DE0" w14:textId="77777777" w:rsidR="00D30A31" w:rsidRDefault="006B1BAE">
      <w:pPr>
        <w:pStyle w:val="Ttulo1"/>
        <w:tabs>
          <w:tab w:val="left" w:pos="372"/>
        </w:tabs>
        <w:spacing w:before="240" w:after="240" w:line="360" w:lineRule="auto"/>
        <w:ind w:left="0"/>
        <w:jc w:val="both"/>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3.1. As despesas decorrentes da presente contratação correrão à conta das dotações orçamentárias próprias da Secretaria Municipal de Saúde, destinadas à contratação de empresa especializada em serviços de engenharia civil para construção de Unidade Básica de Saúde - UBS Porte II, localizada no Parque Estrela, 6º Distrito do Município de Magé/RJ, conforme abaixo indicado:</w:t>
      </w:r>
    </w:p>
    <w:p w14:paraId="1776B287" w14:textId="77777777" w:rsidR="00D30A31" w:rsidRDefault="006B1BAE">
      <w:pPr>
        <w:pStyle w:val="Ttulo1"/>
        <w:tabs>
          <w:tab w:val="left" w:pos="372"/>
        </w:tabs>
        <w:spacing w:before="240" w:after="240" w:line="360" w:lineRule="auto"/>
        <w:ind w:left="0"/>
        <w:jc w:val="both"/>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Fontes de Recursos: 1500 / 1600 / 1601 / 1621 / 1635 / 1704</w:t>
      </w:r>
      <w:r>
        <w:rPr>
          <w:rFonts w:ascii="Times New Roman" w:eastAsia="Times New Roman" w:hAnsi="Times New Roman" w:cs="Times New Roman"/>
          <w:b w:val="0"/>
          <w:bCs w:val="0"/>
          <w:sz w:val="24"/>
          <w:szCs w:val="24"/>
        </w:rPr>
        <w:br/>
        <w:t>Programa de Trabalho: 10.302.3001.1.026</w:t>
      </w:r>
      <w:r>
        <w:rPr>
          <w:rFonts w:ascii="Times New Roman" w:eastAsia="Times New Roman" w:hAnsi="Times New Roman" w:cs="Times New Roman"/>
          <w:b w:val="0"/>
          <w:bCs w:val="0"/>
          <w:sz w:val="24"/>
          <w:szCs w:val="24"/>
        </w:rPr>
        <w:br/>
        <w:t>Natureza da Despesa: 4.4.90.51</w:t>
      </w:r>
    </w:p>
    <w:p w14:paraId="3FABAAF4" w14:textId="77777777" w:rsidR="00D30A31" w:rsidRDefault="006B1BAE">
      <w:pPr>
        <w:pStyle w:val="Ttulo1"/>
        <w:tabs>
          <w:tab w:val="left" w:pos="372"/>
        </w:tabs>
        <w:spacing w:before="240" w:after="240" w:line="360" w:lineRule="auto"/>
        <w:ind w:left="0"/>
        <w:jc w:val="both"/>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3.2. O orçamento estimado da contratação encontra-se detalhado na Planilha Orçamentária, integrante dos anexos deste Edital, elaborada sob a forma de planilha de quantitativos e custos unitários, totalizando o valor máximo de R$ 4.079.693,45 (quatro milhões, setenta e nove mil, seiscentos e noventa e três reais e quarenta e cinco centavos).</w:t>
      </w:r>
    </w:p>
    <w:p w14:paraId="37CA182D" w14:textId="77777777" w:rsidR="00D30A31" w:rsidRDefault="006B1BAE">
      <w:pPr>
        <w:pStyle w:val="Ttulo1"/>
        <w:tabs>
          <w:tab w:val="left" w:pos="372"/>
        </w:tabs>
        <w:spacing w:before="240" w:after="240" w:line="360" w:lineRule="auto"/>
        <w:ind w:left="0"/>
        <w:jc w:val="both"/>
        <w:rPr>
          <w:rFonts w:ascii="Times New Roman" w:eastAsia="Times New Roman" w:hAnsi="Times New Roman" w:cs="Times New Roman"/>
          <w:b w:val="0"/>
          <w:bCs w:val="0"/>
          <w:sz w:val="24"/>
          <w:szCs w:val="24"/>
        </w:rPr>
      </w:pPr>
      <w:bookmarkStart w:id="2" w:name="_ytfzjvvbvsm4" w:colFirst="0" w:colLast="0"/>
      <w:bookmarkEnd w:id="2"/>
      <w:r>
        <w:rPr>
          <w:rFonts w:ascii="Times New Roman" w:eastAsia="Times New Roman" w:hAnsi="Times New Roman" w:cs="Times New Roman"/>
          <w:b w:val="0"/>
          <w:bCs w:val="0"/>
          <w:sz w:val="24"/>
          <w:szCs w:val="24"/>
        </w:rPr>
        <w:t>3.3. O orçamento estimado foi elaborado com base nas referências EMOP/SCO/SINAPI, com mês-base novembro de 2025, nos termos do art. 52 do Decreto Municipal nº 3.635/2023, observadas as composições, quantitativos, BDI e demais elementos técnicos constantes dos anexos deste Edital.</w:t>
      </w:r>
    </w:p>
    <w:p w14:paraId="5F0E3F67" w14:textId="77777777" w:rsidR="00D30A31" w:rsidRDefault="00D30A31">
      <w:pPr>
        <w:tabs>
          <w:tab w:val="left" w:pos="372"/>
        </w:tabs>
      </w:pPr>
    </w:p>
    <w:p w14:paraId="40A33014" w14:textId="77777777" w:rsidR="00D30A31" w:rsidRDefault="006B1BAE">
      <w:pPr>
        <w:pStyle w:val="Ttulo1"/>
        <w:numPr>
          <w:ilvl w:val="0"/>
          <w:numId w:val="2"/>
        </w:numPr>
        <w:tabs>
          <w:tab w:val="left" w:pos="284"/>
        </w:tabs>
        <w:spacing w:line="360" w:lineRule="auto"/>
        <w:ind w:left="0" w:firstLine="0"/>
        <w:rPr>
          <w:rFonts w:ascii="Times New Roman" w:eastAsia="Times New Roman" w:hAnsi="Times New Roman" w:cs="Times New Roman"/>
        </w:rPr>
      </w:pPr>
      <w:r>
        <w:rPr>
          <w:rFonts w:ascii="Times New Roman" w:eastAsia="Times New Roman" w:hAnsi="Times New Roman" w:cs="Times New Roman"/>
          <w:sz w:val="24"/>
          <w:szCs w:val="24"/>
          <w:u w:val="single"/>
        </w:rPr>
        <w:t>DO EDITAL</w:t>
      </w:r>
    </w:p>
    <w:p w14:paraId="4F784B0D" w14:textId="77777777" w:rsidR="00D30A31" w:rsidRDefault="00D30A31">
      <w:pPr>
        <w:pStyle w:val="Ttulo1"/>
        <w:tabs>
          <w:tab w:val="left" w:pos="284"/>
        </w:tabs>
        <w:spacing w:line="360" w:lineRule="auto"/>
        <w:ind w:left="0"/>
        <w:rPr>
          <w:rFonts w:ascii="Times New Roman" w:eastAsia="Times New Roman" w:hAnsi="Times New Roman" w:cs="Times New Roman"/>
          <w:sz w:val="24"/>
          <w:szCs w:val="24"/>
          <w:u w:val="single"/>
        </w:rPr>
      </w:pPr>
    </w:p>
    <w:p w14:paraId="54E41F1E" w14:textId="77777777" w:rsidR="00D30A31" w:rsidRDefault="006B1BAE">
      <w:pPr>
        <w:pBdr>
          <w:top w:val="nil"/>
          <w:left w:val="nil"/>
          <w:bottom w:val="nil"/>
          <w:right w:val="nil"/>
          <w:between w:val="nil"/>
        </w:pBdr>
        <w:tabs>
          <w:tab w:val="left" w:pos="284"/>
          <w:tab w:val="left" w:pos="632"/>
        </w:tabs>
        <w:spacing w:line="360" w:lineRule="auto"/>
        <w:ind w:right="134"/>
        <w:jc w:val="both"/>
        <w:rPr>
          <w:rFonts w:ascii="Times New Roman" w:eastAsia="Times New Roman" w:hAnsi="Times New Roman" w:cs="Times New Roman"/>
          <w:color w:val="000000"/>
          <w:sz w:val="24"/>
          <w:szCs w:val="24"/>
        </w:rPr>
      </w:pPr>
      <w:bookmarkStart w:id="3" w:name="_7qo2bc38nlek" w:colFirst="0" w:colLast="0"/>
      <w:bookmarkEnd w:id="3"/>
      <w:r>
        <w:rPr>
          <w:rFonts w:ascii="Times New Roman" w:eastAsia="Times New Roman" w:hAnsi="Times New Roman" w:cs="Times New Roman"/>
          <w:sz w:val="24"/>
          <w:szCs w:val="24"/>
        </w:rPr>
        <w:t>4.1. O presente Edital será regido pela Lei Federal nº 14.133/2021, pela Lei Complementar Federal nº 123/2006, com as alterações promovidas pela Lei Complementar Federal nº 147/2014, e pelas demais normas aplicáveis, assegurado, quando cabível, o tratamento diferenciado e favorecido às microempresas, empresas de pequeno porte e microempreendedores individuais, nos termos da legislação vigente e das condições estabelecidas neste Edital.</w:t>
      </w:r>
    </w:p>
    <w:p w14:paraId="4E8AA33B" w14:textId="77777777" w:rsidR="00D30A31" w:rsidRDefault="00D30A31">
      <w:pPr>
        <w:pStyle w:val="Ttulo1"/>
        <w:pBdr>
          <w:top w:val="nil"/>
          <w:left w:val="nil"/>
          <w:bottom w:val="nil"/>
          <w:right w:val="nil"/>
          <w:between w:val="nil"/>
        </w:pBdr>
        <w:tabs>
          <w:tab w:val="left" w:pos="372"/>
        </w:tabs>
        <w:spacing w:line="360" w:lineRule="auto"/>
        <w:ind w:left="0" w:right="247"/>
        <w:jc w:val="both"/>
        <w:rPr>
          <w:rFonts w:ascii="Times New Roman" w:eastAsia="Times New Roman" w:hAnsi="Times New Roman" w:cs="Times New Roman"/>
          <w:sz w:val="24"/>
          <w:szCs w:val="24"/>
        </w:rPr>
      </w:pPr>
    </w:p>
    <w:p w14:paraId="37A4E666" w14:textId="77777777" w:rsidR="00D30A31" w:rsidRDefault="006B1BAE">
      <w:pPr>
        <w:pStyle w:val="Ttulo1"/>
        <w:numPr>
          <w:ilvl w:val="0"/>
          <w:numId w:val="2"/>
        </w:numPr>
        <w:tabs>
          <w:tab w:val="left" w:pos="0"/>
        </w:tabs>
        <w:spacing w:line="360" w:lineRule="auto"/>
        <w:ind w:left="0" w:firstLine="0"/>
        <w:rPr>
          <w:rFonts w:ascii="Times New Roman" w:eastAsia="Times New Roman" w:hAnsi="Times New Roman" w:cs="Times New Roman"/>
        </w:rPr>
      </w:pPr>
      <w:r>
        <w:rPr>
          <w:rFonts w:ascii="Times New Roman" w:eastAsia="Times New Roman" w:hAnsi="Times New Roman" w:cs="Times New Roman"/>
          <w:sz w:val="24"/>
          <w:szCs w:val="24"/>
          <w:u w:val="single"/>
        </w:rPr>
        <w:t>DO CRITÉRIO DE JULGAMENTO</w:t>
      </w:r>
    </w:p>
    <w:p w14:paraId="4C27BA56" w14:textId="77777777" w:rsidR="00D30A31" w:rsidRDefault="00D30A31">
      <w:pPr>
        <w:pStyle w:val="Ttulo1"/>
        <w:tabs>
          <w:tab w:val="left" w:pos="0"/>
        </w:tabs>
        <w:spacing w:line="360" w:lineRule="auto"/>
        <w:ind w:left="0"/>
        <w:rPr>
          <w:rFonts w:ascii="Times New Roman" w:eastAsia="Times New Roman" w:hAnsi="Times New Roman" w:cs="Times New Roman"/>
          <w:sz w:val="24"/>
          <w:szCs w:val="24"/>
          <w:u w:val="single"/>
        </w:rPr>
      </w:pPr>
    </w:p>
    <w:p w14:paraId="2B244292" w14:textId="77777777" w:rsidR="00D30A31" w:rsidRDefault="006B1BAE">
      <w:pPr>
        <w:pBdr>
          <w:top w:val="nil"/>
          <w:left w:val="nil"/>
          <w:bottom w:val="nil"/>
          <w:right w:val="nil"/>
          <w:between w:val="nil"/>
        </w:pBdr>
        <w:tabs>
          <w:tab w:val="left" w:pos="0"/>
          <w:tab w:val="left" w:pos="588"/>
        </w:tabs>
        <w:spacing w:line="360" w:lineRule="auto"/>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5.1. O critério de julgamento adotado será o de </w:t>
      </w:r>
      <w:r>
        <w:rPr>
          <w:rFonts w:ascii="Times New Roman" w:eastAsia="Times New Roman" w:hAnsi="Times New Roman" w:cs="Times New Roman"/>
          <w:b/>
          <w:bCs/>
          <w:sz w:val="24"/>
          <w:szCs w:val="24"/>
        </w:rPr>
        <w:t>MENOR PREÇO GLOBAL</w:t>
      </w:r>
      <w:r>
        <w:rPr>
          <w:rFonts w:ascii="Times New Roman" w:eastAsia="Times New Roman" w:hAnsi="Times New Roman" w:cs="Times New Roman"/>
          <w:sz w:val="24"/>
          <w:szCs w:val="24"/>
        </w:rPr>
        <w:t xml:space="preserve">, observadas as especificações técnicas, os quantitativos, os parâmetros mínimos de desempenho e qualidade, o prazo de execução, o regime de </w:t>
      </w:r>
      <w:r>
        <w:rPr>
          <w:rFonts w:ascii="Times New Roman" w:eastAsia="Times New Roman" w:hAnsi="Times New Roman" w:cs="Times New Roman"/>
          <w:b/>
          <w:bCs/>
          <w:sz w:val="24"/>
          <w:szCs w:val="24"/>
        </w:rPr>
        <w:t>EMPREITADA POR PREÇO UNITÁRIO</w:t>
      </w:r>
      <w:r>
        <w:rPr>
          <w:rFonts w:ascii="Times New Roman" w:eastAsia="Times New Roman" w:hAnsi="Times New Roman" w:cs="Times New Roman"/>
          <w:sz w:val="24"/>
          <w:szCs w:val="24"/>
        </w:rPr>
        <w:t xml:space="preserve"> e as demais condições </w:t>
      </w:r>
      <w:r>
        <w:rPr>
          <w:rFonts w:ascii="Times New Roman" w:eastAsia="Times New Roman" w:hAnsi="Times New Roman" w:cs="Times New Roman"/>
          <w:sz w:val="24"/>
          <w:szCs w:val="24"/>
        </w:rPr>
        <w:lastRenderedPageBreak/>
        <w:t>estabelecidas neste Edital e em seus anexos.</w:t>
      </w:r>
    </w:p>
    <w:p w14:paraId="291A9FE6" w14:textId="77777777" w:rsidR="00D30A31" w:rsidRDefault="00D30A31">
      <w:pPr>
        <w:pBdr>
          <w:top w:val="nil"/>
          <w:left w:val="nil"/>
          <w:bottom w:val="nil"/>
          <w:right w:val="nil"/>
          <w:between w:val="nil"/>
        </w:pBdr>
        <w:tabs>
          <w:tab w:val="left" w:pos="0"/>
          <w:tab w:val="left" w:pos="588"/>
        </w:tabs>
        <w:spacing w:line="360" w:lineRule="auto"/>
        <w:ind w:right="140"/>
        <w:jc w:val="both"/>
        <w:rPr>
          <w:rFonts w:ascii="Times New Roman" w:eastAsia="Times New Roman" w:hAnsi="Times New Roman" w:cs="Times New Roman"/>
          <w:sz w:val="24"/>
          <w:szCs w:val="24"/>
        </w:rPr>
      </w:pPr>
    </w:p>
    <w:p w14:paraId="7D75119E" w14:textId="77777777" w:rsidR="00D30A31" w:rsidRDefault="006B1BAE">
      <w:pPr>
        <w:pStyle w:val="Ttulo1"/>
        <w:numPr>
          <w:ilvl w:val="0"/>
          <w:numId w:val="2"/>
        </w:numPr>
        <w:tabs>
          <w:tab w:val="left" w:pos="0"/>
        </w:tabs>
        <w:spacing w:line="360" w:lineRule="auto"/>
        <w:ind w:left="0" w:firstLine="0"/>
        <w:rPr>
          <w:rFonts w:ascii="Times New Roman" w:eastAsia="Times New Roman" w:hAnsi="Times New Roman" w:cs="Times New Roman"/>
        </w:rPr>
      </w:pPr>
      <w:r>
        <w:rPr>
          <w:rFonts w:ascii="Times New Roman" w:eastAsia="Times New Roman" w:hAnsi="Times New Roman" w:cs="Times New Roman"/>
          <w:sz w:val="24"/>
          <w:szCs w:val="24"/>
          <w:u w:val="single"/>
        </w:rPr>
        <w:t>DO CREDENCIAMENTO NO SISTEMA DE LICITAÇÕES</w:t>
      </w:r>
    </w:p>
    <w:p w14:paraId="0F31DD27"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 Para participação na presente Concorrência Eletrônica, o licitante deverá estar previamente credenciado no sistema eletrônico do Portal de Compras Públicas, disponível no endereço eletrônico </w:t>
      </w:r>
      <w:hyperlink r:id="rId9">
        <w:r>
          <w:rPr>
            <w:rFonts w:ascii="Times New Roman" w:eastAsia="Times New Roman" w:hAnsi="Times New Roman" w:cs="Times New Roman"/>
            <w:color w:val="1155CC"/>
            <w:sz w:val="24"/>
            <w:szCs w:val="24"/>
            <w:u w:val="single"/>
          </w:rPr>
          <w:t>www.portaldecompraspublicas.com.br</w:t>
        </w:r>
      </w:hyperlink>
      <w:r>
        <w:rPr>
          <w:rFonts w:ascii="Times New Roman" w:eastAsia="Times New Roman" w:hAnsi="Times New Roman" w:cs="Times New Roman"/>
          <w:sz w:val="24"/>
          <w:szCs w:val="24"/>
        </w:rPr>
        <w:t>.</w:t>
      </w:r>
    </w:p>
    <w:p w14:paraId="06FDD34C"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 O credenciamento deverá ser realizado diretamente no Portal de Compras Públicas, observadas as regras, prazos e condições estabelecidos pelo próprio sistema eletrônico e por este Edital.</w:t>
      </w:r>
    </w:p>
    <w:p w14:paraId="529FD1F1"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 O credenciamento junto ao provedor do sistema implica a responsabilidade legal do licitante ou de seu representante credenciado, bem como a presunção de capacidade para a prática dos atos inerentes à licitação em ambiente eletrônico.</w:t>
      </w:r>
    </w:p>
    <w:p w14:paraId="5845E164"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 O licitante será exclusiva e formalmente responsável por todas as transações realizadas em seu nome no sistema eletrônico, assumindo como firmes e verdadeiras suas propostas, lances, declarações e demais manifestações, inclusive os atos praticados diretamente ou por intermédio de seu representante.</w:t>
      </w:r>
    </w:p>
    <w:p w14:paraId="0BE4A72D"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 O uso indevido das credenciais de acesso, ainda que por terceiros, será de responsabilidade exclusiva do licitante, não cabendo ao Município de Magé ou ao provedor do sistema qualquer responsabilidade por eventuais danos ou prejuízos decorrentes de sua utilização indevida.</w:t>
      </w:r>
    </w:p>
    <w:p w14:paraId="5DEE27C3"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 É de responsabilidade do licitante conferir a exatidão de seus dados cadastrais no Portal de Compras Públicas e mantê-los atualizados, devendo providenciar imediatamente a correção ou alteração de informações incorretas ou desatualizadas.</w:t>
      </w:r>
    </w:p>
    <w:p w14:paraId="14784972"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 A inobservância do disposto no item anterior poderá ensejar a desclassificação da proposta ou a inabilitação do licitante, quando a inconsistência cadastral comprometer a identificação, a regularidade ou a validade dos atos praticados no certame.</w:t>
      </w:r>
    </w:p>
    <w:p w14:paraId="65A65994" w14:textId="77777777" w:rsidR="00D30A31" w:rsidRDefault="00D30A31">
      <w:pPr>
        <w:pBdr>
          <w:top w:val="nil"/>
          <w:left w:val="nil"/>
          <w:bottom w:val="nil"/>
          <w:right w:val="nil"/>
          <w:between w:val="nil"/>
        </w:pBdr>
        <w:tabs>
          <w:tab w:val="left" w:pos="0"/>
          <w:tab w:val="left" w:pos="588"/>
        </w:tabs>
        <w:spacing w:line="360" w:lineRule="auto"/>
        <w:ind w:right="140"/>
        <w:jc w:val="both"/>
        <w:rPr>
          <w:rFonts w:ascii="Times New Roman" w:eastAsia="Times New Roman" w:hAnsi="Times New Roman" w:cs="Times New Roman"/>
          <w:sz w:val="24"/>
          <w:szCs w:val="24"/>
        </w:rPr>
      </w:pPr>
    </w:p>
    <w:p w14:paraId="39C76153" w14:textId="77777777" w:rsidR="00D30A31" w:rsidRDefault="006B1BAE">
      <w:pPr>
        <w:pStyle w:val="Ttulo1"/>
        <w:numPr>
          <w:ilvl w:val="0"/>
          <w:numId w:val="2"/>
        </w:numPr>
        <w:tabs>
          <w:tab w:val="left" w:pos="372"/>
        </w:tabs>
        <w:spacing w:line="360" w:lineRule="auto"/>
        <w:ind w:left="0" w:firstLine="0"/>
        <w:rPr>
          <w:rFonts w:ascii="Times New Roman" w:eastAsia="Times New Roman" w:hAnsi="Times New Roman" w:cs="Times New Roman"/>
        </w:rPr>
      </w:pPr>
      <w:r>
        <w:rPr>
          <w:rFonts w:ascii="Times New Roman" w:eastAsia="Times New Roman" w:hAnsi="Times New Roman" w:cs="Times New Roman"/>
          <w:sz w:val="24"/>
          <w:szCs w:val="24"/>
          <w:u w:val="single"/>
        </w:rPr>
        <w:t>DA APRESENTAÇÃO DA PROPOSTA E DOS DOCUMENTOS DE HABILITAÇÃO</w:t>
      </w:r>
    </w:p>
    <w:p w14:paraId="30ED8FD6"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7.1. Os licitantes deverão encaminhar, exclusivamente por meio do sistema eletrônico, a proposta e os documentos de habilitação exigidos neste Edital, até a data e o horário estabelecidos para abertura da sessão pública.</w:t>
      </w:r>
    </w:p>
    <w:p w14:paraId="24B3C0B0"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O envio da proposta e dos documentos de habilitação ocorrerá mediante utilização de chave de acesso e senha do licitante ou de seu representante credenciado no Portal de Compras Públicas.</w:t>
      </w:r>
    </w:p>
    <w:p w14:paraId="1EF3DF67"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 As microempresas e empresas de pequeno porte deverão encaminhar toda a documentação exigida para fins de habilitação, inclusive a documentação relativa à regularidade fiscal e trabalhista, ainda que esta apresente alguma restrição, nos termos do art. 43, § 1º, da Lei Complementar Federal nº 123/2006.</w:t>
      </w:r>
    </w:p>
    <w:p w14:paraId="0CCE467E"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Incumbirá ao licitante acompanhar as operações realizadas no sistema eletrônico durante a sessão pública da Concorrência Eletrônica, ficando responsável pelo ônus decorrente da perda de negócios em razão da inobservância de mensagens emitidas pelo sistema, de sua desconexão ou de qualquer falha decorrente de sua própria operação.</w:t>
      </w:r>
    </w:p>
    <w:p w14:paraId="6072FB9B"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 Até a abertura da sessão pública, os licitantes poderão retirar, substituir ou complementar a proposta e os documentos de habilitação anteriormente inseridos no sistema.</w:t>
      </w:r>
    </w:p>
    <w:p w14:paraId="362B4D1D"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 Nesta etapa inicial, não será estabelecida ordem de classificação entre as propostas apresentadas, o que somente ocorrerá após a abertura da sessão pública, a etapa competitiva, a negociação, quando cabível, e o julgamento da proposta, na forma prevista neste Edital.</w:t>
      </w:r>
    </w:p>
    <w:p w14:paraId="363A2947"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 Os documentos que compõem a proposta e a habilitação do licitante melhor classificado somente serão disponibilizados para análise do Agente de Contratação, da equipe de apoio e para acesso público após o encerramento da etapa de lances, observadas as funcionalidades do sistema eletrônico e as disposições deste Edital.</w:t>
      </w:r>
    </w:p>
    <w:p w14:paraId="704E572A" w14:textId="77777777" w:rsidR="00D30A31" w:rsidRDefault="006B1BAE">
      <w:pPr>
        <w:pBdr>
          <w:top w:val="nil"/>
          <w:left w:val="nil"/>
          <w:bottom w:val="nil"/>
          <w:right w:val="nil"/>
          <w:between w:val="nil"/>
        </w:pBdr>
        <w:tabs>
          <w:tab w:val="left" w:pos="570"/>
        </w:tabs>
        <w:spacing w:line="360" w:lineRule="auto"/>
        <w:ind w:right="15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sz w:val="24"/>
          <w:szCs w:val="24"/>
        </w:rPr>
        <w:t xml:space="preserve">7.8. </w:t>
      </w:r>
      <w:r>
        <w:rPr>
          <w:rFonts w:ascii="Times New Roman" w:eastAsia="Times New Roman" w:hAnsi="Times New Roman" w:cs="Times New Roman"/>
          <w:b/>
          <w:bCs/>
          <w:color w:val="000000"/>
          <w:sz w:val="24"/>
          <w:szCs w:val="24"/>
        </w:rPr>
        <w:t>DA GARANTIA DA PROPOSTA</w:t>
      </w:r>
    </w:p>
    <w:p w14:paraId="0872E650"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7.8.1. Será exigida </w:t>
      </w:r>
      <w:r>
        <w:rPr>
          <w:rFonts w:ascii="Times New Roman" w:eastAsia="Times New Roman" w:hAnsi="Times New Roman" w:cs="Times New Roman"/>
          <w:b/>
          <w:bCs/>
          <w:sz w:val="24"/>
          <w:szCs w:val="24"/>
        </w:rPr>
        <w:t>GARANTIA DE PROPOSTA</w:t>
      </w:r>
      <w:r>
        <w:rPr>
          <w:rFonts w:ascii="Times New Roman" w:eastAsia="Times New Roman" w:hAnsi="Times New Roman" w:cs="Times New Roman"/>
          <w:sz w:val="24"/>
          <w:szCs w:val="24"/>
        </w:rPr>
        <w:t xml:space="preserve">, nos termos do art. 58 da Lei Federal nº 14.133/2021, no percentual de </w:t>
      </w:r>
      <w:r>
        <w:rPr>
          <w:rFonts w:ascii="Times New Roman" w:eastAsia="Times New Roman" w:hAnsi="Times New Roman" w:cs="Times New Roman"/>
          <w:b/>
          <w:bCs/>
          <w:sz w:val="24"/>
          <w:szCs w:val="24"/>
        </w:rPr>
        <w:t>1% DO VALOR ESTIMADO DA CONTRATAÇÃO</w:t>
      </w:r>
      <w:r>
        <w:rPr>
          <w:rFonts w:ascii="Times New Roman" w:eastAsia="Times New Roman" w:hAnsi="Times New Roman" w:cs="Times New Roman"/>
          <w:sz w:val="24"/>
          <w:szCs w:val="24"/>
        </w:rPr>
        <w:t xml:space="preserve">, correspondente a </w:t>
      </w:r>
      <w:r>
        <w:rPr>
          <w:rFonts w:ascii="Times New Roman" w:eastAsia="Times New Roman" w:hAnsi="Times New Roman" w:cs="Times New Roman"/>
          <w:b/>
          <w:bCs/>
          <w:sz w:val="24"/>
          <w:szCs w:val="24"/>
        </w:rPr>
        <w:t>R$ 40.796,93 (quarenta mil, setecentos e noventa e seis reais e noventa e três centavos)</w:t>
      </w:r>
      <w:r>
        <w:rPr>
          <w:rFonts w:ascii="Times New Roman" w:eastAsia="Times New Roman" w:hAnsi="Times New Roman" w:cs="Times New Roman"/>
          <w:sz w:val="24"/>
          <w:szCs w:val="24"/>
        </w:rPr>
        <w:t>.</w:t>
      </w:r>
    </w:p>
    <w:p w14:paraId="3AFA4EE0"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7.8.2. A garantia de proposta deverá ser apresentada por todos os licitantes juntamente com a proposta inicial, até a data e o horário limite estabelecidos para cadastramento da proposta no sistema eletrônico.</w:t>
      </w:r>
    </w:p>
    <w:p w14:paraId="2FB0A99D"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7.8.3. A garantia de proposta poderá ser prestada em uma das modalidades previstas no art. 96, § 1º, da Lei Federal nº 14.133/2021, a critério do licitante, quais sejam:</w:t>
      </w:r>
    </w:p>
    <w:p w14:paraId="2767B564"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0A6907F"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seguro-garantia;</w:t>
      </w:r>
    </w:p>
    <w:p w14:paraId="210249CE"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fiança bancária emitida por banco ou instituição financeira devidamente autorizada a operar no País pelo Banco Central do Brasil;</w:t>
      </w:r>
    </w:p>
    <w:p w14:paraId="6FD62C5D"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título de capitalização custeado por pagamento único, com resgate pelo valor total, emitido por sociedade de capitalização devidamente autorizada a funcionar no País.</w:t>
      </w:r>
    </w:p>
    <w:p w14:paraId="0670E566"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7.8.4. A ausência de apresentação da garantia de proposta, sua apresentação em valor inferior ao exigido, com prazo de validade insuficiente ou em desconformidade com as condições previstas neste Edital, acarretará a desclassificação da proposta do licitante.</w:t>
      </w:r>
    </w:p>
    <w:p w14:paraId="341D260A"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7.8.5. A garantia de proposta deverá ter validade mínima de 90 (noventa) dias, contados da data de abertura da sessão pública.</w:t>
      </w:r>
    </w:p>
    <w:p w14:paraId="5D491902"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7.8.6. Na hipótese de prestação da garantia na modalidade caução em dinheiro, a solicitação das informações necessárias para recolhimento deverá ser realizada pelo e-mail fazenda@mage.rj.gov.br, devendo o licitante informar todos os dados necessários à correta identificação da empresa e do certame.</w:t>
      </w:r>
    </w:p>
    <w:p w14:paraId="58515796"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7.8.7. A Administração não se responsabilizará por informações prestadas incorretamente pelo licitante, por solicitações encaminhadas a e-mail diverso daquele indicado neste Edital ou por requerimentos realizados sem tempo hábil para análise e emissão das orientações necessárias ao recolhimento da garantia.</w:t>
      </w:r>
    </w:p>
    <w:p w14:paraId="439A0AFB" w14:textId="77777777" w:rsidR="00D30A31" w:rsidRDefault="006B1BAE">
      <w:pPr>
        <w:tabs>
          <w:tab w:val="left" w:pos="776"/>
        </w:tabs>
        <w:spacing w:before="240" w:after="240" w:line="360" w:lineRule="auto"/>
        <w:jc w:val="both"/>
        <w:rPr>
          <w:rFonts w:ascii="Times New Roman" w:eastAsia="Times New Roman" w:hAnsi="Times New Roman" w:cs="Times New Roman"/>
          <w:sz w:val="24"/>
          <w:szCs w:val="24"/>
        </w:rPr>
      </w:pPr>
      <w:bookmarkStart w:id="4" w:name="_eon5xbjwvspd" w:colFirst="0" w:colLast="0"/>
      <w:bookmarkEnd w:id="4"/>
      <w:r>
        <w:rPr>
          <w:rFonts w:ascii="Times New Roman" w:eastAsia="Times New Roman" w:hAnsi="Times New Roman" w:cs="Times New Roman"/>
          <w:sz w:val="24"/>
          <w:szCs w:val="24"/>
        </w:rPr>
        <w:t xml:space="preserve">7.8.8. A garantia de proposta será devolvida aos licitantes no prazo de 10 (dez) dias úteis, contado da </w:t>
      </w:r>
      <w:r>
        <w:rPr>
          <w:rFonts w:ascii="Times New Roman" w:eastAsia="Times New Roman" w:hAnsi="Times New Roman" w:cs="Times New Roman"/>
          <w:sz w:val="24"/>
          <w:szCs w:val="24"/>
        </w:rPr>
        <w:lastRenderedPageBreak/>
        <w:t>assinatura do contrato ou da data em que for declarada fracassada ou revogada a licitação, observadas as regras aplicáveis à modalidade de garantia apresentada.</w:t>
      </w:r>
    </w:p>
    <w:p w14:paraId="07A411D5"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 HABILITAÇÃO</w:t>
      </w:r>
    </w:p>
    <w:p w14:paraId="3C4CD944"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7.9.1. Para fins de habilitação, serão exigidos os documentos necessários e suficientes à demonstração da capacidade do licitante para executar o objeto da licitação, abrangendo a habilitação jurídica, fiscal, social, trabalhista, técnica e econômico-financeira, nos termos dos arts. 62 a 70 da Lei Federal nº 14.133/2021, deste Edital e de seus anexos, especialmente do Projeto Básico.</w:t>
      </w:r>
    </w:p>
    <w:p w14:paraId="6B37EB14" w14:textId="77777777" w:rsidR="00D30A31" w:rsidRDefault="00D30A31">
      <w:pPr>
        <w:pStyle w:val="Ttulo1"/>
        <w:tabs>
          <w:tab w:val="left" w:pos="566"/>
        </w:tabs>
        <w:ind w:left="0"/>
        <w:jc w:val="both"/>
        <w:rPr>
          <w:rFonts w:ascii="Times New Roman" w:eastAsia="Times New Roman" w:hAnsi="Times New Roman" w:cs="Times New Roman"/>
          <w:sz w:val="24"/>
          <w:szCs w:val="24"/>
        </w:rPr>
      </w:pPr>
    </w:p>
    <w:p w14:paraId="5B425540" w14:textId="77777777" w:rsidR="00D30A31" w:rsidRDefault="006B1BAE">
      <w:pPr>
        <w:pBdr>
          <w:top w:val="nil"/>
          <w:left w:val="nil"/>
          <w:bottom w:val="nil"/>
          <w:right w:val="nil"/>
          <w:between w:val="nil"/>
        </w:pBdr>
        <w:tabs>
          <w:tab w:val="left" w:pos="758"/>
        </w:tabs>
        <w:ind w:right="153"/>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sz w:val="24"/>
          <w:szCs w:val="24"/>
          <w:u w:val="single"/>
        </w:rPr>
        <w:t xml:space="preserve">7.9.2. </w:t>
      </w:r>
      <w:r>
        <w:rPr>
          <w:rFonts w:ascii="Times New Roman" w:eastAsia="Times New Roman" w:hAnsi="Times New Roman" w:cs="Times New Roman"/>
          <w:b/>
          <w:bCs/>
          <w:color w:val="000000"/>
          <w:sz w:val="24"/>
          <w:szCs w:val="24"/>
          <w:u w:val="single"/>
        </w:rPr>
        <w:t>HABILITAÇÃO JURÍDICA</w:t>
      </w:r>
    </w:p>
    <w:p w14:paraId="1ACD632D" w14:textId="77777777" w:rsidR="00D30A31" w:rsidRDefault="00D30A31">
      <w:pPr>
        <w:pBdr>
          <w:top w:val="nil"/>
          <w:left w:val="nil"/>
          <w:bottom w:val="nil"/>
          <w:right w:val="nil"/>
          <w:between w:val="nil"/>
        </w:pBdr>
        <w:tabs>
          <w:tab w:val="left" w:pos="758"/>
        </w:tabs>
        <w:ind w:right="153"/>
        <w:jc w:val="both"/>
        <w:rPr>
          <w:rFonts w:ascii="Times New Roman" w:eastAsia="Times New Roman" w:hAnsi="Times New Roman" w:cs="Times New Roman"/>
          <w:b/>
          <w:bCs/>
          <w:color w:val="000000"/>
          <w:sz w:val="24"/>
          <w:szCs w:val="24"/>
          <w:u w:val="single"/>
        </w:rPr>
      </w:pPr>
    </w:p>
    <w:p w14:paraId="5462708A" w14:textId="77777777" w:rsidR="00D30A31" w:rsidRDefault="006B1BAE">
      <w:pP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7.9.2.1. Para fins de comprovação da habilitação jurídica, o licitante deverá apresentar, conforme sua natureza jurídica:</w:t>
      </w:r>
    </w:p>
    <w:p w14:paraId="5F844B01" w14:textId="77777777" w:rsidR="00D30A31" w:rsidRDefault="006B1BAE">
      <w:pP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no caso de empresário individual, inscrição no Registro Público de Empresas Mercantis, a cargo da Junta Comercial da respectiva sede;</w:t>
      </w:r>
    </w:p>
    <w:p w14:paraId="713E3C47" w14:textId="77777777" w:rsidR="00D30A31" w:rsidRDefault="006B1BAE">
      <w:pP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no caso de sociedade empresária, sociedade limitada unipessoal ou empresa individual de responsabilidade limitada - EIRELI, ato constitutivo, estatuto ou contrato social em vigor, devidamente registrado na Junta Comercial da respectiva sede, acompanhado de documento comprobatório de seus administradores;</w:t>
      </w:r>
    </w:p>
    <w:p w14:paraId="7B9B649A" w14:textId="77777777" w:rsidR="00D30A31" w:rsidRDefault="006B1BAE">
      <w:pP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no caso de administradores eventualmente designados em ato separado do contrato social ou estatuto, prova da respectiva investidura, mediante termo de posse, ata, alteração contratual ou outro documento equivalente, devidamente registrado ou averbado no órgão competente, quando exigido pela legislação aplicável;</w:t>
      </w:r>
    </w:p>
    <w:p w14:paraId="136F6F0B" w14:textId="77777777" w:rsidR="00D30A31" w:rsidRDefault="006B1BAE">
      <w:pP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no caso de sucursal, filial ou agência, inscrição no Registro Público de Empresas Mercantis onde opera, com averbação no registro da sede da matriz;</w:t>
      </w:r>
    </w:p>
    <w:p w14:paraId="3503BFA8" w14:textId="77777777" w:rsidR="00D30A31" w:rsidRDefault="006B1BAE">
      <w:pP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no caso de sociedade simples, inscrição do ato constitutivo no Registro Civil das Pessoas Jurídicas do local de sua sede, acompanhada de prova da indicação de seus administradores;</w:t>
      </w:r>
    </w:p>
    <w:p w14:paraId="6BDC4E85" w14:textId="77777777" w:rsidR="00D30A31" w:rsidRDefault="006B1BAE">
      <w:pP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 no caso de sociedade empresária estrangeira em funcionamento no País, decreto de autorização e </w:t>
      </w:r>
      <w:r>
        <w:rPr>
          <w:rFonts w:ascii="Times New Roman" w:eastAsia="Times New Roman" w:hAnsi="Times New Roman" w:cs="Times New Roman"/>
          <w:sz w:val="24"/>
          <w:szCs w:val="24"/>
        </w:rPr>
        <w:lastRenderedPageBreak/>
        <w:t>ato de registro ou autorização para funcionamento expedido pelo órgão competente, quando a atividade assim o exigir.</w:t>
      </w:r>
    </w:p>
    <w:p w14:paraId="7DBD30E2" w14:textId="77777777" w:rsidR="00D30A31" w:rsidRDefault="006B1BAE">
      <w:pP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7.9.2.2. Os documentos de habilitação jurídica deverão estar acompanhados de todas as alterações posteriores ou da respectiva consolidação vigente.</w:t>
      </w:r>
    </w:p>
    <w:p w14:paraId="5E0955F2" w14:textId="77777777" w:rsidR="00D30A31" w:rsidRDefault="006B1BAE">
      <w:pP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7.9.2.3. Deverão ser apresentados, ainda, os documentos de identificação dos representantes legais ou administradores da licitante, quando necessários à verificação da regularidade da representação no certame.</w:t>
      </w:r>
    </w:p>
    <w:p w14:paraId="27330AE5"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7.9.3. DA HABILITAÇÃO FISCAL, SOCIAL E TRABALHISTA</w:t>
      </w:r>
    </w:p>
    <w:p w14:paraId="6C35AED5"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7.9.3.1. Para fins de comprovação da habilitação fiscal, social e trabalhista, o licitante deverá apresentar:</w:t>
      </w:r>
    </w:p>
    <w:p w14:paraId="628111B2"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prova de inscrição no Cadastro Nacional da Pessoa Jurídica - CNPJ;</w:t>
      </w:r>
    </w:p>
    <w:p w14:paraId="0C90BE4C"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prova de inscrição no cadastro de contribuintes estadual e/ou municipal, conforme o caso, relativo ao domicílio ou sede do licitante, pertinente ao seu ramo de atividade e compatível com o objeto contratual;</w:t>
      </w:r>
    </w:p>
    <w:p w14:paraId="27E11AEA"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prova de regularidade perante a Fazenda Federal e a Dívida Ativa da União, mediante apresentação de certidão negativa ou certidão positiva com efeitos de negativa relativa a tributos federais e à dívida ativa da União;</w:t>
      </w:r>
    </w:p>
    <w:p w14:paraId="01D24A6B"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prova de regularidade perante a Fazenda Estadual do domicílio ou sede do licitante, quando aplicável, mediante apresentação de certidão negativa ou certidão positiva com efeitos de negativa relativa aos tributos estaduais e à dívida ativa estadual;</w:t>
      </w:r>
    </w:p>
    <w:p w14:paraId="7B7DA251"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prova de regularidade perante a Fazenda Municipal do domicílio ou sede do licitante, mediante apresentação de certidão negativa ou certidão positiva com efeitos de negativa relativa aos tributos municipais;</w:t>
      </w:r>
    </w:p>
    <w:p w14:paraId="1DC8E728"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 prova de regularidade perante o Fundo de Garantia do Tempo de Serviço - FGTS, mediante apresentação do Certificado de Regularidade do FGTS, expedido pela Caixa Econômica Federal;</w:t>
      </w:r>
    </w:p>
    <w:p w14:paraId="3F5898F6"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VII - prova de inexistência de débitos inadimplidos perante a Justiça do Trabalho, mediante apresentação de Certidão Negativa de Débitos Trabalhistas - CNDT, ou certidão positiva com efeitos de negativa, nos termos da legislação aplicável.</w:t>
      </w:r>
    </w:p>
    <w:p w14:paraId="44F0EE62"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7.9.3.2. As microempresas e empresas de pequeno porte deverão apresentar toda a documentação exigida para fins de regularidade fiscal e trabalhista, ainda que haja alguma restrição, hipótese em que será assegurado o prazo legal para regularização, nos termos da Lei Complementar Federal nº 123/2006.</w:t>
      </w:r>
    </w:p>
    <w:p w14:paraId="69F5F759"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7.9.4. DA QUALIFICAÇÃO TÉCNICA</w:t>
      </w:r>
    </w:p>
    <w:p w14:paraId="1C1EF1B1"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7.9.4.1. Para fins de comprovação da qualificação técnica, o licitante deverá apresentar registro ou inscrição da empresa no Conselho Regional de Engenharia e Agronomia - CREA e/ou no Conselho de Arquitetura e Urbanismo - CAU, em plena validade, conforme as áreas de atuação compatíveis com o objeto licitado e com as atividades previstas no Projeto Básico.</w:t>
      </w:r>
    </w:p>
    <w:p w14:paraId="6A2ADD67"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7.9.4.2. A Certidão de Registro de Pessoa Jurídica expedida pelo CREA e/ou CAU deverá indicar a existência de responsável técnico habilitado, com atribuição compatível com a execução de obra ou serviço de engenharia de natureza semelhante ao objeto da presente contratação.</w:t>
      </w:r>
    </w:p>
    <w:p w14:paraId="097CAAE9"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7.9.4.3. DA CAPACIDADE TÉCNICO-OPERACIONAL</w:t>
      </w:r>
    </w:p>
    <w:p w14:paraId="0EB5751B"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7.9.4.3.1. Para comprovação da capacidade técnico-operacional, o licitante deverá apresentar um ou mais atestados de capacidade técnica, emitidos por pessoa jurídica de direito público ou privado, devidamente identificada, em nome da empresa licitante, que comprovem a execução anterior de obra ou serviço de engenharia compatível em características, quantidades e prazos com o objeto desta licitação.</w:t>
      </w:r>
    </w:p>
    <w:p w14:paraId="625A32B8"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7.9.4.3.2. Os atestados deverão demonstrar a execução de serviços compatíveis com as parcelas de maior relevância técnica e valor significativo do objeto, admitido o somatório de atestados para comprovação dos quantitativos mínimos exigidos, desde que os serviços tenham natureza compatível com o objeto licitado.</w:t>
      </w:r>
    </w:p>
    <w:p w14:paraId="3958B99A"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7.9.4.3.3. Para fins de comprovação da capacidade técnico-operacional, serão consideradas parcelas de maior relevância técnica e valor significativo:</w:t>
      </w:r>
    </w:p>
    <w:tbl>
      <w:tblPr>
        <w:tblStyle w:val="a"/>
        <w:tblW w:w="6703" w:type="dxa"/>
        <w:tblInd w:w="1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19"/>
        <w:gridCol w:w="709"/>
        <w:gridCol w:w="2059"/>
        <w:gridCol w:w="16"/>
      </w:tblGrid>
      <w:tr w:rsidR="00D30A31" w14:paraId="575FD053" w14:textId="77777777">
        <w:tc>
          <w:tcPr>
            <w:tcW w:w="6703" w:type="dxa"/>
            <w:gridSpan w:val="4"/>
          </w:tcPr>
          <w:p w14:paraId="1BD50CFC" w14:textId="77777777" w:rsidR="00D30A31" w:rsidRDefault="006B1BAE">
            <w:pPr>
              <w:widowControl w:val="0"/>
              <w:pBdr>
                <w:top w:val="nil"/>
                <w:left w:val="nil"/>
                <w:bottom w:val="nil"/>
                <w:right w:val="nil"/>
                <w:between w:val="nil"/>
              </w:pBdr>
              <w:spacing w:line="276" w:lineRule="auto"/>
              <w:jc w:val="center"/>
              <w:rPr>
                <w:color w:val="000000"/>
                <w:sz w:val="24"/>
                <w:szCs w:val="24"/>
                <w:highlight w:val="yellow"/>
              </w:rPr>
            </w:pPr>
            <w:r>
              <w:rPr>
                <w:color w:val="000000"/>
                <w:sz w:val="24"/>
                <w:szCs w:val="24"/>
              </w:rPr>
              <w:lastRenderedPageBreak/>
              <w:t>PARCELA DE MAIOR RELEVÂNCIA</w:t>
            </w:r>
          </w:p>
        </w:tc>
      </w:tr>
      <w:tr w:rsidR="00D30A31" w14:paraId="65BD50ED" w14:textId="77777777">
        <w:trPr>
          <w:gridAfter w:val="1"/>
        </w:trPr>
        <w:tc>
          <w:tcPr>
            <w:tcW w:w="3919" w:type="dxa"/>
          </w:tcPr>
          <w:p w14:paraId="11C7E383" w14:textId="77777777" w:rsidR="00D30A31" w:rsidRDefault="006B1BAE">
            <w:pPr>
              <w:widowControl w:val="0"/>
              <w:pBdr>
                <w:top w:val="nil"/>
                <w:left w:val="nil"/>
                <w:bottom w:val="nil"/>
                <w:right w:val="nil"/>
                <w:between w:val="nil"/>
              </w:pBdr>
              <w:spacing w:line="276" w:lineRule="auto"/>
              <w:jc w:val="both"/>
              <w:rPr>
                <w:color w:val="000000"/>
                <w:sz w:val="24"/>
                <w:szCs w:val="24"/>
              </w:rPr>
            </w:pPr>
            <w:r>
              <w:rPr>
                <w:color w:val="000000"/>
                <w:sz w:val="24"/>
                <w:szCs w:val="24"/>
              </w:rPr>
              <w:t>Estaca hélice contínua, diâmetro de 30cm, incluso concreto fck=30MPA e Armadura  (exclusive bombeamento mobilização e desmobilização).</w:t>
            </w:r>
          </w:p>
        </w:tc>
        <w:tc>
          <w:tcPr>
            <w:tcW w:w="709" w:type="dxa"/>
          </w:tcPr>
          <w:p w14:paraId="3C6FC685" w14:textId="77777777" w:rsidR="00D30A31" w:rsidRDefault="006B1BAE">
            <w:pPr>
              <w:widowControl w:val="0"/>
              <w:pBdr>
                <w:top w:val="nil"/>
                <w:left w:val="nil"/>
                <w:bottom w:val="nil"/>
                <w:right w:val="nil"/>
                <w:between w:val="nil"/>
              </w:pBdr>
              <w:spacing w:line="276" w:lineRule="auto"/>
              <w:jc w:val="center"/>
              <w:rPr>
                <w:color w:val="000000"/>
                <w:sz w:val="24"/>
                <w:szCs w:val="24"/>
              </w:rPr>
            </w:pPr>
            <w:r>
              <w:rPr>
                <w:color w:val="000000"/>
                <w:sz w:val="24"/>
                <w:szCs w:val="24"/>
              </w:rPr>
              <w:t>m</w:t>
            </w:r>
          </w:p>
          <w:p w14:paraId="271FC36B" w14:textId="77777777" w:rsidR="00D30A31" w:rsidRDefault="00D30A31">
            <w:pPr>
              <w:widowControl w:val="0"/>
              <w:pBdr>
                <w:top w:val="nil"/>
                <w:left w:val="nil"/>
                <w:bottom w:val="nil"/>
                <w:right w:val="nil"/>
                <w:between w:val="nil"/>
              </w:pBdr>
              <w:spacing w:line="276" w:lineRule="auto"/>
              <w:jc w:val="center"/>
              <w:rPr>
                <w:color w:val="000000"/>
                <w:sz w:val="24"/>
                <w:szCs w:val="24"/>
              </w:rPr>
            </w:pPr>
          </w:p>
        </w:tc>
        <w:tc>
          <w:tcPr>
            <w:tcW w:w="2059" w:type="dxa"/>
          </w:tcPr>
          <w:p w14:paraId="0898B751" w14:textId="77777777" w:rsidR="00D30A31" w:rsidRDefault="006B1BAE">
            <w:pPr>
              <w:widowControl w:val="0"/>
              <w:pBdr>
                <w:top w:val="nil"/>
                <w:left w:val="nil"/>
                <w:bottom w:val="nil"/>
                <w:right w:val="nil"/>
                <w:between w:val="nil"/>
              </w:pBdr>
              <w:spacing w:line="276" w:lineRule="auto"/>
              <w:jc w:val="right"/>
              <w:rPr>
                <w:color w:val="000000"/>
                <w:sz w:val="24"/>
                <w:szCs w:val="24"/>
              </w:rPr>
            </w:pPr>
            <w:r>
              <w:rPr>
                <w:color w:val="000000"/>
                <w:sz w:val="24"/>
                <w:szCs w:val="24"/>
              </w:rPr>
              <w:t>360</w:t>
            </w:r>
          </w:p>
        </w:tc>
      </w:tr>
      <w:tr w:rsidR="00D30A31" w14:paraId="3A971D14" w14:textId="77777777">
        <w:trPr>
          <w:gridAfter w:val="1"/>
          <w:trHeight w:val="720"/>
        </w:trPr>
        <w:tc>
          <w:tcPr>
            <w:tcW w:w="3919" w:type="dxa"/>
          </w:tcPr>
          <w:p w14:paraId="2AD67E46" w14:textId="77777777" w:rsidR="00D30A31" w:rsidRDefault="006B1BAE">
            <w:pPr>
              <w:widowControl w:val="0"/>
              <w:pBdr>
                <w:top w:val="nil"/>
                <w:left w:val="nil"/>
                <w:bottom w:val="nil"/>
                <w:right w:val="nil"/>
                <w:between w:val="nil"/>
              </w:pBdr>
              <w:spacing w:line="276" w:lineRule="auto"/>
              <w:jc w:val="both"/>
              <w:rPr>
                <w:color w:val="000000"/>
                <w:sz w:val="24"/>
                <w:szCs w:val="24"/>
              </w:rPr>
            </w:pPr>
            <w:r>
              <w:rPr>
                <w:color w:val="000000"/>
                <w:sz w:val="24"/>
                <w:szCs w:val="24"/>
              </w:rPr>
              <w:t>Laje pre-moldada beta 12, para sobrecarga de 3,4 KN vão de 4,10m</w:t>
            </w:r>
          </w:p>
          <w:p w14:paraId="01B705AC" w14:textId="77777777" w:rsidR="00D30A31" w:rsidRDefault="00D30A31">
            <w:pPr>
              <w:widowControl w:val="0"/>
              <w:pBdr>
                <w:top w:val="nil"/>
                <w:left w:val="nil"/>
                <w:bottom w:val="nil"/>
                <w:right w:val="nil"/>
                <w:between w:val="nil"/>
              </w:pBdr>
              <w:spacing w:line="276" w:lineRule="auto"/>
              <w:jc w:val="both"/>
              <w:rPr>
                <w:color w:val="000000"/>
                <w:sz w:val="24"/>
                <w:szCs w:val="24"/>
              </w:rPr>
            </w:pPr>
          </w:p>
        </w:tc>
        <w:tc>
          <w:tcPr>
            <w:tcW w:w="709" w:type="dxa"/>
          </w:tcPr>
          <w:p w14:paraId="65613A79" w14:textId="77777777" w:rsidR="00D30A31" w:rsidRDefault="006B1BAE">
            <w:pPr>
              <w:widowControl w:val="0"/>
              <w:pBdr>
                <w:top w:val="nil"/>
                <w:left w:val="nil"/>
                <w:bottom w:val="nil"/>
                <w:right w:val="nil"/>
                <w:between w:val="nil"/>
              </w:pBdr>
              <w:spacing w:line="276" w:lineRule="auto"/>
              <w:jc w:val="center"/>
              <w:rPr>
                <w:color w:val="000000"/>
                <w:sz w:val="24"/>
                <w:szCs w:val="24"/>
              </w:rPr>
            </w:pPr>
            <w:r>
              <w:rPr>
                <w:color w:val="000000"/>
                <w:sz w:val="24"/>
                <w:szCs w:val="24"/>
              </w:rPr>
              <w:t>m²</w:t>
            </w:r>
          </w:p>
        </w:tc>
        <w:tc>
          <w:tcPr>
            <w:tcW w:w="2059" w:type="dxa"/>
          </w:tcPr>
          <w:p w14:paraId="5E0D2D7E" w14:textId="77777777" w:rsidR="00D30A31" w:rsidRDefault="006B1BAE">
            <w:pPr>
              <w:widowControl w:val="0"/>
              <w:pBdr>
                <w:top w:val="nil"/>
                <w:left w:val="nil"/>
                <w:bottom w:val="nil"/>
                <w:right w:val="nil"/>
                <w:between w:val="nil"/>
              </w:pBdr>
              <w:spacing w:line="276" w:lineRule="auto"/>
              <w:jc w:val="right"/>
              <w:rPr>
                <w:color w:val="000000"/>
                <w:sz w:val="24"/>
                <w:szCs w:val="24"/>
              </w:rPr>
            </w:pPr>
            <w:r>
              <w:rPr>
                <w:color w:val="000000"/>
                <w:sz w:val="24"/>
                <w:szCs w:val="24"/>
              </w:rPr>
              <w:t>356</w:t>
            </w:r>
          </w:p>
        </w:tc>
      </w:tr>
      <w:tr w:rsidR="00D30A31" w14:paraId="3953D6EC" w14:textId="77777777">
        <w:trPr>
          <w:gridAfter w:val="1"/>
          <w:trHeight w:val="765"/>
        </w:trPr>
        <w:tc>
          <w:tcPr>
            <w:tcW w:w="3919" w:type="dxa"/>
          </w:tcPr>
          <w:p w14:paraId="52436E18" w14:textId="77777777" w:rsidR="00D30A31" w:rsidRDefault="006B1BAE">
            <w:pPr>
              <w:widowControl w:val="0"/>
              <w:pBdr>
                <w:top w:val="nil"/>
                <w:left w:val="nil"/>
                <w:bottom w:val="nil"/>
                <w:right w:val="nil"/>
                <w:between w:val="nil"/>
              </w:pBdr>
              <w:spacing w:line="276" w:lineRule="auto"/>
              <w:jc w:val="both"/>
              <w:rPr>
                <w:color w:val="000000"/>
                <w:sz w:val="24"/>
                <w:szCs w:val="24"/>
              </w:rPr>
            </w:pPr>
            <w:r>
              <w:rPr>
                <w:color w:val="000000"/>
                <w:sz w:val="24"/>
                <w:szCs w:val="24"/>
              </w:rPr>
              <w:t xml:space="preserve">Pintura com tinta acrílica acetinada, para uso hospitalar. </w:t>
            </w:r>
          </w:p>
          <w:p w14:paraId="7FE362C9" w14:textId="77777777" w:rsidR="00D30A31" w:rsidRDefault="00D30A31">
            <w:pPr>
              <w:widowControl w:val="0"/>
              <w:pBdr>
                <w:top w:val="nil"/>
                <w:left w:val="nil"/>
                <w:bottom w:val="nil"/>
                <w:right w:val="nil"/>
                <w:between w:val="nil"/>
              </w:pBdr>
              <w:spacing w:line="276" w:lineRule="auto"/>
              <w:jc w:val="both"/>
              <w:rPr>
                <w:color w:val="000000"/>
                <w:sz w:val="24"/>
                <w:szCs w:val="24"/>
              </w:rPr>
            </w:pPr>
          </w:p>
        </w:tc>
        <w:tc>
          <w:tcPr>
            <w:tcW w:w="709" w:type="dxa"/>
          </w:tcPr>
          <w:p w14:paraId="5151B194" w14:textId="77777777" w:rsidR="00D30A31" w:rsidRDefault="006B1BAE">
            <w:pPr>
              <w:widowControl w:val="0"/>
              <w:pBdr>
                <w:top w:val="nil"/>
                <w:left w:val="nil"/>
                <w:bottom w:val="nil"/>
                <w:right w:val="nil"/>
                <w:between w:val="nil"/>
              </w:pBdr>
              <w:spacing w:line="276" w:lineRule="auto"/>
              <w:jc w:val="center"/>
              <w:rPr>
                <w:color w:val="000000"/>
                <w:sz w:val="24"/>
                <w:szCs w:val="24"/>
              </w:rPr>
            </w:pPr>
            <w:r>
              <w:rPr>
                <w:color w:val="000000"/>
                <w:sz w:val="24"/>
                <w:szCs w:val="24"/>
              </w:rPr>
              <w:t>m²</w:t>
            </w:r>
          </w:p>
        </w:tc>
        <w:tc>
          <w:tcPr>
            <w:tcW w:w="2059" w:type="dxa"/>
          </w:tcPr>
          <w:p w14:paraId="46165EA5" w14:textId="77777777" w:rsidR="00D30A31" w:rsidRDefault="006B1BAE">
            <w:pPr>
              <w:widowControl w:val="0"/>
              <w:pBdr>
                <w:top w:val="nil"/>
                <w:left w:val="nil"/>
                <w:bottom w:val="nil"/>
                <w:right w:val="nil"/>
                <w:between w:val="nil"/>
              </w:pBdr>
              <w:spacing w:line="276" w:lineRule="auto"/>
              <w:jc w:val="right"/>
              <w:rPr>
                <w:color w:val="000000"/>
                <w:sz w:val="24"/>
                <w:szCs w:val="24"/>
              </w:rPr>
            </w:pPr>
            <w:r>
              <w:rPr>
                <w:color w:val="000000"/>
                <w:sz w:val="24"/>
                <w:szCs w:val="24"/>
              </w:rPr>
              <w:t>1.027</w:t>
            </w:r>
          </w:p>
          <w:p w14:paraId="6339BEA6" w14:textId="77777777" w:rsidR="00D30A31" w:rsidRDefault="00D30A31">
            <w:pPr>
              <w:rPr>
                <w:sz w:val="24"/>
                <w:szCs w:val="24"/>
              </w:rPr>
            </w:pPr>
          </w:p>
        </w:tc>
      </w:tr>
      <w:tr w:rsidR="00D30A31" w14:paraId="689576D0" w14:textId="77777777">
        <w:trPr>
          <w:gridAfter w:val="1"/>
          <w:trHeight w:val="579"/>
        </w:trPr>
        <w:tc>
          <w:tcPr>
            <w:tcW w:w="3919" w:type="dxa"/>
          </w:tcPr>
          <w:p w14:paraId="6068F5CC" w14:textId="77777777" w:rsidR="00D30A31" w:rsidRDefault="006B1BAE">
            <w:pPr>
              <w:widowControl w:val="0"/>
              <w:pBdr>
                <w:top w:val="nil"/>
                <w:left w:val="nil"/>
                <w:bottom w:val="nil"/>
                <w:right w:val="nil"/>
                <w:between w:val="nil"/>
              </w:pBdr>
              <w:spacing w:line="276" w:lineRule="auto"/>
              <w:jc w:val="both"/>
              <w:rPr>
                <w:color w:val="000000"/>
                <w:sz w:val="24"/>
                <w:szCs w:val="24"/>
              </w:rPr>
            </w:pPr>
            <w:r>
              <w:rPr>
                <w:color w:val="000000"/>
                <w:sz w:val="24"/>
                <w:szCs w:val="24"/>
              </w:rPr>
              <w:t>Emboço, em argamassa traço 1:2:8, preparo manual, aplicado manualmente</w:t>
            </w:r>
          </w:p>
          <w:p w14:paraId="35AA79B0" w14:textId="77777777" w:rsidR="00D30A31" w:rsidRDefault="00D30A31">
            <w:pPr>
              <w:widowControl w:val="0"/>
              <w:pBdr>
                <w:top w:val="nil"/>
                <w:left w:val="nil"/>
                <w:bottom w:val="nil"/>
                <w:right w:val="nil"/>
                <w:between w:val="nil"/>
              </w:pBdr>
              <w:spacing w:line="276" w:lineRule="auto"/>
              <w:jc w:val="both"/>
              <w:rPr>
                <w:color w:val="000000"/>
                <w:sz w:val="24"/>
                <w:szCs w:val="24"/>
              </w:rPr>
            </w:pPr>
          </w:p>
        </w:tc>
        <w:tc>
          <w:tcPr>
            <w:tcW w:w="709" w:type="dxa"/>
          </w:tcPr>
          <w:p w14:paraId="680B21F6" w14:textId="77777777" w:rsidR="00D30A31" w:rsidRDefault="006B1BAE">
            <w:pPr>
              <w:widowControl w:val="0"/>
              <w:pBdr>
                <w:top w:val="nil"/>
                <w:left w:val="nil"/>
                <w:bottom w:val="nil"/>
                <w:right w:val="nil"/>
                <w:between w:val="nil"/>
              </w:pBdr>
              <w:spacing w:line="276" w:lineRule="auto"/>
              <w:jc w:val="center"/>
              <w:rPr>
                <w:color w:val="000000"/>
                <w:sz w:val="24"/>
                <w:szCs w:val="24"/>
              </w:rPr>
            </w:pPr>
            <w:r>
              <w:rPr>
                <w:color w:val="000000"/>
                <w:sz w:val="24"/>
                <w:szCs w:val="24"/>
              </w:rPr>
              <w:t xml:space="preserve">             m²</w:t>
            </w:r>
          </w:p>
        </w:tc>
        <w:tc>
          <w:tcPr>
            <w:tcW w:w="2059" w:type="dxa"/>
          </w:tcPr>
          <w:p w14:paraId="0E22D015" w14:textId="77777777" w:rsidR="00D30A31" w:rsidRDefault="006B1BAE">
            <w:pPr>
              <w:widowControl w:val="0"/>
              <w:pBdr>
                <w:top w:val="nil"/>
                <w:left w:val="nil"/>
                <w:bottom w:val="nil"/>
                <w:right w:val="nil"/>
                <w:between w:val="nil"/>
              </w:pBdr>
              <w:spacing w:line="276" w:lineRule="auto"/>
              <w:jc w:val="right"/>
              <w:rPr>
                <w:color w:val="000000"/>
                <w:sz w:val="24"/>
                <w:szCs w:val="24"/>
              </w:rPr>
            </w:pPr>
            <w:r>
              <w:rPr>
                <w:color w:val="000000"/>
                <w:sz w:val="24"/>
                <w:szCs w:val="24"/>
              </w:rPr>
              <w:t>1.048</w:t>
            </w:r>
          </w:p>
        </w:tc>
      </w:tr>
      <w:tr w:rsidR="00D30A31" w14:paraId="1572EF45" w14:textId="77777777">
        <w:trPr>
          <w:gridAfter w:val="1"/>
          <w:trHeight w:val="822"/>
        </w:trPr>
        <w:tc>
          <w:tcPr>
            <w:tcW w:w="3919" w:type="dxa"/>
          </w:tcPr>
          <w:p w14:paraId="48FC0AD0" w14:textId="77777777" w:rsidR="00D30A31" w:rsidRDefault="006B1BAE">
            <w:pPr>
              <w:widowControl w:val="0"/>
              <w:pBdr>
                <w:top w:val="nil"/>
                <w:left w:val="nil"/>
                <w:bottom w:val="nil"/>
                <w:right w:val="nil"/>
                <w:between w:val="nil"/>
              </w:pBdr>
              <w:spacing w:line="276" w:lineRule="auto"/>
              <w:jc w:val="both"/>
              <w:rPr>
                <w:color w:val="000000"/>
                <w:sz w:val="24"/>
                <w:szCs w:val="24"/>
              </w:rPr>
            </w:pPr>
            <w:r>
              <w:rPr>
                <w:color w:val="000000"/>
                <w:sz w:val="24"/>
                <w:szCs w:val="24"/>
              </w:rPr>
              <w:t>Ver        Revestimentos de fachada ou áreas internas c/painel de alum. composto</w:t>
            </w:r>
          </w:p>
        </w:tc>
        <w:tc>
          <w:tcPr>
            <w:tcW w:w="709" w:type="dxa"/>
          </w:tcPr>
          <w:p w14:paraId="0837B411" w14:textId="77777777" w:rsidR="00D30A31" w:rsidRDefault="006B1BAE">
            <w:pPr>
              <w:widowControl w:val="0"/>
              <w:pBdr>
                <w:top w:val="nil"/>
                <w:left w:val="nil"/>
                <w:bottom w:val="nil"/>
                <w:right w:val="nil"/>
                <w:between w:val="nil"/>
              </w:pBdr>
              <w:spacing w:line="276" w:lineRule="auto"/>
              <w:jc w:val="center"/>
              <w:rPr>
                <w:color w:val="000000"/>
                <w:sz w:val="24"/>
                <w:szCs w:val="24"/>
              </w:rPr>
            </w:pPr>
            <w:r>
              <w:rPr>
                <w:color w:val="000000"/>
                <w:sz w:val="24"/>
                <w:szCs w:val="24"/>
              </w:rPr>
              <w:t>m²</w:t>
            </w:r>
          </w:p>
        </w:tc>
        <w:tc>
          <w:tcPr>
            <w:tcW w:w="2059" w:type="dxa"/>
          </w:tcPr>
          <w:p w14:paraId="5C03B63B" w14:textId="77777777" w:rsidR="00D30A31" w:rsidRDefault="006B1BAE">
            <w:pPr>
              <w:widowControl w:val="0"/>
              <w:pBdr>
                <w:top w:val="nil"/>
                <w:left w:val="nil"/>
                <w:bottom w:val="nil"/>
                <w:right w:val="nil"/>
                <w:between w:val="nil"/>
              </w:pBdr>
              <w:spacing w:line="276" w:lineRule="auto"/>
              <w:jc w:val="right"/>
              <w:rPr>
                <w:color w:val="000000"/>
                <w:sz w:val="24"/>
                <w:szCs w:val="24"/>
              </w:rPr>
            </w:pPr>
            <w:r>
              <w:rPr>
                <w:color w:val="000000"/>
                <w:sz w:val="24"/>
                <w:szCs w:val="24"/>
              </w:rPr>
              <w:t>90</w:t>
            </w:r>
          </w:p>
        </w:tc>
      </w:tr>
      <w:tr w:rsidR="00D30A31" w14:paraId="7E7BEB67" w14:textId="77777777">
        <w:trPr>
          <w:gridAfter w:val="1"/>
        </w:trPr>
        <w:tc>
          <w:tcPr>
            <w:tcW w:w="3919" w:type="dxa"/>
          </w:tcPr>
          <w:p w14:paraId="7551EAE0" w14:textId="77777777" w:rsidR="00D30A31" w:rsidRDefault="006B1BAE">
            <w:pPr>
              <w:widowControl w:val="0"/>
              <w:pBdr>
                <w:top w:val="nil"/>
                <w:left w:val="nil"/>
                <w:bottom w:val="nil"/>
                <w:right w:val="nil"/>
                <w:between w:val="nil"/>
              </w:pBdr>
              <w:spacing w:line="276" w:lineRule="auto"/>
              <w:jc w:val="both"/>
              <w:rPr>
                <w:color w:val="000000"/>
                <w:sz w:val="24"/>
                <w:szCs w:val="24"/>
              </w:rPr>
            </w:pPr>
            <w:r>
              <w:rPr>
                <w:color w:val="000000"/>
                <w:sz w:val="24"/>
                <w:szCs w:val="24"/>
              </w:rPr>
              <w:t>Telhamento com telha metálica  termoacústica E= 30MM coma até 2 águas</w:t>
            </w:r>
          </w:p>
        </w:tc>
        <w:tc>
          <w:tcPr>
            <w:tcW w:w="709" w:type="dxa"/>
          </w:tcPr>
          <w:p w14:paraId="62AC9825" w14:textId="77777777" w:rsidR="00D30A31" w:rsidRDefault="006B1BAE">
            <w:pPr>
              <w:widowControl w:val="0"/>
              <w:pBdr>
                <w:top w:val="nil"/>
                <w:left w:val="nil"/>
                <w:bottom w:val="nil"/>
                <w:right w:val="nil"/>
                <w:between w:val="nil"/>
              </w:pBdr>
              <w:spacing w:line="276" w:lineRule="auto"/>
              <w:jc w:val="center"/>
              <w:rPr>
                <w:color w:val="000000"/>
                <w:sz w:val="24"/>
                <w:szCs w:val="24"/>
              </w:rPr>
            </w:pPr>
            <w:r>
              <w:rPr>
                <w:color w:val="000000"/>
                <w:sz w:val="24"/>
                <w:szCs w:val="24"/>
              </w:rPr>
              <w:t>m²</w:t>
            </w:r>
          </w:p>
        </w:tc>
        <w:tc>
          <w:tcPr>
            <w:tcW w:w="2059" w:type="dxa"/>
          </w:tcPr>
          <w:p w14:paraId="1255BE8D" w14:textId="77777777" w:rsidR="00D30A31" w:rsidRDefault="006B1BAE">
            <w:pPr>
              <w:widowControl w:val="0"/>
              <w:pBdr>
                <w:top w:val="nil"/>
                <w:left w:val="nil"/>
                <w:bottom w:val="nil"/>
                <w:right w:val="nil"/>
                <w:between w:val="nil"/>
              </w:pBdr>
              <w:spacing w:line="276" w:lineRule="auto"/>
              <w:jc w:val="right"/>
              <w:rPr>
                <w:color w:val="000000"/>
                <w:sz w:val="24"/>
                <w:szCs w:val="24"/>
              </w:rPr>
            </w:pPr>
            <w:r>
              <w:rPr>
                <w:color w:val="000000"/>
                <w:sz w:val="24"/>
                <w:szCs w:val="24"/>
              </w:rPr>
              <w:t>384</w:t>
            </w:r>
          </w:p>
        </w:tc>
      </w:tr>
      <w:tr w:rsidR="00D30A31" w14:paraId="64B4C4E1" w14:textId="77777777">
        <w:trPr>
          <w:gridAfter w:val="1"/>
        </w:trPr>
        <w:tc>
          <w:tcPr>
            <w:tcW w:w="3919" w:type="dxa"/>
          </w:tcPr>
          <w:p w14:paraId="7302D9DB" w14:textId="77777777" w:rsidR="00D30A31" w:rsidRDefault="006B1BAE">
            <w:pPr>
              <w:widowControl w:val="0"/>
              <w:pBdr>
                <w:top w:val="nil"/>
                <w:left w:val="nil"/>
                <w:bottom w:val="nil"/>
                <w:right w:val="nil"/>
                <w:between w:val="nil"/>
              </w:pBdr>
              <w:spacing w:line="276" w:lineRule="auto"/>
              <w:jc w:val="both"/>
              <w:rPr>
                <w:color w:val="000000"/>
                <w:sz w:val="24"/>
                <w:szCs w:val="24"/>
              </w:rPr>
            </w:pPr>
            <w:r>
              <w:rPr>
                <w:color w:val="000000"/>
                <w:sz w:val="24"/>
                <w:szCs w:val="24"/>
              </w:rPr>
              <w:t>Projeto executivo de Arquitetura, para prédios hospitalares até 1000m²</w:t>
            </w:r>
          </w:p>
        </w:tc>
        <w:tc>
          <w:tcPr>
            <w:tcW w:w="709" w:type="dxa"/>
          </w:tcPr>
          <w:p w14:paraId="4F6CA81C" w14:textId="77777777" w:rsidR="00D30A31" w:rsidRDefault="006B1BAE">
            <w:pPr>
              <w:widowControl w:val="0"/>
              <w:pBdr>
                <w:top w:val="nil"/>
                <w:left w:val="nil"/>
                <w:bottom w:val="nil"/>
                <w:right w:val="nil"/>
                <w:between w:val="nil"/>
              </w:pBdr>
              <w:spacing w:line="276" w:lineRule="auto"/>
              <w:jc w:val="center"/>
              <w:rPr>
                <w:color w:val="000000"/>
                <w:sz w:val="24"/>
                <w:szCs w:val="24"/>
              </w:rPr>
            </w:pPr>
            <w:r>
              <w:rPr>
                <w:color w:val="000000"/>
                <w:sz w:val="24"/>
                <w:szCs w:val="24"/>
              </w:rPr>
              <w:t>m²</w:t>
            </w:r>
          </w:p>
        </w:tc>
        <w:tc>
          <w:tcPr>
            <w:tcW w:w="2059" w:type="dxa"/>
          </w:tcPr>
          <w:p w14:paraId="167A1643" w14:textId="77777777" w:rsidR="00D30A31" w:rsidRDefault="006B1BAE">
            <w:pPr>
              <w:widowControl w:val="0"/>
              <w:pBdr>
                <w:top w:val="nil"/>
                <w:left w:val="nil"/>
                <w:bottom w:val="nil"/>
                <w:right w:val="nil"/>
                <w:between w:val="nil"/>
              </w:pBdr>
              <w:spacing w:line="276" w:lineRule="auto"/>
              <w:jc w:val="right"/>
              <w:rPr>
                <w:color w:val="000000"/>
                <w:sz w:val="24"/>
                <w:szCs w:val="24"/>
              </w:rPr>
            </w:pPr>
            <w:r>
              <w:rPr>
                <w:color w:val="000000"/>
                <w:sz w:val="24"/>
                <w:szCs w:val="24"/>
              </w:rPr>
              <w:t>383</w:t>
            </w:r>
          </w:p>
        </w:tc>
      </w:tr>
    </w:tbl>
    <w:p w14:paraId="05F1E2F4"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7.9.4.3.4. As parcelas de maior relevância foram definidas com base na representatividade técnica e econômica dos serviços, na Curva ABC da contratação e na criticidade das etapas para a adequada execução da obra, considerando tratar-se de construção integral de unidade de saúde. Os quantitativos mínimos exigidos correspondem, em regra, a aproximadamente 50% dos quantitativos estimados para os respectivos serviços, de modo a comprovar experiência prévia compatível sem restringir indevidamente a competitivid</w:t>
      </w:r>
      <w:r>
        <w:rPr>
          <w:rFonts w:ascii="Times New Roman" w:eastAsia="Times New Roman" w:hAnsi="Times New Roman" w:cs="Times New Roman"/>
          <w:sz w:val="24"/>
          <w:szCs w:val="24"/>
        </w:rPr>
        <w:t>ade.</w:t>
      </w:r>
    </w:p>
    <w:p w14:paraId="2B9C5DBE"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7.9.4.3.5. Os atestados de capacidade técnica poderão ser apresentados em nome da matriz ou da filial da empresa licitante.</w:t>
      </w:r>
    </w:p>
    <w:p w14:paraId="28C51738"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7.9.4.3.6. A Administração poderá solicitar, em sede de diligência, documentos complementares destinados à comprovação da legitimidade dos atestados apresentados, tais como cópia do contrato que deu suporte à contratação, notas fiscais, ordens de serviço, endereço atual da contratante, identificação do local de execução do objeto e demais documentos necessários à verificação da compatibilidade </w:t>
      </w:r>
      <w:r>
        <w:rPr>
          <w:rFonts w:ascii="Times New Roman" w:eastAsia="Times New Roman" w:hAnsi="Times New Roman" w:cs="Times New Roman"/>
          <w:sz w:val="24"/>
          <w:szCs w:val="24"/>
        </w:rPr>
        <w:lastRenderedPageBreak/>
        <w:t>técnica.</w:t>
      </w:r>
    </w:p>
    <w:p w14:paraId="2C1886FA" w14:textId="77777777" w:rsidR="00D30A31" w:rsidRDefault="006B1BAE">
      <w:pPr>
        <w:pBdr>
          <w:top w:val="nil"/>
          <w:left w:val="nil"/>
          <w:bottom w:val="nil"/>
          <w:right w:val="nil"/>
          <w:between w:val="nil"/>
        </w:pBdr>
        <w:tabs>
          <w:tab w:val="left" w:pos="142"/>
          <w:tab w:val="left" w:pos="354"/>
        </w:tabs>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7.9.4.4. DA CAPACIDADE TÉCNICO-PROFISSIONAL</w:t>
      </w:r>
    </w:p>
    <w:p w14:paraId="43FEF12C"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7.9.4.4.1. Para comprovação da capacidade técnico-profissional, o licitante deverá indicar profissional de nível superior, engenheiro civil e/ou arquiteto, devidamente registrado no respectivo conselho profissional competente, detentor de Certidão de Acervo Técnico - CAT, Registro de Responsabilidade Técnica - RRT ou documento equivalente, conforme o caso, que comprove a execução de obra ou serviço de características semelhantes ao objeto licitado.</w:t>
      </w:r>
    </w:p>
    <w:p w14:paraId="26770259"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7.9.4.4.2. A comprovação técnico-profissional deverá abranger serviços compatíveis com as parcelas de maior relevância técnica e valor significativo do objeto, admitida a comprovação por meio de um ou mais acervos técnicos.</w:t>
      </w:r>
    </w:p>
    <w:p w14:paraId="3EA1D03F"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7.9.4.4.3. Para fins de comprovação técnico-profissional, serão consideradas parcelas de maior relevância técnica e valor significativo:</w:t>
      </w:r>
    </w:p>
    <w:p w14:paraId="60BED867"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estaca hélice contínua, diâmetro de 30 cm, incluso concreto FCK = 30 MPa e armadura;</w:t>
      </w:r>
    </w:p>
    <w:p w14:paraId="1480C741"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laje pré-moldada Beta 12, para sobrecarga de 3,4 kN/m² e vão de 4,10 m;</w:t>
      </w:r>
    </w:p>
    <w:p w14:paraId="2B68C84E"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pintura com tinta acrílica acetinada para uso hospitalar;</w:t>
      </w:r>
    </w:p>
    <w:p w14:paraId="6DD91AF2"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emboço em argamassa traço 1:2:8, preparo manual, aplicado manualmente;</w:t>
      </w:r>
    </w:p>
    <w:p w14:paraId="3CEBA21C"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revestimento de fachada ou áreas internas com painel de alum. composto;</w:t>
      </w:r>
    </w:p>
    <w:p w14:paraId="36B6F11A"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 telhamento com telha metálica termoacústica, espessura de 30 mm, com até 2 águas;</w:t>
      </w:r>
    </w:p>
    <w:p w14:paraId="234C3FA0"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 - projeto executivo de arquitetura para prédios hospitalares de até 1000 m².</w:t>
      </w:r>
    </w:p>
    <w:p w14:paraId="3F31940C"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7.9.4.4.4. O profissional indicado deverá participar da execução da obra objeto do contrato, admitida sua substituição por profissional de experiência equivalente ou superior, desde que previamente aprovada pela Administração.</w:t>
      </w:r>
    </w:p>
    <w:p w14:paraId="6C096FAA"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7.9.4.4.5. A comprovação de vínculo entre o profissional indicado e a licitante poderá ser feita por meio de contrato social, registro em carteira de trabalho, contrato de prestação de serviços, declaração de </w:t>
      </w:r>
      <w:r>
        <w:rPr>
          <w:rFonts w:ascii="Times New Roman" w:eastAsia="Times New Roman" w:hAnsi="Times New Roman" w:cs="Times New Roman"/>
          <w:sz w:val="24"/>
          <w:szCs w:val="24"/>
        </w:rPr>
        <w:lastRenderedPageBreak/>
        <w:t>contratação futura ou outro documento juridicamente idôneo, admitida a comprovação até a assinatura do contrato, quando cabível.</w:t>
      </w:r>
    </w:p>
    <w:p w14:paraId="410DCEC2" w14:textId="77777777" w:rsidR="00D30A31" w:rsidRDefault="006B1BAE">
      <w:pPr>
        <w:pStyle w:val="Ttulo2"/>
        <w:keepNext w:val="0"/>
        <w:keepLines w:val="0"/>
        <w:tabs>
          <w:tab w:val="left" w:pos="0"/>
          <w:tab w:val="left" w:pos="426"/>
        </w:tabs>
        <w:spacing w:line="360" w:lineRule="auto"/>
        <w:jc w:val="both"/>
        <w:rPr>
          <w:rFonts w:ascii="Times New Roman" w:eastAsia="Times New Roman" w:hAnsi="Times New Roman" w:cs="Times New Roman"/>
          <w:sz w:val="24"/>
          <w:szCs w:val="24"/>
        </w:rPr>
      </w:pPr>
      <w:bookmarkStart w:id="5" w:name="_gxdinnvkhbkb" w:colFirst="0" w:colLast="0"/>
      <w:bookmarkEnd w:id="5"/>
      <w:r>
        <w:rPr>
          <w:rFonts w:ascii="Times New Roman" w:eastAsia="Times New Roman" w:hAnsi="Times New Roman" w:cs="Times New Roman"/>
          <w:sz w:val="24"/>
          <w:szCs w:val="24"/>
        </w:rPr>
        <w:t>7.9.4.5. DA VISTORIA OU DECLARAÇÃO DE CONHECIMENTO DAS CONDIÇÕES LOCAIS</w:t>
      </w:r>
    </w:p>
    <w:p w14:paraId="49C1C803"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7.9.4.5.1. O licitante deverá apresentar declaração de que tomou conhecimento de todas as informações e condições locais necessárias ao cumprimento das obrigações objeto da licitação.</w:t>
      </w:r>
    </w:p>
    <w:p w14:paraId="2A22E545" w14:textId="77777777" w:rsidR="00D30A31" w:rsidRDefault="006B1BAE">
      <w:pPr>
        <w:tabs>
          <w:tab w:val="left" w:pos="0"/>
          <w:tab w:val="left" w:pos="426"/>
        </w:tabs>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7.9.4.5.2. A declaração poderá ser substituída por declaração formal assinada pelo responsável técnico do licitante, atestando o conhecimento pleno das condições e peculiaridades da contratação, inclusive quanto ao local de execução da obra, às condições de acesso, à mobilização, ao canteiro, às interferências e às demais circunstâncias relevantes para elaboração da proposta.</w:t>
      </w:r>
    </w:p>
    <w:p w14:paraId="17C25B2A" w14:textId="77777777" w:rsidR="00D30A31" w:rsidRDefault="006B1BAE">
      <w:pPr>
        <w:pBdr>
          <w:top w:val="nil"/>
          <w:left w:val="nil"/>
          <w:bottom w:val="nil"/>
          <w:right w:val="nil"/>
          <w:between w:val="nil"/>
        </w:pBdr>
        <w:tabs>
          <w:tab w:val="left" w:pos="758"/>
        </w:tabs>
        <w:ind w:right="153"/>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sz w:val="24"/>
          <w:szCs w:val="24"/>
        </w:rPr>
        <w:t xml:space="preserve">7.9.5. </w:t>
      </w:r>
      <w:r>
        <w:rPr>
          <w:rFonts w:ascii="Times New Roman" w:eastAsia="Times New Roman" w:hAnsi="Times New Roman" w:cs="Times New Roman"/>
          <w:b/>
          <w:bCs/>
          <w:color w:val="000000"/>
          <w:sz w:val="24"/>
          <w:szCs w:val="24"/>
        </w:rPr>
        <w:t>HABILITAÇÃO ECONÔMICO-FINANCEIR</w:t>
      </w:r>
      <w:r>
        <w:rPr>
          <w:rFonts w:ascii="Times New Roman" w:eastAsia="Times New Roman" w:hAnsi="Times New Roman" w:cs="Times New Roman"/>
          <w:b/>
          <w:bCs/>
          <w:sz w:val="24"/>
          <w:szCs w:val="24"/>
        </w:rPr>
        <w:t>A</w:t>
      </w:r>
    </w:p>
    <w:p w14:paraId="16301E98" w14:textId="77777777" w:rsidR="00D30A31" w:rsidRDefault="00D30A31">
      <w:pPr>
        <w:pBdr>
          <w:top w:val="nil"/>
          <w:left w:val="nil"/>
          <w:bottom w:val="nil"/>
          <w:right w:val="nil"/>
          <w:between w:val="nil"/>
        </w:pBdr>
        <w:tabs>
          <w:tab w:val="left" w:pos="758"/>
        </w:tabs>
        <w:ind w:right="153"/>
        <w:jc w:val="both"/>
        <w:rPr>
          <w:rFonts w:ascii="Times New Roman" w:eastAsia="Times New Roman" w:hAnsi="Times New Roman" w:cs="Times New Roman"/>
          <w:b/>
          <w:bCs/>
          <w:color w:val="000000"/>
          <w:sz w:val="24"/>
          <w:szCs w:val="24"/>
          <w:u w:val="single"/>
        </w:rPr>
      </w:pPr>
    </w:p>
    <w:p w14:paraId="4F1279DF" w14:textId="77777777" w:rsidR="00D30A31" w:rsidRDefault="006B1BAE">
      <w:pPr>
        <w:tabs>
          <w:tab w:val="left" w:pos="0"/>
          <w:tab w:val="left" w:pos="398"/>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7.9.5.1. Para fins de comprovação da habilitação econômico-financeira, o licitante deverá apresentar:</w:t>
      </w:r>
    </w:p>
    <w:p w14:paraId="12DA32E3" w14:textId="77777777" w:rsidR="00D30A31" w:rsidRDefault="006B1BAE">
      <w:pPr>
        <w:tabs>
          <w:tab w:val="left" w:pos="398"/>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certidão negativa de falência, recuperação judicial ou extrajudicial, expedida pelo distribuidor da sede da pessoa jurídica, dentro do prazo de validade indicado no documento ou, na ausência de prazo expresso, emitida há, no máximo, 90 (noventa) dias da data de abertura da sessão pública;</w:t>
      </w:r>
    </w:p>
    <w:p w14:paraId="57DEDDE5" w14:textId="77777777" w:rsidR="00D30A31" w:rsidRDefault="006B1BAE">
      <w:pPr>
        <w:tabs>
          <w:tab w:val="left" w:pos="398"/>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quando houver mais de um distribuidor competente na comarca da sede do licitante, a certidão deverá abranger todos os distribuidores com competência para expedição de certidões de falência, recuperação judicial ou extrajudicial, podendo ser exigida declaração ou documento oficial que identifique os distribuidores competentes, quando necessário à verificação da abrangência da certidão apresentada;</w:t>
      </w:r>
    </w:p>
    <w:p w14:paraId="1BF37335" w14:textId="77777777" w:rsidR="00D30A31" w:rsidRDefault="006B1BAE">
      <w:pPr>
        <w:tabs>
          <w:tab w:val="left" w:pos="398"/>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no caso de apresentação de certidão positiva de recuperação judicial ou extrajudicial, o licitante deverá comprovar que o respectivo plano de recuperação foi acolhido ou homologado judicialmente, na forma da Lei Federal nº 11.101/2005, sem prejuízo da comprovação dos demais requisitos de habilitação exigidos neste Edital;</w:t>
      </w:r>
    </w:p>
    <w:p w14:paraId="65978A00" w14:textId="77777777" w:rsidR="00D30A31" w:rsidRDefault="006B1BAE">
      <w:pPr>
        <w:tabs>
          <w:tab w:val="left" w:pos="398"/>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balanço patrimonial, demonstração do resultado do exercício e demais demonstrações contábeis dos 2 (dois) últimos exercícios sociais, já exigíveis e apresentados na forma da lei, vedada sua </w:t>
      </w:r>
      <w:r>
        <w:rPr>
          <w:rFonts w:ascii="Times New Roman" w:eastAsia="Times New Roman" w:hAnsi="Times New Roman" w:cs="Times New Roman"/>
          <w:sz w:val="24"/>
          <w:szCs w:val="24"/>
        </w:rPr>
        <w:lastRenderedPageBreak/>
        <w:t>substituição por balancetes ou balanços provisórios, podendo ser atualizados por índices oficiais quando encerrados há mais de 3 (três) meses da data de apresentação da proposta;</w:t>
      </w:r>
    </w:p>
    <w:p w14:paraId="0196025D" w14:textId="77777777" w:rsidR="00D30A31" w:rsidRDefault="006B1BAE">
      <w:pPr>
        <w:tabs>
          <w:tab w:val="left" w:pos="398"/>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termo de abertura e termo de encerramento do livro diário, recibo de entrega da escrituração contábil digital, quando aplicável, balanço patrimonial, demonstração do resultado do exercício e notas explicativas, conforme a forma de escrituração adotada e exigida pela legislação aplicável ao licitante.</w:t>
      </w:r>
    </w:p>
    <w:p w14:paraId="72E54D86" w14:textId="77777777" w:rsidR="00D30A31" w:rsidRDefault="006B1BAE">
      <w:pPr>
        <w:tabs>
          <w:tab w:val="left" w:pos="398"/>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7.9.5.2. As empresas constituídas no exercício em curso deverão apresentar balanço de abertura ou demonstrações contábeis correspondentes ao período de sua existência, na forma da legislação aplicável.</w:t>
      </w:r>
    </w:p>
    <w:p w14:paraId="61DC002B" w14:textId="77777777" w:rsidR="00D30A31" w:rsidRDefault="006B1BAE">
      <w:pPr>
        <w:tabs>
          <w:tab w:val="left" w:pos="398"/>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7.9.5.3. Para verificação da boa situação financeira, o licitante deverá apresentar os seguintes índices contábeis, extraídos do último balanço patrimonial exigível ou das demonstrações contábeis correspondentes ao período de existência da sociedade:</w:t>
      </w:r>
    </w:p>
    <w:p w14:paraId="4FFF6BFA"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Índice de Liquidez Corrente (LC</w:t>
      </w:r>
      <w:r>
        <w:rPr>
          <w:rFonts w:ascii="Times New Roman" w:eastAsia="Times New Roman" w:hAnsi="Times New Roman" w:cs="Times New Roman"/>
          <w:sz w:val="24"/>
          <w:szCs w:val="24"/>
        </w:rPr>
        <w:t>) = avalia a capacidade da empresa de saldar suas obrigações a curto prazo.</w:t>
      </w:r>
    </w:p>
    <w:p w14:paraId="14DE476A" w14:textId="77777777" w:rsidR="00D30A31" w:rsidRDefault="00D30A31">
      <w:pPr>
        <w:ind w:right="107"/>
        <w:jc w:val="center"/>
        <w:rPr>
          <w:rFonts w:ascii="Times New Roman" w:eastAsia="Times New Roman" w:hAnsi="Times New Roman" w:cs="Times New Roman"/>
          <w:sz w:val="24"/>
          <w:szCs w:val="24"/>
        </w:rPr>
      </w:pPr>
    </w:p>
    <w:p w14:paraId="2E666F12"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Índice de Liquidez Geral (LG)</w:t>
      </w:r>
      <w:r>
        <w:rPr>
          <w:rFonts w:ascii="Times New Roman" w:eastAsia="Times New Roman" w:hAnsi="Times New Roman" w:cs="Times New Roman"/>
          <w:sz w:val="24"/>
          <w:szCs w:val="24"/>
        </w:rPr>
        <w:t xml:space="preserve"> = mede a capacidade da empresa de liquidar suas dívidas a curto e longo prazo.</w:t>
      </w:r>
    </w:p>
    <w:p w14:paraId="2ABFDCE8" w14:textId="77777777" w:rsidR="00D30A31" w:rsidRDefault="00D30A31">
      <w:pPr>
        <w:ind w:right="107"/>
        <w:jc w:val="center"/>
        <w:rPr>
          <w:rFonts w:ascii="Times New Roman" w:eastAsia="Times New Roman" w:hAnsi="Times New Roman" w:cs="Times New Roman"/>
          <w:sz w:val="24"/>
          <w:szCs w:val="24"/>
        </w:rPr>
      </w:pPr>
    </w:p>
    <w:p w14:paraId="1D8A822E"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Solvência Geral (SG)</w:t>
      </w:r>
      <w:r>
        <w:rPr>
          <w:rFonts w:ascii="Times New Roman" w:eastAsia="Times New Roman" w:hAnsi="Times New Roman" w:cs="Times New Roman"/>
          <w:sz w:val="24"/>
          <w:szCs w:val="24"/>
        </w:rPr>
        <w:t xml:space="preserve"> = expressa a capacidade da empresa de liquidar suas dívidas no caso de falência.</w:t>
      </w:r>
    </w:p>
    <w:p w14:paraId="65B0E6A4" w14:textId="77777777" w:rsidR="00D30A31" w:rsidRDefault="00D30A31">
      <w:pPr>
        <w:ind w:right="107"/>
        <w:jc w:val="center"/>
        <w:rPr>
          <w:rFonts w:ascii="Times New Roman" w:eastAsia="Times New Roman" w:hAnsi="Times New Roman" w:cs="Times New Roman"/>
          <w:sz w:val="24"/>
          <w:szCs w:val="24"/>
        </w:rPr>
      </w:pPr>
    </w:p>
    <w:p w14:paraId="4E8D09CE" w14:textId="77777777" w:rsidR="00D30A31" w:rsidRDefault="00D30A31">
      <w:pPr>
        <w:ind w:right="107"/>
        <w:jc w:val="center"/>
        <w:rPr>
          <w:rFonts w:ascii="Times New Roman" w:eastAsia="Times New Roman" w:hAnsi="Times New Roman" w:cs="Times New Roman"/>
          <w:sz w:val="24"/>
          <w:szCs w:val="24"/>
        </w:rPr>
      </w:pPr>
    </w:p>
    <w:p w14:paraId="13BDF0B7"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LC= Liquidez Corrente – igual ou superior a 1</w:t>
      </w:r>
    </w:p>
    <w:p w14:paraId="78C85DE4"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LG= Liquidez Geral – igual ou superior a 1</w:t>
      </w:r>
    </w:p>
    <w:p w14:paraId="39C6E39F"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SG= Solvência Geral – igual ou superior a 1</w:t>
      </w:r>
    </w:p>
    <w:p w14:paraId="1E1724E7" w14:textId="77777777" w:rsidR="00D30A31" w:rsidRDefault="00D30A31">
      <w:pPr>
        <w:ind w:right="107"/>
        <w:jc w:val="center"/>
        <w:rPr>
          <w:rFonts w:ascii="Times New Roman" w:eastAsia="Times New Roman" w:hAnsi="Times New Roman" w:cs="Times New Roman"/>
          <w:sz w:val="24"/>
          <w:szCs w:val="24"/>
        </w:rPr>
      </w:pPr>
    </w:p>
    <w:p w14:paraId="78EF7919" w14:textId="77777777" w:rsidR="00D30A31" w:rsidRDefault="006B1BAE">
      <w:pPr>
        <w:ind w:right="107"/>
        <w:jc w:val="cente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LG= Ativo Circulante + Realizável a Longo Prazo</w:t>
      </w:r>
    </w:p>
    <w:p w14:paraId="1605A35A"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Passivo Circulante + Exigível a Longo Prazo</w:t>
      </w:r>
    </w:p>
    <w:p w14:paraId="7158837E" w14:textId="77777777" w:rsidR="00D30A31" w:rsidRDefault="00D30A31">
      <w:pPr>
        <w:ind w:right="107"/>
        <w:jc w:val="center"/>
        <w:rPr>
          <w:rFonts w:ascii="Times New Roman" w:eastAsia="Times New Roman" w:hAnsi="Times New Roman" w:cs="Times New Roman"/>
          <w:sz w:val="24"/>
          <w:szCs w:val="24"/>
        </w:rPr>
      </w:pPr>
    </w:p>
    <w:p w14:paraId="6BB963C5" w14:textId="77777777" w:rsidR="00D30A31" w:rsidRDefault="006B1BAE">
      <w:pPr>
        <w:ind w:right="107"/>
        <w:jc w:val="cente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SG=                       Ativo Total                        __</w:t>
      </w:r>
    </w:p>
    <w:p w14:paraId="42356517"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Passivo Circulante + Exigível a Longo Prazo</w:t>
      </w:r>
    </w:p>
    <w:p w14:paraId="15740C2F" w14:textId="77777777" w:rsidR="00D30A31" w:rsidRDefault="00D30A31">
      <w:pPr>
        <w:ind w:right="107"/>
        <w:jc w:val="center"/>
        <w:rPr>
          <w:rFonts w:ascii="Times New Roman" w:eastAsia="Times New Roman" w:hAnsi="Times New Roman" w:cs="Times New Roman"/>
          <w:sz w:val="24"/>
          <w:szCs w:val="24"/>
        </w:rPr>
      </w:pPr>
    </w:p>
    <w:p w14:paraId="20041EF9" w14:textId="77777777" w:rsidR="00D30A31" w:rsidRDefault="00D30A31">
      <w:pPr>
        <w:ind w:right="107"/>
        <w:jc w:val="center"/>
        <w:rPr>
          <w:rFonts w:ascii="Times New Roman" w:eastAsia="Times New Roman" w:hAnsi="Times New Roman" w:cs="Times New Roman"/>
          <w:sz w:val="24"/>
          <w:szCs w:val="24"/>
          <w:u w:val="single"/>
        </w:rPr>
      </w:pPr>
    </w:p>
    <w:p w14:paraId="5924FD43" w14:textId="77777777" w:rsidR="00D30A31" w:rsidRDefault="006B1BAE">
      <w:pPr>
        <w:ind w:right="107"/>
        <w:jc w:val="cente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LC= Ativo Circulante</w:t>
      </w:r>
    </w:p>
    <w:p w14:paraId="7B14E620"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Passivo Circulante</w:t>
      </w:r>
    </w:p>
    <w:p w14:paraId="6BCD6451" w14:textId="77777777" w:rsidR="00D30A31" w:rsidRDefault="00D30A31">
      <w:pPr>
        <w:ind w:right="107"/>
        <w:jc w:val="center"/>
        <w:rPr>
          <w:rFonts w:ascii="Times New Roman" w:eastAsia="Times New Roman" w:hAnsi="Times New Roman" w:cs="Times New Roman"/>
          <w:sz w:val="24"/>
          <w:szCs w:val="24"/>
        </w:rPr>
      </w:pPr>
    </w:p>
    <w:p w14:paraId="418E59A8" w14:textId="77777777" w:rsidR="00D30A31" w:rsidRDefault="00D30A31">
      <w:pPr>
        <w:ind w:right="107"/>
        <w:jc w:val="center"/>
        <w:rPr>
          <w:rFonts w:ascii="Times New Roman" w:eastAsia="Times New Roman" w:hAnsi="Times New Roman" w:cs="Times New Roman"/>
          <w:sz w:val="24"/>
          <w:szCs w:val="24"/>
        </w:rPr>
      </w:pPr>
    </w:p>
    <w:p w14:paraId="0D1260F8" w14:textId="77777777" w:rsidR="00D30A31" w:rsidRDefault="00D30A31">
      <w:pPr>
        <w:ind w:right="107"/>
        <w:jc w:val="center"/>
        <w:rPr>
          <w:rFonts w:ascii="Times New Roman" w:eastAsia="Times New Roman" w:hAnsi="Times New Roman" w:cs="Times New Roman"/>
          <w:sz w:val="24"/>
          <w:szCs w:val="24"/>
        </w:rPr>
      </w:pPr>
    </w:p>
    <w:p w14:paraId="151EC2E4"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Onde: AC = Ativo Circulante</w:t>
      </w:r>
    </w:p>
    <w:p w14:paraId="58277287"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 Ativo Total</w:t>
      </w:r>
    </w:p>
    <w:p w14:paraId="7C618CBE"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RLP= Realizável a Longo Prazo</w:t>
      </w:r>
    </w:p>
    <w:p w14:paraId="45613DD9"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PC= Passivo Circulante</w:t>
      </w:r>
    </w:p>
    <w:p w14:paraId="3E8E8C2B" w14:textId="77777777" w:rsidR="00D30A31" w:rsidRDefault="006B1BAE">
      <w:pPr>
        <w:ind w:right="1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ELP= Exigível a Longo Prazo</w:t>
      </w:r>
    </w:p>
    <w:p w14:paraId="7DA41B65"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7.9.5.6. O licitante que apresentar resultado inferior a 1,00 em qualquer dos índices contábeis exigidos deverá comprovar patrimônio líquido mínimo correspondente a 10% do valor estimado da contratação, por meio das demonstrações contábeis apresentadas na forma da lei.</w:t>
      </w:r>
    </w:p>
    <w:p w14:paraId="1BBBE05D"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7.9.5.7. A comprovação da situação econômico-financeira será analisada de forma objetiva, observadas as exigências deste Edital, a legislação aplicável e a compatibilidade da capacidade econômico-financeira do licitante com a execução do objeto contratado.</w:t>
      </w:r>
    </w:p>
    <w:p w14:paraId="119B0E34" w14:textId="77777777" w:rsidR="00D30A31" w:rsidRDefault="006B1BAE">
      <w:pPr>
        <w:pStyle w:val="Ttulo2"/>
        <w:keepNext w:val="0"/>
        <w:keepLines w:val="0"/>
        <w:tabs>
          <w:tab w:val="left" w:pos="412"/>
        </w:tabs>
        <w:spacing w:line="360" w:lineRule="auto"/>
        <w:ind w:right="153"/>
        <w:jc w:val="both"/>
        <w:rPr>
          <w:rFonts w:ascii="Times New Roman" w:eastAsia="Times New Roman" w:hAnsi="Times New Roman" w:cs="Times New Roman"/>
          <w:sz w:val="24"/>
          <w:szCs w:val="24"/>
        </w:rPr>
      </w:pPr>
      <w:bookmarkStart w:id="6" w:name="_tacfub38c2my" w:colFirst="0" w:colLast="0"/>
      <w:bookmarkEnd w:id="6"/>
      <w:r>
        <w:rPr>
          <w:rFonts w:ascii="Times New Roman" w:eastAsia="Times New Roman" w:hAnsi="Times New Roman" w:cs="Times New Roman"/>
          <w:sz w:val="24"/>
          <w:szCs w:val="24"/>
        </w:rPr>
        <w:t>7.9.6. DAS DECLARAÇÕES</w:t>
      </w:r>
    </w:p>
    <w:p w14:paraId="047CA022"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7.9.6.1. Para fins de habilitação e participação no certame, o licitante deverá apresentar as seguintes declarações, conforme modelos constantes dos anexos deste Edital:</w:t>
      </w:r>
    </w:p>
    <w:p w14:paraId="3C17F784"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declaração de que atende aos requisitos de habilitação exigidos neste Edital e de que responderá pela veracidade das informações prestadas, na forma da lei - Anexo III;</w:t>
      </w:r>
    </w:p>
    <w:p w14:paraId="7E7F6182"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declaração de inexistência de fato impeditivo para sua habilitação, bem como ciência quanto à obrigatoriedade de declarar ocorrências posteriores - Anexo IV;</w:t>
      </w:r>
    </w:p>
    <w:p w14:paraId="77CCC144"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declaração de cumprimento das exigências legais de reserva de cargos para pessoa com deficiência e para reabilitado da Previdência Social, nos termos da legislação aplicável - Anexo V;</w:t>
      </w:r>
    </w:p>
    <w:p w14:paraId="051F5674"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declaração de cumprimento do disposto no art. 7º, inciso XXXIII, da Constituição Federal, atestando que não utiliza mão de obra direta ou indireta de menores de 18 anos em trabalho noturno, perigoso ou insalubre, nem de menores de 16 anos em qualquer trabalho, salvo na condição de aprendiz, a partir de 14 anos - Anexo VI;</w:t>
      </w:r>
    </w:p>
    <w:p w14:paraId="1E44404A"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declaração de enquadramento como microempresa ou empresa de pequeno porte, quando aplicável, nos termos da Lei Complementar Federal nº 123/2006 - Anexo VII;</w:t>
      </w:r>
    </w:p>
    <w:p w14:paraId="3B630770"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 declaração de que a proposta econômica compreende a integralidade dos custos necessários ao atendimento dos direitos trabalhistas assegurados na Constituição Federal, nas leis trabalhistas, nas </w:t>
      </w:r>
      <w:r>
        <w:rPr>
          <w:rFonts w:ascii="Times New Roman" w:eastAsia="Times New Roman" w:hAnsi="Times New Roman" w:cs="Times New Roman"/>
          <w:sz w:val="24"/>
          <w:szCs w:val="24"/>
        </w:rPr>
        <w:lastRenderedPageBreak/>
        <w:t>normas infralegais, nas convenções coletivas de trabalho e nos termos de ajustamento de conduta vigentes na data de apresentação da proposta - Anexo VIII;</w:t>
      </w:r>
    </w:p>
    <w:p w14:paraId="61212223"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 - declaração de que tomou conhecimento de todas as informações e condições locais necessárias ao cumprimento das obrigações objeto da licitação - Anexo VIII;</w:t>
      </w:r>
    </w:p>
    <w:p w14:paraId="4F27795F"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VIII - declaração de que não foi declarada inidônea para licitar ou contratar com a Administração Pública direta ou indireta da União, dos Estados, do Distrito Federal ou dos Municípios, nem se encontra suspensa ou impedida de licitar e contratar com o Município de Magé, na forma da legislação aplicável - Anexo VIII;</w:t>
      </w:r>
    </w:p>
    <w:p w14:paraId="3868177D"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IX - declaração de que não se enquadra em nenhuma das hipóteses de impedimento previstas no art. 14 da Lei Federal nº 14.133/2021 - Anexo VIII;</w:t>
      </w:r>
    </w:p>
    <w:p w14:paraId="0C59F86B"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 declaração de porte da empresa, quando aplicável, para fins de identificação do enquadramento legal como microempresa, empresa de pequeno porte ou demais categorias empresariais - Anexo IX.</w:t>
      </w:r>
    </w:p>
    <w:p w14:paraId="729BEAD3" w14:textId="77777777" w:rsidR="00D30A31" w:rsidRDefault="006B1BAE">
      <w:pP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7.9.6.2. As declarações poderão ser apresentadas de forma individualizada ou conjunta, conforme os modelos disponibilizados nos anexos deste Edital, desde que contenham todas as informações exigidas e estejam devidamente assinadas pelo representante legal do licitante ou por procurador regularmente constituído.</w:t>
      </w:r>
    </w:p>
    <w:p w14:paraId="628C8534" w14:textId="77777777" w:rsidR="00D30A31" w:rsidRDefault="006B1BAE">
      <w:pPr>
        <w:tabs>
          <w:tab w:val="left" w:pos="412"/>
        </w:tabs>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sz w:val="24"/>
          <w:szCs w:val="24"/>
        </w:rPr>
        <w:t>7.9.6.3. A falsidade das declarações apresentadas sujeitará o licitante às sanções administrativas, civis e penais cabíveis, sem prejuízo da desclassificação da proposta, da inabilitação ou da extinção contratual, conforme o caso.</w:t>
      </w:r>
    </w:p>
    <w:p w14:paraId="43DF131A"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7.9.7. DAS DEMAIS CONDIÇÕES DE HABILITAÇÃO</w:t>
      </w:r>
    </w:p>
    <w:p w14:paraId="5FECA5E8"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7.9.7.1. Na ausência de prazo de validade expressamente indicado nos documentos apresentados para fins de habilitação, serão considerados válidos aqueles emitidos há, no máximo, 90 (noventa) dias contados da data de sua apresentação no certame.</w:t>
      </w:r>
    </w:p>
    <w:p w14:paraId="14A5B0D7"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7.9.7.2. Quando admitida a participação de empresas em consórcio, a comprovação da habilitação técnica poderá ser realizada mediante o somatório dos quantitativos comprovados por cada consorciado, observada a compatibilidade entre a parcela executada e a responsabilidade assumida por </w:t>
      </w:r>
      <w:r>
        <w:rPr>
          <w:rFonts w:ascii="Times New Roman" w:eastAsia="Times New Roman" w:hAnsi="Times New Roman" w:cs="Times New Roman"/>
          <w:sz w:val="24"/>
          <w:szCs w:val="24"/>
        </w:rPr>
        <w:lastRenderedPageBreak/>
        <w:t>cada integrante do consórcio.</w:t>
      </w:r>
    </w:p>
    <w:p w14:paraId="337DEFBD"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7.9.7.3. Para fins de habilitação econômico-financeira de consórcio, quando admitida sua participação, será observado o somatório dos valores de cada consorciado, na forma prevista neste Edital e na legislação aplicável.</w:t>
      </w:r>
    </w:p>
    <w:p w14:paraId="0162F204"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7.9.7.4. A responsabilidade das empresas consorciadas observará as regras estabelecidas neste Edital, no instrumento de constituição do consórcio e na Lei Federal nº 14.133/2021, sem prejuízo da responsabilidade solidária pela execução do objeto contratado, quando aplicável.</w:t>
      </w:r>
    </w:p>
    <w:p w14:paraId="4BEB3A73" w14:textId="77777777" w:rsidR="00D30A31" w:rsidRDefault="00D30A31">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p>
    <w:p w14:paraId="1A2E340F" w14:textId="77777777" w:rsidR="00D30A31" w:rsidRDefault="006B1BAE">
      <w:pPr>
        <w:numPr>
          <w:ilvl w:val="0"/>
          <w:numId w:val="1"/>
        </w:num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u w:val="single"/>
        </w:rPr>
        <w:t>DA VISITA TÉCNICA</w:t>
      </w:r>
    </w:p>
    <w:p w14:paraId="798FE010"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O licitante poderá realizar visita técnica prévia ao local de execução da obra, em horário comercial, de segunda a sexta-feira, com a finalidade de conhecer as condições locais, as características da área, os acessos, as peculiaridades técnicas e demais circunstâncias relevantes para a adequada elaboração da proposta.</w:t>
      </w:r>
    </w:p>
    <w:p w14:paraId="1F93C3FE"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A visita técnica terá caráter facultativo, não podendo a sua ausência, por si só, ensejar a inabilitação do licitante, desde que seja apresentada declaração formal de conhecimento das condições locais, na forma prevista neste Edital.</w:t>
      </w:r>
    </w:p>
    <w:p w14:paraId="02D2BC9F"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8.3. A visita deverá ser previamente agendada em até 3 (três) dias úteis antes da data de abertura da sessão pública, por meio da Superintendência de Licitações e Contratos, pelo e-mail licitacao.duvidas@mage.rj.gov.br, ou junto à Secretaria Municipal de Saúde, pelo e-mail saude@mage.rj.gov.br.</w:t>
      </w:r>
    </w:p>
    <w:p w14:paraId="699ACEF7"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 Para realização da visita, o representante da empresa deverá apresentar documento de identificação e comprovação de vínculo ou autorização para representar o licitante, podendo a Administração organizar datas e horários distintos para atendimento dos interessados.</w:t>
      </w:r>
    </w:p>
    <w:p w14:paraId="7302C434"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O licitante que optar por não realizar a visita técnica deverá apresentar declaração formal, assinada por seu responsável técnico ou representante legal, atestando que possui pleno conhecimento das condições e peculiaridades do local de execução da obra e que assume integral responsabilidade pela </w:t>
      </w:r>
      <w:r>
        <w:rPr>
          <w:rFonts w:ascii="Times New Roman" w:eastAsia="Times New Roman" w:hAnsi="Times New Roman" w:cs="Times New Roman"/>
          <w:sz w:val="24"/>
          <w:szCs w:val="24"/>
        </w:rPr>
        <w:lastRenderedPageBreak/>
        <w:t>elaboração de sua proposta.</w:t>
      </w:r>
    </w:p>
    <w:p w14:paraId="4C2DF401" w14:textId="77777777" w:rsidR="00D30A31" w:rsidRDefault="006B1BAE">
      <w:pPr>
        <w:pBdr>
          <w:top w:val="nil"/>
          <w:left w:val="nil"/>
          <w:bottom w:val="nil"/>
          <w:right w:val="nil"/>
          <w:between w:val="nil"/>
        </w:pBdr>
        <w:tabs>
          <w:tab w:val="left" w:pos="412"/>
        </w:tabs>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8.6. A não realização da visita técnica não poderá ser utilizada, posteriormente, como fundamento para alegações de desconhecimento das condições locais, dificuldades de acesso, peculiaridades da área, necessidades de mobilização, instalação de canteiro, interferências ou quaisquer outros aspectos relacionados à execução do objeto.</w:t>
      </w:r>
    </w:p>
    <w:p w14:paraId="19F6A09C" w14:textId="77777777" w:rsidR="00D30A31" w:rsidRDefault="006B1BAE">
      <w:pPr>
        <w:pStyle w:val="Ttulo2"/>
        <w:keepNext w:val="0"/>
        <w:keepLines w:val="0"/>
        <w:numPr>
          <w:ilvl w:val="0"/>
          <w:numId w:val="1"/>
        </w:numPr>
        <w:tabs>
          <w:tab w:val="left" w:pos="570"/>
        </w:tabs>
        <w:spacing w:line="360" w:lineRule="auto"/>
        <w:ind w:right="150"/>
        <w:jc w:val="both"/>
        <w:rPr>
          <w:rFonts w:ascii="Times New Roman" w:eastAsia="Times New Roman" w:hAnsi="Times New Roman" w:cs="Times New Roman"/>
          <w:sz w:val="24"/>
          <w:szCs w:val="24"/>
        </w:rPr>
      </w:pPr>
      <w:bookmarkStart w:id="7" w:name="_om0t5h7dyn4j" w:colFirst="0" w:colLast="0"/>
      <w:bookmarkEnd w:id="7"/>
      <w:r>
        <w:rPr>
          <w:rFonts w:ascii="Times New Roman" w:eastAsia="Times New Roman" w:hAnsi="Times New Roman" w:cs="Times New Roman"/>
          <w:sz w:val="24"/>
          <w:szCs w:val="24"/>
          <w:u w:val="single"/>
        </w:rPr>
        <w:t>DO PREENCHIMENTO DA PROPOSTA NO SISTEMA</w:t>
      </w:r>
    </w:p>
    <w:p w14:paraId="257C36C6"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O licitante deverá encaminhar sua proposta exclusivamente por meio do sistema eletrônico, mediante o preenchimento dos campos próprios disponibilizados no Portal de Compras Públicas.</w:t>
      </w:r>
    </w:p>
    <w:p w14:paraId="294E02F4"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A proposta deverá indicar o valor global ofertado, em moeda corrente nacional, observadas as condições, quantitativos, especificações técnicas e demais exigências constantes deste Edital e de seus anexos.</w:t>
      </w:r>
    </w:p>
    <w:p w14:paraId="30D406E2"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Embora o critério de julgamento seja o de menor preço global, a proposta deverá ser compatível com o regime de execução de empreitada por preço unitário, devendo o licitante apresentar, quando convocado, planilha orçamentária detalhada, com indicação dos preços unitários, quantitativos, BDI, encargos e valor global readequado ao lance final ofertado.</w:t>
      </w:r>
    </w:p>
    <w:p w14:paraId="5118E770"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Todas as especificações, condições e valores constantes da proposta vinculam o licitante e, em caso de contratação, obrigarão a contratada durante toda a execução do objeto.</w:t>
      </w:r>
    </w:p>
    <w:p w14:paraId="43739DA3"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Nos valores propostos deverão estar incluídos todos os custos diretos e indiretos necessários à integral execução da obra, tais como mão de obra, materiais, equipamentos, ferramentas, transporte, mobilização e desmobilização, encargos previdenciários, trabalhistas, tributários, comerciais, seguros, garantias, BDI e quaisquer outras despesas incidentes sobre a execução do objeto.</w:t>
      </w:r>
    </w:p>
    <w:p w14:paraId="457349E9"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Os valores ofertados, tanto na proposta inicial quanto na etapa de lances, serão de exclusiva responsabilidade do licitante, não lhe assistindo o direito de pleitear alteração posterior sob alegação de erro, omissão, desconhecimento das condições locais ou qualquer outro pretexto, ressalvadas as hipóteses legalmente admitidas.</w:t>
      </w:r>
    </w:p>
    <w:p w14:paraId="72E7455C"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As propostas terão prazo de validade de 60 (sessenta) dias consecutivos, contados da data de </w:t>
      </w:r>
      <w:r>
        <w:rPr>
          <w:rFonts w:ascii="Times New Roman" w:eastAsia="Times New Roman" w:hAnsi="Times New Roman" w:cs="Times New Roman"/>
          <w:sz w:val="24"/>
          <w:szCs w:val="24"/>
        </w:rPr>
        <w:lastRenderedPageBreak/>
        <w:t>abertura da sessão pública, salvo se outro prazo superior for expressamente indicado pelo licitante.</w:t>
      </w:r>
    </w:p>
    <w:p w14:paraId="2D5CD2D5"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 Não será admitida proposta que altere, reduza ou condicione os quantitativos, prazos, especificações técnicas ou demais condições estabelecidas neste Edital, no Projeto Básico, na Planilha Orçamentária, no Memorial Descritivo, no Cronograma Físico-Financeiro e nos demais anexos.</w:t>
      </w:r>
    </w:p>
    <w:p w14:paraId="5D110B52"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9.9. O Agente de Contratação verificará as propostas apresentadas e desclassificará aquelas que não estejam em conformidade com os requisitos estabelecidos neste Edital e em seus anexos.</w:t>
      </w:r>
    </w:p>
    <w:p w14:paraId="71EC2FBD"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9.10. Serão desclassificadas as propostas que:</w:t>
      </w:r>
    </w:p>
    <w:p w14:paraId="0CF05588"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não atenderem às especificações técnicas, prazos, condições de execução, quantitativos ou demais exigências fixadas neste Edital e em seus anexos;</w:t>
      </w:r>
    </w:p>
    <w:p w14:paraId="7B0DFD39"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contiverem vícios insanáveis;</w:t>
      </w:r>
    </w:p>
    <w:p w14:paraId="62B86419"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apresentarem preço global superior ao valor máximo estimado pela Administração;</w:t>
      </w:r>
    </w:p>
    <w:p w14:paraId="56E4FE9A"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apresentarem preços manifestamente inexequíveis ou incompatíveis com a execução do objeto;</w:t>
      </w:r>
    </w:p>
    <w:p w14:paraId="2A084CE3"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não tiverem sua exequibilidade demonstrada, quando exigida pela Administração;</w:t>
      </w:r>
    </w:p>
    <w:p w14:paraId="1B7A6C5F"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 apresentarem desconformidade insanável com quaisquer exigências deste Edital ou de seus anexos;</w:t>
      </w:r>
    </w:p>
    <w:p w14:paraId="429C2C10"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 - apresentarem preço baseado exclusivamente em proposta de outro licitante;</w:t>
      </w:r>
    </w:p>
    <w:p w14:paraId="7C533A73"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VIII - apresentarem composição de preços, planilha orçamentária ou BDI em desconformidade insanável com as exigências do Edital, quando exigida sua apresentação;</w:t>
      </w:r>
    </w:p>
    <w:p w14:paraId="1FF64969"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IX - apresentarem preços unitários incompatíveis com os referenciais adotados pela Administração, com risco de jogo de planilha, sobrepreço ou inexequibilidade, ainda que o preço global seja inferior ao orçamento estimado;</w:t>
      </w:r>
    </w:p>
    <w:p w14:paraId="466B0FE5"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 deixarem de apresentar documentação técnica exigida no Projeto Básico ou nos demais anexos, quando indispensável à análise da proposta.</w:t>
      </w:r>
    </w:p>
    <w:p w14:paraId="144D9A5D"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9.11. A desclassificação da proposta será sempre fundamentada e registrada no sistema eletrônico, </w:t>
      </w:r>
      <w:r>
        <w:rPr>
          <w:rFonts w:ascii="Times New Roman" w:eastAsia="Times New Roman" w:hAnsi="Times New Roman" w:cs="Times New Roman"/>
          <w:sz w:val="24"/>
          <w:szCs w:val="24"/>
        </w:rPr>
        <w:lastRenderedPageBreak/>
        <w:t>assegurado o acompanhamento pelos licitantes.</w:t>
      </w:r>
    </w:p>
    <w:p w14:paraId="002790EB"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9.12. Encerrada a etapa de lances e negociação, o licitante classificado em primeiro lugar deverá apresentar proposta readequada ao valor final ofertado, acompanhada da respectiva planilha orçamentária detalhada, contendo preços unitários, quantitativos, BDI, encargos, composição do valor global e cronograma físico-financeiro, quando exigido pelo Agente de Contratação.</w:t>
      </w:r>
    </w:p>
    <w:p w14:paraId="08EF4484"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9.13. A proposta readequada deverá preservar a coerência dos preços unitários e globais, sendo vedada a redistribuição artificial de valores, a majoração injustificada de itens unitários, a supressão de serviços previstos ou qualquer composição que possa comprometer a adequada execução da obra ou caracterizar jogo de planilha.</w:t>
      </w:r>
    </w:p>
    <w:p w14:paraId="5E2437D2"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9.14. O Agente de Contratação poderá solicitar diligências para análise da exequibilidade, compatibilidade e regularidade da proposta, inclusive mediante apresentação de composições de custos, justificativas técnicas, cotações, produtividade estimada, metodologia executiva ou outros elementos necessários à verificação da viabilidade da execução do objeto.</w:t>
      </w:r>
    </w:p>
    <w:p w14:paraId="2E7E6087" w14:textId="77777777" w:rsidR="00D30A31" w:rsidRDefault="006B1BAE">
      <w:pPr>
        <w:pStyle w:val="Ttulo2"/>
        <w:keepNext w:val="0"/>
        <w:keepLines w:val="0"/>
        <w:numPr>
          <w:ilvl w:val="0"/>
          <w:numId w:val="1"/>
        </w:numPr>
        <w:tabs>
          <w:tab w:val="left" w:pos="566"/>
        </w:tabs>
        <w:ind w:right="150"/>
        <w:jc w:val="both"/>
        <w:rPr>
          <w:rFonts w:ascii="Times New Roman" w:eastAsia="Times New Roman" w:hAnsi="Times New Roman" w:cs="Times New Roman"/>
          <w:sz w:val="24"/>
          <w:szCs w:val="24"/>
        </w:rPr>
      </w:pPr>
      <w:bookmarkStart w:id="8" w:name="_jt92lk3rw5ly" w:colFirst="0" w:colLast="0"/>
      <w:bookmarkEnd w:id="8"/>
      <w:r>
        <w:rPr>
          <w:rFonts w:ascii="Times New Roman" w:eastAsia="Times New Roman" w:hAnsi="Times New Roman" w:cs="Times New Roman"/>
          <w:sz w:val="24"/>
          <w:szCs w:val="24"/>
          <w:u w:val="single"/>
        </w:rPr>
        <w:t>DA ABERTURA DA SESSÃO, CLASSIFICAÇÃO DAS PROPOSTAS E FORMULAÇÃO DE LANCES</w:t>
      </w:r>
    </w:p>
    <w:p w14:paraId="4149DF27"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A abertura da presente licitação ocorrerá em sessão pública, por meio de sistema eletrônico, na data, horário e endereço eletrônico indicados neste Edital.</w:t>
      </w:r>
    </w:p>
    <w:p w14:paraId="4A02B947"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 Aberta a sessão pública, o Agente de Contratação verificará as propostas apresentadas, desclassificando aquelas que não estejam em conformidade com os requisitos estabelecidos neste Edital e em seus anexos, que contenham vícios insanáveis ou que não atendam às especificações técnicas exigidas no Projeto Básico, no Memorial Descritivo, na Planilha Orçamentária e nos demais documentos técnicos que integram o processo, observado o art. 59 da Lei Federal nº 14.133/2021.</w:t>
      </w:r>
    </w:p>
    <w:p w14:paraId="658AB806"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 A desclassificação da proposta será sempre fundamentada e registrada no sistema eletrônico, com acompanhamento pelos licitantes.</w:t>
      </w:r>
    </w:p>
    <w:p w14:paraId="15C2B937"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A classificação inicial da proposta não impede o seu julgamento definitivo, podendo a proposta ser desclassificada posteriormente, de forma fundamentada e registrada no sistema, caso seja constatada desconformidade com as exigências deste Edital ou de seus anexos.</w:t>
      </w:r>
    </w:p>
    <w:p w14:paraId="6A483032"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10.5. O sistema ordenará automaticamente as propostas classificadas, sendo que somente estas participarão da etapa de lances.</w:t>
      </w:r>
    </w:p>
    <w:p w14:paraId="6E6DD75C"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10.6. O sistema disponibilizará campo próprio para troca de mensagens entre o Agente de Contratação e os licitantes.</w:t>
      </w:r>
    </w:p>
    <w:p w14:paraId="06EBE587"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10.7. Iniciada a etapa competitiva, os licitantes deverão encaminhar lances exclusivamente por meio do sistema eletrônico, sendo imediatamente informados do seu recebimento e do valor registrado.</w:t>
      </w:r>
    </w:p>
    <w:p w14:paraId="22D11E52"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10.8. Os lances deverão ser ofertados pelo valor global da proposta, em moeda corrente nacional, considerando a integralidade do objeto licitado.</w:t>
      </w:r>
    </w:p>
    <w:p w14:paraId="4B85050F"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10.9. O procedimento observará o modo de disputa adotado neste Edital.</w:t>
      </w:r>
    </w:p>
    <w:p w14:paraId="491FDF0C"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10.10. O modo de disputa será aberto, hipótese em que os licitantes apresentarão lances públicos e sucessivos, com prorrogações, na forma operacionalizada pelo sistema eletrônico.</w:t>
      </w:r>
    </w:p>
    <w:p w14:paraId="66BCBDF4"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10.11. A etapa de lances terá duração inicial de 10 (dez) minutos e será prorrogada automaticamente quando houver lance ofertado nos últimos 2 (dois) minutos do período de duração da sessão pública.</w:t>
      </w:r>
    </w:p>
    <w:p w14:paraId="71D01760"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10.12. A prorrogação automática será de 2 (dois) minutos e ocorrerá sucessivamente sempre que houver lances enviados nesse período de prorrogação, inclusive lances intermediários, observadas as regras do sistema eletrônico.</w:t>
      </w:r>
    </w:p>
    <w:p w14:paraId="571DA0A1"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10.13. Não havendo novos lances na forma estabelecida nos itens anteriores, a etapa competitiva será encerrada automaticamente, cabendo ao sistema ordenar e divulgar os lances conforme a ordem final de classificação.</w:t>
      </w:r>
    </w:p>
    <w:p w14:paraId="26A829EA"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10.14. Definida a melhor proposta, caso a diferença em relação à proposta classificada em segundo lugar seja de, pelo menos, 5% (cinco por cento), o Agente de Contratação, auxiliado pela equipe de apoio, poderá admitir, se houver funcionalidade disponível no sistema eletrônico, o reinício da disputa aberta para definição das demais colocações.</w:t>
      </w:r>
    </w:p>
    <w:p w14:paraId="1C5CBF4A"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10.15. Na hipótese de reinício da disputa aberta, os licitantes serão convocados a apresentar lances intermediários, observadas as regras do sistema eletrônico e deste Edital.</w:t>
      </w:r>
    </w:p>
    <w:p w14:paraId="2D234616" w14:textId="77777777" w:rsidR="00D30A31" w:rsidRDefault="006B1BAE">
      <w:p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10.16. Encerrada a etapa de lances, o licitante classificado em primeiro lugar poderá ser convocado a apresentar proposta readequada ao último lance ofertado, acompanhada da respectiva planilha orçamentária detalhada, BDI, composições e cronograma físico-financeiro, quando exigidos, para fins de análise de aceitabilidade da proposta.</w:t>
      </w:r>
    </w:p>
    <w:p w14:paraId="3D44896B" w14:textId="77777777" w:rsidR="00D30A31" w:rsidRDefault="006B1BAE">
      <w:pPr>
        <w:numPr>
          <w:ilvl w:val="0"/>
          <w:numId w:val="1"/>
        </w:numPr>
        <w:pBdr>
          <w:top w:val="nil"/>
          <w:left w:val="nil"/>
          <w:bottom w:val="nil"/>
          <w:right w:val="nil"/>
          <w:between w:val="nil"/>
        </w:pBdr>
        <w:tabs>
          <w:tab w:val="left" w:pos="570"/>
        </w:tabs>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u w:val="single"/>
        </w:rPr>
        <w:t>DA NEGOCIAÇÃO, JULGAMENTO E ACEITAÇÃO DAS PROPOSTAS</w:t>
      </w:r>
    </w:p>
    <w:p w14:paraId="09589608"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Encerrada a etapa de lances, será verificada a ocorrência de empate entre propostas ou lances, hipótese em que serão aplicados os critérios de desempate previstos no art. 60 da Lei Federal nº 14.133/2021, na seguinte ordem:</w:t>
      </w:r>
    </w:p>
    <w:p w14:paraId="26806150"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disputa final, hipótese em que os licitantes empatados poderão apresentar nova proposta em ato contínuo à classificação;</w:t>
      </w:r>
    </w:p>
    <w:p w14:paraId="2621FA94"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avaliação do desempenho contratual prévio dos licitantes, para a qual deverão ser utilizados, preferencialmente, registros cadastrais para efeito de atesto de cumprimento de obrigações, quando disponíveis;</w:t>
      </w:r>
    </w:p>
    <w:p w14:paraId="0096C24E"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desenvolvimento, pelo licitante, de ações de equidade entre homens e mulheres no ambiente de trabalho, conforme regulamento aplicável;</w:t>
      </w:r>
    </w:p>
    <w:p w14:paraId="32A8E934"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desenvolvimento, pelo licitante, de programa de integridade, conforme orientações dos órgãos de controle.</w:t>
      </w:r>
    </w:p>
    <w:p w14:paraId="15073295"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Persistindo o empate após a aplicação dos critérios previstos no item anterior, será assegurada preferência, sucessivamente, aos bens e serviços produzidos ou prestados por:</w:t>
      </w:r>
    </w:p>
    <w:p w14:paraId="502C3011"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empresas estabelecidas no território do Estado do Rio de Janeiro;</w:t>
      </w:r>
    </w:p>
    <w:p w14:paraId="4A3CEBA2"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empresas brasileiras;</w:t>
      </w:r>
    </w:p>
    <w:p w14:paraId="1E2873C8"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empresas que invistam em pesquisa e no desenvolvimento de tecnologia no País;</w:t>
      </w:r>
    </w:p>
    <w:p w14:paraId="10EE6F8A"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empresas que comprovem a prática de mitigação, nos termos da Lei Federal nº 12.187, de 29 de dezembro de 2009.</w:t>
      </w:r>
    </w:p>
    <w:p w14:paraId="2639B73C"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Encerrada a etapa de lances e definida a ordem de classificação, o Agente de Contratação poderá </w:t>
      </w:r>
      <w:r>
        <w:rPr>
          <w:rFonts w:ascii="Times New Roman" w:eastAsia="Times New Roman" w:hAnsi="Times New Roman" w:cs="Times New Roman"/>
          <w:sz w:val="24"/>
          <w:szCs w:val="24"/>
        </w:rPr>
        <w:lastRenderedPageBreak/>
        <w:t>negociar com o licitante classificado em primeiro lugar, por meio do sistema eletrônico, com vistas à obtenção de condições mais vantajosas para a Administração.</w:t>
      </w:r>
    </w:p>
    <w:p w14:paraId="0F3731D2"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11.4. A negociação será realizada por meio do sistema eletrônico, podendo ser acompanhada pelos demais licitantes.</w:t>
      </w:r>
    </w:p>
    <w:p w14:paraId="537F0188"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11.5. Após a negociação, o Agente de Contratação examinará a proposta classificada em primeiro lugar quanto à sua adequação ao objeto, à compatibilidade do preço ofertado com o valor máximo estimado, à exequibilidade e ao atendimento das condições estabelecidas neste Edital e em seus anexos.</w:t>
      </w:r>
    </w:p>
    <w:p w14:paraId="4A6A99BE"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11.6. Será desclassificada a proposta que, após a negociação:</w:t>
      </w:r>
    </w:p>
    <w:p w14:paraId="7698F7F8"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contiver vícios insanáveis;</w:t>
      </w:r>
    </w:p>
    <w:p w14:paraId="656DDF26"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não atender às especificações técnicas, quantitativos, prazos ou demais condições previstas no Projeto Básico, Memorial Descritivo, Planilha Orçamentária, Cronograma Físico-Financeiro e demais anexos deste Edital;</w:t>
      </w:r>
    </w:p>
    <w:p w14:paraId="4316B0F6"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apresentar preço global superior ao valor máximo estimado pela Administração;</w:t>
      </w:r>
    </w:p>
    <w:p w14:paraId="588FA661"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apresentar preços manifestamente inexequíveis ou incompatíveis com a execução do objeto;</w:t>
      </w:r>
    </w:p>
    <w:p w14:paraId="19EECF5A"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não tiver sua exequibilidade demonstrada, quando exigida pela Administração;</w:t>
      </w:r>
    </w:p>
    <w:p w14:paraId="799569B0"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 apresentar desconformidade insanável com quaisquer exigências deste Edital ou de seus anexos.</w:t>
      </w:r>
    </w:p>
    <w:p w14:paraId="74047567"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11.7. Caso a proposta do primeiro colocado seja desclassificada, a negociação poderá ser realizada com os demais licitantes, observada a ordem de classificação.</w:t>
      </w:r>
    </w:p>
    <w:p w14:paraId="6A18E2FB"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11.8. O resultado da negociação e do julgamento da proposta será divulgado no sistema eletrônico e juntado aos autos do processo licitatório.</w:t>
      </w:r>
    </w:p>
    <w:p w14:paraId="57C8AD0B" w14:textId="77777777" w:rsidR="00D30A31" w:rsidRDefault="006B1BAE">
      <w:pPr>
        <w:tabs>
          <w:tab w:val="left" w:pos="57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11.9. Aceita a proposta, o Agente de Contratação passará à análise dos documentos de habilitação do licitante classificado em primeiro lugar, observadas as regras estabelecidas neste Edital.</w:t>
      </w:r>
    </w:p>
    <w:p w14:paraId="48A3747C" w14:textId="77777777" w:rsidR="00D30A31" w:rsidRDefault="006B1BAE">
      <w:pPr>
        <w:pStyle w:val="Ttulo1"/>
        <w:numPr>
          <w:ilvl w:val="0"/>
          <w:numId w:val="1"/>
        </w:numPr>
        <w:tabs>
          <w:tab w:val="left" w:pos="372"/>
        </w:tabs>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DA FASE DE HABILITAÇÃO</w:t>
      </w:r>
    </w:p>
    <w:p w14:paraId="41B88BB1" w14:textId="77777777" w:rsidR="00D30A31" w:rsidRDefault="00D30A31">
      <w:pPr>
        <w:pStyle w:val="Ttulo1"/>
        <w:tabs>
          <w:tab w:val="left" w:pos="372"/>
        </w:tabs>
        <w:ind w:left="0"/>
        <w:rPr>
          <w:rFonts w:ascii="Times New Roman" w:eastAsia="Times New Roman" w:hAnsi="Times New Roman" w:cs="Times New Roman"/>
          <w:sz w:val="24"/>
          <w:szCs w:val="24"/>
          <w:u w:val="single"/>
        </w:rPr>
      </w:pPr>
    </w:p>
    <w:p w14:paraId="5FD3EC8D"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12.1. Encerrada a etapa de aceitação da proposta, o Agente de Contratação verificará se o licitante provisoriamente classificado em primeiro lugar atende às condições de participação no certame, especialmente aquelas previstas no art. 14 da Lei Federal nº 14.133/2021, na legislação correlata e neste Edital.</w:t>
      </w:r>
    </w:p>
    <w:p w14:paraId="6026C299"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Para aferição de eventuais impedimentos de participação em licitações ou de contratação com a Administração Pública, poderão ser realizadas consultas aos cadastros oficiais pertinentes, incluindo, quando aplicável:</w:t>
      </w:r>
    </w:p>
    <w:p w14:paraId="4A045E91"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Cadastro Nacional de Empresas Inidôneas e Suspensas - CEIS, mantido pela Controladoria-Geral da União;</w:t>
      </w:r>
    </w:p>
    <w:p w14:paraId="24ACCB9A"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Cadastro Nacional de Condenações Cíveis por Ato de Improbidade Administrativa e Inelegibilidade, mantido pelo Conselho Nacional de Justiça;</w:t>
      </w:r>
    </w:p>
    <w:p w14:paraId="140B8E24"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Portal da Transparência do Governo Federal;</w:t>
      </w:r>
    </w:p>
    <w:p w14:paraId="1A58C197"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outros cadastros oficiais disponíveis e pertinentes à verificação das condições de participação.</w:t>
      </w:r>
    </w:p>
    <w:p w14:paraId="5A076E68"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 O não atendimento às condições de participação acarretará a desclassificação da proposta ou a inabilitação do licitante, conforme a fase do procedimento, sem prejuízo da apuração de responsabilidade e da aplicação das sanções cabíveis, podendo o Agente de Contratação convocar o licitante subsequente, observada a ordem de classificação.</w:t>
      </w:r>
    </w:p>
    <w:p w14:paraId="6A238098"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 Caso atendidas as condições de participação, será iniciado o procedimento de análise dos documentos de habilitação.</w:t>
      </w:r>
    </w:p>
    <w:p w14:paraId="6F0927E0"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12.5. É dever do licitante manter previamente atualizadas as comprovações constantes do Portal de Compras Públicas, de modo que estejam válidas na data de abertura da sessão pública e durante as fases subsequentes do certame.</w:t>
      </w:r>
    </w:p>
    <w:p w14:paraId="4D4BA25A"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12.6. Na análise da documentação das microempresas e empresas de pequeno porte, o Agente de Contratação observará o tratamento favorecido previsto nos arts. 42 e 43 da Lei Complementar Federal nº 123/2006.</w:t>
      </w:r>
    </w:p>
    <w:p w14:paraId="69A038C6"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12.7. Havendo necessidade de documentos complementares destinados à confirmação daqueles </w:t>
      </w:r>
      <w:r>
        <w:rPr>
          <w:rFonts w:ascii="Times New Roman" w:eastAsia="Times New Roman" w:hAnsi="Times New Roman" w:cs="Times New Roman"/>
          <w:sz w:val="24"/>
          <w:szCs w:val="24"/>
        </w:rPr>
        <w:lastRenderedPageBreak/>
        <w:t>exigidos neste Edital e já apresentados pelo licitante, o Agente de Contratação poderá convocá-lo para encaminhá-los, em formato digital, por meio do sistema eletrônico, no prazo estabelecido na convocação.</w:t>
      </w:r>
    </w:p>
    <w:p w14:paraId="42AEFB37"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12.8. Somente será exigida a apresentação de documentos originais não digitais quando houver dúvida quanto à integridade, autenticidade ou validade jurídica do documento digital apresentado.</w:t>
      </w:r>
    </w:p>
    <w:p w14:paraId="4DE84D6A"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12.9. Eventual inabilitação do licitante poderá ensejar a apuração da veracidade das informações prestadas na declaração de cumprimento dos requisitos de habilitação, nos termos do art. 63, inciso I, da Lei Federal nº 14.133/2021.</w:t>
      </w:r>
    </w:p>
    <w:p w14:paraId="63EEAC94"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12.10. Após o envio dos documentos de habilitação, não será permitida a substituição ou apresentação de novos documentos, salvo em sede de diligência, para:</w:t>
      </w:r>
    </w:p>
    <w:p w14:paraId="565F9822"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complementação de informações acerca de documentos já apresentados, desde que necessária à apuração de fatos existentes à época da abertura do certame;</w:t>
      </w:r>
    </w:p>
    <w:p w14:paraId="2C5C3F8C"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atualização de documentos cuja validade tenha expirado após a data limite estabelecida para recebimento das propostas.</w:t>
      </w:r>
    </w:p>
    <w:p w14:paraId="69FEA69D"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12.11. Na análise dos documentos de habilitação, o Agente de Contratação poderá sanar erros ou falhas que não alterem a substância dos documentos nem sua validade jurídica, mediante decisão fundamentada, registrada em ata e acessível a todos os licitantes, atribuindo-lhes eficácia para fins de habilitação.</w:t>
      </w:r>
    </w:p>
    <w:p w14:paraId="694ABD2F"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12.12. Caso o licitante não atenda às exigências de habilitação, o Agente de Contratação examinará a proposta subsequente e procederá à verificação dos respectivos documentos de habilitação, observada a ordem de classificação, até a apuração de licitante que atenda integralmente às exigências deste Edital.</w:t>
      </w:r>
    </w:p>
    <w:p w14:paraId="7348A058" w14:textId="77777777" w:rsidR="00D30A31" w:rsidRDefault="006B1BAE">
      <w:pPr>
        <w:tabs>
          <w:tab w:val="left" w:pos="574"/>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12.13. Verificada a conformidade da proposta e dos documentos de habilitação, o licitante será declarado vencedor do certame.</w:t>
      </w:r>
    </w:p>
    <w:p w14:paraId="443C3BDE" w14:textId="77777777" w:rsidR="00D30A31" w:rsidRDefault="00D30A31">
      <w:pPr>
        <w:pBdr>
          <w:top w:val="nil"/>
          <w:left w:val="nil"/>
          <w:bottom w:val="nil"/>
          <w:right w:val="nil"/>
          <w:between w:val="nil"/>
        </w:pBdr>
        <w:tabs>
          <w:tab w:val="left" w:pos="822"/>
        </w:tabs>
        <w:jc w:val="both"/>
        <w:rPr>
          <w:rFonts w:ascii="Times New Roman" w:eastAsia="Times New Roman" w:hAnsi="Times New Roman" w:cs="Times New Roman"/>
          <w:color w:val="000000"/>
          <w:sz w:val="24"/>
          <w:szCs w:val="24"/>
        </w:rPr>
      </w:pPr>
    </w:p>
    <w:p w14:paraId="55D17CB4" w14:textId="77777777" w:rsidR="00D30A31" w:rsidRDefault="006B1BAE">
      <w:pPr>
        <w:pStyle w:val="Ttulo1"/>
        <w:numPr>
          <w:ilvl w:val="0"/>
          <w:numId w:val="4"/>
        </w:numPr>
        <w:tabs>
          <w:tab w:val="left" w:pos="142"/>
        </w:tabs>
        <w:rPr>
          <w:rFonts w:ascii="Times New Roman" w:eastAsia="Times New Roman" w:hAnsi="Times New Roman" w:cs="Times New Roman"/>
        </w:rPr>
      </w:pPr>
      <w:r>
        <w:rPr>
          <w:rFonts w:ascii="Times New Roman" w:eastAsia="Times New Roman" w:hAnsi="Times New Roman" w:cs="Times New Roman"/>
          <w:sz w:val="24"/>
          <w:szCs w:val="24"/>
          <w:u w:val="single"/>
        </w:rPr>
        <w:t>DA PROPOSTA READEQUADA</w:t>
      </w:r>
    </w:p>
    <w:p w14:paraId="60A9E30D" w14:textId="77777777" w:rsidR="00D30A31" w:rsidRDefault="00D30A31">
      <w:pPr>
        <w:pStyle w:val="Ttulo1"/>
        <w:tabs>
          <w:tab w:val="left" w:pos="142"/>
        </w:tabs>
        <w:ind w:left="254"/>
        <w:rPr>
          <w:rFonts w:ascii="Times New Roman" w:eastAsia="Times New Roman" w:hAnsi="Times New Roman" w:cs="Times New Roman"/>
          <w:sz w:val="24"/>
          <w:szCs w:val="24"/>
          <w:u w:val="single"/>
        </w:rPr>
      </w:pPr>
    </w:p>
    <w:p w14:paraId="70784582"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13.1. Encerrada a etapa de lances e, quando houver, a negociação, o Agente de Contratação convocará </w:t>
      </w:r>
      <w:r>
        <w:rPr>
          <w:rFonts w:ascii="Times New Roman" w:eastAsia="Times New Roman" w:hAnsi="Times New Roman" w:cs="Times New Roman"/>
          <w:sz w:val="24"/>
          <w:szCs w:val="24"/>
        </w:rPr>
        <w:lastRenderedPageBreak/>
        <w:t>o licitante mais bem classificado para apresentar, no prazo estabelecido no sistema eletrônico, a proposta readequada ao último lance ofertado ou ao valor final negociado.</w:t>
      </w:r>
    </w:p>
    <w:p w14:paraId="510F799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13.2. A proposta readequada deverá ser encaminhada em campo próprio do sistema eletrônico, acompanhada, quando exigido, dos documentos complementares necessários à análise de sua aceitabilidade, exequibilidade e compatibilidade com as condições estabelecidas neste Edital e em seus anexos.</w:t>
      </w:r>
    </w:p>
    <w:p w14:paraId="59B9AA18"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O prazo para envio da proposta readequada poderá ser prorrogado pelo Agente de Contratação, mediante solicitação fundamentada do licitante, apresentada pelo sistema eletrônico antes do término do prazo inicialmente concedido.</w:t>
      </w:r>
    </w:p>
    <w:p w14:paraId="42BF32A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13.4. A proposta comercial readequada deverá ser apresentada em arquivo digital, preferencialmente em formato PDF pesquisável, devidamente assinada pelo representante legal da empresa ou por procurador regularmente constituído, devendo conter, no mínimo:</w:t>
      </w:r>
    </w:p>
    <w:p w14:paraId="3C0846DB"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identificação completa da licitante, incluindo razão social, CNPJ, inscrição estadual e/ou municipal, quando aplicável, endereço completo, telefone, e-mail e dados bancários;</w:t>
      </w:r>
    </w:p>
    <w:p w14:paraId="24930CE3"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descrição do objeto ofertado, em conformidade com o Projeto Básico, Memorial Descritivo, Planilha Orçamentária, Cronograma Físico-Financeiro e demais anexos deste Edital;</w:t>
      </w:r>
    </w:p>
    <w:p w14:paraId="38622553"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valor global da proposta, em moeda corrente nacional, com no máximo 2 (duas) casas decimais;</w:t>
      </w:r>
    </w:p>
    <w:p w14:paraId="283EB839"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planilha orçamentária readequada ao valor final ofertado, contendo quantitativos, preços unitários, preços totais, BDI, encargos, composições, quando exigidas, e demais elementos necessários à verificação da compatibilidade da proposta com o regime de empreitada por preço unitário;</w:t>
      </w:r>
    </w:p>
    <w:p w14:paraId="092E18BC"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cronograma físico-financeiro readequado, quando exigido pela Administração;</w:t>
      </w:r>
    </w:p>
    <w:p w14:paraId="48779659"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 declaração de que nos preços ofertados estão incluídos todos os custos diretos e indiretos necessários à integral execução da obra, tais como materiais, mão de obra, equipamentos, ferramentas, transporte, mobilização, desmobilização, encargos trabalhistas, previdenciários, fiscais, comerciais, tributos, seguros, garantias, BDI e demais despesas incidentes.</w:t>
      </w:r>
    </w:p>
    <w:p w14:paraId="2ECFBB0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A proposta readequada deverá observar integralmente os quantitativos, especificações técnicas, </w:t>
      </w:r>
      <w:r>
        <w:rPr>
          <w:rFonts w:ascii="Times New Roman" w:eastAsia="Times New Roman" w:hAnsi="Times New Roman" w:cs="Times New Roman"/>
          <w:sz w:val="24"/>
          <w:szCs w:val="24"/>
        </w:rPr>
        <w:lastRenderedPageBreak/>
        <w:t>prazos, condições de execução e demais exigências estabelecidas neste Edital e em seus anexos, sendo vedada a alteração do objeto, a supressão de serviços, a modificação injustificada dos quantitativos ou a inclusão de condições não previstas no instrumento convocatório.</w:t>
      </w:r>
    </w:p>
    <w:p w14:paraId="72480969"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A readequação da planilha deverá preservar a coerência dos preços unitários e globais, sendo vedada a redistribuição artificial de valores, a majoração injustificada de itens unitários, a adoção de preços incompatíveis com os referenciais da Administração ou qualquer composição que possa caracterizar jogo de planilha, sobrepreço, inexequibilidade ou risco à adequada execução da obra.</w:t>
      </w:r>
    </w:p>
    <w:p w14:paraId="509DEE9D"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Os arquivos encaminhados deverão ser assinados pelo representante legal da licitante ou por procurador regularmente constituído, admitida assinatura eletrônica válida, inclusive aquela produzida mediante certificado digital emitido no âmbito da Infraestrutura de Chaves Públicas Brasileira — ICP-Brasil.</w:t>
      </w:r>
    </w:p>
    <w:p w14:paraId="55D7E569"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Os documentos eletrônicos produzidos com a utilização de processo de certificação disponibilizado pela ICP-Brasil, nos termos da Medida Provisória nº 2.200-2, de 24 de agosto de 2001, serão recebidos com presunção de autenticidade em relação aos signatários, dispensado o envio de documentos originais ou cópias autenticadas em papel, salvo dúvida fundada quanto à integridade ou autenticidade do documento.</w:t>
      </w:r>
    </w:p>
    <w:p w14:paraId="5688C7F5"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A licitante e seu representante legal são responsáveis pela autenticidade, veracidade e integridade das informações e documentos encaminhados eletronicamente.</w:t>
      </w:r>
    </w:p>
    <w:p w14:paraId="586BE189"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Após o recebimento da proposta readequada, o Agente de Contratação analisará sua conformidade com este Edital e seus anexos, podendo solicitar diligências para esclarecimento de informações, comprovação da exequibilidade ou correção de erros formais que não alterem a substância da proposta.</w:t>
      </w:r>
    </w:p>
    <w:p w14:paraId="3DB83550"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Encerrada a análise da proposta readequada e da habilitação, o Agente de Contratação anunciará, em campo próprio do sistema, a abertura do prazo para manifestação de intenção de recurso, nos termos deste Edital.</w:t>
      </w:r>
    </w:p>
    <w:p w14:paraId="5EE21128"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Inexistindo manifestação de intenção de recurso ou decididos os recursos eventualmente interpostos, o procedimento seguirá para adjudicação e homologação pela autoridade competente, na forma da Lei Federal nº 14.133/2021.</w:t>
      </w:r>
    </w:p>
    <w:p w14:paraId="21B9163B" w14:textId="77777777" w:rsidR="00D30A31" w:rsidRDefault="00D30A31">
      <w:pPr>
        <w:pBdr>
          <w:top w:val="nil"/>
          <w:left w:val="nil"/>
          <w:bottom w:val="nil"/>
          <w:right w:val="nil"/>
          <w:between w:val="nil"/>
        </w:pBdr>
        <w:rPr>
          <w:rFonts w:ascii="Times New Roman" w:eastAsia="Times New Roman" w:hAnsi="Times New Roman" w:cs="Times New Roman"/>
          <w:color w:val="000000"/>
          <w:sz w:val="24"/>
          <w:szCs w:val="24"/>
        </w:rPr>
      </w:pPr>
    </w:p>
    <w:p w14:paraId="5496A216" w14:textId="77777777" w:rsidR="00D30A31" w:rsidRDefault="006B1BAE">
      <w:pPr>
        <w:pStyle w:val="Ttulo1"/>
        <w:numPr>
          <w:ilvl w:val="0"/>
          <w:numId w:val="4"/>
        </w:numPr>
        <w:tabs>
          <w:tab w:val="left" w:pos="142"/>
        </w:tabs>
        <w:ind w:left="0" w:firstLine="0"/>
        <w:jc w:val="both"/>
        <w:rPr>
          <w:rFonts w:ascii="Times New Roman" w:eastAsia="Times New Roman" w:hAnsi="Times New Roman" w:cs="Times New Roman"/>
        </w:rPr>
      </w:pPr>
      <w:r>
        <w:rPr>
          <w:rFonts w:ascii="Times New Roman" w:eastAsia="Times New Roman" w:hAnsi="Times New Roman" w:cs="Times New Roman"/>
          <w:sz w:val="24"/>
          <w:szCs w:val="24"/>
          <w:u w:val="single"/>
        </w:rPr>
        <w:t>DOS RECURSOS</w:t>
      </w:r>
    </w:p>
    <w:p w14:paraId="31D4F8DD" w14:textId="77777777" w:rsidR="00D30A31" w:rsidRDefault="00D30A31">
      <w:pPr>
        <w:pStyle w:val="Ttulo1"/>
        <w:tabs>
          <w:tab w:val="left" w:pos="142"/>
        </w:tabs>
        <w:ind w:left="0"/>
        <w:jc w:val="both"/>
        <w:rPr>
          <w:rFonts w:ascii="Times New Roman" w:eastAsia="Times New Roman" w:hAnsi="Times New Roman" w:cs="Times New Roman"/>
          <w:sz w:val="24"/>
          <w:szCs w:val="24"/>
          <w:u w:val="single"/>
        </w:rPr>
      </w:pPr>
    </w:p>
    <w:p w14:paraId="525C0C14"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w:t>
      </w:r>
      <w:r>
        <w:rPr>
          <w:rFonts w:ascii="Times New Roman" w:eastAsia="Times New Roman" w:hAnsi="Times New Roman" w:cs="Times New Roman"/>
          <w:sz w:val="24"/>
          <w:szCs w:val="24"/>
        </w:rPr>
        <w:t xml:space="preserve"> Declarado o vencedor, qualquer licitante poderá manifestar, em campo próprio do sistema eletrônico, sua intenção de interpor recurso, de forma imediata e motivada, sob pena de preclusão.</w:t>
      </w:r>
    </w:p>
    <w:p w14:paraId="30483448"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 Admitida a intenção de recurso, o licitante recorrente deverá apresentar suas razões recursais no prazo de 3 (três) dias úteis, contado da data de intimação ou do encerramento da sessão, conforme registro no sistema eletrônico.</w:t>
      </w:r>
    </w:p>
    <w:p w14:paraId="5D0A7FE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14.3. Os demais licitantes ficarão intimados para, querendo, apresentar contrarrazões no prazo de 3 (três) dias úteis, contado do término do prazo concedido ao recorrente, sendo assegurada vista imediata dos elementos indispensáveis à defesa de seus interesses.</w:t>
      </w:r>
    </w:p>
    <w:p w14:paraId="76D9A14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14.4. As razões de recurso e as contrarrazões deverão ser apresentadas exclusivamente por meio eletrônico, em campo próprio do sistema, observados os prazos e as condições estabelecidas neste Edital.</w:t>
      </w:r>
    </w:p>
    <w:p w14:paraId="160CEAE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14.5. A ausência de manifestação imediata e motivada da intenção de recorrer importará a preclusão do direito de recurso, hipótese em que o procedimento seguirá para adjudicação e homologação pela autoridade competente, nos termos da Lei Federal nº 14.133/2021.</w:t>
      </w:r>
    </w:p>
    <w:p w14:paraId="089C45C3"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14.6. Na hipótese de interposição de recurso, o Agente de Contratação poderá reconsiderar sua decisão ou encaminhar o recurso, devidamente informado, à autoridade competente para decisão.</w:t>
      </w:r>
    </w:p>
    <w:p w14:paraId="6E2CF2E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14.7. O recurso terá efeito suspensivo quanto ao ato ou à decisão recorrida, até que sobrevenha decisão final da autoridade competente.</w:t>
      </w:r>
    </w:p>
    <w:p w14:paraId="4D6F5013"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14.8. O acolhimento do recurso importará a invalidação apenas dos atos que não puderem ser aproveitados.</w:t>
      </w:r>
    </w:p>
    <w:p w14:paraId="425FBFBF"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14.9. Decididos os recursos administrativos eventualmente interpostos e constatada a regularidade dos atos praticados, a autoridade competente adjudicará o objeto à licitante vencedora e homologará o procedimento licitatório, conforme o interesse público.</w:t>
      </w:r>
    </w:p>
    <w:p w14:paraId="6E4BC9DE"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14.10. Caberá pedido de reconsideração, no prazo de 3 (três) dias úteis, contado da data de intimação, </w:t>
      </w:r>
      <w:r>
        <w:rPr>
          <w:rFonts w:ascii="Times New Roman" w:eastAsia="Times New Roman" w:hAnsi="Times New Roman" w:cs="Times New Roman"/>
          <w:sz w:val="24"/>
          <w:szCs w:val="24"/>
        </w:rPr>
        <w:lastRenderedPageBreak/>
        <w:t>relativamente a ato do qual não caiba recurso hierárquico, nos termos da Lei Federal nº 14.133/2021.</w:t>
      </w:r>
    </w:p>
    <w:p w14:paraId="6C8C2E6D" w14:textId="77777777" w:rsidR="00D30A31" w:rsidRDefault="00D30A31">
      <w:pPr>
        <w:pBdr>
          <w:top w:val="nil"/>
          <w:left w:val="nil"/>
          <w:bottom w:val="nil"/>
          <w:right w:val="nil"/>
          <w:between w:val="nil"/>
        </w:pBdr>
        <w:rPr>
          <w:rFonts w:ascii="Times New Roman" w:eastAsia="Times New Roman" w:hAnsi="Times New Roman" w:cs="Times New Roman"/>
          <w:sz w:val="24"/>
          <w:szCs w:val="24"/>
        </w:rPr>
      </w:pPr>
    </w:p>
    <w:p w14:paraId="58DDF146" w14:textId="77777777" w:rsidR="00D30A31" w:rsidRDefault="006B1BAE">
      <w:pPr>
        <w:numPr>
          <w:ilvl w:val="0"/>
          <w:numId w:val="4"/>
        </w:numPr>
        <w:pBdr>
          <w:top w:val="nil"/>
          <w:left w:val="nil"/>
          <w:bottom w:val="nil"/>
          <w:right w:val="nil"/>
          <w:between w:val="nil"/>
        </w:pBdr>
        <w:ind w:left="0" w:firstLine="0"/>
        <w:jc w:val="both"/>
        <w:rPr>
          <w:rFonts w:ascii="Times New Roman" w:eastAsia="Times New Roman" w:hAnsi="Times New Roman" w:cs="Times New Roman"/>
          <w:color w:val="000000"/>
        </w:rPr>
      </w:pPr>
      <w:bookmarkStart w:id="9" w:name="6mvdjzoko2nb" w:colFirst="0" w:colLast="0"/>
      <w:bookmarkStart w:id="10" w:name="_ptb3nagtwtfb" w:colFirst="0" w:colLast="0"/>
      <w:bookmarkEnd w:id="9"/>
      <w:bookmarkEnd w:id="10"/>
      <w:r>
        <w:rPr>
          <w:rFonts w:ascii="Times New Roman" w:eastAsia="Times New Roman" w:hAnsi="Times New Roman" w:cs="Times New Roman"/>
          <w:b/>
          <w:bCs/>
          <w:color w:val="000000"/>
          <w:sz w:val="24"/>
          <w:szCs w:val="24"/>
          <w:u w:val="single"/>
        </w:rPr>
        <w:t>PRAZO CONTRATUAL</w:t>
      </w:r>
    </w:p>
    <w:p w14:paraId="557DF700" w14:textId="77777777" w:rsidR="00D30A31" w:rsidRDefault="00D30A31">
      <w:pPr>
        <w:pBdr>
          <w:top w:val="nil"/>
          <w:left w:val="nil"/>
          <w:bottom w:val="nil"/>
          <w:right w:val="nil"/>
          <w:between w:val="nil"/>
        </w:pBdr>
        <w:jc w:val="both"/>
        <w:rPr>
          <w:rFonts w:ascii="Times New Roman" w:eastAsia="Times New Roman" w:hAnsi="Times New Roman" w:cs="Times New Roman"/>
          <w:b/>
          <w:bCs/>
          <w:color w:val="000000"/>
          <w:sz w:val="24"/>
          <w:szCs w:val="24"/>
          <w:u w:val="single"/>
        </w:rPr>
      </w:pPr>
    </w:p>
    <w:p w14:paraId="5C799C68"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15.1. A obra deverá ser executada de acordo com o Projeto Básico, Memorial Descritivo, Planilha Orçamentária, Cronograma Físico-Financeiro, Matriz de Riscos e demais anexos deste Edital, observadas as normas técnicas aplicáveis e as determinações da fiscalização.</w:t>
      </w:r>
    </w:p>
    <w:p w14:paraId="407220B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15.2. O prazo total de execução da obra será de 360 (trezentos e sessenta) dias, contados a partir do primeiro dia subsequente à emissão da ordem de início.</w:t>
      </w:r>
    </w:p>
    <w:p w14:paraId="755DEBA3"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15.3. A execução da obra será organizada em 12 (doze) etapas, com duração estimada de até 30 (trinta) dias cada, observados os marcos, serviços e desembolsos previstos no Cronograma Físico-Financeiro.</w:t>
      </w:r>
    </w:p>
    <w:p w14:paraId="2F25C048"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15.4. O prazo de vigência do contrato será de 455 (quatrocentos e cinquenta e cinco) dias, contado do primeiro dia subsequente à sua assinatura, compreendendo o período necessário à mobilização inicial, execução da obra, regularizações perante os órgãos competentes, comunicação de conclusão, recebimento provisório, recebimento definitivo, adoção das providências administrativas de encerramento contratual e pagamento.</w:t>
      </w:r>
    </w:p>
    <w:p w14:paraId="564E4B91"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15.5. O regime de execução será o de empreitada por preço unitário, observado o pagamento pelos quantitativos efetivamente executados, medidos e atestados pela fiscalização, conforme preços unitários contratados e cronograma físico-financeiro.</w:t>
      </w:r>
    </w:p>
    <w:p w14:paraId="14B5E979"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15.6. Antes do início da execução, a contratada deverá participar de reunião inicial com a fiscalização e a gestão do contrato, para alinhamento do planejamento das etapas, cronograma, procedimentos de medição, segurança do trabalho, comunicação entre as partes, diário de obras e demais rotinas de acompanhamento contratual.</w:t>
      </w:r>
    </w:p>
    <w:p w14:paraId="21CA7ABC"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15.7. Antes do início dos serviços, a contratada deverá apresentar, no mínimo:</w:t>
      </w:r>
    </w:p>
    <w:p w14:paraId="6FD3457A"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Anotação de Responsabilidade Técnica — ART, Registro de Responsabilidade Técnica — RRT ou documento equivalente relativo à execução da obra, devidamente registrado no conselho profissional competente;</w:t>
      </w:r>
    </w:p>
    <w:p w14:paraId="171D489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II — comprovante de inscrição da obra no Cadastro Nacional de Obras — CNO, ou outro cadastro que venha a substituí-lo, quando aplicável;</w:t>
      </w:r>
    </w:p>
    <w:p w14:paraId="597698A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comprovação das comunicações, registros ou providências exigidas pela legislação trabalhista e de segurança do trabalho para início da obra, quando aplicável;</w:t>
      </w:r>
    </w:p>
    <w:p w14:paraId="35CB29AB"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diário de obras, físico ou eletrônico, a ser utilizado durante toda a execução contratual;</w:t>
      </w:r>
    </w:p>
    <w:p w14:paraId="4E0A4748"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comprovação do cadastramento municipal para fins de ISSQN, quando exigível;</w:t>
      </w:r>
    </w:p>
    <w:p w14:paraId="7B5D7DE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 garantia contratual, na forma estabelecida neste Edital e no contrato;</w:t>
      </w:r>
    </w:p>
    <w:p w14:paraId="4CB40493"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 — indicação formal do responsável técnico pela execução da obra, acompanhada da respectiva ART, RRT ou documento equivalente e da comprovação de vínculo com a contratada, na forma admitida neste Edital;</w:t>
      </w:r>
    </w:p>
    <w:p w14:paraId="31204668"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VIII — plano inicial de mobilização e execução, quando solicitado pela fiscalização.</w:t>
      </w:r>
    </w:p>
    <w:p w14:paraId="3E39D6CD"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15.8. O responsável técnico indicado pela contratada deverá acompanhar a execução da obra e responder tecnicamente pelos serviços executados, admitida sua substituição por profissional de experiência equivalente ou superior, desde que previamente aprovada pela Administração.</w:t>
      </w:r>
    </w:p>
    <w:p w14:paraId="4BF25A34"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15.9. As medições da obra serão parciais e realizadas mensalmente, preferencialmente entre o 1º e o 10º dia do mês subsequente ao da execução dos serviços, observados o cronograma físico-financeiro, os quantitativos efetivamente executados, a memória de cálculo, o diário de obras, os registros fotográficos e o atesto da fiscalização.</w:t>
      </w:r>
    </w:p>
    <w:p w14:paraId="2B7B4DAA"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15.10. A contratada deverá observar integralmente as normas de segurança e saúde no trabalho, fornecendo e exigindo o uso dos equipamentos de proteção individual e coletiva necessários, nos termos da legislação trabalhista, das normas regulamentadoras aplicáveis, da Lei Municipal nº 1.854/2008, do Decreto Municipal nº 3.401/2008 e demais normas pertinentes.</w:t>
      </w:r>
    </w:p>
    <w:p w14:paraId="345F4541"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15.11. O descumprimento das condições necessárias ao início ou à continuidade da execução da obra poderá ensejar a adoção das medidas administrativas cabíveis, inclusive glosas, retenções, aplicação de sanções, suspensão de medições ou outras providências previstas neste Edital, no contrato e na legislação aplicável.</w:t>
      </w:r>
    </w:p>
    <w:p w14:paraId="45F0A7EE" w14:textId="77777777" w:rsidR="00D30A31" w:rsidRDefault="00D30A31">
      <w:pPr>
        <w:pBdr>
          <w:top w:val="nil"/>
          <w:left w:val="nil"/>
          <w:bottom w:val="nil"/>
          <w:right w:val="nil"/>
          <w:between w:val="nil"/>
        </w:pBdr>
        <w:tabs>
          <w:tab w:val="left" w:pos="142"/>
        </w:tabs>
        <w:ind w:left="670"/>
        <w:jc w:val="both"/>
        <w:rPr>
          <w:rFonts w:ascii="Times New Roman" w:eastAsia="Times New Roman" w:hAnsi="Times New Roman" w:cs="Times New Roman"/>
          <w:color w:val="000000"/>
          <w:sz w:val="24"/>
          <w:szCs w:val="24"/>
        </w:rPr>
      </w:pPr>
    </w:p>
    <w:p w14:paraId="3C671CB8" w14:textId="77777777" w:rsidR="00D30A31" w:rsidRDefault="006B1BAE">
      <w:pPr>
        <w:numPr>
          <w:ilvl w:val="0"/>
          <w:numId w:val="4"/>
        </w:numPr>
        <w:pBdr>
          <w:top w:val="nil"/>
          <w:left w:val="nil"/>
          <w:bottom w:val="nil"/>
          <w:right w:val="nil"/>
          <w:between w:val="nil"/>
        </w:pBdr>
        <w:ind w:left="0" w:firstLine="0"/>
        <w:jc w:val="both"/>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DA REPACTUAÇÃO E REAJUSTE</w:t>
      </w:r>
    </w:p>
    <w:p w14:paraId="5AC58EB7" w14:textId="77777777" w:rsidR="00D30A31" w:rsidRDefault="00D30A31">
      <w:pPr>
        <w:pBdr>
          <w:top w:val="nil"/>
          <w:left w:val="nil"/>
          <w:bottom w:val="nil"/>
          <w:right w:val="nil"/>
          <w:between w:val="nil"/>
        </w:pBdr>
        <w:jc w:val="both"/>
        <w:rPr>
          <w:rFonts w:ascii="Times New Roman" w:eastAsia="Times New Roman" w:hAnsi="Times New Roman" w:cs="Times New Roman"/>
          <w:b/>
          <w:bCs/>
          <w:color w:val="000000"/>
          <w:sz w:val="24"/>
          <w:szCs w:val="24"/>
          <w:u w:val="single"/>
        </w:rPr>
      </w:pPr>
    </w:p>
    <w:p w14:paraId="6800F472"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16.1. Os preços contratados poderão ser reajustados após o interregno mínimo de 1 (um) ano, mediante solicitação da contratada, observada a legislação aplicável e as condições estabelecidas neste Edital e no contrato.</w:t>
      </w:r>
    </w:p>
    <w:p w14:paraId="07AE9DD2"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 O interregno mínimo de 1 (um) ano para o primeiro reajuste será contado a partir da data-base do orçamento estimado, correspondente ao mês de novembro de 2025.</w:t>
      </w:r>
    </w:p>
    <w:p w14:paraId="50E9440D"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16.3. Nos reajustes subsequentes ao primeiro, o interregno mínimo de 1 (um) ano será contado a partir da data do fato gerador que deu ensejo ao último reajuste.</w:t>
      </w:r>
    </w:p>
    <w:p w14:paraId="1FE47A7F"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16.4. O reajuste será aplicado sobre o saldo contratual remanescente, observada a variação do Índice Nacional de Custo da Construção — Edificações, Coluna 35, da Fundação Getúlio Vargas — FGV, ou outro índice que venha a substituí-lo na forma da legislação aplicável.</w:t>
      </w:r>
    </w:p>
    <w:p w14:paraId="1B3C107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16.5. O pedido de reajuste deverá ser formalizado pela contratada durante a vigência contratual, acompanhado da respectiva memória de cálculo, com indicação do período de apuração, índice aplicável, valor remanescente e demais elementos necessários à análise pela Administração.</w:t>
      </w:r>
    </w:p>
    <w:p w14:paraId="6A504CCA"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16.6. Na hipótese de atraso ou não divulgação do índice de reajustamento, poderá ser adotada, provisoriamente, a última variação conhecida, procedendo-se ao ajuste da diferença correspondente tão logo seja divulgado o índice definitivo.</w:t>
      </w:r>
    </w:p>
    <w:p w14:paraId="259EDDFE"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16.7. Caso o índice estabelecido para reajustamento venha a ser extinto ou, por qualquer motivo, não possa mais ser utilizado, será adotado o índice substituto previsto em legislação ou norma oficial aplicável.</w:t>
      </w:r>
    </w:p>
    <w:p w14:paraId="5AB70F5F"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16.8. Na ausência de previsão legal ou normativa quanto ao índice substituto, as partes poderão eleger novo índice oficial que melhor reflita a variação dos custos da construção civil, mediante formalização por termo aditivo.</w:t>
      </w:r>
    </w:p>
    <w:p w14:paraId="3BD58EE5"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16.9. O reajuste será formalizado por apostilamento, quando não houver outra alteração contratual que exija a celebração de termo aditivo.</w:t>
      </w:r>
    </w:p>
    <w:p w14:paraId="0AD7C9CD"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16.10. O pedido de reajuste deverá ser apresentado antes da celebração de eventual prorrogação contratual ou do encerramento do contrato, sob pena de preclusão, observada a legislação aplicável.</w:t>
      </w:r>
    </w:p>
    <w:p w14:paraId="13657273"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16.11. O reajuste de preços não afasta o direito das partes de solicitar a recomposição do equilíbrio econômico-financeiro do contrato, quando configuradas as hipóteses legais, especialmente aquelas previstas no art. 124, inciso II, alínea “d”, da Lei Federal nº 14.133/2021.</w:t>
      </w:r>
    </w:p>
    <w:p w14:paraId="35E4695D" w14:textId="77777777" w:rsidR="00D30A31" w:rsidRDefault="00D30A31">
      <w:pPr>
        <w:pBdr>
          <w:top w:val="nil"/>
          <w:left w:val="nil"/>
          <w:bottom w:val="nil"/>
          <w:right w:val="nil"/>
          <w:between w:val="nil"/>
        </w:pBdr>
        <w:jc w:val="both"/>
        <w:rPr>
          <w:rFonts w:ascii="Times New Roman" w:eastAsia="Times New Roman" w:hAnsi="Times New Roman" w:cs="Times New Roman"/>
          <w:sz w:val="24"/>
          <w:szCs w:val="24"/>
        </w:rPr>
      </w:pPr>
    </w:p>
    <w:p w14:paraId="16AAE87C" w14:textId="77777777" w:rsidR="00D30A31" w:rsidRDefault="006B1BAE">
      <w:pPr>
        <w:numPr>
          <w:ilvl w:val="0"/>
          <w:numId w:val="4"/>
        </w:numPr>
        <w:pBdr>
          <w:top w:val="nil"/>
          <w:left w:val="nil"/>
          <w:bottom w:val="nil"/>
          <w:right w:val="nil"/>
          <w:between w:val="nil"/>
        </w:pBdr>
        <w:tabs>
          <w:tab w:val="left" w:pos="142"/>
        </w:tabs>
        <w:ind w:left="0" w:right="152" w:firstLine="0"/>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DA GARANTIA CONTRATUAL</w:t>
      </w:r>
    </w:p>
    <w:p w14:paraId="35A58C67" w14:textId="77777777" w:rsidR="00D30A31" w:rsidRDefault="00D30A31">
      <w:pPr>
        <w:pBdr>
          <w:top w:val="nil"/>
          <w:left w:val="nil"/>
          <w:bottom w:val="nil"/>
          <w:right w:val="nil"/>
          <w:between w:val="nil"/>
        </w:pBdr>
        <w:tabs>
          <w:tab w:val="left" w:pos="142"/>
        </w:tabs>
        <w:ind w:right="152"/>
        <w:rPr>
          <w:rFonts w:ascii="Times New Roman" w:eastAsia="Times New Roman" w:hAnsi="Times New Roman" w:cs="Times New Roman"/>
          <w:color w:val="000000"/>
          <w:sz w:val="24"/>
          <w:szCs w:val="24"/>
        </w:rPr>
      </w:pPr>
    </w:p>
    <w:p w14:paraId="2B081D7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17.1.</w:t>
      </w:r>
      <w:r>
        <w:rPr>
          <w:rFonts w:ascii="Times New Roman" w:eastAsia="Times New Roman" w:hAnsi="Times New Roman" w:cs="Times New Roman"/>
          <w:sz w:val="24"/>
          <w:szCs w:val="24"/>
        </w:rPr>
        <w:t xml:space="preserve"> A licitante vencedora deverá apresentar, antes da assinatura do contrato, garantia contratual correspondente a 5% (cinco por cento) do valor contratado, destinada a assegurar o fiel cumprimento das obrigações assumidas, inclusive multas, prejuízos e indenizações decorrentes de eventual inadimplemento.</w:t>
      </w:r>
    </w:p>
    <w:p w14:paraId="715F3418"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17.2. A garantia contratual poderá ser prestada, a critério da contratada, em uma das modalidades previstas no art. 96, § 1º, da Lei Federal nº 14.133/2021, quais sejam:</w:t>
      </w:r>
    </w:p>
    <w:p w14:paraId="6C5E8310"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caução em dinheiro ou em títulos da dívida pública;</w:t>
      </w:r>
    </w:p>
    <w:p w14:paraId="00D6F0E1"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seguro-garantia;</w:t>
      </w:r>
    </w:p>
    <w:p w14:paraId="50E3A92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fiança bancária emitida por banco ou instituição financeira devidamente autorizada a operar no País pelo Banco Central do Brasil;</w:t>
      </w:r>
    </w:p>
    <w:p w14:paraId="48DD0699"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título de capitalização custeado por pagamento único, com resgate pelo valor total.</w:t>
      </w:r>
    </w:p>
    <w:p w14:paraId="6253012F"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17.3. A garantia deverá ter prazo de validade igual ou superior ao prazo de vigência contratual e deverá ser mantida válida durante toda a execução do contrato, inclusive em caso de prorrogação, suspensão ou alteração contratual que impacte seu valor ou prazo.</w:t>
      </w:r>
    </w:p>
    <w:p w14:paraId="25614D9B"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17.4. Havendo alteração do valor contratual, prorrogação de prazo ou qualquer modificação que impacte a garantia prestada, a contratada deverá providenciar sua complementação, renovação ou atualização no prazo máximo de 15 (quinze) dias úteis, contado da solicitação formal da Administração, de modo que a garantia corresponda sempre a 5% (cinco por cento) do valor contratual vigente.</w:t>
      </w:r>
    </w:p>
    <w:p w14:paraId="20EAEB82"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17.5. Caso a contratada opte pela modalidade seguro-garantia, a apólice deverá prever, no mínimo:</w:t>
      </w:r>
    </w:p>
    <w:p w14:paraId="6F59968B"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cobertura para o fiel cumprimento das obrigações contratuais assumidas pela contratada;</w:t>
      </w:r>
    </w:p>
    <w:p w14:paraId="5AF134CD"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cobertura para multas, prejuízos e indenizações decorrentes de inadimplemento contratual, nos limites da apólice;</w:t>
      </w:r>
    </w:p>
    <w:p w14:paraId="7283824C"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prazo de vigência igual ou superior ao prazo de vigência do contrato;</w:t>
      </w:r>
    </w:p>
    <w:p w14:paraId="3A2A980B"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obrigação de manutenção da cobertura mesmo na hipótese de inadimplemento do prêmio pela contratada, conforme legislação aplicável;</w:t>
      </w:r>
    </w:p>
    <w:p w14:paraId="0F17B058"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obrigação de emissão de endosso em caso de alteração contratual que impacte o valor ou o prazo da garantia.</w:t>
      </w:r>
    </w:p>
    <w:p w14:paraId="1AD4EB59"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17.6. Na hipótese de seguro-garantia, caso previsto na apólice e aceito pela Administração, poderão ser estabelecidas condições para atuação da seguradora em caso de inadimplemento da contratada, observadas as disposições legais aplicáveis, inclusive quanto ao acompanhamento da execução contratual, acesso às informações técnicas e adoção das providências necessárias à conclusão do objeto.</w:t>
      </w:r>
    </w:p>
    <w:p w14:paraId="755584D4"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17.7. A eventual assunção da execução contratual pela seguradora, quando admitida pela Administração e prevista na apólice, dependerá da demonstração de sua regularidade fiscal e jurídica, bem como da observância das condições estabelecidas no contrato, na apólice e na legislação aplicável.</w:t>
      </w:r>
    </w:p>
    <w:p w14:paraId="6CD5AE80"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17.8.</w:t>
      </w:r>
      <w:r>
        <w:rPr>
          <w:rFonts w:ascii="Times New Roman" w:eastAsia="Times New Roman" w:hAnsi="Times New Roman" w:cs="Times New Roman"/>
          <w:sz w:val="24"/>
          <w:szCs w:val="24"/>
        </w:rPr>
        <w:t xml:space="preserve"> A garantia contratual poderá ser executada, total ou parcialmente, nas hipóteses de inadimplemento das obrigações assumidas pela contratada, inclusive para pagamento de multas, ressarcimento de prejuízos causados à Administração ou cobertura de obrigações não cumpridas, assegurados o contraditório e a ampla defesa.</w:t>
      </w:r>
    </w:p>
    <w:p w14:paraId="5C945D82"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17.9. A execução da garantia não afasta a possibilidade de aplicação das demais sanções previstas neste Edital, no contrato e na Lei Federal nº 14.133/2021, nem impede a apuração de perdas e danos eventualmente superiores ao valor garantido.</w:t>
      </w:r>
    </w:p>
    <w:p w14:paraId="42D42B8E"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17.10. A garantia será liberada ou restituída após a fiel execução do contrato e o recebimento definitivo do objeto, desde que inexistam pendências, obrigações não cumpridas, multas, glosas, prejuízos ou responsabilidades atribuíveis à contratada.</w:t>
      </w:r>
    </w:p>
    <w:p w14:paraId="6097AC91"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17.11.</w:t>
      </w:r>
      <w:r>
        <w:rPr>
          <w:rFonts w:ascii="Times New Roman" w:eastAsia="Times New Roman" w:hAnsi="Times New Roman" w:cs="Times New Roman"/>
          <w:sz w:val="24"/>
          <w:szCs w:val="24"/>
        </w:rPr>
        <w:t xml:space="preserve"> A não apresentação da garantia contratual no prazo estabelecido pela Administração poderá ensejar a convocação da licitante remanescente, a revogação da adjudicação, a extinção do contrato, se já assinado, e a aplicação das sanções cabíveis, nos termos da Lei Federal nº 14.133/2021.</w:t>
      </w:r>
    </w:p>
    <w:p w14:paraId="35C4298B" w14:textId="77777777" w:rsidR="00D30A31" w:rsidRDefault="00D30A31">
      <w:pPr>
        <w:pBdr>
          <w:top w:val="nil"/>
          <w:left w:val="nil"/>
          <w:bottom w:val="nil"/>
          <w:right w:val="nil"/>
          <w:between w:val="nil"/>
        </w:pBdr>
        <w:ind w:right="150"/>
        <w:jc w:val="both"/>
        <w:rPr>
          <w:rFonts w:ascii="Times New Roman" w:eastAsia="Times New Roman" w:hAnsi="Times New Roman" w:cs="Times New Roman"/>
          <w:color w:val="000000"/>
          <w:sz w:val="24"/>
          <w:szCs w:val="24"/>
        </w:rPr>
      </w:pPr>
    </w:p>
    <w:p w14:paraId="417A7E6E" w14:textId="77777777" w:rsidR="00D30A31" w:rsidRDefault="006B1BAE">
      <w:pPr>
        <w:pStyle w:val="Ttulo1"/>
        <w:numPr>
          <w:ilvl w:val="0"/>
          <w:numId w:val="4"/>
        </w:numPr>
        <w:tabs>
          <w:tab w:val="left" w:pos="284"/>
        </w:tabs>
        <w:ind w:left="0" w:firstLine="0"/>
        <w:rPr>
          <w:rFonts w:ascii="Times New Roman" w:eastAsia="Times New Roman" w:hAnsi="Times New Roman" w:cs="Times New Roman"/>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CONDIÇÕES DE PAGAMENTO</w:t>
      </w:r>
    </w:p>
    <w:p w14:paraId="13512000" w14:textId="77777777" w:rsidR="00D30A31" w:rsidRDefault="00D30A31">
      <w:pPr>
        <w:pStyle w:val="Ttulo1"/>
        <w:tabs>
          <w:tab w:val="left" w:pos="284"/>
        </w:tabs>
        <w:ind w:left="0"/>
        <w:rPr>
          <w:rFonts w:ascii="Times New Roman" w:eastAsia="Times New Roman" w:hAnsi="Times New Roman" w:cs="Times New Roman"/>
          <w:sz w:val="24"/>
          <w:szCs w:val="24"/>
          <w:u w:val="single"/>
        </w:rPr>
      </w:pPr>
    </w:p>
    <w:p w14:paraId="2A4551E7"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18.1. O pagamento será efetuado em conformidade com a ordem cronológica de pagamentos do Município, observadas as regras previstas no Decreto Municipal nº 3.642/2023, no art. 141 da Lei Federal nº 14.133/2021, no art. 63 da Lei Federal nº 4.320/1964 e demais normas aplicáveis.</w:t>
      </w:r>
    </w:p>
    <w:p w14:paraId="4063E3B5"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18.2. O prazo para pagamento será de até 30 (trinta) dias, contado da data do protocolo regular do processo de pagamento, desde que a despesa esteja devidamente liquidada e instruída com a documentação exigida neste Edital, no contrato e na legislação aplicável.</w:t>
      </w:r>
    </w:p>
    <w:p w14:paraId="532379F5"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18.3. O processo de pagamento deverá ser iniciado mediante requerimento da contratada, acompanhado da nota fiscal ou documento fiscal equivalente, emitido após a execução dos serviços medidos, aceitos e atestados pela fiscalização do contrato.</w:t>
      </w:r>
    </w:p>
    <w:p w14:paraId="130A98BA"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18.4. O pagamento ficará condicionado à prévia medição dos serviços efetivamente executados, à aprovação da respectiva medição pela fiscalização, à regular liquidação da despesa e à comprovação da manutenção das condições de habilitação exigidas na licitação.</w:t>
      </w:r>
    </w:p>
    <w:p w14:paraId="1891E08E"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18.5. As medições deverão observar o regime de empreitada por preço unitário, os quantitativos efetivamente executados, os preços unitários contratados, o cronograma físico-financeiro, a memória de cálculo, o diário de obras, os registros fotográficos e o relatório de fiscalização.</w:t>
      </w:r>
    </w:p>
    <w:p w14:paraId="2F6057EB"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18.6. A contratada deverá declarar, em cada solicitação de pagamento, que mantém, durante a execução contratual, todas as condições de habilitação e qualificação exigidas na licitação, em compatibilidade com as obrigações assumidas.</w:t>
      </w:r>
    </w:p>
    <w:p w14:paraId="1E198BEB"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18.7. O processo de pagamento será instruído, no que couber, com os seguintes documentos:</w:t>
      </w:r>
    </w:p>
    <w:p w14:paraId="55197D07"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nota fiscal ou documento fiscal equivalente, emitido em conformidade com a nota de empenho, o contrato e a medição aprovada;</w:t>
      </w:r>
    </w:p>
    <w:p w14:paraId="4DDE5A65"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II — nota de empenho ou cópia autenticada por servidor devidamente identificado;</w:t>
      </w:r>
    </w:p>
    <w:p w14:paraId="663EC143"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contrato, Projeto Básico, Planilha Orçamentária, Memória de Cálculo, Cronograma Físico-Financeiro e demais anexos técnicos pertinentes;</w:t>
      </w:r>
    </w:p>
    <w:p w14:paraId="108908C0"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ordem de início ou ordem de serviço correspondente;</w:t>
      </w:r>
    </w:p>
    <w:p w14:paraId="74216651"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boletim de medição, acompanhado da respectiva memória de cálculo;</w:t>
      </w:r>
    </w:p>
    <w:p w14:paraId="405F36F3"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 relatório de fiscalização do contrato, emitido pelos fiscais designados;</w:t>
      </w:r>
    </w:p>
    <w:p w14:paraId="1FCBD621"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 — registros fotográficos dos serviços executados no período medido, quando aplicável;</w:t>
      </w:r>
    </w:p>
    <w:p w14:paraId="69E27F43"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VIII — diário de obras referente ao período de execução medido;</w:t>
      </w:r>
    </w:p>
    <w:p w14:paraId="31390DEC"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IX — mapa de controle da execução contratual, contendo identificação, matrícula e assinatura dos servidores responsáveis pela fiscalização;</w:t>
      </w:r>
    </w:p>
    <w:p w14:paraId="74D7F5BE"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 publicação da portaria de designação da comissão fiscalizadora ou dos fiscais do contrato;</w:t>
      </w:r>
    </w:p>
    <w:p w14:paraId="1BFB6027"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XI — certidões de regularidade perante a União, o FGTS e a Justiça do Trabalho, sem prejuízo de outras exigidas pela legislação ou pelo contrato;</w:t>
      </w:r>
    </w:p>
    <w:p w14:paraId="15A481D3"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XII — declaração da contratada de que mantém as condições de habilitação;</w:t>
      </w:r>
    </w:p>
    <w:p w14:paraId="63154455"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XIII — comprovação do correto enquadramento da despesa quanto à função programática, fonte de recursos e elemento de despesa;</w:t>
      </w:r>
    </w:p>
    <w:p w14:paraId="41EB5210"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XIV — comprovante de encaminhamento do instrumento contratual ao Tribunal de Contas do Estado do Rio de Janeiro — TCE/RJ, quando exigível, nos termos da Deliberação TCE/RJ nº 262/2014;</w:t>
      </w:r>
    </w:p>
    <w:p w14:paraId="7BB7F9D7"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XV — comprovação de incorporação da obra em andamento ou dos bens permanentes ao patrimônio municipal, quando cabível;</w:t>
      </w:r>
    </w:p>
    <w:p w14:paraId="5BF898A0"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XVI — demais documentos exigidos pela Assessoria de Controle de Conformidade Processual, pela fiscalização, pela contabilidade ou pela legislação aplicável à regular liquidação da despesa.</w:t>
      </w:r>
    </w:p>
    <w:p w14:paraId="6B042523"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18.8. A nota fiscal ou documento fiscal equivalente deverá:</w:t>
      </w:r>
    </w:p>
    <w:p w14:paraId="1911A8F4"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 ser emitida na mesma data ou em data posterior à emissão da nota de empenho;</w:t>
      </w:r>
    </w:p>
    <w:p w14:paraId="558B4838"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corresponder aos serviços efetivamente executados, medidos e atestados;</w:t>
      </w:r>
    </w:p>
    <w:p w14:paraId="5B5E734B"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conter a especificação dos serviços, valores e demais informações compatíveis com a nota de empenho, o contrato e a medição aprovada;</w:t>
      </w:r>
    </w:p>
    <w:p w14:paraId="5179F41D"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estar isenta de rasuras, emendas, borrões ou inconsistências que comprometam sua validade;</w:t>
      </w:r>
    </w:p>
    <w:p w14:paraId="4E96DDA4"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conter o atesto da fiscalização do contrato, com data, assinatura e matrícula dos servidores designados, admitida forma eletrônica quando adotada pelo Município.</w:t>
      </w:r>
    </w:p>
    <w:p w14:paraId="0CC1C601"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18.9. Constatada qualquer inconsistência, pendência documental, erro na nota fiscal, divergência na medição ou ausência de comprovação da regularidade exigida, o processo de pagamento poderá ser devolvido à contratada ou ao setor responsável para saneamento, reiniciando-se o prazo de pagamento após a regularização da pendência.</w:t>
      </w:r>
    </w:p>
    <w:p w14:paraId="00D5DDA6"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18.10. Nenhum pagamento será efetuado sem a regular liquidação da despesa, sem o atesto da fiscalização competente ou enquanto houver pendência imputável à contratada que impeça a comprovação da execução adequada dos serviços.</w:t>
      </w:r>
    </w:p>
    <w:p w14:paraId="27A4CF25"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18.11. O pagamento não importará aceitação definitiva dos serviços executados, permanecendo a contratada responsável por vícios, defeitos, incorreções, obrigações trabalhistas, previdenciárias, fiscais, ambientais, técnicas e demais responsabilidades previstas no contrato e na legislação aplicável.</w:t>
      </w:r>
    </w:p>
    <w:p w14:paraId="78AB8DDD" w14:textId="77777777" w:rsidR="00D30A31" w:rsidRDefault="00D30A31">
      <w:pPr>
        <w:pBdr>
          <w:top w:val="nil"/>
          <w:left w:val="nil"/>
          <w:bottom w:val="nil"/>
          <w:right w:val="nil"/>
          <w:between w:val="nil"/>
        </w:pBdr>
        <w:tabs>
          <w:tab w:val="left" w:pos="284"/>
          <w:tab w:val="left" w:pos="712"/>
        </w:tabs>
        <w:ind w:right="150"/>
        <w:jc w:val="both"/>
        <w:rPr>
          <w:rFonts w:ascii="Times New Roman" w:eastAsia="Times New Roman" w:hAnsi="Times New Roman" w:cs="Times New Roman"/>
          <w:color w:val="000000"/>
          <w:sz w:val="24"/>
          <w:szCs w:val="24"/>
        </w:rPr>
      </w:pPr>
    </w:p>
    <w:p w14:paraId="686E514E" w14:textId="77777777" w:rsidR="00D30A31" w:rsidRDefault="006B1BAE">
      <w:pPr>
        <w:pStyle w:val="Ttulo1"/>
        <w:numPr>
          <w:ilvl w:val="0"/>
          <w:numId w:val="4"/>
        </w:numPr>
        <w:tabs>
          <w:tab w:val="left" w:pos="500"/>
        </w:tabs>
        <w:ind w:left="0" w:firstLine="0"/>
        <w:jc w:val="both"/>
        <w:rPr>
          <w:rFonts w:ascii="Times New Roman" w:eastAsia="Times New Roman" w:hAnsi="Times New Roman" w:cs="Times New Roman"/>
        </w:rPr>
      </w:pPr>
      <w:bookmarkStart w:id="11" w:name="o4gn9i1i1e7h" w:colFirst="0" w:colLast="0"/>
      <w:bookmarkEnd w:id="11"/>
      <w:r>
        <w:rPr>
          <w:rFonts w:ascii="Times New Roman" w:eastAsia="Times New Roman" w:hAnsi="Times New Roman" w:cs="Times New Roman"/>
          <w:sz w:val="24"/>
          <w:szCs w:val="24"/>
          <w:u w:val="single"/>
        </w:rPr>
        <w:t>DA FISCALIZAÇÃO</w:t>
      </w:r>
    </w:p>
    <w:p w14:paraId="6B3202DD" w14:textId="77777777" w:rsidR="00D30A31" w:rsidRDefault="00D30A31">
      <w:pPr>
        <w:pStyle w:val="Ttulo1"/>
        <w:tabs>
          <w:tab w:val="left" w:pos="500"/>
        </w:tabs>
        <w:ind w:left="0"/>
        <w:jc w:val="both"/>
        <w:rPr>
          <w:rFonts w:ascii="Times New Roman" w:eastAsia="Times New Roman" w:hAnsi="Times New Roman" w:cs="Times New Roman"/>
          <w:sz w:val="24"/>
          <w:szCs w:val="24"/>
          <w:u w:val="single"/>
        </w:rPr>
      </w:pPr>
    </w:p>
    <w:p w14:paraId="78A4B6D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19.1. A execução do contrato será acompanhada e fiscalizada pelo Município de Magé, por meio dos fiscais e/ou comissão de fiscalização formalmente designados, nos termos da Lei Federal nº 14.133/2021, do Decreto Municipal nº 3.635/2023, do contrato e deste Edital.</w:t>
      </w:r>
    </w:p>
    <w:p w14:paraId="62075F4C"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19.2. Compete à fiscalização verificar a execução da obra em conformidade com o Projeto Básico, Memorial Descritivo, Planilha Orçamentária, Cronograma Físico-Financeiro, Matriz de Riscos, normas técnicas aplicáveis, contrato e demais anexos do Edital.</w:t>
      </w:r>
    </w:p>
    <w:p w14:paraId="4FDFD6ED"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19.3. No desempenho de suas atribuições, a fiscalização poderá solicitar à contratada, a qualquer tempo, informações, esclarecimentos, documentos, relatórios, registros fotográficos, diário de obras, ensaios, laudos, medições, composições e demais elementos necessários ao acompanhamento da execução contratual.</w:t>
      </w:r>
    </w:p>
    <w:p w14:paraId="594526A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19.4. A fiscalização exercerá controle sobre o cumprimento das etapas previstas no cronograma físico-financeiro, especialmente quanto à quantidade, qualidade, prazo, segurança, conformidade técnica e regularidade dos serviços executados.</w:t>
      </w:r>
    </w:p>
    <w:p w14:paraId="4CE8A55E"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19.5. A ação ou omissão, total ou parcial, da fiscalização não eximirá a contratada da responsabilidade pela correta execução da obra, pela observância das normas técnicas e legais aplicáveis, pela boa técnica construtiva e pela reparação de vícios, defeitos ou desconformidades eventualmente constatados.</w:t>
      </w:r>
    </w:p>
    <w:p w14:paraId="141CD2AE"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 Verificada qualquer irregularidade, falha, atraso, desconformidade técnica ou descumprimento contratual, a fiscalização deverá registrar a ocorrência e adotar as providências cabíveis, inclusive notificação da contratada para correção, glosa de serviços, retenção de valores, comunicação ao gestor do contrato e instauração de procedimento para aplicação de sanções, quando cabível.</w:t>
      </w:r>
    </w:p>
    <w:p w14:paraId="30CB1449"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19.7. A contratada deverá permitir o livre acesso da fiscalização ao local da obra, ao canteiro, aos documentos técnicos, aos registros de execução e às informações necessárias ao acompanhamento do contrato.</w:t>
      </w:r>
    </w:p>
    <w:p w14:paraId="79D5FB6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19.8. A contratada deverá manter diário de obras atualizado, físico ou eletrônico, contendo o registro das atividades executadas, condições climáticas, ocorrências relevantes, efetivo de pessoal, equipamentos utilizados, visitas técnicas, determinações da fiscalização e demais informações pertinentes.</w:t>
      </w:r>
    </w:p>
    <w:p w14:paraId="211A71D1"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19.9. As medições somente serão aceitas quando os serviços correspondentes estiverem efetivamente executados, comprovados, conferidos e atestados pela fiscalização, observados os quantitativos contratados, os preços unitários, a memória de cálculo, o cronograma físico-financeiro e os demais documentos técnicos do contrato.</w:t>
      </w:r>
    </w:p>
    <w:p w14:paraId="0E8D18D9"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19.10.</w:t>
      </w:r>
      <w:r>
        <w:rPr>
          <w:rFonts w:ascii="Times New Roman" w:eastAsia="Times New Roman" w:hAnsi="Times New Roman" w:cs="Times New Roman"/>
          <w:sz w:val="24"/>
          <w:szCs w:val="24"/>
        </w:rPr>
        <w:t xml:space="preserve"> A fiscalização poderá rejeitar, no todo ou em parte, serviços executados em desacordo com o contrato, Projeto Básico, Memorial Descritivo, normas técnicas ou determinações administrativas, </w:t>
      </w:r>
      <w:r>
        <w:rPr>
          <w:rFonts w:ascii="Times New Roman" w:eastAsia="Times New Roman" w:hAnsi="Times New Roman" w:cs="Times New Roman"/>
          <w:sz w:val="24"/>
          <w:szCs w:val="24"/>
        </w:rPr>
        <w:lastRenderedPageBreak/>
        <w:t>cabendo à contratada refazê-los, corrigi-los ou substituí-los às suas expensas, sem prejuízo das sanções cabíveis.</w:t>
      </w:r>
    </w:p>
    <w:p w14:paraId="55FEFFF7" w14:textId="77777777" w:rsidR="00D30A31" w:rsidRDefault="00D30A31">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p>
    <w:p w14:paraId="32AE9D58" w14:textId="77777777" w:rsidR="00D30A31" w:rsidRDefault="006B1BAE">
      <w:pPr>
        <w:pStyle w:val="Ttulo1"/>
        <w:numPr>
          <w:ilvl w:val="0"/>
          <w:numId w:val="4"/>
        </w:numPr>
        <w:tabs>
          <w:tab w:val="left" w:pos="0"/>
        </w:tabs>
        <w:ind w:left="0" w:firstLine="0"/>
        <w:jc w:val="both"/>
        <w:rPr>
          <w:rFonts w:ascii="Times New Roman" w:eastAsia="Times New Roman" w:hAnsi="Times New Roman" w:cs="Times New Roman"/>
        </w:rPr>
      </w:pPr>
      <w:r>
        <w:rPr>
          <w:rFonts w:ascii="Times New Roman" w:eastAsia="Times New Roman" w:hAnsi="Times New Roman" w:cs="Times New Roman"/>
          <w:sz w:val="24"/>
          <w:szCs w:val="24"/>
          <w:u w:val="single"/>
        </w:rPr>
        <w:t>DAS SANÇÕES</w:t>
      </w:r>
    </w:p>
    <w:p w14:paraId="6FD7010C" w14:textId="77777777" w:rsidR="00D30A31" w:rsidRDefault="00D30A31">
      <w:pPr>
        <w:tabs>
          <w:tab w:val="left" w:pos="0"/>
        </w:tabs>
      </w:pPr>
    </w:p>
    <w:p w14:paraId="26501F8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 O licitante ou contratado que descumprir as obrigações assumidas neste Edital, em seus anexos, no contrato ou na legislação aplicável ficará sujeito às sanções previstas na Lei Federal nº 14.133/2021, sem prejuízo de eventual responsabilidade civil e penal.</w:t>
      </w:r>
    </w:p>
    <w:p w14:paraId="6AD61C63"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 Constituem infrações administrativas, nos termos do art. 155 da Lei Federal nº 14.133/2021:</w:t>
      </w:r>
    </w:p>
    <w:p w14:paraId="330BF17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dar causa à inexecução parcial do contrato;</w:t>
      </w:r>
    </w:p>
    <w:p w14:paraId="6C3AFA21"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dar causa à inexecução parcial do contrato que cause grave dano à Administração, ao funcionamento dos serviços públicos ou ao interesse coletivo;</w:t>
      </w:r>
    </w:p>
    <w:p w14:paraId="2D9AC205"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dar causa à inexecução total do contrato;</w:t>
      </w:r>
    </w:p>
    <w:p w14:paraId="25120160"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deixar de entregar a documentação exigida para o certame;</w:t>
      </w:r>
    </w:p>
    <w:p w14:paraId="3ECB8542"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não manter a proposta, salvo em decorrência de fato superveniente devidamente justificado;</w:t>
      </w:r>
    </w:p>
    <w:p w14:paraId="20C4167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 não celebrar o contrato ou não entregar a documentação exigida para a contratação, quando convocado dentro do prazo de validade de sua proposta;</w:t>
      </w:r>
    </w:p>
    <w:p w14:paraId="1D9E6C69"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 — ensejar o retardamento da execução ou da entrega do objeto da licitação sem motivo justificado;</w:t>
      </w:r>
    </w:p>
    <w:p w14:paraId="61B1ACD1"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VIII — apresentar declaração ou documentação falsa exigida para o certame ou prestar declaração falsa durante a licitação ou a execução do contrato;</w:t>
      </w:r>
    </w:p>
    <w:p w14:paraId="783FC25C"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IX — fraudar a licitação ou praticar ato fraudulento na execução do contrato;</w:t>
      </w:r>
    </w:p>
    <w:p w14:paraId="41104DF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 comportar-se de modo inidôneo ou cometer fraude de qualquer natureza;</w:t>
      </w:r>
    </w:p>
    <w:p w14:paraId="298BD10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XI — praticar atos ilícitos com vistas a frustrar os objetivos da licitação;</w:t>
      </w:r>
    </w:p>
    <w:p w14:paraId="73DEBA4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XII —</w:t>
      </w:r>
      <w:r>
        <w:rPr>
          <w:rFonts w:ascii="Times New Roman" w:eastAsia="Times New Roman" w:hAnsi="Times New Roman" w:cs="Times New Roman"/>
          <w:sz w:val="24"/>
          <w:szCs w:val="24"/>
        </w:rPr>
        <w:t xml:space="preserve"> praticar ato lesivo previsto no art. 5º da Lei Federal nº 12.846/2013.</w:t>
      </w:r>
    </w:p>
    <w:p w14:paraId="429D3399"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20.3. DAS SANÇÕES APLICÁVEIS</w:t>
      </w:r>
    </w:p>
    <w:p w14:paraId="23D14D8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20.3. Pela prática das infrações previstas neste Edital e na Lei Federal nº 14.133/2021, poderão ser aplicadas ao licitante ou contratado, observados o contraditório e a ampla defesa, as seguintes sanções:</w:t>
      </w:r>
    </w:p>
    <w:p w14:paraId="2F97D876"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advertência;</w:t>
      </w:r>
    </w:p>
    <w:p w14:paraId="6F57E4FB"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multa;</w:t>
      </w:r>
    </w:p>
    <w:p w14:paraId="19F86147"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impedimento de licitar e contratar;</w:t>
      </w:r>
    </w:p>
    <w:p w14:paraId="68B8B071"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declaração de inidoneidade para licitar ou contratar.</w:t>
      </w:r>
    </w:p>
    <w:p w14:paraId="1055BC1D"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20.4. A sanção de advertência</w:t>
      </w:r>
      <w:r>
        <w:rPr>
          <w:rFonts w:ascii="Times New Roman" w:eastAsia="Times New Roman" w:hAnsi="Times New Roman" w:cs="Times New Roman"/>
          <w:sz w:val="24"/>
          <w:szCs w:val="24"/>
        </w:rPr>
        <w:t xml:space="preserve"> poderá ser aplicada na hipótese de inexecução parcial do contrato, quando não se justificar a imposição de penalidade mais grave.</w:t>
      </w:r>
    </w:p>
    <w:p w14:paraId="441E6EF0"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20.5. A sanção de impedimento de licitar e contratar poderá ser aplicada, nos termos do art. 156, inciso III, da Lei Federal nº 14.133/2021, pelo prazo máximo de 3 (três) anos, nas hipóteses previstas nos incisos II a VII do art. 155 da referida Lei, quando não se justificar a imposição de penalidade mais grave.</w:t>
      </w:r>
    </w:p>
    <w:p w14:paraId="5E92D530"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20.6. A sanção de declaração de inidoneidade para licitar ou contratar poderá ser aplicada, nos termos do art. 156, inciso IV, da Lei Federal nº 14.133/2021, pelo prazo mínimo de 3 (três) anos e máximo de 6 (seis) anos, nas hipóteses previstas nos incisos VIII a XII do art. 155 da referida Lei, bem como nas hipóteses dos incisos II a VII que justifiquem a imposição de penalidade mais grave.</w:t>
      </w:r>
    </w:p>
    <w:p w14:paraId="420970C6"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20.7. Sem prejuízo das demais sanções cabíveis, poderão ser aplicadas as seguintes multas:</w:t>
      </w:r>
    </w:p>
    <w:p w14:paraId="7F3829B4"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multa moratória, em razão de atraso injustificado na execução da obra, no cumprimento de etapa do cronograma físico-financeiro, na correção de serviços rejeitados ou no atendimento de determinação da fiscalização;</w:t>
      </w:r>
    </w:p>
    <w:p w14:paraId="28A4CD10"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multa compensatória, em razão de inexecução parcial ou total do contrato, descumprimento de obrigação contratual ou execução do objeto em desconformidade com o Edital, Projeto Básico, Memorial Descritivo, Planilha Orçamentária, Cronograma Físico-Financeiro, normas técnicas ou </w:t>
      </w:r>
      <w:r>
        <w:rPr>
          <w:rFonts w:ascii="Times New Roman" w:eastAsia="Times New Roman" w:hAnsi="Times New Roman" w:cs="Times New Roman"/>
          <w:sz w:val="24"/>
          <w:szCs w:val="24"/>
        </w:rPr>
        <w:lastRenderedPageBreak/>
        <w:t>determinações da fiscalização.</w:t>
      </w:r>
    </w:p>
    <w:p w14:paraId="555B9D3A"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20.8. O atraso injustificado na execução da obra ou no cumprimento de obrigação contratual sujeitará a contratada à multa de mora, calculada sobre o valor da obrigação em atraso ou da etapa inadimplida, a partir do primeiro dia útil seguinte ao término do prazo estabelecido, na seguinte proporção:</w:t>
      </w:r>
    </w:p>
    <w:p w14:paraId="36AB9FAD"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0,5% (meio por cento) ao dia, para atraso de até 15 (quinze) dias corridos;</w:t>
      </w:r>
    </w:p>
    <w:p w14:paraId="71196F02"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superados os 15 (quinze) dias corridos, 1% (um por cento) ao dia, a partir do 16º dia, limitada a aplicação da multa moratória ao período máximo de 30 (trinta) dias corridos.</w:t>
      </w:r>
    </w:p>
    <w:p w14:paraId="77C4A4A5"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20.9. O atraso superior a 30 (trinta) dias corridos, sem justificativa aceita pela Administração, poderá caracterizar inexecução parcial ou total do contrato, conforme a extensão do inadimplemento, autorizando a adoção das medidas cabíveis, inclusive a extinção contratual e a aplicação das demais sanções previstas neste Edital e na Lei Federal nº 14.133/2021.</w:t>
      </w:r>
    </w:p>
    <w:p w14:paraId="4DED5722"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20.10. A execução de serviços em desconformidade com o Projeto Básico, Memorial Descritivo, Planilha Orçamentária, normas técnicas ou determinações da fiscalização sujeitará a contratada à obrigação de corrigir, refazer ou substituir os serviços irregulares, às suas expensas, no prazo fixado pela Administração, sem prejuízo da aplicação das sanções cabíveis.</w:t>
      </w:r>
    </w:p>
    <w:p w14:paraId="2534A3AC"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20.11. A não correção, substituição ou regularização dos serviços no prazo fixado pela Administração caracterizará mora da contratada, sujeitando-a à multa prevista no item 20.8, contada a partir do primeiro dia útil subsequente ao término do prazo estabelecido para saneamento da irregularidade.</w:t>
      </w:r>
    </w:p>
    <w:p w14:paraId="6F77BBAC"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20.12. Pela inexecução parcial do contrato, poderá ser aplicada multa compensatória de até 10% (dez por cento) sobre o valor da parcela inadimplida, sem prejuízo das demais sanções cabíveis.</w:t>
      </w:r>
    </w:p>
    <w:p w14:paraId="5F67AC8B"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20.13. Pela inexecução total do contrato, poderá ser aplicada multa compensatória de até 20% (vinte por cento) sobre o valor total contratado, sem prejuízo da extinção contratual, execução da garantia e aplicação das demais sanções cabíveis.</w:t>
      </w:r>
    </w:p>
    <w:p w14:paraId="27534277"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20.14. A aplicação das multas previstas neste Edital não impede a execução da garantia contratual, a extinção do contrato, a aplicação de outras sanções previstas na Lei Federal nº 14.133/2021, nem a apuração de perdas e danos eventualmente suportados pela Administração.</w:t>
      </w:r>
    </w:p>
    <w:p w14:paraId="40298D45"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20.15. Caso a Administração suporte prejuízo superior ao valor das multas aplicadas ou da garantia contratual executada, poderá promover a apuração e cobrança do valor remanescente, mediante processo administrativo próprio, assegurados o contraditório e a ampla defesa.</w:t>
      </w:r>
    </w:p>
    <w:p w14:paraId="151D7932" w14:textId="77777777" w:rsidR="00D30A31" w:rsidRDefault="006B1BAE">
      <w:pPr>
        <w:pStyle w:val="Ttulo2"/>
        <w:keepNext w:val="0"/>
        <w:keepLines w:val="0"/>
        <w:spacing w:line="360" w:lineRule="auto"/>
        <w:ind w:right="150"/>
        <w:jc w:val="both"/>
        <w:rPr>
          <w:rFonts w:ascii="Times New Roman" w:eastAsia="Times New Roman" w:hAnsi="Times New Roman" w:cs="Times New Roman"/>
          <w:sz w:val="24"/>
          <w:szCs w:val="24"/>
        </w:rPr>
      </w:pPr>
      <w:bookmarkStart w:id="12" w:name="_bl7kzoqkf2vz" w:colFirst="0" w:colLast="0"/>
      <w:bookmarkEnd w:id="12"/>
      <w:r>
        <w:rPr>
          <w:rFonts w:ascii="Times New Roman" w:eastAsia="Times New Roman" w:hAnsi="Times New Roman" w:cs="Times New Roman"/>
          <w:sz w:val="24"/>
          <w:szCs w:val="24"/>
        </w:rPr>
        <w:t>20.16. Do procedimento sancionatório</w:t>
      </w:r>
    </w:p>
    <w:p w14:paraId="26BF2093"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20.16. A aplicação de sanções administrativas observará o devido processo legal, assegurados o contraditório e a ampla defesa, nos termos da Lei Federal nº 14.133/2021.</w:t>
      </w:r>
    </w:p>
    <w:p w14:paraId="0D515DBB"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20.17. Na aplicação das sanções, serão considerados:</w:t>
      </w:r>
    </w:p>
    <w:p w14:paraId="05857680"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a natureza e a gravidade da infração cometida;</w:t>
      </w:r>
    </w:p>
    <w:p w14:paraId="6C1FBC60"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as peculiaridades do caso concreto;</w:t>
      </w:r>
    </w:p>
    <w:p w14:paraId="188AB1B4"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as circunstâncias agravantes ou atenuantes;</w:t>
      </w:r>
    </w:p>
    <w:p w14:paraId="1BCFFF90"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os danos causados à Administração;</w:t>
      </w:r>
    </w:p>
    <w:p w14:paraId="158C017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a implantação ou o aperfeiçoamento de programa de integridade, conforme normas e orientações dos órgãos de controle, quando aplicável.</w:t>
      </w:r>
    </w:p>
    <w:p w14:paraId="372211D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20.18. A sanção de declaração de inidoneidade para licitar ou contratar será precedida de análise jurídica e observará as regras previstas na Lei Federal nº 14.133/2021.</w:t>
      </w:r>
    </w:p>
    <w:p w14:paraId="31145C59"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20.19. As sanções aplicadas serão registradas nos cadastros competentes, quando cabível, observadas as normas aplicáveis.</w:t>
      </w:r>
    </w:p>
    <w:p w14:paraId="75278EFB" w14:textId="77777777" w:rsidR="00D30A31" w:rsidRDefault="00D30A31">
      <w:pPr>
        <w:pBdr>
          <w:top w:val="nil"/>
          <w:left w:val="nil"/>
          <w:bottom w:val="nil"/>
          <w:right w:val="nil"/>
          <w:between w:val="nil"/>
        </w:pBdr>
        <w:rPr>
          <w:rFonts w:ascii="Times New Roman" w:eastAsia="Times New Roman" w:hAnsi="Times New Roman" w:cs="Times New Roman"/>
          <w:color w:val="000000"/>
          <w:sz w:val="24"/>
          <w:szCs w:val="24"/>
        </w:rPr>
      </w:pPr>
    </w:p>
    <w:p w14:paraId="09A52C6C" w14:textId="77777777" w:rsidR="00D30A31" w:rsidRDefault="006B1BAE">
      <w:pPr>
        <w:pStyle w:val="Ttulo1"/>
        <w:numPr>
          <w:ilvl w:val="0"/>
          <w:numId w:val="4"/>
        </w:numPr>
        <w:tabs>
          <w:tab w:val="left" w:pos="284"/>
        </w:tabs>
        <w:ind w:left="0" w:firstLine="0"/>
        <w:jc w:val="both"/>
        <w:rPr>
          <w:rFonts w:ascii="Times New Roman" w:eastAsia="Times New Roman" w:hAnsi="Times New Roman" w:cs="Times New Roman"/>
        </w:rPr>
      </w:pPr>
      <w:r>
        <w:rPr>
          <w:rFonts w:ascii="Times New Roman" w:eastAsia="Times New Roman" w:hAnsi="Times New Roman" w:cs="Times New Roman"/>
          <w:sz w:val="24"/>
          <w:szCs w:val="24"/>
          <w:u w:val="single"/>
        </w:rPr>
        <w:t>DOS ESCLARECIMENTOS E IMPUGNAÇÕES AO EDITAL</w:t>
      </w:r>
    </w:p>
    <w:p w14:paraId="20A5DAD1" w14:textId="77777777" w:rsidR="00D30A31" w:rsidRDefault="00D30A31">
      <w:pPr>
        <w:pStyle w:val="Ttulo1"/>
        <w:tabs>
          <w:tab w:val="left" w:pos="284"/>
        </w:tabs>
        <w:ind w:left="0"/>
        <w:jc w:val="both"/>
        <w:rPr>
          <w:rFonts w:ascii="Times New Roman" w:eastAsia="Times New Roman" w:hAnsi="Times New Roman" w:cs="Times New Roman"/>
          <w:sz w:val="24"/>
          <w:szCs w:val="24"/>
          <w:u w:val="single"/>
        </w:rPr>
      </w:pPr>
    </w:p>
    <w:p w14:paraId="15C84484"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21.1. </w:t>
      </w:r>
      <w:r>
        <w:rPr>
          <w:rFonts w:ascii="Times New Roman" w:eastAsia="Times New Roman" w:hAnsi="Times New Roman" w:cs="Times New Roman"/>
          <w:sz w:val="24"/>
          <w:szCs w:val="24"/>
        </w:rPr>
        <w:t xml:space="preserve">Os ESCLARECIMENTOS e IMPUGNAÇÕES deverão ser formalizados por meio de requerimento endereçado ao Agente de Contratação, devendo ser protocolado no prazo de até 03 (três) dias úteis anteriores à data fixada para recebimento das propostas, EXCLUSIVAMENTE por FORMA ELETRÔNICA no sistema </w:t>
      </w:r>
      <w:hyperlink r:id="rId10">
        <w:r>
          <w:rPr>
            <w:rFonts w:ascii="Times New Roman" w:eastAsia="Times New Roman" w:hAnsi="Times New Roman" w:cs="Times New Roman"/>
            <w:sz w:val="24"/>
            <w:szCs w:val="24"/>
          </w:rPr>
          <w:t>www.portaldecompraspublicas.com.br</w:t>
        </w:r>
      </w:hyperlink>
      <w:r>
        <w:rPr>
          <w:rFonts w:ascii="Times New Roman" w:eastAsia="Times New Roman" w:hAnsi="Times New Roman" w:cs="Times New Roman"/>
          <w:sz w:val="24"/>
          <w:szCs w:val="24"/>
        </w:rPr>
        <w:t>.</w:t>
      </w:r>
    </w:p>
    <w:p w14:paraId="3EF94575"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 Os arquivos encaminhados deverão estar em PDF do tipo “pesquisável” e assinados pelo </w:t>
      </w:r>
      <w:r>
        <w:rPr>
          <w:rFonts w:ascii="Times New Roman" w:eastAsia="Times New Roman" w:hAnsi="Times New Roman" w:cs="Times New Roman"/>
          <w:sz w:val="24"/>
          <w:szCs w:val="24"/>
        </w:rPr>
        <w:lastRenderedPageBreak/>
        <w:t>representante legal da empresa.</w:t>
      </w:r>
    </w:p>
    <w:p w14:paraId="7BEA7A9C"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21.3. As impugnações e pedidos de esclarecimentos não suspendem os prazos previstos no certame, salvo quando se amolda ao art. 55, parágrafo 1º, da Lei nº 14.133/2021.</w:t>
      </w:r>
    </w:p>
    <w:p w14:paraId="6D6E9C18"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21.4. A concessão de efeito suspensivo à impugnação é medida excepcional e deverá ser motivada pelo Agente de Contratação, nos autos do processo de licitação.</w:t>
      </w:r>
    </w:p>
    <w:p w14:paraId="47673470"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21.5. As dúvidas a serem esclarecidas por telefone serão somente aquelas de caráter estritamente informal, no e-mail: </w:t>
      </w:r>
      <w:hyperlink r:id="rId11">
        <w:r>
          <w:rPr>
            <w:rFonts w:ascii="Times New Roman" w:eastAsia="Times New Roman" w:hAnsi="Times New Roman" w:cs="Times New Roman"/>
            <w:sz w:val="24"/>
            <w:szCs w:val="24"/>
          </w:rPr>
          <w:t>licitacao.duvidas@mage.rj.gov.br</w:t>
        </w:r>
      </w:hyperlink>
      <w:r>
        <w:rPr>
          <w:rFonts w:ascii="Times New Roman" w:eastAsia="Times New Roman" w:hAnsi="Times New Roman" w:cs="Times New Roman"/>
          <w:sz w:val="24"/>
          <w:szCs w:val="24"/>
        </w:rPr>
        <w:t xml:space="preserve"> ou pessoalmente na Superintendência de Licitações e Contratos no endereço Avenida Roncador, nº 125, Parque Azul, Magé/RJ, CEP: 25904-766 de segunda a sexta-feira, das 09:00 horas às 17:00 horas.</w:t>
      </w:r>
    </w:p>
    <w:p w14:paraId="5D537FEE"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21.6. As impugnações e os esclarecimentos serão respondidos pelo Agente de Contratação e disponibilizados aos interessados no Portal de Compras Públicas, no prazo de 03 (três) dias úteis anteriores à data fixada para abertura da sessão pública, limitado ao último dia útil anterior a data de abertura do certame.</w:t>
      </w:r>
    </w:p>
    <w:p w14:paraId="675FC618"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21.7. As respostas às impugnações e aos esclarecimentos solicitados, bem como outros avisos de ordem geral, serão cadastradas no sítio </w:t>
      </w:r>
      <w:hyperlink r:id="rId12">
        <w:r>
          <w:rPr>
            <w:rFonts w:ascii="Times New Roman" w:eastAsia="Times New Roman" w:hAnsi="Times New Roman" w:cs="Times New Roman"/>
            <w:sz w:val="24"/>
            <w:szCs w:val="24"/>
          </w:rPr>
          <w:t>www.portaldecompraspublicas.com.br,</w:t>
        </w:r>
      </w:hyperlink>
      <w:r>
        <w:rPr>
          <w:rFonts w:ascii="Times New Roman" w:eastAsia="Times New Roman" w:hAnsi="Times New Roman" w:cs="Times New Roman"/>
          <w:sz w:val="24"/>
          <w:szCs w:val="24"/>
        </w:rPr>
        <w:t xml:space="preserve"> sendo de responsabilidade dos licitantes, seu acompanhamento.</w:t>
      </w:r>
    </w:p>
    <w:p w14:paraId="603F717D" w14:textId="77777777" w:rsidR="00D30A31" w:rsidRDefault="00D30A31">
      <w:pPr>
        <w:ind w:right="150"/>
        <w:rPr>
          <w:rFonts w:ascii="Times New Roman" w:eastAsia="Times New Roman" w:hAnsi="Times New Roman" w:cs="Times New Roman"/>
          <w:sz w:val="24"/>
          <w:szCs w:val="24"/>
        </w:rPr>
      </w:pPr>
    </w:p>
    <w:p w14:paraId="7CF1C264" w14:textId="77777777" w:rsidR="00D30A31" w:rsidRDefault="006B1BAE">
      <w:pPr>
        <w:pStyle w:val="Ttulo1"/>
        <w:numPr>
          <w:ilvl w:val="0"/>
          <w:numId w:val="4"/>
        </w:numPr>
        <w:tabs>
          <w:tab w:val="left" w:pos="0"/>
        </w:tabs>
        <w:ind w:left="0" w:firstLine="0"/>
        <w:jc w:val="both"/>
        <w:rPr>
          <w:rFonts w:ascii="Times New Roman" w:eastAsia="Times New Roman" w:hAnsi="Times New Roman" w:cs="Times New Roman"/>
        </w:rPr>
      </w:pPr>
      <w:r>
        <w:rPr>
          <w:rFonts w:ascii="Times New Roman" w:eastAsia="Times New Roman" w:hAnsi="Times New Roman" w:cs="Times New Roman"/>
          <w:sz w:val="24"/>
          <w:szCs w:val="24"/>
          <w:u w:val="single"/>
        </w:rPr>
        <w:t>DA SUBCONTRATAÇÃO</w:t>
      </w:r>
    </w:p>
    <w:p w14:paraId="61BB6B70" w14:textId="77777777" w:rsidR="00D30A31" w:rsidRDefault="00D30A31">
      <w:pPr>
        <w:pStyle w:val="Ttulo1"/>
        <w:tabs>
          <w:tab w:val="left" w:pos="0"/>
        </w:tabs>
        <w:ind w:left="0"/>
        <w:jc w:val="both"/>
        <w:rPr>
          <w:rFonts w:ascii="Times New Roman" w:eastAsia="Times New Roman" w:hAnsi="Times New Roman" w:cs="Times New Roman"/>
          <w:sz w:val="24"/>
          <w:szCs w:val="24"/>
          <w:u w:val="single"/>
        </w:rPr>
      </w:pPr>
    </w:p>
    <w:p w14:paraId="6E15A44A"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22.1. Será admitida a subcontratação parcial do objeto, desde que previamente autorizada pela Administração e limitada a 30% (trinta por cento) do valor total contratado.</w:t>
      </w:r>
    </w:p>
    <w:p w14:paraId="4F4CADB5"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 É vedada a subcontratação integral do objeto, bem como da parcela principal da contratação, permanecendo a contratada integralmente responsável pela execução, coordenação, qualidade, segurança, prazos e regularidade técnica da obra.</w:t>
      </w:r>
    </w:p>
    <w:p w14:paraId="4BB0D849"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22.3. Para fins deste Edital, considera-se parcela principal do objeto a execução e o gerenciamento global da obra, incluindo a coordenação técnica dos serviços, a responsabilidade pela compatibilização das etapas, o cumprimento do cronograma físico-financeiro, a manutenção do responsável técnico e a </w:t>
      </w:r>
      <w:r>
        <w:rPr>
          <w:rFonts w:ascii="Times New Roman" w:eastAsia="Times New Roman" w:hAnsi="Times New Roman" w:cs="Times New Roman"/>
          <w:sz w:val="24"/>
          <w:szCs w:val="24"/>
        </w:rPr>
        <w:lastRenderedPageBreak/>
        <w:t>interlocução com a fiscalização contratual.</w:t>
      </w:r>
    </w:p>
    <w:p w14:paraId="5A66590F"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22.4. A subcontratação de parcelas acessórias ou especializadas somente poderá ocorrer mediante solicitação formal da contratada, acompanhada da identificação da empresa subcontratada, comprovação de sua regularidade jurídica, fiscal e técnica, quando pertinente, e justificativa da necessidade da subcontratação.</w:t>
      </w:r>
    </w:p>
    <w:p w14:paraId="23738DE9"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22.5. A subcontratação dependerá de aprovação prévia e expressa da Administração, por meio da fiscalização e/ou gestão do contrato, vedada a execução de serviços por empresa subcontratada antes da respectiva autorização.</w:t>
      </w:r>
    </w:p>
    <w:p w14:paraId="2317E7FB"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22.6. Não será admitida a subcontratação das parcelas utilizadas pela contratada para comprovação da qualificação técnica exigida na licitação, salvo autorização expressa, motivada e excepcional da Administração, desde que preservada a responsabilidade integral da contratada e demonstrada a manutenção da capacidade técnica necessária à execução do objeto.</w:t>
      </w:r>
    </w:p>
    <w:p w14:paraId="672B54D5"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22.7. A subcontratação não transferirá à subcontratada qualquer responsabilidade perante o Município, permanecendo a contratada como única e integral responsável pela execução do contrato, inclusive quanto à qualidade dos serviços, cumprimento de prazos, obrigações trabalhistas, previdenciárias, fiscais, ambientais, de segurança do trabalho e demais encargos decorrentes da execução contratual.</w:t>
      </w:r>
    </w:p>
    <w:p w14:paraId="0462689E" w14:textId="77777777" w:rsidR="00D30A31" w:rsidRDefault="006B1BAE">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22.8. A Administração poderá exigir a substituição da subcontratada quando verificar incapacidade técnica, irregularidade documental, descumprimento de normas legais ou contratuais, execução inadequada dos serviços ou qualquer fato que comprometa a regular execução do objeto.</w:t>
      </w:r>
    </w:p>
    <w:p w14:paraId="4E5424D4" w14:textId="77777777" w:rsidR="00D30A31" w:rsidRDefault="00D30A31">
      <w:pPr>
        <w:pBdr>
          <w:top w:val="nil"/>
          <w:left w:val="nil"/>
          <w:bottom w:val="nil"/>
          <w:right w:val="nil"/>
          <w:between w:val="nil"/>
        </w:pBdr>
        <w:ind w:right="150"/>
        <w:jc w:val="both"/>
        <w:rPr>
          <w:rFonts w:ascii="Times New Roman" w:eastAsia="Times New Roman" w:hAnsi="Times New Roman" w:cs="Times New Roman"/>
          <w:color w:val="000000"/>
          <w:sz w:val="24"/>
          <w:szCs w:val="24"/>
        </w:rPr>
      </w:pPr>
    </w:p>
    <w:p w14:paraId="0D15B209" w14:textId="77777777" w:rsidR="00D30A31" w:rsidRDefault="006B1BAE">
      <w:pPr>
        <w:pStyle w:val="Ttulo1"/>
        <w:numPr>
          <w:ilvl w:val="0"/>
          <w:numId w:val="4"/>
        </w:numPr>
        <w:tabs>
          <w:tab w:val="left" w:pos="0"/>
        </w:tabs>
        <w:ind w:left="0" w:firstLine="0"/>
        <w:jc w:val="both"/>
        <w:rPr>
          <w:rFonts w:ascii="Times New Roman" w:eastAsia="Times New Roman" w:hAnsi="Times New Roman" w:cs="Times New Roman"/>
        </w:rPr>
      </w:pPr>
      <w:r>
        <w:rPr>
          <w:rFonts w:ascii="Times New Roman" w:eastAsia="Times New Roman" w:hAnsi="Times New Roman" w:cs="Times New Roman"/>
          <w:sz w:val="24"/>
          <w:szCs w:val="24"/>
          <w:u w:val="single"/>
        </w:rPr>
        <w:t>DAS DISPOSIÇÕES GERAIS</w:t>
      </w:r>
    </w:p>
    <w:p w14:paraId="145BAEA8" w14:textId="77777777" w:rsidR="00D30A31" w:rsidRDefault="00D30A31">
      <w:pPr>
        <w:pStyle w:val="Ttulo1"/>
        <w:tabs>
          <w:tab w:val="left" w:pos="0"/>
        </w:tabs>
        <w:ind w:left="0"/>
        <w:jc w:val="both"/>
        <w:rPr>
          <w:rFonts w:ascii="Times New Roman" w:eastAsia="Times New Roman" w:hAnsi="Times New Roman" w:cs="Times New Roman"/>
          <w:sz w:val="24"/>
          <w:szCs w:val="24"/>
          <w:u w:val="single"/>
        </w:rPr>
      </w:pPr>
    </w:p>
    <w:p w14:paraId="1C481D07"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 O licitante é responsável pela fidelidade, legitimidade, autenticidade e veracidade das informações prestadas e dos documentos apresentados em qualquer fase da licitação.</w:t>
      </w:r>
    </w:p>
    <w:p w14:paraId="158E5FA6"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23.2. A falsidade de qualquer documento apresentado ou a inveracidade das informações nele contidas poderá ensejar a desclassificação da proposta, a inabilitação do licitante, a extinção do contrato, se já celebrado, e a aplicação das sanções administrativas, civis e penais cabíveis, observado o devido processo legal.</w:t>
      </w:r>
    </w:p>
    <w:p w14:paraId="11F82F6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23.3. A ata da sessão pública será divulgada no sistema eletrônico, observadas as funcionalidades da plataforma utilizada.</w:t>
      </w:r>
    </w:p>
    <w:p w14:paraId="79407DC7"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23.4. Todas as referências de horário constantes deste Edital, do aviso de licitação e da sessão pública observarão o horário de Brasília/DF.</w:t>
      </w:r>
    </w:p>
    <w:p w14:paraId="3A262DE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23.5. É facultado ao Agente de Contratação, à equipe de apoio ou à autoridade competente, em qualquer fase da licitação, promover diligências destinadas a esclarecer ou complementar a instrução do processo, vedada a inclusão posterior de documento ou informação que deveria constar originariamente da proposta ou da documentação de habilitação, salvo nas hipóteses admitidas pela legislação aplicável.</w:t>
      </w:r>
    </w:p>
    <w:p w14:paraId="65BD005D"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23.6. Os licitantes intimados a prestar esclarecimentos, apresentar documentos complementares ou atender diligências deverão fazê-lo no prazo estabelecido pelo Agente de Contratação, sob pena de desclassificação da proposta, inabilitação ou adoção das demais providências cabíveis, conforme o caso.</w:t>
      </w:r>
    </w:p>
    <w:p w14:paraId="1EC3E81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23.7. O desatendimento de exigências meramente formais, que não comprometam a aferição da qualificação do licitante, a compreensão da proposta, a isonomia entre os participantes ou a segurança da contratação, não importará, por si só, no afastamento do licitante, desde que seja possível o saneamento ou o aproveitamento do ato.</w:t>
      </w:r>
    </w:p>
    <w:p w14:paraId="5CACBC29"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23.8. As normas que disciplinam esta Concorrência Eletrônica serão interpretadas em favor da ampliação da competitividade, desde que não comprometam o interesse público, a isonomia, a finalidade da contratação, a seleção da proposta mais vantajosa e a segurança da execução contratual.</w:t>
      </w:r>
    </w:p>
    <w:p w14:paraId="69BB54FF"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23.9. As decisões relativas ao presente processo licitatório serão comunicadas aos licitantes por meio do sistema eletrônico, por publicação oficial ou por outro meio idôneo que assegure ciência aos interessados, conforme o caso.</w:t>
      </w:r>
    </w:p>
    <w:p w14:paraId="52B8AE40"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23.10. Os casos omissos serão resolvidos pelo Agente de Contratação ou pela autoridade competente, conforme a fase do procedimento, observadas a Lei Federal nº 14.133/2021, o Decreto Municipal nº 3.635/2023, este Edital e as demais normas aplicáveis.</w:t>
      </w:r>
    </w:p>
    <w:p w14:paraId="1201B182"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23.11. A presente licitação poderá ser adjudicada, homologada, revogada ou anulada pela autoridade competente, nos termos da Lei Federal nº 14.133/2021 e do Decreto Municipal nº 3.635/2023.</w:t>
      </w:r>
    </w:p>
    <w:p w14:paraId="66037D0D"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23.12. A participação do licitante nesta licitação implica aceitação plena e irretratável dos termos e condições estabelecidos neste Edital e em seus anexos.</w:t>
      </w:r>
    </w:p>
    <w:p w14:paraId="2EE137BC"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23.13. Os licitantes assumem todos os custos de preparação e apresentação de suas propostas, não cabendo à Administração qualquer responsabilidade por tais despesas, independentemente da condução ou do resultado do certame.</w:t>
      </w:r>
    </w:p>
    <w:p w14:paraId="1124033D"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23.14. Na contagem dos prazos estabelecidos neste Edital e em seus anexos, excluir-se-á o dia do início e incluir-se-á o dia do vencimento, observando-se que os prazos somente se iniciam e vencem em dias de expediente na Administração, salvo disposição expressa em contrário.</w:t>
      </w:r>
    </w:p>
    <w:p w14:paraId="2D9CE9C4"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23.15. Em caso de divergência meramente formal entre este Edital e seus anexos, prevalecerão as disposições do Edital. Havendo divergência técnica, quantitativa, orçamentária ou relacionada à execução da obra, a questão deverá ser submetida ao Agente de Contratação e à área técnica competente para esclarecimento, preservada a integridade do Projeto Básico, da Planilha Orçamentária, do Memorial Descritivo, do Cronograma Físico-Financeiro, da Matriz de Riscos e dos demais documentos técnicos que compõem a con</w:t>
      </w:r>
      <w:r>
        <w:rPr>
          <w:rFonts w:ascii="Times New Roman" w:eastAsia="Times New Roman" w:hAnsi="Times New Roman" w:cs="Times New Roman"/>
          <w:sz w:val="24"/>
          <w:szCs w:val="24"/>
        </w:rPr>
        <w:t>tratação.</w:t>
      </w:r>
    </w:p>
    <w:p w14:paraId="77C0DD4A"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23.16. O Edital e seus anexos estarão disponíveis, na íntegra, no Portal Nacional de Contratações Públicas — PNCP e no endereço eletrônico </w:t>
      </w:r>
      <w:hyperlink r:id="rId13">
        <w:r>
          <w:rPr>
            <w:rFonts w:ascii="Times New Roman" w:eastAsia="Times New Roman" w:hAnsi="Times New Roman" w:cs="Times New Roman"/>
            <w:color w:val="1155CC"/>
            <w:sz w:val="24"/>
            <w:szCs w:val="24"/>
            <w:u w:val="single"/>
          </w:rPr>
          <w:t>www.portaldecompraspublicas.com.br</w:t>
        </w:r>
      </w:hyperlink>
      <w:r>
        <w:rPr>
          <w:rFonts w:ascii="Times New Roman" w:eastAsia="Times New Roman" w:hAnsi="Times New Roman" w:cs="Times New Roman"/>
          <w:sz w:val="24"/>
          <w:szCs w:val="24"/>
        </w:rPr>
        <w:t>.</w:t>
      </w:r>
    </w:p>
    <w:p w14:paraId="3CF65EF6"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23.17. A documentação apresentada para fins de habilitação pela licitante vencedora integrará os autos do processo licitatório.</w:t>
      </w:r>
    </w:p>
    <w:p w14:paraId="52A5DF9A"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23.18. Não havendo expediente ou ocorrendo fato superveniente que impeça a realização da sessão pública na data marcada, a sessão será automaticamente transferida para o primeiro dia útil subsequente, no mesmo horário e endereço eletrônico anteriormente estabelecidos, salvo comunicação em sentido diverso pelo Agente de Contratação.</w:t>
      </w:r>
    </w:p>
    <w:p w14:paraId="408007CA" w14:textId="77777777" w:rsidR="00D30A31" w:rsidRDefault="006B1B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23.19. Fica eleito o foro da Comarca de Magé/RJ para dirimir quaisquer questões judiciais decorrentes deste Edital, com renúncia expressa a qualquer outro, por mais privilegiado que seja.</w:t>
      </w:r>
    </w:p>
    <w:p w14:paraId="0AB798FE" w14:textId="77777777" w:rsidR="00D30A31" w:rsidRDefault="00D30A31">
      <w:pPr>
        <w:pBdr>
          <w:top w:val="nil"/>
          <w:left w:val="nil"/>
          <w:bottom w:val="nil"/>
          <w:right w:val="nil"/>
          <w:between w:val="nil"/>
        </w:pBdr>
        <w:tabs>
          <w:tab w:val="left" w:pos="0"/>
          <w:tab w:val="left" w:pos="866"/>
        </w:tabs>
        <w:ind w:right="147"/>
        <w:jc w:val="both"/>
        <w:rPr>
          <w:rFonts w:ascii="Times New Roman" w:eastAsia="Times New Roman" w:hAnsi="Times New Roman" w:cs="Times New Roman"/>
          <w:color w:val="000000"/>
          <w:sz w:val="24"/>
          <w:szCs w:val="24"/>
        </w:rPr>
      </w:pPr>
    </w:p>
    <w:p w14:paraId="4074FC20" w14:textId="77777777" w:rsidR="00D30A31" w:rsidRDefault="006B1BAE">
      <w:pPr>
        <w:pStyle w:val="Ttulo1"/>
        <w:numPr>
          <w:ilvl w:val="0"/>
          <w:numId w:val="5"/>
        </w:numPr>
        <w:tabs>
          <w:tab w:val="left" w:pos="0"/>
        </w:tabs>
        <w:ind w:left="0" w:firstLine="0"/>
        <w:jc w:val="both"/>
        <w:rPr>
          <w:rFonts w:ascii="Times New Roman" w:eastAsia="Times New Roman" w:hAnsi="Times New Roman" w:cs="Times New Roman"/>
        </w:rPr>
      </w:pPr>
      <w:r>
        <w:rPr>
          <w:rFonts w:ascii="Times New Roman" w:eastAsia="Times New Roman" w:hAnsi="Times New Roman" w:cs="Times New Roman"/>
          <w:sz w:val="24"/>
          <w:szCs w:val="24"/>
          <w:u w:val="single"/>
        </w:rPr>
        <w:t>INTEGRAM ESTE EDITAL, PARA TODOS OS FINS E EFEITOS, OS SEGUINTES ANEXOS</w:t>
      </w:r>
      <w:r>
        <w:rPr>
          <w:rFonts w:ascii="Times New Roman" w:eastAsia="Times New Roman" w:hAnsi="Times New Roman" w:cs="Times New Roman"/>
          <w:sz w:val="24"/>
          <w:szCs w:val="24"/>
        </w:rPr>
        <w:t>:</w:t>
      </w:r>
    </w:p>
    <w:p w14:paraId="62F925C6" w14:textId="77777777" w:rsidR="00D30A31" w:rsidRDefault="00D30A31">
      <w:pPr>
        <w:ind w:left="117" w:hanging="117"/>
        <w:jc w:val="both"/>
        <w:rPr>
          <w:rFonts w:ascii="Times New Roman" w:eastAsia="Times New Roman" w:hAnsi="Times New Roman" w:cs="Times New Roman"/>
          <w:b/>
          <w:bCs/>
          <w:sz w:val="24"/>
          <w:szCs w:val="24"/>
        </w:rPr>
      </w:pPr>
    </w:p>
    <w:p w14:paraId="0B2B0815" w14:textId="77777777" w:rsidR="00D30A31" w:rsidRDefault="006B1BAE">
      <w:pPr>
        <w:spacing w:line="360" w:lineRule="auto"/>
        <w:ind w:left="117" w:hanging="117"/>
        <w:jc w:val="both"/>
        <w:rPr>
          <w:rFonts w:ascii="Times New Roman" w:eastAsia="Times New Roman" w:hAnsi="Times New Roman" w:cs="Times New Roman"/>
          <w:sz w:val="24"/>
          <w:szCs w:val="24"/>
        </w:rPr>
      </w:pPr>
      <w:bookmarkStart w:id="13" w:name="_m6vobgv65mwc" w:colFirst="0" w:colLast="0"/>
      <w:bookmarkEnd w:id="13"/>
      <w:r>
        <w:rPr>
          <w:rFonts w:ascii="Times New Roman" w:eastAsia="Times New Roman" w:hAnsi="Times New Roman" w:cs="Times New Roman"/>
          <w:b/>
          <w:bCs/>
          <w:sz w:val="24"/>
          <w:szCs w:val="24"/>
        </w:rPr>
        <w:lastRenderedPageBreak/>
        <w:t xml:space="preserve">ANEXO I </w:t>
      </w:r>
      <w:r>
        <w:rPr>
          <w:rFonts w:ascii="Times New Roman" w:eastAsia="Times New Roman" w:hAnsi="Times New Roman" w:cs="Times New Roman"/>
          <w:sz w:val="24"/>
          <w:szCs w:val="24"/>
        </w:rPr>
        <w:t>– PROJETO BÁSICO</w:t>
      </w:r>
    </w:p>
    <w:p w14:paraId="0CE1B75E" w14:textId="77777777" w:rsidR="00D30A31" w:rsidRDefault="006B1BAE">
      <w:pPr>
        <w:spacing w:line="360" w:lineRule="auto"/>
        <w:ind w:left="117" w:hanging="117"/>
        <w:jc w:val="both"/>
        <w:rPr>
          <w:rFonts w:ascii="Times New Roman" w:eastAsia="Times New Roman" w:hAnsi="Times New Roman" w:cs="Times New Roman"/>
          <w:sz w:val="24"/>
          <w:szCs w:val="24"/>
        </w:rPr>
      </w:pPr>
      <w:bookmarkStart w:id="14" w:name="_p8z8h2u4ccqr" w:colFirst="0" w:colLast="0"/>
      <w:bookmarkEnd w:id="14"/>
      <w:r>
        <w:rPr>
          <w:rFonts w:ascii="Times New Roman" w:eastAsia="Times New Roman" w:hAnsi="Times New Roman" w:cs="Times New Roman"/>
          <w:b/>
          <w:bCs/>
          <w:sz w:val="24"/>
          <w:szCs w:val="24"/>
        </w:rPr>
        <w:t xml:space="preserve">ANEXO II </w:t>
      </w:r>
      <w:r>
        <w:rPr>
          <w:rFonts w:ascii="Times New Roman" w:eastAsia="Times New Roman" w:hAnsi="Times New Roman" w:cs="Times New Roman"/>
          <w:sz w:val="24"/>
          <w:szCs w:val="24"/>
        </w:rPr>
        <w:t xml:space="preserve">– MINUTA DE CONTRATO </w:t>
      </w:r>
    </w:p>
    <w:p w14:paraId="4A444B4B" w14:textId="77777777" w:rsidR="00D30A31" w:rsidRDefault="006B1BAE">
      <w:pPr>
        <w:widowControl/>
        <w:pBdr>
          <w:top w:val="nil"/>
          <w:left w:val="nil"/>
          <w:bottom w:val="nil"/>
          <w:right w:val="nil"/>
          <w:between w:val="nil"/>
        </w:pBdr>
        <w:spacing w:line="360" w:lineRule="auto"/>
        <w:ind w:right="-285"/>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ANEXO III </w:t>
      </w:r>
      <w:r>
        <w:rPr>
          <w:rFonts w:ascii="Times New Roman" w:eastAsia="Times New Roman" w:hAnsi="Times New Roman" w:cs="Times New Roman"/>
          <w:color w:val="000000"/>
          <w:sz w:val="24"/>
          <w:szCs w:val="24"/>
        </w:rPr>
        <w:t>– DECLARAÇÃO DE ATENDIMENTO AOS REQUISITOS DE HABILITAÇÃO</w:t>
      </w:r>
      <w:r>
        <w:rPr>
          <w:rFonts w:ascii="Times New Roman" w:eastAsia="Times New Roman" w:hAnsi="Times New Roman" w:cs="Times New Roman"/>
          <w:b/>
          <w:bCs/>
          <w:color w:val="000000"/>
          <w:sz w:val="24"/>
          <w:szCs w:val="24"/>
        </w:rPr>
        <w:t xml:space="preserve"> </w:t>
      </w:r>
    </w:p>
    <w:p w14:paraId="3909544A" w14:textId="77777777" w:rsidR="00D30A31" w:rsidRDefault="006B1BAE">
      <w:pPr>
        <w:pBdr>
          <w:top w:val="nil"/>
          <w:left w:val="nil"/>
          <w:bottom w:val="nil"/>
          <w:right w:val="nil"/>
          <w:between w:val="nil"/>
        </w:pBdr>
        <w:spacing w:line="360" w:lineRule="auto"/>
        <w:ind w:left="117" w:hanging="11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ANEXO IV </w:t>
      </w:r>
      <w:r>
        <w:rPr>
          <w:rFonts w:ascii="Times New Roman" w:eastAsia="Times New Roman" w:hAnsi="Times New Roman" w:cs="Times New Roman"/>
          <w:color w:val="000000"/>
          <w:sz w:val="24"/>
          <w:szCs w:val="24"/>
        </w:rPr>
        <w:t>–DECLARAÇÃO DE SUPERVINIÊNCIA</w:t>
      </w:r>
    </w:p>
    <w:p w14:paraId="35F35EC5" w14:textId="77777777" w:rsidR="00D30A31" w:rsidRDefault="006B1BAE">
      <w:pPr>
        <w:pBdr>
          <w:top w:val="nil"/>
          <w:left w:val="nil"/>
          <w:bottom w:val="nil"/>
          <w:right w:val="nil"/>
          <w:between w:val="nil"/>
        </w:pBdr>
        <w:spacing w:line="360" w:lineRule="auto"/>
        <w:ind w:left="117" w:hanging="11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ANEXO V </w:t>
      </w:r>
      <w:r>
        <w:rPr>
          <w:rFonts w:ascii="Times New Roman" w:eastAsia="Times New Roman" w:hAnsi="Times New Roman" w:cs="Times New Roman"/>
          <w:color w:val="000000"/>
          <w:sz w:val="24"/>
          <w:szCs w:val="24"/>
        </w:rPr>
        <w:t xml:space="preserve">– DECLARAÇÃO DE CUMPRIMENTO DE RESERVA DE CARGOS </w:t>
      </w:r>
    </w:p>
    <w:p w14:paraId="548774C5" w14:textId="77777777" w:rsidR="00D30A31" w:rsidRDefault="006B1BA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ANEXO VI</w:t>
      </w:r>
      <w:r>
        <w:rPr>
          <w:rFonts w:ascii="Times New Roman" w:eastAsia="Times New Roman" w:hAnsi="Times New Roman" w:cs="Times New Roman"/>
          <w:color w:val="000000"/>
          <w:sz w:val="24"/>
          <w:szCs w:val="24"/>
        </w:rPr>
        <w:t xml:space="preserve"> - DECLARAÇÃO DE ATENDIMENTO AO ART. 68, INCISO VI DA LEI FEDEAL 14.133/2021 E AO ART. 7º   CONSTITUIÇÃO FEDERAL</w:t>
      </w:r>
    </w:p>
    <w:p w14:paraId="6B979529" w14:textId="77777777" w:rsidR="00D30A31" w:rsidRDefault="006B1BAE">
      <w:pPr>
        <w:pBdr>
          <w:top w:val="nil"/>
          <w:left w:val="nil"/>
          <w:bottom w:val="nil"/>
          <w:right w:val="nil"/>
          <w:between w:val="nil"/>
        </w:pBdr>
        <w:spacing w:line="360" w:lineRule="auto"/>
        <w:ind w:left="117" w:hanging="11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ANEXO VII - </w:t>
      </w:r>
      <w:r>
        <w:rPr>
          <w:rFonts w:ascii="Times New Roman" w:eastAsia="Times New Roman" w:hAnsi="Times New Roman" w:cs="Times New Roman"/>
          <w:color w:val="000000"/>
          <w:sz w:val="24"/>
          <w:szCs w:val="24"/>
        </w:rPr>
        <w:t>DECLARAÇÃO ME - EPP</w:t>
      </w:r>
    </w:p>
    <w:p w14:paraId="31423FCE" w14:textId="77777777" w:rsidR="00D30A31" w:rsidRDefault="006B1BAE">
      <w:pPr>
        <w:pBdr>
          <w:top w:val="nil"/>
          <w:left w:val="nil"/>
          <w:bottom w:val="nil"/>
          <w:right w:val="nil"/>
          <w:between w:val="nil"/>
        </w:pBdr>
        <w:spacing w:line="360" w:lineRule="auto"/>
        <w:ind w:left="117" w:hanging="117"/>
        <w:jc w:val="both"/>
        <w:rPr>
          <w:rFonts w:ascii="Times New Roman" w:eastAsia="Times New Roman" w:hAnsi="Times New Roman" w:cs="Times New Roman"/>
          <w:color w:val="EE0000"/>
          <w:sz w:val="24"/>
          <w:szCs w:val="24"/>
        </w:rPr>
      </w:pPr>
      <w:r>
        <w:rPr>
          <w:rFonts w:ascii="Times New Roman" w:eastAsia="Times New Roman" w:hAnsi="Times New Roman" w:cs="Times New Roman"/>
          <w:b/>
          <w:bCs/>
          <w:color w:val="000000"/>
          <w:sz w:val="24"/>
          <w:szCs w:val="24"/>
        </w:rPr>
        <w:t>ANEXO VIII</w:t>
      </w:r>
      <w:r>
        <w:rPr>
          <w:rFonts w:ascii="Times New Roman" w:eastAsia="Times New Roman" w:hAnsi="Times New Roman" w:cs="Times New Roman"/>
          <w:color w:val="000000"/>
          <w:sz w:val="24"/>
          <w:szCs w:val="24"/>
        </w:rPr>
        <w:t xml:space="preserve"> - MODELO DE DECLARAÇÕES CONJUNTAS</w:t>
      </w:r>
    </w:p>
    <w:p w14:paraId="559689B1" w14:textId="77777777" w:rsidR="00D30A31" w:rsidRDefault="006B1BA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ANEXO IX</w:t>
      </w:r>
      <w:r>
        <w:rPr>
          <w:rFonts w:ascii="Times New Roman" w:eastAsia="Times New Roman" w:hAnsi="Times New Roman" w:cs="Times New Roman"/>
          <w:color w:val="000000"/>
          <w:sz w:val="24"/>
          <w:szCs w:val="24"/>
        </w:rPr>
        <w:t xml:space="preserve"> - DECLARAÇÃO DO PORTE DA EMPRESA</w:t>
      </w:r>
    </w:p>
    <w:p w14:paraId="0B2D2C90" w14:textId="77777777" w:rsidR="00D30A31" w:rsidRDefault="006B1BA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ANEXO X</w:t>
      </w:r>
      <w:r>
        <w:rPr>
          <w:rFonts w:ascii="Times New Roman" w:eastAsia="Times New Roman" w:hAnsi="Times New Roman" w:cs="Times New Roman"/>
          <w:color w:val="000000"/>
          <w:sz w:val="24"/>
          <w:szCs w:val="24"/>
        </w:rPr>
        <w:t xml:space="preserve"> – MATRIZ DE RISCOS</w:t>
      </w:r>
    </w:p>
    <w:p w14:paraId="5F133AF2" w14:textId="77777777" w:rsidR="00D30A31" w:rsidRDefault="00D30A31">
      <w:pPr>
        <w:pBdr>
          <w:top w:val="nil"/>
          <w:left w:val="nil"/>
          <w:bottom w:val="nil"/>
          <w:right w:val="nil"/>
          <w:between w:val="nil"/>
        </w:pBdr>
        <w:rPr>
          <w:rFonts w:ascii="Times New Roman" w:eastAsia="Times New Roman" w:hAnsi="Times New Roman" w:cs="Times New Roman"/>
          <w:color w:val="000000"/>
          <w:sz w:val="24"/>
          <w:szCs w:val="24"/>
        </w:rPr>
      </w:pPr>
    </w:p>
    <w:p w14:paraId="7FC93D50" w14:textId="77777777" w:rsidR="00D30A31" w:rsidRDefault="00D30A31">
      <w:pPr>
        <w:widowControl/>
        <w:pBdr>
          <w:top w:val="nil"/>
          <w:left w:val="nil"/>
          <w:bottom w:val="nil"/>
          <w:right w:val="nil"/>
          <w:between w:val="nil"/>
        </w:pBdr>
        <w:tabs>
          <w:tab w:val="left" w:pos="426"/>
        </w:tabs>
        <w:spacing w:line="360" w:lineRule="auto"/>
        <w:rPr>
          <w:rFonts w:ascii="Times New Roman" w:eastAsia="Times New Roman" w:hAnsi="Times New Roman" w:cs="Times New Roman"/>
          <w:color w:val="000000"/>
          <w:sz w:val="24"/>
          <w:szCs w:val="24"/>
        </w:rPr>
      </w:pPr>
    </w:p>
    <w:p w14:paraId="66421960" w14:textId="17644D5D" w:rsidR="00D30A31" w:rsidRDefault="006B1BA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Magé-RJ, </w:t>
      </w:r>
      <w:r w:rsidR="006964E6">
        <w:rPr>
          <w:rFonts w:ascii="Times New Roman" w:eastAsia="Times New Roman" w:hAnsi="Times New Roman" w:cs="Times New Roman"/>
          <w:b/>
          <w:bCs/>
          <w:sz w:val="24"/>
          <w:szCs w:val="24"/>
        </w:rPr>
        <w:t>27</w:t>
      </w:r>
      <w:r>
        <w:rPr>
          <w:rFonts w:ascii="Times New Roman" w:eastAsia="Times New Roman" w:hAnsi="Times New Roman" w:cs="Times New Roman"/>
          <w:b/>
          <w:bCs/>
          <w:sz w:val="24"/>
          <w:szCs w:val="24"/>
        </w:rPr>
        <w:t xml:space="preserve"> de </w:t>
      </w:r>
      <w:r w:rsidR="006964E6">
        <w:rPr>
          <w:rFonts w:ascii="Times New Roman" w:eastAsia="Times New Roman" w:hAnsi="Times New Roman" w:cs="Times New Roman"/>
          <w:b/>
          <w:bCs/>
          <w:sz w:val="24"/>
          <w:szCs w:val="24"/>
        </w:rPr>
        <w:t>maio</w:t>
      </w:r>
      <w:r>
        <w:rPr>
          <w:rFonts w:ascii="Times New Roman" w:eastAsia="Times New Roman" w:hAnsi="Times New Roman" w:cs="Times New Roman"/>
          <w:b/>
          <w:bCs/>
          <w:sz w:val="24"/>
          <w:szCs w:val="24"/>
        </w:rPr>
        <w:t xml:space="preserve"> de 2026.</w:t>
      </w:r>
    </w:p>
    <w:p w14:paraId="10D466B2" w14:textId="77777777" w:rsidR="00D30A31" w:rsidRDefault="00D30A31">
      <w:pPr>
        <w:spacing w:line="360" w:lineRule="auto"/>
        <w:rPr>
          <w:rFonts w:ascii="Times New Roman" w:eastAsia="Times New Roman" w:hAnsi="Times New Roman" w:cs="Times New Roman"/>
          <w:b/>
          <w:bCs/>
          <w:sz w:val="24"/>
          <w:szCs w:val="24"/>
        </w:rPr>
      </w:pPr>
    </w:p>
    <w:p w14:paraId="3F7486F1" w14:textId="77777777" w:rsidR="00D30A31" w:rsidRDefault="00D30A31">
      <w:pPr>
        <w:spacing w:line="360" w:lineRule="auto"/>
        <w:rPr>
          <w:rFonts w:ascii="Times New Roman" w:eastAsia="Times New Roman" w:hAnsi="Times New Roman" w:cs="Times New Roman"/>
          <w:b/>
          <w:bCs/>
          <w:sz w:val="24"/>
          <w:szCs w:val="24"/>
        </w:rPr>
      </w:pPr>
    </w:p>
    <w:p w14:paraId="7469A1F1" w14:textId="77777777" w:rsidR="00D30A31" w:rsidRDefault="006B1BAE">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ANA CLAUDIA RODRIGUES SANTANA</w:t>
      </w:r>
    </w:p>
    <w:p w14:paraId="137684F4" w14:textId="77777777" w:rsidR="00D30A31" w:rsidRDefault="006B1BA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Presidente da Comissão de Edital</w:t>
      </w:r>
    </w:p>
    <w:p w14:paraId="44D7356B" w14:textId="77777777" w:rsidR="00D30A31" w:rsidRDefault="006B1BA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Matrícula: T-5870</w:t>
      </w:r>
    </w:p>
    <w:p w14:paraId="0F292D3B" w14:textId="77777777" w:rsidR="00D30A31" w:rsidRDefault="00D30A31">
      <w:pPr>
        <w:jc w:val="center"/>
        <w:rPr>
          <w:rFonts w:ascii="Times New Roman" w:eastAsia="Times New Roman" w:hAnsi="Times New Roman" w:cs="Times New Roman"/>
          <w:sz w:val="24"/>
          <w:szCs w:val="24"/>
        </w:rPr>
      </w:pPr>
    </w:p>
    <w:p w14:paraId="39B8DE5E" w14:textId="77777777" w:rsidR="00D30A31" w:rsidRDefault="00D30A31">
      <w:pPr>
        <w:rPr>
          <w:rFonts w:ascii="Times New Roman" w:eastAsia="Times New Roman" w:hAnsi="Times New Roman" w:cs="Times New Roman"/>
          <w:b/>
          <w:bCs/>
          <w:sz w:val="24"/>
          <w:szCs w:val="24"/>
        </w:rPr>
      </w:pPr>
    </w:p>
    <w:p w14:paraId="04377CE4" w14:textId="77777777" w:rsidR="00D30A31" w:rsidRDefault="006B1BAE">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NATÁLIA MALHEIROS MARQUES</w:t>
      </w:r>
    </w:p>
    <w:p w14:paraId="5FBEE7E8" w14:textId="77777777" w:rsidR="00D30A31" w:rsidRDefault="006B1BAE">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Membro</w:t>
      </w:r>
    </w:p>
    <w:p w14:paraId="39D38826" w14:textId="77777777" w:rsidR="00D30A31" w:rsidRDefault="006B1BAE">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Matrícula: 365.737</w:t>
      </w:r>
    </w:p>
    <w:p w14:paraId="031ADD9E" w14:textId="77777777" w:rsidR="00D30A31" w:rsidRDefault="00D30A31">
      <w:pPr>
        <w:jc w:val="center"/>
        <w:rPr>
          <w:rFonts w:ascii="Times New Roman" w:eastAsia="Times New Roman" w:hAnsi="Times New Roman" w:cs="Times New Roman"/>
          <w:b/>
          <w:bCs/>
          <w:sz w:val="24"/>
          <w:szCs w:val="24"/>
        </w:rPr>
      </w:pPr>
    </w:p>
    <w:p w14:paraId="38B4B8A3" w14:textId="77777777" w:rsidR="00D30A31" w:rsidRDefault="00D30A31">
      <w:pPr>
        <w:jc w:val="center"/>
        <w:rPr>
          <w:rFonts w:ascii="Times New Roman" w:eastAsia="Times New Roman" w:hAnsi="Times New Roman" w:cs="Times New Roman"/>
          <w:b/>
          <w:bCs/>
          <w:sz w:val="24"/>
          <w:szCs w:val="24"/>
        </w:rPr>
      </w:pPr>
    </w:p>
    <w:sectPr w:rsidR="00D30A31">
      <w:headerReference w:type="default" r:id="rId14"/>
      <w:footerReference w:type="default" r:id="rId15"/>
      <w:pgSz w:w="11910" w:h="16840"/>
      <w:pgMar w:top="2347" w:right="697" w:bottom="981" w:left="1418" w:header="709" w:footer="13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3E342" w14:textId="77777777" w:rsidR="006B1BAE" w:rsidRDefault="006B1BAE">
      <w:r>
        <w:separator/>
      </w:r>
    </w:p>
  </w:endnote>
  <w:endnote w:type="continuationSeparator" w:id="0">
    <w:p w14:paraId="66B5180A" w14:textId="77777777" w:rsidR="006B1BAE" w:rsidRDefault="006B1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embedRegular r:id="rId1" w:fontKey="{BA109644-809F-4584-83EF-635C8B068030}"/>
    <w:embedBold r:id="rId2" w:fontKey="{04C4EDF2-51F5-46EE-B591-635D8084C036}"/>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3" w:fontKey="{09298DE4-0FDC-4083-A5D6-1D776260685D}"/>
    <w:embedBold r:id="rId4" w:fontKey="{C9356DC8-84E0-46DB-ACB1-41EFAFF55913}"/>
  </w:font>
  <w:font w:name="Georgia">
    <w:panose1 w:val="02040502050405020303"/>
    <w:charset w:val="00"/>
    <w:family w:val="roman"/>
    <w:pitch w:val="variable"/>
    <w:sig w:usb0="00000287" w:usb1="00000000" w:usb2="00000000" w:usb3="00000000" w:csb0="0000009F" w:csb1="00000000"/>
    <w:embedItalic r:id="rId5" w:fontKey="{40134C3F-FE55-469F-B1EE-5B2BD41D57F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E55BEABF-0091-46FF-90D0-955243220A34}"/>
  </w:font>
  <w:font w:name="Cambria">
    <w:panose1 w:val="02040503050406030204"/>
    <w:charset w:val="00"/>
    <w:family w:val="roman"/>
    <w:pitch w:val="variable"/>
    <w:sig w:usb0="E00006FF" w:usb1="420024FF" w:usb2="02000000" w:usb3="00000000" w:csb0="0000019F" w:csb1="00000000"/>
    <w:embedRegular r:id="rId7" w:fontKey="{50138F5F-6332-47DA-908C-7E842D9ACF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D3CC4" w14:textId="77777777" w:rsidR="00D30A31" w:rsidRDefault="006B1BAE">
    <w:pPr>
      <w:pBdr>
        <w:top w:val="nil"/>
        <w:left w:val="nil"/>
        <w:bottom w:val="nil"/>
        <w:right w:val="nil"/>
        <w:between w:val="nil"/>
      </w:pBdr>
      <w:tabs>
        <w:tab w:val="center" w:pos="4252"/>
        <w:tab w:val="right" w:pos="8504"/>
      </w:tabs>
      <w:jc w:val="right"/>
      <w:rPr>
        <w:color w:val="00000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bCs/>
        <w:color w:val="000000"/>
        <w:sz w:val="20"/>
        <w:szCs w:val="20"/>
      </w:rPr>
      <w:fldChar w:fldCharType="begin"/>
    </w:r>
    <w:r>
      <w:rPr>
        <w:rFonts w:ascii="Arial Narrow" w:eastAsia="Arial Narrow" w:hAnsi="Arial Narrow" w:cs="Arial Narrow"/>
        <w:b/>
        <w:bCs/>
        <w:color w:val="000000"/>
        <w:sz w:val="20"/>
        <w:szCs w:val="20"/>
      </w:rPr>
      <w:instrText>PAGE</w:instrText>
    </w:r>
    <w:r>
      <w:rPr>
        <w:rFonts w:ascii="Arial Narrow" w:eastAsia="Arial Narrow" w:hAnsi="Arial Narrow" w:cs="Arial Narrow"/>
        <w:b/>
        <w:bCs/>
        <w:color w:val="000000"/>
        <w:sz w:val="20"/>
        <w:szCs w:val="20"/>
      </w:rPr>
      <w:fldChar w:fldCharType="separate"/>
    </w:r>
    <w:r w:rsidR="00CC6A1B">
      <w:rPr>
        <w:rFonts w:ascii="Arial Narrow" w:eastAsia="Arial Narrow" w:hAnsi="Arial Narrow" w:cs="Arial Narrow"/>
        <w:b/>
        <w:bCs/>
        <w:noProof/>
        <w:color w:val="000000"/>
        <w:sz w:val="20"/>
        <w:szCs w:val="20"/>
      </w:rPr>
      <w:t>1</w:t>
    </w:r>
    <w:r>
      <w:rPr>
        <w:rFonts w:ascii="Arial Narrow" w:eastAsia="Arial Narrow" w:hAnsi="Arial Narrow" w:cs="Arial Narrow"/>
        <w:b/>
        <w:bCs/>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bCs/>
        <w:color w:val="000000"/>
        <w:sz w:val="20"/>
        <w:szCs w:val="20"/>
      </w:rPr>
      <w:fldChar w:fldCharType="begin"/>
    </w:r>
    <w:r>
      <w:rPr>
        <w:rFonts w:ascii="Arial Narrow" w:eastAsia="Arial Narrow" w:hAnsi="Arial Narrow" w:cs="Arial Narrow"/>
        <w:b/>
        <w:bCs/>
        <w:color w:val="000000"/>
        <w:sz w:val="20"/>
        <w:szCs w:val="20"/>
      </w:rPr>
      <w:instrText>NUMPAGES</w:instrText>
    </w:r>
    <w:r>
      <w:rPr>
        <w:rFonts w:ascii="Arial Narrow" w:eastAsia="Arial Narrow" w:hAnsi="Arial Narrow" w:cs="Arial Narrow"/>
        <w:b/>
        <w:bCs/>
        <w:color w:val="000000"/>
        <w:sz w:val="20"/>
        <w:szCs w:val="20"/>
      </w:rPr>
      <w:fldChar w:fldCharType="separate"/>
    </w:r>
    <w:r w:rsidR="00CC6A1B">
      <w:rPr>
        <w:rFonts w:ascii="Arial Narrow" w:eastAsia="Arial Narrow" w:hAnsi="Arial Narrow" w:cs="Arial Narrow"/>
        <w:b/>
        <w:bCs/>
        <w:noProof/>
        <w:color w:val="000000"/>
        <w:sz w:val="20"/>
        <w:szCs w:val="20"/>
      </w:rPr>
      <w:t>2</w:t>
    </w:r>
    <w:r>
      <w:rPr>
        <w:rFonts w:ascii="Arial Narrow" w:eastAsia="Arial Narrow" w:hAnsi="Arial Narrow" w:cs="Arial Narrow"/>
        <w:b/>
        <w:bCs/>
        <w:color w:val="000000"/>
        <w:sz w:val="20"/>
        <w:szCs w:val="20"/>
      </w:rPr>
      <w:fldChar w:fldCharType="end"/>
    </w:r>
  </w:p>
  <w:p w14:paraId="00C0E859" w14:textId="77777777" w:rsidR="00D30A31" w:rsidRDefault="006B1BAE">
    <w:pPr>
      <w:jc w:val="center"/>
      <w:rPr>
        <w:rFonts w:ascii="Arial Narrow" w:eastAsia="Arial Narrow" w:hAnsi="Arial Narrow" w:cs="Arial Narrow"/>
        <w:sz w:val="20"/>
        <w:szCs w:val="20"/>
      </w:rPr>
    </w:pPr>
    <w:bookmarkStart w:id="15" w:name="_rvyx0xew4yi6" w:colFirst="0" w:colLast="0"/>
    <w:bookmarkEnd w:id="15"/>
    <w:r>
      <w:rPr>
        <w:rFonts w:ascii="Arial Narrow" w:eastAsia="Arial Narrow" w:hAnsi="Arial Narrow" w:cs="Arial Narrow"/>
        <w:sz w:val="20"/>
        <w:szCs w:val="20"/>
      </w:rPr>
      <w:t>Avenida Roncador, nº 125, Parque Azul, Magé/RJ, CEP: 25904-766</w:t>
    </w:r>
  </w:p>
  <w:p w14:paraId="039E5A34" w14:textId="77777777" w:rsidR="00D30A31" w:rsidRDefault="006B1BAE">
    <w:pPr>
      <w:jc w:val="center"/>
      <w:rPr>
        <w:rFonts w:ascii="Arial Narrow" w:eastAsia="Arial Narrow" w:hAnsi="Arial Narrow" w:cs="Arial Narrow"/>
        <w:sz w:val="20"/>
        <w:szCs w:val="20"/>
      </w:rPr>
    </w:pPr>
    <w:hyperlink r:id="rId1">
      <w:r>
        <w:rPr>
          <w:rFonts w:ascii="Arial Narrow" w:eastAsia="Arial Narrow" w:hAnsi="Arial Narrow" w:cs="Arial Narrow"/>
          <w:color w:val="0000FF"/>
          <w:sz w:val="20"/>
          <w:szCs w:val="20"/>
          <w:u w:val="single"/>
        </w:rPr>
        <w:t>licitacao.duvidas@mage.rj.gov.br</w:t>
      </w:r>
    </w:hyperlink>
  </w:p>
  <w:p w14:paraId="6CF73563" w14:textId="77777777" w:rsidR="00D30A31" w:rsidRDefault="00D30A31">
    <w:pPr>
      <w:pBdr>
        <w:top w:val="nil"/>
        <w:left w:val="nil"/>
        <w:bottom w:val="nil"/>
        <w:right w:val="nil"/>
        <w:between w:val="nil"/>
      </w:pBdr>
      <w:tabs>
        <w:tab w:val="center" w:pos="4252"/>
        <w:tab w:val="right" w:pos="8504"/>
      </w:tabs>
      <w:jc w:val="center"/>
      <w:rPr>
        <w:color w:val="000000"/>
      </w:rPr>
    </w:pPr>
  </w:p>
  <w:p w14:paraId="62C7FAA7" w14:textId="77777777" w:rsidR="00D30A31" w:rsidRDefault="00D30A31">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C5993" w14:textId="77777777" w:rsidR="006B1BAE" w:rsidRDefault="006B1BAE">
      <w:r>
        <w:separator/>
      </w:r>
    </w:p>
  </w:footnote>
  <w:footnote w:type="continuationSeparator" w:id="0">
    <w:p w14:paraId="51EB1DA1" w14:textId="77777777" w:rsidR="006B1BAE" w:rsidRDefault="006B1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F5575" w14:textId="77777777" w:rsidR="00D30A31" w:rsidRDefault="006B1BAE">
    <w:r>
      <w:rPr>
        <w:noProof/>
      </w:rPr>
      <mc:AlternateContent>
        <mc:Choice Requires="wps">
          <w:drawing>
            <wp:anchor distT="0" distB="0" distL="0" distR="0" simplePos="0" relativeHeight="251658240" behindDoc="1" locked="0" layoutInCell="1" hidden="0" allowOverlap="1" wp14:anchorId="343AB842" wp14:editId="4BBB85B5">
              <wp:simplePos x="0" y="0"/>
              <wp:positionH relativeFrom="column">
                <wp:posOffset>4081463</wp:posOffset>
              </wp:positionH>
              <wp:positionV relativeFrom="paragraph">
                <wp:posOffset>-119696</wp:posOffset>
              </wp:positionV>
              <wp:extent cx="1984375" cy="876300"/>
              <wp:effectExtent l="0" t="0" r="0" b="0"/>
              <wp:wrapNone/>
              <wp:docPr id="1" name="Retângulo 1"/>
              <wp:cNvGraphicFramePr/>
              <a:graphic xmlns:a="http://schemas.openxmlformats.org/drawingml/2006/main">
                <a:graphicData uri="http://schemas.microsoft.com/office/word/2010/wordprocessingShape">
                  <wps:wsp>
                    <wps:cNvSpPr/>
                    <wps:spPr>
                      <a:xfrm>
                        <a:off x="4358575" y="3346613"/>
                        <a:ext cx="1974850" cy="86677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3D0C920" w14:textId="77777777" w:rsidR="00D30A31" w:rsidRDefault="006B1BAE">
                          <w:pPr>
                            <w:textDirection w:val="btLr"/>
                          </w:pPr>
                          <w:r>
                            <w:rPr>
                              <w:rFonts w:ascii="Arial" w:eastAsia="Arial" w:hAnsi="Arial" w:cs="Arial"/>
                              <w:b/>
                              <w:color w:val="000000"/>
                              <w:sz w:val="16"/>
                            </w:rPr>
                            <w:t>SERVIÇO PÚBLICO MUNICIPAL</w:t>
                          </w:r>
                        </w:p>
                        <w:p w14:paraId="6BC09602" w14:textId="77777777" w:rsidR="00D30A31" w:rsidRDefault="00D30A31">
                          <w:pPr>
                            <w:spacing w:line="275" w:lineRule="auto"/>
                            <w:textDirection w:val="btLr"/>
                          </w:pPr>
                        </w:p>
                        <w:p w14:paraId="5647AC35" w14:textId="77777777" w:rsidR="00D30A31" w:rsidRDefault="006B1BAE">
                          <w:pPr>
                            <w:spacing w:line="360" w:lineRule="auto"/>
                            <w:textDirection w:val="btLr"/>
                          </w:pPr>
                          <w:r>
                            <w:rPr>
                              <w:rFonts w:ascii="Arial" w:eastAsia="Arial" w:hAnsi="Arial" w:cs="Arial"/>
                              <w:b/>
                              <w:color w:val="000000"/>
                              <w:sz w:val="16"/>
                            </w:rPr>
                            <w:t>PROCESSO Nº 8924/2026</w:t>
                          </w:r>
                        </w:p>
                        <w:p w14:paraId="16A6533C" w14:textId="77777777" w:rsidR="00D30A31" w:rsidRDefault="006B1BAE">
                          <w:pPr>
                            <w:spacing w:line="360" w:lineRule="auto"/>
                            <w:textDirection w:val="btLr"/>
                          </w:pPr>
                          <w:r>
                            <w:rPr>
                              <w:rFonts w:ascii="Arial" w:eastAsia="Arial" w:hAnsi="Arial" w:cs="Arial"/>
                              <w:b/>
                              <w:color w:val="000000"/>
                              <w:sz w:val="16"/>
                            </w:rPr>
                            <w:t>Data: 18/03/2026       Fls.: ______</w:t>
                          </w:r>
                        </w:p>
                        <w:p w14:paraId="05D3E072" w14:textId="4F109B97" w:rsidR="00D30A31" w:rsidRDefault="006B1BAE">
                          <w:pPr>
                            <w:spacing w:line="360" w:lineRule="auto"/>
                            <w:textDirection w:val="btLr"/>
                          </w:pPr>
                          <w:r>
                            <w:rPr>
                              <w:rFonts w:ascii="Arial" w:eastAsia="Arial" w:hAnsi="Arial" w:cs="Arial"/>
                              <w:b/>
                              <w:color w:val="000000"/>
                              <w:sz w:val="16"/>
                            </w:rPr>
                            <w:t>Rubrica:</w:t>
                          </w:r>
                          <w:r w:rsidR="00CC6A1B">
                            <w:rPr>
                              <w:rFonts w:ascii="Arial" w:eastAsia="Arial" w:hAnsi="Arial" w:cs="Arial"/>
                              <w:b/>
                              <w:color w:val="000000"/>
                              <w:sz w:val="16"/>
                            </w:rPr>
                            <w:t xml:space="preserve"> </w:t>
                          </w:r>
                          <w:r>
                            <w:rPr>
                              <w:rFonts w:ascii="Arial" w:eastAsia="Arial" w:hAnsi="Arial" w:cs="Arial"/>
                              <w:b/>
                              <w:color w:val="000000"/>
                              <w:sz w:val="16"/>
                            </w:rPr>
                            <w:t>_____________</w:t>
                          </w:r>
                        </w:p>
                      </w:txbxContent>
                    </wps:txbx>
                    <wps:bodyPr spcFirstLastPara="1" wrap="square" lIns="91425" tIns="45700" rIns="91425" bIns="45700" anchor="t" anchorCtr="0">
                      <a:noAutofit/>
                    </wps:bodyPr>
                  </wps:wsp>
                </a:graphicData>
              </a:graphic>
            </wp:anchor>
          </w:drawing>
        </mc:Choice>
        <mc:Fallback>
          <w:pict>
            <v:rect w14:anchorId="343AB842" id="Retângulo 1" o:spid="_x0000_s1027" style="position:absolute;margin-left:321.4pt;margin-top:-9.4pt;width:156.25pt;height:69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">
              <v:stroke startarrowwidth="narrow" startarrowlength="short" endarrowwidth="narrow" endarrowlength="short" miterlimit="5243f"/>
              <v:textbox inset="2.53958mm,1.2694mm,2.53958mm,1.2694mm">
                <w:txbxContent>
                  <w:p w14:paraId="33D0C920" w14:textId="77777777" w:rsidR="00D30A31" w:rsidRDefault="006B1BAE">
                    <w:pPr>
                      <w:textDirection w:val="btLr"/>
                    </w:pPr>
                    <w:r>
                      <w:rPr>
                        <w:rFonts w:ascii="Arial" w:eastAsia="Arial" w:hAnsi="Arial" w:cs="Arial"/>
                        <w:b/>
                        <w:color w:val="000000"/>
                        <w:sz w:val="16"/>
                      </w:rPr>
                      <w:t>SERVIÇO PÚBLICO MUNICIPAL</w:t>
                    </w:r>
                  </w:p>
                  <w:p w14:paraId="6BC09602" w14:textId="77777777" w:rsidR="00D30A31" w:rsidRDefault="00D30A31">
                    <w:pPr>
                      <w:spacing w:line="275" w:lineRule="auto"/>
                      <w:textDirection w:val="btLr"/>
                    </w:pPr>
                  </w:p>
                  <w:p w14:paraId="5647AC35" w14:textId="77777777" w:rsidR="00D30A31" w:rsidRDefault="006B1BAE">
                    <w:pPr>
                      <w:spacing w:line="360" w:lineRule="auto"/>
                      <w:textDirection w:val="btLr"/>
                    </w:pPr>
                    <w:r>
                      <w:rPr>
                        <w:rFonts w:ascii="Arial" w:eastAsia="Arial" w:hAnsi="Arial" w:cs="Arial"/>
                        <w:b/>
                        <w:color w:val="000000"/>
                        <w:sz w:val="16"/>
                      </w:rPr>
                      <w:t>PROCESSO Nº 8924/2026</w:t>
                    </w:r>
                  </w:p>
                  <w:p w14:paraId="16A6533C" w14:textId="77777777" w:rsidR="00D30A31" w:rsidRDefault="006B1BAE">
                    <w:pPr>
                      <w:spacing w:line="360" w:lineRule="auto"/>
                      <w:textDirection w:val="btLr"/>
                    </w:pPr>
                    <w:r>
                      <w:rPr>
                        <w:rFonts w:ascii="Arial" w:eastAsia="Arial" w:hAnsi="Arial" w:cs="Arial"/>
                        <w:b/>
                        <w:color w:val="000000"/>
                        <w:sz w:val="16"/>
                      </w:rPr>
                      <w:t>Data: 18/03/2026       Fls.: ______</w:t>
                    </w:r>
                  </w:p>
                  <w:p w14:paraId="05D3E072" w14:textId="4F109B97" w:rsidR="00D30A31" w:rsidRDefault="006B1BAE">
                    <w:pPr>
                      <w:spacing w:line="360" w:lineRule="auto"/>
                      <w:textDirection w:val="btLr"/>
                    </w:pPr>
                    <w:r>
                      <w:rPr>
                        <w:rFonts w:ascii="Arial" w:eastAsia="Arial" w:hAnsi="Arial" w:cs="Arial"/>
                        <w:b/>
                        <w:color w:val="000000"/>
                        <w:sz w:val="16"/>
                      </w:rPr>
                      <w:t>Rubrica:</w:t>
                    </w:r>
                    <w:r w:rsidR="00CC6A1B">
                      <w:rPr>
                        <w:rFonts w:ascii="Arial" w:eastAsia="Arial" w:hAnsi="Arial" w:cs="Arial"/>
                        <w:b/>
                        <w:color w:val="000000"/>
                        <w:sz w:val="16"/>
                      </w:rPr>
                      <w:t xml:space="preserve"> </w:t>
                    </w:r>
                    <w:r>
                      <w:rPr>
                        <w:rFonts w:ascii="Arial" w:eastAsia="Arial" w:hAnsi="Arial" w:cs="Arial"/>
                        <w:b/>
                        <w:color w:val="000000"/>
                        <w:sz w:val="16"/>
                      </w:rPr>
                      <w:t>_____________</w:t>
                    </w:r>
                  </w:p>
                </w:txbxContent>
              </v:textbox>
            </v:rect>
          </w:pict>
        </mc:Fallback>
      </mc:AlternateContent>
    </w:r>
    <w:r>
      <w:rPr>
        <w:noProof/>
      </w:rPr>
      <w:drawing>
        <wp:anchor distT="0" distB="0" distL="114300" distR="114300" simplePos="0" relativeHeight="251659264" behindDoc="0" locked="0" layoutInCell="1" hidden="0" allowOverlap="1" wp14:anchorId="74054066" wp14:editId="08848C7C">
          <wp:simplePos x="0" y="0"/>
          <wp:positionH relativeFrom="column">
            <wp:posOffset>1</wp:posOffset>
          </wp:positionH>
          <wp:positionV relativeFrom="paragraph">
            <wp:posOffset>-120649</wp:posOffset>
          </wp:positionV>
          <wp:extent cx="3981450" cy="82804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981450" cy="8280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7502B"/>
    <w:multiLevelType w:val="multilevel"/>
    <w:tmpl w:val="71485DB8"/>
    <w:lvl w:ilvl="0">
      <w:start w:val="1"/>
      <w:numFmt w:val="decimal"/>
      <w:lvlText w:val="%1."/>
      <w:lvlJc w:val="left"/>
      <w:pPr>
        <w:ind w:left="254" w:hanging="254"/>
      </w:pPr>
      <w:rPr>
        <w:rFonts w:ascii="Arial Narrow" w:eastAsia="Arial Narrow" w:hAnsi="Arial Narrow" w:cs="Arial Narrow"/>
        <w:b/>
        <w:bCs/>
        <w:sz w:val="24"/>
        <w:szCs w:val="24"/>
      </w:rPr>
    </w:lvl>
    <w:lvl w:ilvl="1">
      <w:start w:val="1"/>
      <w:numFmt w:val="decimal"/>
      <w:lvlText w:val="%1.%2."/>
      <w:lvlJc w:val="left"/>
      <w:pPr>
        <w:ind w:left="3506" w:hanging="528"/>
      </w:pPr>
      <w:rPr>
        <w:rFonts w:ascii="Arial Narrow" w:eastAsia="Arial Narrow" w:hAnsi="Arial Narrow" w:cs="Arial Narrow"/>
        <w:b/>
        <w:bCs/>
        <w:color w:val="000000"/>
        <w:sz w:val="24"/>
        <w:szCs w:val="24"/>
      </w:rPr>
    </w:lvl>
    <w:lvl w:ilvl="2">
      <w:start w:val="1"/>
      <w:numFmt w:val="decimal"/>
      <w:lvlText w:val="%1.%2.%3."/>
      <w:lvlJc w:val="left"/>
      <w:pPr>
        <w:ind w:left="656" w:hanging="656"/>
      </w:pPr>
      <w:rPr>
        <w:rFonts w:ascii="Arial Narrow" w:eastAsia="Arial Narrow" w:hAnsi="Arial Narrow" w:cs="Arial Narrow"/>
        <w:b/>
        <w:bCs/>
        <w:sz w:val="24"/>
        <w:szCs w:val="24"/>
      </w:rPr>
    </w:lvl>
    <w:lvl w:ilvl="3">
      <w:numFmt w:val="bullet"/>
      <w:lvlText w:val="•"/>
      <w:lvlJc w:val="left"/>
      <w:pPr>
        <w:ind w:left="760" w:hanging="656"/>
      </w:pPr>
    </w:lvl>
    <w:lvl w:ilvl="4">
      <w:numFmt w:val="bullet"/>
      <w:lvlText w:val="•"/>
      <w:lvlJc w:val="left"/>
      <w:pPr>
        <w:ind w:left="880" w:hanging="656"/>
      </w:pPr>
    </w:lvl>
    <w:lvl w:ilvl="5">
      <w:numFmt w:val="bullet"/>
      <w:lvlText w:val="•"/>
      <w:lvlJc w:val="left"/>
      <w:pPr>
        <w:ind w:left="2427" w:hanging="656"/>
      </w:pPr>
    </w:lvl>
    <w:lvl w:ilvl="6">
      <w:numFmt w:val="bullet"/>
      <w:lvlText w:val="•"/>
      <w:lvlJc w:val="left"/>
      <w:pPr>
        <w:ind w:left="3975" w:hanging="656"/>
      </w:pPr>
    </w:lvl>
    <w:lvl w:ilvl="7">
      <w:numFmt w:val="bullet"/>
      <w:lvlText w:val="•"/>
      <w:lvlJc w:val="left"/>
      <w:pPr>
        <w:ind w:left="5523" w:hanging="656"/>
      </w:pPr>
    </w:lvl>
    <w:lvl w:ilvl="8">
      <w:numFmt w:val="bullet"/>
      <w:lvlText w:val="•"/>
      <w:lvlJc w:val="left"/>
      <w:pPr>
        <w:ind w:left="7070" w:hanging="656"/>
      </w:pPr>
    </w:lvl>
  </w:abstractNum>
  <w:abstractNum w:abstractNumId="1" w15:restartNumberingAfterBreak="0">
    <w:nsid w:val="4FC745FA"/>
    <w:multiLevelType w:val="multilevel"/>
    <w:tmpl w:val="794CBBE8"/>
    <w:lvl w:ilvl="0">
      <w:start w:val="13"/>
      <w:numFmt w:val="decimal"/>
      <w:lvlText w:val="%1."/>
      <w:lvlJc w:val="left"/>
      <w:pPr>
        <w:ind w:left="254" w:hanging="254"/>
      </w:pPr>
      <w:rPr>
        <w:rFonts w:ascii="Arial Narrow" w:eastAsia="Arial Narrow" w:hAnsi="Arial Narrow" w:cs="Arial Narrow"/>
        <w:b/>
        <w:bCs/>
        <w:sz w:val="24"/>
        <w:szCs w:val="24"/>
      </w:rPr>
    </w:lvl>
    <w:lvl w:ilvl="1">
      <w:start w:val="8"/>
      <w:numFmt w:val="decimal"/>
      <w:lvlText w:val="%1.%2."/>
      <w:lvlJc w:val="left"/>
      <w:pPr>
        <w:ind w:left="528" w:hanging="528"/>
      </w:pPr>
      <w:rPr>
        <w:rFonts w:ascii="Arial Narrow" w:eastAsia="Arial Narrow" w:hAnsi="Arial Narrow" w:cs="Arial Narrow"/>
        <w:b/>
        <w:bCs/>
        <w:color w:val="000000"/>
        <w:sz w:val="24"/>
        <w:szCs w:val="24"/>
      </w:rPr>
    </w:lvl>
    <w:lvl w:ilvl="2">
      <w:start w:val="1"/>
      <w:numFmt w:val="decimal"/>
      <w:lvlText w:val="%1.%2.%3."/>
      <w:lvlJc w:val="left"/>
      <w:pPr>
        <w:ind w:left="798" w:hanging="656"/>
      </w:pPr>
      <w:rPr>
        <w:rFonts w:ascii="Arial Narrow" w:eastAsia="Arial Narrow" w:hAnsi="Arial Narrow" w:cs="Arial Narrow"/>
        <w:b/>
        <w:bCs/>
        <w:sz w:val="24"/>
        <w:szCs w:val="24"/>
      </w:rPr>
    </w:lvl>
    <w:lvl w:ilvl="3">
      <w:numFmt w:val="bullet"/>
      <w:lvlText w:val="•"/>
      <w:lvlJc w:val="left"/>
      <w:pPr>
        <w:ind w:left="760" w:hanging="656"/>
      </w:pPr>
    </w:lvl>
    <w:lvl w:ilvl="4">
      <w:numFmt w:val="bullet"/>
      <w:lvlText w:val="•"/>
      <w:lvlJc w:val="left"/>
      <w:pPr>
        <w:ind w:left="880" w:hanging="656"/>
      </w:pPr>
    </w:lvl>
    <w:lvl w:ilvl="5">
      <w:numFmt w:val="bullet"/>
      <w:lvlText w:val="•"/>
      <w:lvlJc w:val="left"/>
      <w:pPr>
        <w:ind w:left="2427" w:hanging="656"/>
      </w:pPr>
    </w:lvl>
    <w:lvl w:ilvl="6">
      <w:numFmt w:val="bullet"/>
      <w:lvlText w:val="•"/>
      <w:lvlJc w:val="left"/>
      <w:pPr>
        <w:ind w:left="3975" w:hanging="656"/>
      </w:pPr>
    </w:lvl>
    <w:lvl w:ilvl="7">
      <w:numFmt w:val="bullet"/>
      <w:lvlText w:val="•"/>
      <w:lvlJc w:val="left"/>
      <w:pPr>
        <w:ind w:left="5523" w:hanging="656"/>
      </w:pPr>
    </w:lvl>
    <w:lvl w:ilvl="8">
      <w:numFmt w:val="bullet"/>
      <w:lvlText w:val="•"/>
      <w:lvlJc w:val="left"/>
      <w:pPr>
        <w:ind w:left="7070" w:hanging="656"/>
      </w:pPr>
    </w:lvl>
  </w:abstractNum>
  <w:abstractNum w:abstractNumId="2" w15:restartNumberingAfterBreak="0">
    <w:nsid w:val="5DDF6E4A"/>
    <w:multiLevelType w:val="multilevel"/>
    <w:tmpl w:val="F13629C0"/>
    <w:lvl w:ilvl="0">
      <w:start w:val="8"/>
      <w:numFmt w:val="decimal"/>
      <w:lvlText w:val="%1."/>
      <w:lvlJc w:val="left"/>
      <w:pPr>
        <w:ind w:left="0" w:hanging="1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2CC6BDF"/>
    <w:multiLevelType w:val="multilevel"/>
    <w:tmpl w:val="13529B9C"/>
    <w:lvl w:ilvl="0">
      <w:start w:val="24"/>
      <w:numFmt w:val="decimal"/>
      <w:lvlText w:val="%1."/>
      <w:lvlJc w:val="left"/>
      <w:pPr>
        <w:ind w:left="254" w:hanging="254"/>
      </w:pPr>
      <w:rPr>
        <w:rFonts w:ascii="Arial Narrow" w:eastAsia="Arial Narrow" w:hAnsi="Arial Narrow" w:cs="Arial Narrow"/>
        <w:b/>
        <w:bCs/>
        <w:sz w:val="24"/>
        <w:szCs w:val="24"/>
      </w:rPr>
    </w:lvl>
    <w:lvl w:ilvl="1">
      <w:start w:val="1"/>
      <w:numFmt w:val="decimal"/>
      <w:lvlText w:val="%1.%2."/>
      <w:lvlJc w:val="left"/>
      <w:pPr>
        <w:ind w:left="528" w:hanging="528"/>
      </w:pPr>
      <w:rPr>
        <w:rFonts w:ascii="Arial Narrow" w:eastAsia="Arial Narrow" w:hAnsi="Arial Narrow" w:cs="Arial Narrow"/>
        <w:b/>
        <w:bCs/>
        <w:color w:val="000000"/>
        <w:sz w:val="24"/>
        <w:szCs w:val="24"/>
      </w:rPr>
    </w:lvl>
    <w:lvl w:ilvl="2">
      <w:start w:val="1"/>
      <w:numFmt w:val="decimal"/>
      <w:lvlText w:val="%1.%2.%3."/>
      <w:lvlJc w:val="left"/>
      <w:pPr>
        <w:ind w:left="798" w:hanging="656"/>
      </w:pPr>
      <w:rPr>
        <w:rFonts w:ascii="Arial Narrow" w:eastAsia="Arial Narrow" w:hAnsi="Arial Narrow" w:cs="Arial Narrow"/>
        <w:b/>
        <w:bCs/>
        <w:sz w:val="24"/>
        <w:szCs w:val="24"/>
      </w:rPr>
    </w:lvl>
    <w:lvl w:ilvl="3">
      <w:numFmt w:val="bullet"/>
      <w:lvlText w:val="•"/>
      <w:lvlJc w:val="left"/>
      <w:pPr>
        <w:ind w:left="760" w:hanging="656"/>
      </w:pPr>
    </w:lvl>
    <w:lvl w:ilvl="4">
      <w:numFmt w:val="bullet"/>
      <w:lvlText w:val="•"/>
      <w:lvlJc w:val="left"/>
      <w:pPr>
        <w:ind w:left="880" w:hanging="656"/>
      </w:pPr>
    </w:lvl>
    <w:lvl w:ilvl="5">
      <w:numFmt w:val="bullet"/>
      <w:lvlText w:val="•"/>
      <w:lvlJc w:val="left"/>
      <w:pPr>
        <w:ind w:left="2427" w:hanging="656"/>
      </w:pPr>
    </w:lvl>
    <w:lvl w:ilvl="6">
      <w:numFmt w:val="bullet"/>
      <w:lvlText w:val="•"/>
      <w:lvlJc w:val="left"/>
      <w:pPr>
        <w:ind w:left="3975" w:hanging="656"/>
      </w:pPr>
    </w:lvl>
    <w:lvl w:ilvl="7">
      <w:numFmt w:val="bullet"/>
      <w:lvlText w:val="•"/>
      <w:lvlJc w:val="left"/>
      <w:pPr>
        <w:ind w:left="5523" w:hanging="656"/>
      </w:pPr>
    </w:lvl>
    <w:lvl w:ilvl="8">
      <w:numFmt w:val="bullet"/>
      <w:lvlText w:val="•"/>
      <w:lvlJc w:val="left"/>
      <w:pPr>
        <w:ind w:left="7070" w:hanging="656"/>
      </w:pPr>
    </w:lvl>
  </w:abstractNum>
  <w:abstractNum w:abstractNumId="4" w15:restartNumberingAfterBreak="0">
    <w:nsid w:val="7F0714F0"/>
    <w:multiLevelType w:val="multilevel"/>
    <w:tmpl w:val="D40EB934"/>
    <w:lvl w:ilvl="0">
      <w:numFmt w:val="bullet"/>
      <w:lvlText w:val="•"/>
      <w:lvlJc w:val="left"/>
      <w:pPr>
        <w:ind w:left="854" w:hanging="437"/>
      </w:pPr>
      <w:rPr>
        <w:b/>
        <w:bCs/>
      </w:rPr>
    </w:lvl>
    <w:lvl w:ilvl="1">
      <w:numFmt w:val="bullet"/>
      <w:lvlText w:val="•"/>
      <w:lvlJc w:val="left"/>
      <w:pPr>
        <w:ind w:left="1790" w:hanging="438"/>
      </w:pPr>
    </w:lvl>
    <w:lvl w:ilvl="2">
      <w:numFmt w:val="bullet"/>
      <w:lvlText w:val="•"/>
      <w:lvlJc w:val="left"/>
      <w:pPr>
        <w:ind w:left="2721" w:hanging="438"/>
      </w:pPr>
    </w:lvl>
    <w:lvl w:ilvl="3">
      <w:numFmt w:val="bullet"/>
      <w:lvlText w:val="•"/>
      <w:lvlJc w:val="left"/>
      <w:pPr>
        <w:ind w:left="3651" w:hanging="438"/>
      </w:pPr>
    </w:lvl>
    <w:lvl w:ilvl="4">
      <w:numFmt w:val="bullet"/>
      <w:lvlText w:val="•"/>
      <w:lvlJc w:val="left"/>
      <w:pPr>
        <w:ind w:left="4582" w:hanging="438"/>
      </w:pPr>
    </w:lvl>
    <w:lvl w:ilvl="5">
      <w:numFmt w:val="bullet"/>
      <w:lvlText w:val="•"/>
      <w:lvlJc w:val="left"/>
      <w:pPr>
        <w:ind w:left="5513" w:hanging="438"/>
      </w:pPr>
    </w:lvl>
    <w:lvl w:ilvl="6">
      <w:numFmt w:val="bullet"/>
      <w:lvlText w:val="•"/>
      <w:lvlJc w:val="left"/>
      <w:pPr>
        <w:ind w:left="6443" w:hanging="438"/>
      </w:pPr>
    </w:lvl>
    <w:lvl w:ilvl="7">
      <w:numFmt w:val="bullet"/>
      <w:lvlText w:val="•"/>
      <w:lvlJc w:val="left"/>
      <w:pPr>
        <w:ind w:left="7374" w:hanging="438"/>
      </w:pPr>
    </w:lvl>
    <w:lvl w:ilvl="8">
      <w:numFmt w:val="bullet"/>
      <w:lvlText w:val="•"/>
      <w:lvlJc w:val="left"/>
      <w:pPr>
        <w:ind w:left="8304" w:hanging="438"/>
      </w:pPr>
    </w:lvl>
  </w:abstractNum>
  <w:num w:numId="1" w16cid:durableId="1478958924">
    <w:abstractNumId w:val="2"/>
  </w:num>
  <w:num w:numId="2" w16cid:durableId="1928804913">
    <w:abstractNumId w:val="0"/>
  </w:num>
  <w:num w:numId="3" w16cid:durableId="759253205">
    <w:abstractNumId w:val="4"/>
  </w:num>
  <w:num w:numId="4" w16cid:durableId="1940748106">
    <w:abstractNumId w:val="1"/>
  </w:num>
  <w:num w:numId="5" w16cid:durableId="11586154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A31"/>
    <w:rsid w:val="006964E6"/>
    <w:rsid w:val="006B1BAE"/>
    <w:rsid w:val="00723C23"/>
    <w:rsid w:val="009A5F45"/>
    <w:rsid w:val="00A26527"/>
    <w:rsid w:val="00A653A7"/>
    <w:rsid w:val="00BD5ED9"/>
    <w:rsid w:val="00CC6A1B"/>
    <w:rsid w:val="00D30A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7BD25"/>
  <w15:docId w15:val="{56DF6AC0-9948-4C66-8368-DCF242F22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17"/>
      <w:outlineLvl w:val="0"/>
    </w:pPr>
    <w:rPr>
      <w:b/>
      <w:bCs/>
      <w:sz w:val="18"/>
      <w:szCs w:val="18"/>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widowControl/>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CC6A1B"/>
    <w:pPr>
      <w:tabs>
        <w:tab w:val="center" w:pos="4252"/>
        <w:tab w:val="right" w:pos="8504"/>
      </w:tabs>
    </w:pPr>
  </w:style>
  <w:style w:type="character" w:customStyle="1" w:styleId="CabealhoChar">
    <w:name w:val="Cabeçalho Char"/>
    <w:basedOn w:val="Fontepargpadro"/>
    <w:link w:val="Cabealho"/>
    <w:uiPriority w:val="99"/>
    <w:rsid w:val="00CC6A1B"/>
  </w:style>
  <w:style w:type="paragraph" w:styleId="Rodap">
    <w:name w:val="footer"/>
    <w:basedOn w:val="Normal"/>
    <w:link w:val="RodapChar"/>
    <w:uiPriority w:val="99"/>
    <w:unhideWhenUsed/>
    <w:rsid w:val="00CC6A1B"/>
    <w:pPr>
      <w:tabs>
        <w:tab w:val="center" w:pos="4252"/>
        <w:tab w:val="right" w:pos="8504"/>
      </w:tabs>
    </w:pPr>
  </w:style>
  <w:style w:type="character" w:customStyle="1" w:styleId="RodapChar">
    <w:name w:val="Rodapé Char"/>
    <w:basedOn w:val="Fontepargpadro"/>
    <w:link w:val="Rodap"/>
    <w:uiPriority w:val="99"/>
    <w:rsid w:val="00CC6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www.portaldecompraspublicas.com.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duvidas@mage.rj.gov.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ortaldecompraspublicas.com.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mailto:licitacao.duvidas@mage.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48</Pages>
  <Words>14850</Words>
  <Characters>80195</Characters>
  <Application>Microsoft Office Word</Application>
  <DocSecurity>0</DocSecurity>
  <Lines>668</Lines>
  <Paragraphs>189</Paragraphs>
  <ScaleCrop>false</ScaleCrop>
  <Company/>
  <LinksUpToDate>false</LinksUpToDate>
  <CharactersWithSpaces>94856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JJ Brasil Equipamentos e Serviços</cp:lastModifiedBy>
  <cp:revision>8</cp:revision>
  <dcterms:created xsi:type="dcterms:W3CDTF">2026-05-27T18:39:00Z</dcterms:created>
  <dcterms:modified xsi:type="dcterms:W3CDTF">2026-05-27T18:44:00Z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2024-02-23T00:00:00Z</vt:lpwstr>
  </property>
  <property fmtid="{D5CDD505-2E9C-101B-9397-08002B2CF9AE}" pid="3" name="Creator">
    <vt:lpwstr>Writer</vt:lpwstr>
  </property>
  <property fmtid="{D5CDD505-2E9C-101B-9397-08002B2CF9AE}" pid="4" name="LastSaved">
    <vt:lpwstr>2024-02-23T00:00:00Z</vt:lpwstr>
  </property>
</Properties>
</file>