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0" w:before="0"/>
        <w:ind/>
        <w:rPr>
          <w:rFonts w:cs="Arial"/>
          <w:sz w:val="56"/>
          <w:szCs w:val="56"/>
        </w:rPr>
      </w:pPr>
      <w:r>
        <w:rPr>
          <w:rFonts w:cs="Arial"/>
          <w:sz w:val="56"/>
          <w:szCs w:val="56"/>
        </w:rPr>
        <w:t xml:space="preserve">PREGÃO</w:t>
      </w:r>
      <w:r>
        <w:rPr>
          <w:rFonts w:cs="Arial"/>
          <w:sz w:val="56"/>
          <w:szCs w:val="56"/>
        </w:rPr>
      </w:r>
    </w:p>
    <w:p>
      <w:pPr>
        <w:pBdr/>
        <w:spacing w:after="0" w:before="0"/>
        <w:ind/>
        <w:rPr>
          <w:rFonts w:cs="Arial"/>
          <w:b/>
          <w:bCs/>
          <w:sz w:val="56"/>
          <w:szCs w:val="56"/>
        </w:rPr>
      </w:pPr>
      <w:r>
        <w:rPr>
          <w:rFonts w:cs="Arial"/>
          <w:sz w:val="56"/>
          <w:szCs w:val="56"/>
        </w:rPr>
        <w:t xml:space="preserve">ELETRÔNICO </w:t>
      </w:r>
      <w:r>
        <w:rPr>
          <w:rFonts w:cs="Arial"/>
          <w:b/>
          <w:bCs/>
          <w:sz w:val="56"/>
          <w:szCs w:val="56"/>
        </w:rPr>
      </w:r>
    </w:p>
    <w:p>
      <w:pPr>
        <w:pBdr/>
        <w:spacing w:after="0" w:before="0"/>
        <w:ind/>
        <w:rPr>
          <w:rFonts w:cs="Arial"/>
          <w:iCs/>
          <w:sz w:val="48"/>
          <w:szCs w:val="48"/>
        </w:rPr>
      </w:pPr>
      <w:r>
        <w:rPr>
          <w:rFonts w:cs="Arial"/>
          <w:iCs/>
          <w:sz w:val="48"/>
          <w:szCs w:val="48"/>
        </w:rPr>
        <w:t xml:space="preserve">002/2026</w:t>
      </w:r>
      <w:r>
        <w:rPr>
          <w:rFonts w:cs="Arial"/>
          <w:iCs/>
          <w:sz w:val="48"/>
          <w:szCs w:val="48"/>
        </w:rPr>
      </w:r>
    </w:p>
    <w:p>
      <w:pPr>
        <w:pBdr/>
        <w:spacing w:after="0" w:before="0"/>
        <w:ind/>
        <w:rPr>
          <w:rFonts w:cs="Arial"/>
          <w:b/>
          <w:bCs/>
          <w:sz w:val="28"/>
          <w:szCs w:val="28"/>
        </w:rPr>
      </w:pPr>
      <w:r>
        <w:rPr>
          <w:rFonts w:cs="Arial"/>
          <w:b/>
          <w:bCs/>
          <w:sz w:val="28"/>
          <w:szCs w:val="28"/>
        </w:rPr>
      </w:r>
      <w:r>
        <w:rPr>
          <w:rFonts w:cs="Arial"/>
          <w:b/>
          <w:bCs/>
          <w:sz w:val="28"/>
          <w:szCs w:val="28"/>
        </w:rPr>
      </w:r>
    </w:p>
    <w:p>
      <w:pPr>
        <w:pBdr/>
        <w:spacing w:after="0" w:before="0"/>
        <w:ind/>
        <w:rPr>
          <w:rFonts w:cs="Arial"/>
          <w:b/>
          <w:bCs/>
          <w:sz w:val="26"/>
          <w:szCs w:val="26"/>
        </w:rPr>
      </w:pPr>
      <w:r>
        <w:rPr>
          <w:rFonts w:cs="Arial"/>
          <w:b/>
          <w:bCs/>
          <w:sz w:val="32"/>
          <w:szCs w:val="32"/>
        </w:rPr>
        <w:t xml:space="preserve">CONTRATANTE</w:t>
      </w:r>
      <w:r>
        <w:rPr>
          <w:rFonts w:cs="Arial"/>
          <w:b/>
          <w:bCs/>
          <w:sz w:val="26"/>
          <w:szCs w:val="26"/>
        </w:rPr>
        <w:t xml:space="preserve"> (UASG)</w:t>
      </w:r>
      <w:r>
        <w:rPr>
          <w:rFonts w:cs="Arial"/>
          <w:b/>
          <w:bCs/>
          <w:sz w:val="26"/>
          <w:szCs w:val="26"/>
        </w:rPr>
      </w:r>
    </w:p>
    <w:p>
      <w:pPr>
        <w:pStyle w:val="995"/>
        <w:widowControl w:val="false"/>
        <w:pBdr/>
        <w:tabs>
          <w:tab w:val="left" w:leader="none" w:pos="704"/>
          <w:tab w:val="left" w:leader="none" w:pos="1418"/>
        </w:tabs>
        <w:spacing w:after="0" w:before="0"/>
        <w:ind w:right="729" w:left="0"/>
        <w:contextualSpacing w:val="false"/>
        <w:rPr>
          <w:rFonts w:cs="Arial"/>
          <w:sz w:val="24"/>
          <w:szCs w:val="24"/>
        </w:rPr>
      </w:pPr>
      <w:r>
        <w:rPr>
          <w:rFonts w:cs="Arial"/>
          <w:sz w:val="24"/>
          <w:szCs w:val="24"/>
        </w:rPr>
        <w:t xml:space="preserve">Prefeitura Municipal de Rio das </w:t>
      </w:r>
      <w:r>
        <w:rPr>
          <w:rFonts w:cs="Arial"/>
          <w:sz w:val="24"/>
          <w:szCs w:val="24"/>
        </w:rPr>
        <w:t xml:space="preserve">Flôres</w:t>
      </w:r>
      <w:r>
        <w:rPr>
          <w:rFonts w:cs="Arial"/>
          <w:sz w:val="24"/>
          <w:szCs w:val="24"/>
        </w:rPr>
        <w:t xml:space="preserve"> (985889)</w:t>
      </w:r>
      <w:r>
        <w:rPr>
          <w:rFonts w:cs="Arial"/>
          <w:sz w:val="24"/>
          <w:szCs w:val="24"/>
        </w:rPr>
      </w:r>
    </w:p>
    <w:p>
      <w:pPr>
        <w:pStyle w:val="995"/>
        <w:widowControl w:val="false"/>
        <w:pBdr/>
        <w:tabs>
          <w:tab w:val="left" w:leader="none" w:pos="704"/>
          <w:tab w:val="left" w:leader="none" w:pos="1418"/>
        </w:tabs>
        <w:spacing w:after="0" w:before="0"/>
        <w:ind w:right="729" w:left="0"/>
        <w:contextualSpacing w:val="false"/>
        <w:rPr>
          <w:sz w:val="24"/>
          <w:szCs w:val="24"/>
        </w:rPr>
      </w:pPr>
      <w:r>
        <w:rPr>
          <w:sz w:val="24"/>
          <w:szCs w:val="24"/>
        </w:rPr>
      </w:r>
      <w:r>
        <w:rPr>
          <w:sz w:val="24"/>
          <w:szCs w:val="24"/>
        </w:rPr>
      </w:r>
    </w:p>
    <w:p>
      <w:pPr>
        <w:pStyle w:val="995"/>
        <w:widowControl w:val="false"/>
        <w:pBdr/>
        <w:tabs>
          <w:tab w:val="left" w:leader="none" w:pos="704"/>
          <w:tab w:val="left" w:leader="none" w:pos="1418"/>
        </w:tabs>
        <w:spacing w:after="0" w:before="0"/>
        <w:ind w:right="729" w:left="0"/>
        <w:contextualSpacing w:val="false"/>
        <w:rPr>
          <w:rFonts w:cs="Arial"/>
          <w:b/>
          <w:bCs/>
          <w:sz w:val="26"/>
          <w:szCs w:val="26"/>
        </w:rPr>
      </w:pPr>
      <w:r>
        <w:rPr>
          <w:rFonts w:cs="Arial"/>
          <w:b/>
          <w:bCs/>
          <w:sz w:val="32"/>
          <w:szCs w:val="32"/>
        </w:rPr>
        <w:t xml:space="preserve">OBJETO</w:t>
      </w:r>
      <w:r>
        <w:rPr>
          <w:rFonts w:cs="Arial"/>
          <w:b/>
          <w:bCs/>
          <w:sz w:val="26"/>
          <w:szCs w:val="26"/>
        </w:rPr>
        <w:tab/>
      </w:r>
      <w:r>
        <w:rPr>
          <w:rFonts w:cs="Arial"/>
          <w:b/>
          <w:bCs/>
          <w:sz w:val="26"/>
          <w:szCs w:val="26"/>
        </w:rPr>
      </w:r>
    </w:p>
    <w:p>
      <w:pPr>
        <w:pStyle w:val="995"/>
        <w:widowControl w:val="false"/>
        <w:pBdr/>
        <w:tabs>
          <w:tab w:val="left" w:leader="none" w:pos="704"/>
          <w:tab w:val="left" w:leader="none" w:pos="1418"/>
        </w:tabs>
        <w:spacing w:after="0" w:before="0"/>
        <w:ind w:right="729" w:left="0"/>
        <w:contextualSpacing w:val="false"/>
        <w:rPr>
          <w:sz w:val="24"/>
          <w:szCs w:val="24"/>
        </w:rPr>
      </w:pPr>
      <w:r>
        <w:rPr>
          <w:sz w:val="24"/>
          <w:szCs w:val="24"/>
        </w:rPr>
        <w:t xml:space="preserve">Escolha da proposta mais vantajosa para futura e eventual contratação de empresa especializada em manutenção preventiva e corretiva da frota de veículos pertencentes a Prefeitura Municipal de Rio das </w:t>
      </w:r>
      <w:r>
        <w:rPr>
          <w:sz w:val="24"/>
          <w:szCs w:val="24"/>
        </w:rPr>
        <w:t xml:space="preserve">Flôres</w:t>
      </w:r>
      <w:r>
        <w:rPr>
          <w:sz w:val="24"/>
          <w:szCs w:val="24"/>
        </w:rPr>
        <w:t xml:space="preserve"> (Fundos/Secretarias Municipais</w:t>
      </w:r>
      <w:r>
        <w:rPr>
          <w:sz w:val="24"/>
          <w:szCs w:val="24"/>
        </w:rPr>
        <w:t xml:space="preserve">) ,</w:t>
      </w:r>
      <w:r>
        <w:rPr>
          <w:sz w:val="24"/>
          <w:szCs w:val="24"/>
        </w:rPr>
        <w:t xml:space="preserve"> movidos a Diesel/Gasolina, com mão de obra (hora/homem) e aplicação e fornecimento de peças e acessórios, através de Pregão Eletrônico, por meio de Registro de Preços pelo período de 12(doze) meses.</w:t>
      </w:r>
      <w:r>
        <w:rPr>
          <w:sz w:val="24"/>
          <w:szCs w:val="24"/>
        </w:rPr>
      </w:r>
    </w:p>
    <w:p>
      <w:pPr>
        <w:pStyle w:val="995"/>
        <w:widowControl w:val="false"/>
        <w:pBdr/>
        <w:tabs>
          <w:tab w:val="left" w:leader="none" w:pos="704"/>
          <w:tab w:val="left" w:leader="none" w:pos="1418"/>
        </w:tabs>
        <w:spacing w:after="0" w:before="0"/>
        <w:ind w:right="729" w:left="0"/>
        <w:contextualSpacing w:val="false"/>
        <w:rPr>
          <w:sz w:val="24"/>
          <w:szCs w:val="24"/>
        </w:rPr>
      </w:pPr>
      <w:r>
        <w:rPr>
          <w:sz w:val="24"/>
          <w:szCs w:val="24"/>
        </w:rPr>
      </w:r>
      <w:r>
        <w:rPr>
          <w:sz w:val="24"/>
          <w:szCs w:val="24"/>
        </w:rPr>
      </w:r>
    </w:p>
    <w:p>
      <w:pPr>
        <w:pBdr/>
        <w:spacing w:after="0" w:before="0"/>
        <w:ind/>
        <w:rPr>
          <w:rFonts w:cs="Arial"/>
          <w:sz w:val="16"/>
          <w:szCs w:val="16"/>
        </w:rPr>
      </w:pPr>
      <w:r>
        <w:rPr>
          <w:rFonts w:cs="Arial"/>
          <w:sz w:val="16"/>
          <w:szCs w:val="16"/>
        </w:rPr>
      </w:r>
      <w:r>
        <w:rPr>
          <w:rFonts w:cs="Arial"/>
          <w:sz w:val="16"/>
          <w:szCs w:val="16"/>
        </w:rPr>
      </w:r>
    </w:p>
    <w:p>
      <w:pPr>
        <w:pBdr/>
        <w:spacing w:after="0" w:before="0"/>
        <w:ind/>
        <w:rPr>
          <w:rFonts w:cs="Arial"/>
          <w:b/>
          <w:bCs/>
          <w:sz w:val="32"/>
          <w:szCs w:val="32"/>
        </w:rPr>
      </w:pPr>
      <w:r>
        <w:rPr>
          <w:rFonts w:cs="Arial"/>
          <w:b/>
          <w:bCs/>
          <w:sz w:val="32"/>
          <w:szCs w:val="32"/>
        </w:rPr>
        <w:t xml:space="preserve">VALOR TOTAL DA CONTRATAÇÃO</w:t>
      </w:r>
      <w:r>
        <w:rPr>
          <w:rFonts w:cs="Arial"/>
          <w:b/>
          <w:bCs/>
          <w:sz w:val="32"/>
          <w:szCs w:val="32"/>
        </w:rPr>
      </w:r>
    </w:p>
    <w:p>
      <w:pPr>
        <w:pBdr/>
        <w:spacing w:after="0" w:before="0"/>
        <w:ind/>
        <w:rPr>
          <w:rFonts w:cs="Arial"/>
          <w:sz w:val="28"/>
          <w:szCs w:val="28"/>
        </w:rPr>
      </w:pPr>
      <w:r>
        <w:rPr>
          <w:rFonts w:cs="Arial"/>
          <w:sz w:val="28"/>
          <w:szCs w:val="28"/>
        </w:rPr>
        <w:t xml:space="preserve">R$ 2.460.149,50 (dois milhões, quatrocentos e sessenta mil, cento e quarenta e nove reais e cinquenta centavos).</w:t>
      </w:r>
      <w:r>
        <w:rPr>
          <w:rFonts w:cs="Arial"/>
          <w:sz w:val="28"/>
          <w:szCs w:val="28"/>
        </w:rPr>
      </w:r>
    </w:p>
    <w:p>
      <w:pPr>
        <w:pBdr/>
        <w:spacing w:after="0" w:before="0"/>
        <w:ind/>
        <w:rPr>
          <w:rFonts w:cs="Arial"/>
          <w:b/>
          <w:bCs/>
          <w:sz w:val="28"/>
          <w:szCs w:val="28"/>
        </w:rPr>
      </w:pPr>
      <w:r>
        <w:rPr>
          <w:rFonts w:cs="Arial"/>
          <w:b/>
          <w:bCs/>
          <w:sz w:val="28"/>
          <w:szCs w:val="28"/>
        </w:rPr>
      </w:r>
      <w:r>
        <w:rPr>
          <w:rFonts w:cs="Arial"/>
          <w:b/>
          <w:bCs/>
          <w:sz w:val="28"/>
          <w:szCs w:val="28"/>
        </w:rPr>
      </w:r>
    </w:p>
    <w:p>
      <w:pPr>
        <w:pBdr/>
        <w:spacing w:after="0" w:before="0"/>
        <w:ind/>
        <w:rPr>
          <w:rFonts w:cs="Arial"/>
          <w:b/>
          <w:sz w:val="16"/>
          <w:szCs w:val="16"/>
        </w:rPr>
      </w:pPr>
      <w:r>
        <w:rPr>
          <w:rFonts w:cs="Arial"/>
          <w:b/>
          <w:sz w:val="16"/>
          <w:szCs w:val="16"/>
        </w:rPr>
      </w:r>
      <w:r>
        <w:rPr>
          <w:rFonts w:cs="Arial"/>
          <w:b/>
          <w:sz w:val="16"/>
          <w:szCs w:val="16"/>
        </w:rPr>
      </w:r>
    </w:p>
    <w:p>
      <w:pPr>
        <w:pBdr/>
        <w:spacing w:after="0" w:before="0"/>
        <w:ind/>
        <w:rPr>
          <w:rFonts w:cs="Arial"/>
          <w:b/>
          <w:bCs/>
          <w:sz w:val="26"/>
          <w:szCs w:val="26"/>
        </w:rPr>
      </w:pPr>
      <w:r>
        <w:rPr>
          <w:rFonts w:cs="Arial"/>
          <w:b/>
          <w:bCs/>
          <w:sz w:val="32"/>
          <w:szCs w:val="32"/>
        </w:rPr>
        <w:t xml:space="preserve">DATA DA SESSÃO PÚBLICA</w:t>
      </w:r>
      <w:r>
        <w:rPr>
          <w:rFonts w:cs="Arial"/>
          <w:b/>
          <w:bCs/>
          <w:sz w:val="26"/>
          <w:szCs w:val="26"/>
        </w:rPr>
      </w:r>
    </w:p>
    <w:p>
      <w:pPr>
        <w:pBdr/>
        <w:spacing w:after="0" w:before="0"/>
        <w:ind/>
        <w:rPr>
          <w:rFonts w:cs="Arial"/>
          <w:sz w:val="28"/>
          <w:szCs w:val="28"/>
        </w:rPr>
      </w:pPr>
      <w:r>
        <w:rPr>
          <w:rFonts w:cs="Arial"/>
          <w:sz w:val="28"/>
          <w:szCs w:val="28"/>
        </w:rPr>
        <w:t xml:space="preserve">Dia </w:t>
      </w:r>
      <w:r>
        <w:rPr>
          <w:rFonts w:cs="Arial"/>
          <w:sz w:val="28"/>
          <w:szCs w:val="28"/>
        </w:rPr>
        <w:t xml:space="preserve">09</w:t>
      </w:r>
      <w:r>
        <w:rPr>
          <w:rFonts w:cs="Arial"/>
          <w:sz w:val="28"/>
          <w:szCs w:val="28"/>
        </w:rPr>
        <w:t xml:space="preserve">/</w:t>
      </w:r>
      <w:r>
        <w:rPr>
          <w:rFonts w:cs="Arial"/>
          <w:sz w:val="28"/>
          <w:szCs w:val="28"/>
        </w:rPr>
        <w:t xml:space="preserve">10</w:t>
      </w:r>
      <w:r>
        <w:rPr>
          <w:rFonts w:cs="Arial"/>
          <w:sz w:val="28"/>
          <w:szCs w:val="28"/>
        </w:rPr>
        <w:t xml:space="preserve">/2026 às </w:t>
      </w:r>
      <w:r>
        <w:rPr>
          <w:rFonts w:cs="Arial"/>
          <w:sz w:val="28"/>
          <w:szCs w:val="28"/>
        </w:rPr>
        <w:t xml:space="preserve">09</w:t>
      </w:r>
      <w:r>
        <w:rPr>
          <w:rFonts w:cs="Arial"/>
          <w:sz w:val="28"/>
          <w:szCs w:val="28"/>
        </w:rPr>
        <w:t xml:space="preserve">:00h (horário de Brasília)</w:t>
      </w:r>
      <w:r>
        <w:rPr>
          <w:rFonts w:cs="Arial"/>
          <w:sz w:val="28"/>
          <w:szCs w:val="28"/>
        </w:rPr>
      </w:r>
    </w:p>
    <w:p>
      <w:pPr>
        <w:pBdr/>
        <w:spacing w:after="0" w:before="0"/>
        <w:ind/>
        <w:rPr>
          <w:rFonts w:cs="Arial"/>
          <w:b/>
          <w:bCs/>
          <w:sz w:val="28"/>
          <w:szCs w:val="28"/>
        </w:rPr>
      </w:pPr>
      <w:r>
        <w:rPr>
          <w:rFonts w:cs="Arial"/>
          <w:b/>
          <w:bCs/>
          <w:sz w:val="28"/>
          <w:szCs w:val="28"/>
        </w:rPr>
      </w:r>
      <w:r>
        <w:rPr>
          <w:rFonts w:cs="Arial"/>
          <w:b/>
          <w:bCs/>
          <w:sz w:val="28"/>
          <w:szCs w:val="28"/>
        </w:rPr>
      </w:r>
    </w:p>
    <w:p>
      <w:pPr>
        <w:pBdr/>
        <w:spacing w:after="0" w:before="0"/>
        <w:ind/>
        <w:rPr>
          <w:rFonts w:cs="Arial"/>
          <w:b/>
          <w:bCs/>
          <w:sz w:val="16"/>
          <w:szCs w:val="16"/>
        </w:rPr>
      </w:pPr>
      <w:r>
        <w:rPr>
          <w:rFonts w:cs="Arial"/>
          <w:b/>
          <w:bCs/>
          <w:sz w:val="16"/>
          <w:szCs w:val="16"/>
        </w:rPr>
      </w:r>
      <w:r>
        <w:rPr>
          <w:rFonts w:cs="Arial"/>
          <w:b/>
          <w:bCs/>
          <w:sz w:val="16"/>
          <w:szCs w:val="16"/>
        </w:rPr>
      </w:r>
    </w:p>
    <w:p>
      <w:pPr>
        <w:pBdr/>
        <w:spacing w:after="0" w:before="0"/>
        <w:ind/>
        <w:rPr>
          <w:rFonts w:cs="Arial"/>
          <w:caps/>
          <w:sz w:val="32"/>
          <w:szCs w:val="32"/>
        </w:rPr>
      </w:pPr>
      <w:r>
        <w:rPr>
          <w:rFonts w:cs="Arial"/>
          <w:b/>
          <w:bCs/>
          <w:caps/>
          <w:sz w:val="32"/>
          <w:szCs w:val="32"/>
        </w:rPr>
        <w:t xml:space="preserve">Critério de Julgamento:</w:t>
      </w:r>
      <w:r>
        <w:rPr>
          <w:rFonts w:cs="Arial"/>
          <w:caps/>
          <w:sz w:val="32"/>
          <w:szCs w:val="32"/>
        </w:rPr>
      </w:r>
    </w:p>
    <w:p>
      <w:pPr>
        <w:pBdr/>
        <w:spacing w:after="0" w:before="0"/>
        <w:ind/>
        <w:rPr>
          <w:rFonts w:cs="Arial"/>
          <w:sz w:val="28"/>
          <w:szCs w:val="28"/>
        </w:rPr>
      </w:pPr>
      <w:r>
        <w:rPr>
          <w:rFonts w:cs="Arial"/>
          <w:sz w:val="28"/>
          <w:szCs w:val="28"/>
        </w:rPr>
        <w:t xml:space="preserve">menor preço por lote</w:t>
      </w:r>
      <w:r>
        <w:rPr>
          <w:rFonts w:cs="Arial"/>
          <w:sz w:val="28"/>
          <w:szCs w:val="28"/>
        </w:rPr>
      </w:r>
    </w:p>
    <w:p>
      <w:pPr>
        <w:pBdr/>
        <w:spacing w:after="0" w:before="0"/>
        <w:ind/>
        <w:rPr>
          <w:rFonts w:cs="Arial"/>
          <w:sz w:val="28"/>
          <w:szCs w:val="28"/>
        </w:rPr>
      </w:pPr>
      <w:r>
        <w:rPr>
          <w:rFonts w:cs="Arial"/>
          <w:sz w:val="28"/>
          <w:szCs w:val="28"/>
        </w:rPr>
      </w:r>
      <w:r>
        <w:rPr>
          <w:rFonts w:cs="Arial"/>
          <w:sz w:val="28"/>
          <w:szCs w:val="28"/>
        </w:rPr>
      </w:r>
    </w:p>
    <w:p>
      <w:pPr>
        <w:pBdr/>
        <w:spacing w:after="0" w:before="0"/>
        <w:ind/>
        <w:rPr>
          <w:rFonts w:cs="Arial"/>
          <w:sz w:val="16"/>
          <w:szCs w:val="16"/>
        </w:rPr>
      </w:pPr>
      <w:r>
        <w:rPr>
          <w:rFonts w:cs="Arial"/>
          <w:sz w:val="16"/>
          <w:szCs w:val="16"/>
        </w:rPr>
      </w:r>
      <w:r>
        <w:rPr>
          <w:rFonts w:cs="Arial"/>
          <w:sz w:val="16"/>
          <w:szCs w:val="16"/>
        </w:rPr>
      </w:r>
    </w:p>
    <w:p>
      <w:pPr>
        <w:pBdr/>
        <w:spacing w:after="0" w:before="0"/>
        <w:ind/>
        <w:rPr>
          <w:rFonts w:cs="Arial"/>
          <w:b/>
          <w:bCs/>
          <w:caps/>
          <w:sz w:val="32"/>
          <w:szCs w:val="32"/>
        </w:rPr>
      </w:pPr>
      <w:r>
        <w:rPr>
          <w:rFonts w:cs="Arial"/>
          <w:b/>
          <w:bCs/>
          <w:caps/>
          <w:sz w:val="32"/>
          <w:szCs w:val="32"/>
        </w:rPr>
        <w:t xml:space="preserve">Modo de disputa:</w:t>
      </w:r>
      <w:r>
        <w:rPr>
          <w:rFonts w:cs="Arial"/>
          <w:b/>
          <w:bCs/>
          <w:caps/>
          <w:sz w:val="32"/>
          <w:szCs w:val="32"/>
        </w:rPr>
      </w:r>
    </w:p>
    <w:p>
      <w:pPr>
        <w:pBdr/>
        <w:spacing w:after="0" w:before="0"/>
        <w:ind/>
        <w:rPr>
          <w:rFonts w:cs="Arial"/>
          <w:sz w:val="28"/>
          <w:szCs w:val="28"/>
        </w:rPr>
      </w:pPr>
      <w:r>
        <w:rPr>
          <w:rFonts w:cs="Arial"/>
          <w:sz w:val="28"/>
          <w:szCs w:val="28"/>
        </w:rPr>
        <w:t xml:space="preserve">aberto e fechado</w:t>
      </w:r>
      <w:r>
        <w:rPr>
          <w:rFonts w:cs="Arial"/>
          <w:sz w:val="28"/>
          <w:szCs w:val="28"/>
        </w:rPr>
      </w:r>
    </w:p>
    <w:p>
      <w:pPr>
        <w:pBdr/>
        <w:spacing w:after="0" w:before="0"/>
        <w:ind/>
        <w:rPr>
          <w:rFonts w:cs="Arial"/>
          <w:sz w:val="28"/>
          <w:szCs w:val="28"/>
        </w:rPr>
      </w:pPr>
      <w:r>
        <w:rPr>
          <w:rFonts w:cs="Arial"/>
          <w:sz w:val="28"/>
          <w:szCs w:val="28"/>
        </w:rPr>
      </w:r>
      <w:r>
        <w:rPr>
          <w:rFonts w:cs="Arial"/>
          <w:sz w:val="28"/>
          <w:szCs w:val="28"/>
        </w:rPr>
      </w:r>
    </w:p>
    <w:p>
      <w:pPr>
        <w:pBdr/>
        <w:spacing w:after="0" w:before="0"/>
        <w:ind/>
        <w:rPr>
          <w:rFonts w:cs="Arial"/>
          <w:sz w:val="16"/>
          <w:szCs w:val="16"/>
        </w:rPr>
      </w:pPr>
      <w:r>
        <w:rPr>
          <w:rFonts w:cs="Arial"/>
          <w:sz w:val="16"/>
          <w:szCs w:val="16"/>
        </w:rPr>
      </w:r>
      <w:r>
        <w:rPr>
          <w:rFonts w:cs="Arial"/>
          <w:sz w:val="16"/>
          <w:szCs w:val="16"/>
        </w:rPr>
      </w:r>
    </w:p>
    <w:p>
      <w:pPr>
        <w:pBdr/>
        <w:spacing w:after="0" w:before="0"/>
        <w:ind/>
        <w:rPr>
          <w:rFonts w:cs="Arial"/>
          <w:b/>
          <w:bCs/>
          <w:sz w:val="32"/>
          <w:szCs w:val="32"/>
        </w:rPr>
      </w:pPr>
      <w:r>
        <w:rPr>
          <w:rFonts w:cs="Arial"/>
          <w:b/>
          <w:bCs/>
          <w:sz w:val="32"/>
          <w:szCs w:val="32"/>
        </w:rPr>
        <w:t xml:space="preserve">PREFERÊNCIA ME/EPP/EQUIPARADAS</w:t>
      </w:r>
      <w:r>
        <w:rPr>
          <w:rFonts w:cs="Arial"/>
          <w:b/>
          <w:bCs/>
          <w:sz w:val="32"/>
          <w:szCs w:val="32"/>
        </w:rPr>
      </w:r>
    </w:p>
    <w:p>
      <w:pPr>
        <w:pBdr/>
        <w:spacing w:after="0" w:before="0"/>
        <w:ind/>
        <w:rPr>
          <w:rFonts w:cs="Arial"/>
          <w:b/>
          <w:bCs/>
          <w:sz w:val="26"/>
          <w:szCs w:val="26"/>
        </w:rPr>
      </w:pPr>
      <w:r>
        <w:rPr>
          <w:rFonts w:cs="Arial"/>
          <w:sz w:val="26"/>
          <w:szCs w:val="26"/>
        </w:rPr>
        <w:t xml:space="preserve">NÃO</w:t>
      </w:r>
      <w:r>
        <w:rPr>
          <w:rFonts w:cs="Arial"/>
          <w:b/>
          <w:bCs/>
          <w:sz w:val="26"/>
          <w:szCs w:val="26"/>
        </w:rPr>
        <w:t xml:space="preserve"> </w:t>
      </w:r>
      <w:r>
        <w:rPr>
          <w:rFonts w:cs="Arial"/>
          <w:b/>
          <w:bCs/>
          <w:sz w:val="26"/>
          <w:szCs w:val="26"/>
        </w:rPr>
      </w:r>
    </w:p>
    <w:p>
      <w:pPr>
        <w:pBdr/>
        <w:spacing w:after="0" w:before="0"/>
        <w:ind/>
        <w:rPr>
          <w:rFonts w:cs="Arial"/>
          <w:b/>
          <w:bCs/>
          <w:sz w:val="26"/>
          <w:szCs w:val="26"/>
        </w:rPr>
      </w:pPr>
      <w:r>
        <w:rPr>
          <w:rFonts w:cs="Arial"/>
          <w:b/>
          <w:bCs/>
          <w:sz w:val="26"/>
          <w:szCs w:val="26"/>
        </w:rPr>
      </w:r>
      <w:r>
        <w:rPr>
          <w:rFonts w:cs="Arial"/>
          <w:b/>
          <w:bCs/>
          <w:sz w:val="26"/>
          <w:szCs w:val="26"/>
        </w:rPr>
      </w:r>
    </w:p>
    <w:p>
      <w:pPr>
        <w:pBdr/>
        <w:spacing w:line="280" w:lineRule="atLeast"/>
        <w:ind/>
        <w:rPr>
          <w:b/>
          <w:sz w:val="24"/>
          <w:szCs w:val="24"/>
        </w:rPr>
      </w:pPr>
      <w:r>
        <w:rPr>
          <w:rFonts w:eastAsia="Arial"/>
          <w:b/>
          <w:bCs/>
          <w:i/>
          <w:iCs/>
          <w:color w:val="9cc2e5" w:themeColor="accent1" w:themeTint="99"/>
        </w:rPr>
        <w:t xml:space="preserve">Acompanhe as sessões públicas das licitações da Prefeitura Municipal de Rio das </w:t>
      </w:r>
      <w:r>
        <w:rPr>
          <w:rFonts w:eastAsia="Arial"/>
          <w:b/>
          <w:bCs/>
          <w:i/>
          <w:iCs/>
          <w:color w:val="9cc2e5" w:themeColor="accent1" w:themeTint="99"/>
        </w:rPr>
        <w:t xml:space="preserve">Flôres</w:t>
      </w:r>
      <w:r>
        <w:rPr>
          <w:rFonts w:eastAsia="Arial"/>
          <w:b/>
          <w:bCs/>
          <w:i/>
          <w:iCs/>
          <w:color w:val="9cc2e5" w:themeColor="accent1" w:themeTint="99"/>
        </w:rPr>
        <w:t xml:space="preserve"> pelo link: </w:t>
      </w:r>
      <w:hyperlink r:id="rId12" w:tooltip="https://cnetmobile.estaleiro.serpro.gov.br/comprasnet-web/public/compras" w:history="1">
        <w:r>
          <w:rPr>
            <w:rStyle w:val="953"/>
            <w:rFonts w:eastAsia="Arial"/>
            <w:b/>
            <w:bCs/>
            <w:i/>
            <w:iCs/>
          </w:rPr>
          <w:t xml:space="preserve">https://cnetmobile.estaleiro.serpro.gov.br/comprasnet-web/public/compras</w:t>
        </w:r>
      </w:hyperlink>
      <w:r>
        <w:rPr>
          <w:rFonts w:eastAsia="Arial"/>
          <w:b/>
          <w:bCs/>
          <w:i/>
          <w:iCs/>
          <w:color w:val="9cc2e5" w:themeColor="accent1" w:themeTint="99"/>
        </w:rPr>
        <w:t xml:space="preserve">, selecionando as opções: Unidade Compradora “985889” &gt; Pesquisar. O edital e seus anexos estão disponíveis para download no mesmo endereço e também no link: </w:t>
      </w:r>
      <w:hyperlink r:id="rId13" w:tooltip="https://transparencia.betha.cloud/#/6pate64yBjikfhmXWCPx0Q==/consulta/217890" w:anchor="/6pate64yBjikfhmXWCPx0Q==/consulta/217890" w:history="1">
        <w:r>
          <w:rPr>
            <w:rStyle w:val="953"/>
            <w:rFonts w:eastAsia="Arial"/>
            <w:i/>
            <w:iCs/>
            <w:color w:val="0000ee"/>
          </w:rPr>
          <w:t xml:space="preserve">Portal da Transparência</w:t>
        </w:r>
      </w:hyperlink>
      <w:r/>
      <w:r>
        <w:rPr>
          <w:b/>
          <w:sz w:val="24"/>
          <w:szCs w:val="24"/>
        </w:rPr>
      </w:r>
    </w:p>
    <w:p>
      <w:pPr>
        <w:pBdr/>
        <w:spacing w:after="288" w:before="288" w:line="312" w:lineRule="auto"/>
        <w:ind w:firstLine="567"/>
        <w:jc w:val="center"/>
        <w:rPr>
          <w:rFonts w:cs="Arial"/>
          <w:b/>
          <w:bCs/>
          <w:sz w:val="24"/>
          <w:szCs w:val="24"/>
        </w:rPr>
      </w:pPr>
      <w:r>
        <w:rPr>
          <w:rFonts w:cs="Arial"/>
          <w:b/>
          <w:bCs/>
          <w:sz w:val="24"/>
          <w:szCs w:val="24"/>
        </w:rPr>
      </w:r>
      <w:r>
        <w:rPr>
          <w:rFonts w:cs="Arial"/>
          <w:b/>
          <w:bCs/>
          <w:sz w:val="24"/>
          <w:szCs w:val="24"/>
        </w:rPr>
      </w:r>
    </w:p>
    <w:p>
      <w:pPr>
        <w:pBdr/>
        <w:spacing w:after="288" w:before="288" w:line="312" w:lineRule="auto"/>
        <w:ind w:firstLine="567"/>
        <w:jc w:val="center"/>
        <w:rPr>
          <w:rFonts w:cs="Arial"/>
          <w:b/>
          <w:bCs/>
          <w:sz w:val="24"/>
          <w:szCs w:val="24"/>
        </w:rPr>
      </w:pPr>
      <w:r>
        <w:rPr>
          <w:rFonts w:cs="Arial"/>
          <w:b/>
          <w:bCs/>
          <w:sz w:val="24"/>
          <w:szCs w:val="24"/>
        </w:rPr>
      </w:r>
      <w:r>
        <w:rPr>
          <w:rFonts w:cs="Arial"/>
          <w:b/>
          <w:bCs/>
          <w:sz w:val="24"/>
          <w:szCs w:val="24"/>
        </w:rPr>
      </w:r>
    </w:p>
    <w:p>
      <w:pPr>
        <w:pBdr/>
        <w:spacing w:after="288" w:before="288" w:line="312" w:lineRule="auto"/>
        <w:ind w:firstLine="567"/>
        <w:jc w:val="center"/>
        <w:rPr>
          <w:rFonts w:cs="Arial"/>
          <w:b/>
          <w:bCs/>
          <w:sz w:val="24"/>
          <w:szCs w:val="24"/>
        </w:rPr>
      </w:pPr>
      <w:r>
        <w:rPr>
          <w:rFonts w:cs="Arial"/>
          <w:b/>
          <w:bCs/>
          <w:sz w:val="24"/>
          <w:szCs w:val="24"/>
        </w:rPr>
        <w:t xml:space="preserve">PREFEITURA MUNICPAL DE RIO DAS FLÔRES</w:t>
      </w:r>
      <w:r>
        <w:rPr>
          <w:rFonts w:cs="Arial"/>
          <w:b/>
          <w:bCs/>
          <w:sz w:val="24"/>
          <w:szCs w:val="24"/>
        </w:rPr>
      </w:r>
    </w:p>
    <w:p>
      <w:pPr>
        <w:pBdr/>
        <w:spacing w:after="288" w:before="288" w:line="312" w:lineRule="auto"/>
        <w:ind w:firstLine="567"/>
        <w:jc w:val="center"/>
        <w:rPr>
          <w:rFonts w:cs="Arial"/>
          <w:b/>
          <w:color w:val="000000"/>
          <w:sz w:val="24"/>
          <w:szCs w:val="24"/>
        </w:rPr>
      </w:pPr>
      <w:r>
        <w:rPr>
          <w:rFonts w:cs="Arial"/>
          <w:b/>
          <w:color w:val="000000"/>
          <w:sz w:val="24"/>
          <w:szCs w:val="24"/>
        </w:rPr>
        <w:t xml:space="preserve">PREGÃO ELETRÔNICO Nº 002/2026</w:t>
      </w:r>
      <w:r>
        <w:rPr>
          <w:rFonts w:cs="Arial"/>
          <w:b/>
          <w:color w:val="000000"/>
          <w:sz w:val="24"/>
          <w:szCs w:val="24"/>
        </w:rPr>
      </w:r>
    </w:p>
    <w:p>
      <w:pPr>
        <w:pBdr/>
        <w:spacing w:after="288" w:before="288" w:line="312" w:lineRule="auto"/>
        <w:ind w:firstLine="567"/>
        <w:jc w:val="center"/>
        <w:rPr>
          <w:rFonts w:cs="Arial"/>
          <w:bCs/>
          <w:sz w:val="24"/>
          <w:szCs w:val="24"/>
        </w:rPr>
      </w:pPr>
      <w:r>
        <w:rPr>
          <w:rFonts w:cs="Arial"/>
          <w:sz w:val="24"/>
          <w:szCs w:val="24"/>
        </w:rPr>
        <w:t xml:space="preserve">(Processo Administrativo n</w:t>
      </w:r>
      <w:r>
        <w:rPr>
          <w:rFonts w:cs="Arial"/>
          <w:bCs/>
          <w:sz w:val="24"/>
          <w:szCs w:val="24"/>
        </w:rPr>
        <w:t xml:space="preserve">° 1939/2025)</w:t>
      </w:r>
      <w:r>
        <w:rPr>
          <w:rFonts w:cs="Arial"/>
          <w:bCs/>
          <w:sz w:val="24"/>
          <w:szCs w:val="24"/>
        </w:rPr>
      </w:r>
    </w:p>
    <w:p>
      <w:pPr>
        <w:pBdr/>
        <w:spacing w:line="280" w:lineRule="atLeast"/>
        <w:ind w:firstLine="709"/>
        <w:rPr>
          <w:sz w:val="24"/>
          <w:szCs w:val="24"/>
        </w:rPr>
      </w:pPr>
      <w:r>
        <w:rPr>
          <w:sz w:val="24"/>
          <w:szCs w:val="24"/>
        </w:rPr>
      </w:r>
      <w:r>
        <w:rPr>
          <w:sz w:val="24"/>
          <w:szCs w:val="24"/>
        </w:rPr>
      </w:r>
    </w:p>
    <w:p>
      <w:pPr>
        <w:pBdr/>
        <w:spacing w:line="280" w:lineRule="atLeast"/>
        <w:ind w:firstLine="709"/>
        <w:rPr>
          <w:sz w:val="24"/>
          <w:szCs w:val="24"/>
        </w:rPr>
      </w:pPr>
      <w:r>
        <w:rPr>
          <w:sz w:val="24"/>
          <w:szCs w:val="24"/>
        </w:rPr>
        <w:t xml:space="preserve">Torna-se público, para conhecimento dos interessados, que a Prefeitura Municipal de Rio das </w:t>
      </w:r>
      <w:r>
        <w:rPr>
          <w:sz w:val="24"/>
          <w:szCs w:val="24"/>
        </w:rPr>
        <w:t xml:space="preserve">Flôres</w:t>
      </w:r>
      <w:r>
        <w:rPr>
          <w:sz w:val="24"/>
          <w:szCs w:val="24"/>
        </w:rPr>
        <w:t xml:space="preserve">, por meio de seu Agente de Contratação designado pela </w:t>
      </w:r>
      <w:r>
        <w:rPr>
          <w:b/>
          <w:sz w:val="24"/>
          <w:szCs w:val="24"/>
        </w:rPr>
        <w:t xml:space="preserve">Portaria nº 460 de 26 de agosto de 202</w:t>
      </w:r>
      <w:r>
        <w:rPr>
          <w:b/>
          <w:bCs/>
          <w:sz w:val="24"/>
          <w:szCs w:val="24"/>
        </w:rPr>
        <w:t xml:space="preserve">6</w:t>
      </w:r>
      <w:r>
        <w:rPr>
          <w:sz w:val="24"/>
          <w:szCs w:val="24"/>
        </w:rPr>
        <w:t xml:space="preserve">, sediado na Rua Coronel Eurico de Castro, nº 14, Centro, Rio das </w:t>
      </w:r>
      <w:r>
        <w:rPr>
          <w:sz w:val="24"/>
          <w:szCs w:val="24"/>
        </w:rPr>
        <w:t xml:space="preserve">Flôres</w:t>
      </w:r>
      <w:r>
        <w:rPr>
          <w:sz w:val="24"/>
          <w:szCs w:val="24"/>
        </w:rPr>
        <w:t xml:space="preserve">/RJ, realizará licitação na modalidade </w:t>
      </w:r>
      <w:r>
        <w:rPr>
          <w:bCs/>
          <w:sz w:val="24"/>
          <w:szCs w:val="24"/>
        </w:rPr>
        <w:t xml:space="preserve">PREGÃO, </w:t>
      </w:r>
      <w:r>
        <w:rPr>
          <w:sz w:val="24"/>
          <w:szCs w:val="24"/>
        </w:rPr>
        <w:t xml:space="preserve">na forma</w:t>
      </w:r>
      <w:r>
        <w:rPr>
          <w:bCs/>
          <w:sz w:val="24"/>
          <w:szCs w:val="24"/>
        </w:rPr>
        <w:t xml:space="preserve"> ELETRÔNICA, </w:t>
      </w:r>
      <w:r>
        <w:rPr>
          <w:sz w:val="24"/>
          <w:szCs w:val="24"/>
        </w:rPr>
        <w:t xml:space="preserve"> nos termos da </w:t>
      </w:r>
      <w:hyperlink r:id="rId14" w:tooltip="http://www.planalto.gov.br/ccivil_03/_ato2019-2022/2021/lei/L14133.htm" w:history="1">
        <w:r>
          <w:rPr>
            <w:rStyle w:val="953"/>
            <w:sz w:val="24"/>
            <w:szCs w:val="24"/>
          </w:rPr>
          <w:t xml:space="preserve">Lei nº 14.133, de 1º de abril de 2021</w:t>
        </w:r>
      </w:hyperlink>
      <w:r>
        <w:rPr>
          <w:sz w:val="24"/>
          <w:szCs w:val="24"/>
        </w:rPr>
        <w:t xml:space="preserve">, e demais legislação aplicável e, ainda, de acordo com as condições estabelecidas neste Edital.</w:t>
      </w:r>
      <w:r>
        <w:rPr>
          <w:sz w:val="24"/>
          <w:szCs w:val="24"/>
        </w:rPr>
      </w:r>
    </w:p>
    <w:p>
      <w:pPr>
        <w:pStyle w:val="995"/>
        <w:numPr>
          <w:ilvl w:val="0"/>
          <w:numId w:val="1"/>
        </w:numPr>
        <w:pBdr/>
        <w:tabs>
          <w:tab w:val="left" w:leader="none" w:pos="284"/>
        </w:tabs>
        <w:spacing w:after="0" w:before="480" w:line="280" w:lineRule="atLeast"/>
        <w:ind w:firstLine="0" w:left="0"/>
        <w:contextualSpacing w:val="false"/>
        <w:rPr>
          <w:b/>
          <w:sz w:val="24"/>
          <w:szCs w:val="24"/>
        </w:rPr>
      </w:pPr>
      <w:r/>
      <w:hyperlink w:tooltip="#ANEXOIOBJETO" w:anchor="ANEXOIOBJETO" w:history="1">
        <w:bookmarkStart w:id="0" w:name="EDITALOBJETO"/>
        <w:r>
          <w:rPr>
            <w:rStyle w:val="953"/>
            <w:b/>
            <w:color w:val="auto"/>
            <w:sz w:val="24"/>
            <w:szCs w:val="24"/>
            <w:u w:val="none"/>
          </w:rPr>
          <w:t xml:space="preserve">DO OBJETO:</w:t>
        </w:r>
      </w:hyperlink>
      <w:r/>
      <w:bookmarkEnd w:id="0"/>
      <w:r/>
      <w:r>
        <w:rPr>
          <w:b/>
          <w:sz w:val="24"/>
          <w:szCs w:val="24"/>
        </w:rPr>
      </w:r>
    </w:p>
    <w:p>
      <w:pPr>
        <w:pStyle w:val="995"/>
        <w:numPr>
          <w:ilvl w:val="1"/>
          <w:numId w:val="11"/>
        </w:numPr>
        <w:pBdr/>
        <w:spacing/>
        <w:ind w:firstLine="0" w:left="0"/>
        <w:rPr>
          <w:sz w:val="24"/>
          <w:szCs w:val="24"/>
        </w:rPr>
      </w:pPr>
      <w:r>
        <w:rPr>
          <w:sz w:val="24"/>
          <w:szCs w:val="24"/>
        </w:rPr>
        <w:t xml:space="preserve">O objeto da presente licitação é a escolha da proposta mais vantajosa para futura e eventual contratação de empresa especializada em manutenção preventiva e corretiva da frota de veículos pertencentes a Prefeitura Municipal de Rio das </w:t>
      </w:r>
      <w:r>
        <w:rPr>
          <w:sz w:val="24"/>
          <w:szCs w:val="24"/>
        </w:rPr>
        <w:t xml:space="preserve">Flôres</w:t>
      </w:r>
      <w:r>
        <w:rPr>
          <w:sz w:val="24"/>
          <w:szCs w:val="24"/>
        </w:rPr>
        <w:t xml:space="preserve">(</w:t>
      </w:r>
      <w:r>
        <w:rPr>
          <w:sz w:val="24"/>
          <w:szCs w:val="24"/>
        </w:rPr>
        <w:t xml:space="preserve">Fundos/Secretarias Municipais</w:t>
      </w:r>
      <w:r>
        <w:rPr>
          <w:sz w:val="24"/>
          <w:szCs w:val="24"/>
        </w:rPr>
        <w:t xml:space="preserve">) ,</w:t>
      </w:r>
      <w:r>
        <w:rPr>
          <w:sz w:val="24"/>
          <w:szCs w:val="24"/>
        </w:rPr>
        <w:t xml:space="preserve"> movidos a Diesel/Gasolina, com mão de obra (hora/homem) e aplicação e fornecimento de peças e acessórios, através de Pregão Eletrônico, por meio de Registro de Preços pelo período de 12(doze) meses.</w:t>
      </w:r>
      <w:r>
        <w:rPr>
          <w:sz w:val="24"/>
          <w:szCs w:val="24"/>
        </w:rPr>
      </w:r>
    </w:p>
    <w:p>
      <w:pPr>
        <w:pStyle w:val="995"/>
        <w:pBdr/>
        <w:spacing/>
        <w:ind w:left="0"/>
        <w:rPr>
          <w:sz w:val="24"/>
          <w:szCs w:val="24"/>
        </w:rPr>
      </w:pPr>
      <w:r>
        <w:rPr>
          <w:sz w:val="24"/>
          <w:szCs w:val="24"/>
        </w:rPr>
      </w:r>
      <w:r>
        <w:rPr>
          <w:sz w:val="24"/>
          <w:szCs w:val="24"/>
        </w:rPr>
      </w:r>
    </w:p>
    <w:p>
      <w:pPr>
        <w:pStyle w:val="995"/>
        <w:pBdr/>
        <w:spacing/>
        <w:ind w:left="0"/>
        <w:rPr>
          <w:b/>
          <w:sz w:val="24"/>
          <w:szCs w:val="24"/>
        </w:rPr>
      </w:pPr>
      <w:r>
        <w:rPr>
          <w:sz w:val="24"/>
          <w:szCs w:val="24"/>
        </w:rPr>
        <w:t xml:space="preserve">A licitação será por lote</w:t>
      </w:r>
      <w:r>
        <w:rPr>
          <w:b/>
          <w:sz w:val="24"/>
          <w:szCs w:val="24"/>
        </w:rPr>
        <w:t xml:space="preserve">,</w:t>
      </w:r>
      <w:r>
        <w:rPr>
          <w:sz w:val="24"/>
          <w:szCs w:val="24"/>
        </w:rPr>
        <w:t xml:space="preserve"> conforme </w:t>
      </w:r>
      <w:r>
        <w:rPr>
          <w:b/>
          <w:sz w:val="24"/>
          <w:szCs w:val="24"/>
        </w:rPr>
        <w:t xml:space="preserve">ANEXO I – TERMO DE REFERÊNCIA.</w:t>
      </w:r>
      <w:r>
        <w:rPr>
          <w:b/>
          <w:sz w:val="24"/>
          <w:szCs w:val="24"/>
        </w:rPr>
      </w:r>
    </w:p>
    <w:p>
      <w:pPr>
        <w:pStyle w:val="995"/>
        <w:pBdr/>
        <w:spacing/>
        <w:ind w:left="0"/>
        <w:rPr>
          <w:b/>
          <w:sz w:val="24"/>
          <w:szCs w:val="24"/>
        </w:rPr>
      </w:pPr>
      <w:r>
        <w:rPr>
          <w:sz w:val="24"/>
        </w:rPr>
        <w:t xml:space="preserve">O critério de julgamento adotado será o </w:t>
      </w:r>
      <w:r>
        <w:rPr>
          <w:b/>
          <w:sz w:val="24"/>
        </w:rPr>
        <w:t xml:space="preserve">menor preço por lote</w:t>
      </w:r>
      <w:r>
        <w:rPr>
          <w:sz w:val="24"/>
        </w:rPr>
        <w:t xml:space="preserve">, observadas as exigências contidas neste Edital e seus Anexos quanto às especificações do objeto.</w:t>
      </w:r>
      <w:r>
        <w:rPr>
          <w:b/>
          <w:sz w:val="24"/>
          <w:szCs w:val="24"/>
        </w:rPr>
      </w:r>
    </w:p>
    <w:p>
      <w:pPr>
        <w:pStyle w:val="969"/>
        <w:numPr>
          <w:ilvl w:val="0"/>
          <w:numId w:val="1"/>
        </w:numPr>
        <w:pBdr/>
        <w:tabs>
          <w:tab w:val="left" w:leader="none" w:pos="709"/>
          <w:tab w:val="left" w:leader="none" w:pos="3075"/>
        </w:tabs>
        <w:spacing w:after="240" w:before="360" w:line="280" w:lineRule="atLeast"/>
        <w:ind w:right="-1" w:firstLine="0" w:left="0"/>
        <w:rPr>
          <w:sz w:val="24"/>
          <w:szCs w:val="24"/>
        </w:rPr>
      </w:pPr>
      <w:r/>
      <w:hyperlink w:tooltip="#ANEXOIJUSTIFICATIVA" w:anchor="ANEXOIJUSTIFICATIVA" w:history="1">
        <w:bookmarkStart w:id="1" w:name="EDITALJUSTIFICATIVA"/>
        <w:r>
          <w:rPr>
            <w:rStyle w:val="953"/>
            <w:b/>
            <w:color w:val="auto"/>
            <w:sz w:val="24"/>
            <w:szCs w:val="24"/>
            <w:u w:val="none"/>
          </w:rPr>
          <w:t xml:space="preserve">DA JUSTIFICATIVA:</w:t>
        </w:r>
      </w:hyperlink>
      <w:r/>
      <w:bookmarkStart w:id="2" w:name="_Hlk30413924"/>
      <w:r/>
      <w:bookmarkEnd w:id="1"/>
      <w:r/>
      <w:r>
        <w:rPr>
          <w:sz w:val="24"/>
          <w:szCs w:val="24"/>
        </w:rPr>
      </w:r>
    </w:p>
    <w:p>
      <w:pPr>
        <w:pStyle w:val="969"/>
        <w:numPr>
          <w:ilvl w:val="1"/>
          <w:numId w:val="12"/>
        </w:numPr>
        <w:pBdr/>
        <w:tabs>
          <w:tab w:val="left" w:leader="none" w:pos="709"/>
          <w:tab w:val="left" w:leader="none" w:pos="3075"/>
        </w:tabs>
        <w:spacing w:after="240" w:before="360" w:line="280" w:lineRule="atLeast"/>
        <w:ind w:right="-1" w:firstLine="0" w:left="0"/>
        <w:rPr>
          <w:sz w:val="24"/>
          <w:szCs w:val="24"/>
        </w:rPr>
      </w:pPr>
      <w:r>
        <w:rPr>
          <w:b/>
          <w:sz w:val="24"/>
          <w:szCs w:val="24"/>
        </w:rPr>
        <w:t xml:space="preserve">DA AQUISIÇÃO:</w:t>
      </w:r>
      <w:bookmarkStart w:id="3" w:name="_Hlk30147690"/>
      <w:r/>
      <w:bookmarkEnd w:id="2"/>
      <w:r/>
      <w:r>
        <w:rPr>
          <w:sz w:val="24"/>
          <w:szCs w:val="24"/>
        </w:rPr>
      </w:r>
    </w:p>
    <w:p>
      <w:pPr>
        <w:pStyle w:val="995"/>
        <w:widowControl w:val="false"/>
        <w:pBdr>
          <w:top w:val="none" w:color="000000" w:sz="4" w:space="0"/>
          <w:left w:val="none" w:color="000000" w:sz="4" w:space="0"/>
          <w:bottom w:val="none" w:color="000000" w:sz="4" w:space="0"/>
          <w:right w:val="none" w:color="000000" w:sz="4" w:space="0"/>
        </w:pBdr>
        <w:tabs>
          <w:tab w:val="left" w:leader="none" w:pos="704"/>
          <w:tab w:val="left" w:leader="none" w:pos="1418"/>
        </w:tabs>
        <w:spacing w:line="276" w:lineRule="auto"/>
        <w:ind w:right="-1" w:left="0"/>
        <w:contextualSpacing w:val="false"/>
        <w:rPr>
          <w:rFonts w:cs="Arial"/>
          <w:sz w:val="24"/>
          <w:szCs w:val="24"/>
        </w:rPr>
      </w:pPr>
      <w:r>
        <w:rPr>
          <w:sz w:val="24"/>
          <w:szCs w:val="24"/>
        </w:rPr>
        <w:t xml:space="preserve"> </w:t>
      </w:r>
      <w:bookmarkStart w:id="4" w:name="_Hlk165299902"/>
      <w:r>
        <w:rPr>
          <w:rFonts w:cs="Arial"/>
          <w:sz w:val="24"/>
          <w:szCs w:val="24"/>
        </w:rPr>
        <w:t xml:space="preserve">A contratação destes serviços é justificável a fim de garantir a adequada conservação dos veículos, preservando o patrimônio público e contribuindo para o aumento da vida útil da frota municipal.</w:t>
      </w:r>
      <w:r>
        <w:rPr>
          <w:rFonts w:cs="Arial"/>
          <w:sz w:val="24"/>
          <w:szCs w:val="24"/>
        </w:rPr>
      </w:r>
    </w:p>
    <w:p>
      <w:pPr>
        <w:pStyle w:val="995"/>
        <w:widowControl w:val="false"/>
        <w:pBdr>
          <w:top w:val="none" w:color="000000" w:sz="4" w:space="0"/>
          <w:left w:val="none" w:color="000000" w:sz="4" w:space="0"/>
          <w:bottom w:val="none" w:color="000000" w:sz="4" w:space="0"/>
          <w:right w:val="none" w:color="000000" w:sz="4" w:space="0"/>
        </w:pBdr>
        <w:tabs>
          <w:tab w:val="left" w:leader="none" w:pos="704"/>
          <w:tab w:val="left" w:leader="none" w:pos="1418"/>
        </w:tabs>
        <w:spacing w:line="276" w:lineRule="auto"/>
        <w:ind w:right="-1" w:left="0"/>
        <w:contextualSpacing w:val="false"/>
        <w:rPr>
          <w:rFonts w:cs="Arial"/>
          <w:sz w:val="24"/>
          <w:szCs w:val="24"/>
        </w:rPr>
      </w:pPr>
      <w:r>
        <w:rPr>
          <w:rFonts w:cs="Arial"/>
          <w:sz w:val="24"/>
          <w:szCs w:val="24"/>
        </w:rPr>
        <w:tab/>
        <w:t xml:space="preserve">A manutenção periódica e corretiva dos veícul</w:t>
      </w:r>
      <w:r>
        <w:rPr>
          <w:rFonts w:cs="Arial"/>
          <w:sz w:val="24"/>
          <w:szCs w:val="24"/>
        </w:rPr>
        <w:t xml:space="preserve">os é essencial para mantê-los em perfeito estado de funcionamento e segurança, assegurando a continuidade das atividades administrativas, operacionais e institucionais desempenhadas pelas diversas Secretarias e Fundos Municipais. Os veículos são amplamente</w:t>
      </w:r>
      <w:r>
        <w:rPr>
          <w:rFonts w:cs="Arial"/>
          <w:sz w:val="24"/>
          <w:szCs w:val="24"/>
        </w:rPr>
        <w:t xml:space="preserve"> utilizados para deslocamento de servidores, execução de serviços públicos, transporte de equipes técnicas, apoio às atividades de saúde, assistência social, obras, planejamento, meio ambiente, agropecuária e demais ações inerentes à Administração Pública.</w:t>
      </w:r>
      <w:r>
        <w:rPr>
          <w:rFonts w:cs="Arial"/>
          <w:sz w:val="24"/>
          <w:szCs w:val="24"/>
        </w:rPr>
      </w:r>
    </w:p>
    <w:p>
      <w:pPr>
        <w:pStyle w:val="995"/>
        <w:widowControl w:val="false"/>
        <w:pBdr>
          <w:top w:val="none" w:color="000000" w:sz="4" w:space="0"/>
          <w:left w:val="none" w:color="000000" w:sz="4" w:space="0"/>
          <w:bottom w:val="none" w:color="000000" w:sz="4" w:space="0"/>
          <w:right w:val="none" w:color="000000" w:sz="4" w:space="0"/>
        </w:pBdr>
        <w:tabs>
          <w:tab w:val="left" w:leader="none" w:pos="704"/>
          <w:tab w:val="left" w:leader="none" w:pos="1418"/>
        </w:tabs>
        <w:spacing w:line="276" w:lineRule="auto"/>
        <w:ind w:right="-1" w:left="0"/>
        <w:contextualSpacing w:val="false"/>
        <w:rPr>
          <w:rFonts w:cs="Arial"/>
          <w:sz w:val="24"/>
          <w:szCs w:val="24"/>
        </w:rPr>
      </w:pPr>
      <w:r>
        <w:rPr>
          <w:rFonts w:cs="Arial"/>
          <w:sz w:val="24"/>
          <w:szCs w:val="24"/>
        </w:rPr>
        <w:tab/>
        <w:t xml:space="preserve">A ausên</w:t>
      </w:r>
      <w:r>
        <w:rPr>
          <w:rFonts w:cs="Arial"/>
          <w:sz w:val="24"/>
          <w:szCs w:val="24"/>
        </w:rPr>
        <w:t xml:space="preserve">cia de manutenção adequada poderá ocasionar falhas mecânicas, paralisação de veículos, aumento de custos com reparos emergenciais e prejuízos à prestação dos serviços públicos, além de comprometer a segurança dos usuários e servidores que utilizam a frota.</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tabs>
          <w:tab w:val="left" w:leader="none" w:pos="284"/>
        </w:tabs>
        <w:spacing w:after="0" w:before="0"/>
        <w:ind w:left="0"/>
        <w:rPr>
          <w:rFonts w:cs="Arial"/>
          <w:color w:val="000000"/>
          <w:sz w:val="24"/>
          <w:szCs w:val="24"/>
        </w:rPr>
      </w:pPr>
      <w:r>
        <w:rPr>
          <w:rFonts w:cs="Arial"/>
          <w:sz w:val="24"/>
          <w:szCs w:val="24"/>
        </w:rPr>
        <w:tab/>
      </w:r>
      <w:r>
        <w:rPr>
          <w:rFonts w:cs="Arial"/>
          <w:sz w:val="24"/>
          <w:szCs w:val="24"/>
        </w:rPr>
        <w:tab/>
        <w:t xml:space="preserve">Justificamos a Licitação para a aquisição do referido objeto, em conformidade com o previsto em normas legais, os critérios se aplicam no caso em tela, uma vez que, consoante disposto na Lei Federal nº 14.133/21.</w:t>
      </w:r>
      <w:r>
        <w:rPr>
          <w:rFonts w:cs="Arial"/>
          <w:color w:val="000000"/>
          <w:sz w:val="24"/>
          <w:szCs w:val="24"/>
        </w:rPr>
      </w:r>
    </w:p>
    <w:p>
      <w:pPr>
        <w:pBdr/>
        <w:tabs>
          <w:tab w:val="left" w:leader="none" w:pos="284"/>
        </w:tabs>
        <w:spacing/>
        <w:ind/>
        <w:rPr>
          <w:rFonts w:cs="Arial"/>
          <w:sz w:val="24"/>
          <w:szCs w:val="24"/>
        </w:rPr>
      </w:pPr>
      <w:r>
        <w:rPr>
          <w:rFonts w:cs="Arial"/>
          <w:sz w:val="24"/>
          <w:szCs w:val="24"/>
        </w:rPr>
        <w:tab/>
      </w:r>
      <w:r>
        <w:rPr>
          <w:rFonts w:cs="Arial"/>
          <w:sz w:val="24"/>
          <w:szCs w:val="24"/>
        </w:rPr>
        <w:tab/>
        <w:t xml:space="preserve">A contratação do objeto deverá ser precedida de Licitação - </w:t>
      </w:r>
      <w:r>
        <w:rPr>
          <w:rFonts w:cs="Arial"/>
          <w:b/>
          <w:sz w:val="24"/>
          <w:szCs w:val="24"/>
        </w:rPr>
        <w:t xml:space="preserve">Registro de Preço</w:t>
      </w:r>
      <w:r>
        <w:rPr>
          <w:rFonts w:cs="Arial"/>
          <w:sz w:val="24"/>
          <w:szCs w:val="24"/>
        </w:rPr>
        <w:t xml:space="preserve">, na modalidade Pregão Eletrônico, com validade de 12 (doze) meses.</w:t>
      </w:r>
      <w:r>
        <w:rPr>
          <w:rFonts w:cs="Arial"/>
          <w:sz w:val="24"/>
          <w:szCs w:val="24"/>
        </w:rPr>
      </w:r>
    </w:p>
    <w:p>
      <w:pPr>
        <w:pBdr/>
        <w:spacing/>
        <w:ind/>
        <w:rPr>
          <w:b/>
          <w:bCs/>
          <w:sz w:val="24"/>
          <w:szCs w:val="24"/>
        </w:rPr>
      </w:pPr>
      <w:r>
        <w:rPr>
          <w:b/>
          <w:bCs/>
          <w:sz w:val="24"/>
          <w:szCs w:val="24"/>
        </w:rPr>
      </w:r>
      <w:r>
        <w:rPr>
          <w:b/>
          <w:bCs/>
          <w:sz w:val="24"/>
          <w:szCs w:val="24"/>
        </w:rPr>
      </w:r>
    </w:p>
    <w:p>
      <w:pPr>
        <w:pStyle w:val="995"/>
        <w:numPr>
          <w:ilvl w:val="0"/>
          <w:numId w:val="12"/>
        </w:numPr>
        <w:pBdr/>
        <w:spacing/>
        <w:ind w:left="426"/>
        <w:rPr>
          <w:sz w:val="24"/>
          <w:szCs w:val="24"/>
        </w:rPr>
      </w:pPr>
      <w:r>
        <w:rPr>
          <w:b/>
          <w:bCs/>
          <w:sz w:val="24"/>
          <w:szCs w:val="24"/>
        </w:rPr>
        <w:t xml:space="preserve">DO QUANTITATIVO:</w:t>
      </w:r>
      <w:bookmarkStart w:id="5" w:name="_Hlk30414021"/>
      <w:r/>
      <w:bookmarkStart w:id="6" w:name="_Hlk30147736"/>
      <w:r/>
      <w:bookmarkEnd w:id="3"/>
      <w:r/>
      <w:r>
        <w:rPr>
          <w:sz w:val="24"/>
          <w:szCs w:val="24"/>
        </w:rPr>
      </w:r>
    </w:p>
    <w:p>
      <w:pPr>
        <w:pStyle w:val="969"/>
        <w:numPr>
          <w:ilvl w:val="1"/>
          <w:numId w:val="12"/>
        </w:numPr>
        <w:pBdr/>
        <w:tabs>
          <w:tab w:val="left" w:leader="none" w:pos="426"/>
          <w:tab w:val="left" w:leader="none" w:pos="3075"/>
        </w:tabs>
        <w:spacing w:after="240" w:before="360" w:line="280" w:lineRule="atLeast"/>
        <w:ind w:firstLine="0" w:left="0"/>
        <w:rPr>
          <w:sz w:val="24"/>
          <w:szCs w:val="24"/>
        </w:rPr>
      </w:pPr>
      <w:r>
        <w:rPr>
          <w:sz w:val="24"/>
          <w:szCs w:val="24"/>
        </w:rPr>
        <w:t xml:space="preserve">  Os quantitativos apurados tiveram como base a necessidade das </w:t>
      </w:r>
      <w:r>
        <w:rPr>
          <w:b/>
          <w:bCs/>
          <w:sz w:val="24"/>
          <w:szCs w:val="24"/>
        </w:rPr>
        <w:t xml:space="preserve">SECRETARIAS </w:t>
      </w:r>
      <w:r>
        <w:rPr>
          <w:b/>
          <w:bCs/>
          <w:sz w:val="24"/>
          <w:szCs w:val="24"/>
        </w:rPr>
        <w:t xml:space="preserve">E FUNDOS</w:t>
      </w:r>
      <w:r>
        <w:rPr>
          <w:b/>
          <w:bCs/>
          <w:sz w:val="24"/>
          <w:szCs w:val="24"/>
        </w:rPr>
        <w:t xml:space="preserve"> MUNICIPAIS DE RIO DAS FLÔRES</w:t>
      </w:r>
      <w:r>
        <w:rPr>
          <w:sz w:val="24"/>
          <w:szCs w:val="24"/>
        </w:rPr>
        <w:t xml:space="preserve"> em atender as demandas da Frota de Veículos.</w:t>
      </w:r>
      <w:r>
        <w:rPr>
          <w:sz w:val="24"/>
          <w:szCs w:val="24"/>
        </w:rPr>
      </w:r>
    </w:p>
    <w:p>
      <w:pPr>
        <w:pStyle w:val="969"/>
        <w:numPr>
          <w:ilvl w:val="1"/>
          <w:numId w:val="12"/>
        </w:numPr>
        <w:pBdr/>
        <w:tabs>
          <w:tab w:val="left" w:leader="none" w:pos="284"/>
          <w:tab w:val="left" w:leader="none" w:pos="426"/>
          <w:tab w:val="left" w:leader="none" w:pos="3075"/>
        </w:tabs>
        <w:spacing w:after="240" w:before="360" w:line="280" w:lineRule="atLeast"/>
        <w:ind w:firstLine="0" w:left="0"/>
        <w:rPr>
          <w:sz w:val="24"/>
          <w:szCs w:val="24"/>
        </w:rPr>
      </w:pPr>
      <w:r>
        <w:rPr>
          <w:bCs/>
          <w:sz w:val="24"/>
          <w:szCs w:val="24"/>
        </w:rPr>
        <w:t xml:space="preserve">   É obrigação da contratada, executar o serviço do objeto em perfeitas condições, conforme especificações, prazo e local constantes no edital e seus anexos, acompanhando da respectiva nota fiscal</w:t>
      </w:r>
      <w:r>
        <w:rPr>
          <w:sz w:val="24"/>
          <w:szCs w:val="24"/>
        </w:rPr>
        <w:t xml:space="preserve">.</w:t>
      </w:r>
      <w:bookmarkEnd w:id="5"/>
      <w:r/>
      <w:bookmarkEnd w:id="6"/>
      <w:r/>
      <w:r>
        <w:rPr>
          <w:sz w:val="24"/>
          <w:szCs w:val="24"/>
        </w:rPr>
      </w:r>
    </w:p>
    <w:p>
      <w:pPr>
        <w:pStyle w:val="995"/>
        <w:numPr>
          <w:ilvl w:val="0"/>
          <w:numId w:val="12"/>
        </w:numPr>
        <w:pBdr/>
        <w:tabs>
          <w:tab w:val="left" w:leader="none" w:pos="567"/>
        </w:tabs>
        <w:spacing/>
        <w:ind w:firstLine="0" w:left="0"/>
        <w:contextualSpacing w:val="false"/>
        <w:rPr>
          <w:rStyle w:val="953"/>
          <w:color w:val="auto"/>
          <w:sz w:val="24"/>
          <w:szCs w:val="24"/>
          <w:u w:val="none"/>
        </w:rPr>
      </w:pPr>
      <w:r/>
      <w:hyperlink w:tooltip="#ANEXOILOCALENTREGA" w:anchor="ANEXOILOCALENTREGA" w:history="1">
        <w:bookmarkStart w:id="7" w:name="EDITALLOCALENTREGA"/>
        <w:r>
          <w:rPr>
            <w:rStyle w:val="953"/>
            <w:b/>
            <w:color w:val="auto"/>
            <w:sz w:val="24"/>
            <w:szCs w:val="24"/>
            <w:u w:val="none"/>
          </w:rPr>
          <w:t xml:space="preserve">DO PRAZO E LOCAL DE ENTREGA DO OBJETO DA LICITAÇÃO:</w:t>
        </w:r>
      </w:hyperlink>
      <w:r/>
      <w:bookmarkEnd w:id="7"/>
      <w:r/>
      <w:r>
        <w:rPr>
          <w:rStyle w:val="953"/>
          <w:color w:val="auto"/>
          <w:sz w:val="24"/>
          <w:szCs w:val="24"/>
          <w:u w:val="none"/>
        </w:rPr>
      </w:r>
    </w:p>
    <w:p>
      <w:pPr>
        <w:pStyle w:val="995"/>
        <w:numPr>
          <w:ilvl w:val="1"/>
          <w:numId w:val="12"/>
        </w:numPr>
        <w:pBdr>
          <w:top w:val="none" w:color="000000" w:sz="4" w:space="0"/>
          <w:left w:val="none" w:color="000000" w:sz="4" w:space="0"/>
          <w:bottom w:val="none" w:color="000000" w:sz="4" w:space="0"/>
          <w:right w:val="none" w:color="000000" w:sz="4" w:space="0"/>
          <w:between w:val="none" w:color="000000" w:sz="4" w:space="0"/>
        </w:pBdr>
        <w:spacing/>
        <w:ind w:firstLine="0" w:left="0"/>
        <w:rPr>
          <w:rFonts w:cs="Arial"/>
          <w:sz w:val="24"/>
          <w:szCs w:val="24"/>
        </w:rPr>
      </w:pPr>
      <w:r>
        <w:rPr>
          <w:rFonts w:cs="Arial"/>
          <w:sz w:val="24"/>
          <w:szCs w:val="24"/>
        </w:rPr>
        <w:t xml:space="preserve">O objeto desta licitação deverá ser realizado no local onde está instalada a oficina da licitante vencedora, que deverá ser bem estruturada, situada no raio máximo de 20 Km (vinte quilômetros) dos locais onde estão localizados os equipamentos da referida.</w:t>
      </w:r>
      <w:r>
        <w:rPr>
          <w:rFonts w:cs="Arial"/>
          <w:sz w:val="24"/>
          <w:szCs w:val="24"/>
        </w:rPr>
      </w:r>
    </w:p>
    <w:p>
      <w:pPr>
        <w:pStyle w:val="995"/>
        <w:numPr>
          <w:ilvl w:val="1"/>
          <w:numId w:val="12"/>
        </w:numPr>
        <w:pBdr>
          <w:top w:val="none" w:color="000000" w:sz="4" w:space="0"/>
          <w:left w:val="none" w:color="000000" w:sz="4" w:space="0"/>
          <w:bottom w:val="none" w:color="000000" w:sz="4" w:space="0"/>
          <w:right w:val="none" w:color="000000" w:sz="4" w:space="0"/>
          <w:between w:val="none" w:color="000000" w:sz="4" w:space="0"/>
        </w:pBdr>
        <w:spacing/>
        <w:ind w:firstLine="0" w:left="0"/>
        <w:rPr>
          <w:rFonts w:cs="Arial"/>
          <w:sz w:val="24"/>
          <w:szCs w:val="24"/>
        </w:rPr>
      </w:pPr>
      <w:r>
        <w:rPr>
          <w:rFonts w:cs="Arial"/>
          <w:sz w:val="24"/>
          <w:szCs w:val="24"/>
        </w:rPr>
        <w:t xml:space="preserve">Possuir área útil disponível para receber, com segurança, simultaneamente, de no mínimo 03 (três) veículos para manutenção; </w:t>
      </w:r>
      <w:r>
        <w:rPr>
          <w:rFonts w:cs="Arial"/>
          <w:sz w:val="24"/>
          <w:szCs w:val="24"/>
        </w:rPr>
      </w:r>
    </w:p>
    <w:p>
      <w:pPr>
        <w:pStyle w:val="995"/>
        <w:numPr>
          <w:ilvl w:val="1"/>
          <w:numId w:val="12"/>
        </w:numPr>
        <w:pBdr>
          <w:top w:val="none" w:color="000000" w:sz="4" w:space="0"/>
          <w:left w:val="none" w:color="000000" w:sz="4" w:space="0"/>
          <w:bottom w:val="none" w:color="000000" w:sz="4" w:space="0"/>
          <w:right w:val="none" w:color="000000" w:sz="4" w:space="0"/>
          <w:between w:val="none" w:color="000000" w:sz="4" w:space="0"/>
        </w:pBdr>
        <w:spacing/>
        <w:ind w:firstLine="0" w:left="0"/>
        <w:rPr>
          <w:rFonts w:cs="Arial"/>
          <w:sz w:val="24"/>
          <w:szCs w:val="24"/>
        </w:rPr>
      </w:pPr>
      <w:r>
        <w:rPr>
          <w:rFonts w:cs="Arial"/>
          <w:sz w:val="24"/>
          <w:szCs w:val="24"/>
        </w:rPr>
        <w:t xml:space="preserve">Responsabilizar-se pelo veículo/equipamentos entregues para manutenção, obrigando-se a mantê-los seguros contr</w:t>
      </w:r>
      <w:r>
        <w:rPr>
          <w:rFonts w:cs="Arial"/>
          <w:sz w:val="24"/>
          <w:szCs w:val="24"/>
        </w:rPr>
        <w:t xml:space="preserve">a acidentes, desabamentos, vendaval, inundação, incêndios, roubo, furto e outros, assumindo total responsabilidade por quaisquer danos ou prejuízos causados ao município ou a terceiros, quando seus empregados ou prepostos estiverem conduzindo os veículos; </w:t>
      </w:r>
      <w:r>
        <w:rPr>
          <w:rFonts w:cs="Arial"/>
          <w:sz w:val="24"/>
          <w:szCs w:val="24"/>
        </w:rPr>
      </w:r>
    </w:p>
    <w:p>
      <w:pPr>
        <w:pStyle w:val="995"/>
        <w:numPr>
          <w:ilvl w:val="1"/>
          <w:numId w:val="12"/>
        </w:numPr>
        <w:pBdr>
          <w:top w:val="none" w:color="000000" w:sz="4" w:space="0"/>
          <w:left w:val="none" w:color="000000" w:sz="4" w:space="0"/>
          <w:bottom w:val="none" w:color="000000" w:sz="4" w:space="0"/>
          <w:right w:val="none" w:color="000000" w:sz="4" w:space="0"/>
          <w:between w:val="none" w:color="000000" w:sz="4" w:space="0"/>
        </w:pBdr>
        <w:spacing/>
        <w:ind w:firstLine="0" w:left="0"/>
        <w:rPr>
          <w:rFonts w:cs="Arial"/>
          <w:sz w:val="24"/>
          <w:szCs w:val="24"/>
        </w:rPr>
      </w:pPr>
      <w:r>
        <w:rPr>
          <w:rFonts w:cs="Arial"/>
          <w:sz w:val="24"/>
          <w:szCs w:val="24"/>
        </w:rPr>
        <w:t xml:space="preserve">Possuir os recursos essenciais para que os serviços prestados tenham a técnica/qualidade/presteza exigida para os padrões do fabricante dos veículos.</w:t>
      </w:r>
      <w:r>
        <w:rPr>
          <w:rFonts w:cs="Arial"/>
          <w:sz w:val="24"/>
          <w:szCs w:val="24"/>
        </w:rPr>
      </w:r>
    </w:p>
    <w:p>
      <w:pPr>
        <w:pStyle w:val="995"/>
        <w:numPr>
          <w:ilvl w:val="1"/>
          <w:numId w:val="12"/>
        </w:numPr>
        <w:pBdr>
          <w:top w:val="none" w:color="000000" w:sz="4" w:space="0"/>
          <w:left w:val="none" w:color="000000" w:sz="4" w:space="0"/>
          <w:bottom w:val="none" w:color="000000" w:sz="4" w:space="0"/>
          <w:right w:val="none" w:color="000000" w:sz="4" w:space="0"/>
          <w:between w:val="none" w:color="000000" w:sz="4" w:space="0"/>
        </w:pBdr>
        <w:spacing/>
        <w:ind w:firstLine="0" w:left="0"/>
        <w:rPr>
          <w:rFonts w:cs="Arial"/>
          <w:sz w:val="24"/>
          <w:szCs w:val="24"/>
        </w:rPr>
      </w:pPr>
      <w:r>
        <w:rPr>
          <w:b/>
          <w:sz w:val="24"/>
          <w:szCs w:val="24"/>
        </w:rPr>
        <w:t xml:space="preserve">Não haverá previsão de diferenciação de preços para entregas em locais diferentes.</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360" w:lineRule="auto"/>
        <w:ind w:left="390"/>
        <w:rPr>
          <w:rFonts w:cs="Arial"/>
          <w:sz w:val="24"/>
          <w:szCs w:val="24"/>
        </w:rPr>
      </w:pPr>
      <w:r>
        <w:rPr>
          <w:rFonts w:cs="Arial"/>
          <w:sz w:val="24"/>
          <w:szCs w:val="24"/>
        </w:rPr>
      </w:r>
      <w:r>
        <w:rPr>
          <w:rFonts w:cs="Arial"/>
          <w:sz w:val="24"/>
          <w:szCs w:val="24"/>
        </w:rPr>
      </w:r>
    </w:p>
    <w:p>
      <w:pPr>
        <w:pStyle w:val="995"/>
        <w:numPr>
          <w:ilvl w:val="0"/>
          <w:numId w:val="12"/>
        </w:numPr>
        <w:pBdr>
          <w:top w:val="none" w:color="000000" w:sz="4" w:space="0"/>
          <w:left w:val="none" w:color="000000" w:sz="4" w:space="0"/>
          <w:bottom w:val="none" w:color="000000" w:sz="4" w:space="0"/>
          <w:right w:val="none" w:color="000000" w:sz="4" w:space="0"/>
          <w:between w:val="none" w:color="000000" w:sz="4" w:space="0"/>
        </w:pBdr>
        <w:spacing w:after="0" w:before="0" w:line="360" w:lineRule="auto"/>
        <w:ind w:firstLine="0" w:left="0"/>
        <w:rPr>
          <w:rFonts w:cs="Arial"/>
          <w:b/>
          <w:sz w:val="24"/>
          <w:szCs w:val="24"/>
        </w:rPr>
      </w:pPr>
      <w:r>
        <w:rPr>
          <w:rFonts w:cs="Arial"/>
          <w:b/>
          <w:sz w:val="24"/>
          <w:szCs w:val="24"/>
        </w:rPr>
        <w:t xml:space="preserve">DAS REGRAS PARA RECEBIMENTOS PROVISÓRIO E DEFINITIVO, QUANDO FOR O CASO</w:t>
      </w:r>
      <w:r>
        <w:rPr>
          <w:rFonts w:cs="Arial"/>
          <w:sz w:val="24"/>
          <w:szCs w:val="24"/>
        </w:rPr>
        <w:t xml:space="preserve"> (</w:t>
      </w:r>
      <w:r>
        <w:rPr>
          <w:rFonts w:cs="Arial"/>
          <w:sz w:val="24"/>
          <w:szCs w:val="24"/>
        </w:rPr>
        <w:t xml:space="preserve">ART. 40, §1º, II DA LEI 14.133/21)</w:t>
      </w:r>
      <w:r>
        <w:rPr>
          <w:rFonts w:cs="Arial"/>
          <w:b/>
          <w:sz w:val="24"/>
          <w:szCs w:val="24"/>
        </w:rPr>
      </w:r>
    </w:p>
    <w:p>
      <w:pPr>
        <w:pBdr>
          <w:top w:val="none" w:color="000000" w:sz="4" w:space="0"/>
          <w:left w:val="none" w:color="000000" w:sz="4" w:space="0"/>
          <w:bottom w:val="none" w:color="000000" w:sz="4" w:space="0"/>
          <w:right w:val="none" w:color="000000" w:sz="4" w:space="0"/>
          <w:between w:val="none" w:color="000000" w:sz="4" w:space="0"/>
        </w:pBdr>
        <w:spacing w:after="0" w:before="0" w:line="360" w:lineRule="auto"/>
        <w:ind/>
        <w:rPr>
          <w:rFonts w:cs="Arial"/>
          <w:b/>
          <w:bCs/>
          <w:sz w:val="24"/>
          <w:szCs w:val="24"/>
        </w:rPr>
      </w:pPr>
      <w:r>
        <w:rPr>
          <w:rFonts w:cs="Arial"/>
          <w:b/>
          <w:bCs/>
          <w:sz w:val="24"/>
          <w:szCs w:val="24"/>
        </w:rPr>
      </w:r>
      <w:r>
        <w:rPr>
          <w:rFonts w:cs="Arial"/>
          <w:b/>
          <w:bCs/>
          <w:sz w:val="24"/>
          <w:szCs w:val="24"/>
        </w:rPr>
      </w:r>
    </w:p>
    <w:p>
      <w:pPr>
        <w:pStyle w:val="995"/>
        <w:numPr>
          <w:ilvl w:val="1"/>
          <w:numId w:val="12"/>
        </w:numPr>
        <w:pBdr>
          <w:top w:val="none" w:color="000000" w:sz="4" w:space="0"/>
          <w:left w:val="none" w:color="000000" w:sz="4" w:space="0"/>
          <w:bottom w:val="none" w:color="000000" w:sz="4" w:space="0"/>
          <w:right w:val="none" w:color="000000" w:sz="4" w:space="0"/>
          <w:between w:val="none" w:color="000000" w:sz="4" w:space="0"/>
        </w:pBdr>
        <w:spacing w:after="0" w:before="0" w:line="360" w:lineRule="auto"/>
        <w:ind w:firstLine="0" w:left="0"/>
        <w:rPr>
          <w:rFonts w:cs="Arial"/>
          <w:b/>
          <w:sz w:val="24"/>
          <w:szCs w:val="24"/>
        </w:rPr>
      </w:pPr>
      <w:r>
        <w:rPr>
          <w:rFonts w:cs="Arial"/>
          <w:sz w:val="24"/>
          <w:szCs w:val="24"/>
        </w:rPr>
        <w:t xml:space="preserve">Em se tratando de </w:t>
      </w:r>
      <w:r>
        <w:rPr>
          <w:rFonts w:cs="Arial"/>
          <w:b/>
          <w:sz w:val="24"/>
          <w:szCs w:val="24"/>
        </w:rPr>
        <w:t xml:space="preserve">compras ou de locação de equipamentos (art. 140, inciso I, alíneas “a” e “b”, Lei Federal 14.133/2021):</w:t>
      </w:r>
      <w:r>
        <w:rPr>
          <w:rFonts w:cs="Arial"/>
          <w:b/>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360" w:lineRule="auto"/>
        <w:ind w:left="0"/>
        <w:rPr>
          <w:rFonts w:cs="Arial"/>
          <w:b/>
          <w:sz w:val="24"/>
          <w:szCs w:val="24"/>
        </w:rPr>
      </w:pPr>
      <w:r>
        <w:rPr>
          <w:rFonts w:cs="Arial"/>
          <w:b/>
          <w:sz w:val="24"/>
          <w:szCs w:val="24"/>
        </w:rPr>
      </w:r>
      <w:r>
        <w:rPr>
          <w:rFonts w:cs="Arial"/>
          <w:b/>
          <w:sz w:val="24"/>
          <w:szCs w:val="24"/>
        </w:rPr>
      </w:r>
    </w:p>
    <w:p>
      <w:pPr>
        <w:pStyle w:val="995"/>
        <w:numPr>
          <w:ilvl w:val="2"/>
          <w:numId w:val="12"/>
        </w:numPr>
        <w:pBdr>
          <w:top w:val="none" w:color="000000" w:sz="4" w:space="0"/>
          <w:left w:val="none" w:color="000000" w:sz="4" w:space="0"/>
          <w:bottom w:val="none" w:color="000000" w:sz="4" w:space="0"/>
          <w:right w:val="none" w:color="000000" w:sz="4" w:space="0"/>
          <w:between w:val="none" w:color="000000" w:sz="4" w:space="0"/>
        </w:pBdr>
        <w:spacing w:after="0" w:before="0" w:line="360" w:lineRule="auto"/>
        <w:ind w:firstLine="0" w:left="0"/>
        <w:rPr>
          <w:rFonts w:cs="Arial"/>
          <w:b/>
          <w:sz w:val="24"/>
          <w:szCs w:val="24"/>
        </w:rPr>
      </w:pPr>
      <w:r>
        <w:rPr>
          <w:rFonts w:cs="Arial"/>
          <w:b/>
          <w:sz w:val="24"/>
          <w:szCs w:val="24"/>
        </w:rPr>
        <w:t xml:space="preserve">PROVISORIAMENTE</w:t>
      </w:r>
      <w:r>
        <w:rPr>
          <w:rFonts w:cs="Arial"/>
          <w:i/>
          <w:sz w:val="24"/>
          <w:szCs w:val="24"/>
        </w:rPr>
        <w:t xml:space="preserve">,</w:t>
      </w:r>
      <w:r>
        <w:rPr>
          <w:rFonts w:cs="Arial"/>
          <w:sz w:val="24"/>
          <w:szCs w:val="24"/>
        </w:rPr>
        <w:t xml:space="preserve"> de forma sumária, pelo responsável por seu acompanhamento e fiscalização, com verificação posterior da conformidade do material com as exigências contratuais;</w:t>
      </w:r>
      <w:r>
        <w:rPr>
          <w:rFonts w:cs="Arial"/>
          <w:b/>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360" w:lineRule="auto"/>
        <w:ind w:left="0"/>
        <w:rPr>
          <w:rFonts w:cs="Arial"/>
          <w:b/>
          <w:sz w:val="24"/>
          <w:szCs w:val="24"/>
        </w:rPr>
      </w:pPr>
      <w:r>
        <w:rPr>
          <w:rFonts w:cs="Arial"/>
          <w:b/>
          <w:sz w:val="24"/>
          <w:szCs w:val="24"/>
        </w:rPr>
      </w:r>
      <w:r>
        <w:rPr>
          <w:rFonts w:cs="Arial"/>
          <w:b/>
          <w:sz w:val="24"/>
          <w:szCs w:val="24"/>
        </w:rPr>
      </w:r>
    </w:p>
    <w:p>
      <w:pPr>
        <w:pStyle w:val="995"/>
        <w:numPr>
          <w:ilvl w:val="2"/>
          <w:numId w:val="12"/>
        </w:numPr>
        <w:pBdr>
          <w:top w:val="none" w:color="000000" w:sz="4" w:space="0"/>
          <w:left w:val="none" w:color="000000" w:sz="4" w:space="0"/>
          <w:bottom w:val="none" w:color="000000" w:sz="4" w:space="0"/>
          <w:right w:val="none" w:color="000000" w:sz="4" w:space="0"/>
          <w:between w:val="none" w:color="000000" w:sz="4" w:space="0"/>
        </w:pBdr>
        <w:spacing w:after="0" w:before="0" w:line="360" w:lineRule="auto"/>
        <w:ind w:firstLine="0" w:left="0"/>
        <w:rPr>
          <w:rFonts w:cs="Arial"/>
          <w:b/>
          <w:sz w:val="24"/>
          <w:szCs w:val="24"/>
        </w:rPr>
      </w:pPr>
      <w:r>
        <w:rPr>
          <w:rFonts w:cs="Arial"/>
          <w:b/>
          <w:sz w:val="24"/>
          <w:szCs w:val="24"/>
        </w:rPr>
        <w:t xml:space="preserve">DEFINITIVAMENTE</w:t>
      </w:r>
      <w:r>
        <w:rPr>
          <w:rFonts w:cs="Arial"/>
          <w:i/>
          <w:sz w:val="24"/>
          <w:szCs w:val="24"/>
        </w:rPr>
        <w:t xml:space="preserve">, </w:t>
      </w:r>
      <w:r>
        <w:rPr>
          <w:rFonts w:cs="Arial"/>
          <w:sz w:val="24"/>
          <w:szCs w:val="24"/>
        </w:rPr>
        <w:t xml:space="preserve">definitivamente, por servidor ou comissão designada pela autoridade competente, mediante termo detalhado que comprove o atendimento das exigências contratuais.</w:t>
      </w:r>
      <w:r>
        <w:rPr>
          <w:rFonts w:cs="Arial"/>
          <w:b/>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b/>
          <w:sz w:val="24"/>
          <w:szCs w:val="24"/>
        </w:rPr>
      </w:pPr>
      <w:r>
        <w:rPr>
          <w:rFonts w:cs="Arial"/>
          <w:b/>
          <w:sz w:val="24"/>
          <w:szCs w:val="24"/>
        </w:rPr>
        <w:t xml:space="preserve">Obs</w:t>
      </w:r>
      <w:r>
        <w:rPr>
          <w:rFonts w:cs="Arial"/>
          <w:b/>
          <w:sz w:val="24"/>
          <w:szCs w:val="24"/>
        </w:rPr>
        <w:t xml:space="preserve">¹</w:t>
      </w:r>
      <w:r>
        <w:rPr>
          <w:rFonts w:cs="Arial"/>
          <w:sz w:val="24"/>
          <w:szCs w:val="24"/>
        </w:rPr>
        <w:t xml:space="preserve">:  O</w:t>
      </w:r>
      <w:r>
        <w:rPr>
          <w:rFonts w:cs="Arial"/>
          <w:sz w:val="24"/>
          <w:szCs w:val="24"/>
        </w:rPr>
        <w:t xml:space="preserve">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cs="Arial"/>
          <w:b/>
          <w:sz w:val="24"/>
          <w:szCs w:val="24"/>
        </w:rPr>
        <w:t xml:space="preserve">art. 140, inciso II, § 2º, Lei Federal 14.133/2021).</w:t>
      </w:r>
      <w:r>
        <w:rPr>
          <w:rFonts w:cs="Arial"/>
          <w:b/>
          <w:sz w:val="24"/>
          <w:szCs w:val="24"/>
        </w:rPr>
      </w:r>
    </w:p>
    <w:p>
      <w:pPr>
        <w:pStyle w:val="995"/>
        <w:numPr>
          <w:ilvl w:val="1"/>
          <w:numId w:val="12"/>
        </w:numPr>
        <w:pBdr/>
        <w:tabs>
          <w:tab w:val="left" w:leader="none" w:pos="567"/>
        </w:tabs>
        <w:spacing w:line="280" w:lineRule="atLeast"/>
        <w:ind w:firstLine="0" w:left="0"/>
        <w:contextualSpacing w:val="false"/>
        <w:rPr>
          <w:sz w:val="24"/>
          <w:szCs w:val="24"/>
          <w:u w:val="single"/>
        </w:rPr>
      </w:pPr>
      <w:r>
        <w:rPr>
          <w:sz w:val="24"/>
          <w:szCs w:val="24"/>
        </w:rPr>
        <w:t xml:space="preserve">Correrá</w:t>
      </w:r>
      <w:r>
        <w:rPr>
          <w:spacing w:val="68"/>
          <w:sz w:val="24"/>
          <w:szCs w:val="24"/>
        </w:rPr>
        <w:t xml:space="preserve"> </w:t>
      </w:r>
      <w:r>
        <w:rPr>
          <w:sz w:val="24"/>
          <w:szCs w:val="24"/>
        </w:rPr>
        <w:t xml:space="preserve">por</w:t>
      </w:r>
      <w:r>
        <w:rPr>
          <w:spacing w:val="69"/>
          <w:sz w:val="24"/>
          <w:szCs w:val="24"/>
        </w:rPr>
        <w:t xml:space="preserve"> </w:t>
      </w:r>
      <w:r>
        <w:rPr>
          <w:sz w:val="24"/>
          <w:szCs w:val="24"/>
        </w:rPr>
        <w:t xml:space="preserve">conta exclusiva do estabelecimento contratado, sem qualquer</w:t>
      </w:r>
      <w:r>
        <w:rPr>
          <w:spacing w:val="1"/>
          <w:sz w:val="24"/>
          <w:szCs w:val="24"/>
        </w:rPr>
        <w:t xml:space="preserve"> </w:t>
      </w:r>
      <w:r>
        <w:rPr>
          <w:sz w:val="24"/>
          <w:szCs w:val="24"/>
        </w:rPr>
        <w:t xml:space="preserve">ônus</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a</w:t>
      </w:r>
      <w:r>
        <w:rPr>
          <w:spacing w:val="1"/>
          <w:sz w:val="24"/>
          <w:szCs w:val="24"/>
        </w:rPr>
        <w:t xml:space="preserve"> </w:t>
      </w:r>
      <w:r>
        <w:rPr>
          <w:b/>
          <w:sz w:val="24"/>
          <w:szCs w:val="24"/>
        </w:rPr>
        <w:t xml:space="preserve">CONTRATANTE</w:t>
      </w:r>
      <w:r>
        <w:rPr>
          <w:sz w:val="24"/>
          <w:szCs w:val="24"/>
        </w:rPr>
        <w:t xml:space="preserve">,</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execução</w:t>
      </w:r>
      <w:r>
        <w:rPr>
          <w:spacing w:val="1"/>
          <w:sz w:val="24"/>
          <w:szCs w:val="24"/>
        </w:rPr>
        <w:t xml:space="preserve"> </w:t>
      </w:r>
      <w:r>
        <w:rPr>
          <w:sz w:val="24"/>
          <w:szCs w:val="24"/>
        </w:rPr>
        <w:t xml:space="preserve">dos</w:t>
      </w:r>
      <w:r>
        <w:rPr>
          <w:spacing w:val="1"/>
          <w:sz w:val="24"/>
          <w:szCs w:val="24"/>
        </w:rPr>
        <w:t xml:space="preserve"> </w:t>
      </w:r>
      <w:r>
        <w:rPr>
          <w:sz w:val="24"/>
          <w:szCs w:val="24"/>
        </w:rPr>
        <w:t xml:space="preserve">serviços</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serem</w:t>
      </w:r>
      <w:r>
        <w:rPr>
          <w:spacing w:val="1"/>
          <w:sz w:val="24"/>
          <w:szCs w:val="24"/>
        </w:rPr>
        <w:t xml:space="preserve"> </w:t>
      </w:r>
      <w:r>
        <w:rPr>
          <w:sz w:val="24"/>
          <w:szCs w:val="24"/>
        </w:rPr>
        <w:t xml:space="preserve">prestados,</w:t>
      </w:r>
      <w:r>
        <w:rPr>
          <w:spacing w:val="68"/>
          <w:sz w:val="24"/>
          <w:szCs w:val="24"/>
        </w:rPr>
        <w:t xml:space="preserve"> </w:t>
      </w:r>
      <w:r>
        <w:rPr>
          <w:sz w:val="24"/>
          <w:szCs w:val="24"/>
        </w:rPr>
        <w:t xml:space="preserve">conforme</w:t>
      </w:r>
      <w:r>
        <w:rPr>
          <w:spacing w:val="69"/>
          <w:sz w:val="24"/>
          <w:szCs w:val="24"/>
        </w:rPr>
        <w:t xml:space="preserve"> </w:t>
      </w:r>
      <w:r>
        <w:rPr>
          <w:sz w:val="24"/>
          <w:szCs w:val="24"/>
        </w:rPr>
        <w:t xml:space="preserve">normas</w:t>
      </w:r>
      <w:r>
        <w:rPr>
          <w:spacing w:val="1"/>
          <w:sz w:val="24"/>
          <w:szCs w:val="24"/>
        </w:rPr>
        <w:t xml:space="preserve"> </w:t>
      </w:r>
      <w:r>
        <w:rPr>
          <w:sz w:val="24"/>
          <w:szCs w:val="24"/>
        </w:rPr>
        <w:t xml:space="preserve">definidas</w:t>
      </w:r>
      <w:r>
        <w:rPr>
          <w:spacing w:val="47"/>
          <w:sz w:val="24"/>
          <w:szCs w:val="24"/>
        </w:rPr>
        <w:t xml:space="preserve"> </w:t>
      </w:r>
      <w:r>
        <w:rPr>
          <w:sz w:val="24"/>
          <w:szCs w:val="24"/>
        </w:rPr>
        <w:t xml:space="preserve">neste</w:t>
      </w:r>
      <w:r>
        <w:rPr>
          <w:spacing w:val="46"/>
          <w:sz w:val="24"/>
          <w:szCs w:val="24"/>
        </w:rPr>
        <w:t xml:space="preserve"> </w:t>
      </w:r>
      <w:r>
        <w:rPr>
          <w:sz w:val="24"/>
          <w:szCs w:val="24"/>
        </w:rPr>
        <w:t xml:space="preserve">contrato</w:t>
      </w:r>
      <w:r>
        <w:rPr>
          <w:spacing w:val="47"/>
          <w:sz w:val="24"/>
          <w:szCs w:val="24"/>
        </w:rPr>
        <w:t xml:space="preserve"> </w:t>
      </w:r>
      <w:r>
        <w:rPr>
          <w:sz w:val="24"/>
          <w:szCs w:val="24"/>
        </w:rPr>
        <w:t xml:space="preserve">os</w:t>
      </w:r>
      <w:r>
        <w:rPr>
          <w:spacing w:val="47"/>
          <w:sz w:val="24"/>
          <w:szCs w:val="24"/>
        </w:rPr>
        <w:t xml:space="preserve"> </w:t>
      </w:r>
      <w:r>
        <w:rPr>
          <w:sz w:val="24"/>
          <w:szCs w:val="24"/>
        </w:rPr>
        <w:t xml:space="preserve">quais</w:t>
      </w:r>
      <w:r>
        <w:rPr>
          <w:spacing w:val="47"/>
          <w:sz w:val="24"/>
          <w:szCs w:val="24"/>
        </w:rPr>
        <w:t xml:space="preserve"> </w:t>
      </w:r>
      <w:r>
        <w:rPr>
          <w:sz w:val="24"/>
          <w:szCs w:val="24"/>
        </w:rPr>
        <w:t xml:space="preserve">serão</w:t>
      </w:r>
      <w:r>
        <w:rPr>
          <w:spacing w:val="47"/>
          <w:sz w:val="24"/>
          <w:szCs w:val="24"/>
        </w:rPr>
        <w:t xml:space="preserve"> </w:t>
      </w:r>
      <w:r>
        <w:rPr>
          <w:sz w:val="24"/>
          <w:szCs w:val="24"/>
        </w:rPr>
        <w:t xml:space="preserve">prestados</w:t>
      </w:r>
      <w:r>
        <w:rPr>
          <w:spacing w:val="47"/>
          <w:sz w:val="24"/>
          <w:szCs w:val="24"/>
        </w:rPr>
        <w:t xml:space="preserve"> </w:t>
      </w:r>
      <w:r>
        <w:rPr>
          <w:sz w:val="24"/>
          <w:szCs w:val="24"/>
        </w:rPr>
        <w:t xml:space="preserve">de</w:t>
      </w:r>
      <w:r>
        <w:rPr>
          <w:spacing w:val="46"/>
          <w:sz w:val="24"/>
          <w:szCs w:val="24"/>
        </w:rPr>
        <w:t xml:space="preserve"> </w:t>
      </w:r>
      <w:r>
        <w:rPr>
          <w:sz w:val="24"/>
          <w:szCs w:val="24"/>
        </w:rPr>
        <w:t xml:space="preserve">acordo</w:t>
      </w:r>
      <w:r>
        <w:rPr>
          <w:spacing w:val="47"/>
          <w:sz w:val="24"/>
          <w:szCs w:val="24"/>
        </w:rPr>
        <w:t xml:space="preserve"> </w:t>
      </w:r>
      <w:r>
        <w:rPr>
          <w:sz w:val="24"/>
          <w:szCs w:val="24"/>
        </w:rPr>
        <w:t xml:space="preserve">com</w:t>
      </w:r>
      <w:r>
        <w:rPr>
          <w:spacing w:val="47"/>
          <w:sz w:val="24"/>
          <w:szCs w:val="24"/>
        </w:rPr>
        <w:t xml:space="preserve"> </w:t>
      </w:r>
      <w:r>
        <w:rPr>
          <w:sz w:val="24"/>
          <w:szCs w:val="24"/>
        </w:rPr>
        <w:t xml:space="preserve">os</w:t>
      </w:r>
      <w:r>
        <w:rPr>
          <w:spacing w:val="47"/>
          <w:sz w:val="24"/>
          <w:szCs w:val="24"/>
        </w:rPr>
        <w:t xml:space="preserve"> </w:t>
      </w:r>
      <w:r>
        <w:rPr>
          <w:sz w:val="24"/>
          <w:szCs w:val="24"/>
        </w:rPr>
        <w:t xml:space="preserve">critérios</w:t>
      </w:r>
      <w:r>
        <w:rPr>
          <w:spacing w:val="48"/>
          <w:sz w:val="24"/>
          <w:szCs w:val="24"/>
        </w:rPr>
        <w:t xml:space="preserve"> </w:t>
      </w:r>
      <w:r>
        <w:rPr>
          <w:sz w:val="24"/>
          <w:szCs w:val="24"/>
        </w:rPr>
        <w:t xml:space="preserve">de</w:t>
      </w:r>
      <w:r>
        <w:rPr>
          <w:spacing w:val="46"/>
          <w:sz w:val="24"/>
          <w:szCs w:val="24"/>
        </w:rPr>
        <w:t xml:space="preserve"> </w:t>
      </w:r>
      <w:r>
        <w:rPr>
          <w:sz w:val="24"/>
          <w:szCs w:val="24"/>
        </w:rPr>
        <w:t xml:space="preserve">oportunidade</w:t>
      </w:r>
      <w:r>
        <w:rPr>
          <w:spacing w:val="46"/>
          <w:sz w:val="24"/>
          <w:szCs w:val="24"/>
        </w:rPr>
        <w:t xml:space="preserve"> </w:t>
      </w:r>
      <w:r>
        <w:rPr>
          <w:sz w:val="24"/>
          <w:szCs w:val="24"/>
        </w:rPr>
        <w:t xml:space="preserve">e conveniência</w:t>
      </w:r>
      <w:r>
        <w:rPr>
          <w:spacing w:val="1"/>
          <w:sz w:val="24"/>
          <w:szCs w:val="24"/>
        </w:rPr>
        <w:t xml:space="preserve"> </w:t>
      </w:r>
      <w:r>
        <w:rPr>
          <w:sz w:val="24"/>
          <w:szCs w:val="24"/>
        </w:rPr>
        <w:t xml:space="preserve">estabelecidos</w:t>
      </w:r>
      <w:r>
        <w:rPr>
          <w:spacing w:val="1"/>
          <w:sz w:val="24"/>
          <w:szCs w:val="24"/>
        </w:rPr>
        <w:t xml:space="preserve"> </w:t>
      </w:r>
      <w:r>
        <w:rPr>
          <w:sz w:val="24"/>
          <w:szCs w:val="24"/>
        </w:rPr>
        <w:t xml:space="preserve">por cada </w:t>
      </w:r>
      <w:r>
        <w:rPr>
          <w:b/>
          <w:bCs/>
          <w:sz w:val="24"/>
          <w:szCs w:val="24"/>
        </w:rPr>
        <w:t xml:space="preserve">Secretaria Demandante</w:t>
      </w:r>
      <w:r>
        <w:rPr>
          <w:sz w:val="24"/>
          <w:szCs w:val="24"/>
        </w:rPr>
        <w:t xml:space="preserve"> que emitirá prévia</w:t>
      </w:r>
      <w:r>
        <w:rPr>
          <w:spacing w:val="1"/>
          <w:sz w:val="24"/>
          <w:szCs w:val="24"/>
        </w:rPr>
        <w:t xml:space="preserve"> </w:t>
      </w:r>
      <w:r>
        <w:rPr>
          <w:sz w:val="24"/>
          <w:szCs w:val="24"/>
        </w:rPr>
        <w:t xml:space="preserve">autorização,</w:t>
      </w:r>
      <w:r>
        <w:rPr>
          <w:spacing w:val="1"/>
          <w:sz w:val="24"/>
          <w:szCs w:val="24"/>
        </w:rPr>
        <w:t xml:space="preserve"> </w:t>
      </w:r>
      <w:r>
        <w:rPr>
          <w:sz w:val="24"/>
          <w:szCs w:val="24"/>
        </w:rPr>
        <w:t xml:space="preserve">por escrito,</w:t>
      </w:r>
      <w:r>
        <w:rPr>
          <w:spacing w:val="1"/>
          <w:sz w:val="24"/>
          <w:szCs w:val="24"/>
        </w:rPr>
        <w:t xml:space="preserve"> </w:t>
      </w:r>
      <w:r>
        <w:rPr>
          <w:sz w:val="24"/>
          <w:szCs w:val="24"/>
        </w:rPr>
        <w:t xml:space="preserve">para aludida execução.</w:t>
      </w:r>
      <w:r>
        <w:rPr>
          <w:sz w:val="24"/>
          <w:szCs w:val="24"/>
          <w:u w:val="single"/>
        </w:rPr>
      </w:r>
    </w:p>
    <w:p>
      <w:pPr>
        <w:pStyle w:val="995"/>
        <w:numPr>
          <w:ilvl w:val="1"/>
          <w:numId w:val="12"/>
        </w:numPr>
        <w:pBdr/>
        <w:tabs>
          <w:tab w:val="left" w:leader="none" w:pos="567"/>
        </w:tabs>
        <w:spacing w:line="280" w:lineRule="atLeast"/>
        <w:ind w:firstLine="0" w:left="0"/>
        <w:contextualSpacing w:val="false"/>
        <w:rPr>
          <w:sz w:val="24"/>
          <w:szCs w:val="24"/>
          <w:u w:val="single"/>
        </w:rPr>
      </w:pPr>
      <w:r>
        <w:rPr>
          <w:b/>
          <w:sz w:val="24"/>
          <w:szCs w:val="24"/>
        </w:rPr>
        <w:t xml:space="preserve">O objeto deverá ser executado em conformidade com Termo de Referência, designados por cada SECRETARIA DEMANDANTE, com prioridade no atendimento, tendo em vista o Interesse Público </w:t>
      </w:r>
      <w:r>
        <w:rPr>
          <w:sz w:val="24"/>
          <w:szCs w:val="24"/>
        </w:rPr>
        <w:t xml:space="preserve">e obedecer exatamente à especificação constante do </w:t>
      </w:r>
      <w:r>
        <w:rPr>
          <w:b/>
          <w:sz w:val="24"/>
          <w:szCs w:val="24"/>
        </w:rPr>
        <w:t xml:space="preserve">TERMO DE REFERÊNCIA (ANEXO I)</w:t>
      </w:r>
      <w:r>
        <w:rPr>
          <w:sz w:val="24"/>
          <w:szCs w:val="24"/>
        </w:rPr>
        <w:t xml:space="preserve"> deste PREGÃO ELETRÔNICO e na proposta da licitante vencedora.</w:t>
      </w:r>
      <w:r>
        <w:rPr>
          <w:sz w:val="24"/>
          <w:szCs w:val="24"/>
          <w:u w:val="single"/>
        </w:rPr>
      </w:r>
    </w:p>
    <w:p>
      <w:pPr>
        <w:pStyle w:val="995"/>
        <w:numPr>
          <w:ilvl w:val="0"/>
          <w:numId w:val="12"/>
        </w:numPr>
        <w:pBdr/>
        <w:spacing w:after="240" w:before="480" w:line="280" w:lineRule="atLeast"/>
        <w:ind w:firstLine="0" w:left="0"/>
        <w:contextualSpacing w:val="false"/>
        <w:rPr>
          <w:rStyle w:val="953"/>
          <w:color w:val="auto"/>
          <w:sz w:val="24"/>
          <w:szCs w:val="24"/>
          <w:u w:val="none"/>
        </w:rPr>
      </w:pPr>
      <w:r/>
      <w:hyperlink w:tooltip="#ANEXOIFISCALIZAÇÃO" w:anchor="ANEXOIFISCALIZAÇÃO" w:history="1">
        <w:bookmarkStart w:id="8" w:name="EDITALFISCALIZAÇÃO"/>
        <w:r>
          <w:rPr>
            <w:rStyle w:val="953"/>
            <w:b/>
            <w:color w:val="auto"/>
            <w:sz w:val="24"/>
            <w:szCs w:val="24"/>
            <w:u w:val="none"/>
          </w:rPr>
          <w:t xml:space="preserve">ACOMPANHAMENTO E FISCALIZAÇÃO:</w:t>
        </w:r>
      </w:hyperlink>
      <w:r/>
      <w:bookmarkEnd w:id="8"/>
      <w:r/>
      <w:r>
        <w:rPr>
          <w:rStyle w:val="953"/>
          <w:color w:val="auto"/>
          <w:sz w:val="24"/>
          <w:szCs w:val="24"/>
          <w:u w:val="none"/>
        </w:rPr>
      </w:r>
    </w:p>
    <w:p>
      <w:pPr>
        <w:pStyle w:val="995"/>
        <w:numPr>
          <w:ilvl w:val="1"/>
          <w:numId w:val="12"/>
        </w:numPr>
        <w:pBdr/>
        <w:tabs>
          <w:tab w:val="left" w:leader="none" w:pos="567"/>
        </w:tabs>
        <w:spacing w:after="240" w:before="480" w:line="280" w:lineRule="atLeast"/>
        <w:ind w:firstLine="0" w:left="0"/>
        <w:contextualSpacing w:val="false"/>
        <w:rPr>
          <w:sz w:val="24"/>
          <w:szCs w:val="24"/>
        </w:rPr>
      </w:pPr>
      <w:r>
        <w:rPr>
          <w:sz w:val="24"/>
          <w:szCs w:val="24"/>
        </w:rPr>
        <w:t xml:space="preserve">A execução do contrato deverá ser acompanhada e fiscalizada por 01 (um) ou mais fiscais do contrato, representantes da Administração especialmente designados conforme requisitos estabelecidos no </w:t>
      </w:r>
      <w:hyperlink r:id="rId15" w:tooltip="https://www.planalto.gov.br/ccivil_03/_ato2019-2022/2021/lei/L14133.htm?origin=instituicao#art7" w:anchor="art7" w:history="1">
        <w:r>
          <w:rPr>
            <w:sz w:val="24"/>
            <w:szCs w:val="24"/>
            <w:u w:val="single"/>
          </w:rPr>
          <w:t xml:space="preserve">art. 7º, Lei</w:t>
        </w:r>
      </w:hyperlink>
      <w:r>
        <w:rPr>
          <w:sz w:val="24"/>
          <w:szCs w:val="24"/>
          <w:u w:val="single"/>
        </w:rPr>
        <w:t xml:space="preserve"> Federal nº 14.133/2021</w:t>
      </w:r>
      <w:r>
        <w:rPr>
          <w:sz w:val="24"/>
          <w:szCs w:val="24"/>
        </w:rPr>
        <w:t xml:space="preserve">, ou pelos respectivos substitutos, permitida a contratação de terceiros para assisti-los e subsidiá-los com informações pertinentes a essa atribuição:</w:t>
      </w:r>
      <w:r>
        <w:rPr>
          <w:sz w:val="24"/>
          <w:szCs w:val="24"/>
        </w:rPr>
      </w:r>
    </w:p>
    <w:tbl>
      <w:tblPr>
        <w:tblInd w:w="-241" w:type="dxa"/>
        <w:tblW w:w="9753" w:type="dxa"/>
        <w:tblCellMar>
          <w:left w:w="55" w:type="dxa"/>
          <w:top w:w="55" w:type="dxa"/>
          <w:right w:w="55" w:type="dxa"/>
          <w:bottom w:w="55" w:type="dxa"/>
        </w:tblCellMar>
        <w:tblBorders/>
        <w:tblLayout w:type="fixed"/>
        <w:tblLook w:val="04A0" w:firstRow="1" w:lastRow="0" w:firstColumn="1" w:lastColumn="0" w:noHBand="0" w:noVBand="1"/>
      </w:tblPr>
      <w:tblGrid>
        <w:gridCol w:w="2048"/>
        <w:gridCol w:w="3869"/>
        <w:gridCol w:w="3836"/>
      </w:tblGrid>
      <w:tr>
        <w:trPr>
          <w:trHeight w:val="253"/>
        </w:trPr>
        <w:tc>
          <w:tcPr>
            <w:tcBorders>
              <w:top w:val="single" w:color="000000" w:sz="4" w:space="0"/>
              <w:left w:val="single" w:color="000000" w:sz="4" w:space="0"/>
            </w:tcBorders>
            <w:tcW w:w="2049" w:type="dxa"/>
            <w:textDirection w:val="lrTb"/>
            <w:noWrap w:val="false"/>
          </w:tcPr>
          <w:p>
            <w:pPr>
              <w:pStyle w:val="1172"/>
              <w:pBdr/>
              <w:spacing/>
              <w:ind/>
              <w:jc w:val="center"/>
              <w:rPr>
                <w:rFonts w:ascii="Arial" w:hAnsi="Arial" w:cs="Arial"/>
                <w:b/>
                <w:sz w:val="22"/>
              </w:rPr>
            </w:pPr>
            <w:r>
              <w:rPr>
                <w:rFonts w:ascii="Arial" w:hAnsi="Arial" w:cs="Arial"/>
                <w:b/>
                <w:sz w:val="22"/>
              </w:rPr>
              <w:t xml:space="preserve">Secretarias</w:t>
            </w:r>
            <w:r>
              <w:rPr>
                <w:rFonts w:ascii="Arial" w:hAnsi="Arial" w:cs="Arial"/>
                <w:b/>
                <w:sz w:val="22"/>
              </w:rPr>
            </w:r>
          </w:p>
        </w:tc>
        <w:tc>
          <w:tcPr>
            <w:tcBorders>
              <w:top w:val="single" w:color="000000" w:sz="4" w:space="0"/>
              <w:left w:val="single" w:color="000000" w:sz="4" w:space="0"/>
            </w:tcBorders>
            <w:tcW w:w="3869" w:type="dxa"/>
            <w:textDirection w:val="lrTb"/>
            <w:noWrap w:val="false"/>
          </w:tcPr>
          <w:p>
            <w:pPr>
              <w:pStyle w:val="1172"/>
              <w:pBdr/>
              <w:spacing/>
              <w:ind/>
              <w:jc w:val="center"/>
              <w:rPr>
                <w:rFonts w:ascii="Arial" w:hAnsi="Arial" w:cs="Arial"/>
                <w:b/>
                <w:sz w:val="22"/>
              </w:rPr>
            </w:pPr>
            <w:r>
              <w:rPr>
                <w:rFonts w:ascii="Arial" w:hAnsi="Arial" w:cs="Arial"/>
                <w:b/>
                <w:sz w:val="22"/>
              </w:rPr>
              <w:t xml:space="preserve">Gestor do Contrato</w:t>
            </w:r>
            <w:r>
              <w:rPr>
                <w:rFonts w:ascii="Arial" w:hAnsi="Arial" w:cs="Arial"/>
                <w:b/>
                <w:sz w:val="22"/>
              </w:rPr>
            </w:r>
          </w:p>
        </w:tc>
        <w:tc>
          <w:tcPr>
            <w:tcBorders>
              <w:top w:val="single" w:color="000000" w:sz="4" w:space="0"/>
              <w:left w:val="single" w:color="000000" w:sz="4" w:space="0"/>
              <w:bottom w:val="single" w:color="000000" w:sz="4" w:space="0"/>
              <w:right w:val="single" w:color="000000" w:sz="4" w:space="0"/>
            </w:tcBorders>
            <w:tcW w:w="3836" w:type="dxa"/>
            <w:textDirection w:val="lrTb"/>
            <w:noWrap w:val="false"/>
          </w:tcPr>
          <w:p>
            <w:pPr>
              <w:pStyle w:val="1172"/>
              <w:pBdr/>
              <w:spacing/>
              <w:ind/>
              <w:jc w:val="center"/>
              <w:rPr>
                <w:rFonts w:ascii="Arial" w:hAnsi="Arial" w:cs="Arial"/>
                <w:b/>
                <w:sz w:val="22"/>
              </w:rPr>
            </w:pPr>
            <w:r>
              <w:rPr>
                <w:rFonts w:ascii="Arial" w:hAnsi="Arial" w:cs="Arial"/>
                <w:b/>
                <w:sz w:val="22"/>
              </w:rPr>
              <w:t xml:space="preserve">Fiscal do Contrato</w:t>
            </w:r>
            <w:r>
              <w:rPr>
                <w:rFonts w:ascii="Arial" w:hAnsi="Arial" w:cs="Arial"/>
                <w:b/>
                <w:sz w:val="22"/>
              </w:rPr>
            </w:r>
          </w:p>
        </w:tc>
      </w:tr>
      <w:tr>
        <w:trPr>
          <w:trHeight w:val="253"/>
        </w:trPr>
        <w:tc>
          <w:tcPr>
            <w:tcBorders>
              <w:left w:val="single" w:color="000000" w:sz="4" w:space="0"/>
            </w:tcBorders>
            <w:tcW w:w="2049" w:type="dxa"/>
            <w:textDirection w:val="lrTb"/>
            <w:noWrap w:val="false"/>
          </w:tcPr>
          <w:p>
            <w:pPr>
              <w:pStyle w:val="1172"/>
              <w:pBdr/>
              <w:spacing/>
              <w:ind/>
              <w:jc w:val="center"/>
              <w:rPr>
                <w:rFonts w:ascii="Arial" w:hAnsi="Arial"/>
              </w:rPr>
            </w:pPr>
            <w:r>
              <w:rPr>
                <w:rFonts w:ascii="Arial" w:hAnsi="Arial"/>
              </w:rPr>
              <w:t xml:space="preserve">Governo</w:t>
            </w:r>
            <w:r>
              <w:rPr>
                <w:rFonts w:ascii="Arial" w:hAnsi="Arial"/>
              </w:rPr>
            </w:r>
          </w:p>
        </w:tc>
        <w:tc>
          <w:tcPr>
            <w:tcBorders>
              <w:left w:val="single" w:color="000000" w:sz="4" w:space="0"/>
              <w:right w:val="single" w:color="000000" w:sz="4" w:space="0"/>
            </w:tcBorders>
            <w:tcW w:w="3869" w:type="dxa"/>
            <w:textDirection w:val="lrTb"/>
            <w:noWrap w:val="false"/>
          </w:tcPr>
          <w:p>
            <w:pPr>
              <w:pStyle w:val="1172"/>
              <w:pBdr/>
              <w:spacing/>
              <w:ind/>
              <w:jc w:val="center"/>
              <w:rPr>
                <w:rFonts w:ascii="Arial" w:hAnsi="Arial"/>
              </w:rPr>
            </w:pPr>
            <w:r>
              <w:rPr>
                <w:rFonts w:ascii="Arial" w:hAnsi="Arial"/>
              </w:rPr>
              <w:t xml:space="preserve">Mário </w:t>
            </w:r>
            <w:r>
              <w:rPr>
                <w:rFonts w:ascii="Arial" w:hAnsi="Arial"/>
              </w:rPr>
              <w:t xml:space="preserve">Vasconcellos  Fernandes</w:t>
            </w:r>
            <w:r>
              <w:rPr>
                <w:rFonts w:ascii="Arial" w:hAnsi="Arial"/>
              </w:rPr>
            </w:r>
          </w:p>
        </w:tc>
        <w:tc>
          <w:tcPr>
            <w:tcBorders>
              <w:top w:val="single" w:color="000000" w:sz="4" w:space="0"/>
              <w:left w:val="single" w:color="000000" w:sz="4" w:space="0"/>
              <w:right w:val="single" w:color="000000" w:sz="4" w:space="0"/>
            </w:tcBorders>
            <w:tcW w:w="3836" w:type="dxa"/>
            <w:vMerge w:val="restart"/>
            <w:textDirection w:val="lrTb"/>
            <w:noWrap w:val="false"/>
          </w:tcPr>
          <w:p>
            <w:pPr>
              <w:pStyle w:val="1172"/>
              <w:pBdr/>
              <w:spacing/>
              <w:ind/>
              <w:jc w:val="center"/>
              <w:rPr>
                <w:rFonts w:ascii="Arial" w:hAnsi="Arial"/>
              </w:rPr>
            </w:pPr>
            <w:r>
              <w:rPr>
                <w:rFonts w:ascii="Arial" w:hAnsi="Arial"/>
              </w:rPr>
              <w:t xml:space="preserve">Bruno Aquino</w:t>
            </w:r>
            <w:r>
              <w:rPr>
                <w:rFonts w:ascii="Arial" w:hAnsi="Arial"/>
              </w:rPr>
            </w:r>
          </w:p>
          <w:p>
            <w:pPr>
              <w:pStyle w:val="1172"/>
              <w:pBdr/>
              <w:spacing/>
              <w:ind/>
              <w:jc w:val="center"/>
              <w:rPr>
                <w:rFonts w:ascii="Arial" w:hAnsi="Arial"/>
              </w:rPr>
            </w:pPr>
            <w:r>
              <w:rPr>
                <w:rFonts w:ascii="Arial" w:hAnsi="Arial"/>
              </w:rPr>
            </w:r>
            <w:r>
              <w:rPr>
                <w:rFonts w:ascii="Arial" w:hAnsi="Arial"/>
              </w:rPr>
            </w:r>
          </w:p>
          <w:p>
            <w:pPr>
              <w:pStyle w:val="1172"/>
              <w:pBdr/>
              <w:spacing/>
              <w:ind/>
              <w:jc w:val="center"/>
              <w:rPr>
                <w:rFonts w:ascii="Arial" w:hAnsi="Arial"/>
              </w:rPr>
            </w:pPr>
            <w:r>
              <w:rPr>
                <w:rFonts w:ascii="Arial" w:hAnsi="Arial"/>
              </w:rPr>
              <w:t xml:space="preserve">José Justino Arcanjo</w:t>
            </w:r>
            <w:r>
              <w:rPr>
                <w:rFonts w:ascii="Arial" w:hAnsi="Arial"/>
              </w:rPr>
            </w:r>
          </w:p>
          <w:p>
            <w:pPr>
              <w:pStyle w:val="1172"/>
              <w:pBdr/>
              <w:spacing/>
              <w:ind/>
              <w:jc w:val="center"/>
              <w:rPr>
                <w:rFonts w:ascii="Arial" w:hAnsi="Arial"/>
              </w:rPr>
            </w:pPr>
            <w:r>
              <w:rPr>
                <w:rFonts w:ascii="Arial" w:hAnsi="Arial"/>
              </w:rPr>
            </w:r>
            <w:r>
              <w:rPr>
                <w:rFonts w:ascii="Arial" w:hAnsi="Arial"/>
              </w:rPr>
            </w:r>
          </w:p>
          <w:p>
            <w:pPr>
              <w:pStyle w:val="1172"/>
              <w:pBdr/>
              <w:spacing/>
              <w:ind/>
              <w:jc w:val="center"/>
              <w:rPr>
                <w:rFonts w:ascii="Arial" w:hAnsi="Arial" w:cs="Arial"/>
              </w:rPr>
            </w:pPr>
            <w:r>
              <w:rPr>
                <w:rFonts w:ascii="Arial" w:hAnsi="Arial" w:eastAsia="Arial" w:cs="Arial"/>
                <w:highlight w:val="none"/>
              </w:rPr>
              <w:t xml:space="preserve">Marllon de Almeida Pinto</w:t>
            </w:r>
            <w:r>
              <w:rPr>
                <w:rFonts w:ascii="Arial" w:hAnsi="Arial" w:cs="Arial"/>
              </w:rPr>
            </w:r>
            <w:r>
              <w:rPr>
                <w:rFonts w:ascii="Arial" w:hAnsi="Arial" w:cs="Arial"/>
              </w:rPr>
            </w:r>
          </w:p>
          <w:p>
            <w:pPr>
              <w:pStyle w:val="1172"/>
              <w:pBdr/>
              <w:spacing/>
              <w:ind/>
              <w:jc w:val="center"/>
              <w:rPr>
                <w:rFonts w:ascii="Arial" w:hAnsi="Arial"/>
              </w:rPr>
            </w:pPr>
            <w:r>
              <w:rPr>
                <w:rFonts w:ascii="Arial" w:hAnsi="Arial"/>
              </w:rPr>
            </w:r>
            <w:r>
              <w:rPr>
                <w:rFonts w:ascii="Arial" w:hAnsi="Arial"/>
              </w:rPr>
            </w:r>
          </w:p>
          <w:p>
            <w:pPr>
              <w:pStyle w:val="1172"/>
              <w:pBdr/>
              <w:spacing/>
              <w:ind/>
              <w:jc w:val="center"/>
              <w:rPr>
                <w:rFonts w:ascii="Arial" w:hAnsi="Arial"/>
              </w:rPr>
            </w:pPr>
            <w:r>
              <w:rPr>
                <w:rFonts w:ascii="Arial" w:hAnsi="Arial"/>
              </w:rPr>
              <w:t xml:space="preserve">Paulo Afonso Tavares Júnior</w:t>
            </w:r>
            <w:r>
              <w:rPr>
                <w:rFonts w:ascii="Arial" w:hAnsi="Arial"/>
              </w:rPr>
            </w:r>
          </w:p>
          <w:p>
            <w:pPr>
              <w:pStyle w:val="1172"/>
              <w:pBdr/>
              <w:spacing/>
              <w:ind/>
              <w:jc w:val="center"/>
              <w:rPr>
                <w:rFonts w:ascii="Arial" w:hAnsi="Arial"/>
              </w:rPr>
            </w:pPr>
            <w:r>
              <w:rPr>
                <w:rFonts w:ascii="Arial" w:hAnsi="Arial"/>
              </w:rPr>
            </w:r>
            <w:r>
              <w:rPr>
                <w:rFonts w:ascii="Arial" w:hAnsi="Arial"/>
              </w:rPr>
            </w:r>
          </w:p>
          <w:p>
            <w:pPr>
              <w:pStyle w:val="1172"/>
              <w:pBdr/>
              <w:spacing/>
              <w:ind/>
              <w:jc w:val="center"/>
              <w:rPr>
                <w:rFonts w:ascii="Arial" w:hAnsi="Arial"/>
              </w:rPr>
            </w:pPr>
            <w:r>
              <w:rPr>
                <w:rFonts w:ascii="Arial" w:hAnsi="Arial"/>
              </w:rPr>
            </w:r>
            <w:r>
              <w:rPr>
                <w:rFonts w:ascii="Arial" w:hAnsi="Arial"/>
              </w:rPr>
            </w:r>
          </w:p>
        </w:tc>
      </w:tr>
      <w:tr>
        <w:trPr>
          <w:trHeight w:val="253"/>
        </w:trPr>
        <w:tc>
          <w:tcPr>
            <w:tcBorders>
              <w:left w:val="single" w:color="000000" w:sz="4" w:space="0"/>
            </w:tcBorders>
            <w:tcW w:w="2049" w:type="dxa"/>
            <w:textDirection w:val="lrTb"/>
            <w:noWrap w:val="false"/>
          </w:tcPr>
          <w:p>
            <w:pPr>
              <w:pStyle w:val="1172"/>
              <w:pBdr/>
              <w:spacing/>
              <w:ind/>
              <w:jc w:val="center"/>
              <w:rPr>
                <w:rFonts w:ascii="Arial" w:hAnsi="Arial"/>
              </w:rPr>
            </w:pPr>
            <w:r>
              <w:rPr>
                <w:rFonts w:ascii="Arial" w:hAnsi="Arial"/>
              </w:rPr>
              <w:t xml:space="preserve">Agropecuária</w:t>
            </w:r>
            <w:r>
              <w:rPr>
                <w:rFonts w:ascii="Arial" w:hAnsi="Arial"/>
              </w:rPr>
            </w:r>
          </w:p>
        </w:tc>
        <w:tc>
          <w:tcPr>
            <w:tcBorders>
              <w:left w:val="single" w:color="000000" w:sz="4" w:space="0"/>
              <w:right w:val="single" w:color="000000" w:sz="4" w:space="0"/>
            </w:tcBorders>
            <w:tcW w:w="3869" w:type="dxa"/>
            <w:textDirection w:val="lrTb"/>
            <w:noWrap w:val="false"/>
          </w:tcPr>
          <w:p>
            <w:pPr>
              <w:pBdr/>
              <w:spacing/>
              <w:ind/>
              <w:jc w:val="center"/>
              <w:rPr>
                <w:rFonts w:cs="Arial"/>
                <w:sz w:val="24"/>
                <w:szCs w:val="24"/>
              </w:rPr>
            </w:pPr>
            <w:r>
              <w:rPr>
                <w:rFonts w:cs="Arial"/>
                <w:sz w:val="24"/>
                <w:szCs w:val="24"/>
              </w:rPr>
              <w:t xml:space="preserve">Márcio Navarro Machado</w:t>
            </w:r>
            <w:r>
              <w:rPr>
                <w:rFonts w:cs="Arial"/>
                <w:sz w:val="24"/>
                <w:szCs w:val="24"/>
              </w:rPr>
            </w:r>
          </w:p>
        </w:tc>
        <w:tc>
          <w:tcPr>
            <w:tcBorders>
              <w:left w:val="single" w:color="000000" w:sz="4" w:space="0"/>
              <w:right w:val="single" w:color="000000" w:sz="4" w:space="0"/>
            </w:tcBorders>
            <w:tcW w:w="3836" w:type="dxa"/>
            <w:vMerge w:val="continue"/>
            <w:textDirection w:val="lrTb"/>
            <w:noWrap w:val="false"/>
          </w:tcPr>
          <w:p>
            <w:pPr>
              <w:pBdr/>
              <w:spacing/>
              <w:ind/>
              <w:rPr/>
            </w:pPr>
            <w:r/>
            <w:r/>
          </w:p>
        </w:tc>
      </w:tr>
      <w:tr>
        <w:trPr>
          <w:trHeight w:val="253"/>
        </w:trPr>
        <w:tc>
          <w:tcPr>
            <w:tcBorders>
              <w:left w:val="single" w:color="000000" w:sz="4" w:space="0"/>
              <w:bottom w:val="single" w:color="000000" w:sz="4" w:space="0"/>
            </w:tcBorders>
            <w:tcW w:w="2049" w:type="dxa"/>
            <w:textDirection w:val="lrTb"/>
            <w:noWrap w:val="false"/>
          </w:tcPr>
          <w:p>
            <w:pPr>
              <w:pStyle w:val="1172"/>
              <w:pBdr/>
              <w:spacing/>
              <w:ind/>
              <w:jc w:val="center"/>
              <w:rPr>
                <w:rFonts w:ascii="Arial" w:hAnsi="Arial"/>
              </w:rPr>
            </w:pPr>
            <w:r>
              <w:rPr>
                <w:rFonts w:ascii="Arial" w:hAnsi="Arial"/>
              </w:rPr>
              <w:t xml:space="preserve">Assistência Social</w:t>
            </w:r>
            <w:r>
              <w:rPr>
                <w:rFonts w:ascii="Arial" w:hAnsi="Arial"/>
              </w:rPr>
            </w:r>
          </w:p>
        </w:tc>
        <w:tc>
          <w:tcPr>
            <w:tcBorders>
              <w:left w:val="single" w:color="000000" w:sz="4" w:space="0"/>
              <w:bottom w:val="single" w:color="000000" w:sz="4" w:space="0"/>
              <w:right w:val="single" w:color="000000" w:sz="4" w:space="0"/>
            </w:tcBorders>
            <w:tcW w:w="3869" w:type="dxa"/>
            <w:textDirection w:val="lrTb"/>
            <w:noWrap w:val="false"/>
          </w:tcPr>
          <w:p>
            <w:pPr>
              <w:pStyle w:val="1172"/>
              <w:pBdr/>
              <w:spacing/>
              <w:ind/>
              <w:jc w:val="center"/>
              <w:rPr>
                <w:rFonts w:ascii="Arial" w:hAnsi="Arial"/>
              </w:rPr>
            </w:pPr>
            <w:r>
              <w:rPr>
                <w:rFonts w:ascii="Arial" w:hAnsi="Arial"/>
              </w:rPr>
              <w:t xml:space="preserve">João Paulo Resende Cardoso</w:t>
            </w:r>
            <w:r>
              <w:rPr>
                <w:rFonts w:ascii="Arial" w:hAnsi="Arial"/>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rPr>
            </w:pPr>
            <w:r>
              <w:rPr>
                <w:rFonts w:ascii="Arial" w:hAnsi="Arial"/>
              </w:rPr>
              <w:t xml:space="preserve">Habitação</w:t>
            </w:r>
            <w:r>
              <w:rPr>
                <w:rFonts w:ascii="Arial" w:hAnsi="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cs="Arial"/>
                <w:sz w:val="24"/>
                <w:szCs w:val="24"/>
              </w:rPr>
              <w:t xml:space="preserve">Bruno Luís Silva de Andrade </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rPr>
            </w:pPr>
            <w:r>
              <w:rPr>
                <w:rFonts w:ascii="Arial" w:hAnsi="Arial"/>
              </w:rPr>
              <w:t xml:space="preserve">Obras</w:t>
            </w:r>
            <w:r>
              <w:rPr>
                <w:rFonts w:ascii="Arial" w:hAnsi="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cs="Arial"/>
                <w:sz w:val="24"/>
                <w:szCs w:val="24"/>
              </w:rPr>
              <w:t xml:space="preserve">Marco Antônio de Almeida</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rPr>
            </w:pPr>
            <w:r>
              <w:rPr>
                <w:rFonts w:ascii="Arial" w:hAnsi="Arial"/>
              </w:rPr>
              <w:t xml:space="preserve">Planejamento</w:t>
            </w:r>
            <w:r>
              <w:rPr>
                <w:rFonts w:ascii="Arial" w:hAnsi="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cs="Arial"/>
                <w:sz w:val="24"/>
                <w:szCs w:val="24"/>
              </w:rPr>
              <w:t xml:space="preserve">Telma Oliveira de Almeida</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rPr>
            </w:pPr>
            <w:r>
              <w:rPr>
                <w:rFonts w:ascii="Arial" w:hAnsi="Arial"/>
              </w:rPr>
              <w:t xml:space="preserve">Saúde</w:t>
            </w:r>
            <w:r>
              <w:rPr>
                <w:rFonts w:ascii="Arial" w:hAnsi="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cs="Arial"/>
                <w:sz w:val="24"/>
                <w:szCs w:val="24"/>
              </w:rPr>
              <w:t xml:space="preserve">Renata Santana de Almeida</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rPr>
            </w:pPr>
            <w:r>
              <w:rPr>
                <w:rFonts w:ascii="Arial" w:hAnsi="Arial"/>
              </w:rPr>
              <w:t xml:space="preserve">Socio</w:t>
            </w:r>
            <w:r>
              <w:rPr>
                <w:rFonts w:ascii="Arial" w:hAnsi="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cs="Arial"/>
                <w:sz w:val="24"/>
                <w:szCs w:val="24"/>
              </w:rPr>
              <w:t xml:space="preserve">Mauro Victor dos Santos</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bl>
    <w:p>
      <w:pPr>
        <w:pStyle w:val="1158"/>
        <w:numPr>
          <w:ilvl w:val="1"/>
          <w:numId w:val="12"/>
        </w:numPr>
        <w:pBdr/>
        <w:tabs>
          <w:tab w:val="left" w:leader="none" w:pos="426"/>
        </w:tabs>
        <w:spacing/>
        <w:ind w:firstLine="0" w:left="0"/>
        <w:rPr>
          <w:i w:val="0"/>
          <w:color w:val="auto"/>
          <w:sz w:val="24"/>
          <w:szCs w:val="24"/>
          <w:u w:val="single"/>
        </w:rPr>
      </w:pPr>
      <w:r>
        <w:rPr>
          <w:i w:val="0"/>
          <w:color w:val="auto"/>
          <w:sz w:val="24"/>
          <w:szCs w:val="24"/>
        </w:rPr>
        <w:t xml:space="preserve">    O(s) mesmo(s) ficará(</w:t>
      </w:r>
      <w:r>
        <w:rPr>
          <w:i w:val="0"/>
          <w:color w:val="auto"/>
          <w:sz w:val="24"/>
          <w:szCs w:val="24"/>
        </w:rPr>
        <w:t xml:space="preserve">ão</w:t>
      </w:r>
      <w:r>
        <w:rPr>
          <w:i w:val="0"/>
          <w:color w:val="auto"/>
          <w:sz w:val="24"/>
          <w:szCs w:val="24"/>
        </w:rPr>
        <w:t xml:space="preserve">) responsável(</w:t>
      </w:r>
      <w:r>
        <w:rPr>
          <w:i w:val="0"/>
          <w:color w:val="auto"/>
          <w:sz w:val="24"/>
          <w:szCs w:val="24"/>
        </w:rPr>
        <w:t xml:space="preserve">is</w:t>
      </w:r>
      <w:r>
        <w:rPr>
          <w:i w:val="0"/>
          <w:color w:val="auto"/>
          <w:sz w:val="24"/>
          <w:szCs w:val="24"/>
        </w:rPr>
        <w:t xml:space="preserve">) em atestar no documento fiscal correspondente a entrega do(s) produto(s) na(s) condição(</w:t>
      </w:r>
      <w:r>
        <w:rPr>
          <w:i w:val="0"/>
          <w:color w:val="auto"/>
          <w:sz w:val="24"/>
          <w:szCs w:val="24"/>
        </w:rPr>
        <w:t xml:space="preserve">ões</w:t>
      </w:r>
      <w:r>
        <w:rPr>
          <w:i w:val="0"/>
          <w:color w:val="auto"/>
          <w:sz w:val="24"/>
          <w:szCs w:val="24"/>
        </w:rPr>
        <w:t xml:space="preserve">) exigida(s). Não serão permitida</w:t>
      </w:r>
      <w:r>
        <w:rPr>
          <w:i w:val="0"/>
          <w:color w:val="auto"/>
          <w:sz w:val="24"/>
          <w:szCs w:val="24"/>
        </w:rPr>
        <w:t xml:space="preserve">s a substituição dos produtos ofertados, que em função de outra especificação, outras marcas, etc. Caso os produtos estejam em desacordo com o solicitado, os mesmos deverão ser substituídos dentro do prazo de fiscalização sem ônus para o órgão solicitante;</w:t>
      </w:r>
      <w:r>
        <w:rPr>
          <w:i w:val="0"/>
          <w:color w:val="auto"/>
          <w:sz w:val="24"/>
          <w:szCs w:val="24"/>
          <w:u w:val="single"/>
        </w:rPr>
      </w:r>
    </w:p>
    <w:p>
      <w:pPr>
        <w:pStyle w:val="995"/>
        <w:numPr>
          <w:ilvl w:val="1"/>
          <w:numId w:val="12"/>
        </w:numPr>
        <w:pBdr/>
        <w:tabs>
          <w:tab w:val="left" w:leader="none" w:pos="0"/>
          <w:tab w:val="left" w:leader="none" w:pos="709"/>
          <w:tab w:val="left" w:leader="none" w:pos="851"/>
        </w:tabs>
        <w:spacing w:line="280" w:lineRule="atLeast"/>
        <w:ind w:firstLine="0" w:left="0"/>
        <w:contextualSpacing w:val="false"/>
        <w:rPr>
          <w:sz w:val="24"/>
          <w:szCs w:val="24"/>
        </w:rPr>
      </w:pPr>
      <w:r>
        <w:rPr>
          <w:sz w:val="24"/>
          <w:szCs w:val="24"/>
        </w:rPr>
        <w:t xml:space="preserve">O(s) objeto(s) deverá(</w:t>
      </w:r>
      <w:r>
        <w:rPr>
          <w:sz w:val="24"/>
          <w:szCs w:val="24"/>
        </w:rPr>
        <w:t xml:space="preserve">ão</w:t>
      </w:r>
      <w:r>
        <w:rPr>
          <w:sz w:val="24"/>
          <w:szCs w:val="24"/>
        </w:rPr>
        <w:t xml:space="preserve">) estar(em) devidamente embalado(s), indicando a MARCA, constando visivelmente em etiqueta externa a especificação, quantidade e a validade do(s) material(</w:t>
      </w:r>
      <w:r>
        <w:rPr>
          <w:sz w:val="24"/>
          <w:szCs w:val="24"/>
        </w:rPr>
        <w:t xml:space="preserve">is</w:t>
      </w:r>
      <w:r>
        <w:rPr>
          <w:sz w:val="24"/>
          <w:szCs w:val="24"/>
        </w:rPr>
        <w:t xml:space="preserve">), </w:t>
      </w:r>
      <w:r>
        <w:rPr>
          <w:b/>
          <w:sz w:val="24"/>
          <w:szCs w:val="24"/>
        </w:rPr>
        <w:t xml:space="preserve">quando for o caso</w:t>
      </w:r>
      <w:r>
        <w:rPr>
          <w:sz w:val="24"/>
          <w:szCs w:val="24"/>
        </w:rPr>
        <w:t xml:space="preserve">, o que será verificado no ato da entrega;</w:t>
      </w:r>
      <w:r>
        <w:rPr>
          <w:sz w:val="24"/>
          <w:szCs w:val="24"/>
        </w:rPr>
      </w:r>
    </w:p>
    <w:p>
      <w:pPr>
        <w:pStyle w:val="995"/>
        <w:numPr>
          <w:ilvl w:val="1"/>
          <w:numId w:val="12"/>
        </w:numPr>
        <w:pBdr/>
        <w:tabs>
          <w:tab w:val="left" w:leader="none" w:pos="0"/>
          <w:tab w:val="left" w:leader="none" w:pos="709"/>
        </w:tabs>
        <w:spacing w:line="280" w:lineRule="atLeast"/>
        <w:ind w:firstLine="0" w:left="0"/>
        <w:contextualSpacing w:val="false"/>
        <w:rPr>
          <w:sz w:val="24"/>
          <w:szCs w:val="24"/>
        </w:rPr>
      </w:pPr>
      <w:r>
        <w:rPr>
          <w:rFonts w:cs="Arial"/>
          <w:color w:val="000000"/>
          <w:sz w:val="24"/>
          <w:szCs w:val="24"/>
        </w:rPr>
        <w:t xml:space="preserve">O</w:t>
      </w:r>
      <w:r>
        <w:rPr>
          <w:rFonts w:cs="Arial"/>
          <w:color w:val="000000"/>
          <w:sz w:val="24"/>
          <w:szCs w:val="24"/>
        </w:rPr>
        <w:t xml:space="preserve"> contratado será obrigado a reparar, corrigir, remover, reconstruir ou substituir, a suas expensas, no total ou em parte, o objeto do contrato em que se verificarem vícios, defeitos ou incorreções resultantes de sua execução ou de materiais nela empregados</w:t>
      </w:r>
      <w:r>
        <w:rPr>
          <w:sz w:val="24"/>
          <w:szCs w:val="24"/>
        </w:rPr>
        <w:t xml:space="preserve">;</w:t>
      </w:r>
      <w:r>
        <w:rPr>
          <w:sz w:val="24"/>
          <w:szCs w:val="24"/>
        </w:rPr>
      </w:r>
    </w:p>
    <w:p>
      <w:pPr>
        <w:pStyle w:val="995"/>
        <w:numPr>
          <w:ilvl w:val="1"/>
          <w:numId w:val="12"/>
        </w:numPr>
        <w:pBdr/>
        <w:tabs>
          <w:tab w:val="left" w:leader="none" w:pos="0"/>
        </w:tabs>
        <w:spacing w:line="280" w:lineRule="atLeast"/>
        <w:ind w:firstLine="0" w:left="0"/>
        <w:contextualSpacing w:val="false"/>
        <w:rPr>
          <w:sz w:val="24"/>
          <w:szCs w:val="24"/>
        </w:rPr>
      </w:pPr>
      <w:r>
        <w:rPr>
          <w:sz w:val="24"/>
          <w:szCs w:val="24"/>
        </w:rPr>
        <w:t xml:space="preserve">A execução dos serviços abrangerá o(s) local(</w:t>
      </w:r>
      <w:r>
        <w:rPr>
          <w:sz w:val="24"/>
          <w:szCs w:val="24"/>
        </w:rPr>
        <w:t xml:space="preserve">is</w:t>
      </w:r>
      <w:r>
        <w:rPr>
          <w:sz w:val="24"/>
          <w:szCs w:val="24"/>
        </w:rPr>
        <w:t xml:space="preserve">) indicados, por conta e risco do adjudicatário;</w:t>
      </w:r>
      <w:r>
        <w:rPr>
          <w:sz w:val="24"/>
          <w:szCs w:val="24"/>
        </w:rPr>
      </w:r>
    </w:p>
    <w:p>
      <w:pPr>
        <w:pStyle w:val="995"/>
        <w:numPr>
          <w:ilvl w:val="1"/>
          <w:numId w:val="12"/>
        </w:numPr>
        <w:pBdr/>
        <w:tabs>
          <w:tab w:val="left" w:leader="none" w:pos="0"/>
          <w:tab w:val="left" w:leader="none" w:pos="851"/>
        </w:tabs>
        <w:spacing w:line="280" w:lineRule="atLeast"/>
        <w:ind w:firstLine="0" w:left="0"/>
        <w:contextualSpacing w:val="false"/>
        <w:rPr>
          <w:sz w:val="24"/>
          <w:szCs w:val="24"/>
        </w:rPr>
      </w:pPr>
      <w:r>
        <w:rPr>
          <w:sz w:val="24"/>
          <w:szCs w:val="24"/>
        </w:rPr>
        <w:t xml:space="preserve">A recusa de qualquer </w:t>
      </w:r>
      <w:r>
        <w:rPr>
          <w:b/>
          <w:sz w:val="24"/>
          <w:szCs w:val="24"/>
          <w:u w:val="single"/>
        </w:rPr>
        <w:t xml:space="preserve">objeto(s) desta licitação</w:t>
      </w:r>
      <w:r>
        <w:rPr>
          <w:sz w:val="24"/>
          <w:szCs w:val="24"/>
        </w:rPr>
        <w:t xml:space="preserve"> por</w:t>
      </w:r>
      <w:r>
        <w:rPr>
          <w:sz w:val="24"/>
          <w:szCs w:val="24"/>
        </w:rPr>
        <w:t xml:space="preserve"> divergência(s) com a nota de empenho, defeito ou irregularidade, não acarretará suspensão no prazo de entrega, ficando o contratado obrigado à substituição ou reparação no prazo que lhe for estabelecido, sem prejuízo das aplicações e penalidades cabíveis;</w:t>
      </w:r>
      <w:r>
        <w:rPr>
          <w:sz w:val="24"/>
          <w:szCs w:val="24"/>
        </w:rPr>
      </w:r>
    </w:p>
    <w:p>
      <w:pPr>
        <w:pStyle w:val="969"/>
        <w:numPr>
          <w:ilvl w:val="1"/>
          <w:numId w:val="12"/>
        </w:numPr>
        <w:pBdr/>
        <w:tabs>
          <w:tab w:val="left" w:leader="none" w:pos="-142"/>
          <w:tab w:val="left" w:leader="none" w:pos="0"/>
        </w:tabs>
        <w:spacing w:after="240" w:line="280" w:lineRule="atLeast"/>
        <w:ind w:firstLine="0" w:left="0"/>
        <w:rPr>
          <w:b/>
          <w:sz w:val="24"/>
          <w:szCs w:val="24"/>
          <w:u w:val="single"/>
        </w:rPr>
      </w:pPr>
      <w:r>
        <w:rPr>
          <w:sz w:val="24"/>
          <w:szCs w:val="24"/>
        </w:rPr>
        <w:t xml:space="preserve">Poderão ser solicitadas aos licitantes e às entidades de classe, pelo(a) pregoeiro(a) ou pela Comissão de Pregão informações adicionais necessárias, laudos técnicos de análise </w:t>
      </w:r>
      <w:r>
        <w:rPr>
          <w:sz w:val="24"/>
          <w:szCs w:val="24"/>
        </w:rPr>
        <w:t xml:space="preserve">dos </w:t>
      </w:r>
      <w:r>
        <w:rPr>
          <w:b/>
          <w:sz w:val="24"/>
          <w:szCs w:val="24"/>
          <w:u w:val="single"/>
        </w:rPr>
        <w:t xml:space="preserve">objeto</w:t>
      </w:r>
      <w:r>
        <w:rPr>
          <w:b/>
          <w:sz w:val="24"/>
          <w:szCs w:val="24"/>
          <w:u w:val="single"/>
        </w:rPr>
        <w:t xml:space="preserve">(s) desta licitação</w:t>
      </w:r>
      <w:r>
        <w:rPr>
          <w:sz w:val="24"/>
          <w:szCs w:val="24"/>
        </w:rPr>
        <w:t xml:space="preserve">, a qualquer tempo e/ou fases do procedimento licitatório, com a finalidade de dirimir dúvidas e instruir as decisões relativas ao julgamento. Se for necessário o cumprimento de quesito específico, o edital deve dispor a respeito.</w:t>
      </w:r>
      <w:r>
        <w:rPr>
          <w:b/>
          <w:sz w:val="24"/>
          <w:szCs w:val="24"/>
          <w:u w:val="single"/>
        </w:rPr>
      </w:r>
    </w:p>
    <w:p>
      <w:pPr>
        <w:pStyle w:val="969"/>
        <w:pBdr/>
        <w:spacing w:after="0" w:before="0"/>
        <w:ind/>
        <w:rPr>
          <w:sz w:val="24"/>
          <w:szCs w:val="24"/>
        </w:rPr>
      </w:pPr>
      <w:r>
        <w:rPr>
          <w:sz w:val="24"/>
          <w:szCs w:val="24"/>
        </w:rPr>
      </w:r>
      <w:r>
        <w:rPr>
          <w:sz w:val="24"/>
          <w:szCs w:val="24"/>
        </w:rPr>
      </w:r>
    </w:p>
    <w:p>
      <w:pPr>
        <w:pStyle w:val="969"/>
        <w:numPr>
          <w:ilvl w:val="0"/>
          <w:numId w:val="12"/>
        </w:numPr>
        <w:pBdr/>
        <w:spacing w:after="240" w:line="280" w:lineRule="atLeast"/>
        <w:ind w:firstLine="0" w:left="0"/>
        <w:rPr>
          <w:b/>
          <w:sz w:val="24"/>
          <w:szCs w:val="24"/>
        </w:rPr>
      </w:pPr>
      <w:r/>
      <w:bookmarkStart w:id="9" w:name="EDITALLOCALEXAMETR"/>
      <w:r>
        <w:rPr>
          <w:b/>
          <w:sz w:val="24"/>
          <w:szCs w:val="24"/>
        </w:rPr>
        <w:t xml:space="preserve">LOCAL ONDE PODERÁ SER EXAMINADO E ADQUIRIDO O TERMO DE REFERÊNCIA E/OU PROJETO BÁSICO E O EDITAL:</w:t>
      </w:r>
      <w:bookmarkEnd w:id="9"/>
      <w:r/>
      <w:r>
        <w:rPr>
          <w:b/>
          <w:sz w:val="24"/>
          <w:szCs w:val="24"/>
        </w:rPr>
      </w:r>
    </w:p>
    <w:p>
      <w:pPr>
        <w:pStyle w:val="969"/>
        <w:numPr>
          <w:ilvl w:val="1"/>
          <w:numId w:val="12"/>
        </w:numPr>
        <w:pBdr/>
        <w:spacing w:after="240" w:line="280" w:lineRule="atLeast"/>
        <w:ind w:firstLine="0" w:left="0"/>
        <w:rPr>
          <w:b/>
          <w:sz w:val="24"/>
          <w:szCs w:val="24"/>
          <w:u w:val="single"/>
        </w:rPr>
      </w:pPr>
      <w:r>
        <w:rPr>
          <w:rFonts w:eastAsia="Century Gothic"/>
          <w:sz w:val="24"/>
          <w:szCs w:val="24"/>
        </w:rPr>
        <w:t xml:space="preserve">O Edital se encontra disponível no endereço eletrônico </w:t>
      </w:r>
      <w:hyperlink r:id="rId16" w:tooltip="http://www.licitacoes.caixa.gov.br/" w:history="1">
        <w:r>
          <w:rPr>
            <w:rFonts w:eastAsia="Century Gothic"/>
            <w:b/>
            <w:sz w:val="24"/>
            <w:szCs w:val="24"/>
            <w:u w:val="single"/>
          </w:rPr>
          <w:t xml:space="preserve">www.comprasgovernamentais.gov.br</w:t>
        </w:r>
        <w:r>
          <w:rPr>
            <w:b/>
            <w:sz w:val="24"/>
            <w:szCs w:val="24"/>
            <w:u w:val="single"/>
          </w:rPr>
          <w:t xml:space="preserve">,</w:t>
        </w:r>
        <w:r>
          <w:rPr>
            <w:rFonts w:eastAsia="Century Gothic"/>
            <w:b/>
            <w:sz w:val="24"/>
            <w:szCs w:val="24"/>
          </w:rPr>
          <w:t xml:space="preserve"> </w:t>
        </w:r>
      </w:hyperlink>
      <w:r>
        <w:rPr>
          <w:rFonts w:eastAsia="Century Gothic"/>
          <w:sz w:val="24"/>
          <w:szCs w:val="24"/>
        </w:rPr>
        <w:t xml:space="preserve">podendo,</w:t>
      </w:r>
      <w:r>
        <w:rPr>
          <w:rFonts w:eastAsia="Century Gothic"/>
          <w:b/>
          <w:sz w:val="24"/>
          <w:szCs w:val="24"/>
        </w:rPr>
        <w:t xml:space="preserve"> </w:t>
      </w:r>
      <w:r>
        <w:rPr>
          <w:rFonts w:eastAsia="Century Gothic"/>
          <w:sz w:val="24"/>
          <w:szCs w:val="24"/>
        </w:rPr>
        <w:t xml:space="preserve">alternativamente, ser impresso no</w:t>
      </w:r>
      <w:r>
        <w:rPr>
          <w:rFonts w:eastAsia="Century Gothic"/>
          <w:b/>
          <w:sz w:val="24"/>
          <w:szCs w:val="24"/>
        </w:rPr>
        <w:t xml:space="preserve"> </w:t>
      </w:r>
      <w:r>
        <w:rPr>
          <w:rFonts w:eastAsia="Century Gothic"/>
          <w:sz w:val="24"/>
          <w:szCs w:val="24"/>
        </w:rPr>
        <w:t xml:space="preserve">site </w:t>
      </w:r>
      <w:hyperlink r:id="rId17" w:tooltip="http://www.riodasflores.rj.gov.br/" w:history="1">
        <w:r>
          <w:rPr>
            <w:rStyle w:val="953"/>
            <w:b/>
            <w:color w:val="auto"/>
            <w:sz w:val="24"/>
            <w:szCs w:val="24"/>
          </w:rPr>
          <w:t xml:space="preserve">www.riodasflores.rj.gov.br</w:t>
        </w:r>
      </w:hyperlink>
      <w:r>
        <w:t xml:space="preserve">.</w:t>
      </w:r>
      <w:r>
        <w:rPr>
          <w:b/>
          <w:sz w:val="24"/>
          <w:szCs w:val="24"/>
          <w:u w:val="single"/>
        </w:rPr>
      </w:r>
    </w:p>
    <w:p>
      <w:pPr>
        <w:pStyle w:val="969"/>
        <w:numPr>
          <w:ilvl w:val="1"/>
          <w:numId w:val="12"/>
        </w:numPr>
        <w:pBdr/>
        <w:spacing w:after="240" w:line="280" w:lineRule="atLeast"/>
        <w:ind w:firstLine="0" w:left="0"/>
        <w:rPr>
          <w:b/>
          <w:sz w:val="24"/>
          <w:szCs w:val="24"/>
          <w:u w:val="single"/>
        </w:rPr>
      </w:pPr>
      <w:r>
        <w:rPr>
          <w:b/>
          <w:sz w:val="24"/>
          <w:szCs w:val="24"/>
        </w:rPr>
        <w:t xml:space="preserve">Via e-mail</w:t>
      </w:r>
      <w:r>
        <w:rPr>
          <w:sz w:val="24"/>
          <w:szCs w:val="24"/>
        </w:rPr>
        <w:t xml:space="preserve">: O interessado deverá dirigir-se ao setor responsável através do e-mail </w:t>
      </w:r>
      <w:hyperlink r:id="rId18" w:tooltip="mailto:secadministracao@riodasflores.rj.gov.br" w:history="1">
        <w:r>
          <w:rPr>
            <w:rStyle w:val="953"/>
            <w:b/>
            <w:color w:val="auto"/>
            <w:sz w:val="24"/>
            <w:szCs w:val="24"/>
          </w:rPr>
          <w:t xml:space="preserve">licitacao@riodasflores.rj.gov.br</w:t>
        </w:r>
      </w:hyperlink>
      <w:r>
        <w:rPr>
          <w:sz w:val="24"/>
          <w:szCs w:val="24"/>
        </w:rPr>
        <w:t xml:space="preserve">, o e-mail será enviado em até 72 horas.</w:t>
      </w:r>
      <w:r>
        <w:rPr>
          <w:b/>
          <w:sz w:val="24"/>
          <w:szCs w:val="24"/>
          <w:u w:val="single"/>
        </w:rPr>
      </w:r>
    </w:p>
    <w:p>
      <w:pPr>
        <w:pStyle w:val="969"/>
        <w:numPr>
          <w:ilvl w:val="1"/>
          <w:numId w:val="12"/>
        </w:numPr>
        <w:pBdr/>
        <w:spacing w:after="240" w:line="280" w:lineRule="atLeast"/>
        <w:ind w:firstLine="0" w:left="0"/>
        <w:rPr>
          <w:b/>
          <w:sz w:val="24"/>
          <w:szCs w:val="24"/>
          <w:u w:val="single"/>
        </w:rPr>
      </w:pPr>
      <w:r>
        <w:rPr>
          <w:b/>
          <w:sz w:val="24"/>
          <w:szCs w:val="24"/>
        </w:rPr>
        <w:t xml:space="preserve">Pessoalmente</w:t>
      </w:r>
      <w:r>
        <w:rPr>
          <w:sz w:val="24"/>
          <w:szCs w:val="24"/>
        </w:rPr>
        <w:t xml:space="preserve">: O interessado fará o pedido pessoalmente no Setor de Licitações da Prefeitura Municipal de Rio das </w:t>
      </w:r>
      <w:r>
        <w:rPr>
          <w:sz w:val="24"/>
          <w:szCs w:val="24"/>
        </w:rPr>
        <w:t xml:space="preserve">Flôres</w:t>
      </w:r>
      <w:r>
        <w:rPr>
          <w:sz w:val="24"/>
          <w:szCs w:val="24"/>
        </w:rPr>
        <w:t xml:space="preserve"> e deverá fornecer uma resma de papel A4, caso queira o edital impresso, apresentando cópia do comprovante de inscrição e de situação cadastral (CNPJ) emitida pela Secretaria de Receita Federal, para obtenção do Edital impresso.</w:t>
      </w:r>
      <w:r>
        <w:rPr>
          <w:b/>
          <w:sz w:val="24"/>
          <w:szCs w:val="24"/>
          <w:u w:val="single"/>
        </w:rPr>
      </w:r>
    </w:p>
    <w:p>
      <w:pPr>
        <w:pStyle w:val="969"/>
        <w:numPr>
          <w:ilvl w:val="0"/>
          <w:numId w:val="12"/>
        </w:numPr>
        <w:pBdr/>
        <w:spacing w:after="240" w:line="280" w:lineRule="atLeast"/>
        <w:ind w:firstLine="0" w:left="0"/>
        <w:rPr>
          <w:b/>
          <w:sz w:val="24"/>
          <w:szCs w:val="24"/>
        </w:rPr>
      </w:pPr>
      <w:r/>
      <w:bookmarkStart w:id="10" w:name="_Toc135469225"/>
      <w:r/>
      <w:bookmarkStart w:id="11" w:name="EDITALPARTICIPAÇÃO"/>
      <w:r>
        <w:rPr>
          <w:b/>
          <w:sz w:val="24"/>
          <w:szCs w:val="24"/>
        </w:rPr>
        <w:t xml:space="preserve">DA PARTICIPAÇÃO NA LICITAÇÃO</w:t>
      </w:r>
      <w:bookmarkEnd w:id="10"/>
      <w:r>
        <w:rPr>
          <w:b/>
          <w:sz w:val="24"/>
          <w:szCs w:val="24"/>
        </w:rPr>
        <w:t xml:space="preserve">:</w:t>
      </w:r>
      <w:bookmarkEnd w:id="11"/>
      <w:r/>
      <w:r>
        <w:rPr>
          <w:b/>
          <w:sz w:val="24"/>
          <w:szCs w:val="24"/>
        </w:rPr>
      </w:r>
    </w:p>
    <w:p>
      <w:pPr>
        <w:pStyle w:val="969"/>
        <w:numPr>
          <w:ilvl w:val="1"/>
          <w:numId w:val="12"/>
        </w:numPr>
        <w:pBdr/>
        <w:spacing w:after="240" w:line="280" w:lineRule="atLeast"/>
        <w:ind w:firstLine="0" w:left="0"/>
        <w:rPr>
          <w:b/>
          <w:sz w:val="24"/>
          <w:szCs w:val="24"/>
          <w:u w:val="single"/>
        </w:rPr>
      </w:pPr>
      <w:r>
        <w:rPr>
          <w:rFonts w:cs="Arial"/>
          <w:sz w:val="24"/>
          <w:szCs w:val="24"/>
        </w:rPr>
        <w:t xml:space="preserve">Poderão participar deste Pregão os interessados que estiverem previamente credenciados no Sistema de Cadastramento Unificado de Fornecedores - SICAF e no Sistema de Compras do Governo Federal (</w:t>
      </w:r>
      <w:hyperlink r:id="rId19" w:tooltip="http://www.gov.br/compras" w:history="1">
        <w:r>
          <w:rPr>
            <w:rStyle w:val="953"/>
            <w:rFonts w:cs="Arial"/>
            <w:sz w:val="24"/>
            <w:szCs w:val="24"/>
            <w:u w:val="none"/>
          </w:rPr>
          <w:t xml:space="preserve">www.gov.br/compras</w:t>
        </w:r>
      </w:hyperlink>
      <w:r>
        <w:rPr>
          <w:rFonts w:cs="Arial"/>
          <w:sz w:val="24"/>
          <w:szCs w:val="24"/>
        </w:rPr>
        <w:t xml:space="preserve">).</w:t>
      </w:r>
      <w:r>
        <w:rPr>
          <w:b/>
          <w:sz w:val="24"/>
          <w:szCs w:val="24"/>
          <w:u w:val="single"/>
        </w:rPr>
      </w:r>
    </w:p>
    <w:p>
      <w:pPr>
        <w:pStyle w:val="969"/>
        <w:numPr>
          <w:ilvl w:val="2"/>
          <w:numId w:val="12"/>
        </w:numPr>
        <w:pBdr/>
        <w:spacing w:after="240" w:line="280" w:lineRule="atLeast"/>
        <w:ind w:firstLine="0" w:left="0"/>
        <w:rPr>
          <w:b/>
          <w:sz w:val="24"/>
          <w:szCs w:val="24"/>
          <w:u w:val="single"/>
        </w:rPr>
      </w:pPr>
      <w:r>
        <w:rPr>
          <w:rFonts w:cs="Arial"/>
          <w:sz w:val="24"/>
          <w:szCs w:val="24"/>
        </w:rPr>
        <w:t xml:space="preserve">Os interessados deverão atender às condições exigidas no cadastramento no </w:t>
      </w:r>
      <w:r>
        <w:rPr>
          <w:rFonts w:cs="Arial"/>
          <w:sz w:val="24"/>
          <w:szCs w:val="24"/>
        </w:rPr>
        <w:t xml:space="preserve">Sicaf</w:t>
      </w:r>
      <w:r>
        <w:rPr>
          <w:rFonts w:cs="Arial"/>
          <w:sz w:val="24"/>
          <w:szCs w:val="24"/>
        </w:rPr>
        <w:t xml:space="preserve"> até o terceiro dia útil anterior à data prevista para recebimento das propostas.</w:t>
      </w:r>
      <w:r>
        <w:rPr>
          <w:b/>
          <w:sz w:val="24"/>
          <w:szCs w:val="24"/>
          <w:u w:val="single"/>
        </w:rPr>
      </w:r>
    </w:p>
    <w:p>
      <w:pPr>
        <w:pStyle w:val="969"/>
        <w:numPr>
          <w:ilvl w:val="1"/>
          <w:numId w:val="12"/>
        </w:numPr>
        <w:pBdr/>
        <w:spacing w:after="240" w:line="280" w:lineRule="atLeast"/>
        <w:ind w:firstLine="0" w:left="0"/>
        <w:rPr>
          <w:b/>
          <w:sz w:val="24"/>
          <w:szCs w:val="24"/>
          <w:u w:val="single"/>
        </w:rPr>
      </w:pPr>
      <w:r>
        <w:rPr>
          <w:rFonts w:cs="Arial"/>
          <w:sz w:val="24"/>
          <w:szCs w:val="24"/>
        </w:rPr>
        <w:t xml:space="preserve">O licitante responsabiliza-se exclusiva e formalmente pelas transações efetuadas em seu nome, assume como firmes e verdadeiras suas propostas e seus lances, inclusiv</w:t>
      </w:r>
      <w:r>
        <w:rPr>
          <w:rFonts w:cs="Arial"/>
          <w:sz w:val="24"/>
          <w:szCs w:val="24"/>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É de responsabilidade do cadastrado conferir a exatidão dos seus dados cadastrais</w:t>
      </w:r>
      <w:r>
        <w:rPr>
          <w:sz w:val="24"/>
          <w:szCs w:val="24"/>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A não observância do disposto no item anterior poderá ensejar desclassificação no momento da habilitação.</w:t>
      </w:r>
      <w:r>
        <w:rPr>
          <w:b/>
          <w:sz w:val="24"/>
          <w:szCs w:val="24"/>
          <w:u w:val="single"/>
        </w:rPr>
      </w:r>
    </w:p>
    <w:p>
      <w:pPr>
        <w:pStyle w:val="969"/>
        <w:numPr>
          <w:ilvl w:val="1"/>
          <w:numId w:val="12"/>
        </w:numPr>
        <w:pBdr/>
        <w:spacing w:after="240" w:line="280" w:lineRule="atLeast"/>
        <w:ind w:firstLine="0" w:left="0"/>
        <w:rPr>
          <w:b/>
          <w:sz w:val="24"/>
          <w:szCs w:val="24"/>
          <w:u w:val="single"/>
        </w:rPr>
      </w:pPr>
      <w:r/>
      <w:bookmarkStart w:id="12" w:name="_Ref117015508"/>
      <w:r>
        <w:rPr>
          <w:sz w:val="24"/>
          <w:szCs w:val="24"/>
        </w:rPr>
        <w:t xml:space="preserve">A obtenção do benefício a que se refere o item anterior fica limitada às microempresas e às empresas</w:t>
      </w:r>
      <w:r>
        <w:rPr>
          <w:sz w:val="24"/>
          <w:szCs w:val="24"/>
        </w:rPr>
        <w:t xml:space="preserve">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2"/>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Será concedido tratamento favorecido para as microempresas e empresas de pequeno porte, </w:t>
      </w:r>
      <w:r>
        <w:rPr>
          <w:color w:val="ff0000"/>
          <w:sz w:val="24"/>
          <w:szCs w:val="24"/>
        </w:rPr>
        <w:t xml:space="preserve">para as sociedades cooperativas mencionadas no </w:t>
      </w:r>
      <w:hyperlink r:id="rId20" w:tooltip="http://www.planalto.gov.br/ccivil_03/_ato2019-2022/2021/lei/L14133.htm#art16" w:anchor="art16" w:history="1">
        <w:r>
          <w:rPr>
            <w:rStyle w:val="953"/>
            <w:sz w:val="24"/>
            <w:szCs w:val="24"/>
          </w:rPr>
          <w:t xml:space="preserve">artigo 16 da Lei nº 14.133, de 2021</w:t>
        </w:r>
      </w:hyperlink>
      <w:r>
        <w:rPr>
          <w:sz w:val="24"/>
          <w:szCs w:val="24"/>
        </w:rPr>
        <w:t xml:space="preserve">, </w:t>
      </w:r>
      <w:r>
        <w:rPr>
          <w:color w:val="00b0f0"/>
          <w:sz w:val="24"/>
          <w:szCs w:val="24"/>
        </w:rPr>
        <w:t xml:space="preserve">para o agricultor familiar</w:t>
      </w:r>
      <w:r>
        <w:rPr>
          <w:sz w:val="24"/>
          <w:szCs w:val="24"/>
        </w:rPr>
        <w:t xml:space="preserve">, </w:t>
      </w:r>
      <w:r>
        <w:rPr>
          <w:color w:val="00b0f0"/>
          <w:sz w:val="24"/>
          <w:szCs w:val="24"/>
        </w:rPr>
        <w:t xml:space="preserve">o produtor rural pessoa física</w:t>
      </w:r>
      <w:r>
        <w:rPr>
          <w:sz w:val="24"/>
          <w:szCs w:val="24"/>
        </w:rPr>
        <w:t xml:space="preserve"> e para o microempreendedor individual - MEI, nos limites previstos da </w:t>
      </w:r>
      <w:hyperlink r:id="rId21" w:tooltip="https://www.planalto.gov.br/ccivil_03/leis/lcp/lcp123.htm" w:history="1">
        <w:r>
          <w:rPr>
            <w:rStyle w:val="953"/>
            <w:sz w:val="24"/>
            <w:szCs w:val="24"/>
          </w:rPr>
          <w:t xml:space="preserve">Lei Complementar nº 123, de 2006</w:t>
        </w:r>
      </w:hyperlink>
      <w:r>
        <w:rPr>
          <w:sz w:val="24"/>
          <w:szCs w:val="24"/>
        </w:rPr>
        <w:t xml:space="preserve"> e do Decreto n.º 8.538, de 2015.</w:t>
      </w:r>
      <w:bookmarkStart w:id="13" w:name="_Ref117000692"/>
      <w:r/>
      <w:r>
        <w:rPr>
          <w:b/>
          <w:sz w:val="24"/>
          <w:szCs w:val="24"/>
          <w:u w:val="single"/>
        </w:rPr>
      </w:r>
    </w:p>
    <w:p>
      <w:pPr>
        <w:pStyle w:val="969"/>
        <w:numPr>
          <w:ilvl w:val="1"/>
          <w:numId w:val="12"/>
        </w:numPr>
        <w:pBdr/>
        <w:spacing w:after="240" w:line="280" w:lineRule="atLeast"/>
        <w:ind w:firstLine="0" w:left="0"/>
        <w:rPr>
          <w:b/>
          <w:sz w:val="24"/>
          <w:szCs w:val="24"/>
        </w:rPr>
      </w:pPr>
      <w:r>
        <w:rPr>
          <w:b/>
          <w:sz w:val="24"/>
          <w:szCs w:val="24"/>
        </w:rPr>
        <w:t xml:space="preserve">NÃO PODERÃO DISPUTAR ESTA LICITAÇÃO:</w:t>
      </w:r>
      <w:bookmarkStart w:id="14" w:name="_Ref113883338"/>
      <w:r/>
      <w:bookmarkEnd w:id="13"/>
      <w:r/>
      <w:r>
        <w:rPr>
          <w:b/>
          <w:sz w:val="24"/>
          <w:szCs w:val="24"/>
        </w:rPr>
      </w:r>
    </w:p>
    <w:p>
      <w:pPr>
        <w:pStyle w:val="969"/>
        <w:numPr>
          <w:ilvl w:val="2"/>
          <w:numId w:val="12"/>
        </w:numPr>
        <w:pBdr/>
        <w:spacing w:after="240" w:line="280" w:lineRule="atLeast"/>
        <w:ind w:firstLine="0" w:left="0"/>
        <w:rPr>
          <w:b/>
          <w:sz w:val="24"/>
          <w:szCs w:val="24"/>
          <w:u w:val="single"/>
        </w:rPr>
      </w:pPr>
      <w:r>
        <w:rPr>
          <w:sz w:val="24"/>
          <w:szCs w:val="24"/>
        </w:rPr>
        <w:t xml:space="preserve">aquele que não atenda às condições deste Edital e seu(s) anexo(s);</w:t>
      </w:r>
      <w:bookmarkStart w:id="15" w:name="_Ref114659912"/>
      <w:r/>
      <w:r>
        <w:rPr>
          <w:b/>
          <w:sz w:val="24"/>
          <w:szCs w:val="24"/>
          <w:u w:val="single"/>
        </w:rPr>
      </w:r>
    </w:p>
    <w:p>
      <w:pPr>
        <w:pStyle w:val="969"/>
        <w:numPr>
          <w:ilvl w:val="2"/>
          <w:numId w:val="12"/>
        </w:numPr>
        <w:pBdr/>
        <w:spacing w:after="240" w:line="280" w:lineRule="atLeast"/>
        <w:ind w:firstLine="0" w:left="0"/>
        <w:rPr>
          <w:b/>
          <w:sz w:val="24"/>
          <w:szCs w:val="24"/>
          <w:u w:val="single"/>
        </w:rPr>
      </w:pPr>
      <w:r>
        <w:rPr>
          <w:sz w:val="24"/>
          <w:szCs w:val="24"/>
        </w:rPr>
        <w:t xml:space="preserve">autor do anteprojeto, do projeto básico ou do projeto executivo, pessoa física ou jurídica, quando a licitação versar sobre serviços ou fornecimento de bens a ele relacionados;</w:t>
      </w:r>
      <w:bookmarkStart w:id="16" w:name="_Ref114659913"/>
      <w:r/>
      <w:bookmarkStart w:id="17" w:name="_Ref113883339"/>
      <w:r/>
      <w:bookmarkEnd w:id="14"/>
      <w:r/>
      <w:bookmarkEnd w:id="15"/>
      <w:r/>
      <w:r>
        <w:rPr>
          <w:b/>
          <w:sz w:val="24"/>
          <w:szCs w:val="24"/>
          <w:u w:val="single"/>
        </w:rPr>
      </w:r>
    </w:p>
    <w:p>
      <w:pPr>
        <w:pStyle w:val="969"/>
        <w:numPr>
          <w:ilvl w:val="2"/>
          <w:numId w:val="12"/>
        </w:numPr>
        <w:pBdr/>
        <w:spacing w:after="240" w:line="280" w:lineRule="atLeast"/>
        <w:ind w:firstLine="0" w:left="0"/>
        <w:rPr>
          <w:b/>
          <w:sz w:val="24"/>
          <w:szCs w:val="24"/>
          <w:u w:val="single"/>
        </w:rPr>
      </w:pPr>
      <w:r>
        <w:rPr>
          <w:sz w:val="24"/>
          <w:szCs w:val="24"/>
        </w:rPr>
        <w:t xml:space="preserve">empresa, isoladamente ou em consórcio, responsável pela elaboração do projeto básico ou do projeto executivo, ou empresa da qual o autor</w:t>
      </w:r>
      <w:r>
        <w:rPr>
          <w:sz w:val="24"/>
          <w:szCs w:val="24"/>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16"/>
      <w:r>
        <w:rPr>
          <w:sz w:val="24"/>
          <w:szCs w:val="24"/>
        </w:rPr>
        <w:t xml:space="preserve"> </w:t>
      </w:r>
      <w:bookmarkStart w:id="18" w:name="_Ref113883003"/>
      <w:r/>
      <w:bookmarkEnd w:id="17"/>
      <w:r/>
      <w:r>
        <w:rPr>
          <w:b/>
          <w:sz w:val="24"/>
          <w:szCs w:val="24"/>
          <w:u w:val="single"/>
        </w:rPr>
      </w:r>
    </w:p>
    <w:p>
      <w:pPr>
        <w:pStyle w:val="969"/>
        <w:numPr>
          <w:ilvl w:val="2"/>
          <w:numId w:val="12"/>
        </w:numPr>
        <w:pBdr/>
        <w:spacing w:after="240" w:line="280" w:lineRule="atLeast"/>
        <w:ind w:firstLine="0" w:left="0"/>
        <w:rPr>
          <w:b/>
          <w:sz w:val="24"/>
          <w:szCs w:val="24"/>
          <w:u w:val="single"/>
        </w:rPr>
      </w:pPr>
      <w:r>
        <w:rPr>
          <w:sz w:val="24"/>
          <w:szCs w:val="24"/>
        </w:rPr>
        <w:t xml:space="preserve">pessoa física ou jurídica que se encontre, ao tempo da licitação, impossibilitada de participar da licitação em decorrência de sanção que lhe foi imposta;</w:t>
      </w:r>
      <w:bookmarkEnd w:id="18"/>
      <w:r/>
      <w:r>
        <w:rPr>
          <w:b/>
          <w:sz w:val="24"/>
          <w:szCs w:val="24"/>
          <w:u w:val="single"/>
        </w:rPr>
      </w:r>
    </w:p>
    <w:p>
      <w:pPr>
        <w:pStyle w:val="969"/>
        <w:numPr>
          <w:ilvl w:val="2"/>
          <w:numId w:val="12"/>
        </w:numPr>
        <w:pBdr/>
        <w:spacing w:after="240" w:line="280" w:lineRule="atLeast"/>
        <w:ind w:firstLine="0" w:left="0"/>
        <w:rPr>
          <w:b/>
          <w:sz w:val="24"/>
          <w:szCs w:val="24"/>
          <w:u w:val="single"/>
        </w:rPr>
      </w:pPr>
      <w:r>
        <w:rPr>
          <w:sz w:val="24"/>
          <w:szCs w:val="24"/>
        </w:rPr>
        <w:t xml:space="preserve">aquele que mantenha vínculo de natureza técnica, comercial, econômica, financeira, trabalhista ou civil com dirigen</w:t>
      </w:r>
      <w:r>
        <w:rPr>
          <w:sz w:val="24"/>
          <w:szCs w:val="24"/>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9" w:name="_Ref113883579"/>
      <w:r/>
      <w:r>
        <w:rPr>
          <w:b/>
          <w:sz w:val="24"/>
          <w:szCs w:val="24"/>
          <w:u w:val="single"/>
        </w:rPr>
      </w:r>
    </w:p>
    <w:p>
      <w:pPr>
        <w:pStyle w:val="969"/>
        <w:numPr>
          <w:ilvl w:val="2"/>
          <w:numId w:val="12"/>
        </w:numPr>
        <w:pBdr/>
        <w:spacing w:after="240" w:line="280" w:lineRule="atLeast"/>
        <w:ind w:firstLine="0" w:left="0"/>
        <w:rPr>
          <w:b/>
          <w:sz w:val="24"/>
          <w:szCs w:val="24"/>
          <w:u w:val="single"/>
        </w:rPr>
      </w:pPr>
      <w:r>
        <w:rPr>
          <w:sz w:val="24"/>
          <w:szCs w:val="24"/>
        </w:rPr>
        <w:t xml:space="preserve">empresas controladoras, controladas ou coligadas, nos termos da Lei nº 6.404, de 15 de dezembro de 1976, concorrendo entre si;</w:t>
      </w:r>
      <w:bookmarkEnd w:id="19"/>
      <w:r/>
      <w:r>
        <w:rPr>
          <w:b/>
          <w:sz w:val="24"/>
          <w:szCs w:val="24"/>
          <w:u w:val="single"/>
        </w:rPr>
      </w:r>
    </w:p>
    <w:p>
      <w:pPr>
        <w:pStyle w:val="969"/>
        <w:numPr>
          <w:ilvl w:val="2"/>
          <w:numId w:val="12"/>
        </w:numPr>
        <w:pBdr/>
        <w:spacing w:after="240" w:line="280" w:lineRule="atLeast"/>
        <w:ind w:firstLine="0" w:left="0"/>
        <w:rPr>
          <w:b/>
          <w:sz w:val="24"/>
          <w:szCs w:val="24"/>
          <w:u w:val="single"/>
        </w:rPr>
      </w:pPr>
      <w:r>
        <w:rPr>
          <w:sz w:val="24"/>
          <w:szCs w:val="24"/>
        </w:rPr>
        <w:t xml:space="preserve">pessoa física ou jurídica que, nos 05 (cinco) anos anteriores à divulgação do edital, tenha sido condenada judicialmente, com trânsito em julgado, por exploração de trabalho </w:t>
      </w:r>
      <w:r>
        <w:rPr>
          <w:sz w:val="24"/>
          <w:szCs w:val="24"/>
        </w:rPr>
        <w:t xml:space="preserve">infantil, por submissão de trabalhadores a condições análogas às de escravo ou por contratação de adolescentes nos casos vedados pela legislação trabalhista;</w:t>
      </w:r>
      <w:bookmarkStart w:id="20" w:name="_Ref113962336"/>
      <w:r/>
      <w:r>
        <w:rPr>
          <w:b/>
          <w:sz w:val="24"/>
          <w:szCs w:val="24"/>
          <w:u w:val="single"/>
        </w:rPr>
      </w:r>
    </w:p>
    <w:p>
      <w:pPr>
        <w:pStyle w:val="969"/>
        <w:numPr>
          <w:ilvl w:val="2"/>
          <w:numId w:val="12"/>
        </w:numPr>
        <w:pBdr/>
        <w:spacing w:after="240" w:line="280" w:lineRule="atLeast"/>
        <w:ind w:firstLine="0" w:left="0"/>
        <w:rPr>
          <w:b/>
          <w:sz w:val="24"/>
          <w:szCs w:val="24"/>
          <w:u w:val="single"/>
        </w:rPr>
      </w:pPr>
      <w:r>
        <w:rPr>
          <w:sz w:val="24"/>
          <w:szCs w:val="24"/>
        </w:rPr>
        <w:t xml:space="preserve">agente público do órgão ou entidade licitante;</w:t>
      </w:r>
      <w:bookmarkEnd w:id="20"/>
      <w:r/>
      <w:r>
        <w:rPr>
          <w:b/>
          <w:sz w:val="24"/>
          <w:szCs w:val="24"/>
          <w:u w:val="single"/>
        </w:rPr>
      </w:r>
    </w:p>
    <w:p>
      <w:pPr>
        <w:pStyle w:val="969"/>
        <w:numPr>
          <w:ilvl w:val="2"/>
          <w:numId w:val="12"/>
        </w:numPr>
        <w:pBdr/>
        <w:spacing w:after="240" w:line="280" w:lineRule="atLeast"/>
        <w:ind w:firstLine="0" w:left="0"/>
        <w:rPr>
          <w:b/>
          <w:sz w:val="24"/>
          <w:szCs w:val="24"/>
          <w:u w:val="single"/>
        </w:rPr>
      </w:pPr>
      <w:r>
        <w:rPr>
          <w:sz w:val="24"/>
          <w:szCs w:val="24"/>
        </w:rPr>
        <w:t xml:space="preserve">pessoas jurídicas reunidas em consórcio;</w:t>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Organizações da Sociedade Civil de Interesse Público - OSCIP, atuando nessa condição;</w:t>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Não poderá participar, direta ou indiretamente, da licitação ou da execução </w:t>
      </w:r>
      <w:r>
        <w:rPr>
          <w:sz w:val="24"/>
          <w:szCs w:val="24"/>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tooltip="http://www.planalto.gov.br/ccivil_03/_ato2019-2022/2021/lei/L14133.htm#art9§1" w:anchor="art9§1" w:history="1">
        <w:r>
          <w:rPr>
            <w:rStyle w:val="953"/>
            <w:sz w:val="24"/>
            <w:szCs w:val="24"/>
          </w:rPr>
          <w:t xml:space="preserve">§ 1º do art. 9º da Lei nº 14.133, de 2021</w:t>
        </w:r>
      </w:hyperlink>
      <w:r>
        <w:rPr>
          <w:sz w:val="24"/>
          <w:szCs w:val="24"/>
        </w:rPr>
        <w:t xml:space="preserve">.</w:t>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O impedimento de que trata o </w:t>
      </w:r>
      <w:r>
        <w:rPr>
          <w:b/>
          <w:sz w:val="24"/>
          <w:szCs w:val="24"/>
        </w:rPr>
        <w:t xml:space="preserve">8.7. </w:t>
      </w:r>
      <w:r>
        <w:rPr>
          <w:sz w:val="24"/>
          <w:szCs w:val="24"/>
        </w:rPr>
        <w:t xml:space="preserve">será também aplicado ao licitante que atue em substituição a outra </w:t>
      </w:r>
      <w:r>
        <w:rPr>
          <w:sz w:val="24"/>
          <w:szCs w:val="24"/>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1" w:name="art14§2"/>
      <w:r/>
      <w:bookmarkEnd w:id="21"/>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A critério da Administração e exclusivamente a seu serviço, o autor dos projetos e a empresa a que se referem os </w:t>
      </w:r>
      <w:r>
        <w:rPr>
          <w:b/>
          <w:sz w:val="24"/>
          <w:szCs w:val="24"/>
        </w:rPr>
        <w:t xml:space="preserve">itens</w:t>
      </w:r>
      <w:r>
        <w:rPr>
          <w:sz w:val="24"/>
          <w:szCs w:val="24"/>
        </w:rPr>
        <w:t xml:space="preserve"> </w:t>
      </w:r>
      <w:r>
        <w:rPr>
          <w:b/>
          <w:sz w:val="24"/>
          <w:szCs w:val="24"/>
        </w:rPr>
        <w:t xml:space="preserve">8.7.2. </w:t>
      </w:r>
      <w:r>
        <w:rPr>
          <w:sz w:val="24"/>
          <w:szCs w:val="24"/>
        </w:rPr>
        <w:t xml:space="preserve">e </w:t>
      </w:r>
      <w:r>
        <w:rPr>
          <w:b/>
          <w:sz w:val="24"/>
          <w:szCs w:val="24"/>
        </w:rPr>
        <w:t xml:space="preserve">8.7.3</w:t>
      </w:r>
      <w:r>
        <w:t xml:space="preserve"> </w:t>
      </w:r>
      <w:r>
        <w:rPr>
          <w:sz w:val="24"/>
          <w:szCs w:val="24"/>
        </w:rPr>
        <w:t xml:space="preserve">poderão participar no apoio das atividades de Educação da contratação, de execução da licitação ou de gestão do contrato, desde que sob supervisão exclusiva de agentes públicos do órgão ou entidade.</w:t>
      </w:r>
      <w:bookmarkStart w:id="22" w:name="art14§3"/>
      <w:r/>
      <w:bookmarkEnd w:id="22"/>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Equiparam-se aos autores do projeto as empresas integrantes do mesmo grupo econômico.</w:t>
      </w:r>
      <w:bookmarkStart w:id="23" w:name="art14§4"/>
      <w:r/>
      <w:bookmarkEnd w:id="23"/>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O disposto nos </w:t>
      </w:r>
      <w:r>
        <w:rPr>
          <w:b/>
          <w:sz w:val="24"/>
          <w:szCs w:val="24"/>
        </w:rPr>
        <w:t xml:space="preserve">itens</w:t>
      </w:r>
      <w:r>
        <w:rPr>
          <w:sz w:val="24"/>
          <w:szCs w:val="24"/>
        </w:rPr>
        <w:t xml:space="preserve"> </w:t>
      </w:r>
      <w:r>
        <w:rPr>
          <w:b/>
          <w:sz w:val="24"/>
          <w:szCs w:val="24"/>
        </w:rPr>
        <w:t xml:space="preserve">8.7.2</w:t>
      </w:r>
      <w:r>
        <w:rPr>
          <w:sz w:val="24"/>
          <w:szCs w:val="24"/>
        </w:rPr>
        <w:t xml:space="preserve"> e </w:t>
      </w:r>
      <w:r>
        <w:rPr>
          <w:b/>
          <w:sz w:val="24"/>
          <w:szCs w:val="24"/>
        </w:rPr>
        <w:t xml:space="preserve">8.7.3</w:t>
      </w:r>
      <w:r>
        <w:rPr>
          <w:sz w:val="24"/>
          <w:szCs w:val="24"/>
        </w:rPr>
        <w:t xml:space="preserve">. </w:t>
      </w:r>
      <w:r>
        <w:rPr>
          <w:b/>
        </w:rPr>
        <w:t xml:space="preserve"> </w:t>
      </w:r>
      <w:r>
        <w:rPr>
          <w:sz w:val="24"/>
          <w:szCs w:val="24"/>
        </w:rPr>
        <w:t xml:space="preserve">não impede a licitação ou a contratação de serviço que inclua como encargo do contratado a elaboração do projeto básico e do projeto executivo, nas contratações integradas, e do projeto executivo, nos demais regimes de execução.</w:t>
      </w:r>
      <w:bookmarkStart w:id="24" w:name="art14§5"/>
      <w:r/>
      <w:bookmarkEnd w:id="24"/>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Em licitações e contratações realizadas no âmbito de projetos e programas parcialmente financiados por agência oficial de cooperação estrangeira </w:t>
      </w:r>
      <w:r>
        <w:rPr>
          <w:sz w:val="24"/>
          <w:szCs w:val="24"/>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3" w:tooltip="http://www.planalto.gov.br/ccivil_03/_ato2019-2022/2021/lei/L14133.htm" w:history="1">
        <w:r>
          <w:rPr>
            <w:rStyle w:val="953"/>
            <w:sz w:val="24"/>
            <w:szCs w:val="24"/>
          </w:rPr>
          <w:t xml:space="preserve">Lei nº 14.133/2021</w:t>
        </w:r>
      </w:hyperlink>
      <w:r>
        <w:rPr>
          <w:sz w:val="24"/>
          <w:szCs w:val="24"/>
        </w:rPr>
        <w:t xml:space="preserve">.</w:t>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A vedação de que trata o </w:t>
      </w:r>
      <w:r>
        <w:rPr>
          <w:b/>
          <w:sz w:val="24"/>
          <w:szCs w:val="24"/>
        </w:rPr>
        <w:t xml:space="preserve">item </w:t>
      </w:r>
      <w:r>
        <w:rPr>
          <w:b/>
          <w:sz w:val="24"/>
          <w:szCs w:val="24"/>
        </w:rPr>
        <w:fldChar w:fldCharType="begin"/>
      </w:r>
      <w:r>
        <w:rPr>
          <w:b/>
          <w:sz w:val="24"/>
          <w:szCs w:val="24"/>
        </w:rPr>
        <w:instrText xml:space="preserve"> REF _Ref113962336 \r \h  \* MERGEFORMAT </w:instrText>
      </w:r>
      <w:r>
        <w:rPr>
          <w:b/>
          <w:sz w:val="24"/>
          <w:szCs w:val="24"/>
        </w:rPr>
        <w:fldChar w:fldCharType="separate"/>
      </w:r>
      <w:r>
        <w:rPr>
          <w:b/>
          <w:sz w:val="24"/>
          <w:szCs w:val="24"/>
        </w:rPr>
        <w:t xml:space="preserve">8.7.7</w:t>
      </w:r>
      <w:r>
        <w:rPr>
          <w:b/>
          <w:sz w:val="24"/>
          <w:szCs w:val="24"/>
        </w:rPr>
        <w:fldChar w:fldCharType="end"/>
      </w:r>
      <w:r>
        <w:rPr>
          <w:sz w:val="24"/>
          <w:szCs w:val="24"/>
        </w:rPr>
        <w:t xml:space="preserve"> estende-se a terceiro que auxilie a condução da contratação na qualidade de integrante de equipe de apoio, profissional especializado ou funcionário ou representante de empresa que preste assessoria técnica.</w:t>
      </w:r>
      <w:r>
        <w:rPr>
          <w:b/>
          <w:sz w:val="24"/>
          <w:szCs w:val="24"/>
          <w:u w:val="single"/>
        </w:rPr>
      </w:r>
    </w:p>
    <w:p>
      <w:pPr>
        <w:pStyle w:val="969"/>
        <w:numPr>
          <w:ilvl w:val="0"/>
          <w:numId w:val="12"/>
        </w:numPr>
        <w:pBdr/>
        <w:spacing w:after="240" w:line="280" w:lineRule="atLeast"/>
        <w:ind w:firstLine="0" w:left="0"/>
        <w:rPr>
          <w:b/>
          <w:sz w:val="24"/>
          <w:szCs w:val="24"/>
        </w:rPr>
      </w:pPr>
      <w:r/>
      <w:bookmarkStart w:id="25" w:name="EDITALHABILITAÇÃO"/>
      <w:r>
        <w:rPr>
          <w:b/>
          <w:sz w:val="24"/>
          <w:szCs w:val="24"/>
        </w:rPr>
        <w:t xml:space="preserve">DA</w:t>
      </w:r>
      <w:r>
        <w:rPr>
          <w:b/>
          <w:spacing w:val="-2"/>
          <w:sz w:val="24"/>
          <w:szCs w:val="24"/>
        </w:rPr>
        <w:t xml:space="preserve"> </w:t>
      </w:r>
      <w:r>
        <w:rPr>
          <w:b/>
          <w:sz w:val="24"/>
          <w:szCs w:val="24"/>
        </w:rPr>
        <w:t xml:space="preserve">APRESENTAÇÃO</w:t>
      </w:r>
      <w:r>
        <w:rPr>
          <w:b/>
          <w:spacing w:val="-3"/>
          <w:sz w:val="24"/>
          <w:szCs w:val="24"/>
        </w:rPr>
        <w:t xml:space="preserve"> </w:t>
      </w:r>
      <w:r>
        <w:rPr>
          <w:b/>
          <w:sz w:val="24"/>
          <w:szCs w:val="24"/>
        </w:rPr>
        <w:t xml:space="preserve">DA</w:t>
      </w:r>
      <w:r>
        <w:rPr>
          <w:b/>
          <w:spacing w:val="-2"/>
          <w:sz w:val="24"/>
          <w:szCs w:val="24"/>
        </w:rPr>
        <w:t xml:space="preserve"> </w:t>
      </w:r>
      <w:r>
        <w:rPr>
          <w:b/>
          <w:sz w:val="24"/>
          <w:szCs w:val="24"/>
        </w:rPr>
        <w:t xml:space="preserve">PROPOSTA</w:t>
      </w:r>
      <w:r>
        <w:rPr>
          <w:b/>
          <w:spacing w:val="-1"/>
          <w:sz w:val="24"/>
          <w:szCs w:val="24"/>
        </w:rPr>
        <w:t xml:space="preserve"> </w:t>
      </w:r>
      <w:r>
        <w:rPr>
          <w:b/>
          <w:sz w:val="24"/>
          <w:szCs w:val="24"/>
        </w:rPr>
        <w:t xml:space="preserve">E</w:t>
      </w:r>
      <w:r>
        <w:rPr>
          <w:b/>
          <w:spacing w:val="-3"/>
          <w:sz w:val="24"/>
          <w:szCs w:val="24"/>
        </w:rPr>
        <w:t xml:space="preserve"> </w:t>
      </w:r>
      <w:r>
        <w:rPr>
          <w:b/>
          <w:sz w:val="24"/>
          <w:szCs w:val="24"/>
        </w:rPr>
        <w:t xml:space="preserve">DOS</w:t>
      </w:r>
      <w:r>
        <w:rPr>
          <w:b/>
          <w:spacing w:val="-2"/>
          <w:sz w:val="24"/>
          <w:szCs w:val="24"/>
        </w:rPr>
        <w:t xml:space="preserve"> </w:t>
      </w:r>
      <w:r>
        <w:rPr>
          <w:b/>
          <w:sz w:val="24"/>
          <w:szCs w:val="24"/>
        </w:rPr>
        <w:t xml:space="preserve">DOCUMENTOS</w:t>
      </w:r>
      <w:r>
        <w:rPr>
          <w:b/>
          <w:spacing w:val="-1"/>
          <w:sz w:val="24"/>
          <w:szCs w:val="24"/>
        </w:rPr>
        <w:t xml:space="preserve"> </w:t>
      </w:r>
      <w:r>
        <w:rPr>
          <w:b/>
          <w:sz w:val="24"/>
          <w:szCs w:val="24"/>
        </w:rPr>
        <w:t xml:space="preserve">DE</w:t>
      </w:r>
      <w:r>
        <w:rPr>
          <w:b/>
          <w:spacing w:val="-4"/>
          <w:sz w:val="24"/>
          <w:szCs w:val="24"/>
        </w:rPr>
        <w:t xml:space="preserve"> </w:t>
      </w:r>
      <w:r>
        <w:rPr>
          <w:b/>
          <w:sz w:val="24"/>
          <w:szCs w:val="24"/>
        </w:rPr>
        <w:t xml:space="preserve">HABILITAÇÃO:</w:t>
      </w:r>
      <w:bookmarkEnd w:id="25"/>
      <w:r/>
      <w:r>
        <w:rPr>
          <w:b/>
          <w:sz w:val="24"/>
          <w:szCs w:val="24"/>
        </w:rPr>
      </w:r>
    </w:p>
    <w:p>
      <w:pPr>
        <w:pStyle w:val="969"/>
        <w:numPr>
          <w:ilvl w:val="1"/>
          <w:numId w:val="12"/>
        </w:numPr>
        <w:pBdr/>
        <w:spacing w:after="240" w:line="280" w:lineRule="atLeast"/>
        <w:ind w:firstLine="0" w:left="0"/>
        <w:rPr>
          <w:b/>
          <w:sz w:val="24"/>
          <w:szCs w:val="24"/>
          <w:u w:val="single"/>
        </w:rPr>
      </w:pPr>
      <w:r>
        <w:rPr>
          <w:sz w:val="24"/>
          <w:szCs w:val="24"/>
        </w:rPr>
        <w:t xml:space="preserve">Na presente licitação, a </w:t>
      </w:r>
      <w:r>
        <w:rPr>
          <w:b/>
          <w:sz w:val="24"/>
          <w:szCs w:val="24"/>
        </w:rPr>
        <w:t xml:space="preserve">fase de habilitação sucederá</w:t>
      </w:r>
      <w:r>
        <w:rPr>
          <w:sz w:val="24"/>
          <w:szCs w:val="24"/>
        </w:rPr>
        <w:t xml:space="preserve"> as fases de apresentação de propostas e lances e de julgamento.</w:t>
      </w:r>
      <w:bookmarkStart w:id="26" w:name="_Ref113886867"/>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Os licitantes encaminharão, exclusivamente por meio do sistema eletrônico, a proposta com o preço ou o </w:t>
      </w:r>
      <w:r>
        <w:rPr>
          <w:b/>
          <w:sz w:val="24"/>
          <w:szCs w:val="24"/>
        </w:rPr>
        <w:t xml:space="preserve">percentual de desconto</w:t>
      </w:r>
      <w:r>
        <w:rPr>
          <w:sz w:val="24"/>
          <w:szCs w:val="24"/>
        </w:rPr>
        <w:t xml:space="preserve">, conforme o critério de julgamento adotado neste Edital, até a data e o horário estabelecidos para abertura da sessão pública.</w:t>
      </w:r>
      <w:bookmarkStart w:id="27" w:name="_Ref113889589"/>
      <w:r/>
      <w:bookmarkEnd w:id="26"/>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Caso a fase de habilitação anteceda as</w:t>
      </w:r>
      <w:r>
        <w:rPr>
          <w:sz w:val="24"/>
          <w:szCs w:val="24"/>
        </w:rPr>
        <w:t xml:space="preserve"> fases de apresentação de propostas e lances, os licitantes encaminharão, na forma e no prazo estabelecidos no item anterior, simultaneamente os documentos de habilitação e a proposta com o preço ou o percentual de desconto, observado o disposto nos itens </w:t>
      </w:r>
      <w:r>
        <w:rPr>
          <w:b/>
          <w:sz w:val="24"/>
          <w:szCs w:val="24"/>
          <w:highlight w:val="yellow"/>
        </w:rPr>
        <w:fldChar w:fldCharType="begin"/>
      </w:r>
      <w:r>
        <w:rPr>
          <w:b/>
          <w:sz w:val="24"/>
          <w:szCs w:val="24"/>
        </w:rPr>
        <w:instrText xml:space="preserve"> REF _Ref114663777 \r \h </w:instrText>
      </w:r>
      <w:r>
        <w:rPr>
          <w:b/>
          <w:sz w:val="24"/>
          <w:szCs w:val="24"/>
          <w:highlight w:val="yellow"/>
        </w:rPr>
        <w:instrText xml:space="preserve"> \* MERGEFORMAT </w:instrText>
      </w:r>
      <w:r>
        <w:rPr>
          <w:b/>
          <w:sz w:val="24"/>
          <w:szCs w:val="24"/>
          <w:highlight w:val="yellow"/>
        </w:rPr>
        <w:fldChar w:fldCharType="separate"/>
      </w:r>
      <w:r>
        <w:rPr>
          <w:b/>
          <w:sz w:val="24"/>
          <w:szCs w:val="24"/>
        </w:rPr>
        <w:t xml:space="preserve">13.1</w:t>
      </w:r>
      <w:r>
        <w:rPr>
          <w:b/>
          <w:sz w:val="24"/>
          <w:szCs w:val="24"/>
          <w:highlight w:val="yellow"/>
        </w:rPr>
        <w:fldChar w:fldCharType="end"/>
      </w:r>
      <w:r>
        <w:rPr>
          <w:sz w:val="24"/>
          <w:szCs w:val="24"/>
        </w:rPr>
        <w:t xml:space="preserve"> e </w:t>
      </w:r>
      <w:r>
        <w:rPr>
          <w:b/>
          <w:sz w:val="24"/>
          <w:szCs w:val="24"/>
        </w:rPr>
        <w:fldChar w:fldCharType="begin"/>
      </w:r>
      <w:r>
        <w:rPr>
          <w:b/>
          <w:sz w:val="24"/>
          <w:szCs w:val="24"/>
        </w:rPr>
        <w:instrText xml:space="preserve"> REF _Ref114663151 \r \h  \* MERGEFORMAT </w:instrText>
      </w:r>
      <w:r>
        <w:rPr>
          <w:b/>
          <w:sz w:val="24"/>
          <w:szCs w:val="24"/>
        </w:rPr>
        <w:fldChar w:fldCharType="separate"/>
      </w:r>
      <w:r>
        <w:rPr>
          <w:b/>
          <w:sz w:val="24"/>
          <w:szCs w:val="24"/>
        </w:rPr>
        <w:t xml:space="preserve">13.11.1</w:t>
      </w:r>
      <w:r>
        <w:rPr>
          <w:b/>
          <w:sz w:val="24"/>
          <w:szCs w:val="24"/>
        </w:rPr>
        <w:fldChar w:fldCharType="end"/>
      </w:r>
      <w:r>
        <w:rPr>
          <w:b/>
          <w:sz w:val="24"/>
          <w:szCs w:val="24"/>
        </w:rPr>
        <w:t xml:space="preserve"> </w:t>
      </w:r>
      <w:r>
        <w:rPr>
          <w:sz w:val="24"/>
          <w:szCs w:val="24"/>
        </w:rPr>
        <w:t xml:space="preserve">deste Edital.</w:t>
      </w:r>
      <w:bookmarkStart w:id="28" w:name="_Ref113968921"/>
      <w:r/>
      <w:bookmarkEnd w:id="27"/>
      <w:r/>
      <w:r>
        <w:rPr>
          <w:b/>
          <w:sz w:val="24"/>
          <w:szCs w:val="24"/>
          <w:u w:val="single"/>
        </w:rPr>
      </w:r>
    </w:p>
    <w:p>
      <w:pPr>
        <w:pStyle w:val="969"/>
        <w:numPr>
          <w:ilvl w:val="1"/>
          <w:numId w:val="12"/>
        </w:numPr>
        <w:pBdr/>
        <w:spacing w:after="240" w:line="280" w:lineRule="atLeast"/>
        <w:ind w:firstLine="0" w:left="0"/>
        <w:rPr>
          <w:b/>
          <w:sz w:val="24"/>
          <w:szCs w:val="24"/>
          <w:u w:val="single"/>
        </w:rPr>
      </w:pPr>
      <w:r>
        <w:rPr>
          <w:sz w:val="24"/>
          <w:szCs w:val="24"/>
        </w:rPr>
        <w:t xml:space="preserve">No cadastramento da proposta inicial, o licitante declarará, em campo próprio do sistema, que:</w:t>
      </w:r>
      <w:bookmarkEnd w:id="28"/>
      <w:r/>
      <w:r>
        <w:rPr>
          <w:b/>
          <w:sz w:val="24"/>
          <w:szCs w:val="24"/>
          <w:u w:val="single"/>
        </w:rPr>
      </w:r>
    </w:p>
    <w:p>
      <w:pPr>
        <w:pStyle w:val="969"/>
        <w:numPr>
          <w:ilvl w:val="2"/>
          <w:numId w:val="12"/>
        </w:numPr>
        <w:pBdr/>
        <w:tabs>
          <w:tab w:val="left" w:leader="none" w:pos="851"/>
          <w:tab w:val="left" w:leader="none" w:pos="1560"/>
        </w:tabs>
        <w:spacing w:after="240" w:line="280" w:lineRule="atLeast"/>
        <w:ind w:firstLine="0" w:left="0"/>
        <w:rPr>
          <w:b/>
          <w:sz w:val="24"/>
          <w:szCs w:val="24"/>
          <w:u w:val="single"/>
        </w:rPr>
      </w:pPr>
      <w:r>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w:t>
      </w:r>
      <w:r>
        <w:rPr>
          <w:sz w:val="24"/>
          <w:szCs w:val="24"/>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b/>
          <w:sz w:val="24"/>
          <w:szCs w:val="24"/>
          <w:u w:val="single"/>
        </w:rPr>
      </w:r>
    </w:p>
    <w:p>
      <w:pPr>
        <w:pStyle w:val="969"/>
        <w:numPr>
          <w:ilvl w:val="2"/>
          <w:numId w:val="12"/>
        </w:numPr>
        <w:pBdr/>
        <w:tabs>
          <w:tab w:val="left" w:leader="none" w:pos="851"/>
          <w:tab w:val="left" w:leader="none" w:pos="1560"/>
        </w:tabs>
        <w:spacing w:after="240" w:line="280" w:lineRule="atLeast"/>
        <w:ind w:firstLine="0" w:left="0"/>
        <w:rPr>
          <w:b/>
          <w:sz w:val="24"/>
          <w:szCs w:val="24"/>
          <w:u w:val="single"/>
        </w:rPr>
      </w:pPr>
      <w:r>
        <w:rPr>
          <w:sz w:val="24"/>
          <w:szCs w:val="24"/>
        </w:rPr>
        <w:t xml:space="preserve">não emprega menor de 18 anos em trabalho noturno, perigoso ou insalubre e não emprega menor de 16 anos, salvo menor, a partir de 14 anos, na condição de aprendiz, nos termos do </w:t>
      </w:r>
      <w:hyperlink r:id="rId24" w:tooltip="https://www.planalto.gov.br/ccivil_03/constituicao/constituicaocompilado.htm#art7" w:anchor="art7" w:history="1">
        <w:r>
          <w:rPr>
            <w:rStyle w:val="953"/>
            <w:sz w:val="24"/>
            <w:szCs w:val="24"/>
          </w:rPr>
          <w:t xml:space="preserve">artigo 7°, XXXIII, da Constituição</w:t>
        </w:r>
      </w:hyperlink>
      <w:r>
        <w:rPr>
          <w:sz w:val="24"/>
          <w:szCs w:val="24"/>
        </w:rPr>
        <w:t xml:space="preserve">;</w:t>
      </w:r>
      <w:r>
        <w:rPr>
          <w:b/>
          <w:sz w:val="24"/>
          <w:szCs w:val="24"/>
          <w:u w:val="single"/>
        </w:rPr>
      </w:r>
    </w:p>
    <w:p>
      <w:pPr>
        <w:pStyle w:val="969"/>
        <w:numPr>
          <w:ilvl w:val="2"/>
          <w:numId w:val="12"/>
        </w:numPr>
        <w:pBdr/>
        <w:tabs>
          <w:tab w:val="left" w:leader="none" w:pos="851"/>
          <w:tab w:val="left" w:leader="none" w:pos="1560"/>
        </w:tabs>
        <w:spacing w:after="240" w:line="280" w:lineRule="atLeast"/>
        <w:ind w:firstLine="0" w:left="0"/>
        <w:rPr>
          <w:b/>
          <w:sz w:val="24"/>
          <w:szCs w:val="24"/>
          <w:u w:val="single"/>
        </w:rPr>
      </w:pPr>
      <w:r>
        <w:rPr>
          <w:sz w:val="24"/>
          <w:szCs w:val="24"/>
        </w:rPr>
        <w:t xml:space="preserve">não possui empregados executando trabalho degradante ou forçado, observando o disposto nos </w:t>
      </w:r>
      <w:hyperlink r:id="rId25" w:tooltip="https://www.planalto.gov.br/ccivil_03/constituicao/constituicaocompilado.htm" w:history="1">
        <w:r>
          <w:rPr>
            <w:rStyle w:val="953"/>
            <w:sz w:val="24"/>
            <w:szCs w:val="24"/>
          </w:rPr>
          <w:t xml:space="preserve">incisos III e IV do art. 1º e no inciso III do art. 5º da Constituição Federal</w:t>
        </w:r>
      </w:hyperlink>
      <w:r>
        <w:rPr>
          <w:sz w:val="24"/>
          <w:szCs w:val="24"/>
        </w:rPr>
        <w:t xml:space="preserve">;</w:t>
      </w:r>
      <w:r>
        <w:rPr>
          <w:b/>
          <w:sz w:val="24"/>
          <w:szCs w:val="24"/>
          <w:u w:val="single"/>
        </w:rPr>
      </w:r>
    </w:p>
    <w:p>
      <w:pPr>
        <w:pStyle w:val="969"/>
        <w:numPr>
          <w:ilvl w:val="2"/>
          <w:numId w:val="12"/>
        </w:numPr>
        <w:pBdr/>
        <w:tabs>
          <w:tab w:val="left" w:leader="none" w:pos="851"/>
          <w:tab w:val="left" w:leader="none" w:pos="1560"/>
        </w:tabs>
        <w:spacing w:after="240" w:line="280" w:lineRule="atLeast"/>
        <w:ind w:firstLine="0" w:left="0"/>
        <w:rPr>
          <w:b/>
          <w:sz w:val="24"/>
          <w:szCs w:val="24"/>
          <w:u w:val="single"/>
        </w:rPr>
      </w:pPr>
      <w:r>
        <w:rPr>
          <w:sz w:val="24"/>
          <w:szCs w:val="24"/>
        </w:rPr>
        <w:t xml:space="preserve">cumpre as exigências de reserva de cargos para pessoa com deficiência e para reabilitado da Previdência Social, previstas em lei e em outras normas específicas.</w:t>
      </w:r>
      <w:r>
        <w:rPr>
          <w:b/>
          <w:sz w:val="24"/>
          <w:szCs w:val="24"/>
          <w:u w:val="single"/>
        </w:rPr>
      </w:r>
    </w:p>
    <w:p>
      <w:pPr>
        <w:pStyle w:val="1142"/>
        <w:numPr>
          <w:ilvl w:val="1"/>
          <w:numId w:val="12"/>
        </w:numPr>
        <w:pBdr/>
        <w:spacing/>
        <w:ind w:firstLine="0" w:left="0"/>
        <w:rPr>
          <w:sz w:val="24"/>
          <w:szCs w:val="24"/>
        </w:rPr>
      </w:pPr>
      <w:r>
        <w:rPr>
          <w:sz w:val="24"/>
          <w:szCs w:val="24"/>
        </w:rPr>
        <w:t xml:space="preserve">O licitante organizado em cooperativa deverá declarar, ainda, em campo próprio do sistema eletrônico, que cumpre os requisitos estabelecidos no </w:t>
      </w:r>
      <w:hyperlink r:id="rId26" w:tooltip="http://www.planalto.gov.br/ccivil_03/_ato2019-2022/2021/lei/L14133.htm#art16" w:anchor="art16" w:history="1">
        <w:r>
          <w:rPr>
            <w:rStyle w:val="953"/>
            <w:sz w:val="24"/>
            <w:szCs w:val="24"/>
          </w:rPr>
          <w:t xml:space="preserve">artigo 16 da Lei nº 14.133, de 2021</w:t>
        </w:r>
      </w:hyperlink>
      <w:r>
        <w:rPr>
          <w:sz w:val="24"/>
          <w:szCs w:val="24"/>
        </w:rPr>
        <w:t xml:space="preserve">.</w:t>
      </w:r>
      <w:r>
        <w:rPr>
          <w:sz w:val="24"/>
          <w:szCs w:val="24"/>
        </w:rPr>
      </w:r>
    </w:p>
    <w:p>
      <w:pPr>
        <w:pStyle w:val="1142"/>
        <w:numPr>
          <w:ilvl w:val="1"/>
          <w:numId w:val="12"/>
        </w:numPr>
        <w:pBdr/>
        <w:spacing/>
        <w:ind w:firstLine="0" w:left="0"/>
        <w:rPr>
          <w:rStyle w:val="953"/>
          <w:color w:val="000000"/>
          <w:sz w:val="24"/>
          <w:szCs w:val="24"/>
          <w:u w:val="none"/>
        </w:rPr>
      </w:pPr>
      <w:r/>
      <w:bookmarkStart w:id="29" w:name="_Ref117000019"/>
      <w:r>
        <w:rPr>
          <w:sz w:val="24"/>
          <w:szCs w:val="24"/>
        </w:rPr>
        <w:t xml:space="preserve">O fornecedor enquadrado como microempresa, empresa de pequeno porte ou sociedade cooperativa deverá declarar, ainda, em campo próprio do sistema eletrônico, que cumpre os requisitos estabelecidos no </w:t>
      </w:r>
      <w:hyperlink r:id="rId27" w:tooltip="https://www.planalto.gov.br/ccivil_03/leis/lcp/lcp123.htm#art3" w:anchor="art3" w:history="1">
        <w:r>
          <w:rPr>
            <w:rStyle w:val="953"/>
            <w:sz w:val="24"/>
            <w:szCs w:val="24"/>
          </w:rPr>
          <w:t xml:space="preserve">artigo 3° da Lei Complementar nº 123, de 2006</w:t>
        </w:r>
      </w:hyperlink>
      <w:r>
        <w:rPr>
          <w:sz w:val="24"/>
          <w:szCs w:val="24"/>
        </w:rPr>
        <w:t xml:space="preserve">, estando apto a usufruir do tratamento favorecido estabelecido em seus </w:t>
      </w:r>
      <w:bookmarkEnd w:id="29"/>
      <w:r>
        <w:fldChar w:fldCharType="begin"/>
      </w:r>
      <w:r>
        <w:rPr>
          <w:sz w:val="24"/>
          <w:szCs w:val="24"/>
        </w:rPr>
        <w:instrText xml:space="preserve">HYPERLINK "https://www.planalto.gov.br/ccivil_03/leis/lcp/lcp123.htm" \l "art42"</w:instrText>
      </w:r>
      <w:r>
        <w:fldChar w:fldCharType="separate"/>
      </w:r>
      <w:r>
        <w:rPr>
          <w:rStyle w:val="953"/>
          <w:sz w:val="24"/>
          <w:szCs w:val="24"/>
        </w:rPr>
        <w:t xml:space="preserve">arts</w:t>
      </w:r>
      <w:r>
        <w:rPr>
          <w:rStyle w:val="953"/>
          <w:sz w:val="24"/>
          <w:szCs w:val="24"/>
        </w:rPr>
        <w:t xml:space="preserve">. 42 a 49</w:t>
      </w:r>
      <w:r>
        <w:rPr>
          <w:rStyle w:val="953"/>
          <w:sz w:val="24"/>
          <w:szCs w:val="24"/>
        </w:rPr>
        <w:fldChar w:fldCharType="end"/>
      </w:r>
      <w:r>
        <w:rPr>
          <w:sz w:val="24"/>
          <w:szCs w:val="24"/>
        </w:rPr>
        <w:t xml:space="preserve">, observado o disposto nos </w:t>
      </w:r>
      <w:hyperlink r:id="rId28" w:tooltip="http://www.planalto.gov.br/ccivil_03/_ato2019-2022/2021/lei/L14133.htm#art4§1" w:anchor="art4§1" w:history="1">
        <w:r>
          <w:rPr>
            <w:rStyle w:val="953"/>
            <w:sz w:val="24"/>
            <w:szCs w:val="24"/>
          </w:rPr>
          <w:t xml:space="preserve">§§ 1º ao 3º do art. 4º, da Lei n.º 14.133, de 2021.</w:t>
        </w:r>
      </w:hyperlink>
      <w:r/>
      <w:r>
        <w:rPr>
          <w:rStyle w:val="953"/>
          <w:color w:val="000000"/>
          <w:sz w:val="24"/>
          <w:szCs w:val="24"/>
          <w:u w:val="none"/>
        </w:rPr>
      </w:r>
    </w:p>
    <w:p>
      <w:pPr>
        <w:pStyle w:val="1142"/>
        <w:numPr>
          <w:ilvl w:val="2"/>
          <w:numId w:val="12"/>
        </w:numPr>
        <w:pBdr/>
        <w:tabs>
          <w:tab w:val="left" w:leader="none" w:pos="851"/>
          <w:tab w:val="left" w:leader="none" w:pos="1560"/>
          <w:tab w:val="left" w:leader="none" w:pos="1701"/>
          <w:tab w:val="left" w:leader="none" w:pos="1843"/>
        </w:tabs>
        <w:spacing/>
        <w:ind w:firstLine="0" w:left="0"/>
        <w:rPr>
          <w:sz w:val="24"/>
          <w:szCs w:val="24"/>
        </w:rPr>
      </w:pPr>
      <w:r>
        <w:rPr>
          <w:sz w:val="24"/>
          <w:szCs w:val="24"/>
        </w:rPr>
        <w:t xml:space="preserve">no item exclusivo para participação de microempresas e empresas de pequeno porte, a assinalação do campo “não” impedirá o prosseguimento no certame, para aquele item;</w:t>
      </w:r>
      <w:r>
        <w:rPr>
          <w:sz w:val="24"/>
          <w:szCs w:val="24"/>
        </w:rPr>
      </w:r>
    </w:p>
    <w:p>
      <w:pPr>
        <w:pStyle w:val="1142"/>
        <w:numPr>
          <w:ilvl w:val="2"/>
          <w:numId w:val="12"/>
        </w:numPr>
        <w:pBdr/>
        <w:tabs>
          <w:tab w:val="left" w:leader="none" w:pos="851"/>
          <w:tab w:val="left" w:leader="none" w:pos="1560"/>
          <w:tab w:val="left" w:leader="none" w:pos="1701"/>
          <w:tab w:val="left" w:leader="none" w:pos="1843"/>
        </w:tabs>
        <w:spacing/>
        <w:ind w:firstLine="0" w:left="0"/>
        <w:rPr>
          <w:sz w:val="24"/>
          <w:szCs w:val="24"/>
        </w:rPr>
      </w:pPr>
      <w:r>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9" w:tooltip="https://www.planalto.gov.br/ccivil_03/leis/lcp/lcp123.htm" w:history="1">
        <w:r>
          <w:rPr>
            <w:rStyle w:val="953"/>
            <w:sz w:val="24"/>
            <w:szCs w:val="24"/>
          </w:rPr>
          <w:t xml:space="preserve">Lei Complementar nº 123, de 2006</w:t>
        </w:r>
      </w:hyperlink>
      <w:r>
        <w:rPr>
          <w:sz w:val="24"/>
          <w:szCs w:val="24"/>
        </w:rPr>
        <w:t xml:space="preserve">, mesmo que microempresa, empresa de pequeno porte ou sociedade cooperativa.</w:t>
      </w:r>
      <w:r>
        <w:rPr>
          <w:sz w:val="24"/>
          <w:szCs w:val="24"/>
        </w:rPr>
      </w:r>
    </w:p>
    <w:p>
      <w:pPr>
        <w:pStyle w:val="1142"/>
        <w:numPr>
          <w:ilvl w:val="1"/>
          <w:numId w:val="12"/>
        </w:numPr>
        <w:pBdr/>
        <w:spacing/>
        <w:ind w:firstLine="0" w:left="0"/>
        <w:rPr>
          <w:sz w:val="24"/>
          <w:szCs w:val="24"/>
        </w:rPr>
      </w:pPr>
      <w:r>
        <w:rPr>
          <w:sz w:val="24"/>
          <w:szCs w:val="24"/>
        </w:rPr>
        <w:t xml:space="preserve">A falsidade da declaração de que trata os </w:t>
      </w:r>
      <w:r>
        <w:rPr>
          <w:b/>
          <w:sz w:val="24"/>
          <w:szCs w:val="24"/>
        </w:rPr>
        <w:t xml:space="preserve">itens </w:t>
      </w:r>
      <w:r>
        <w:rPr>
          <w:b/>
          <w:sz w:val="24"/>
          <w:szCs w:val="24"/>
        </w:rPr>
        <w:fldChar w:fldCharType="begin"/>
      </w:r>
      <w:r>
        <w:rPr>
          <w:b/>
          <w:sz w:val="24"/>
          <w:szCs w:val="24"/>
        </w:rPr>
        <w:instrText xml:space="preserve"> REF _Ref113968921 \r \h  \* MERGEFORMAT </w:instrText>
      </w:r>
      <w:r>
        <w:rPr>
          <w:b/>
          <w:sz w:val="24"/>
          <w:szCs w:val="24"/>
        </w:rPr>
        <w:fldChar w:fldCharType="separate"/>
      </w:r>
      <w:r>
        <w:rPr>
          <w:b/>
          <w:sz w:val="24"/>
          <w:szCs w:val="24"/>
        </w:rPr>
        <w:t xml:space="preserve">9.3</w:t>
      </w:r>
      <w:r>
        <w:rPr>
          <w:b/>
          <w:sz w:val="24"/>
          <w:szCs w:val="24"/>
        </w:rPr>
        <w:fldChar w:fldCharType="end"/>
      </w:r>
      <w:r>
        <w:rPr>
          <w:b/>
          <w:sz w:val="24"/>
          <w:szCs w:val="24"/>
        </w:rPr>
        <w:t xml:space="preserve"> ou </w:t>
      </w:r>
      <w:r>
        <w:rPr>
          <w:b/>
          <w:sz w:val="24"/>
          <w:szCs w:val="24"/>
        </w:rPr>
        <w:fldChar w:fldCharType="begin"/>
      </w:r>
      <w:r>
        <w:rPr>
          <w:b/>
          <w:sz w:val="24"/>
          <w:szCs w:val="24"/>
        </w:rPr>
        <w:instrText xml:space="preserve"> REF _Ref117000019 \r \h  \* MERGEFORMAT </w:instrText>
      </w:r>
      <w:r>
        <w:rPr>
          <w:b/>
          <w:sz w:val="24"/>
          <w:szCs w:val="24"/>
        </w:rPr>
        <w:fldChar w:fldCharType="separate"/>
      </w:r>
      <w:r>
        <w:rPr>
          <w:b/>
          <w:sz w:val="24"/>
          <w:szCs w:val="24"/>
        </w:rPr>
        <w:t xml:space="preserve">9.6</w:t>
      </w:r>
      <w:r>
        <w:rPr>
          <w:b/>
          <w:sz w:val="24"/>
          <w:szCs w:val="24"/>
        </w:rPr>
        <w:fldChar w:fldCharType="end"/>
      </w:r>
      <w:r>
        <w:rPr>
          <w:sz w:val="24"/>
          <w:szCs w:val="24"/>
        </w:rPr>
        <w:t xml:space="preserve"> sujeitará o licitante às sanções previstas na </w:t>
      </w:r>
      <w:hyperlink r:id="rId30" w:tooltip="http://www.planalto.gov.br/ccivil_03/_ato2019-2022/2021/lei/L14133.htm" w:history="1">
        <w:r>
          <w:rPr>
            <w:rStyle w:val="953"/>
            <w:sz w:val="24"/>
            <w:szCs w:val="24"/>
          </w:rPr>
          <w:t xml:space="preserve">Lei nº 14.133, de 2021</w:t>
        </w:r>
      </w:hyperlink>
      <w:r>
        <w:rPr>
          <w:sz w:val="24"/>
          <w:szCs w:val="24"/>
        </w:rPr>
        <w:t xml:space="preserve">, e neste Edital.</w:t>
      </w:r>
      <w:r>
        <w:rPr>
          <w:sz w:val="24"/>
          <w:szCs w:val="24"/>
        </w:rPr>
      </w:r>
    </w:p>
    <w:p>
      <w:pPr>
        <w:pStyle w:val="1142"/>
        <w:numPr>
          <w:ilvl w:val="1"/>
          <w:numId w:val="12"/>
        </w:numPr>
        <w:pBdr/>
        <w:spacing/>
        <w:ind w:firstLine="0" w:left="0"/>
        <w:rPr>
          <w:sz w:val="24"/>
          <w:szCs w:val="24"/>
        </w:rPr>
      </w:pPr>
      <w:r>
        <w:rPr>
          <w:sz w:val="24"/>
          <w:szCs w:val="24"/>
        </w:rPr>
        <w:t xml:space="preserve">Os licitante</w:t>
      </w:r>
      <w:r>
        <w:rPr>
          <w:sz w:val="24"/>
          <w:szCs w:val="24"/>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sz w:val="24"/>
          <w:szCs w:val="24"/>
        </w:rPr>
      </w:r>
    </w:p>
    <w:p>
      <w:pPr>
        <w:pStyle w:val="1142"/>
        <w:numPr>
          <w:ilvl w:val="1"/>
          <w:numId w:val="12"/>
        </w:numPr>
        <w:pBdr/>
        <w:spacing/>
        <w:ind w:firstLine="0" w:left="0"/>
        <w:rPr>
          <w:sz w:val="24"/>
          <w:szCs w:val="24"/>
        </w:rPr>
      </w:pPr>
      <w:r>
        <w:rPr>
          <w:sz w:val="24"/>
          <w:szCs w:val="24"/>
        </w:rPr>
        <w:t xml:space="preserve">Não haverá ordem de classificação na etapa de apresentação da proposta e dos documentos de habilitação pelo licitante, o que ocorrerá somente após os procedimentos de abertura da sessão pública e da fase de envio de lances.</w:t>
      </w:r>
      <w:r>
        <w:rPr>
          <w:sz w:val="24"/>
          <w:szCs w:val="24"/>
        </w:rPr>
      </w:r>
    </w:p>
    <w:p>
      <w:pPr>
        <w:pStyle w:val="1142"/>
        <w:numPr>
          <w:ilvl w:val="1"/>
          <w:numId w:val="12"/>
        </w:numPr>
        <w:pBdr/>
        <w:spacing/>
        <w:ind w:firstLine="0" w:left="0"/>
        <w:rPr>
          <w:sz w:val="24"/>
          <w:szCs w:val="24"/>
        </w:rPr>
      </w:pPr>
      <w:r>
        <w:rPr>
          <w:sz w:val="24"/>
          <w:szCs w:val="24"/>
        </w:rPr>
        <w:t xml:space="preserve">Serão disponibilizados para acesso público os documentos que compõem a proposta dos licitantes convocados para apresentação de propostas, após a fase de envio de lances.</w:t>
      </w:r>
      <w:bookmarkStart w:id="30" w:name="_Ref116992247"/>
      <w:r/>
      <w:r>
        <w:rPr>
          <w:sz w:val="24"/>
          <w:szCs w:val="24"/>
        </w:rPr>
      </w:r>
    </w:p>
    <w:p>
      <w:pPr>
        <w:pStyle w:val="1142"/>
        <w:numPr>
          <w:ilvl w:val="1"/>
          <w:numId w:val="12"/>
        </w:numPr>
        <w:pBdr/>
        <w:spacing/>
        <w:ind w:firstLine="0" w:left="0"/>
        <w:rPr>
          <w:sz w:val="24"/>
          <w:szCs w:val="24"/>
        </w:rPr>
      </w:pPr>
      <w:r>
        <w:rPr>
          <w:sz w:val="24"/>
          <w:szCs w:val="24"/>
        </w:rPr>
        <w:t xml:space="preserve">Desde que disponibilizada a funcionalidade no sistema, o licitante poderá parametrizar o seu valor final mínimo ou o seu percentual de desconto máximo quando do cadastramento da proposta e obedecerá às seguintes regras:</w:t>
      </w:r>
      <w:bookmarkEnd w:id="30"/>
      <w:r/>
      <w:r>
        <w:rPr>
          <w:sz w:val="24"/>
          <w:szCs w:val="24"/>
        </w:rPr>
      </w:r>
    </w:p>
    <w:p>
      <w:pPr>
        <w:pStyle w:val="1142"/>
        <w:numPr>
          <w:ilvl w:val="2"/>
          <w:numId w:val="12"/>
        </w:numPr>
        <w:pBdr/>
        <w:tabs>
          <w:tab w:val="left" w:leader="none" w:pos="993"/>
          <w:tab w:val="left" w:leader="none" w:pos="1701"/>
        </w:tabs>
        <w:spacing/>
        <w:ind w:firstLine="0" w:left="0"/>
        <w:rPr>
          <w:sz w:val="24"/>
          <w:szCs w:val="24"/>
        </w:rPr>
      </w:pPr>
      <w:r>
        <w:rPr>
          <w:sz w:val="24"/>
          <w:szCs w:val="24"/>
        </w:rPr>
        <w:t xml:space="preserve">a aplicação do intervalo mínimo de diferença de valores ou de percentuais entre os lances, que incidirá tanto em relação aos lances intermediários quanto em relação ao lance que cobrir a melhor oferta; e</w:t>
      </w:r>
      <w:r>
        <w:rPr>
          <w:sz w:val="24"/>
          <w:szCs w:val="24"/>
        </w:rPr>
      </w:r>
    </w:p>
    <w:p>
      <w:pPr>
        <w:pStyle w:val="1142"/>
        <w:numPr>
          <w:ilvl w:val="2"/>
          <w:numId w:val="12"/>
        </w:numPr>
        <w:pBdr/>
        <w:tabs>
          <w:tab w:val="left" w:leader="none" w:pos="993"/>
          <w:tab w:val="left" w:leader="none" w:pos="1560"/>
          <w:tab w:val="left" w:leader="none" w:pos="1701"/>
        </w:tabs>
        <w:spacing/>
        <w:ind w:firstLine="0" w:left="0"/>
        <w:rPr>
          <w:sz w:val="24"/>
          <w:szCs w:val="24"/>
        </w:rPr>
      </w:pPr>
      <w:r>
        <w:rPr>
          <w:sz w:val="24"/>
          <w:szCs w:val="24"/>
        </w:rPr>
        <w:t xml:space="preserve">os lances serão de envio automático pelo sistema, respeitado o valor final mínimo, caso estabelecido, e o intervalo de que trata o subitem acima.</w:t>
      </w:r>
      <w:r>
        <w:rPr>
          <w:sz w:val="24"/>
          <w:szCs w:val="24"/>
        </w:rPr>
      </w:r>
    </w:p>
    <w:p>
      <w:pPr>
        <w:pStyle w:val="1142"/>
        <w:numPr>
          <w:ilvl w:val="1"/>
          <w:numId w:val="12"/>
        </w:numPr>
        <w:pBdr/>
        <w:spacing/>
        <w:ind w:firstLine="0" w:left="0"/>
        <w:rPr>
          <w:sz w:val="24"/>
          <w:szCs w:val="24"/>
        </w:rPr>
      </w:pPr>
      <w:r>
        <w:rPr>
          <w:sz w:val="24"/>
          <w:szCs w:val="24"/>
        </w:rPr>
        <w:t xml:space="preserve">O valor final mínimo ou o percentual de desconto final máximo parametrizado no sistema poderá ser alterado pelo fornecedor durante a fase de disputa, sendo vedado:</w:t>
      </w:r>
      <w:r>
        <w:rPr>
          <w:sz w:val="24"/>
          <w:szCs w:val="24"/>
        </w:rPr>
      </w:r>
    </w:p>
    <w:p>
      <w:pPr>
        <w:pStyle w:val="1143"/>
        <w:numPr>
          <w:ilvl w:val="2"/>
          <w:numId w:val="12"/>
        </w:numPr>
        <w:pBdr/>
        <w:tabs>
          <w:tab w:val="left" w:leader="none" w:pos="851"/>
        </w:tabs>
        <w:spacing/>
        <w:ind w:firstLine="0" w:left="0"/>
        <w:rPr>
          <w:sz w:val="24"/>
          <w:szCs w:val="24"/>
        </w:rPr>
      </w:pPr>
      <w:r>
        <w:rPr>
          <w:sz w:val="24"/>
          <w:szCs w:val="24"/>
        </w:rPr>
        <w:t xml:space="preserve">valor superior a lance já registrado pelo fornecedor no sistema, quando adotado o critério de julgamento por menor preço; e</w:t>
      </w:r>
      <w:r>
        <w:rPr>
          <w:sz w:val="24"/>
          <w:szCs w:val="24"/>
        </w:rPr>
      </w:r>
    </w:p>
    <w:p>
      <w:pPr>
        <w:pStyle w:val="1143"/>
        <w:numPr>
          <w:ilvl w:val="2"/>
          <w:numId w:val="12"/>
        </w:numPr>
        <w:pBdr/>
        <w:tabs>
          <w:tab w:val="left" w:leader="none" w:pos="851"/>
        </w:tabs>
        <w:spacing/>
        <w:ind w:firstLine="0" w:left="0"/>
        <w:rPr>
          <w:sz w:val="24"/>
          <w:szCs w:val="24"/>
        </w:rPr>
      </w:pPr>
      <w:r>
        <w:rPr>
          <w:sz w:val="24"/>
          <w:szCs w:val="24"/>
        </w:rPr>
        <w:t xml:space="preserve">percentual de desconto inferior a lance já registrado pelo fornecedor no sistema, quando adotado o critério de julgamento por maior desconto.</w:t>
      </w:r>
      <w:r>
        <w:rPr>
          <w:sz w:val="24"/>
          <w:szCs w:val="24"/>
        </w:rPr>
      </w:r>
    </w:p>
    <w:p>
      <w:pPr>
        <w:pStyle w:val="1142"/>
        <w:numPr>
          <w:ilvl w:val="1"/>
          <w:numId w:val="12"/>
        </w:numPr>
        <w:pBdr/>
        <w:spacing/>
        <w:ind w:firstLine="0" w:left="0"/>
        <w:rPr>
          <w:sz w:val="24"/>
          <w:szCs w:val="24"/>
        </w:rPr>
      </w:pPr>
      <w:r>
        <w:rPr>
          <w:sz w:val="24"/>
          <w:szCs w:val="24"/>
        </w:rPr>
        <w:t xml:space="preserve">O valor final mínimo ou o percentual de desconto final máximo parametrizado na forma do item </w:t>
      </w:r>
      <w:r>
        <w:rPr>
          <w:b/>
          <w:sz w:val="24"/>
          <w:szCs w:val="24"/>
        </w:rPr>
        <w:t xml:space="preserve">9.10. </w:t>
      </w:r>
      <w:r>
        <w:rPr>
          <w:sz w:val="24"/>
          <w:szCs w:val="24"/>
        </w:rPr>
        <w:t xml:space="preserve">possuirá caráter sigiloso para os demais fornecedores e para o órgão ou entidade promotora da licitação, podendo ser disponibilizado estrita e permanentemente aos órgãos de controle externo e interno.</w:t>
      </w:r>
      <w:r>
        <w:rPr>
          <w:sz w:val="24"/>
          <w:szCs w:val="24"/>
        </w:rPr>
      </w:r>
    </w:p>
    <w:p>
      <w:pPr>
        <w:pStyle w:val="1142"/>
        <w:numPr>
          <w:ilvl w:val="1"/>
          <w:numId w:val="12"/>
        </w:numPr>
        <w:pBdr/>
        <w:spacing/>
        <w:ind w:firstLine="0" w:left="0"/>
        <w:rPr>
          <w:rFonts w:eastAsia="Times New Roman"/>
          <w:sz w:val="24"/>
          <w:szCs w:val="24"/>
        </w:rPr>
      </w:pPr>
      <w:r>
        <w:rPr>
          <w:rFonts w:eastAsia="Times New Roman"/>
          <w:sz w:val="24"/>
          <w:szCs w:val="24"/>
        </w:rPr>
        <w:t xml:space="preserve">Caberá ao licitante interessado em participar da licitação </w:t>
      </w:r>
      <w:r>
        <w:rPr>
          <w:sz w:val="24"/>
          <w:szCs w:val="24"/>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eastAsia="Times New Roman"/>
          <w:sz w:val="24"/>
          <w:szCs w:val="24"/>
        </w:rPr>
      </w:r>
    </w:p>
    <w:p>
      <w:pPr>
        <w:pStyle w:val="969"/>
        <w:numPr>
          <w:ilvl w:val="1"/>
          <w:numId w:val="12"/>
        </w:numPr>
        <w:pBdr/>
        <w:tabs>
          <w:tab w:val="left" w:leader="none" w:pos="0"/>
        </w:tabs>
        <w:spacing w:after="0" w:line="280" w:lineRule="atLeast"/>
        <w:ind w:firstLine="0" w:left="0"/>
        <w:rPr>
          <w:sz w:val="24"/>
          <w:szCs w:val="24"/>
        </w:rPr>
      </w:pPr>
      <w:r>
        <w:rPr>
          <w:sz w:val="24"/>
          <w:szCs w:val="24"/>
        </w:rPr>
        <w:t xml:space="preserve">O licitante deverá comunicar imediatamente ao provedor do sistema qualquer acontecimento que possa comprometer o sigilo ou a segurança, para imediato bloqueio de acesso.</w:t>
      </w:r>
      <w:r>
        <w:rPr>
          <w:sz w:val="24"/>
          <w:szCs w:val="24"/>
        </w:rPr>
      </w:r>
    </w:p>
    <w:p>
      <w:pPr>
        <w:pStyle w:val="969"/>
        <w:pBdr/>
        <w:tabs>
          <w:tab w:val="left" w:leader="none" w:pos="0"/>
        </w:tabs>
        <w:spacing w:after="0" w:line="280" w:lineRule="atLeast"/>
        <w:ind w:left="-142"/>
        <w:rPr>
          <w:sz w:val="24"/>
          <w:szCs w:val="24"/>
        </w:rPr>
      </w:pPr>
      <w:r>
        <w:rPr>
          <w:sz w:val="24"/>
          <w:szCs w:val="24"/>
        </w:rPr>
      </w:r>
      <w:r>
        <w:rPr>
          <w:sz w:val="24"/>
          <w:szCs w:val="24"/>
        </w:rPr>
      </w:r>
    </w:p>
    <w:p>
      <w:pPr>
        <w:pStyle w:val="969"/>
        <w:numPr>
          <w:ilvl w:val="1"/>
          <w:numId w:val="12"/>
        </w:numPr>
        <w:pBdr/>
        <w:spacing w:before="1"/>
        <w:ind w:right="693"/>
        <w:rPr>
          <w:b/>
          <w:sz w:val="24"/>
          <w:szCs w:val="24"/>
        </w:rPr>
      </w:pPr>
      <w:r>
        <w:rPr>
          <w:b/>
          <w:sz w:val="24"/>
          <w:szCs w:val="24"/>
        </w:rPr>
        <w:t xml:space="preserve">DA APRESENTAÇÃO DO CATÁLOGO:</w:t>
      </w:r>
      <w:r>
        <w:rPr>
          <w:b/>
          <w:sz w:val="24"/>
          <w:szCs w:val="24"/>
        </w:rPr>
      </w:r>
    </w:p>
    <w:p>
      <w:pPr>
        <w:pStyle w:val="969"/>
        <w:pBdr/>
        <w:spacing w:before="1"/>
        <w:ind w:right="693" w:left="-142"/>
        <w:rPr>
          <w:sz w:val="24"/>
          <w:szCs w:val="24"/>
        </w:rPr>
      </w:pPr>
      <w:r>
        <w:rPr>
          <w:sz w:val="24"/>
          <w:szCs w:val="24"/>
        </w:rPr>
      </w:r>
      <w:r>
        <w:rPr>
          <w:sz w:val="24"/>
          <w:szCs w:val="24"/>
        </w:rPr>
      </w:r>
    </w:p>
    <w:p>
      <w:pPr>
        <w:pStyle w:val="969"/>
        <w:numPr>
          <w:ilvl w:val="2"/>
          <w:numId w:val="12"/>
        </w:numPr>
        <w:pBdr/>
        <w:tabs>
          <w:tab w:val="left" w:leader="none" w:pos="993"/>
        </w:tabs>
        <w:spacing w:before="1"/>
        <w:ind w:right="-1" w:firstLine="0" w:left="0"/>
        <w:rPr>
          <w:sz w:val="24"/>
          <w:szCs w:val="24"/>
        </w:rPr>
      </w:pPr>
      <w:r>
        <w:rPr>
          <w:sz w:val="24"/>
          <w:szCs w:val="24"/>
        </w:rPr>
        <w:t xml:space="preserve">Em caso de </w:t>
      </w:r>
      <w:r>
        <w:rPr>
          <w:b/>
          <w:sz w:val="24"/>
          <w:szCs w:val="24"/>
          <w:u w:val="single"/>
        </w:rPr>
        <w:t xml:space="preserve">equipamentos</w:t>
      </w:r>
      <w:r>
        <w:rPr>
          <w:sz w:val="24"/>
          <w:szCs w:val="24"/>
        </w:rPr>
        <w:t xml:space="preserve"> a licitante deverá “obrigatoriamente” - sob pena de desclassificação - apresentar Catálogo Técnico do objeto, emitido pelo fabricante, em original, cópia autenticada ou impressos do site do próprio fabricante. </w:t>
      </w:r>
      <w:r>
        <w:rPr>
          <w:sz w:val="24"/>
          <w:szCs w:val="24"/>
        </w:rPr>
      </w:r>
    </w:p>
    <w:p>
      <w:pPr>
        <w:pStyle w:val="969"/>
        <w:numPr>
          <w:ilvl w:val="0"/>
          <w:numId w:val="5"/>
        </w:numPr>
        <w:pBdr/>
        <w:spacing w:after="0" w:before="240"/>
        <w:ind w:right="-1" w:left="1701"/>
        <w:rPr>
          <w:sz w:val="24"/>
          <w:szCs w:val="24"/>
        </w:rPr>
      </w:pPr>
      <w:r>
        <w:rPr>
          <w:sz w:val="24"/>
          <w:szCs w:val="24"/>
        </w:rPr>
        <w:t xml:space="preserve">Os catálogos serão utilizados para conferência de todas as características exigidas para o objeto e comprovação dos seus requisitos técnicos, devendo conter no mínimo as especificações constantes na Proposta de Preços;</w:t>
      </w:r>
      <w:r>
        <w:rPr>
          <w:sz w:val="24"/>
          <w:szCs w:val="24"/>
        </w:rPr>
      </w:r>
    </w:p>
    <w:p>
      <w:pPr>
        <w:pStyle w:val="969"/>
        <w:numPr>
          <w:ilvl w:val="0"/>
          <w:numId w:val="5"/>
        </w:numPr>
        <w:pBdr/>
        <w:spacing w:after="0" w:before="240"/>
        <w:ind w:right="-1" w:left="1701"/>
        <w:rPr>
          <w:sz w:val="24"/>
          <w:szCs w:val="24"/>
        </w:rPr>
      </w:pPr>
      <w:r>
        <w:rPr>
          <w:sz w:val="24"/>
          <w:szCs w:val="24"/>
        </w:rPr>
        <w:t xml:space="preserve">Os catálogos deverão ser apresentados de forma nítida e legível, em língua po</w:t>
      </w:r>
      <w:r>
        <w:rPr>
          <w:sz w:val="24"/>
          <w:szCs w:val="24"/>
        </w:rPr>
        <w:t xml:space="preserve">rtuguesa sem rasuras ou emendas, contendo todas as características do objeto ofertado, prazo de garantia, com ilustrações/fotos do equipamento, cores disponíveis, desenho industrial discriminando as dimensões, peso, marca, modelo e especificações técnicas;</w:t>
      </w:r>
      <w:r>
        <w:rPr>
          <w:sz w:val="24"/>
          <w:szCs w:val="24"/>
        </w:rPr>
      </w:r>
    </w:p>
    <w:p>
      <w:pPr>
        <w:pStyle w:val="969"/>
        <w:numPr>
          <w:ilvl w:val="0"/>
          <w:numId w:val="5"/>
        </w:numPr>
        <w:pBdr/>
        <w:spacing w:after="0" w:before="240"/>
        <w:ind w:right="-1" w:left="1701"/>
        <w:rPr>
          <w:sz w:val="24"/>
          <w:szCs w:val="24"/>
        </w:rPr>
      </w:pPr>
      <w:r>
        <w:rPr>
          <w:sz w:val="24"/>
          <w:szCs w:val="24"/>
        </w:rPr>
        <w:t xml:space="preserve">Catálogos impressos pela Internet somente serão considerados válidos, desde que este possibilite a averiguaçã</w:t>
      </w:r>
      <w:r>
        <w:rPr>
          <w:sz w:val="24"/>
          <w:szCs w:val="24"/>
        </w:rPr>
        <w:t xml:space="preserve">o completa da descrição do objeto e conste a origem do site oficial do fabricante e que informe a “FONTE” (endereço completo http://www.fabricantex.com/produtox) do respectivo documento, possibilitando a comprovação da autenticidade do documento proposto; </w:t>
      </w:r>
      <w:r>
        <w:rPr>
          <w:sz w:val="24"/>
          <w:szCs w:val="24"/>
        </w:rPr>
      </w:r>
    </w:p>
    <w:p>
      <w:pPr>
        <w:pStyle w:val="969"/>
        <w:numPr>
          <w:ilvl w:val="0"/>
          <w:numId w:val="5"/>
        </w:numPr>
        <w:pBdr/>
        <w:spacing w:after="0" w:before="240"/>
        <w:ind w:right="-1" w:left="1701"/>
        <w:rPr>
          <w:sz w:val="24"/>
          <w:szCs w:val="24"/>
        </w:rPr>
      </w:pPr>
      <w:r>
        <w:rPr>
          <w:sz w:val="24"/>
          <w:szCs w:val="24"/>
        </w:rPr>
        <w:t xml:space="preserve">Ficam vedadas quaisquer transformações, montagens ou adaptações na especificação original do catálogo ofertado, exceto quando referidas modificações tiverem concordância expressa do fabricante; </w:t>
      </w:r>
      <w:r>
        <w:rPr>
          <w:sz w:val="24"/>
          <w:szCs w:val="24"/>
        </w:rPr>
      </w:r>
    </w:p>
    <w:p>
      <w:pPr>
        <w:pStyle w:val="969"/>
        <w:numPr>
          <w:ilvl w:val="0"/>
          <w:numId w:val="5"/>
        </w:numPr>
        <w:pBdr/>
        <w:spacing w:after="0" w:before="240"/>
        <w:ind w:right="-1" w:left="1701"/>
        <w:rPr>
          <w:sz w:val="24"/>
          <w:szCs w:val="24"/>
        </w:rPr>
      </w:pPr>
      <w:r>
        <w:rPr>
          <w:sz w:val="24"/>
          <w:szCs w:val="24"/>
        </w:rPr>
        <w:t xml:space="preserve">No caso de catálogo com diversos modelos, a proponente deverá identificar qual a marca/modelo em que estará concorrendo na licitação;</w:t>
      </w:r>
      <w:r>
        <w:rPr>
          <w:sz w:val="24"/>
          <w:szCs w:val="24"/>
        </w:rPr>
      </w:r>
    </w:p>
    <w:p>
      <w:pPr>
        <w:pStyle w:val="969"/>
        <w:numPr>
          <w:ilvl w:val="0"/>
          <w:numId w:val="5"/>
        </w:numPr>
        <w:pBdr/>
        <w:spacing w:afterAutospacing="1" w:before="240"/>
        <w:ind w:right="-1" w:left="1701"/>
        <w:rPr>
          <w:sz w:val="24"/>
          <w:szCs w:val="24"/>
        </w:rPr>
      </w:pPr>
      <w:r>
        <w:rPr>
          <w:sz w:val="24"/>
          <w:szCs w:val="24"/>
        </w:rPr>
        <w:t xml:space="preserve">Poderá a Comissão, caso houver necessidade de se constatar a veracidade das informações, fazer consulta direta no site da fabricante.</w:t>
      </w:r>
      <w:r>
        <w:rPr>
          <w:sz w:val="24"/>
          <w:szCs w:val="24"/>
        </w:rPr>
      </w:r>
    </w:p>
    <w:p>
      <w:pPr>
        <w:pStyle w:val="969"/>
        <w:numPr>
          <w:ilvl w:val="2"/>
          <w:numId w:val="12"/>
        </w:numPr>
        <w:pBdr/>
        <w:tabs>
          <w:tab w:val="left" w:leader="none" w:pos="0"/>
        </w:tabs>
        <w:spacing w:after="0" w:line="280" w:lineRule="atLeast"/>
        <w:ind w:hanging="993" w:left="993"/>
        <w:rPr>
          <w:sz w:val="24"/>
          <w:szCs w:val="24"/>
        </w:rPr>
      </w:pPr>
      <w:r>
        <w:rPr>
          <w:sz w:val="24"/>
          <w:szCs w:val="24"/>
        </w:rPr>
        <w:t xml:space="preserve">O Catálogo deverá ser apresentado juntamente com a Proposta de Preços.</w:t>
      </w:r>
      <w:r>
        <w:rPr>
          <w:sz w:val="24"/>
          <w:szCs w:val="24"/>
        </w:rPr>
      </w:r>
    </w:p>
    <w:p>
      <w:pPr>
        <w:pStyle w:val="1141"/>
        <w:numPr>
          <w:ilvl w:val="0"/>
          <w:numId w:val="12"/>
        </w:numPr>
        <w:pBdr/>
        <w:spacing/>
        <w:ind w:firstLine="0" w:left="0"/>
        <w:rPr/>
      </w:pPr>
      <w:r/>
      <w:bookmarkStart w:id="31" w:name="_Toc135469227"/>
      <w:r/>
      <w:bookmarkStart w:id="32" w:name="EDITALMICROEMPRESA"/>
      <w:r>
        <w:t xml:space="preserve">DO PREENCHIMENTO DA PROPOSTA</w:t>
      </w:r>
      <w:bookmarkEnd w:id="31"/>
      <w:r>
        <w:t xml:space="preserve">:</w:t>
      </w:r>
      <w:r/>
    </w:p>
    <w:p>
      <w:pPr>
        <w:pStyle w:val="1142"/>
        <w:numPr>
          <w:ilvl w:val="1"/>
          <w:numId w:val="12"/>
        </w:numPr>
        <w:pBdr/>
        <w:tabs>
          <w:tab w:val="left" w:leader="none" w:pos="426"/>
        </w:tabs>
        <w:spacing/>
        <w:ind w:firstLine="0" w:left="0"/>
        <w:rPr>
          <w:rFonts w:eastAsia="Times New Roman"/>
          <w:sz w:val="24"/>
          <w:szCs w:val="24"/>
        </w:rPr>
      </w:pPr>
      <w:r>
        <w:rPr>
          <w:sz w:val="24"/>
          <w:szCs w:val="24"/>
        </w:rPr>
        <w:t xml:space="preserve">O licitante deverá enviar sua proposta mediante o preenchimento, no sistema eletrônico, dos seguintes campos:</w:t>
      </w:r>
      <w:r>
        <w:rPr>
          <w:rFonts w:eastAsia="Times New Roman"/>
          <w:sz w:val="24"/>
          <w:szCs w:val="24"/>
        </w:rPr>
      </w:r>
    </w:p>
    <w:p>
      <w:pPr>
        <w:pStyle w:val="1149"/>
        <w:numPr>
          <w:ilvl w:val="2"/>
          <w:numId w:val="12"/>
        </w:numPr>
        <w:pBdr/>
        <w:tabs>
          <w:tab w:val="left" w:leader="none" w:pos="709"/>
        </w:tabs>
        <w:spacing/>
        <w:ind w:firstLine="0" w:left="0"/>
        <w:rPr>
          <w:i w:val="0"/>
          <w:color w:val="auto"/>
          <w:sz w:val="24"/>
          <w:szCs w:val="24"/>
        </w:rPr>
      </w:pPr>
      <w:r>
        <w:rPr>
          <w:i w:val="0"/>
          <w:color w:val="auto"/>
          <w:sz w:val="24"/>
          <w:szCs w:val="24"/>
        </w:rPr>
        <w:t xml:space="preserve">Valor unitário do lote;</w:t>
      </w:r>
      <w:r>
        <w:rPr>
          <w:i w:val="0"/>
          <w:color w:val="auto"/>
          <w:sz w:val="24"/>
          <w:szCs w:val="24"/>
        </w:rPr>
      </w:r>
    </w:p>
    <w:p>
      <w:pPr>
        <w:pStyle w:val="1143"/>
        <w:numPr>
          <w:ilvl w:val="2"/>
          <w:numId w:val="12"/>
        </w:numPr>
        <w:pBdr/>
        <w:spacing/>
        <w:ind w:firstLine="0" w:left="0"/>
        <w:rPr>
          <w:sz w:val="24"/>
          <w:szCs w:val="24"/>
        </w:rPr>
      </w:pPr>
      <w:r>
        <w:rPr>
          <w:sz w:val="24"/>
          <w:szCs w:val="24"/>
        </w:rPr>
        <w:t xml:space="preserve">Marca;</w:t>
      </w:r>
      <w:r>
        <w:rPr>
          <w:sz w:val="24"/>
          <w:szCs w:val="24"/>
        </w:rPr>
      </w:r>
    </w:p>
    <w:p>
      <w:pPr>
        <w:pStyle w:val="1149"/>
        <w:numPr>
          <w:ilvl w:val="2"/>
          <w:numId w:val="12"/>
        </w:numPr>
        <w:pBdr/>
        <w:tabs>
          <w:tab w:val="left" w:leader="none" w:pos="709"/>
          <w:tab w:val="left" w:leader="none" w:pos="993"/>
        </w:tabs>
        <w:spacing/>
        <w:ind w:firstLine="0" w:left="0"/>
        <w:rPr>
          <w:color w:val="auto"/>
          <w:sz w:val="24"/>
          <w:szCs w:val="24"/>
        </w:rPr>
      </w:pPr>
      <w:r>
        <w:rPr>
          <w:i w:val="0"/>
          <w:color w:val="auto"/>
          <w:sz w:val="24"/>
          <w:szCs w:val="24"/>
        </w:rPr>
        <w:t xml:space="preserve">Fabricante</w:t>
      </w:r>
      <w:r>
        <w:rPr>
          <w:color w:val="auto"/>
          <w:sz w:val="24"/>
          <w:szCs w:val="24"/>
        </w:rPr>
        <w:t xml:space="preserve">; </w:t>
      </w:r>
      <w:r>
        <w:rPr>
          <w:color w:val="auto"/>
          <w:sz w:val="24"/>
          <w:szCs w:val="24"/>
        </w:rPr>
      </w:r>
    </w:p>
    <w:p>
      <w:pPr>
        <w:pStyle w:val="1142"/>
        <w:numPr>
          <w:ilvl w:val="1"/>
          <w:numId w:val="12"/>
        </w:numPr>
        <w:pBdr/>
        <w:tabs>
          <w:tab w:val="left" w:leader="none" w:pos="567"/>
          <w:tab w:val="left" w:leader="none" w:pos="1276"/>
        </w:tabs>
        <w:spacing/>
        <w:ind w:firstLine="0" w:left="0"/>
        <w:rPr>
          <w:sz w:val="24"/>
          <w:szCs w:val="24"/>
        </w:rPr>
      </w:pPr>
      <w:r>
        <w:rPr>
          <w:sz w:val="24"/>
          <w:szCs w:val="24"/>
        </w:rPr>
        <w:t xml:space="preserve">Todas as especificações do objeto contidas na proposta vinculam o licitante.</w:t>
      </w:r>
      <w:r>
        <w:rPr>
          <w:sz w:val="24"/>
          <w:szCs w:val="24"/>
        </w:rPr>
      </w:r>
    </w:p>
    <w:p>
      <w:pPr>
        <w:pStyle w:val="1143"/>
        <w:numPr>
          <w:ilvl w:val="2"/>
          <w:numId w:val="12"/>
        </w:numPr>
        <w:pBdr/>
        <w:tabs>
          <w:tab w:val="left" w:leader="none" w:pos="993"/>
          <w:tab w:val="left" w:leader="none" w:pos="1276"/>
        </w:tabs>
        <w:spacing/>
        <w:ind w:firstLine="0" w:left="0"/>
        <w:rPr>
          <w:b/>
          <w:sz w:val="24"/>
          <w:szCs w:val="24"/>
        </w:rPr>
      </w:pPr>
      <w:r>
        <w:rPr>
          <w:b/>
          <w:sz w:val="24"/>
          <w:szCs w:val="24"/>
        </w:rPr>
        <w:t xml:space="preserve"> O licitante NÃO poderá oferecer proposta em quantitativo inferior ao máximo previsto para contratação.</w:t>
      </w:r>
      <w:r>
        <w:rPr>
          <w:b/>
          <w:sz w:val="24"/>
          <w:szCs w:val="24"/>
        </w:rPr>
      </w:r>
    </w:p>
    <w:p>
      <w:pPr>
        <w:pStyle w:val="1142"/>
        <w:numPr>
          <w:ilvl w:val="1"/>
          <w:numId w:val="12"/>
        </w:numPr>
        <w:pBdr/>
        <w:spacing/>
        <w:ind w:firstLine="0" w:left="0"/>
        <w:rPr>
          <w:sz w:val="24"/>
          <w:szCs w:val="24"/>
        </w:rPr>
      </w:pPr>
      <w:r>
        <w:rPr>
          <w:sz w:val="24"/>
          <w:szCs w:val="24"/>
        </w:rPr>
        <w:t xml:space="preserve">Nos valores propostos estarão inclusos todos os custos operacionais, encargos previdenciários, trabalhistas, tributários, comerciais e quaisquer outros que incidam direta ou indiretamente na execução do objeto.</w:t>
      </w:r>
      <w:r>
        <w:rPr>
          <w:sz w:val="24"/>
          <w:szCs w:val="24"/>
        </w:rPr>
      </w:r>
    </w:p>
    <w:p>
      <w:pPr>
        <w:pStyle w:val="1142"/>
        <w:numPr>
          <w:ilvl w:val="1"/>
          <w:numId w:val="12"/>
        </w:numPr>
        <w:pBdr/>
        <w:spacing/>
        <w:ind w:firstLine="0" w:left="0"/>
        <w:rPr>
          <w:sz w:val="24"/>
          <w:szCs w:val="24"/>
        </w:rPr>
      </w:pPr>
      <w:r>
        <w:rPr>
          <w:sz w:val="24"/>
          <w:szCs w:val="24"/>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sz w:val="24"/>
          <w:szCs w:val="24"/>
        </w:rPr>
      </w:r>
    </w:p>
    <w:p>
      <w:pPr>
        <w:pStyle w:val="1142"/>
        <w:numPr>
          <w:ilvl w:val="1"/>
          <w:numId w:val="12"/>
        </w:numPr>
        <w:pBdr/>
        <w:spacing/>
        <w:ind w:firstLine="0" w:left="0"/>
        <w:rPr>
          <w:sz w:val="24"/>
          <w:szCs w:val="24"/>
        </w:rPr>
      </w:pPr>
      <w:r>
        <w:rPr>
          <w:sz w:val="24"/>
          <w:szCs w:val="24"/>
        </w:rPr>
        <w:t xml:space="preserve">Se o regime tributário da empresa implicar o recolhimento de tributos em percentuais variáveis, a cotação adequada será a que corresponde à média dos efetivos recolhimentos da empresa nos últimos doze meses. </w:t>
      </w:r>
      <w:r>
        <w:rPr>
          <w:sz w:val="24"/>
          <w:szCs w:val="24"/>
        </w:rPr>
      </w:r>
    </w:p>
    <w:p>
      <w:pPr>
        <w:pStyle w:val="1142"/>
        <w:numPr>
          <w:ilvl w:val="1"/>
          <w:numId w:val="12"/>
        </w:numPr>
        <w:pBdr/>
        <w:spacing/>
        <w:ind w:firstLine="0" w:left="0"/>
        <w:rPr>
          <w:sz w:val="24"/>
          <w:szCs w:val="24"/>
        </w:rPr>
      </w:pPr>
      <w:r>
        <w:rPr>
          <w:sz w:val="24"/>
          <w:szCs w:val="24"/>
        </w:rPr>
        <w:t xml:space="preserve">Independentemente do percentual de tributo inserido na planilha, no pagamento serão retidos na fonte os percentuais estabelecidos na legislação vigente.</w:t>
      </w:r>
      <w:r>
        <w:rPr>
          <w:sz w:val="24"/>
          <w:szCs w:val="24"/>
        </w:rPr>
      </w:r>
    </w:p>
    <w:p>
      <w:pPr>
        <w:pStyle w:val="1148"/>
        <w:numPr>
          <w:ilvl w:val="1"/>
          <w:numId w:val="12"/>
        </w:numPr>
        <w:pBdr/>
        <w:spacing/>
        <w:ind w:firstLine="0" w:left="0"/>
        <w:rPr>
          <w:i w:val="0"/>
          <w:color w:val="auto"/>
          <w:sz w:val="24"/>
          <w:szCs w:val="24"/>
        </w:rPr>
      </w:pPr>
      <w:r>
        <w:rPr>
          <w:i w:val="0"/>
          <w:color w:val="auto"/>
          <w:sz w:val="24"/>
          <w:szCs w:val="24"/>
        </w:rPr>
        <w:t xml:space="preserve">Na presente licitação, a Microempresa e a Empresa de Pequeno Porte poderão se beneficiar do regime de tributação pelo Simples Nacional.</w:t>
      </w:r>
      <w:r>
        <w:rPr>
          <w:i w:val="0"/>
          <w:color w:val="auto"/>
          <w:sz w:val="24"/>
          <w:szCs w:val="24"/>
        </w:rPr>
      </w:r>
    </w:p>
    <w:p>
      <w:pPr>
        <w:pStyle w:val="1142"/>
        <w:numPr>
          <w:ilvl w:val="1"/>
          <w:numId w:val="12"/>
        </w:numPr>
        <w:pBdr/>
        <w:spacing/>
        <w:ind w:firstLine="0" w:left="0"/>
        <w:rPr>
          <w:sz w:val="24"/>
          <w:szCs w:val="24"/>
        </w:rPr>
      </w:pPr>
      <w:r>
        <w:rPr>
          <w:sz w:val="24"/>
          <w:szCs w:val="24"/>
        </w:rPr>
        <w:t xml:space="preserve">A apresentação das propostas implica obrigatoriedade do cumprimento das disposições nelas contidas, em conformidade com o que dispõe o Termo de Referência, assumindo o proponente o comprom</w:t>
      </w:r>
      <w:r>
        <w:rPr>
          <w:sz w:val="24"/>
          <w:szCs w:val="24"/>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sz w:val="24"/>
          <w:szCs w:val="24"/>
        </w:rPr>
      </w:r>
    </w:p>
    <w:p>
      <w:pPr>
        <w:pStyle w:val="1143"/>
        <w:numPr>
          <w:ilvl w:val="2"/>
          <w:numId w:val="12"/>
        </w:numPr>
        <w:pBdr/>
        <w:tabs>
          <w:tab w:val="left" w:leader="none" w:pos="851"/>
        </w:tabs>
        <w:spacing/>
        <w:ind w:firstLine="0" w:left="0"/>
        <w:rPr>
          <w:color w:val="auto"/>
          <w:sz w:val="24"/>
          <w:szCs w:val="24"/>
        </w:rPr>
      </w:pPr>
      <w:r>
        <w:rPr>
          <w:sz w:val="24"/>
          <w:szCs w:val="24"/>
        </w:rPr>
        <w:t xml:space="preserve">O prazo de validade da proposta não será inferior a </w:t>
      </w:r>
      <w:r>
        <w:rPr>
          <w:b/>
          <w:bCs/>
          <w:color w:val="auto"/>
          <w:sz w:val="24"/>
          <w:szCs w:val="24"/>
        </w:rPr>
        <w:t xml:space="preserve">60 (sessenta)</w:t>
      </w:r>
      <w:r>
        <w:rPr>
          <w:color w:val="ff0000"/>
          <w:sz w:val="24"/>
          <w:szCs w:val="24"/>
        </w:rPr>
        <w:t xml:space="preserve"> </w:t>
      </w:r>
      <w:r>
        <w:rPr>
          <w:sz w:val="24"/>
          <w:szCs w:val="24"/>
        </w:rPr>
        <w:t xml:space="preserve">dias</w:t>
      </w:r>
      <w:r>
        <w:rPr>
          <w:b/>
          <w:sz w:val="24"/>
          <w:szCs w:val="24"/>
        </w:rPr>
        <w:t xml:space="preserve">,</w:t>
      </w:r>
      <w:r>
        <w:rPr>
          <w:sz w:val="24"/>
          <w:szCs w:val="24"/>
        </w:rPr>
        <w:t xml:space="preserve"> a contar da data de sua apresentação.</w:t>
      </w:r>
      <w:r>
        <w:rPr>
          <w:color w:val="auto"/>
          <w:sz w:val="24"/>
          <w:szCs w:val="24"/>
        </w:rPr>
      </w:r>
    </w:p>
    <w:p>
      <w:pPr>
        <w:pStyle w:val="1143"/>
        <w:numPr>
          <w:ilvl w:val="2"/>
          <w:numId w:val="12"/>
        </w:numPr>
        <w:pBdr/>
        <w:tabs>
          <w:tab w:val="left" w:leader="none" w:pos="851"/>
        </w:tabs>
        <w:spacing/>
        <w:ind w:firstLine="0" w:left="0"/>
        <w:rPr>
          <w:color w:val="auto"/>
          <w:sz w:val="24"/>
          <w:szCs w:val="24"/>
        </w:rPr>
      </w:pPr>
      <w:r>
        <w:rPr>
          <w:color w:val="auto"/>
          <w:sz w:val="24"/>
          <w:szCs w:val="24"/>
        </w:rPr>
        <w:t xml:space="preserve">Os licitantes devem respeitar os preços máximos estabelecidos nas normas de regência de contratações públicas federais, quando participarem de licitações públicas;</w:t>
      </w:r>
      <w:r>
        <w:rPr>
          <w:color w:val="auto"/>
          <w:sz w:val="24"/>
          <w:szCs w:val="24"/>
        </w:rPr>
      </w:r>
    </w:p>
    <w:p>
      <w:pPr>
        <w:pStyle w:val="1143"/>
        <w:numPr>
          <w:ilvl w:val="2"/>
          <w:numId w:val="12"/>
        </w:numPr>
        <w:pBdr/>
        <w:tabs>
          <w:tab w:val="left" w:leader="none" w:pos="851"/>
        </w:tabs>
        <w:spacing/>
        <w:ind w:firstLine="0" w:left="0"/>
        <w:rPr>
          <w:color w:val="auto"/>
          <w:sz w:val="24"/>
          <w:szCs w:val="24"/>
        </w:rPr>
      </w:pPr>
      <w:r>
        <w:rPr>
          <w:color w:val="auto"/>
          <w:sz w:val="24"/>
          <w:szCs w:val="24"/>
        </w:rPr>
        <w:t xml:space="preserve">Caso o critério de julgamento seja o de maior desconto, o preço já decorrente da aplicação do desconto ofertado deverá respeitar os preços máximos previstos no item </w:t>
      </w:r>
      <w:r>
        <w:rPr>
          <w:b/>
          <w:color w:val="auto"/>
          <w:sz w:val="24"/>
          <w:szCs w:val="24"/>
        </w:rPr>
        <w:t xml:space="preserve">8.8.2</w:t>
      </w:r>
      <w:r>
        <w:rPr>
          <w:color w:val="auto"/>
          <w:sz w:val="24"/>
          <w:szCs w:val="24"/>
        </w:rPr>
        <w:t xml:space="preserve">.</w:t>
      </w:r>
      <w:r>
        <w:rPr>
          <w:color w:val="auto"/>
          <w:sz w:val="24"/>
          <w:szCs w:val="24"/>
        </w:rPr>
      </w:r>
    </w:p>
    <w:p>
      <w:pPr>
        <w:pStyle w:val="1142"/>
        <w:numPr>
          <w:ilvl w:val="1"/>
          <w:numId w:val="12"/>
        </w:numPr>
        <w:pBdr/>
        <w:spacing/>
        <w:ind w:firstLine="0" w:left="0"/>
        <w:rPr>
          <w:rFonts w:eastAsia="Times New Roman"/>
          <w:sz w:val="24"/>
          <w:szCs w:val="24"/>
        </w:rPr>
      </w:pPr>
      <w:r>
        <w:rPr>
          <w:color w:val="auto"/>
          <w:sz w:val="24"/>
          <w:szCs w:val="24"/>
        </w:rPr>
        <w:t xml:space="preserve">O descumprimento das regras supramencionadas pela Administração por parte dos </w:t>
      </w:r>
      <w:r>
        <w:rPr>
          <w:sz w:val="24"/>
          <w:szCs w:val="24"/>
        </w:rPr>
        <w:t xml:space="preserve">contratados pode ensejar a </w:t>
      </w:r>
      <w:r>
        <w:rPr>
          <w:color w:val="000000" w:themeColor="text1"/>
          <w:sz w:val="24"/>
          <w:szCs w:val="24"/>
        </w:rPr>
        <w:t xml:space="preserve">responsabilização pelo</w:t>
      </w:r>
      <w:r>
        <w:rPr>
          <w:sz w:val="24"/>
          <w:szCs w:val="24"/>
        </w:rPr>
        <w:t xml:space="preserve"> Tribunal de Contas da União e, após o devido processo legal, gerar as seguintes consequências: assinatura de prazo para a adoção das medidas necessárias ao exato cumprimento da lei, nos termos do </w:t>
      </w:r>
      <w:hyperlink r:id="rId31" w:tooltip="https://www.planalto.gov.br/ccivil_03/constituicao/constituicaocompilado.htm" w:history="1">
        <w:r>
          <w:rPr>
            <w:rStyle w:val="953"/>
            <w:sz w:val="24"/>
            <w:szCs w:val="24"/>
          </w:rPr>
          <w:t xml:space="preserve">art. 71, inciso IX, da Constituição</w:t>
        </w:r>
      </w:hyperlink>
      <w:r>
        <w:rPr>
          <w:sz w:val="24"/>
          <w:szCs w:val="24"/>
        </w:rPr>
        <w:t xml:space="preserve">; ou condenação dos agentes públicos responsáveis e da empresa contratada ao pagamento dos prejuízos ao erário, caso verificada a ocorrência de superfaturamento por sobrepreço na execução do contrato.</w:t>
      </w:r>
      <w:r>
        <w:rPr>
          <w:rFonts w:eastAsia="Times New Roman"/>
          <w:sz w:val="24"/>
          <w:szCs w:val="24"/>
        </w:rPr>
      </w:r>
    </w:p>
    <w:p>
      <w:pPr>
        <w:pStyle w:val="969"/>
        <w:numPr>
          <w:ilvl w:val="0"/>
          <w:numId w:val="12"/>
        </w:numPr>
        <w:pBdr/>
        <w:tabs>
          <w:tab w:val="left" w:leader="none" w:pos="426"/>
        </w:tabs>
        <w:spacing w:after="240" w:before="480" w:line="280" w:lineRule="atLeast"/>
        <w:ind w:firstLine="0" w:left="0"/>
        <w:rPr>
          <w:b/>
          <w:sz w:val="24"/>
          <w:szCs w:val="24"/>
        </w:rPr>
      </w:pPr>
      <w:r/>
      <w:bookmarkStart w:id="33" w:name="_Toc135469228"/>
      <w:r>
        <w:rPr>
          <w:b/>
          <w:sz w:val="24"/>
          <w:szCs w:val="24"/>
        </w:rPr>
        <w:t xml:space="preserve">DA ABERTURA DA SESSÃO, CLASSIFICAÇÃO DAS PROPOSTAS E FORMULAÇÃO DE LANCES</w:t>
      </w:r>
      <w:bookmarkEnd w:id="33"/>
      <w:r>
        <w:rPr>
          <w:b/>
          <w:sz w:val="24"/>
          <w:szCs w:val="24"/>
        </w:rPr>
        <w:t xml:space="preserve">:</w:t>
      </w:r>
      <w:r>
        <w:rPr>
          <w:b/>
          <w:sz w:val="24"/>
          <w:szCs w:val="24"/>
        </w:rPr>
      </w:r>
    </w:p>
    <w:p>
      <w:pPr>
        <w:pStyle w:val="1142"/>
        <w:numPr>
          <w:ilvl w:val="1"/>
          <w:numId w:val="12"/>
        </w:numPr>
        <w:pBdr/>
        <w:spacing/>
        <w:ind w:firstLine="0" w:left="0"/>
        <w:rPr>
          <w:sz w:val="24"/>
          <w:szCs w:val="24"/>
        </w:rPr>
      </w:pPr>
      <w:r>
        <w:rPr>
          <w:sz w:val="24"/>
          <w:szCs w:val="24"/>
        </w:rPr>
        <w:t xml:space="preserve">A abertura da presente licitação dar-se-á automaticamente em sessão pública, por meio de sistema eletrônico, na data, horário e local indicados neste Edital.</w:t>
      </w:r>
      <w:r>
        <w:rPr>
          <w:sz w:val="24"/>
          <w:szCs w:val="24"/>
        </w:rPr>
      </w:r>
    </w:p>
    <w:p>
      <w:pPr>
        <w:pStyle w:val="1142"/>
        <w:numPr>
          <w:ilvl w:val="1"/>
          <w:numId w:val="12"/>
        </w:numPr>
        <w:pBdr/>
        <w:spacing/>
        <w:ind w:firstLine="0" w:left="0"/>
        <w:rPr>
          <w:sz w:val="24"/>
          <w:szCs w:val="24"/>
        </w:rPr>
      </w:pPr>
      <w:r>
        <w:rPr>
          <w:sz w:val="24"/>
          <w:szCs w:val="24"/>
        </w:rPr>
        <w:t xml:space="preserve">Os licitantes poderão retirar ou substituir a proposta ou os documentos de habilitação, quando for o caso, anteriormente inseridos no sistema, até a abertura da sessão pública.</w:t>
      </w:r>
      <w:r>
        <w:rPr>
          <w:sz w:val="24"/>
          <w:szCs w:val="24"/>
        </w:rPr>
      </w:r>
    </w:p>
    <w:p>
      <w:pPr>
        <w:pStyle w:val="1142"/>
        <w:numPr>
          <w:ilvl w:val="1"/>
          <w:numId w:val="12"/>
        </w:numPr>
        <w:pBdr/>
        <w:spacing/>
        <w:ind w:firstLine="0" w:left="0"/>
        <w:rPr>
          <w:sz w:val="24"/>
          <w:szCs w:val="24"/>
        </w:rPr>
      </w:pPr>
      <w:r>
        <w:rPr>
          <w:sz w:val="24"/>
          <w:szCs w:val="24"/>
        </w:rPr>
        <w:t xml:space="preserve">O sistema disponibilizará campo próprio para troca de mensagens entre o Pregoeiro e os licitantes.</w:t>
      </w:r>
      <w:r>
        <w:rPr>
          <w:sz w:val="24"/>
          <w:szCs w:val="24"/>
        </w:rPr>
      </w:r>
    </w:p>
    <w:p>
      <w:pPr>
        <w:pStyle w:val="1142"/>
        <w:numPr>
          <w:ilvl w:val="1"/>
          <w:numId w:val="12"/>
        </w:numPr>
        <w:pBdr/>
        <w:spacing/>
        <w:ind w:firstLine="0" w:left="0"/>
        <w:rPr>
          <w:sz w:val="24"/>
          <w:szCs w:val="24"/>
        </w:rPr>
      </w:pPr>
      <w:r>
        <w:rPr>
          <w:sz w:val="24"/>
          <w:szCs w:val="24"/>
        </w:rPr>
        <w:t xml:space="preserve">Iniciada a etapa competitiva, os licitantes deverão encaminhar lances exclusivamente por meio de sistema eletrônico, sendo imediatamente informados do seu recebimento e do valor consignado no registro. </w:t>
      </w:r>
      <w:r>
        <w:rPr>
          <w:sz w:val="24"/>
          <w:szCs w:val="24"/>
        </w:rPr>
      </w:r>
    </w:p>
    <w:p>
      <w:pPr>
        <w:pStyle w:val="1142"/>
        <w:numPr>
          <w:ilvl w:val="1"/>
          <w:numId w:val="12"/>
        </w:numPr>
        <w:pBdr/>
        <w:spacing/>
        <w:ind w:firstLine="0" w:left="0"/>
        <w:rPr>
          <w:sz w:val="24"/>
          <w:szCs w:val="24"/>
        </w:rPr>
      </w:pPr>
      <w:r>
        <w:rPr>
          <w:sz w:val="24"/>
          <w:szCs w:val="24"/>
        </w:rPr>
        <w:t xml:space="preserve">O lance deverá ser ofertado pelo percentual do lote</w:t>
      </w:r>
      <w:r>
        <w:rPr>
          <w:sz w:val="24"/>
          <w:szCs w:val="24"/>
        </w:rPr>
      </w:r>
    </w:p>
    <w:p>
      <w:pPr>
        <w:pStyle w:val="1142"/>
        <w:numPr>
          <w:ilvl w:val="1"/>
          <w:numId w:val="12"/>
        </w:numPr>
        <w:pBdr/>
        <w:spacing/>
        <w:ind w:firstLine="0" w:left="0"/>
        <w:rPr>
          <w:sz w:val="24"/>
          <w:szCs w:val="24"/>
        </w:rPr>
      </w:pPr>
      <w:r>
        <w:rPr>
          <w:sz w:val="24"/>
          <w:szCs w:val="24"/>
        </w:rPr>
        <w:t xml:space="preserve">Os licitantes poderão oferecer lances sucessivos, observando o horário fixado para abertura da sessão e as regras estabelecidas no Edital.</w:t>
      </w:r>
      <w:r>
        <w:rPr>
          <w:sz w:val="24"/>
          <w:szCs w:val="24"/>
        </w:rPr>
      </w:r>
    </w:p>
    <w:p>
      <w:pPr>
        <w:pStyle w:val="1142"/>
        <w:numPr>
          <w:ilvl w:val="1"/>
          <w:numId w:val="12"/>
        </w:numPr>
        <w:pBdr/>
        <w:spacing/>
        <w:ind w:firstLine="0" w:left="0"/>
        <w:rPr>
          <w:sz w:val="24"/>
          <w:szCs w:val="24"/>
        </w:rPr>
      </w:pPr>
      <w:r>
        <w:rPr>
          <w:sz w:val="24"/>
          <w:szCs w:val="24"/>
        </w:rPr>
        <w:t xml:space="preserve">O licitante somente poderá oferecer lance </w:t>
      </w:r>
      <w:r>
        <w:rPr>
          <w:b/>
          <w:iCs/>
          <w:color w:val="auto"/>
          <w:sz w:val="24"/>
          <w:szCs w:val="24"/>
        </w:rPr>
        <w:t xml:space="preserve">de percentual</w:t>
      </w:r>
      <w:r>
        <w:rPr>
          <w:b/>
          <w:color w:val="auto"/>
          <w:sz w:val="24"/>
          <w:szCs w:val="24"/>
        </w:rPr>
        <w:t xml:space="preserve"> </w:t>
      </w:r>
      <w:r>
        <w:rPr>
          <w:b/>
          <w:iCs/>
          <w:color w:val="auto"/>
          <w:sz w:val="24"/>
          <w:szCs w:val="24"/>
        </w:rPr>
        <w:t xml:space="preserve">inferior</w:t>
      </w:r>
      <w:r>
        <w:rPr>
          <w:b/>
          <w:color w:val="auto"/>
          <w:sz w:val="24"/>
          <w:szCs w:val="24"/>
        </w:rPr>
        <w:t xml:space="preserve"> </w:t>
      </w:r>
      <w:r>
        <w:rPr>
          <w:sz w:val="24"/>
          <w:szCs w:val="24"/>
        </w:rPr>
        <w:t xml:space="preserve">ao último por ele ofertado e registrado pelo sistema. </w:t>
      </w:r>
      <w:r>
        <w:rPr>
          <w:sz w:val="24"/>
          <w:szCs w:val="24"/>
        </w:rPr>
      </w:r>
    </w:p>
    <w:p>
      <w:pPr>
        <w:pStyle w:val="1142"/>
        <w:numPr>
          <w:ilvl w:val="1"/>
          <w:numId w:val="12"/>
        </w:numPr>
        <w:pBdr/>
        <w:spacing/>
        <w:ind w:firstLine="0" w:left="0"/>
        <w:rPr>
          <w:rStyle w:val="961"/>
          <w:i w:val="0"/>
          <w:iCs w:val="0"/>
          <w:sz w:val="24"/>
          <w:szCs w:val="24"/>
        </w:rPr>
      </w:pPr>
      <w:r>
        <w:rPr>
          <w:color w:val="auto"/>
          <w:sz w:val="24"/>
          <w:szCs w:val="24"/>
        </w:rPr>
        <w:t xml:space="preserve">O intervalo mínimo de diferença de percentual entre os lances, que incidirá tanto em relação aos lances intermediários quanto em relação à proposta que cobrir a melhor oferta deverá ser</w:t>
      </w:r>
      <w:r>
        <w:rPr>
          <w:i/>
          <w:iCs/>
          <w:color w:val="auto"/>
          <w:sz w:val="24"/>
          <w:szCs w:val="24"/>
        </w:rPr>
        <w:t xml:space="preserve"> </w:t>
      </w:r>
      <w:r>
        <w:rPr>
          <w:color w:val="auto"/>
          <w:sz w:val="24"/>
          <w:szCs w:val="24"/>
        </w:rPr>
        <w:t xml:space="preserve">conforme a tabela</w:t>
      </w:r>
      <w:r>
        <w:rPr>
          <w:sz w:val="24"/>
          <w:szCs w:val="24"/>
        </w:rPr>
        <w:t xml:space="preserve"> abaixo:</w:t>
      </w:r>
      <w:r>
        <w:rPr>
          <w:rStyle w:val="961"/>
          <w:i w:val="0"/>
          <w:iCs w:val="0"/>
          <w:sz w:val="24"/>
          <w:szCs w:val="24"/>
        </w:rPr>
      </w:r>
    </w:p>
    <w:tbl>
      <w:tblPr>
        <w:jc w:val="center"/>
        <w:tblW w:w="6980" w:type="dxa"/>
        <w:tblCellMar>
          <w:left w:w="70" w:type="dxa"/>
          <w:right w:w="70" w:type="dxa"/>
        </w:tblCellMar>
        <w:tblBorders/>
        <w:tblLayout w:type="fixed"/>
        <w:tblLook w:val="0000" w:firstRow="0" w:lastRow="0" w:firstColumn="0" w:lastColumn="0" w:noHBand="0" w:noVBand="0"/>
      </w:tblPr>
      <w:tblGrid>
        <w:gridCol w:w="4815"/>
        <w:gridCol w:w="2165"/>
      </w:tblGrid>
      <w:tr>
        <w:trPr>
          <w:cantSplit/>
          <w:jc w:val="center"/>
          <w:trHeight w:val="240"/>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4815" w:type="dxa"/>
            <w:textDirection w:val="lrTb"/>
            <w:noWrap w:val="false"/>
          </w:tcPr>
          <w:p>
            <w:pPr>
              <w:pBdr/>
              <w:spacing w:after="0" w:before="0" w:line="280" w:lineRule="atLeast"/>
              <w:ind/>
              <w:jc w:val="center"/>
              <w:rPr>
                <w:sz w:val="24"/>
                <w:szCs w:val="24"/>
              </w:rPr>
            </w:pPr>
            <w:r>
              <w:rPr>
                <w:b/>
                <w:bCs/>
                <w:sz w:val="24"/>
                <w:szCs w:val="24"/>
              </w:rPr>
              <w:t xml:space="preserve">Intervalo Mínimo Entre Lances (%)</w:t>
            </w:r>
            <w:r>
              <w:rPr>
                <w:sz w:val="24"/>
                <w:szCs w:val="24"/>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165" w:type="dxa"/>
            <w:textDirection w:val="lrTb"/>
            <w:noWrap w:val="false"/>
          </w:tcPr>
          <w:p>
            <w:pPr>
              <w:pBdr/>
              <w:spacing w:after="0" w:before="0" w:line="280" w:lineRule="atLeast"/>
              <w:ind/>
              <w:jc w:val="center"/>
              <w:rPr>
                <w:b/>
                <w:sz w:val="24"/>
                <w:szCs w:val="24"/>
              </w:rPr>
            </w:pPr>
            <w:r>
              <w:rPr>
                <w:b/>
                <w:sz w:val="24"/>
                <w:szCs w:val="24"/>
              </w:rPr>
              <w:t xml:space="preserve">Tipo de Variação</w:t>
            </w:r>
            <w:r>
              <w:rPr>
                <w:b/>
                <w:sz w:val="24"/>
                <w:szCs w:val="24"/>
              </w:rPr>
            </w:r>
          </w:p>
        </w:tc>
      </w:tr>
      <w:tr>
        <w:trPr>
          <w:cantSplit/>
          <w:jc w:val="center"/>
          <w:trHeight w:val="240"/>
        </w:trPr>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pBdr/>
              <w:spacing w:after="0" w:before="0" w:line="280" w:lineRule="atLeast"/>
              <w:ind/>
              <w:jc w:val="center"/>
              <w:rPr>
                <w:b/>
                <w:sz w:val="24"/>
                <w:szCs w:val="24"/>
              </w:rPr>
            </w:pPr>
            <w:r>
              <w:rPr>
                <w:b/>
                <w:sz w:val="24"/>
                <w:szCs w:val="24"/>
              </w:rPr>
              <w:t xml:space="preserve">02 % (dois porcento)</w:t>
            </w:r>
            <w:r>
              <w:rPr>
                <w:b/>
                <w:sz w:val="24"/>
                <w:szCs w:val="24"/>
              </w:rP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pBdr/>
              <w:spacing w:after="0" w:before="0" w:line="280" w:lineRule="atLeast"/>
              <w:ind/>
              <w:jc w:val="center"/>
              <w:rPr>
                <w:b/>
                <w:sz w:val="24"/>
                <w:szCs w:val="24"/>
              </w:rPr>
            </w:pPr>
            <w:r>
              <w:rPr>
                <w:b/>
                <w:sz w:val="24"/>
                <w:szCs w:val="24"/>
              </w:rPr>
              <w:t xml:space="preserve">Percentual</w:t>
            </w:r>
            <w:r>
              <w:rPr>
                <w:b/>
                <w:sz w:val="24"/>
                <w:szCs w:val="24"/>
              </w:rPr>
            </w:r>
          </w:p>
        </w:tc>
      </w:tr>
    </w:tbl>
    <w:p>
      <w:pPr>
        <w:pStyle w:val="1142"/>
        <w:numPr>
          <w:ilvl w:val="1"/>
          <w:numId w:val="12"/>
        </w:numPr>
        <w:pBdr/>
        <w:spacing/>
        <w:ind w:firstLine="0" w:left="0"/>
        <w:rPr>
          <w:sz w:val="24"/>
          <w:szCs w:val="24"/>
        </w:rPr>
      </w:pPr>
      <w:r>
        <w:rPr>
          <w:sz w:val="24"/>
          <w:szCs w:val="24"/>
        </w:rPr>
        <w:t xml:space="preserve">O licitante poderá, uma única vez, excluir seu último lance ofertado, no intervalo de quinze segundos após o registro no sistema, na hipótese de lance inconsistente ou inexequível.</w:t>
      </w:r>
      <w:r>
        <w:rPr>
          <w:sz w:val="24"/>
          <w:szCs w:val="24"/>
        </w:rPr>
      </w:r>
    </w:p>
    <w:p>
      <w:pPr>
        <w:pStyle w:val="1142"/>
        <w:numPr>
          <w:ilvl w:val="1"/>
          <w:numId w:val="12"/>
        </w:numPr>
        <w:pBdr/>
        <w:spacing/>
        <w:ind w:firstLine="0" w:left="0"/>
        <w:rPr>
          <w:sz w:val="24"/>
          <w:szCs w:val="24"/>
        </w:rPr>
      </w:pPr>
      <w:r>
        <w:rPr>
          <w:sz w:val="24"/>
          <w:szCs w:val="24"/>
        </w:rPr>
        <w:t xml:space="preserve">O procedimento seguirá de acordo com o modo de disputa adotado.</w:t>
      </w:r>
      <w:r>
        <w:rPr>
          <w:sz w:val="24"/>
          <w:szCs w:val="24"/>
        </w:rPr>
      </w:r>
    </w:p>
    <w:p>
      <w:pPr>
        <w:pStyle w:val="1142"/>
        <w:numPr>
          <w:ilvl w:val="1"/>
          <w:numId w:val="12"/>
        </w:numPr>
        <w:pBdr/>
        <w:spacing/>
        <w:ind w:firstLine="0" w:left="0"/>
        <w:rPr>
          <w:sz w:val="24"/>
          <w:szCs w:val="24"/>
        </w:rPr>
      </w:pPr>
      <w:r/>
      <w:bookmarkStart w:id="34" w:name="_Hlk113697759"/>
      <w:r>
        <w:rPr>
          <w:sz w:val="24"/>
          <w:szCs w:val="24"/>
        </w:rPr>
        <w:t xml:space="preserve">Caso seja adotado para o envio de lances no pregão eletrônico o modo de disputa “aberto”, os licitantes apresentarão lances públicos e sucessivos, com prorrogações.</w:t>
      </w:r>
      <w:r>
        <w:rPr>
          <w:sz w:val="24"/>
          <w:szCs w:val="24"/>
        </w:rPr>
      </w:r>
    </w:p>
    <w:p>
      <w:pPr>
        <w:pStyle w:val="1143"/>
        <w:numPr>
          <w:ilvl w:val="2"/>
          <w:numId w:val="12"/>
        </w:numPr>
        <w:pBdr/>
        <w:tabs>
          <w:tab w:val="left" w:leader="none" w:pos="1134"/>
          <w:tab w:val="left" w:leader="none" w:pos="1276"/>
          <w:tab w:val="left" w:leader="none" w:pos="2268"/>
        </w:tabs>
        <w:spacing/>
        <w:ind w:firstLine="0" w:left="0"/>
        <w:rPr>
          <w:sz w:val="24"/>
          <w:szCs w:val="24"/>
        </w:rPr>
      </w:pPr>
      <w:r/>
      <w:bookmarkStart w:id="35" w:name="_Hlk113697816"/>
      <w:r/>
      <w:bookmarkEnd w:id="34"/>
      <w:r>
        <w:rPr>
          <w:sz w:val="24"/>
          <w:szCs w:val="24"/>
        </w:rPr>
        <w:t xml:space="preserve">A etapa de lances da sessão pública terá duração de dez minutos e, após isso, será prorrogada automaticamente pelo sistema quando houver lance ofertado nos últimos dois minutos do período de duração da sessão pública.</w:t>
      </w:r>
      <w:r>
        <w:rPr>
          <w:sz w:val="24"/>
          <w:szCs w:val="24"/>
        </w:rPr>
      </w:r>
    </w:p>
    <w:p>
      <w:pPr>
        <w:pStyle w:val="1143"/>
        <w:numPr>
          <w:ilvl w:val="2"/>
          <w:numId w:val="12"/>
        </w:numPr>
        <w:pBdr/>
        <w:tabs>
          <w:tab w:val="left" w:leader="none" w:pos="1134"/>
          <w:tab w:val="left" w:leader="none" w:pos="1276"/>
          <w:tab w:val="left" w:leader="none" w:pos="2410"/>
        </w:tabs>
        <w:spacing/>
        <w:ind w:firstLine="0" w:left="0"/>
        <w:rPr>
          <w:sz w:val="24"/>
          <w:szCs w:val="24"/>
        </w:rPr>
      </w:pPr>
      <w:r>
        <w:rPr>
          <w:sz w:val="24"/>
          <w:szCs w:val="24"/>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24"/>
          <w:szCs w:val="24"/>
        </w:rPr>
      </w:r>
    </w:p>
    <w:p>
      <w:pPr>
        <w:pStyle w:val="1143"/>
        <w:numPr>
          <w:ilvl w:val="2"/>
          <w:numId w:val="12"/>
        </w:numPr>
        <w:pBdr/>
        <w:tabs>
          <w:tab w:val="left" w:leader="none" w:pos="1134"/>
          <w:tab w:val="left" w:leader="none" w:pos="1276"/>
          <w:tab w:val="left" w:leader="none" w:pos="2410"/>
        </w:tabs>
        <w:spacing/>
        <w:ind w:firstLine="0" w:left="0"/>
        <w:rPr>
          <w:sz w:val="24"/>
          <w:szCs w:val="24"/>
        </w:rPr>
      </w:pPr>
      <w:r>
        <w:rPr>
          <w:sz w:val="24"/>
          <w:szCs w:val="24"/>
        </w:rPr>
        <w:t xml:space="preserve">Não havendo novos lances na forma estabelecida nos itens anteriores, a sessão pública encerrar-se-á automaticamente, e o sistema ordenará e divulgará os lances conforme a ordem final de classificação.</w:t>
      </w:r>
      <w:r>
        <w:rPr>
          <w:sz w:val="24"/>
          <w:szCs w:val="24"/>
        </w:rPr>
      </w:r>
    </w:p>
    <w:p>
      <w:pPr>
        <w:pStyle w:val="1143"/>
        <w:numPr>
          <w:ilvl w:val="2"/>
          <w:numId w:val="12"/>
        </w:numPr>
        <w:pBdr/>
        <w:tabs>
          <w:tab w:val="left" w:leader="none" w:pos="1134"/>
          <w:tab w:val="left" w:leader="none" w:pos="1276"/>
          <w:tab w:val="left" w:leader="none" w:pos="2410"/>
        </w:tabs>
        <w:spacing/>
        <w:ind w:firstLine="0" w:left="0"/>
        <w:rPr>
          <w:color w:val="auto"/>
          <w:sz w:val="24"/>
          <w:szCs w:val="24"/>
        </w:rPr>
      </w:pPr>
      <w:r>
        <w:rPr>
          <w:color w:val="auto"/>
          <w:sz w:val="24"/>
          <w:szCs w:val="24"/>
        </w:rPr>
        <w:t xml:space="preserve">Definida</w:t>
      </w:r>
      <w:r>
        <w:rPr>
          <w:color w:val="auto"/>
          <w:sz w:val="24"/>
          <w:szCs w:val="24"/>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color w:val="auto"/>
          <w:sz w:val="24"/>
          <w:szCs w:val="24"/>
        </w:rPr>
      </w:r>
    </w:p>
    <w:p>
      <w:pPr>
        <w:pStyle w:val="1143"/>
        <w:numPr>
          <w:ilvl w:val="2"/>
          <w:numId w:val="12"/>
        </w:numPr>
        <w:pBdr/>
        <w:tabs>
          <w:tab w:val="left" w:leader="none" w:pos="1134"/>
          <w:tab w:val="left" w:leader="none" w:pos="1276"/>
          <w:tab w:val="left" w:leader="none" w:pos="2552"/>
        </w:tabs>
        <w:spacing/>
        <w:ind w:firstLine="0" w:left="0"/>
        <w:rPr>
          <w:sz w:val="24"/>
          <w:szCs w:val="24"/>
        </w:rPr>
      </w:pPr>
      <w:r>
        <w:rPr>
          <w:sz w:val="24"/>
          <w:szCs w:val="24"/>
        </w:rPr>
        <w:t xml:space="preserve">Após o reinício previsto no item supra, os licitantes serão convocados para apresentar lances intermediários.</w:t>
      </w:r>
      <w:bookmarkStart w:id="36" w:name="_Hlk113631522"/>
      <w:r/>
      <w:bookmarkEnd w:id="35"/>
      <w:r/>
      <w:bookmarkEnd w:id="36"/>
      <w:r/>
      <w:r>
        <w:rPr>
          <w:sz w:val="24"/>
          <w:szCs w:val="24"/>
        </w:rPr>
      </w:r>
    </w:p>
    <w:p>
      <w:pPr>
        <w:pStyle w:val="1142"/>
        <w:numPr>
          <w:ilvl w:val="1"/>
          <w:numId w:val="12"/>
        </w:numPr>
        <w:pBdr/>
        <w:spacing/>
        <w:ind w:firstLine="0" w:left="0"/>
        <w:rPr>
          <w:sz w:val="24"/>
          <w:szCs w:val="24"/>
        </w:rPr>
      </w:pPr>
      <w:r>
        <w:rPr>
          <w:sz w:val="24"/>
          <w:szCs w:val="24"/>
        </w:rPr>
        <w:t xml:space="preserve">Caso seja adotado para o envio de lances no pregão eletrônico o modo de disputa “aberto e fechado”, os licitantes apresentarão lances públicos e sucessivos, com lance final e fechado.</w:t>
      </w:r>
      <w:r>
        <w:rPr>
          <w:sz w:val="24"/>
          <w:szCs w:val="24"/>
        </w:rPr>
      </w:r>
    </w:p>
    <w:p>
      <w:pPr>
        <w:pStyle w:val="1143"/>
        <w:numPr>
          <w:ilvl w:val="2"/>
          <w:numId w:val="12"/>
        </w:numPr>
        <w:pBdr/>
        <w:tabs>
          <w:tab w:val="left" w:leader="none" w:pos="1134"/>
        </w:tabs>
        <w:spacing/>
        <w:ind w:firstLine="0" w:left="0"/>
        <w:rPr>
          <w:sz w:val="24"/>
          <w:szCs w:val="24"/>
        </w:rPr>
      </w:pPr>
      <w:r>
        <w:rPr>
          <w:sz w:val="24"/>
          <w:szCs w:val="24"/>
        </w:rPr>
        <w:t xml:space="preserve">A etapa de lances da sessão pública terá duração inicial de </w:t>
      </w:r>
      <w:r>
        <w:rPr>
          <w:b/>
          <w:sz w:val="24"/>
          <w:szCs w:val="24"/>
        </w:rPr>
        <w:t xml:space="preserve">15 (quinze) minutos</w:t>
      </w:r>
      <w:r>
        <w:rPr>
          <w:sz w:val="24"/>
          <w:szCs w:val="24"/>
        </w:rPr>
        <w:t xml:space="preserve">. Após esse prazo, o sistema encaminhará aviso de fechamento iminente dos lances, após o que transcorrerá o período de até </w:t>
      </w:r>
      <w:r>
        <w:rPr>
          <w:b/>
          <w:sz w:val="24"/>
          <w:szCs w:val="24"/>
        </w:rPr>
        <w:t xml:space="preserve">10 (dez) minutos</w:t>
      </w:r>
      <w:r>
        <w:rPr>
          <w:sz w:val="24"/>
          <w:szCs w:val="24"/>
        </w:rPr>
        <w:t xml:space="preserve">, aleatoriamente determinado, findo o qual será automaticamente encerrada a recepção de lances.</w:t>
      </w:r>
      <w:r>
        <w:rPr>
          <w:sz w:val="24"/>
          <w:szCs w:val="24"/>
        </w:rPr>
      </w:r>
    </w:p>
    <w:p>
      <w:pPr>
        <w:pStyle w:val="1143"/>
        <w:numPr>
          <w:ilvl w:val="2"/>
          <w:numId w:val="12"/>
        </w:numPr>
        <w:pBdr/>
        <w:tabs>
          <w:tab w:val="left" w:leader="none" w:pos="1134"/>
        </w:tabs>
        <w:spacing/>
        <w:ind w:firstLine="0" w:left="0"/>
        <w:rPr>
          <w:sz w:val="24"/>
          <w:szCs w:val="24"/>
        </w:rPr>
      </w:pPr>
      <w:r>
        <w:rPr>
          <w:sz w:val="24"/>
          <w:szCs w:val="24"/>
        </w:rPr>
        <w:t xml:space="preserve">Encerrado o prazo previsto no subitem anterior, o sistema abrirá oportunidade para que o autor da oferta de valor mais baixo e os das ofertas com preços </w:t>
      </w:r>
      <w:r>
        <w:rPr>
          <w:b/>
          <w:sz w:val="24"/>
          <w:szCs w:val="24"/>
        </w:rPr>
        <w:t xml:space="preserve">até 10% (dez por cento) superior àquela</w:t>
      </w:r>
      <w:r>
        <w:rPr>
          <w:sz w:val="24"/>
          <w:szCs w:val="24"/>
        </w:rPr>
        <w:t xml:space="preserve"> possam ofertar um lance final e fechado em até </w:t>
      </w:r>
      <w:r>
        <w:rPr>
          <w:b/>
          <w:sz w:val="24"/>
          <w:szCs w:val="24"/>
        </w:rPr>
        <w:t xml:space="preserve">05 (cinco) minutos</w:t>
      </w:r>
      <w:r>
        <w:rPr>
          <w:sz w:val="24"/>
          <w:szCs w:val="24"/>
        </w:rPr>
        <w:t xml:space="preserve">, o qual será sigiloso até o encerramento deste prazo.</w:t>
      </w:r>
      <w:r>
        <w:rPr>
          <w:sz w:val="24"/>
          <w:szCs w:val="24"/>
        </w:rPr>
      </w:r>
    </w:p>
    <w:p>
      <w:pPr>
        <w:pStyle w:val="1143"/>
        <w:numPr>
          <w:ilvl w:val="2"/>
          <w:numId w:val="12"/>
        </w:numPr>
        <w:pBdr/>
        <w:tabs>
          <w:tab w:val="left" w:leader="none" w:pos="851"/>
          <w:tab w:val="left" w:leader="none" w:pos="993"/>
        </w:tabs>
        <w:spacing/>
        <w:ind w:firstLine="0" w:left="0"/>
        <w:rPr>
          <w:sz w:val="24"/>
          <w:szCs w:val="24"/>
        </w:rPr>
      </w:pPr>
      <w:r>
        <w:rPr>
          <w:sz w:val="24"/>
          <w:szCs w:val="24"/>
        </w:rPr>
        <w:t xml:space="preserve">No procedimento de que trata o subitem supra, o licitante poderá optar por manter o seu último lance da etapa aberta, ou por ofertar melhor lance.</w:t>
      </w:r>
      <w:r>
        <w:rPr>
          <w:sz w:val="24"/>
          <w:szCs w:val="24"/>
        </w:rPr>
      </w:r>
    </w:p>
    <w:p>
      <w:pPr>
        <w:pStyle w:val="1143"/>
        <w:numPr>
          <w:ilvl w:val="2"/>
          <w:numId w:val="12"/>
        </w:numPr>
        <w:pBdr/>
        <w:tabs>
          <w:tab w:val="left" w:leader="none" w:pos="851"/>
          <w:tab w:val="left" w:leader="none" w:pos="993"/>
        </w:tabs>
        <w:spacing/>
        <w:ind w:firstLine="0" w:left="0"/>
        <w:rPr>
          <w:sz w:val="24"/>
          <w:szCs w:val="24"/>
        </w:rPr>
      </w:pPr>
      <w:r>
        <w:rPr>
          <w:sz w:val="24"/>
          <w:szCs w:val="24"/>
        </w:rPr>
        <w:t xml:space="preserve">Não havendo pelo menos trê</w:t>
      </w:r>
      <w:r>
        <w:rPr>
          <w:sz w:val="24"/>
          <w:szCs w:val="24"/>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sz w:val="24"/>
          <w:szCs w:val="24"/>
        </w:rPr>
      </w:r>
    </w:p>
    <w:p>
      <w:pPr>
        <w:pStyle w:val="1143"/>
        <w:numPr>
          <w:ilvl w:val="2"/>
          <w:numId w:val="12"/>
        </w:numPr>
        <w:pBdr/>
        <w:tabs>
          <w:tab w:val="left" w:leader="none" w:pos="1134"/>
        </w:tabs>
        <w:spacing/>
        <w:ind w:firstLine="0" w:left="0"/>
        <w:rPr>
          <w:sz w:val="24"/>
          <w:szCs w:val="24"/>
        </w:rPr>
      </w:pPr>
      <w:r/>
      <w:bookmarkStart w:id="37" w:name="_Hlk113698144"/>
      <w:r>
        <w:rPr>
          <w:sz w:val="24"/>
          <w:szCs w:val="24"/>
        </w:rPr>
        <w:t xml:space="preserve">Após o término dos prazos estabelecidos nos itens anteriores, o sistema ordenará e divulgará os lances segundo a ordem crescente de valores.</w:t>
      </w:r>
      <w:r>
        <w:rPr>
          <w:sz w:val="24"/>
          <w:szCs w:val="24"/>
        </w:rPr>
      </w:r>
    </w:p>
    <w:p>
      <w:pPr>
        <w:pStyle w:val="1142"/>
        <w:numPr>
          <w:ilvl w:val="1"/>
          <w:numId w:val="12"/>
        </w:numPr>
        <w:pBdr/>
        <w:spacing/>
        <w:ind w:firstLine="0" w:left="0"/>
        <w:rPr>
          <w:sz w:val="24"/>
          <w:szCs w:val="24"/>
        </w:rPr>
      </w:pPr>
      <w:r/>
      <w:bookmarkStart w:id="38" w:name="_Ref116973524"/>
      <w:r/>
      <w:bookmarkEnd w:id="37"/>
      <w:r>
        <w:rPr>
          <w:sz w:val="24"/>
          <w:szCs w:val="24"/>
        </w:rPr>
        <w:t xml:space="preserve">Caso seja adotado para o envio de lances no pregão eletrônico o modo de disputa </w:t>
      </w:r>
      <w:r>
        <w:rPr>
          <w:b/>
          <w:sz w:val="24"/>
          <w:szCs w:val="24"/>
        </w:rPr>
        <w:t xml:space="preserve">“fechado e aberto”</w:t>
      </w:r>
      <w:r>
        <w:rPr>
          <w:sz w:val="24"/>
          <w:szCs w:val="24"/>
        </w:rPr>
        <w:t xml:space="preserve">, poderão participar da etapa aberta somente os licitantes que apre</w:t>
      </w:r>
      <w:r>
        <w:rPr>
          <w:sz w:val="24"/>
          <w:szCs w:val="24"/>
        </w:rPr>
        <w:t xml:space="preserv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r/>
      <w:r>
        <w:rPr>
          <w:sz w:val="24"/>
          <w:szCs w:val="24"/>
        </w:rPr>
      </w:r>
    </w:p>
    <w:p>
      <w:pPr>
        <w:pStyle w:val="1143"/>
        <w:numPr>
          <w:ilvl w:val="2"/>
          <w:numId w:val="12"/>
        </w:numPr>
        <w:pBdr/>
        <w:tabs>
          <w:tab w:val="left" w:leader="none" w:pos="1134"/>
          <w:tab w:val="left" w:leader="none" w:pos="1276"/>
        </w:tabs>
        <w:spacing/>
        <w:ind w:firstLine="0" w:left="0"/>
        <w:rPr>
          <w:sz w:val="24"/>
          <w:szCs w:val="24"/>
        </w:rPr>
      </w:pPr>
      <w:r>
        <w:rPr>
          <w:sz w:val="24"/>
          <w:szCs w:val="24"/>
        </w:rPr>
        <w:t xml:space="preserve">Não havendo pelo menos 03 (três) propostas nas condições definidas no </w:t>
      </w:r>
      <w:r>
        <w:rPr>
          <w:b/>
          <w:color w:val="auto"/>
          <w:sz w:val="24"/>
          <w:szCs w:val="24"/>
        </w:rPr>
        <w:t xml:space="preserve">item </w:t>
      </w:r>
      <w:r>
        <w:rPr>
          <w:b/>
          <w:color w:val="auto"/>
          <w:sz w:val="24"/>
          <w:szCs w:val="24"/>
        </w:rPr>
        <w:fldChar w:fldCharType="begin"/>
      </w:r>
      <w:r>
        <w:rPr>
          <w:b/>
          <w:color w:val="auto"/>
          <w:sz w:val="24"/>
          <w:szCs w:val="24"/>
        </w:rPr>
        <w:instrText xml:space="preserve"> REF _Ref116973524 \r \h  \* MERGEFORMAT </w:instrText>
      </w:r>
      <w:r>
        <w:rPr>
          <w:b/>
          <w:color w:val="auto"/>
          <w:sz w:val="24"/>
          <w:szCs w:val="24"/>
        </w:rPr>
        <w:fldChar w:fldCharType="separate"/>
      </w:r>
      <w:r>
        <w:rPr>
          <w:b/>
          <w:color w:val="auto"/>
          <w:sz w:val="24"/>
          <w:szCs w:val="24"/>
        </w:rPr>
        <w:t xml:space="preserve">11.13</w:t>
      </w:r>
      <w:r>
        <w:rPr>
          <w:b/>
          <w:color w:val="auto"/>
          <w:sz w:val="24"/>
          <w:szCs w:val="24"/>
        </w:rPr>
        <w:fldChar w:fldCharType="end"/>
      </w:r>
      <w:r>
        <w:rPr>
          <w:sz w:val="24"/>
          <w:szCs w:val="24"/>
        </w:rPr>
        <w:t xml:space="preserve">, poderão os licitantes que apresentaram as três melhores propostas, consideradas as empatadas, oferecer novos lances sucessivos.</w:t>
      </w:r>
      <w:r>
        <w:rPr>
          <w:sz w:val="24"/>
          <w:szCs w:val="24"/>
        </w:rPr>
      </w:r>
    </w:p>
    <w:p>
      <w:pPr>
        <w:pStyle w:val="1143"/>
        <w:numPr>
          <w:ilvl w:val="2"/>
          <w:numId w:val="12"/>
        </w:numPr>
        <w:pBdr/>
        <w:tabs>
          <w:tab w:val="left" w:leader="none" w:pos="1134"/>
          <w:tab w:val="left" w:leader="none" w:pos="1276"/>
        </w:tabs>
        <w:spacing/>
        <w:ind w:firstLine="0" w:left="0"/>
        <w:rPr>
          <w:sz w:val="24"/>
          <w:szCs w:val="24"/>
        </w:rPr>
      </w:pPr>
      <w:r>
        <w:rPr>
          <w:sz w:val="24"/>
          <w:szCs w:val="24"/>
        </w:rPr>
        <w:t xml:space="preserve">A etapa de lances da sessão pública terá duração de </w:t>
      </w:r>
      <w:r>
        <w:rPr>
          <w:b/>
          <w:sz w:val="24"/>
          <w:szCs w:val="24"/>
        </w:rPr>
        <w:t xml:space="preserve">10 (dez) minutos</w:t>
      </w:r>
      <w:r>
        <w:rPr>
          <w:sz w:val="24"/>
          <w:szCs w:val="24"/>
        </w:rPr>
        <w:t xml:space="preserve"> e, após isso, será prorrogada automaticamente pelo sistema quando houver lance ofertado nos últimos </w:t>
      </w:r>
      <w:r>
        <w:rPr>
          <w:b/>
          <w:sz w:val="24"/>
          <w:szCs w:val="24"/>
        </w:rPr>
        <w:t xml:space="preserve">02 (dois) minutos</w:t>
      </w:r>
      <w:r>
        <w:rPr>
          <w:sz w:val="24"/>
          <w:szCs w:val="24"/>
        </w:rPr>
        <w:t xml:space="preserve"> do período de duração da sessão pública.</w:t>
      </w:r>
      <w:r>
        <w:rPr>
          <w:sz w:val="24"/>
          <w:szCs w:val="24"/>
        </w:rPr>
      </w:r>
    </w:p>
    <w:p>
      <w:pPr>
        <w:pStyle w:val="1143"/>
        <w:numPr>
          <w:ilvl w:val="2"/>
          <w:numId w:val="12"/>
        </w:numPr>
        <w:pBdr/>
        <w:tabs>
          <w:tab w:val="left" w:leader="none" w:pos="1134"/>
          <w:tab w:val="left" w:leader="none" w:pos="1276"/>
        </w:tabs>
        <w:spacing/>
        <w:ind w:firstLine="0" w:left="0"/>
        <w:rPr>
          <w:sz w:val="24"/>
          <w:szCs w:val="24"/>
        </w:rPr>
      </w:pPr>
      <w:r>
        <w:rPr>
          <w:sz w:val="24"/>
          <w:szCs w:val="24"/>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24"/>
          <w:szCs w:val="24"/>
        </w:rPr>
      </w:r>
    </w:p>
    <w:p>
      <w:pPr>
        <w:pStyle w:val="1143"/>
        <w:numPr>
          <w:ilvl w:val="2"/>
          <w:numId w:val="12"/>
        </w:numPr>
        <w:pBdr/>
        <w:tabs>
          <w:tab w:val="left" w:leader="none" w:pos="1134"/>
          <w:tab w:val="left" w:leader="none" w:pos="1276"/>
        </w:tabs>
        <w:spacing/>
        <w:ind w:firstLine="0" w:left="0"/>
        <w:rPr>
          <w:sz w:val="24"/>
          <w:szCs w:val="24"/>
        </w:rPr>
      </w:pPr>
      <w:r>
        <w:rPr>
          <w:sz w:val="24"/>
          <w:szCs w:val="24"/>
        </w:rPr>
        <w:t xml:space="preserve">Não havendo novos lances na forma estabelecida nos itens anteriores, a sessão pública encerrar-se-á automaticamente, e o sistema ordenará e divulgará os lances conforme a ordem final de classificação.</w:t>
      </w:r>
      <w:r>
        <w:rPr>
          <w:sz w:val="24"/>
          <w:szCs w:val="24"/>
        </w:rPr>
      </w:r>
    </w:p>
    <w:p>
      <w:pPr>
        <w:pStyle w:val="1143"/>
        <w:numPr>
          <w:ilvl w:val="2"/>
          <w:numId w:val="12"/>
        </w:numPr>
        <w:pBdr/>
        <w:tabs>
          <w:tab w:val="left" w:leader="none" w:pos="1134"/>
          <w:tab w:val="left" w:leader="none" w:pos="1276"/>
        </w:tabs>
        <w:spacing/>
        <w:ind w:firstLine="0" w:left="0"/>
        <w:rPr>
          <w:sz w:val="24"/>
          <w:szCs w:val="24"/>
        </w:rPr>
      </w:pPr>
      <w:r>
        <w:rPr>
          <w:sz w:val="24"/>
          <w:szCs w:val="24"/>
        </w:rPr>
        <w:t xml:space="preserve">Definida a melhor proposta, se a diferença em relação à proposta classificada em segundo lugar for de pelo </w:t>
      </w:r>
      <w:r>
        <w:rPr>
          <w:b/>
          <w:sz w:val="24"/>
          <w:szCs w:val="24"/>
        </w:rPr>
        <w:t xml:space="preserve">menos 5% (cinco por cento)</w:t>
      </w:r>
      <w:r>
        <w:rPr>
          <w:sz w:val="24"/>
          <w:szCs w:val="24"/>
        </w:rPr>
        <w:t xml:space="preserve">, o pregoeiro, auxiliado pela equipe de apoio, poderá admitir o reinício da disputa aberta, para a definição das demais colocações.</w:t>
      </w:r>
      <w:r>
        <w:rPr>
          <w:sz w:val="24"/>
          <w:szCs w:val="24"/>
        </w:rPr>
      </w:r>
    </w:p>
    <w:p>
      <w:pPr>
        <w:pStyle w:val="1143"/>
        <w:numPr>
          <w:ilvl w:val="2"/>
          <w:numId w:val="12"/>
        </w:numPr>
        <w:pBdr/>
        <w:tabs>
          <w:tab w:val="left" w:leader="none" w:pos="851"/>
          <w:tab w:val="left" w:leader="none" w:pos="993"/>
        </w:tabs>
        <w:spacing/>
        <w:ind w:firstLine="0" w:left="0"/>
        <w:rPr>
          <w:sz w:val="24"/>
          <w:szCs w:val="24"/>
        </w:rPr>
      </w:pPr>
      <w:r>
        <w:rPr>
          <w:sz w:val="24"/>
          <w:szCs w:val="24"/>
        </w:rPr>
        <w:t xml:space="preserve">Após o reinício previsto no subitem supra, os licitantes serão convocados para apresentar lances intermediários.  </w:t>
      </w:r>
      <w:r>
        <w:rPr>
          <w:sz w:val="24"/>
          <w:szCs w:val="24"/>
        </w:rPr>
      </w:r>
    </w:p>
    <w:p>
      <w:pPr>
        <w:pStyle w:val="1142"/>
        <w:numPr>
          <w:ilvl w:val="1"/>
          <w:numId w:val="12"/>
        </w:numPr>
        <w:pBdr/>
        <w:spacing/>
        <w:ind w:firstLine="0" w:left="0"/>
        <w:rPr>
          <w:sz w:val="24"/>
          <w:szCs w:val="24"/>
        </w:rPr>
      </w:pPr>
      <w:r>
        <w:rPr>
          <w:sz w:val="24"/>
          <w:szCs w:val="24"/>
        </w:rPr>
        <w:t xml:space="preserve">Após o término dos prazos estabelecidos nos subitens anteriores, o sistema ordenará e divulgará os lances segundo a ordem crescente de valores.</w:t>
      </w:r>
      <w:r>
        <w:rPr>
          <w:sz w:val="24"/>
          <w:szCs w:val="24"/>
        </w:rPr>
      </w:r>
    </w:p>
    <w:p>
      <w:pPr>
        <w:pStyle w:val="1142"/>
        <w:numPr>
          <w:ilvl w:val="1"/>
          <w:numId w:val="12"/>
        </w:numPr>
        <w:pBdr/>
        <w:spacing/>
        <w:ind w:firstLine="0" w:left="0"/>
        <w:rPr>
          <w:sz w:val="24"/>
          <w:szCs w:val="24"/>
        </w:rPr>
      </w:pPr>
      <w:r>
        <w:rPr>
          <w:b/>
          <w:sz w:val="24"/>
          <w:szCs w:val="24"/>
        </w:rPr>
        <w:t xml:space="preserve">Não serão aceitos dois ou mais lances de mesmo valor, prevalecendo aquele que for recebido e registrado em primeiro lugar</w:t>
      </w:r>
      <w:r>
        <w:rPr>
          <w:sz w:val="24"/>
          <w:szCs w:val="24"/>
        </w:rPr>
        <w:t xml:space="preserve">. </w:t>
      </w:r>
      <w:r>
        <w:rPr>
          <w:sz w:val="24"/>
          <w:szCs w:val="24"/>
        </w:rPr>
      </w:r>
    </w:p>
    <w:p>
      <w:pPr>
        <w:pStyle w:val="1142"/>
        <w:numPr>
          <w:ilvl w:val="1"/>
          <w:numId w:val="12"/>
        </w:numPr>
        <w:pBdr/>
        <w:spacing/>
        <w:ind w:firstLine="0" w:left="0"/>
        <w:rPr>
          <w:sz w:val="24"/>
          <w:szCs w:val="24"/>
        </w:rPr>
      </w:pPr>
      <w:r>
        <w:rPr>
          <w:sz w:val="24"/>
          <w:szCs w:val="24"/>
        </w:rPr>
        <w:t xml:space="preserve">Durante o transcurso da sessão pública, os licitantes serão informados, em tempo real, do valor do menor lance registrado, vedada a identificação do licitante. </w:t>
      </w:r>
      <w:r>
        <w:rPr>
          <w:sz w:val="24"/>
          <w:szCs w:val="24"/>
        </w:rPr>
      </w:r>
    </w:p>
    <w:p>
      <w:pPr>
        <w:pStyle w:val="1142"/>
        <w:numPr>
          <w:ilvl w:val="1"/>
          <w:numId w:val="12"/>
        </w:numPr>
        <w:pBdr/>
        <w:spacing/>
        <w:ind w:firstLine="0" w:left="0"/>
        <w:rPr>
          <w:sz w:val="24"/>
          <w:szCs w:val="24"/>
        </w:rPr>
      </w:pPr>
      <w:r>
        <w:rPr>
          <w:sz w:val="24"/>
          <w:szCs w:val="24"/>
        </w:rPr>
        <w:t xml:space="preserve">No caso de </w:t>
      </w:r>
      <w:r>
        <w:rPr>
          <w:b/>
          <w:sz w:val="24"/>
          <w:szCs w:val="24"/>
        </w:rPr>
        <w:t xml:space="preserve">desconexão com o Pregoeiro</w:t>
      </w:r>
      <w:r>
        <w:rPr>
          <w:sz w:val="24"/>
          <w:szCs w:val="24"/>
        </w:rPr>
        <w:t xml:space="preserve">, no decorrer da etapa competitiva do Pregão, o sistema eletrônico poderá permanecer acessível aos licitantes para a recepção dos lances. </w:t>
      </w:r>
      <w:r>
        <w:rPr>
          <w:sz w:val="24"/>
          <w:szCs w:val="24"/>
        </w:rPr>
      </w:r>
    </w:p>
    <w:p>
      <w:pPr>
        <w:pStyle w:val="1142"/>
        <w:numPr>
          <w:ilvl w:val="1"/>
          <w:numId w:val="12"/>
        </w:numPr>
        <w:pBdr/>
        <w:spacing/>
        <w:ind w:firstLine="0" w:left="0"/>
        <w:rPr>
          <w:sz w:val="24"/>
          <w:szCs w:val="24"/>
        </w:rPr>
      </w:pPr>
      <w:r>
        <w:rPr>
          <w:sz w:val="24"/>
          <w:szCs w:val="24"/>
        </w:rPr>
        <w:t xml:space="preserve">Quando a desconexão do sistema eletrônico para o pregoeiro persistir por tempo superior a </w:t>
      </w:r>
      <w:r>
        <w:rPr>
          <w:b/>
          <w:sz w:val="24"/>
          <w:szCs w:val="24"/>
        </w:rPr>
        <w:t xml:space="preserve">10 (dez) minutos</w:t>
      </w:r>
      <w:r>
        <w:rPr>
          <w:sz w:val="24"/>
          <w:szCs w:val="24"/>
        </w:rPr>
        <w:t xml:space="preserve">, a sessão pública será suspensa e reiniciada somente após </w:t>
      </w:r>
      <w:r>
        <w:rPr>
          <w:sz w:val="24"/>
          <w:szCs w:val="24"/>
        </w:rPr>
        <w:t xml:space="preserve">decorridas </w:t>
      </w:r>
      <w:r>
        <w:rPr>
          <w:b/>
          <w:sz w:val="24"/>
          <w:szCs w:val="24"/>
        </w:rPr>
        <w:t xml:space="preserve">24 (vinte e quatro) horas</w:t>
      </w:r>
      <w:r>
        <w:rPr>
          <w:sz w:val="24"/>
          <w:szCs w:val="24"/>
        </w:rPr>
        <w:t xml:space="preserve"> da comunicação do fato pelo Pregoeiro aos participantes, no sítio eletrônico utilizado para divulgação.</w:t>
      </w:r>
      <w:r>
        <w:rPr>
          <w:sz w:val="24"/>
          <w:szCs w:val="24"/>
        </w:rPr>
      </w:r>
    </w:p>
    <w:p>
      <w:pPr>
        <w:pStyle w:val="1142"/>
        <w:numPr>
          <w:ilvl w:val="1"/>
          <w:numId w:val="12"/>
        </w:numPr>
        <w:pBdr/>
        <w:spacing/>
        <w:ind w:firstLine="0" w:left="0"/>
        <w:rPr>
          <w:sz w:val="24"/>
          <w:szCs w:val="24"/>
        </w:rPr>
      </w:pPr>
      <w:r>
        <w:rPr>
          <w:sz w:val="24"/>
          <w:szCs w:val="24"/>
        </w:rPr>
        <w:t xml:space="preserve">Caso o licitante não apresente lances, concorrerá com o valor de sua proposta.</w:t>
      </w:r>
      <w:r>
        <w:rPr>
          <w:sz w:val="24"/>
          <w:szCs w:val="24"/>
        </w:rPr>
      </w:r>
    </w:p>
    <w:p>
      <w:pPr>
        <w:pStyle w:val="1142"/>
        <w:numPr>
          <w:ilvl w:val="1"/>
          <w:numId w:val="12"/>
        </w:numPr>
        <w:pBdr/>
        <w:spacing/>
        <w:ind w:firstLine="0" w:left="0"/>
        <w:rPr>
          <w:sz w:val="24"/>
          <w:szCs w:val="24"/>
        </w:rPr>
      </w:pPr>
      <w:r>
        <w:rPr>
          <w:sz w:val="24"/>
          <w:szCs w:val="24"/>
        </w:rPr>
        <w:t xml:space="preserve">Em relação a </w:t>
      </w:r>
      <w:r>
        <w:rPr>
          <w:b/>
          <w:sz w:val="24"/>
          <w:szCs w:val="24"/>
        </w:rPr>
        <w:t xml:space="preserve">itens não exclusivos para participação de microempresas e empresas de pequeno porte</w:t>
      </w:r>
      <w:r>
        <w:rPr>
          <w:sz w:val="24"/>
          <w:szCs w:val="24"/>
        </w:rPr>
        <w:t xml:space="preserve">, uma vez encerrada a etapa de lances</w:t>
      </w:r>
      <w:r>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Pr>
          <w:sz w:val="24"/>
          <w:szCs w:val="24"/>
        </w:rPr>
        <w:t xml:space="preserve">participantes</w:t>
      </w:r>
      <w:r>
        <w:rPr>
          <w:rFonts w:eastAsia="Zurich BT"/>
          <w:sz w:val="24"/>
          <w:szCs w:val="24"/>
        </w:rPr>
        <w:t xml:space="preserve">, procedendo à comparação com os valores da primeira colocada, se esta for empresa de maior porte, assim como das demais classificadas, para o fim de aplicar-se o disposto nos </w:t>
      </w:r>
      <w:hyperlink r:id="rId32" w:tooltip="https://www.planalto.gov.br/ccivil_03/leis/lcp/lcp123.htm#art44" w:anchor="art44" w:history="1">
        <w:r>
          <w:rPr>
            <w:rStyle w:val="953"/>
            <w:rFonts w:eastAsia="Zurich BT"/>
            <w:sz w:val="24"/>
            <w:szCs w:val="24"/>
          </w:rPr>
          <w:t xml:space="preserve">arts</w:t>
        </w:r>
        <w:r>
          <w:rPr>
            <w:rStyle w:val="953"/>
            <w:rFonts w:eastAsia="Zurich BT"/>
            <w:sz w:val="24"/>
            <w:szCs w:val="24"/>
          </w:rPr>
          <w:t xml:space="preserve">. 44 e 45 da Lei Complementar nº 123, de 2006</w:t>
        </w:r>
      </w:hyperlink>
      <w:r>
        <w:rPr>
          <w:rFonts w:eastAsia="Zurich BT"/>
          <w:sz w:val="24"/>
          <w:szCs w:val="24"/>
        </w:rPr>
        <w:t xml:space="preserve">, regulamentada pelo </w:t>
      </w:r>
      <w:hyperlink r:id="rId33" w:tooltip="https://www.planalto.gov.br/ccivil_03/_ato2015-2018/2015/decreto/d8539.htm" w:history="1">
        <w:r>
          <w:rPr>
            <w:rStyle w:val="953"/>
            <w:rFonts w:eastAsia="Zurich BT"/>
            <w:sz w:val="24"/>
            <w:szCs w:val="24"/>
          </w:rPr>
          <w:t xml:space="preserve">Decreto nº 8.538, de 2015</w:t>
        </w:r>
      </w:hyperlink>
      <w:r>
        <w:rPr>
          <w:rFonts w:eastAsia="Zurich BT"/>
          <w:sz w:val="24"/>
          <w:szCs w:val="24"/>
        </w:rPr>
        <w:t xml:space="preserve">.</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Nessas condições, as propostas de </w:t>
      </w:r>
      <w:r>
        <w:rPr>
          <w:rFonts w:eastAsia="Zurich BT"/>
          <w:sz w:val="24"/>
          <w:szCs w:val="24"/>
        </w:rPr>
        <w:t xml:space="preserve">microempresas e empresas de pequeno porte </w:t>
      </w:r>
      <w:r>
        <w:rPr>
          <w:sz w:val="24"/>
          <w:szCs w:val="24"/>
        </w:rPr>
        <w:t xml:space="preserve">que se encontrarem na faixa de até 5% (cinco por cento) acima da melhor proposta ou melhor lance serão consideradas empatadas com a primeira colocada.</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A melhor classificada nos termos do subitem anterior terá o direito de encaminhar uma última oferta para desempate, obrigatoriamente em valor inferior ao da primeira colocada, no prazo de </w:t>
      </w:r>
      <w:r>
        <w:rPr>
          <w:b/>
          <w:sz w:val="24"/>
          <w:szCs w:val="24"/>
        </w:rPr>
        <w:t xml:space="preserve">05 (cinco) minutos</w:t>
      </w:r>
      <w:r>
        <w:rPr>
          <w:sz w:val="24"/>
          <w:szCs w:val="24"/>
        </w:rPr>
        <w:t xml:space="preserve"> controlados pelo sistema, contados após a comunicação automática para tanto.</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Caso a </w:t>
      </w:r>
      <w:r>
        <w:rPr>
          <w:rFonts w:eastAsia="Zurich BT"/>
          <w:sz w:val="24"/>
          <w:szCs w:val="24"/>
        </w:rPr>
        <w:t xml:space="preserve">microempresa ou a empresa de pequeno porte</w:t>
      </w:r>
      <w:r>
        <w:rPr>
          <w:sz w:val="24"/>
          <w:szCs w:val="24"/>
        </w:rPr>
        <w:t xml:space="preserve"> melhor classificada desista ou não se manifeste no prazo estabelecido, serão convocadas as demais licitantes </w:t>
      </w:r>
      <w:r>
        <w:rPr>
          <w:rFonts w:eastAsia="Zurich BT"/>
          <w:sz w:val="24"/>
          <w:szCs w:val="24"/>
        </w:rPr>
        <w:t xml:space="preserve">microempresa e empresa de pequeno porte</w:t>
      </w:r>
      <w:r>
        <w:rPr>
          <w:sz w:val="24"/>
          <w:szCs w:val="24"/>
        </w:rPr>
        <w:t xml:space="preserve"> que se encontrem naquele intervalo de 5% (cinco por cento), na ordem de classificação, para o exercício do mesmo direito, no prazo estabelecido no subitem anterior.</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No caso de equivalência dos valores apresentados pelas microempresas e empresas de pequeno porte que se encontrem nos intervalos estabelecidos nos subitens anteriores, será realizado </w:t>
      </w:r>
      <w:r>
        <w:rPr>
          <w:b/>
          <w:sz w:val="24"/>
          <w:szCs w:val="24"/>
        </w:rPr>
        <w:t xml:space="preserve">sorteio </w:t>
      </w:r>
      <w:r>
        <w:rPr>
          <w:sz w:val="24"/>
          <w:szCs w:val="24"/>
        </w:rPr>
        <w:t xml:space="preserve">entre elas para que se identifique aquela que primeiro poderá apresentar melhor oferta.</w:t>
      </w:r>
      <w:r>
        <w:rPr>
          <w:sz w:val="24"/>
          <w:szCs w:val="24"/>
        </w:rPr>
      </w:r>
    </w:p>
    <w:p>
      <w:pPr>
        <w:pStyle w:val="1142"/>
        <w:numPr>
          <w:ilvl w:val="1"/>
          <w:numId w:val="12"/>
        </w:numPr>
        <w:pBdr/>
        <w:spacing/>
        <w:ind w:right="-2" w:firstLine="0" w:left="0"/>
        <w:rPr>
          <w:rFonts w:eastAsia="Times New Roman"/>
          <w:sz w:val="24"/>
          <w:szCs w:val="24"/>
        </w:rPr>
      </w:pPr>
      <w:r>
        <w:rPr>
          <w:sz w:val="24"/>
          <w:szCs w:val="24"/>
        </w:rPr>
        <w:t xml:space="preserve">Só poderá haver empate entre propostas iguais (não seguidas de lances), ou entre lances finais da fase fechada do modo de disputa aberto e fechado. </w:t>
      </w:r>
      <w:r>
        <w:rPr>
          <w:rFonts w:eastAsia="Times New Roman"/>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Havendo eventual empate entre propostas ou lances, o </w:t>
      </w:r>
      <w:r>
        <w:rPr>
          <w:b/>
          <w:sz w:val="24"/>
          <w:szCs w:val="24"/>
        </w:rPr>
        <w:t xml:space="preserve">critério de desempate</w:t>
      </w:r>
      <w:r>
        <w:rPr>
          <w:sz w:val="24"/>
          <w:szCs w:val="24"/>
        </w:rPr>
        <w:t xml:space="preserve"> será aquele previsto no </w:t>
      </w:r>
      <w:hyperlink r:id="rId34" w:tooltip="http://www.planalto.gov.br/ccivil_03/_ato2019-2022/2021/lei/L14133.htm#art60" w:anchor="art60" w:history="1">
        <w:r>
          <w:rPr>
            <w:rStyle w:val="953"/>
            <w:rFonts w:eastAsia="Arial"/>
            <w:sz w:val="24"/>
            <w:szCs w:val="24"/>
          </w:rPr>
          <w:t xml:space="preserve">art</w:t>
        </w:r>
        <w:r>
          <w:rPr>
            <w:rStyle w:val="953"/>
            <w:sz w:val="24"/>
            <w:szCs w:val="24"/>
          </w:rPr>
          <w:t xml:space="preserve">. 60 da Lei nº 14.133, de 2021</w:t>
        </w:r>
      </w:hyperlink>
      <w:r>
        <w:rPr>
          <w:sz w:val="24"/>
          <w:szCs w:val="24"/>
        </w:rPr>
        <w:t xml:space="preserve">, nesta ordem:</w:t>
      </w:r>
      <w:r>
        <w:rPr>
          <w:sz w:val="24"/>
          <w:szCs w:val="24"/>
        </w:rPr>
      </w:r>
    </w:p>
    <w:p>
      <w:pPr>
        <w:pStyle w:val="1144"/>
        <w:numPr>
          <w:ilvl w:val="3"/>
          <w:numId w:val="12"/>
        </w:numPr>
        <w:pBdr/>
        <w:tabs>
          <w:tab w:val="left" w:leader="none" w:pos="993"/>
          <w:tab w:val="left" w:leader="none" w:pos="1276"/>
          <w:tab w:val="left" w:leader="none" w:pos="1418"/>
          <w:tab w:val="left" w:leader="none" w:pos="3119"/>
          <w:tab w:val="left" w:leader="none" w:pos="3261"/>
        </w:tabs>
        <w:spacing/>
        <w:ind w:firstLine="0" w:left="0"/>
        <w:rPr>
          <w:sz w:val="24"/>
          <w:szCs w:val="24"/>
        </w:rPr>
      </w:pPr>
      <w:r>
        <w:rPr>
          <w:sz w:val="24"/>
          <w:szCs w:val="24"/>
        </w:rPr>
        <w:t xml:space="preserve">disputa final, hipótese em que os licitantes empatados poderão apresentar nova proposta em ato contínuo à classificação;</w:t>
      </w:r>
      <w:r>
        <w:rPr>
          <w:sz w:val="24"/>
          <w:szCs w:val="24"/>
        </w:rPr>
      </w:r>
    </w:p>
    <w:p>
      <w:pPr>
        <w:pStyle w:val="1144"/>
        <w:numPr>
          <w:ilvl w:val="3"/>
          <w:numId w:val="12"/>
        </w:numPr>
        <w:pBdr/>
        <w:tabs>
          <w:tab w:val="left" w:leader="none" w:pos="993"/>
          <w:tab w:val="left" w:leader="none" w:pos="1418"/>
        </w:tabs>
        <w:spacing/>
        <w:ind w:firstLine="0" w:left="0"/>
        <w:rPr>
          <w:sz w:val="24"/>
          <w:szCs w:val="24"/>
        </w:rPr>
      </w:pPr>
      <w:r>
        <w:rPr>
          <w:sz w:val="24"/>
          <w:szCs w:val="24"/>
        </w:rPr>
        <w:t xml:space="preserve">avaliação do desempenho contratual prévio dos licitantes, para a qual deverão preferencialmente ser utilizados registros cadastrais para efeito de atesto de cumprimento de obrigações previstos nesta Lei;</w:t>
      </w:r>
      <w:r>
        <w:rPr>
          <w:sz w:val="24"/>
          <w:szCs w:val="24"/>
        </w:rPr>
      </w:r>
    </w:p>
    <w:p>
      <w:pPr>
        <w:pStyle w:val="1144"/>
        <w:numPr>
          <w:ilvl w:val="3"/>
          <w:numId w:val="12"/>
        </w:numPr>
        <w:pBdr/>
        <w:tabs>
          <w:tab w:val="left" w:leader="none" w:pos="993"/>
          <w:tab w:val="left" w:leader="none" w:pos="1418"/>
        </w:tabs>
        <w:spacing/>
        <w:ind w:firstLine="0" w:left="0"/>
        <w:rPr>
          <w:sz w:val="24"/>
          <w:szCs w:val="24"/>
        </w:rPr>
      </w:pPr>
      <w:r>
        <w:rPr>
          <w:sz w:val="24"/>
          <w:szCs w:val="24"/>
        </w:rPr>
        <w:t xml:space="preserve">desenvolvimento pelo licitante de ações de equidade entre homens e mulheres no ambiente de trabalho, conforme regulamento;</w:t>
      </w:r>
      <w:r>
        <w:rPr>
          <w:sz w:val="24"/>
          <w:szCs w:val="24"/>
        </w:rPr>
      </w:r>
    </w:p>
    <w:p>
      <w:pPr>
        <w:pStyle w:val="1144"/>
        <w:numPr>
          <w:ilvl w:val="3"/>
          <w:numId w:val="12"/>
        </w:numPr>
        <w:pBdr/>
        <w:tabs>
          <w:tab w:val="left" w:leader="none" w:pos="993"/>
          <w:tab w:val="left" w:leader="none" w:pos="1418"/>
        </w:tabs>
        <w:spacing/>
        <w:ind w:firstLine="0" w:left="0"/>
        <w:rPr>
          <w:sz w:val="24"/>
          <w:szCs w:val="24"/>
        </w:rPr>
      </w:pPr>
      <w:r>
        <w:rPr>
          <w:sz w:val="24"/>
          <w:szCs w:val="24"/>
        </w:rPr>
        <w:t xml:space="preserve">desenvolvimento pelo licitante de programa de integridade, conforme orientações dos órgãos de controle.</w:t>
      </w:r>
      <w:r>
        <w:rPr>
          <w:sz w:val="24"/>
          <w:szCs w:val="24"/>
        </w:rPr>
      </w:r>
    </w:p>
    <w:p>
      <w:pPr>
        <w:pStyle w:val="1143"/>
        <w:numPr>
          <w:ilvl w:val="2"/>
          <w:numId w:val="12"/>
        </w:numPr>
        <w:pBdr/>
        <w:tabs>
          <w:tab w:val="left" w:leader="none" w:pos="993"/>
          <w:tab w:val="left" w:leader="none" w:pos="1418"/>
        </w:tabs>
        <w:spacing/>
        <w:ind w:firstLine="0" w:left="0"/>
        <w:rPr>
          <w:b/>
          <w:sz w:val="24"/>
          <w:szCs w:val="24"/>
        </w:rPr>
      </w:pPr>
      <w:r>
        <w:rPr>
          <w:b/>
          <w:sz w:val="24"/>
          <w:szCs w:val="24"/>
        </w:rPr>
        <w:t xml:space="preserve">Persistindo o empate, será assegurada preferência, sucessivamente, aos bens e serviços produzidos ou prestados por:</w:t>
      </w:r>
      <w:r>
        <w:rPr>
          <w:b/>
          <w:sz w:val="24"/>
          <w:szCs w:val="24"/>
        </w:rPr>
      </w:r>
    </w:p>
    <w:p>
      <w:pPr>
        <w:pStyle w:val="1144"/>
        <w:numPr>
          <w:ilvl w:val="3"/>
          <w:numId w:val="12"/>
        </w:numPr>
        <w:pBdr/>
        <w:tabs>
          <w:tab w:val="left" w:leader="none" w:pos="993"/>
          <w:tab w:val="left" w:leader="none" w:pos="1276"/>
        </w:tabs>
        <w:spacing/>
        <w:ind w:firstLine="0" w:left="0"/>
        <w:rPr>
          <w:sz w:val="24"/>
          <w:szCs w:val="24"/>
        </w:rPr>
      </w:pPr>
      <w:r/>
      <w:bookmarkStart w:id="39" w:name="art60§1i"/>
      <w:r/>
      <w:bookmarkEnd w:id="39"/>
      <w:r>
        <w:rPr>
          <w:sz w:val="24"/>
          <w:szCs w:val="24"/>
        </w:rPr>
        <w:t xml:space="preserve">empresas es</w:t>
      </w:r>
      <w:r>
        <w:rPr>
          <w:sz w:val="24"/>
          <w:szCs w:val="24"/>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sz w:val="24"/>
          <w:szCs w:val="24"/>
        </w:rPr>
      </w:r>
    </w:p>
    <w:p>
      <w:pPr>
        <w:pStyle w:val="1144"/>
        <w:numPr>
          <w:ilvl w:val="3"/>
          <w:numId w:val="12"/>
        </w:numPr>
        <w:pBdr/>
        <w:tabs>
          <w:tab w:val="left" w:leader="none" w:pos="993"/>
        </w:tabs>
        <w:spacing/>
        <w:ind w:firstLine="0" w:left="0"/>
        <w:rPr>
          <w:sz w:val="24"/>
          <w:szCs w:val="24"/>
        </w:rPr>
      </w:pPr>
      <w:r/>
      <w:bookmarkStart w:id="40" w:name="art60§1ii"/>
      <w:r/>
      <w:bookmarkEnd w:id="40"/>
      <w:r>
        <w:rPr>
          <w:sz w:val="24"/>
          <w:szCs w:val="24"/>
        </w:rPr>
        <w:t xml:space="preserve">empresas brasileiras;</w:t>
      </w:r>
      <w:r>
        <w:rPr>
          <w:sz w:val="24"/>
          <w:szCs w:val="24"/>
        </w:rPr>
      </w:r>
    </w:p>
    <w:p>
      <w:pPr>
        <w:pStyle w:val="1144"/>
        <w:numPr>
          <w:ilvl w:val="3"/>
          <w:numId w:val="12"/>
        </w:numPr>
        <w:pBdr/>
        <w:tabs>
          <w:tab w:val="left" w:leader="none" w:pos="993"/>
        </w:tabs>
        <w:spacing/>
        <w:ind w:firstLine="0" w:left="0"/>
        <w:rPr>
          <w:sz w:val="24"/>
          <w:szCs w:val="24"/>
        </w:rPr>
      </w:pPr>
      <w:r/>
      <w:bookmarkStart w:id="41" w:name="art60§1iii"/>
      <w:r/>
      <w:bookmarkEnd w:id="41"/>
      <w:r>
        <w:rPr>
          <w:sz w:val="24"/>
          <w:szCs w:val="24"/>
        </w:rPr>
        <w:t xml:space="preserve">empresas que invistam em pesquisa e no desenvolvimento de tecnologia no País;</w:t>
      </w:r>
      <w:r>
        <w:rPr>
          <w:sz w:val="24"/>
          <w:szCs w:val="24"/>
        </w:rPr>
      </w:r>
    </w:p>
    <w:p>
      <w:pPr>
        <w:pStyle w:val="1144"/>
        <w:numPr>
          <w:ilvl w:val="3"/>
          <w:numId w:val="12"/>
        </w:numPr>
        <w:pBdr/>
        <w:tabs>
          <w:tab w:val="left" w:leader="none" w:pos="993"/>
        </w:tabs>
        <w:spacing/>
        <w:ind w:firstLine="0" w:left="0"/>
        <w:rPr>
          <w:sz w:val="24"/>
          <w:szCs w:val="24"/>
        </w:rPr>
      </w:pPr>
      <w:r/>
      <w:bookmarkStart w:id="42" w:name="art60§1iv"/>
      <w:r/>
      <w:bookmarkEnd w:id="42"/>
      <w:r>
        <w:rPr>
          <w:sz w:val="24"/>
          <w:szCs w:val="24"/>
        </w:rPr>
        <w:t xml:space="preserve">empresas que comprovem a prática de mitigação, nos termos da </w:t>
      </w:r>
      <w:hyperlink r:id="rId35"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953"/>
            <w:sz w:val="24"/>
            <w:szCs w:val="24"/>
          </w:rPr>
          <w:t xml:space="preserve">Lei nº 12.187, de 29 de dezembro de 2009</w:t>
        </w:r>
      </w:hyperlink>
      <w:r>
        <w:rPr>
          <w:sz w:val="24"/>
          <w:szCs w:val="24"/>
        </w:rPr>
        <w:t xml:space="preserve">.</w:t>
      </w:r>
      <w:r>
        <w:rPr>
          <w:sz w:val="24"/>
          <w:szCs w:val="24"/>
        </w:rPr>
      </w:r>
    </w:p>
    <w:p>
      <w:pPr>
        <w:pStyle w:val="1142"/>
        <w:numPr>
          <w:ilvl w:val="1"/>
          <w:numId w:val="12"/>
        </w:numPr>
        <w:pBdr/>
        <w:spacing/>
        <w:ind w:firstLine="0" w:left="0"/>
        <w:rPr>
          <w:sz w:val="24"/>
          <w:szCs w:val="24"/>
        </w:rPr>
      </w:pPr>
      <w:r>
        <w:rPr>
          <w:sz w:val="24"/>
          <w:szCs w:val="24"/>
        </w:rPr>
        <w:t xml:space="preserve">Encerrada a etapa de envio de lances da sessão pública, na hipótese da </w:t>
      </w:r>
      <w:r>
        <w:rPr>
          <w:b/>
          <w:sz w:val="24"/>
          <w:szCs w:val="24"/>
        </w:rPr>
        <w:t xml:space="preserve">proposta do primeiro colocado permanecer acima do preço máximo ou inferior ao desconto </w:t>
      </w:r>
      <w:r>
        <w:rPr>
          <w:sz w:val="24"/>
          <w:szCs w:val="24"/>
        </w:rPr>
        <w:t xml:space="preserve">definido para a contratação, o </w:t>
      </w:r>
      <w:r>
        <w:rPr>
          <w:b/>
          <w:sz w:val="24"/>
          <w:szCs w:val="24"/>
        </w:rPr>
        <w:t xml:space="preserve">pregoeiro poderá negociar condições mais vantajosas, após definido o resultado do julgamento</w:t>
      </w:r>
      <w:r>
        <w:rPr>
          <w:sz w:val="24"/>
          <w:szCs w:val="24"/>
        </w:rPr>
        <w:t xml:space="preserve">.</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A negociação poderá</w:t>
      </w:r>
      <w:r>
        <w:rPr>
          <w:sz w:val="24"/>
          <w:szCs w:val="24"/>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sz w:val="24"/>
          <w:szCs w:val="24"/>
        </w:rPr>
      </w:r>
    </w:p>
    <w:p>
      <w:pPr>
        <w:pStyle w:val="1143"/>
        <w:numPr>
          <w:ilvl w:val="2"/>
          <w:numId w:val="12"/>
        </w:numPr>
        <w:pBdr/>
        <w:tabs>
          <w:tab w:val="left" w:leader="none" w:pos="993"/>
        </w:tabs>
        <w:spacing/>
        <w:ind w:firstLine="0" w:left="0"/>
        <w:rPr>
          <w:rFonts w:eastAsia="Times New Roman"/>
          <w:sz w:val="24"/>
          <w:szCs w:val="24"/>
        </w:rPr>
      </w:pPr>
      <w:r>
        <w:rPr>
          <w:rFonts w:eastAsia="Times New Roman"/>
          <w:sz w:val="24"/>
          <w:szCs w:val="24"/>
        </w:rPr>
        <w:t xml:space="preserve">A </w:t>
      </w:r>
      <w:r>
        <w:rPr>
          <w:sz w:val="24"/>
          <w:szCs w:val="24"/>
        </w:rPr>
        <w:t xml:space="preserve">negociação será realizada por meio do sistema, podendo ser acompanhada pelos demais licitantes.</w:t>
      </w:r>
      <w:r>
        <w:rPr>
          <w:rFonts w:eastAsia="Times New Roman"/>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O resultado da negociação será divulgado a todos os licitantes e anexado aos autos do processo licitatório.</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O pregoeiro solicitará ao licitante mais bem classificado que, no </w:t>
      </w:r>
      <w:r>
        <w:rPr>
          <w:color w:val="000000" w:themeColor="text1"/>
          <w:sz w:val="24"/>
          <w:szCs w:val="24"/>
        </w:rPr>
        <w:t xml:space="preserve">prazo de </w:t>
      </w:r>
      <w:r>
        <w:rPr>
          <w:b/>
          <w:color w:val="000000" w:themeColor="text1"/>
          <w:sz w:val="24"/>
          <w:szCs w:val="24"/>
        </w:rPr>
        <w:t xml:space="preserve">02 (duas) horas</w:t>
      </w:r>
      <w:r>
        <w:rPr>
          <w:color w:val="000000" w:themeColor="text1"/>
          <w:sz w:val="24"/>
          <w:szCs w:val="24"/>
        </w:rPr>
        <w:t xml:space="preserve">, envie a proposta adequada ao último lance ofertado após a negociação realizada, acompanhada, se for o caso, dos documentos complementares, qu</w:t>
      </w:r>
      <w:r>
        <w:rPr>
          <w:sz w:val="24"/>
          <w:szCs w:val="24"/>
        </w:rPr>
        <w:t xml:space="preserve">ando necessários à confirmação daqueles exigidos neste Edital e já apresentados.</w:t>
      </w:r>
      <w:bookmarkStart w:id="43" w:name="_Hlk117016948"/>
      <w:r/>
      <w:bookmarkEnd w:id="43"/>
      <w:r/>
      <w:r>
        <w:rPr>
          <w:sz w:val="24"/>
          <w:szCs w:val="24"/>
        </w:rPr>
      </w:r>
    </w:p>
    <w:p>
      <w:pPr>
        <w:pStyle w:val="1143"/>
        <w:numPr>
          <w:ilvl w:val="2"/>
          <w:numId w:val="12"/>
        </w:numPr>
        <w:pBdr/>
        <w:tabs>
          <w:tab w:val="left" w:leader="none" w:pos="993"/>
        </w:tabs>
        <w:spacing/>
        <w:ind w:firstLine="0" w:left="0"/>
        <w:rPr>
          <w:iCs/>
          <w:sz w:val="24"/>
          <w:szCs w:val="24"/>
        </w:rPr>
      </w:pPr>
      <w:r>
        <w:rPr>
          <w:sz w:val="24"/>
          <w:szCs w:val="24"/>
        </w:rPr>
        <w:t xml:space="preserve">É </w:t>
      </w:r>
      <w:r>
        <w:rPr>
          <w:b/>
          <w:sz w:val="24"/>
          <w:szCs w:val="24"/>
        </w:rPr>
        <w:t xml:space="preserve">facultado ao pregoeiro prorrogar</w:t>
      </w:r>
      <w:r>
        <w:rPr>
          <w:sz w:val="24"/>
          <w:szCs w:val="24"/>
        </w:rPr>
        <w:t xml:space="preserve"> o prazo estabelecido, a partir de solicitação fundamentada feita no chat pelo licitante, antes de findo o prazo.</w:t>
      </w:r>
      <w:r>
        <w:rPr>
          <w:iCs/>
          <w:sz w:val="24"/>
          <w:szCs w:val="24"/>
        </w:rPr>
      </w:r>
    </w:p>
    <w:p>
      <w:pPr>
        <w:pStyle w:val="1143"/>
        <w:numPr>
          <w:ilvl w:val="1"/>
          <w:numId w:val="12"/>
        </w:numPr>
        <w:pBdr/>
        <w:tabs>
          <w:tab w:val="left" w:leader="none" w:pos="993"/>
        </w:tabs>
        <w:spacing/>
        <w:ind w:firstLine="0" w:left="0"/>
        <w:rPr>
          <w:iCs/>
          <w:sz w:val="24"/>
          <w:szCs w:val="24"/>
        </w:rPr>
      </w:pPr>
      <w:r>
        <w:rPr>
          <w:rFonts w:eastAsiaTheme="minorHAnsi"/>
          <w:sz w:val="24"/>
          <w:szCs w:val="24"/>
          <w:lang w:eastAsia="en-US"/>
        </w:rPr>
        <w:t xml:space="preserve">Após a negociação do preço, o Pregoeiro iniciará a fase de aceitação e julgamento da proposta.</w:t>
      </w:r>
      <w:bookmarkEnd w:id="32"/>
      <w:r/>
      <w:r>
        <w:rPr>
          <w:iCs/>
          <w:sz w:val="24"/>
          <w:szCs w:val="24"/>
        </w:rPr>
      </w:r>
    </w:p>
    <w:p>
      <w:pPr>
        <w:pStyle w:val="1143"/>
        <w:numPr>
          <w:ilvl w:val="0"/>
          <w:numId w:val="0"/>
        </w:numPr>
        <w:pBdr/>
        <w:tabs>
          <w:tab w:val="left" w:leader="none" w:pos="993"/>
        </w:tabs>
        <w:spacing/>
        <w:ind/>
        <w:rPr>
          <w:iCs/>
          <w:sz w:val="24"/>
          <w:szCs w:val="24"/>
        </w:rPr>
      </w:pPr>
      <w:r>
        <w:rPr>
          <w:iCs/>
          <w:sz w:val="24"/>
          <w:szCs w:val="24"/>
        </w:rPr>
      </w:r>
      <w:r>
        <w:rPr>
          <w:iCs/>
          <w:sz w:val="24"/>
          <w:szCs w:val="24"/>
        </w:rPr>
      </w:r>
    </w:p>
    <w:p>
      <w:pPr>
        <w:pStyle w:val="995"/>
        <w:numPr>
          <w:ilvl w:val="0"/>
          <w:numId w:val="12"/>
        </w:numPr>
        <w:pBdr/>
        <w:spacing w:after="0" w:before="0"/>
        <w:ind w:firstLine="0" w:left="0"/>
        <w:contextualSpacing w:val="false"/>
        <w:rPr>
          <w:b/>
          <w:sz w:val="24"/>
          <w:szCs w:val="24"/>
        </w:rPr>
      </w:pPr>
      <w:r>
        <w:rPr>
          <w:b/>
          <w:sz w:val="24"/>
          <w:szCs w:val="24"/>
        </w:rPr>
        <w:t xml:space="preserve">DA FASE DE JULGAMENTO:</w:t>
      </w:r>
      <w:bookmarkStart w:id="44" w:name="_Ref117019424"/>
      <w:r/>
      <w:r>
        <w:rPr>
          <w:b/>
          <w:sz w:val="24"/>
          <w:szCs w:val="24"/>
        </w:rPr>
      </w:r>
    </w:p>
    <w:p>
      <w:pPr>
        <w:pStyle w:val="995"/>
        <w:pBdr/>
        <w:spacing w:after="0" w:before="0"/>
        <w:ind w:left="-142"/>
        <w:contextualSpacing w:val="false"/>
        <w:rPr>
          <w:b/>
          <w:sz w:val="24"/>
          <w:szCs w:val="24"/>
          <w:u w:val="single"/>
        </w:rPr>
      </w:pPr>
      <w:r>
        <w:rPr>
          <w:b/>
          <w:sz w:val="24"/>
          <w:szCs w:val="24"/>
          <w:u w:val="single"/>
        </w:rPr>
      </w:r>
      <w:r>
        <w:rPr>
          <w:b/>
          <w:sz w:val="24"/>
          <w:szCs w:val="24"/>
          <w:u w:val="single"/>
        </w:rPr>
      </w:r>
    </w:p>
    <w:p>
      <w:pPr>
        <w:pStyle w:val="995"/>
        <w:numPr>
          <w:ilvl w:val="1"/>
          <w:numId w:val="12"/>
        </w:numPr>
        <w:pBdr/>
        <w:spacing w:after="0" w:before="0"/>
        <w:ind w:firstLine="0" w:left="0"/>
        <w:contextualSpacing w:val="false"/>
        <w:rPr>
          <w:b/>
          <w:sz w:val="24"/>
          <w:szCs w:val="24"/>
          <w:u w:val="single"/>
        </w:rPr>
      </w:pPr>
      <w:r>
        <w:rPr>
          <w:rFonts w:cs="Arial"/>
          <w:b/>
          <w:sz w:val="24"/>
          <w:szCs w:val="24"/>
        </w:rPr>
        <w:t xml:space="preserve">Encerrada a etapa de negociação</w:t>
      </w:r>
      <w:r>
        <w:rPr>
          <w:rFonts w:cs="Arial"/>
          <w:sz w:val="24"/>
          <w:szCs w:val="24"/>
        </w:rPr>
        <w:t xml:space="preserve">, o pregoeiro verificará se o licitante provisoriamente classificado em primeiro lugar atende às condições de participação no certame, conforme previsto no </w:t>
      </w:r>
      <w:hyperlink r:id="rId36" w:tooltip="http://www.planalto.gov.br/ccivil_03/_ato2019-2022/2021/lei/L14133.htm#art14" w:anchor="art14" w:history="1">
        <w:r>
          <w:rPr>
            <w:rStyle w:val="953"/>
            <w:rFonts w:cs="Arial"/>
            <w:sz w:val="24"/>
            <w:szCs w:val="24"/>
          </w:rPr>
          <w:t xml:space="preserve">art. 14 da Lei nº 14.133/2021</w:t>
        </w:r>
      </w:hyperlink>
      <w:r>
        <w:rPr>
          <w:rFonts w:cs="Arial"/>
          <w:sz w:val="24"/>
          <w:szCs w:val="24"/>
        </w:rPr>
        <w:t xml:space="preserve">, legislação correlata e no </w:t>
      </w:r>
      <w:r>
        <w:rPr>
          <w:rFonts w:cs="Arial"/>
          <w:b/>
          <w:sz w:val="24"/>
          <w:szCs w:val="24"/>
        </w:rPr>
        <w:t xml:space="preserve">item </w:t>
      </w:r>
      <w:r>
        <w:rPr>
          <w:rFonts w:cs="Arial"/>
          <w:b/>
          <w:sz w:val="24"/>
          <w:szCs w:val="24"/>
        </w:rPr>
        <w:fldChar w:fldCharType="begin"/>
      </w:r>
      <w:r>
        <w:rPr>
          <w:rFonts w:cs="Arial"/>
          <w:b/>
          <w:sz w:val="24"/>
          <w:szCs w:val="24"/>
        </w:rPr>
        <w:instrText xml:space="preserve"> REF _Ref117000692 \r \h  \* MERGEFORMAT </w:instrText>
      </w:r>
      <w:r>
        <w:rPr>
          <w:rFonts w:cs="Arial"/>
          <w:b/>
          <w:sz w:val="24"/>
          <w:szCs w:val="24"/>
        </w:rPr>
        <w:fldChar w:fldCharType="separate"/>
      </w:r>
      <w:r>
        <w:rPr>
          <w:b/>
          <w:sz w:val="24"/>
          <w:szCs w:val="24"/>
        </w:rPr>
        <w:t xml:space="preserve">8.6</w:t>
      </w:r>
      <w:r>
        <w:rPr>
          <w:rFonts w:cs="Arial"/>
          <w:b/>
          <w:sz w:val="24"/>
          <w:szCs w:val="24"/>
        </w:rPr>
        <w:fldChar w:fldCharType="end"/>
      </w:r>
      <w:r>
        <w:rPr>
          <w:rFonts w:cs="Arial"/>
          <w:sz w:val="24"/>
          <w:szCs w:val="24"/>
        </w:rPr>
        <w:t xml:space="preserve"> do edital, </w:t>
      </w:r>
      <w:bookmarkEnd w:id="44"/>
      <w:r>
        <w:rPr>
          <w:rFonts w:cs="Arial"/>
          <w:sz w:val="24"/>
          <w:szCs w:val="24"/>
          <w:lang w:eastAsia="ar-SA"/>
        </w:rPr>
        <w:t xml:space="preserve">especialmente quanto à existência de sanção que impeça a participação no certame ou a futura contratação, mediante a consulta aos seguintes cadastros:</w:t>
      </w:r>
      <w:r>
        <w:rPr>
          <w:b/>
          <w:sz w:val="24"/>
          <w:szCs w:val="24"/>
          <w:u w:val="single"/>
        </w:rPr>
      </w:r>
    </w:p>
    <w:p>
      <w:pPr>
        <w:pStyle w:val="995"/>
        <w:numPr>
          <w:ilvl w:val="2"/>
          <w:numId w:val="12"/>
        </w:numPr>
        <w:pBdr/>
        <w:tabs>
          <w:tab w:val="left" w:leader="none" w:pos="993"/>
        </w:tabs>
        <w:spacing w:after="0" w:before="0"/>
        <w:ind w:firstLine="0" w:left="0"/>
        <w:contextualSpacing w:val="false"/>
        <w:rPr>
          <w:b/>
          <w:sz w:val="24"/>
          <w:szCs w:val="24"/>
          <w:u w:val="single"/>
        </w:rPr>
      </w:pPr>
      <w:r>
        <w:rPr>
          <w:b/>
          <w:sz w:val="24"/>
          <w:szCs w:val="24"/>
          <w:lang w:eastAsia="ar-SA"/>
        </w:rPr>
        <w:t xml:space="preserve">SICAF</w:t>
      </w:r>
      <w:r>
        <w:rPr>
          <w:lang w:eastAsia="ar-SA"/>
        </w:rPr>
        <w:t xml:space="preserve">;  </w:t>
      </w:r>
      <w:r>
        <w:rPr>
          <w:b/>
          <w:sz w:val="24"/>
          <w:szCs w:val="24"/>
          <w:u w:val="single"/>
        </w:rPr>
      </w:r>
    </w:p>
    <w:p>
      <w:pPr>
        <w:pStyle w:val="995"/>
        <w:numPr>
          <w:ilvl w:val="2"/>
          <w:numId w:val="12"/>
        </w:numPr>
        <w:pBdr/>
        <w:tabs>
          <w:tab w:val="left" w:leader="none" w:pos="993"/>
        </w:tabs>
        <w:spacing w:after="0" w:before="0"/>
        <w:ind w:firstLine="0" w:left="0"/>
        <w:contextualSpacing w:val="false"/>
        <w:rPr>
          <w:b/>
          <w:sz w:val="24"/>
          <w:szCs w:val="24"/>
          <w:u w:val="single"/>
        </w:rPr>
      </w:pPr>
      <w:r>
        <w:rPr>
          <w:rFonts w:cs="Arial"/>
          <w:sz w:val="24"/>
          <w:szCs w:val="24"/>
          <w:lang w:eastAsia="ar-SA"/>
        </w:rPr>
        <w:t xml:space="preserve">Cadastro Nacional de Empresas Inidôneas e Suspensas - </w:t>
      </w:r>
      <w:r>
        <w:rPr>
          <w:rFonts w:cs="Arial"/>
          <w:b/>
          <w:sz w:val="24"/>
          <w:szCs w:val="24"/>
          <w:lang w:eastAsia="ar-SA"/>
        </w:rPr>
        <w:t xml:space="preserve">CEIS</w:t>
      </w:r>
      <w:r>
        <w:rPr>
          <w:rFonts w:cs="Arial"/>
          <w:sz w:val="24"/>
          <w:szCs w:val="24"/>
          <w:lang w:eastAsia="ar-SA"/>
        </w:rPr>
        <w:t xml:space="preserve">, mantido pela Controladoria-Geral da União (</w:t>
      </w:r>
      <w:hyperlink r:id="rId37" w:tooltip="https://www.portaltransparencia.gov.br/sancoes/ceis" w:history="1">
        <w:r>
          <w:rPr>
            <w:rStyle w:val="953"/>
            <w:rFonts w:cs="Arial"/>
            <w:sz w:val="24"/>
            <w:szCs w:val="24"/>
            <w:lang w:eastAsia="ar-SA"/>
          </w:rPr>
          <w:t xml:space="preserve">https://www.portaltransparencia.gov.br/sancoes/ceis</w:t>
        </w:r>
      </w:hyperlink>
      <w:r>
        <w:rPr>
          <w:rFonts w:cs="Arial"/>
          <w:sz w:val="24"/>
          <w:szCs w:val="24"/>
          <w:lang w:eastAsia="ar-SA"/>
        </w:rPr>
        <w:t xml:space="preserve">); e </w:t>
      </w:r>
      <w:r>
        <w:rPr>
          <w:b/>
          <w:sz w:val="24"/>
          <w:szCs w:val="24"/>
          <w:u w:val="single"/>
        </w:rPr>
      </w:r>
    </w:p>
    <w:p>
      <w:pPr>
        <w:pStyle w:val="995"/>
        <w:numPr>
          <w:ilvl w:val="2"/>
          <w:numId w:val="12"/>
        </w:numPr>
        <w:pBdr/>
        <w:tabs>
          <w:tab w:val="left" w:leader="none" w:pos="993"/>
        </w:tabs>
        <w:spacing w:after="0" w:before="0"/>
        <w:ind w:firstLine="0" w:left="0"/>
        <w:contextualSpacing w:val="false"/>
        <w:rPr>
          <w:b/>
          <w:sz w:val="24"/>
          <w:szCs w:val="24"/>
          <w:u w:val="single"/>
        </w:rPr>
      </w:pPr>
      <w:r>
        <w:rPr>
          <w:rFonts w:cs="Arial"/>
          <w:sz w:val="24"/>
          <w:szCs w:val="24"/>
          <w:lang w:eastAsia="ar-SA"/>
        </w:rPr>
        <w:t xml:space="preserve">Cadastro Nacional de Empresas Punidas – </w:t>
      </w:r>
      <w:r>
        <w:rPr>
          <w:rFonts w:cs="Arial"/>
          <w:b/>
          <w:sz w:val="24"/>
          <w:szCs w:val="24"/>
          <w:lang w:eastAsia="ar-SA"/>
        </w:rPr>
        <w:t xml:space="preserve">CNEP</w:t>
      </w:r>
      <w:r>
        <w:rPr>
          <w:rFonts w:cs="Arial"/>
          <w:sz w:val="24"/>
          <w:szCs w:val="24"/>
          <w:lang w:eastAsia="ar-SA"/>
        </w:rPr>
        <w:t xml:space="preserve">, mantido pela Controladoria-Geral da União (</w:t>
      </w:r>
      <w:hyperlink r:id="rId38" w:tooltip="https://www.portaltransparencia.gov.br/sancoes/cnep" w:history="1">
        <w:r>
          <w:rPr>
            <w:rStyle w:val="953"/>
            <w:rFonts w:cs="Arial"/>
            <w:sz w:val="24"/>
            <w:szCs w:val="24"/>
            <w:lang w:eastAsia="ar-SA"/>
          </w:rPr>
          <w:t xml:space="preserve">https://www.portaltransparencia.gov.br/sancoes/cnep</w:t>
        </w:r>
      </w:hyperlink>
      <w:r>
        <w:rPr>
          <w:rFonts w:cs="Arial"/>
          <w:sz w:val="24"/>
          <w:szCs w:val="24"/>
          <w:lang w:eastAsia="ar-SA"/>
        </w:rPr>
        <w:t xml:space="preserve">).</w:t>
      </w:r>
      <w:r>
        <w:rPr>
          <w:b/>
          <w:sz w:val="24"/>
          <w:szCs w:val="24"/>
          <w:u w:val="single"/>
        </w:rPr>
      </w:r>
    </w:p>
    <w:p>
      <w:pPr>
        <w:pStyle w:val="1142"/>
        <w:numPr>
          <w:ilvl w:val="1"/>
          <w:numId w:val="12"/>
        </w:numPr>
        <w:pBdr/>
        <w:spacing/>
        <w:ind w:firstLine="0" w:left="0"/>
        <w:rPr>
          <w:sz w:val="24"/>
          <w:szCs w:val="24"/>
        </w:rPr>
      </w:pPr>
      <w:r>
        <w:rPr>
          <w:sz w:val="24"/>
          <w:szCs w:val="24"/>
        </w:rPr>
        <w:t xml:space="preserve">A consulta aos cadastros será realizada em nome da empresa licitante e também de seu sócio majoritário, por força da vedação de que trata o </w:t>
      </w:r>
      <w:hyperlink r:id="rId39" w:tooltip="https://www.planalto.gov.br/ccivil_03/leis/l8429.htm#:~:text=%C3%A0s%20seguintes%20comina%C3%A7%C3%B5es%3A-,Art.,n%C2%BA%2012.120%2C%20de%202009)." w:anchor=":~:text=%C3%A0s%20seguintes%20comina%C3%A7%C3%B5es%3A-,Art.,n%C2%BA%2012.120%2C%20de%202009)." w:history="1">
        <w:r>
          <w:rPr>
            <w:rStyle w:val="953"/>
            <w:sz w:val="24"/>
            <w:szCs w:val="24"/>
          </w:rPr>
          <w:t xml:space="preserve">artigo 12 da Lei n° 8.429, de 1992</w:t>
        </w:r>
      </w:hyperlink>
      <w:r>
        <w:rPr>
          <w:sz w:val="24"/>
          <w:szCs w:val="24"/>
        </w:rPr>
        <w:t xml:space="preserve">.</w:t>
      </w:r>
      <w:r>
        <w:rPr>
          <w:sz w:val="24"/>
          <w:szCs w:val="24"/>
        </w:rPr>
      </w:r>
    </w:p>
    <w:p>
      <w:pPr>
        <w:pStyle w:val="1142"/>
        <w:numPr>
          <w:ilvl w:val="1"/>
          <w:numId w:val="12"/>
        </w:numPr>
        <w:pBdr/>
        <w:spacing/>
        <w:ind w:firstLine="0" w:left="0"/>
        <w:rPr>
          <w:color w:val="000000" w:themeColor="text1"/>
          <w:sz w:val="24"/>
          <w:szCs w:val="24"/>
        </w:rPr>
      </w:pPr>
      <w:r>
        <w:rPr>
          <w:color w:val="000000" w:themeColor="text1"/>
          <w:sz w:val="24"/>
          <w:szCs w:val="24"/>
        </w:rPr>
        <w:t xml:space="preserve">Caso conste na Consulta de Situação do licitante a </w:t>
      </w:r>
      <w:r>
        <w:rPr>
          <w:b/>
          <w:color w:val="000000" w:themeColor="text1"/>
          <w:sz w:val="24"/>
          <w:szCs w:val="24"/>
        </w:rPr>
        <w:t xml:space="preserve">existência de Ocorrências Impeditivas Indiretas</w:t>
      </w:r>
      <w:r>
        <w:rPr>
          <w:color w:val="000000" w:themeColor="text1"/>
          <w:sz w:val="24"/>
          <w:szCs w:val="24"/>
        </w:rPr>
        <w:t xml:space="preserve">, o </w:t>
      </w:r>
      <w:r>
        <w:rPr>
          <w:b/>
          <w:color w:val="000000" w:themeColor="text1"/>
          <w:sz w:val="24"/>
          <w:szCs w:val="24"/>
        </w:rPr>
        <w:t xml:space="preserve">agente de contratação diligenciará</w:t>
      </w:r>
      <w:r>
        <w:rPr>
          <w:color w:val="000000" w:themeColor="text1"/>
          <w:sz w:val="24"/>
          <w:szCs w:val="24"/>
        </w:rPr>
        <w:t xml:space="preserve"> para verificar se houve fraude por parte das empresas apontadas no Relatório de Ocorrências Impeditivas Indiretas. (</w:t>
      </w:r>
      <w:hyperlink r:id="rId40" w:tooltip="https://www.gov.br/compras/pt-br/acesso-a-informacao/legislacao/instrucoes-normativas/instrucao-normativa-no-3-de-26-de-abril-de-2018#art29" w:anchor="art29" w:history="1">
        <w:r>
          <w:rPr>
            <w:rStyle w:val="953"/>
            <w:color w:val="000000" w:themeColor="text1"/>
            <w:sz w:val="24"/>
            <w:szCs w:val="24"/>
          </w:rPr>
          <w:t xml:space="preserve">IN nº 3/2018, art. 29, </w:t>
        </w:r>
        <w:r>
          <w:rPr>
            <w:rStyle w:val="953"/>
            <w:i/>
            <w:iCs/>
            <w:color w:val="000000" w:themeColor="text1"/>
            <w:sz w:val="24"/>
            <w:szCs w:val="24"/>
          </w:rPr>
          <w:t xml:space="preserve">caput</w:t>
        </w:r>
      </w:hyperlink>
      <w:r>
        <w:rPr>
          <w:color w:val="000000" w:themeColor="text1"/>
          <w:sz w:val="24"/>
          <w:szCs w:val="24"/>
        </w:rPr>
        <w:t xml:space="preserve">).</w:t>
      </w:r>
      <w:r>
        <w:rPr>
          <w:color w:val="000000" w:themeColor="text1"/>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A tentativa de burla será verificada por meio dos vínculos societários, linhas de fornecimento similares, dentre outros. (</w:t>
      </w:r>
      <w:hyperlink r:id="rId41" w:tooltip="https://www.gov.br/compras/pt-br/acesso-a-informacao/legislacao/instrucoes-normativas/instrucao-normativa-no-3-de-26-de-abril-de-2018" w:history="1">
        <w:r>
          <w:rPr>
            <w:rStyle w:val="953"/>
            <w:sz w:val="24"/>
            <w:szCs w:val="24"/>
          </w:rPr>
          <w:t xml:space="preserve">IN nº 3/2018, art. 29, §1º</w:t>
        </w:r>
      </w:hyperlink>
      <w:r>
        <w:rPr>
          <w:sz w:val="24"/>
          <w:szCs w:val="24"/>
        </w:rPr>
        <w:t xml:space="preserve">).</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O licitante será convocado para manifestação previamente a uma eventual desclassificação. (</w:t>
      </w:r>
      <w:hyperlink r:id="rId42" w:tooltip="https://www.gov.br/compras/pt-br/acesso-a-informacao/legislacao/instrucoes-normativas/instrucao-normativa-no-3-de-26-de-abril-de-2018" w:history="1">
        <w:r>
          <w:rPr>
            <w:rStyle w:val="953"/>
            <w:sz w:val="24"/>
            <w:szCs w:val="24"/>
          </w:rPr>
          <w:t xml:space="preserve">IN nº 3/2018, art. 29, §2º</w:t>
        </w:r>
      </w:hyperlink>
      <w:r>
        <w:rPr>
          <w:sz w:val="24"/>
          <w:szCs w:val="24"/>
        </w:rPr>
        <w:t xml:space="preserve">).</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Constatada a existência de sanção, o licitante será reputado inabilitado, por falta de condição de participação.</w:t>
      </w:r>
      <w:r>
        <w:rPr>
          <w:sz w:val="24"/>
          <w:szCs w:val="24"/>
        </w:rPr>
      </w:r>
    </w:p>
    <w:p>
      <w:pPr>
        <w:pStyle w:val="1142"/>
        <w:numPr>
          <w:ilvl w:val="1"/>
          <w:numId w:val="12"/>
        </w:numPr>
        <w:pBdr/>
        <w:spacing/>
        <w:ind w:firstLine="0" w:left="0"/>
        <w:rPr>
          <w:sz w:val="24"/>
          <w:szCs w:val="24"/>
        </w:rPr>
      </w:pPr>
      <w:r>
        <w:rPr>
          <w:sz w:val="24"/>
          <w:szCs w:val="24"/>
        </w:rPr>
        <w:t xml:space="preserve">Caso o licitante provisoriamente classificado em primeiro lugar tenha se utilizado de algum tratamento favorecido às ME/</w:t>
      </w:r>
      <w:r>
        <w:rPr>
          <w:sz w:val="24"/>
          <w:szCs w:val="24"/>
        </w:rPr>
        <w:t xml:space="preserve">EPPs</w:t>
      </w:r>
      <w:r>
        <w:rPr>
          <w:sz w:val="24"/>
          <w:szCs w:val="24"/>
        </w:rPr>
        <w:t xml:space="preserve">, o pregoeiro verificará se faz jus ao benefício, em conformidade com os</w:t>
      </w:r>
      <w:r>
        <w:rPr>
          <w:b/>
          <w:sz w:val="24"/>
          <w:szCs w:val="24"/>
        </w:rPr>
        <w:t xml:space="preserve"> </w:t>
      </w:r>
      <w:r>
        <w:rPr>
          <w:b/>
          <w:color w:val="auto"/>
          <w:sz w:val="24"/>
          <w:szCs w:val="24"/>
        </w:rPr>
        <w:t xml:space="preserve">itens </w:t>
      </w:r>
      <w:r>
        <w:rPr>
          <w:b/>
          <w:color w:val="auto"/>
          <w:sz w:val="24"/>
          <w:szCs w:val="24"/>
        </w:rPr>
        <w:fldChar w:fldCharType="begin"/>
      </w:r>
      <w:r>
        <w:rPr>
          <w:b/>
          <w:color w:val="auto"/>
          <w:sz w:val="24"/>
          <w:szCs w:val="24"/>
        </w:rPr>
        <w:instrText xml:space="preserve"> REF _Ref117015508 \r \h  \* MERGEFORMAT </w:instrText>
      </w:r>
      <w:r>
        <w:rPr>
          <w:b/>
          <w:color w:val="auto"/>
          <w:sz w:val="24"/>
          <w:szCs w:val="24"/>
        </w:rPr>
        <w:fldChar w:fldCharType="separate"/>
      </w:r>
      <w:r>
        <w:rPr>
          <w:b/>
          <w:color w:val="auto"/>
          <w:sz w:val="24"/>
          <w:szCs w:val="24"/>
        </w:rPr>
        <w:t xml:space="preserve">8.5</w:t>
      </w:r>
      <w:r>
        <w:rPr>
          <w:b/>
          <w:color w:val="auto"/>
          <w:sz w:val="24"/>
          <w:szCs w:val="24"/>
        </w:rPr>
        <w:fldChar w:fldCharType="end"/>
      </w:r>
      <w:r>
        <w:rPr>
          <w:b/>
          <w:color w:val="auto"/>
          <w:sz w:val="24"/>
          <w:szCs w:val="24"/>
        </w:rPr>
        <w:t xml:space="preserve"> e </w:t>
      </w:r>
      <w:r>
        <w:rPr>
          <w:b/>
          <w:color w:val="auto"/>
          <w:sz w:val="24"/>
          <w:szCs w:val="24"/>
        </w:rPr>
        <w:fldChar w:fldCharType="begin"/>
      </w:r>
      <w:r>
        <w:rPr>
          <w:b/>
          <w:color w:val="auto"/>
          <w:sz w:val="24"/>
          <w:szCs w:val="24"/>
        </w:rPr>
        <w:instrText xml:space="preserve"> REF _Ref117000019 \r \h  \* MERGEFORMAT </w:instrText>
      </w:r>
      <w:r>
        <w:rPr>
          <w:b/>
          <w:color w:val="auto"/>
          <w:sz w:val="24"/>
          <w:szCs w:val="24"/>
        </w:rPr>
        <w:fldChar w:fldCharType="separate"/>
      </w:r>
      <w:r>
        <w:rPr>
          <w:b/>
          <w:color w:val="auto"/>
          <w:sz w:val="24"/>
          <w:szCs w:val="24"/>
        </w:rPr>
        <w:t xml:space="preserve">9.6</w:t>
      </w:r>
      <w:r>
        <w:rPr>
          <w:b/>
          <w:color w:val="auto"/>
          <w:sz w:val="24"/>
          <w:szCs w:val="24"/>
        </w:rPr>
        <w:fldChar w:fldCharType="end"/>
      </w:r>
      <w:r>
        <w:rPr>
          <w:sz w:val="24"/>
          <w:szCs w:val="24"/>
        </w:rPr>
        <w:t xml:space="preserve"> deste edital.</w:t>
      </w:r>
      <w:r>
        <w:rPr>
          <w:sz w:val="24"/>
          <w:szCs w:val="24"/>
        </w:rPr>
      </w:r>
    </w:p>
    <w:p>
      <w:pPr>
        <w:pStyle w:val="1142"/>
        <w:numPr>
          <w:ilvl w:val="1"/>
          <w:numId w:val="12"/>
        </w:numPr>
        <w:pBdr/>
        <w:spacing/>
        <w:ind w:firstLine="0" w:left="0"/>
        <w:rPr>
          <w:b/>
          <w:sz w:val="24"/>
          <w:szCs w:val="24"/>
        </w:rPr>
      </w:pPr>
      <w:r>
        <w:rPr>
          <w:sz w:val="24"/>
          <w:szCs w:val="24"/>
        </w:rPr>
        <w:t xml:space="preserve">Verificadas as condições de participação e de utiliza</w:t>
      </w:r>
      <w:r>
        <w:rPr>
          <w:sz w:val="24"/>
          <w:szCs w:val="24"/>
        </w:rPr>
        <w:t xml:space="preserve">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tooltip="https://www.gov.br/compras/pt-br/acesso-a-informacao/legislacao/instrucoes-normativas/instrucao-normativa-seges-me-no-73-de-30-de-setembro-de-2022#art29" w:anchor="art29" w:history="1">
        <w:r>
          <w:rPr>
            <w:rStyle w:val="953"/>
            <w:sz w:val="24"/>
            <w:szCs w:val="24"/>
          </w:rPr>
          <w:t xml:space="preserve">artigo 29 a 35 da IN SEGES nº 73, de 30 de setembro de 2022</w:t>
        </w:r>
      </w:hyperlink>
      <w:r>
        <w:rPr>
          <w:sz w:val="24"/>
          <w:szCs w:val="24"/>
        </w:rPr>
        <w:t xml:space="preserve">.</w:t>
      </w:r>
      <w:r>
        <w:rPr>
          <w:b/>
          <w:sz w:val="24"/>
          <w:szCs w:val="24"/>
        </w:rPr>
      </w:r>
    </w:p>
    <w:p>
      <w:pPr>
        <w:pStyle w:val="1142"/>
        <w:numPr>
          <w:ilvl w:val="1"/>
          <w:numId w:val="12"/>
        </w:numPr>
        <w:pBdr/>
        <w:spacing/>
        <w:ind w:firstLine="0" w:left="0"/>
        <w:rPr>
          <w:b/>
          <w:sz w:val="24"/>
          <w:szCs w:val="24"/>
        </w:rPr>
      </w:pPr>
      <w:r>
        <w:rPr>
          <w:b/>
          <w:sz w:val="24"/>
          <w:szCs w:val="24"/>
        </w:rPr>
        <w:t xml:space="preserve">Será desclassificada a proposta vencedora que: </w:t>
      </w:r>
      <w:r>
        <w:rPr>
          <w:b/>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contiver vícios insanáveis;</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não obedecer às especificações técnicas contidas no Termo de Referência;</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apresentar preços inexequíveis ou permanecerem acima do preço máximo definido para a contratação;</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não tiverem sua exequibilidade demonstrada, quando exigido pela Administração;</w:t>
      </w:r>
      <w:r>
        <w:rPr>
          <w:sz w:val="24"/>
          <w:szCs w:val="24"/>
        </w:rPr>
      </w:r>
    </w:p>
    <w:p>
      <w:pPr>
        <w:pStyle w:val="1143"/>
        <w:numPr>
          <w:ilvl w:val="2"/>
          <w:numId w:val="12"/>
        </w:numPr>
        <w:pBdr/>
        <w:tabs>
          <w:tab w:val="left" w:leader="none" w:pos="993"/>
        </w:tabs>
        <w:spacing/>
        <w:ind w:firstLine="0" w:left="0"/>
        <w:rPr>
          <w:color w:val="000000" w:themeColor="text1"/>
          <w:sz w:val="24"/>
          <w:szCs w:val="24"/>
        </w:rPr>
      </w:pPr>
      <w:r>
        <w:rPr>
          <w:sz w:val="24"/>
          <w:szCs w:val="24"/>
        </w:rPr>
        <w:t xml:space="preserve">apresen</w:t>
      </w:r>
      <w:r>
        <w:rPr>
          <w:color w:val="000000" w:themeColor="text1"/>
          <w:sz w:val="24"/>
          <w:szCs w:val="24"/>
        </w:rPr>
        <w:t xml:space="preserve">tar desconformidade com quaisquer outras exigências deste Edital ou seus anexos, desde que insanável.</w:t>
      </w:r>
      <w:r>
        <w:rPr>
          <w:color w:val="000000" w:themeColor="text1"/>
          <w:sz w:val="24"/>
          <w:szCs w:val="24"/>
        </w:rPr>
      </w:r>
    </w:p>
    <w:p>
      <w:pPr>
        <w:pStyle w:val="1142"/>
        <w:numPr>
          <w:ilvl w:val="1"/>
          <w:numId w:val="12"/>
        </w:numPr>
        <w:pBdr/>
        <w:spacing/>
        <w:ind w:firstLine="0" w:left="0"/>
        <w:rPr>
          <w:b/>
          <w:bCs/>
          <w:color w:val="000000" w:themeColor="text1"/>
          <w:sz w:val="24"/>
          <w:szCs w:val="24"/>
        </w:rPr>
      </w:pPr>
      <w:r>
        <w:rPr>
          <w:color w:val="000000" w:themeColor="text1"/>
          <w:sz w:val="24"/>
          <w:szCs w:val="24"/>
        </w:rPr>
        <w:t xml:space="preserve">No caso de bens e serviços em geral, é indício de inexequibilidade das propostas </w:t>
      </w:r>
      <w:r>
        <w:rPr>
          <w:b/>
          <w:color w:val="000000" w:themeColor="text1"/>
          <w:sz w:val="24"/>
          <w:szCs w:val="24"/>
        </w:rPr>
        <w:t xml:space="preserve">valores inferiores a 50% (cinquenta por cento) do valor orçado pela Administração</w:t>
      </w:r>
      <w:r>
        <w:rPr>
          <w:color w:val="000000" w:themeColor="text1"/>
          <w:sz w:val="24"/>
          <w:szCs w:val="24"/>
        </w:rPr>
        <w:t xml:space="preserve">.</w:t>
      </w:r>
      <w:r>
        <w:rPr>
          <w:b/>
          <w:bCs/>
          <w:color w:val="000000" w:themeColor="text1"/>
          <w:sz w:val="24"/>
          <w:szCs w:val="24"/>
        </w:rPr>
      </w:r>
    </w:p>
    <w:p>
      <w:pPr>
        <w:pStyle w:val="1143"/>
        <w:numPr>
          <w:ilvl w:val="2"/>
          <w:numId w:val="12"/>
        </w:numPr>
        <w:pBdr/>
        <w:tabs>
          <w:tab w:val="left" w:leader="none" w:pos="993"/>
        </w:tabs>
        <w:spacing/>
        <w:ind w:firstLine="0" w:left="0"/>
        <w:rPr>
          <w:color w:val="000000" w:themeColor="text1"/>
          <w:sz w:val="24"/>
          <w:szCs w:val="24"/>
        </w:rPr>
      </w:pPr>
      <w:r>
        <w:rPr>
          <w:color w:val="000000" w:themeColor="text1"/>
          <w:sz w:val="24"/>
          <w:szCs w:val="24"/>
        </w:rPr>
        <w:t xml:space="preserve">A inexequibilidade, na hipótese de que trata o </w:t>
      </w:r>
      <w:r>
        <w:rPr>
          <w:b/>
          <w:bCs/>
          <w:color w:val="000000" w:themeColor="text1"/>
          <w:sz w:val="24"/>
          <w:szCs w:val="24"/>
        </w:rPr>
        <w:t xml:space="preserve">caput</w:t>
      </w:r>
      <w:r>
        <w:rPr>
          <w:color w:val="000000" w:themeColor="text1"/>
          <w:sz w:val="24"/>
          <w:szCs w:val="24"/>
        </w:rPr>
        <w:t xml:space="preserve">, só será considerada após diligência do pregoeiro, que comprove:</w:t>
      </w:r>
      <w:r>
        <w:rPr>
          <w:color w:val="000000" w:themeColor="text1"/>
          <w:sz w:val="24"/>
          <w:szCs w:val="24"/>
        </w:rPr>
      </w:r>
    </w:p>
    <w:p>
      <w:pPr>
        <w:pStyle w:val="1144"/>
        <w:numPr>
          <w:ilvl w:val="3"/>
          <w:numId w:val="12"/>
        </w:numPr>
        <w:pBdr/>
        <w:tabs>
          <w:tab w:val="left" w:leader="none" w:pos="993"/>
        </w:tabs>
        <w:spacing/>
        <w:ind w:firstLine="0" w:left="0"/>
        <w:rPr>
          <w:color w:val="000000" w:themeColor="text1"/>
          <w:sz w:val="24"/>
          <w:szCs w:val="24"/>
        </w:rPr>
      </w:pPr>
      <w:r>
        <w:rPr>
          <w:color w:val="000000" w:themeColor="text1"/>
          <w:sz w:val="24"/>
          <w:szCs w:val="24"/>
        </w:rPr>
        <w:t xml:space="preserve">que o custo do licitante ultrapassa o valor da proposta; e</w:t>
      </w:r>
      <w:r>
        <w:rPr>
          <w:color w:val="000000" w:themeColor="text1"/>
          <w:sz w:val="24"/>
          <w:szCs w:val="24"/>
        </w:rPr>
      </w:r>
    </w:p>
    <w:p>
      <w:pPr>
        <w:pStyle w:val="1144"/>
        <w:numPr>
          <w:ilvl w:val="3"/>
          <w:numId w:val="12"/>
        </w:numPr>
        <w:pBdr/>
        <w:tabs>
          <w:tab w:val="left" w:leader="none" w:pos="993"/>
        </w:tabs>
        <w:spacing/>
        <w:ind w:firstLine="0" w:left="0"/>
        <w:rPr>
          <w:color w:val="000000" w:themeColor="text1"/>
          <w:sz w:val="24"/>
          <w:szCs w:val="24"/>
        </w:rPr>
      </w:pPr>
      <w:r>
        <w:rPr>
          <w:color w:val="000000" w:themeColor="text1"/>
          <w:sz w:val="24"/>
          <w:szCs w:val="24"/>
        </w:rPr>
        <w:t xml:space="preserve">inexistirem custos de oportunidade capazes de justificar o vulto da oferta.</w:t>
      </w:r>
      <w:r>
        <w:rPr>
          <w:color w:val="000000" w:themeColor="text1"/>
          <w:sz w:val="24"/>
          <w:szCs w:val="24"/>
        </w:rPr>
      </w:r>
    </w:p>
    <w:p>
      <w:pPr>
        <w:pStyle w:val="1142"/>
        <w:numPr>
          <w:ilvl w:val="1"/>
          <w:numId w:val="12"/>
        </w:numPr>
        <w:pBdr/>
        <w:spacing/>
        <w:ind w:firstLine="0" w:left="0"/>
        <w:rPr>
          <w:b/>
          <w:sz w:val="24"/>
          <w:szCs w:val="24"/>
        </w:rPr>
      </w:pPr>
      <w:r>
        <w:rPr>
          <w:b/>
          <w:sz w:val="24"/>
          <w:szCs w:val="24"/>
        </w:rPr>
        <w:t xml:space="preserve">Se houver indícios de inexequibilidade da proposta de preço, ou em caso da necessidade de esclarecimentos complementares, poderão ser efetuadas diligências, para que a empresa comprove a exequibilidade da proposta.</w:t>
      </w:r>
      <w:r>
        <w:rPr>
          <w:b/>
          <w:sz w:val="24"/>
          <w:szCs w:val="24"/>
        </w:rPr>
      </w:r>
    </w:p>
    <w:p>
      <w:pPr>
        <w:pStyle w:val="1142"/>
        <w:numPr>
          <w:ilvl w:val="1"/>
          <w:numId w:val="12"/>
        </w:numPr>
        <w:pBdr/>
        <w:spacing/>
        <w:ind w:firstLine="0" w:left="0"/>
        <w:rPr>
          <w:color w:val="000000" w:themeColor="text1"/>
          <w:sz w:val="24"/>
          <w:szCs w:val="24"/>
        </w:rPr>
      </w:pPr>
      <w:r>
        <w:rPr>
          <w:sz w:val="24"/>
          <w:szCs w:val="24"/>
        </w:rPr>
        <w:t xml:space="preserve">Caso o custo global estimado do objeto licitado tenha sido decomposto em seus respectivos custos unitários por me</w:t>
      </w:r>
      <w:r>
        <w:rPr>
          <w:color w:val="000000" w:themeColor="text1"/>
          <w:sz w:val="24"/>
          <w:szCs w:val="24"/>
        </w:rPr>
        <w:t xml:space="preserve">io de </w:t>
      </w:r>
      <w:r>
        <w:rPr>
          <w:b/>
          <w:color w:val="000000" w:themeColor="text1"/>
          <w:sz w:val="24"/>
          <w:szCs w:val="24"/>
        </w:rPr>
        <w:t xml:space="preserve">Planilha de Custos e Formação de Preços elaborada pela Administração</w:t>
      </w:r>
      <w:r>
        <w:rPr>
          <w:color w:val="000000" w:themeColor="text1"/>
          <w:sz w:val="24"/>
          <w:szCs w:val="24"/>
        </w:rPr>
        <w:t xml:space="preserve">, o licitante classificado em primeiro lugar será convocado para apresentar Planilha por ele elaborada, com os respectivos valores adequados ao valor final da sua proposta, sob pena de não aceitação da proposta.</w:t>
      </w:r>
      <w:r>
        <w:rPr>
          <w:color w:val="000000" w:themeColor="text1"/>
          <w:sz w:val="24"/>
          <w:szCs w:val="24"/>
        </w:rPr>
      </w:r>
    </w:p>
    <w:p>
      <w:pPr>
        <w:pStyle w:val="1142"/>
        <w:numPr>
          <w:ilvl w:val="1"/>
          <w:numId w:val="12"/>
        </w:numPr>
        <w:pBdr/>
        <w:spacing/>
        <w:ind w:firstLine="0" w:left="0"/>
        <w:rPr>
          <w:b/>
          <w:sz w:val="24"/>
          <w:szCs w:val="24"/>
        </w:rPr>
      </w:pPr>
      <w:r>
        <w:rPr>
          <w:b/>
          <w:color w:val="000000" w:themeColor="text1"/>
          <w:sz w:val="24"/>
          <w:szCs w:val="24"/>
        </w:rPr>
        <w:t xml:space="preserve">Erros no preenchimento da planilha não constituem motivo para a desclassificação da proposta.</w:t>
      </w:r>
      <w:r>
        <w:rPr>
          <w:color w:val="000000" w:themeColor="text1"/>
          <w:sz w:val="24"/>
          <w:szCs w:val="24"/>
        </w:rPr>
        <w:t xml:space="preserve"> A planilha poderá́ ser ajustada pelo fornecedor, no prazo indicado pelo sistema, desde que não haja majoração do preço e que se comprove que este é o bastante para arcar com todos os c</w:t>
      </w:r>
      <w:r>
        <w:rPr>
          <w:sz w:val="24"/>
          <w:szCs w:val="24"/>
        </w:rPr>
        <w:t xml:space="preserve">ustos da contratação;</w:t>
      </w:r>
      <w:r>
        <w:rPr>
          <w:b/>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O ajuste de que trata este dispositivo se limita a sanar erros ou falhas que não alterem a substância das propostas;</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Considera-se erro no preenchimento da planilha passível de correção a indicação de recolhimento de impostos e contribuições na forma do Simples Nacional, quando não cabível esse regime.</w:t>
      </w:r>
      <w:r>
        <w:rPr>
          <w:sz w:val="24"/>
          <w:szCs w:val="24"/>
        </w:rPr>
      </w:r>
    </w:p>
    <w:p>
      <w:pPr>
        <w:pStyle w:val="1142"/>
        <w:numPr>
          <w:ilvl w:val="1"/>
          <w:numId w:val="12"/>
        </w:numPr>
        <w:pBdr/>
        <w:spacing/>
        <w:ind w:firstLine="0" w:left="0"/>
        <w:rPr>
          <w:b/>
          <w:sz w:val="24"/>
          <w:szCs w:val="24"/>
        </w:rPr>
      </w:pPr>
      <w:r>
        <w:rPr>
          <w:sz w:val="24"/>
          <w:szCs w:val="24"/>
          <w:lang w:eastAsia="en-US"/>
        </w:rPr>
        <w:t xml:space="preserve">Para </w:t>
      </w:r>
      <w:r>
        <w:rPr>
          <w:sz w:val="24"/>
          <w:szCs w:val="24"/>
        </w:rPr>
        <w:t xml:space="preserve">fins</w:t>
      </w:r>
      <w:r>
        <w:rPr>
          <w:sz w:val="24"/>
          <w:szCs w:val="24"/>
          <w:lang w:eastAsia="en-US"/>
        </w:rPr>
        <w:t xml:space="preserve"> de análise da proposta quanto ao cumprimento </w:t>
      </w:r>
      <w:r>
        <w:rPr>
          <w:sz w:val="24"/>
          <w:szCs w:val="24"/>
        </w:rPr>
        <w:t xml:space="preserve">das</w:t>
      </w:r>
      <w:r>
        <w:rPr>
          <w:sz w:val="24"/>
          <w:szCs w:val="24"/>
          <w:lang w:eastAsia="en-US"/>
        </w:rPr>
        <w:t xml:space="preserve"> especificações do objeto, poderá ser colhida a </w:t>
      </w:r>
      <w:r>
        <w:rPr>
          <w:sz w:val="24"/>
          <w:szCs w:val="24"/>
        </w:rPr>
        <w:t xml:space="preserve">manifestação</w:t>
      </w:r>
      <w:r>
        <w:rPr>
          <w:sz w:val="24"/>
          <w:szCs w:val="24"/>
          <w:lang w:eastAsia="en-US"/>
        </w:rPr>
        <w:t xml:space="preserve"> escrita do setor requisitante do serviço ou da área especializada no objeto.</w:t>
      </w:r>
      <w:r>
        <w:rPr>
          <w:b/>
          <w:sz w:val="24"/>
          <w:szCs w:val="24"/>
        </w:rPr>
      </w:r>
    </w:p>
    <w:p>
      <w:pPr>
        <w:pStyle w:val="1142"/>
        <w:numPr>
          <w:ilvl w:val="1"/>
          <w:numId w:val="12"/>
        </w:numPr>
        <w:pBdr/>
        <w:spacing/>
        <w:ind w:firstLine="0" w:left="0"/>
        <w:rPr>
          <w:sz w:val="24"/>
          <w:szCs w:val="24"/>
        </w:rPr>
      </w:pPr>
      <w:r>
        <w:rPr>
          <w:b/>
          <w:sz w:val="24"/>
          <w:szCs w:val="24"/>
        </w:rPr>
        <w:t xml:space="preserve">Caso</w:t>
      </w:r>
      <w:r>
        <w:rPr>
          <w:sz w:val="24"/>
          <w:szCs w:val="24"/>
        </w:rPr>
        <w:t xml:space="preserve"> o Termo de Referência exija a </w:t>
      </w:r>
      <w:r>
        <w:rPr>
          <w:b/>
          <w:color w:val="auto"/>
          <w:sz w:val="24"/>
          <w:szCs w:val="24"/>
        </w:rPr>
        <w:t xml:space="preserve">apresentação de amostra</w:t>
      </w:r>
      <w:r>
        <w:rPr>
          <w:sz w:val="24"/>
          <w:szCs w:val="24"/>
        </w:rPr>
        <w:t xml:space="preserve">, o licitante classificado em primeiro lugar deverá apresentá-la, conforme disciplinado no Termo de Referência, sob pena de não aceitação da proposta.</w:t>
      </w:r>
      <w:r>
        <w:rPr>
          <w:sz w:val="24"/>
          <w:szCs w:val="24"/>
        </w:rPr>
      </w:r>
    </w:p>
    <w:p>
      <w:pPr>
        <w:pStyle w:val="1142"/>
        <w:numPr>
          <w:ilvl w:val="1"/>
          <w:numId w:val="12"/>
        </w:numPr>
        <w:pBdr/>
        <w:spacing/>
        <w:ind w:firstLine="0" w:left="0"/>
        <w:rPr>
          <w:sz w:val="24"/>
          <w:szCs w:val="24"/>
        </w:rPr>
      </w:pPr>
      <w:r>
        <w:rPr>
          <w:sz w:val="24"/>
          <w:szCs w:val="24"/>
        </w:rPr>
        <w:t xml:space="preserve">Por meio de mensagem no sistema, será divulgado o local e horário de realização do procedimento para a avaliação das amostras, cuja presença será facultada a todos os interessados, incluindo os demais licitantes.</w:t>
      </w:r>
      <w:r>
        <w:rPr>
          <w:sz w:val="24"/>
          <w:szCs w:val="24"/>
        </w:rPr>
      </w:r>
    </w:p>
    <w:p>
      <w:pPr>
        <w:pStyle w:val="1142"/>
        <w:numPr>
          <w:ilvl w:val="1"/>
          <w:numId w:val="12"/>
        </w:numPr>
        <w:pBdr/>
        <w:spacing/>
        <w:ind w:firstLine="0" w:left="0"/>
        <w:rPr>
          <w:sz w:val="24"/>
          <w:szCs w:val="24"/>
        </w:rPr>
      </w:pPr>
      <w:r>
        <w:rPr>
          <w:sz w:val="24"/>
          <w:szCs w:val="24"/>
        </w:rPr>
        <w:t xml:space="preserve">Os resultados das avaliações serão divulgados por meio de mensagem no sistema.</w:t>
      </w:r>
      <w:r>
        <w:rPr>
          <w:sz w:val="24"/>
          <w:szCs w:val="24"/>
        </w:rPr>
      </w:r>
    </w:p>
    <w:p>
      <w:pPr>
        <w:pStyle w:val="1142"/>
        <w:numPr>
          <w:ilvl w:val="1"/>
          <w:numId w:val="12"/>
        </w:numPr>
        <w:pBdr/>
        <w:spacing/>
        <w:ind w:firstLine="0" w:left="0"/>
        <w:rPr>
          <w:sz w:val="24"/>
          <w:szCs w:val="24"/>
        </w:rPr>
      </w:pPr>
      <w:r>
        <w:rPr>
          <w:sz w:val="24"/>
          <w:szCs w:val="24"/>
        </w:rPr>
        <w:t xml:space="preserve">No caso de não haver entrega da amostra ou ocorrer atraso na entrega, sem justificativa aceita pelo Pregoeiro, ou havendo entrega de amostra fora das especificações previstas neste Edital, a proposta do licitante será recusada.</w:t>
      </w:r>
      <w:r>
        <w:rPr>
          <w:sz w:val="24"/>
          <w:szCs w:val="24"/>
        </w:rPr>
      </w:r>
    </w:p>
    <w:p>
      <w:pPr>
        <w:pStyle w:val="1142"/>
        <w:numPr>
          <w:ilvl w:val="1"/>
          <w:numId w:val="12"/>
        </w:numPr>
        <w:pBdr/>
        <w:spacing/>
        <w:ind w:firstLine="0" w:left="0"/>
        <w:rPr>
          <w:sz w:val="24"/>
          <w:szCs w:val="24"/>
        </w:rPr>
      </w:pPr>
      <w:r>
        <w:rPr>
          <w:sz w:val="24"/>
          <w:szCs w:val="24"/>
        </w:rPr>
        <w:t xml:space="preserve">Se a(s) amostra(s) apresentada(s) pelo primeiro classificado não for(em) aceita(s), o</w:t>
      </w:r>
      <w:r>
        <w:rPr>
          <w:sz w:val="24"/>
          <w:szCs w:val="24"/>
        </w:rPr>
        <w:t xml:space="preserve"> Pregoeiro analisará a aceitabilidade da proposta ou lance ofertado pelo segundo classificado. Seguir-se-á com a verificação da(s) amostra(s) e, assim, sucessivamente, até a verificação de uma que atenda às especificações constantes no Termo de Referência.</w:t>
      </w:r>
      <w:r>
        <w:rPr>
          <w:sz w:val="24"/>
          <w:szCs w:val="24"/>
        </w:rPr>
      </w:r>
    </w:p>
    <w:p>
      <w:pPr>
        <w:pStyle w:val="995"/>
        <w:pBdr/>
        <w:spacing w:after="0" w:before="0"/>
        <w:ind w:left="-142"/>
        <w:contextualSpacing w:val="false"/>
        <w:rPr>
          <w:sz w:val="24"/>
          <w:szCs w:val="24"/>
        </w:rPr>
      </w:pPr>
      <w:r>
        <w:rPr>
          <w:sz w:val="24"/>
          <w:szCs w:val="24"/>
        </w:rPr>
      </w:r>
      <w:r>
        <w:rPr>
          <w:sz w:val="24"/>
          <w:szCs w:val="24"/>
        </w:rPr>
      </w:r>
    </w:p>
    <w:p>
      <w:pPr>
        <w:pStyle w:val="995"/>
        <w:pBdr/>
        <w:spacing w:after="0" w:before="0"/>
        <w:ind w:left="-142"/>
        <w:contextualSpacing w:val="false"/>
        <w:rPr>
          <w:sz w:val="24"/>
          <w:szCs w:val="24"/>
        </w:rPr>
      </w:pPr>
      <w:r>
        <w:rPr>
          <w:sz w:val="24"/>
          <w:szCs w:val="24"/>
        </w:rPr>
      </w:r>
      <w:r>
        <w:rPr>
          <w:sz w:val="24"/>
          <w:szCs w:val="24"/>
        </w:rPr>
      </w:r>
    </w:p>
    <w:p>
      <w:pPr>
        <w:pStyle w:val="995"/>
        <w:pBdr/>
        <w:spacing w:after="0" w:before="0"/>
        <w:ind w:left="-142"/>
        <w:contextualSpacing w:val="false"/>
        <w:rPr>
          <w:sz w:val="24"/>
          <w:szCs w:val="24"/>
        </w:rPr>
      </w:pPr>
      <w:r>
        <w:rPr>
          <w:sz w:val="24"/>
          <w:szCs w:val="24"/>
        </w:rPr>
      </w:r>
      <w:r>
        <w:rPr>
          <w:sz w:val="24"/>
          <w:szCs w:val="24"/>
        </w:rPr>
      </w:r>
    </w:p>
    <w:p>
      <w:pPr>
        <w:pStyle w:val="995"/>
        <w:pBdr/>
        <w:spacing w:after="0" w:before="0"/>
        <w:ind w:left="-142"/>
        <w:contextualSpacing w:val="false"/>
        <w:rPr>
          <w:sz w:val="24"/>
          <w:szCs w:val="24"/>
        </w:rPr>
      </w:pPr>
      <w:r>
        <w:rPr>
          <w:sz w:val="24"/>
          <w:szCs w:val="24"/>
        </w:rPr>
      </w:r>
      <w:r>
        <w:rPr>
          <w:sz w:val="24"/>
          <w:szCs w:val="24"/>
        </w:rPr>
      </w:r>
    </w:p>
    <w:p>
      <w:pPr>
        <w:pStyle w:val="995"/>
        <w:pBdr/>
        <w:spacing w:after="0" w:before="0"/>
        <w:ind w:left="-142"/>
        <w:contextualSpacing w:val="false"/>
        <w:rPr>
          <w:sz w:val="24"/>
          <w:szCs w:val="24"/>
        </w:rPr>
      </w:pPr>
      <w:r>
        <w:rPr>
          <w:sz w:val="24"/>
          <w:szCs w:val="24"/>
        </w:rPr>
      </w:r>
      <w:r>
        <w:rPr>
          <w:sz w:val="24"/>
          <w:szCs w:val="24"/>
        </w:rPr>
      </w:r>
    </w:p>
    <w:p>
      <w:pPr>
        <w:pStyle w:val="995"/>
        <w:numPr>
          <w:ilvl w:val="0"/>
          <w:numId w:val="12"/>
        </w:numPr>
        <w:pBdr/>
        <w:spacing w:after="0" w:before="0"/>
        <w:ind w:firstLine="0" w:left="0"/>
        <w:contextualSpacing w:val="false"/>
        <w:rPr>
          <w:b/>
          <w:sz w:val="24"/>
          <w:szCs w:val="24"/>
        </w:rPr>
      </w:pPr>
      <w:r/>
      <w:bookmarkStart w:id="45" w:name="EDITALENVELOPESB"/>
      <w:r>
        <w:rPr>
          <w:b/>
          <w:sz w:val="24"/>
          <w:szCs w:val="24"/>
        </w:rPr>
        <w:t xml:space="preserve">DA FASE DE HABILITAÇÃO:</w:t>
      </w:r>
      <w:bookmarkEnd w:id="45"/>
      <w:r/>
      <w:r>
        <w:rPr>
          <w:b/>
          <w:sz w:val="24"/>
          <w:szCs w:val="24"/>
        </w:rPr>
      </w:r>
    </w:p>
    <w:p>
      <w:pPr>
        <w:pStyle w:val="995"/>
        <w:pBdr/>
        <w:spacing w:after="0" w:before="0"/>
        <w:ind w:left="0"/>
        <w:contextualSpacing w:val="false"/>
        <w:rPr>
          <w:b/>
          <w:sz w:val="24"/>
          <w:szCs w:val="24"/>
          <w:u w:val="single"/>
        </w:rPr>
      </w:pPr>
      <w:r>
        <w:rPr>
          <w:b/>
          <w:sz w:val="24"/>
          <w:szCs w:val="24"/>
          <w:u w:val="single"/>
        </w:rPr>
      </w:r>
      <w:r>
        <w:rPr>
          <w:b/>
          <w:sz w:val="24"/>
          <w:szCs w:val="24"/>
          <w:u w:val="single"/>
        </w:rPr>
      </w:r>
    </w:p>
    <w:p>
      <w:pPr>
        <w:pStyle w:val="995"/>
        <w:numPr>
          <w:ilvl w:val="1"/>
          <w:numId w:val="12"/>
        </w:numPr>
        <w:pBdr/>
        <w:spacing w:after="0" w:before="0"/>
        <w:ind w:firstLine="0" w:left="0"/>
        <w:contextualSpacing w:val="false"/>
        <w:rPr>
          <w:b/>
          <w:sz w:val="24"/>
          <w:szCs w:val="24"/>
          <w:u w:val="single"/>
        </w:rPr>
      </w:pPr>
      <w:r>
        <w:rPr>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4" w:tooltip="http://www.planalto.gov.br/ccivil_03/_ato2019-2022/2021/lei/L14133.htm#art62" w:anchor="art62" w:history="1">
        <w:r>
          <w:rPr>
            <w:rStyle w:val="953"/>
            <w:sz w:val="24"/>
            <w:szCs w:val="24"/>
          </w:rPr>
          <w:t xml:space="preserve">arts</w:t>
        </w:r>
        <w:r>
          <w:rPr>
            <w:rStyle w:val="953"/>
            <w:sz w:val="24"/>
            <w:szCs w:val="24"/>
          </w:rPr>
          <w:t xml:space="preserve">. 62 a 70 da Lei nº 14.133, de 2021</w:t>
        </w:r>
      </w:hyperlink>
      <w:r>
        <w:rPr>
          <w:sz w:val="24"/>
          <w:szCs w:val="24"/>
        </w:rPr>
        <w:t xml:space="preserve">.</w:t>
      </w:r>
      <w:bookmarkStart w:id="46" w:name="_Ref114663777"/>
      <w:r/>
      <w:r>
        <w:rPr>
          <w:b/>
          <w:sz w:val="24"/>
          <w:szCs w:val="24"/>
          <w:u w:val="single"/>
        </w:rPr>
      </w:r>
    </w:p>
    <w:p>
      <w:pPr>
        <w:pStyle w:val="995"/>
        <w:numPr>
          <w:ilvl w:val="2"/>
          <w:numId w:val="12"/>
        </w:numPr>
        <w:pBdr/>
        <w:tabs>
          <w:tab w:val="left" w:leader="none" w:pos="851"/>
          <w:tab w:val="left" w:leader="none" w:pos="1560"/>
        </w:tabs>
        <w:spacing w:after="0" w:before="0"/>
        <w:ind w:firstLine="0" w:left="0"/>
        <w:contextualSpacing w:val="false"/>
        <w:rPr>
          <w:b/>
          <w:sz w:val="24"/>
          <w:szCs w:val="24"/>
          <w:u w:val="single"/>
        </w:rPr>
      </w:pPr>
      <w:r>
        <w:rPr>
          <w:b/>
          <w:sz w:val="24"/>
          <w:szCs w:val="24"/>
        </w:rPr>
        <w:t xml:space="preserve">A documentação exigida para fins de habilitação jurídica, fiscal, social e trabalhista e econômico-</w:t>
      </w:r>
      <w:r>
        <w:rPr>
          <w:b/>
          <w:sz w:val="24"/>
          <w:szCs w:val="24"/>
        </w:rPr>
        <w:t xml:space="preserve">ﬁnanceira</w:t>
      </w:r>
      <w:r>
        <w:rPr>
          <w:b/>
          <w:sz w:val="24"/>
          <w:szCs w:val="24"/>
        </w:rPr>
        <w:t xml:space="preserve">, poderá ser substituída pelo registro cadastral no SICAF.</w:t>
      </w:r>
      <w:bookmarkEnd w:id="46"/>
      <w:r/>
      <w:r>
        <w:rPr>
          <w:b/>
          <w:sz w:val="24"/>
          <w:szCs w:val="24"/>
          <w:u w:val="single"/>
        </w:rPr>
      </w:r>
    </w:p>
    <w:p>
      <w:pPr>
        <w:pStyle w:val="1142"/>
        <w:numPr>
          <w:ilvl w:val="1"/>
          <w:numId w:val="12"/>
        </w:numPr>
        <w:pBdr/>
        <w:spacing/>
        <w:ind w:firstLine="0" w:left="0"/>
        <w:rPr>
          <w:i/>
          <w:sz w:val="24"/>
          <w:szCs w:val="24"/>
        </w:rPr>
      </w:pPr>
      <w:r>
        <w:rPr>
          <w:color w:val="auto"/>
          <w:sz w:val="24"/>
          <w:szCs w:val="24"/>
        </w:rPr>
        <w:t xml:space="preserve">Quando </w:t>
      </w:r>
      <w:r>
        <w:rPr>
          <w:sz w:val="24"/>
          <w:szCs w:val="24"/>
        </w:rPr>
        <w:t xml:space="preserve">permitida</w:t>
      </w:r>
      <w:r>
        <w:rPr>
          <w:color w:val="auto"/>
          <w:sz w:val="24"/>
          <w:szCs w:val="24"/>
        </w:rPr>
        <w:t xml:space="preserve"> a </w:t>
      </w:r>
      <w:r>
        <w:rPr>
          <w:sz w:val="24"/>
          <w:szCs w:val="24"/>
        </w:rPr>
        <w:t xml:space="preserve">participação de empresas estrangeiras que não funcionem no País, as exigências de habilitação serão atendidas mediante documentos equivalentes, inicialmente apresentados em tradução livre.</w:t>
      </w:r>
      <w:r>
        <w:rPr>
          <w:i/>
          <w:sz w:val="24"/>
          <w:szCs w:val="24"/>
        </w:rPr>
      </w:r>
    </w:p>
    <w:p>
      <w:pPr>
        <w:pStyle w:val="1142"/>
        <w:numPr>
          <w:ilvl w:val="1"/>
          <w:numId w:val="12"/>
        </w:numPr>
        <w:pBdr/>
        <w:spacing/>
        <w:ind w:firstLine="0" w:left="0"/>
        <w:rPr>
          <w:i/>
          <w:iCs/>
          <w:sz w:val="24"/>
          <w:szCs w:val="24"/>
        </w:rPr>
      </w:pPr>
      <w:r>
        <w:rPr>
          <w:sz w:val="24"/>
          <w:szCs w:val="24"/>
        </w:rPr>
        <w:t xml:space="preserve">Na hipótese de o licitante vencedor ser empresa estrangeira que não funcione no País, para </w:t>
      </w:r>
      <w:r>
        <w:rPr>
          <w:sz w:val="24"/>
          <w:szCs w:val="24"/>
        </w:rPr>
        <w:t xml:space="preserve">ﬁns</w:t>
      </w:r>
      <w:r>
        <w:rPr>
          <w:sz w:val="24"/>
          <w:szCs w:val="24"/>
        </w:rPr>
        <w:t xml:space="preserve"> de assinatura do contrato ou da ata de registro de preços, os documentos exigidos para a habilitação serão traduzidos por tradutor juramentado no País e apostilados nos termos do disposto no </w:t>
      </w:r>
      <w:hyperlink r:id="rId45" w:tooltip="https://www.planalto.gov.br/ccivil_03/_ato2015-2018/2016/decreto/d8660.htm" w:history="1">
        <w:r>
          <w:rPr>
            <w:rStyle w:val="953"/>
            <w:sz w:val="24"/>
            <w:szCs w:val="24"/>
          </w:rPr>
          <w:t xml:space="preserve">Decreto nº 8.660, de 29 de janeiro de 2016</w:t>
        </w:r>
      </w:hyperlink>
      <w:r>
        <w:rPr>
          <w:sz w:val="24"/>
          <w:szCs w:val="24"/>
        </w:rPr>
        <w:t xml:space="preserve">, ou de outro que venha a substituí-lo, ou </w:t>
      </w:r>
      <w:r>
        <w:rPr>
          <w:sz w:val="24"/>
          <w:szCs w:val="24"/>
        </w:rPr>
        <w:t xml:space="preserve">consularizados</w:t>
      </w:r>
      <w:r>
        <w:rPr>
          <w:sz w:val="24"/>
          <w:szCs w:val="24"/>
        </w:rPr>
        <w:t xml:space="preserve"> pelos respectivos consulados ou embaixadas.</w:t>
      </w:r>
      <w:r>
        <w:rPr>
          <w:i/>
          <w:iCs/>
          <w:sz w:val="24"/>
          <w:szCs w:val="24"/>
        </w:rPr>
      </w:r>
    </w:p>
    <w:p>
      <w:pPr>
        <w:pStyle w:val="1142"/>
        <w:numPr>
          <w:ilvl w:val="1"/>
          <w:numId w:val="12"/>
        </w:numPr>
        <w:pBdr/>
        <w:spacing w:after="0" w:before="0"/>
        <w:ind w:firstLine="0" w:left="0"/>
        <w:rPr>
          <w:color w:val="auto"/>
          <w:sz w:val="24"/>
          <w:szCs w:val="24"/>
        </w:rPr>
      </w:pPr>
      <w:r>
        <w:rPr>
          <w:color w:val="auto"/>
          <w:sz w:val="24"/>
          <w:szCs w:val="24"/>
        </w:rPr>
        <w:t xml:space="preserve">Os documentos exigidos para fins de habilitação poderão ser apresentados em original, por qualquer processo de cópia autenticada por cartório competente ou por servidor da administração.</w:t>
      </w:r>
      <w:r>
        <w:rPr>
          <w:color w:val="auto"/>
          <w:sz w:val="24"/>
          <w:szCs w:val="24"/>
        </w:rPr>
      </w:r>
    </w:p>
    <w:p>
      <w:pPr>
        <w:pStyle w:val="1142"/>
        <w:numPr>
          <w:ilvl w:val="1"/>
          <w:numId w:val="12"/>
        </w:numPr>
        <w:pBdr/>
        <w:spacing/>
        <w:ind w:firstLine="0" w:left="0"/>
        <w:rPr>
          <w:i/>
          <w:sz w:val="24"/>
          <w:szCs w:val="24"/>
        </w:rPr>
      </w:pPr>
      <w:r>
        <w:rPr>
          <w:sz w:val="24"/>
          <w:szCs w:val="24"/>
        </w:rPr>
        <w:t xml:space="preserve">Os documentos exigidos para fins de habilitação poderão ser substituídos por registro cadastral emitido por órgão ou entidade pública, desde que o registro tenha sido feito em obediência ao disposto na Lei nº 14.133/2021.</w:t>
      </w:r>
      <w:r>
        <w:rPr>
          <w:i/>
          <w:sz w:val="24"/>
          <w:szCs w:val="24"/>
        </w:rPr>
      </w:r>
    </w:p>
    <w:p>
      <w:pPr>
        <w:pStyle w:val="1142"/>
        <w:numPr>
          <w:ilvl w:val="1"/>
          <w:numId w:val="12"/>
        </w:numPr>
        <w:pBdr/>
        <w:spacing/>
        <w:ind w:firstLine="0" w:left="0"/>
        <w:rPr>
          <w:sz w:val="24"/>
          <w:szCs w:val="24"/>
        </w:rPr>
      </w:pPr>
      <w:r>
        <w:rPr>
          <w:sz w:val="24"/>
          <w:szCs w:val="24"/>
        </w:rPr>
        <w:t xml:space="preserve">Será verificado se o licitante apresentou declaração de que atende aos requisitos de habilitação, e o declarante responderá pela veracidade das informações prestadas, na forma da lei (</w:t>
      </w:r>
      <w:hyperlink r:id="rId46" w:tooltip="http://www.planalto.gov.br/ccivil_03/_ato2019-2022/2021/lei/L14133.htm#art63" w:anchor="art63" w:history="1">
        <w:r>
          <w:rPr>
            <w:rStyle w:val="953"/>
            <w:sz w:val="24"/>
            <w:szCs w:val="24"/>
          </w:rPr>
          <w:t xml:space="preserve">art. 63, I, da Lei nº 14.133/2021</w:t>
        </w:r>
      </w:hyperlink>
      <w:r>
        <w:rPr>
          <w:sz w:val="24"/>
          <w:szCs w:val="24"/>
        </w:rPr>
        <w:t xml:space="preserve">).</w:t>
      </w:r>
      <w:r>
        <w:rPr>
          <w:sz w:val="24"/>
          <w:szCs w:val="24"/>
        </w:rPr>
      </w:r>
    </w:p>
    <w:p>
      <w:pPr>
        <w:pStyle w:val="1142"/>
        <w:numPr>
          <w:ilvl w:val="1"/>
          <w:numId w:val="12"/>
        </w:numPr>
        <w:pBdr/>
        <w:spacing/>
        <w:ind w:firstLine="0" w:left="0"/>
        <w:rPr>
          <w:i/>
          <w:color w:val="000000" w:themeColor="text1"/>
          <w:sz w:val="24"/>
          <w:szCs w:val="24"/>
        </w:rPr>
      </w:pPr>
      <w:r>
        <w:rPr>
          <w:sz w:val="24"/>
          <w:szCs w:val="24"/>
        </w:rPr>
        <w:t xml:space="preserve">Será v</w:t>
      </w:r>
      <w:r>
        <w:rPr>
          <w:color w:val="000000" w:themeColor="text1"/>
          <w:sz w:val="24"/>
          <w:szCs w:val="24"/>
        </w:rPr>
        <w:t xml:space="preserve">erificado se o licitante apresentou no sistema, sob pena de inabilitação, a </w:t>
      </w:r>
      <w:r>
        <w:rPr>
          <w:b/>
          <w:color w:val="000000" w:themeColor="text1"/>
          <w:sz w:val="24"/>
          <w:szCs w:val="24"/>
        </w:rPr>
        <w:t xml:space="preserve">declaração de que cumpre as exigências de reserva de cargos para pessoa com deficiência e para reabilitado da Previdência Social</w:t>
      </w:r>
      <w:r>
        <w:rPr>
          <w:color w:val="000000" w:themeColor="text1"/>
          <w:sz w:val="24"/>
          <w:szCs w:val="24"/>
        </w:rPr>
        <w:t xml:space="preserve">, previstas em lei e em outras normas específicas.</w:t>
      </w:r>
      <w:r>
        <w:rPr>
          <w:i/>
          <w:color w:val="000000" w:themeColor="text1"/>
          <w:sz w:val="24"/>
          <w:szCs w:val="24"/>
        </w:rPr>
      </w:r>
    </w:p>
    <w:p>
      <w:pPr>
        <w:pStyle w:val="1142"/>
        <w:numPr>
          <w:ilvl w:val="1"/>
          <w:numId w:val="12"/>
        </w:numPr>
        <w:pBdr/>
        <w:spacing/>
        <w:ind w:firstLine="0" w:left="0"/>
        <w:rPr>
          <w:i/>
          <w:color w:val="auto"/>
          <w:sz w:val="24"/>
          <w:szCs w:val="24"/>
        </w:rPr>
      </w:pPr>
      <w:r>
        <w:rPr>
          <w:color w:val="000000" w:themeColor="text1"/>
          <w:sz w:val="24"/>
          <w:szCs w:val="24"/>
        </w:rPr>
        <w:t xml:space="preserve">O licitante deverá apresentar, sob pena </w:t>
      </w:r>
      <w:r>
        <w:rPr>
          <w:color w:val="auto"/>
          <w:sz w:val="24"/>
          <w:szCs w:val="24"/>
        </w:rPr>
        <w:t xml:space="preserve">de desclassificação, </w:t>
      </w:r>
      <w:r>
        <w:rPr>
          <w:b/>
          <w:color w:val="auto"/>
          <w:sz w:val="24"/>
          <w:szCs w:val="24"/>
        </w:rPr>
        <w:t xml:space="preserve">declaração de que suas propostas econômicas compreendem a integralidade dos custos para atendimento dos direitos trabalhistas assegurados na Constituição Federal</w:t>
      </w:r>
      <w:r>
        <w:rPr>
          <w:color w:val="auto"/>
          <w:sz w:val="24"/>
          <w:szCs w:val="24"/>
        </w:rPr>
        <w:t xml:space="preserve">, nas leis trabalhistas, nas normas infralegais, nas convenções coletivas de trabalho e nos termos de ajustamento de conduta vigentes na data de entrega das propostas.</w:t>
      </w:r>
      <w:r>
        <w:rPr>
          <w:i/>
          <w:color w:val="auto"/>
          <w:sz w:val="24"/>
          <w:szCs w:val="24"/>
        </w:rPr>
      </w:r>
    </w:p>
    <w:p>
      <w:pPr>
        <w:pStyle w:val="1142"/>
        <w:numPr>
          <w:ilvl w:val="1"/>
          <w:numId w:val="12"/>
        </w:numPr>
        <w:pBdr/>
        <w:spacing/>
        <w:ind w:firstLine="0" w:left="0"/>
        <w:rPr>
          <w:i/>
          <w:sz w:val="24"/>
          <w:szCs w:val="24"/>
        </w:rPr>
      </w:pPr>
      <w:r>
        <w:rPr>
          <w:sz w:val="24"/>
          <w:szCs w:val="24"/>
        </w:rPr>
        <w:t xml:space="preserve">A habilitação será verificada por meio do </w:t>
      </w:r>
      <w:r>
        <w:rPr>
          <w:sz w:val="24"/>
          <w:szCs w:val="24"/>
        </w:rPr>
        <w:t xml:space="preserve">Sicaf</w:t>
      </w:r>
      <w:r>
        <w:rPr>
          <w:sz w:val="24"/>
          <w:szCs w:val="24"/>
        </w:rPr>
        <w:t xml:space="preserve">, nos documentos por ele abrangidos.</w:t>
      </w:r>
      <w:r>
        <w:rPr>
          <w:i/>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Somente haverá a necess</w:t>
      </w:r>
      <w:r>
        <w:rPr>
          <w:color w:val="000000" w:themeColor="text1"/>
          <w:sz w:val="24"/>
          <w:szCs w:val="24"/>
        </w:rPr>
        <w:t xml:space="preserve">idade de </w:t>
      </w:r>
      <w:r>
        <w:rPr>
          <w:b/>
          <w:color w:val="000000" w:themeColor="text1"/>
          <w:sz w:val="24"/>
          <w:szCs w:val="24"/>
        </w:rPr>
        <w:t xml:space="preserve">comprovação </w:t>
      </w:r>
      <w:r>
        <w:rPr>
          <w:color w:val="000000" w:themeColor="text1"/>
          <w:sz w:val="24"/>
          <w:szCs w:val="24"/>
        </w:rPr>
        <w:t xml:space="preserve">do preenchimento de requisitos mediante apresentação dos </w:t>
      </w:r>
      <w:r>
        <w:rPr>
          <w:b/>
          <w:color w:val="000000" w:themeColor="text1"/>
          <w:sz w:val="24"/>
          <w:szCs w:val="24"/>
        </w:rPr>
        <w:t xml:space="preserve">documentos originais </w:t>
      </w:r>
      <w:r>
        <w:rPr>
          <w:b/>
          <w:color w:val="000000" w:themeColor="text1"/>
          <w:sz w:val="24"/>
          <w:szCs w:val="24"/>
        </w:rPr>
        <w:t xml:space="preserve">não-digitais</w:t>
      </w:r>
      <w:r>
        <w:rPr>
          <w:color w:val="000000" w:themeColor="text1"/>
          <w:sz w:val="24"/>
          <w:szCs w:val="24"/>
        </w:rPr>
        <w:t xml:space="preserve"> quando houver dúvida em relação à integridade do documento digital ou quando a lei express</w:t>
      </w:r>
      <w:r>
        <w:rPr>
          <w:sz w:val="24"/>
          <w:szCs w:val="24"/>
        </w:rPr>
        <w:t xml:space="preserve">amente o exigir. (</w:t>
      </w:r>
      <w:hyperlink r:id="rId47" w:tooltip="https://www.gov.br/compras/pt-br/acesso-a-informacao/legislacao/instrucoes-normativas/instrucao-normativa-no-3-de-26-de-abril-de-2018#art4" w:anchor="art4" w:history="1">
        <w:r>
          <w:rPr>
            <w:rStyle w:val="953"/>
            <w:sz w:val="24"/>
            <w:szCs w:val="24"/>
          </w:rPr>
          <w:t xml:space="preserve">IN nº 3/2018, art. 4º, §1º, e art. 6º, §4º</w:t>
        </w:r>
      </w:hyperlink>
      <w:r>
        <w:rPr>
          <w:sz w:val="24"/>
          <w:szCs w:val="24"/>
        </w:rPr>
        <w:t xml:space="preserve">).</w:t>
      </w:r>
      <w:r>
        <w:rPr>
          <w:sz w:val="24"/>
          <w:szCs w:val="24"/>
        </w:rPr>
      </w:r>
    </w:p>
    <w:p>
      <w:pPr>
        <w:pStyle w:val="1142"/>
        <w:numPr>
          <w:ilvl w:val="1"/>
          <w:numId w:val="12"/>
        </w:numPr>
        <w:pBdr/>
        <w:spacing/>
        <w:ind w:firstLine="0" w:left="0"/>
        <w:rPr>
          <w:sz w:val="24"/>
          <w:szCs w:val="24"/>
        </w:rPr>
      </w:pPr>
      <w:r>
        <w:rPr>
          <w:sz w:val="24"/>
          <w:szCs w:val="24"/>
        </w:rPr>
        <w:t xml:space="preserve">É de responsabilidade do licitante conferir a exatidão dos seus dados cadastrais no </w:t>
      </w:r>
      <w:r>
        <w:rPr>
          <w:sz w:val="24"/>
          <w:szCs w:val="24"/>
        </w:rPr>
        <w:t xml:space="preserve">Sicaf</w:t>
      </w:r>
      <w:r>
        <w:rPr>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8" w:tooltip="https://www.gov.br/compras/pt-br/acesso-a-informacao/legislacao/instrucoes-normativas/instrucao-normativa-no-3-de-26-de-abril-de-2018" w:history="1">
        <w:r>
          <w:rPr>
            <w:rStyle w:val="953"/>
            <w:sz w:val="24"/>
            <w:szCs w:val="24"/>
          </w:rPr>
          <w:t xml:space="preserve">IN nº 3/2018, art. 7º, </w:t>
        </w:r>
        <w:r>
          <w:rPr>
            <w:rStyle w:val="953"/>
            <w:i/>
            <w:iCs/>
            <w:sz w:val="24"/>
            <w:szCs w:val="24"/>
          </w:rPr>
          <w:t xml:space="preserve">caput</w:t>
        </w:r>
      </w:hyperlink>
      <w:r>
        <w:rPr>
          <w:sz w:val="24"/>
          <w:szCs w:val="24"/>
        </w:rPr>
        <w:t xml:space="preserve">).</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A não observância do disposto no item anterior poderá ensejar desclassificação no momento da habilitação. (</w:t>
      </w:r>
      <w:hyperlink r:id="rId49" w:tooltip="https://www.gov.br/compras/pt-br/acesso-a-informacao/legislacao/instrucoes-normativas/instrucao-normativa-no-3-de-26-de-abril-de-2018" w:history="1">
        <w:r>
          <w:rPr>
            <w:rStyle w:val="953"/>
            <w:sz w:val="24"/>
            <w:szCs w:val="24"/>
          </w:rPr>
          <w:t xml:space="preserve">IN nº 3/2018, art. 7º, parágrafo único</w:t>
        </w:r>
      </w:hyperlink>
      <w:r>
        <w:rPr>
          <w:sz w:val="24"/>
          <w:szCs w:val="24"/>
        </w:rPr>
        <w:t xml:space="preserve">).</w:t>
      </w:r>
      <w:r>
        <w:rPr>
          <w:sz w:val="24"/>
          <w:szCs w:val="24"/>
        </w:rPr>
      </w:r>
    </w:p>
    <w:p>
      <w:pPr>
        <w:pStyle w:val="1142"/>
        <w:numPr>
          <w:ilvl w:val="1"/>
          <w:numId w:val="12"/>
        </w:numPr>
        <w:pBdr/>
        <w:tabs>
          <w:tab w:val="left" w:leader="none" w:pos="993"/>
        </w:tabs>
        <w:spacing/>
        <w:ind w:firstLine="0" w:left="0"/>
        <w:rPr>
          <w:i/>
          <w:iCs/>
          <w:sz w:val="24"/>
          <w:szCs w:val="24"/>
        </w:rPr>
      </w:pPr>
      <w:r>
        <w:rPr>
          <w:sz w:val="24"/>
          <w:szCs w:val="24"/>
        </w:rPr>
        <w:t xml:space="preserve">A verificação pelo pregoeiro, em sítios eletrônicos oficiais de órgãos e entidades emissores de certidões constitui meio legal de prova, para fins de habilitação.</w:t>
      </w:r>
      <w:r>
        <w:rPr>
          <w:i/>
          <w:iCs/>
          <w:sz w:val="24"/>
          <w:szCs w:val="24"/>
        </w:rPr>
      </w:r>
    </w:p>
    <w:p>
      <w:pPr>
        <w:pStyle w:val="1143"/>
        <w:numPr>
          <w:ilvl w:val="2"/>
          <w:numId w:val="12"/>
        </w:numPr>
        <w:pBdr/>
        <w:tabs>
          <w:tab w:val="left" w:leader="none" w:pos="993"/>
        </w:tabs>
        <w:spacing/>
        <w:ind w:firstLine="0" w:left="0"/>
        <w:rPr>
          <w:i/>
          <w:iCs/>
          <w:color w:val="000000" w:themeColor="text1"/>
          <w:sz w:val="24"/>
          <w:szCs w:val="24"/>
        </w:rPr>
      </w:pPr>
      <w:r/>
      <w:bookmarkStart w:id="47" w:name="_Ref114663151"/>
      <w:r>
        <w:rPr>
          <w:sz w:val="24"/>
          <w:szCs w:val="24"/>
        </w:rPr>
        <w:t xml:space="preserve">Os documentos exigidos </w:t>
      </w:r>
      <w:r>
        <w:rPr>
          <w:color w:val="000000" w:themeColor="text1"/>
          <w:sz w:val="24"/>
          <w:szCs w:val="24"/>
        </w:rPr>
        <w:t xml:space="preserve">para habilitação que não estejam contemplados no </w:t>
      </w:r>
      <w:r>
        <w:rPr>
          <w:color w:val="000000" w:themeColor="text1"/>
          <w:sz w:val="24"/>
          <w:szCs w:val="24"/>
        </w:rPr>
        <w:t xml:space="preserve">Sicaf</w:t>
      </w:r>
      <w:r>
        <w:rPr>
          <w:color w:val="000000" w:themeColor="text1"/>
          <w:sz w:val="24"/>
          <w:szCs w:val="24"/>
        </w:rPr>
        <w:t xml:space="preserve"> serão enviados por meio do sistema, em formato digital, no prazo de</w:t>
      </w:r>
      <w:r>
        <w:rPr>
          <w:b/>
          <w:color w:val="000000" w:themeColor="text1"/>
          <w:sz w:val="24"/>
          <w:szCs w:val="24"/>
        </w:rPr>
        <w:t xml:space="preserve"> 02 (duas) horas</w:t>
      </w:r>
      <w:r>
        <w:rPr>
          <w:color w:val="000000" w:themeColor="text1"/>
          <w:sz w:val="24"/>
          <w:szCs w:val="24"/>
        </w:rPr>
        <w:t xml:space="preserve">, prorrogável por igual período, contado da solicitação do pregoeiro.</w:t>
      </w:r>
      <w:bookmarkEnd w:id="47"/>
      <w:r/>
      <w:r>
        <w:rPr>
          <w:i/>
          <w:iCs/>
          <w:color w:val="000000" w:themeColor="text1"/>
          <w:sz w:val="24"/>
          <w:szCs w:val="24"/>
        </w:rPr>
      </w:r>
    </w:p>
    <w:p>
      <w:pPr>
        <w:pStyle w:val="1143"/>
        <w:numPr>
          <w:ilvl w:val="2"/>
          <w:numId w:val="12"/>
        </w:numPr>
        <w:pBdr/>
        <w:tabs>
          <w:tab w:val="left" w:leader="none" w:pos="993"/>
        </w:tabs>
        <w:spacing/>
        <w:ind w:firstLine="0" w:left="0"/>
        <w:rPr>
          <w:i/>
          <w:iCs/>
          <w:color w:val="auto"/>
          <w:sz w:val="24"/>
          <w:szCs w:val="24"/>
        </w:rPr>
      </w:pPr>
      <w:r>
        <w:rPr>
          <w:color w:val="000000" w:themeColor="text1"/>
          <w:sz w:val="24"/>
          <w:szCs w:val="24"/>
        </w:rPr>
        <w:t xml:space="preserve">Na hipótese de a </w:t>
      </w:r>
      <w:r>
        <w:rPr>
          <w:b/>
          <w:color w:val="000000" w:themeColor="text1"/>
          <w:sz w:val="24"/>
          <w:szCs w:val="24"/>
        </w:rPr>
        <w:t xml:space="preserve">fase de habilitação antecede</w:t>
      </w:r>
      <w:r>
        <w:rPr>
          <w:b/>
          <w:color w:val="auto"/>
          <w:sz w:val="24"/>
          <w:szCs w:val="24"/>
        </w:rPr>
        <w:t xml:space="preserve">r a fase de apresentação de propostas e lances</w:t>
      </w:r>
      <w:r>
        <w:rPr>
          <w:color w:val="auto"/>
          <w:sz w:val="24"/>
          <w:szCs w:val="24"/>
        </w:rPr>
        <w:t xml:space="preserve">, os licitantes encaminharão, por meio do sistema, simultaneamente os documentos de habilitação e a proposta com o preço ou o percentual de desconto, observado o disposto no </w:t>
      </w:r>
      <w:hyperlink r:id="rId50" w:tooltip="https://www.gov.br/compras/pt-br/acesso-a-informacao/legislacao/instrucoes-normativas/instrucao-normativa-seges-me-no-73-de-30-de-setembro-de-2022" w:history="1">
        <w:r>
          <w:rPr>
            <w:rStyle w:val="953"/>
            <w:color w:val="auto"/>
            <w:sz w:val="24"/>
            <w:szCs w:val="24"/>
          </w:rPr>
          <w:t xml:space="preserve">§ 1º do art. 36 e no § 1º do art. 39 da </w:t>
        </w:r>
        <w:r>
          <w:rPr>
            <w:rStyle w:val="953"/>
            <w:i/>
            <w:iCs/>
            <w:color w:val="auto"/>
            <w:sz w:val="24"/>
            <w:szCs w:val="24"/>
          </w:rPr>
          <w:t xml:space="preserve">Instrução Normativa SEGES nº 73, de 30 de setembro de 2022</w:t>
        </w:r>
        <w:r>
          <w:rPr>
            <w:rStyle w:val="953"/>
            <w:color w:val="auto"/>
            <w:sz w:val="24"/>
            <w:szCs w:val="24"/>
          </w:rPr>
          <w:t xml:space="preserve">.</w:t>
        </w:r>
      </w:hyperlink>
      <w:r/>
      <w:r>
        <w:rPr>
          <w:i/>
          <w:iCs/>
          <w:color w:val="auto"/>
          <w:sz w:val="24"/>
          <w:szCs w:val="24"/>
        </w:rPr>
      </w:r>
    </w:p>
    <w:p>
      <w:pPr>
        <w:pStyle w:val="1142"/>
        <w:numPr>
          <w:ilvl w:val="1"/>
          <w:numId w:val="12"/>
        </w:numPr>
        <w:pBdr/>
        <w:spacing/>
        <w:ind w:firstLine="0" w:left="0"/>
        <w:rPr>
          <w:b/>
          <w:i/>
          <w:sz w:val="24"/>
          <w:szCs w:val="24"/>
        </w:rPr>
      </w:pPr>
      <w:r>
        <w:rPr>
          <w:b/>
          <w:sz w:val="24"/>
          <w:szCs w:val="24"/>
        </w:rPr>
        <w:t xml:space="preserve">A verificação no </w:t>
      </w:r>
      <w:r>
        <w:rPr>
          <w:b/>
          <w:sz w:val="24"/>
          <w:szCs w:val="24"/>
        </w:rPr>
        <w:t xml:space="preserve">Sicaf</w:t>
      </w:r>
      <w:r>
        <w:rPr>
          <w:b/>
          <w:sz w:val="24"/>
          <w:szCs w:val="24"/>
        </w:rPr>
        <w:t xml:space="preserve"> ou a exigência dos documentos nele não contidos somente será feita em relação ao licitante vencedor.</w:t>
      </w:r>
      <w:r>
        <w:rPr>
          <w:b/>
          <w:i/>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Os documentos relativos à regularidade fiscal que constem do edital somente serão exigidos, em qualquer caso, em momento posterior ao julgamento das propostas, e apenas do licitante mais bem classificado.</w:t>
      </w:r>
      <w:r>
        <w:rPr>
          <w:sz w:val="24"/>
          <w:szCs w:val="24"/>
        </w:rPr>
      </w:r>
    </w:p>
    <w:p>
      <w:pPr>
        <w:pStyle w:val="1143"/>
        <w:numPr>
          <w:ilvl w:val="2"/>
          <w:numId w:val="12"/>
        </w:numPr>
        <w:pBdr/>
        <w:tabs>
          <w:tab w:val="left" w:leader="none" w:pos="993"/>
        </w:tabs>
        <w:spacing/>
        <w:ind w:firstLine="0" w:left="0"/>
        <w:rPr>
          <w:color w:val="000000" w:themeColor="text1"/>
          <w:sz w:val="24"/>
          <w:szCs w:val="24"/>
        </w:rPr>
      </w:pPr>
      <w:r>
        <w:rPr>
          <w:sz w:val="24"/>
          <w:szCs w:val="24"/>
        </w:rPr>
        <w:t xml:space="preserve">Respe</w:t>
      </w:r>
      <w:r>
        <w:rPr>
          <w:sz w:val="24"/>
          <w:szCs w:val="24"/>
        </w:rPr>
        <w:t xml:space="preserve">itada a exceção do subitem anterior, relativa à regularidade fiscal, quando a fase de habilitação anteceder as fases de apresentação de propostas e lances e de julgamento, a verificação ou exigência do presente subitem ocorrerá em relação a todos os licita</w:t>
      </w:r>
      <w:r>
        <w:rPr>
          <w:color w:val="000000" w:themeColor="text1"/>
          <w:sz w:val="24"/>
          <w:szCs w:val="24"/>
        </w:rPr>
        <w:t xml:space="preserve">ntes.</w:t>
      </w:r>
      <w:r>
        <w:rPr>
          <w:color w:val="000000" w:themeColor="text1"/>
          <w:sz w:val="24"/>
          <w:szCs w:val="24"/>
        </w:rPr>
      </w:r>
    </w:p>
    <w:p>
      <w:pPr>
        <w:pStyle w:val="1142"/>
        <w:numPr>
          <w:ilvl w:val="1"/>
          <w:numId w:val="12"/>
        </w:numPr>
        <w:pBdr/>
        <w:spacing/>
        <w:ind w:firstLine="0" w:left="0"/>
        <w:rPr>
          <w:i/>
          <w:sz w:val="24"/>
          <w:szCs w:val="24"/>
        </w:rPr>
      </w:pPr>
      <w:r>
        <w:rPr>
          <w:b/>
          <w:color w:val="000000" w:themeColor="text1"/>
          <w:sz w:val="24"/>
          <w:szCs w:val="24"/>
        </w:rPr>
        <w:t xml:space="preserve">Após a entrega dos documentos para habilitação, não será permitida a substituição ou a apresentação de novos documentos</w:t>
      </w:r>
      <w:r>
        <w:rPr>
          <w:color w:val="000000" w:themeColor="text1"/>
          <w:sz w:val="24"/>
          <w:szCs w:val="24"/>
        </w:rPr>
        <w:t xml:space="preserve">, salvo em sede </w:t>
      </w:r>
      <w:r>
        <w:rPr>
          <w:sz w:val="24"/>
          <w:szCs w:val="24"/>
        </w:rPr>
        <w:t xml:space="preserve">de diligência, para (</w:t>
      </w:r>
      <w:hyperlink r:id="rId51" w:tooltip="http://www.planalto.gov.br/ccivil_03/_ato2019-2022/2021/lei/L14133.htm#art64" w:anchor="art64" w:history="1">
        <w:r>
          <w:rPr>
            <w:rStyle w:val="953"/>
            <w:sz w:val="24"/>
            <w:szCs w:val="24"/>
          </w:rPr>
          <w:t xml:space="preserve">Lei 14.133/21, art. 64</w:t>
        </w:r>
      </w:hyperlink>
      <w:r>
        <w:rPr>
          <w:sz w:val="24"/>
          <w:szCs w:val="24"/>
        </w:rPr>
        <w:t xml:space="preserve">, e </w:t>
      </w:r>
      <w:hyperlink r:id="rId52" w:tooltip="https://www.gov.br/compras/pt-br/acesso-a-informacao/legislacao/instrucoes-normativas/instrucao-normativa-seges-me-no-73-de-30-de-setembro-de-2022" w:history="1">
        <w:r>
          <w:rPr>
            <w:rStyle w:val="953"/>
            <w:sz w:val="24"/>
            <w:szCs w:val="24"/>
          </w:rPr>
          <w:t xml:space="preserve">IN 73/2022, art. 39, §4º</w:t>
        </w:r>
      </w:hyperlink>
      <w:r>
        <w:rPr>
          <w:sz w:val="24"/>
          <w:szCs w:val="24"/>
        </w:rPr>
        <w:t xml:space="preserve">):</w:t>
      </w:r>
      <w:r>
        <w:rPr>
          <w:i/>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complementação de informações acerca dos documentos já apresentados pelos licitantes e desde que necessária para apurar fatos existentes à época da abertura do certame; e</w:t>
      </w:r>
      <w:r>
        <w:rPr>
          <w:sz w:val="24"/>
          <w:szCs w:val="24"/>
        </w:rPr>
      </w:r>
    </w:p>
    <w:p>
      <w:pPr>
        <w:pStyle w:val="1143"/>
        <w:numPr>
          <w:ilvl w:val="2"/>
          <w:numId w:val="12"/>
        </w:numPr>
        <w:pBdr/>
        <w:tabs>
          <w:tab w:val="left" w:leader="none" w:pos="993"/>
        </w:tabs>
        <w:spacing/>
        <w:ind w:firstLine="0" w:left="0"/>
        <w:rPr>
          <w:color w:val="000000" w:themeColor="text1"/>
          <w:sz w:val="24"/>
          <w:szCs w:val="24"/>
        </w:rPr>
      </w:pPr>
      <w:r>
        <w:rPr>
          <w:sz w:val="24"/>
          <w:szCs w:val="24"/>
        </w:rPr>
        <w:t xml:space="preserve">atualização de documentos cuja validade tenha expirado após a data de recebimento da</w:t>
      </w:r>
      <w:r>
        <w:rPr>
          <w:color w:val="000000" w:themeColor="text1"/>
          <w:sz w:val="24"/>
          <w:szCs w:val="24"/>
        </w:rPr>
        <w:t xml:space="preserve">s propostas;</w:t>
      </w:r>
      <w:r>
        <w:rPr>
          <w:color w:val="000000" w:themeColor="text1"/>
          <w:sz w:val="24"/>
          <w:szCs w:val="24"/>
        </w:rPr>
      </w:r>
    </w:p>
    <w:p>
      <w:pPr>
        <w:pStyle w:val="1142"/>
        <w:numPr>
          <w:ilvl w:val="1"/>
          <w:numId w:val="12"/>
        </w:numPr>
        <w:pBdr/>
        <w:spacing/>
        <w:ind w:firstLine="0" w:left="0"/>
        <w:rPr>
          <w:color w:val="000000" w:themeColor="text1"/>
          <w:sz w:val="24"/>
          <w:szCs w:val="24"/>
        </w:rPr>
      </w:pPr>
      <w:r/>
      <w:bookmarkStart w:id="48" w:name="_Ref114670319"/>
      <w:r>
        <w:rPr>
          <w:color w:val="000000" w:themeColor="text1"/>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r>
        <w:rPr>
          <w:color w:val="000000" w:themeColor="text1"/>
          <w:sz w:val="24"/>
          <w:szCs w:val="24"/>
        </w:rPr>
        <w:t xml:space="preserve">eﬁcácia</w:t>
      </w:r>
      <w:r>
        <w:rPr>
          <w:color w:val="000000" w:themeColor="text1"/>
          <w:sz w:val="24"/>
          <w:szCs w:val="24"/>
        </w:rPr>
        <w:t xml:space="preserve"> para fins de habilitação e classificação.</w:t>
      </w:r>
      <w:bookmarkEnd w:id="48"/>
      <w:r/>
      <w:r>
        <w:rPr>
          <w:color w:val="000000" w:themeColor="text1"/>
          <w:sz w:val="24"/>
          <w:szCs w:val="24"/>
        </w:rPr>
      </w:r>
    </w:p>
    <w:p>
      <w:pPr>
        <w:pStyle w:val="1142"/>
        <w:numPr>
          <w:ilvl w:val="1"/>
          <w:numId w:val="12"/>
        </w:numPr>
        <w:pBdr/>
        <w:spacing/>
        <w:ind w:firstLine="0" w:left="0"/>
        <w:rPr>
          <w:color w:val="000000" w:themeColor="text1"/>
          <w:sz w:val="24"/>
          <w:szCs w:val="24"/>
        </w:rPr>
      </w:pPr>
      <w:r/>
      <w:bookmarkStart w:id="49" w:name="_Ref114665528"/>
      <w:r>
        <w:rPr>
          <w:color w:val="000000" w:themeColor="text1"/>
          <w:sz w:val="24"/>
          <w:szCs w:val="24"/>
        </w:rPr>
        <w:t xml:space="preserve">Na hipótese de o licitante </w:t>
      </w:r>
      <w:r>
        <w:rPr>
          <w:b/>
          <w:color w:val="000000" w:themeColor="text1"/>
          <w:sz w:val="24"/>
          <w:szCs w:val="24"/>
        </w:rPr>
        <w:t xml:space="preserve">não atender às exigências para habilitação, o pregoeiro examinará a proposta subsequente e assim sucessivamente, na ordem de classificação</w:t>
      </w:r>
      <w:r>
        <w:rPr>
          <w:color w:val="000000" w:themeColor="text1"/>
          <w:sz w:val="24"/>
          <w:szCs w:val="24"/>
        </w:rPr>
        <w:t xml:space="preserve">, até a apuração de uma proposta que atenda ao presente edital, observado o prazo disposto no subitem </w:t>
      </w:r>
      <w:r>
        <w:rPr>
          <w:b/>
          <w:color w:val="000000" w:themeColor="text1"/>
          <w:sz w:val="24"/>
          <w:szCs w:val="24"/>
        </w:rPr>
        <w:fldChar w:fldCharType="begin"/>
      </w:r>
      <w:r>
        <w:rPr>
          <w:b/>
          <w:color w:val="000000" w:themeColor="text1"/>
          <w:sz w:val="24"/>
          <w:szCs w:val="24"/>
        </w:rPr>
        <w:instrText xml:space="preserve"> REF _Ref114663151 \r \h  \* MERGEFORMAT </w:instrText>
      </w:r>
      <w:r>
        <w:rPr>
          <w:b/>
          <w:color w:val="000000" w:themeColor="text1"/>
          <w:sz w:val="24"/>
          <w:szCs w:val="24"/>
        </w:rPr>
        <w:fldChar w:fldCharType="separate"/>
      </w:r>
      <w:r>
        <w:rPr>
          <w:b/>
          <w:color w:val="000000" w:themeColor="text1"/>
          <w:sz w:val="24"/>
          <w:szCs w:val="24"/>
        </w:rPr>
        <w:t xml:space="preserve">13.11.1</w:t>
      </w:r>
      <w:r>
        <w:rPr>
          <w:b/>
          <w:color w:val="000000" w:themeColor="text1"/>
          <w:sz w:val="24"/>
          <w:szCs w:val="24"/>
        </w:rPr>
        <w:fldChar w:fldCharType="end"/>
      </w:r>
      <w:r>
        <w:rPr>
          <w:color w:val="000000" w:themeColor="text1"/>
          <w:sz w:val="24"/>
          <w:szCs w:val="24"/>
        </w:rPr>
        <w:t xml:space="preserve">.</w:t>
      </w:r>
      <w:bookmarkEnd w:id="49"/>
      <w:r/>
      <w:r>
        <w:rPr>
          <w:color w:val="000000" w:themeColor="text1"/>
          <w:sz w:val="24"/>
          <w:szCs w:val="24"/>
        </w:rPr>
      </w:r>
    </w:p>
    <w:p>
      <w:pPr>
        <w:pStyle w:val="1142"/>
        <w:numPr>
          <w:ilvl w:val="1"/>
          <w:numId w:val="12"/>
        </w:numPr>
        <w:pBdr/>
        <w:spacing/>
        <w:ind w:firstLine="0" w:left="0"/>
        <w:rPr>
          <w:sz w:val="24"/>
          <w:szCs w:val="24"/>
        </w:rPr>
      </w:pPr>
      <w:r/>
      <w:bookmarkStart w:id="50" w:name="_Ref114665515"/>
      <w:r>
        <w:rPr>
          <w:sz w:val="24"/>
          <w:szCs w:val="24"/>
        </w:rPr>
        <w:t xml:space="preserve">Somente serão disponibilizados para acesso público os documentos de habilitação do licitante cuja proposta atenda ao edital de licitação, após concluídos os procedimentos de que trata o subitem anterior</w:t>
      </w:r>
      <w:bookmarkEnd w:id="50"/>
      <w:r>
        <w:rPr>
          <w:sz w:val="24"/>
          <w:szCs w:val="24"/>
        </w:rPr>
        <w:t xml:space="preserve">.</w:t>
      </w:r>
      <w:r>
        <w:rPr>
          <w:sz w:val="24"/>
          <w:szCs w:val="24"/>
        </w:rPr>
      </w:r>
    </w:p>
    <w:p>
      <w:pPr>
        <w:pStyle w:val="1142"/>
        <w:numPr>
          <w:ilvl w:val="1"/>
          <w:numId w:val="12"/>
        </w:numPr>
        <w:pBdr/>
        <w:spacing/>
        <w:ind w:firstLine="0" w:left="0"/>
        <w:rPr>
          <w:sz w:val="24"/>
          <w:szCs w:val="24"/>
        </w:rPr>
      </w:pPr>
      <w:r>
        <w:rPr>
          <w:sz w:val="24"/>
          <w:szCs w:val="24"/>
        </w:rPr>
        <w:t xml:space="preserve">A comprovação de regularidade fiscal e trabalhista das microempresas e das empresas de pequeno porte somente será exigida para efeito de contratação, e não como condição para participação na licitação (</w:t>
      </w:r>
      <w:hyperlink r:id="rId53" w:tooltip="https://www.planalto.gov.br/ccivil_03/_ato2015-2018/2015/decreto/d8538.htm#art4" w:anchor="art4" w:history="1">
        <w:r>
          <w:rPr>
            <w:rStyle w:val="953"/>
            <w:sz w:val="24"/>
            <w:szCs w:val="24"/>
          </w:rPr>
          <w:t xml:space="preserve">art. 4º do Decreto nº 8.538/2015</w:t>
        </w:r>
      </w:hyperlink>
      <w:r>
        <w:rPr>
          <w:sz w:val="24"/>
          <w:szCs w:val="24"/>
        </w:rPr>
        <w:t xml:space="preserve">).</w:t>
      </w:r>
      <w:r>
        <w:rPr>
          <w:sz w:val="24"/>
          <w:szCs w:val="24"/>
        </w:rPr>
      </w:r>
    </w:p>
    <w:p>
      <w:pPr>
        <w:pStyle w:val="1142"/>
        <w:numPr>
          <w:ilvl w:val="1"/>
          <w:numId w:val="12"/>
        </w:numPr>
        <w:pBdr/>
        <w:spacing/>
        <w:ind w:firstLine="0" w:left="0"/>
        <w:rPr>
          <w:sz w:val="24"/>
          <w:szCs w:val="24"/>
        </w:rPr>
      </w:pPr>
      <w:r>
        <w:rPr>
          <w:sz w:val="24"/>
          <w:szCs w:val="24"/>
        </w:rPr>
        <w:t xml:space="preserve">Quando</w:t>
      </w:r>
      <w:r>
        <w:rPr>
          <w:color w:val="000000" w:themeColor="text1"/>
          <w:sz w:val="24"/>
          <w:szCs w:val="24"/>
        </w:rPr>
        <w:t xml:space="preserve"> a </w:t>
      </w:r>
      <w:r>
        <w:rPr>
          <w:b/>
          <w:color w:val="000000" w:themeColor="text1"/>
          <w:sz w:val="24"/>
          <w:szCs w:val="24"/>
        </w:rPr>
        <w:t xml:space="preserve">fase de habilitação anteceder a de julgamento </w:t>
      </w:r>
      <w:r>
        <w:rPr>
          <w:color w:val="000000" w:themeColor="text1"/>
          <w:sz w:val="24"/>
          <w:szCs w:val="24"/>
        </w:rPr>
        <w:t xml:space="preserve">e já tiver sido encerrada, não caberá exclusão de licitante por motivo relacionado à habil</w:t>
      </w:r>
      <w:r>
        <w:rPr>
          <w:sz w:val="24"/>
          <w:szCs w:val="24"/>
        </w:rPr>
        <w:t xml:space="preserve">itação, salvo em razão de fatos supervenientes ou só conhecidos após o julgamento.</w:t>
      </w:r>
      <w:r>
        <w:rPr>
          <w:sz w:val="24"/>
          <w:szCs w:val="24"/>
        </w:rPr>
      </w:r>
    </w:p>
    <w:p>
      <w:pPr>
        <w:pStyle w:val="1142"/>
        <w:numPr>
          <w:ilvl w:val="0"/>
          <w:numId w:val="0"/>
        </w:numPr>
        <w:pBdr/>
        <w:spacing/>
        <w:ind/>
        <w:rPr>
          <w:sz w:val="24"/>
          <w:szCs w:val="24"/>
        </w:rPr>
      </w:pPr>
      <w:r>
        <w:rPr>
          <w:sz w:val="24"/>
          <w:szCs w:val="24"/>
        </w:rPr>
      </w:r>
      <w:r>
        <w:rPr>
          <w:sz w:val="24"/>
          <w:szCs w:val="24"/>
        </w:rPr>
      </w:r>
    </w:p>
    <w:p>
      <w:pPr>
        <w:pStyle w:val="1142"/>
        <w:numPr>
          <w:ilvl w:val="1"/>
          <w:numId w:val="12"/>
        </w:numPr>
        <w:pBdr/>
        <w:spacing/>
        <w:ind w:firstLine="0" w:left="0"/>
        <w:rPr>
          <w:b/>
          <w:sz w:val="24"/>
          <w:szCs w:val="24"/>
        </w:rPr>
      </w:pPr>
      <w:r>
        <w:rPr>
          <w:b/>
          <w:sz w:val="24"/>
          <w:szCs w:val="24"/>
        </w:rPr>
        <w:t xml:space="preserve">Sob pena de inabilitação e consequente eliminação automática desta Licitação, a proponente deverá apresentar os seguintes documentos</w:t>
      </w:r>
      <w:bookmarkStart w:id="51" w:name="EDITALREGFISCAL"/>
      <w:r>
        <w:rPr>
          <w:b/>
          <w:sz w:val="24"/>
          <w:szCs w:val="24"/>
        </w:rPr>
        <w:t xml:space="preserve">:</w:t>
      </w:r>
      <w:r>
        <w:rPr>
          <w:b/>
          <w:sz w:val="24"/>
          <w:szCs w:val="24"/>
        </w:rPr>
      </w:r>
    </w:p>
    <w:p>
      <w:pPr>
        <w:pStyle w:val="995"/>
        <w:pBdr/>
        <w:spacing w:after="0" w:before="0"/>
        <w:ind w:left="0"/>
        <w:contextualSpacing w:val="false"/>
        <w:rPr>
          <w:sz w:val="24"/>
          <w:szCs w:val="24"/>
        </w:rPr>
      </w:pPr>
      <w:r>
        <w:rPr>
          <w:sz w:val="24"/>
          <w:szCs w:val="24"/>
        </w:rPr>
      </w:r>
      <w:r>
        <w:rPr>
          <w:sz w:val="24"/>
          <w:szCs w:val="24"/>
        </w:rPr>
      </w:r>
    </w:p>
    <w:p>
      <w:pPr>
        <w:pStyle w:val="995"/>
        <w:numPr>
          <w:ilvl w:val="2"/>
          <w:numId w:val="12"/>
        </w:numPr>
        <w:pBdr/>
        <w:tabs>
          <w:tab w:val="left" w:leader="none" w:pos="709"/>
          <w:tab w:val="left" w:leader="none" w:pos="993"/>
        </w:tabs>
        <w:spacing w:after="0" w:before="0"/>
        <w:ind w:left="709"/>
        <w:rPr>
          <w:b/>
          <w:sz w:val="24"/>
          <w:szCs w:val="24"/>
        </w:rPr>
      </w:pPr>
      <w:r>
        <w:rPr>
          <w:b/>
          <w:sz w:val="24"/>
          <w:szCs w:val="24"/>
        </w:rPr>
        <w:t xml:space="preserve">HABILITAÇÃO</w:t>
      </w:r>
      <w:r>
        <w:rPr>
          <w:b/>
          <w:spacing w:val="-2"/>
          <w:sz w:val="24"/>
          <w:szCs w:val="24"/>
        </w:rPr>
        <w:t xml:space="preserve"> </w:t>
      </w:r>
      <w:r>
        <w:rPr>
          <w:b/>
          <w:sz w:val="24"/>
          <w:szCs w:val="24"/>
        </w:rPr>
        <w:t xml:space="preserve">JURÍDICA:</w:t>
      </w:r>
      <w:r>
        <w:rPr>
          <w:b/>
          <w:sz w:val="24"/>
          <w:szCs w:val="24"/>
        </w:rPr>
      </w:r>
    </w:p>
    <w:p>
      <w:pPr>
        <w:pStyle w:val="995"/>
        <w:pBdr/>
        <w:tabs>
          <w:tab w:val="left" w:leader="none" w:pos="993"/>
        </w:tabs>
        <w:spacing w:after="0" w:before="0"/>
        <w:ind w:left="1134"/>
        <w:rPr>
          <w:b/>
          <w:sz w:val="24"/>
          <w:szCs w:val="24"/>
          <w:u w:val="single"/>
        </w:rPr>
      </w:pPr>
      <w:r>
        <w:rPr>
          <w:b/>
          <w:sz w:val="24"/>
          <w:szCs w:val="24"/>
          <w:u w:val="single"/>
        </w:rPr>
      </w:r>
      <w:r>
        <w:rPr>
          <w:b/>
          <w:sz w:val="24"/>
          <w:szCs w:val="24"/>
          <w:u w:val="single"/>
        </w:rPr>
      </w:r>
    </w:p>
    <w:p>
      <w:pPr>
        <w:pStyle w:val="995"/>
        <w:numPr>
          <w:ilvl w:val="3"/>
          <w:numId w:val="12"/>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Registro</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Público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Mercantis,</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se</w:t>
      </w:r>
      <w:r>
        <w:rPr>
          <w:spacing w:val="1"/>
          <w:sz w:val="24"/>
          <w:szCs w:val="24"/>
        </w:rPr>
        <w:t xml:space="preserve"> </w:t>
      </w:r>
      <w:r>
        <w:rPr>
          <w:sz w:val="24"/>
          <w:szCs w:val="24"/>
        </w:rPr>
        <w:t xml:space="preserve">tratando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empresário</w:t>
      </w:r>
      <w:r>
        <w:rPr>
          <w:spacing w:val="-3"/>
          <w:sz w:val="24"/>
          <w:szCs w:val="24"/>
        </w:rPr>
        <w:t xml:space="preserve"> </w:t>
      </w:r>
      <w:r>
        <w:rPr>
          <w:sz w:val="24"/>
          <w:szCs w:val="24"/>
        </w:rPr>
        <w:t xml:space="preserve">individual</w:t>
      </w:r>
      <w:r>
        <w:rPr>
          <w:spacing w:val="-2"/>
          <w:sz w:val="24"/>
          <w:szCs w:val="24"/>
        </w:rPr>
        <w:t xml:space="preserve"> </w:t>
      </w:r>
      <w:r>
        <w:rPr>
          <w:sz w:val="24"/>
          <w:szCs w:val="24"/>
        </w:rPr>
        <w:t xml:space="preserve">ou</w:t>
      </w:r>
      <w:r>
        <w:rPr>
          <w:spacing w:val="-2"/>
          <w:sz w:val="24"/>
          <w:szCs w:val="24"/>
        </w:rPr>
        <w:t xml:space="preserve"> </w:t>
      </w:r>
      <w:r>
        <w:rPr>
          <w:sz w:val="24"/>
          <w:szCs w:val="24"/>
        </w:rPr>
        <w:t xml:space="preserve">sociedade</w:t>
      </w:r>
      <w:r>
        <w:rPr>
          <w:spacing w:val="-1"/>
          <w:sz w:val="24"/>
          <w:szCs w:val="24"/>
        </w:rPr>
        <w:t xml:space="preserve"> </w:t>
      </w:r>
      <w:r>
        <w:rPr>
          <w:sz w:val="24"/>
          <w:szCs w:val="24"/>
        </w:rPr>
        <w:t xml:space="preserve">empresária.</w:t>
      </w:r>
      <w:r>
        <w:rPr>
          <w:b/>
          <w:sz w:val="24"/>
          <w:szCs w:val="24"/>
          <w:u w:val="single"/>
        </w:rPr>
      </w:r>
    </w:p>
    <w:p>
      <w:pPr>
        <w:pStyle w:val="995"/>
        <w:numPr>
          <w:ilvl w:val="3"/>
          <w:numId w:val="12"/>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Registro no Registro Civil das Pessoas Jurídicas, em se tratando de sociedade</w:t>
      </w:r>
      <w:r>
        <w:rPr>
          <w:spacing w:val="1"/>
          <w:sz w:val="24"/>
          <w:szCs w:val="24"/>
        </w:rPr>
        <w:t xml:space="preserve"> </w:t>
      </w:r>
      <w:r>
        <w:rPr>
          <w:sz w:val="24"/>
          <w:szCs w:val="24"/>
        </w:rPr>
        <w:t xml:space="preserve">simples.</w:t>
      </w:r>
      <w:r>
        <w:rPr>
          <w:b/>
          <w:sz w:val="24"/>
          <w:szCs w:val="24"/>
          <w:u w:val="single"/>
        </w:rPr>
      </w:r>
    </w:p>
    <w:p>
      <w:pPr>
        <w:pStyle w:val="995"/>
        <w:numPr>
          <w:ilvl w:val="3"/>
          <w:numId w:val="12"/>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Ato</w:t>
      </w:r>
      <w:r>
        <w:rPr>
          <w:spacing w:val="1"/>
          <w:sz w:val="24"/>
          <w:szCs w:val="24"/>
        </w:rPr>
        <w:t xml:space="preserve"> </w:t>
      </w:r>
      <w:r>
        <w:rPr>
          <w:sz w:val="24"/>
          <w:szCs w:val="24"/>
        </w:rPr>
        <w:t xml:space="preserve">Constitutivo,</w:t>
      </w:r>
      <w:r>
        <w:rPr>
          <w:spacing w:val="1"/>
          <w:sz w:val="24"/>
          <w:szCs w:val="24"/>
        </w:rPr>
        <w:t xml:space="preserve"> </w:t>
      </w:r>
      <w:r>
        <w:rPr>
          <w:sz w:val="24"/>
          <w:szCs w:val="24"/>
        </w:rPr>
        <w:t xml:space="preserve">Estatuto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Contrato</w:t>
      </w:r>
      <w:r>
        <w:rPr>
          <w:spacing w:val="1"/>
          <w:sz w:val="24"/>
          <w:szCs w:val="24"/>
        </w:rPr>
        <w:t xml:space="preserve"> </w:t>
      </w:r>
      <w:r>
        <w:rPr>
          <w:sz w:val="24"/>
          <w:szCs w:val="24"/>
        </w:rPr>
        <w:t xml:space="preserve">Social</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vigor,</w:t>
      </w:r>
      <w:r>
        <w:rPr>
          <w:spacing w:val="1"/>
          <w:sz w:val="24"/>
          <w:szCs w:val="24"/>
        </w:rPr>
        <w:t xml:space="preserve"> </w:t>
      </w:r>
      <w:r>
        <w:rPr>
          <w:sz w:val="24"/>
          <w:szCs w:val="24"/>
        </w:rPr>
        <w:t xml:space="preserve">devidamente</w:t>
      </w:r>
      <w:r>
        <w:rPr>
          <w:spacing w:val="1"/>
          <w:sz w:val="24"/>
          <w:szCs w:val="24"/>
        </w:rPr>
        <w:t xml:space="preserve"> </w:t>
      </w:r>
      <w:r>
        <w:rPr>
          <w:sz w:val="24"/>
          <w:szCs w:val="24"/>
        </w:rPr>
        <w:t xml:space="preserve">registrado no órgão correspondente, indicando os atuais responsáveis pela</w:t>
      </w:r>
      <w:r>
        <w:rPr>
          <w:spacing w:val="1"/>
          <w:sz w:val="24"/>
          <w:szCs w:val="24"/>
        </w:rPr>
        <w:t xml:space="preserve"> </w:t>
      </w:r>
      <w:r>
        <w:rPr>
          <w:sz w:val="24"/>
          <w:szCs w:val="24"/>
        </w:rPr>
        <w:t xml:space="preserve">administração, caso</w:t>
      </w:r>
      <w:r>
        <w:rPr>
          <w:spacing w:val="23"/>
          <w:sz w:val="24"/>
          <w:szCs w:val="24"/>
        </w:rPr>
        <w:t xml:space="preserve"> </w:t>
      </w:r>
      <w:r>
        <w:rPr>
          <w:sz w:val="24"/>
          <w:szCs w:val="24"/>
        </w:rPr>
        <w:t xml:space="preserve">os</w:t>
      </w:r>
      <w:r>
        <w:rPr>
          <w:spacing w:val="22"/>
          <w:sz w:val="24"/>
          <w:szCs w:val="24"/>
        </w:rPr>
        <w:t xml:space="preserve"> </w:t>
      </w:r>
      <w:r>
        <w:rPr>
          <w:sz w:val="24"/>
          <w:szCs w:val="24"/>
        </w:rPr>
        <w:t xml:space="preserve">responsáveis</w:t>
      </w:r>
      <w:r>
        <w:rPr>
          <w:spacing w:val="24"/>
          <w:sz w:val="24"/>
          <w:szCs w:val="24"/>
        </w:rPr>
        <w:t xml:space="preserve"> </w:t>
      </w:r>
      <w:r>
        <w:rPr>
          <w:sz w:val="24"/>
          <w:szCs w:val="24"/>
        </w:rPr>
        <w:t xml:space="preserve">não</w:t>
      </w:r>
      <w:r>
        <w:rPr>
          <w:spacing w:val="21"/>
          <w:sz w:val="24"/>
          <w:szCs w:val="24"/>
        </w:rPr>
        <w:t xml:space="preserve"> </w:t>
      </w:r>
      <w:r>
        <w:rPr>
          <w:sz w:val="24"/>
          <w:szCs w:val="24"/>
        </w:rPr>
        <w:t xml:space="preserve">constem</w:t>
      </w:r>
      <w:r>
        <w:rPr>
          <w:spacing w:val="21"/>
          <w:sz w:val="24"/>
          <w:szCs w:val="24"/>
        </w:rPr>
        <w:t xml:space="preserve"> </w:t>
      </w:r>
      <w:r>
        <w:rPr>
          <w:sz w:val="24"/>
          <w:szCs w:val="24"/>
        </w:rPr>
        <w:t xml:space="preserve">no Contrato</w:t>
      </w:r>
      <w:r>
        <w:rPr>
          <w:spacing w:val="21"/>
          <w:sz w:val="24"/>
          <w:szCs w:val="24"/>
        </w:rPr>
        <w:t xml:space="preserve"> </w:t>
      </w:r>
      <w:r>
        <w:rPr>
          <w:sz w:val="24"/>
          <w:szCs w:val="24"/>
        </w:rPr>
        <w:t xml:space="preserve">Social,</w:t>
      </w:r>
      <w:r>
        <w:rPr>
          <w:spacing w:val="20"/>
          <w:sz w:val="24"/>
          <w:szCs w:val="24"/>
        </w:rPr>
        <w:t xml:space="preserve"> </w:t>
      </w:r>
      <w:r>
        <w:rPr>
          <w:sz w:val="24"/>
          <w:szCs w:val="24"/>
        </w:rPr>
        <w:t xml:space="preserve">documento</w:t>
      </w:r>
      <w:r>
        <w:rPr>
          <w:spacing w:val="23"/>
          <w:sz w:val="24"/>
          <w:szCs w:val="24"/>
        </w:rPr>
        <w:t xml:space="preserve"> </w:t>
      </w:r>
      <w:r>
        <w:rPr>
          <w:sz w:val="24"/>
          <w:szCs w:val="24"/>
        </w:rPr>
        <w:t xml:space="preserve">que</w:t>
      </w:r>
      <w:r>
        <w:rPr>
          <w:spacing w:val="-58"/>
          <w:sz w:val="24"/>
          <w:szCs w:val="24"/>
        </w:rPr>
        <w:t xml:space="preserve"> </w:t>
      </w:r>
      <w:r>
        <w:rPr>
          <w:sz w:val="24"/>
          <w:szCs w:val="24"/>
        </w:rPr>
        <w:t xml:space="preserve">indique</w:t>
      </w:r>
      <w:r>
        <w:rPr>
          <w:spacing w:val="-2"/>
          <w:sz w:val="24"/>
          <w:szCs w:val="24"/>
        </w:rPr>
        <w:t xml:space="preserve"> </w:t>
      </w:r>
      <w:r>
        <w:rPr>
          <w:sz w:val="24"/>
          <w:szCs w:val="24"/>
        </w:rPr>
        <w:t xml:space="preserve">a</w:t>
      </w:r>
      <w:r>
        <w:rPr>
          <w:spacing w:val="-1"/>
          <w:sz w:val="24"/>
          <w:szCs w:val="24"/>
        </w:rPr>
        <w:t xml:space="preserve"> </w:t>
      </w:r>
      <w:r>
        <w:rPr>
          <w:sz w:val="24"/>
          <w:szCs w:val="24"/>
        </w:rPr>
        <w:t xml:space="preserve">responsabilidade</w:t>
      </w:r>
      <w:r>
        <w:rPr>
          <w:spacing w:val="-1"/>
          <w:sz w:val="24"/>
          <w:szCs w:val="24"/>
        </w:rPr>
        <w:t xml:space="preserve"> </w:t>
      </w:r>
      <w:r>
        <w:rPr>
          <w:sz w:val="24"/>
          <w:szCs w:val="24"/>
        </w:rPr>
        <w:t xml:space="preserve">pela</w:t>
      </w:r>
      <w:r>
        <w:rPr>
          <w:spacing w:val="-3"/>
          <w:sz w:val="24"/>
          <w:szCs w:val="24"/>
        </w:rPr>
        <w:t xml:space="preserve"> </w:t>
      </w:r>
      <w:r>
        <w:rPr>
          <w:sz w:val="24"/>
          <w:szCs w:val="24"/>
        </w:rPr>
        <w:t xml:space="preserve">administração.</w:t>
      </w:r>
      <w:r>
        <w:rPr>
          <w:b/>
          <w:sz w:val="24"/>
          <w:szCs w:val="24"/>
          <w:u w:val="single"/>
        </w:rPr>
      </w:r>
    </w:p>
    <w:p>
      <w:pPr>
        <w:pStyle w:val="995"/>
        <w:numPr>
          <w:ilvl w:val="3"/>
          <w:numId w:val="12"/>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Cópia</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ata</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assembleia</w:t>
      </w:r>
      <w:r>
        <w:rPr>
          <w:spacing w:val="1"/>
          <w:sz w:val="24"/>
          <w:szCs w:val="24"/>
        </w:rPr>
        <w:t xml:space="preserve"> </w:t>
      </w:r>
      <w:r>
        <w:rPr>
          <w:sz w:val="24"/>
          <w:szCs w:val="24"/>
        </w:rPr>
        <w:t xml:space="preserve">geral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reunião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conselho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administração</w:t>
      </w:r>
      <w:r>
        <w:rPr>
          <w:spacing w:val="13"/>
          <w:sz w:val="24"/>
          <w:szCs w:val="24"/>
        </w:rPr>
        <w:t xml:space="preserve"> </w:t>
      </w:r>
      <w:r>
        <w:rPr>
          <w:sz w:val="24"/>
          <w:szCs w:val="24"/>
        </w:rPr>
        <w:t xml:space="preserve">atinente</w:t>
      </w:r>
      <w:r>
        <w:rPr>
          <w:spacing w:val="18"/>
          <w:sz w:val="24"/>
          <w:szCs w:val="24"/>
        </w:rPr>
        <w:t xml:space="preserve"> </w:t>
      </w:r>
      <w:r>
        <w:rPr>
          <w:sz w:val="24"/>
          <w:szCs w:val="24"/>
        </w:rPr>
        <w:t xml:space="preserve">à</w:t>
      </w:r>
      <w:r>
        <w:rPr>
          <w:spacing w:val="14"/>
          <w:sz w:val="24"/>
          <w:szCs w:val="24"/>
        </w:rPr>
        <w:t xml:space="preserve"> </w:t>
      </w:r>
      <w:r>
        <w:rPr>
          <w:sz w:val="24"/>
          <w:szCs w:val="24"/>
        </w:rPr>
        <w:t xml:space="preserve">eleição</w:t>
      </w:r>
      <w:r>
        <w:rPr>
          <w:spacing w:val="17"/>
          <w:sz w:val="24"/>
          <w:szCs w:val="24"/>
        </w:rPr>
        <w:t xml:space="preserve"> </w:t>
      </w:r>
      <w:r>
        <w:rPr>
          <w:sz w:val="24"/>
          <w:szCs w:val="24"/>
        </w:rPr>
        <w:t xml:space="preserve">e</w:t>
      </w:r>
      <w:r>
        <w:rPr>
          <w:spacing w:val="15"/>
          <w:sz w:val="24"/>
          <w:szCs w:val="24"/>
        </w:rPr>
        <w:t xml:space="preserve"> </w:t>
      </w:r>
      <w:r>
        <w:rPr>
          <w:sz w:val="24"/>
          <w:szCs w:val="24"/>
        </w:rPr>
        <w:t xml:space="preserve">ao</w:t>
      </w:r>
      <w:r>
        <w:rPr>
          <w:spacing w:val="16"/>
          <w:sz w:val="24"/>
          <w:szCs w:val="24"/>
        </w:rPr>
        <w:t xml:space="preserve"> </w:t>
      </w:r>
      <w:r>
        <w:rPr>
          <w:sz w:val="24"/>
          <w:szCs w:val="24"/>
        </w:rPr>
        <w:t xml:space="preserve">mandato</w:t>
      </w:r>
      <w:r>
        <w:rPr>
          <w:spacing w:val="16"/>
          <w:sz w:val="24"/>
          <w:szCs w:val="24"/>
        </w:rPr>
        <w:t xml:space="preserve"> </w:t>
      </w:r>
      <w:r>
        <w:rPr>
          <w:sz w:val="24"/>
          <w:szCs w:val="24"/>
        </w:rPr>
        <w:t xml:space="preserve">dos</w:t>
      </w:r>
      <w:r>
        <w:rPr>
          <w:spacing w:val="15"/>
          <w:sz w:val="24"/>
          <w:szCs w:val="24"/>
        </w:rPr>
        <w:t xml:space="preserve"> </w:t>
      </w:r>
      <w:r>
        <w:rPr>
          <w:sz w:val="24"/>
          <w:szCs w:val="24"/>
        </w:rPr>
        <w:t xml:space="preserve">atuais</w:t>
      </w:r>
      <w:r>
        <w:rPr>
          <w:spacing w:val="16"/>
          <w:sz w:val="24"/>
          <w:szCs w:val="24"/>
        </w:rPr>
        <w:t xml:space="preserve"> </w:t>
      </w:r>
      <w:r>
        <w:rPr>
          <w:sz w:val="24"/>
          <w:szCs w:val="24"/>
        </w:rPr>
        <w:t xml:space="preserve">administradores, evidenciando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devido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junta</w:t>
      </w:r>
      <w:r>
        <w:rPr>
          <w:spacing w:val="1"/>
          <w:sz w:val="24"/>
          <w:szCs w:val="24"/>
        </w:rPr>
        <w:t xml:space="preserve"> </w:t>
      </w:r>
      <w:r>
        <w:rPr>
          <w:sz w:val="24"/>
          <w:szCs w:val="24"/>
        </w:rPr>
        <w:t xml:space="preserve">comercial</w:t>
      </w:r>
      <w:r>
        <w:rPr>
          <w:spacing w:val="1"/>
          <w:sz w:val="24"/>
          <w:szCs w:val="24"/>
        </w:rPr>
        <w:t xml:space="preserve"> </w:t>
      </w:r>
      <w:r>
        <w:rPr>
          <w:sz w:val="24"/>
          <w:szCs w:val="24"/>
        </w:rPr>
        <w:t xml:space="preserve">pertinente</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publicação</w:t>
      </w:r>
      <w:r>
        <w:rPr>
          <w:spacing w:val="1"/>
          <w:sz w:val="24"/>
          <w:szCs w:val="24"/>
        </w:rPr>
        <w:t xml:space="preserve"> </w:t>
      </w:r>
      <w:r>
        <w:rPr>
          <w:sz w:val="24"/>
          <w:szCs w:val="24"/>
        </w:rPr>
        <w:t xml:space="preserve">prevista</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Lei</w:t>
      </w:r>
      <w:r>
        <w:rPr>
          <w:spacing w:val="1"/>
          <w:sz w:val="24"/>
          <w:szCs w:val="24"/>
        </w:rPr>
        <w:t xml:space="preserve"> </w:t>
      </w:r>
      <w:r>
        <w:rPr>
          <w:sz w:val="24"/>
          <w:szCs w:val="24"/>
        </w:rPr>
        <w:t xml:space="preserve">nº</w:t>
      </w:r>
      <w:r>
        <w:rPr>
          <w:spacing w:val="1"/>
          <w:sz w:val="24"/>
          <w:szCs w:val="24"/>
        </w:rPr>
        <w:t xml:space="preserve"> </w:t>
      </w:r>
      <w:r>
        <w:rPr>
          <w:sz w:val="24"/>
          <w:szCs w:val="24"/>
        </w:rPr>
        <w:t xml:space="preserve">6.404/76</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suas</w:t>
      </w:r>
      <w:r>
        <w:rPr>
          <w:spacing w:val="1"/>
          <w:sz w:val="24"/>
          <w:szCs w:val="24"/>
        </w:rPr>
        <w:t xml:space="preserve"> </w:t>
      </w:r>
      <w:r>
        <w:rPr>
          <w:sz w:val="24"/>
          <w:szCs w:val="24"/>
        </w:rPr>
        <w:t xml:space="preserve">alterações,</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caso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sociedades</w:t>
      </w:r>
      <w:r>
        <w:rPr>
          <w:spacing w:val="-2"/>
          <w:sz w:val="24"/>
          <w:szCs w:val="24"/>
        </w:rPr>
        <w:t xml:space="preserve"> </w:t>
      </w:r>
      <w:r>
        <w:rPr>
          <w:sz w:val="24"/>
          <w:szCs w:val="24"/>
        </w:rPr>
        <w:t xml:space="preserve">anônimas.</w:t>
      </w:r>
      <w:r>
        <w:rPr>
          <w:b/>
          <w:sz w:val="24"/>
          <w:szCs w:val="24"/>
          <w:u w:val="single"/>
        </w:rPr>
      </w:r>
    </w:p>
    <w:p>
      <w:pPr>
        <w:pStyle w:val="995"/>
        <w:numPr>
          <w:ilvl w:val="3"/>
          <w:numId w:val="12"/>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Cópia do decreto de autorização para que se estabeleçam no país e ato de registro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autorização</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funcionamento</w:t>
      </w:r>
      <w:r>
        <w:rPr>
          <w:spacing w:val="1"/>
          <w:sz w:val="24"/>
          <w:szCs w:val="24"/>
        </w:rPr>
        <w:t xml:space="preserve"> </w:t>
      </w:r>
      <w:r>
        <w:rPr>
          <w:sz w:val="24"/>
          <w:szCs w:val="24"/>
        </w:rPr>
        <w:t xml:space="preserve">expedido</w:t>
      </w:r>
      <w:r>
        <w:rPr>
          <w:spacing w:val="1"/>
          <w:sz w:val="24"/>
          <w:szCs w:val="24"/>
        </w:rPr>
        <w:t xml:space="preserve"> </w:t>
      </w:r>
      <w:r>
        <w:rPr>
          <w:sz w:val="24"/>
          <w:szCs w:val="24"/>
        </w:rPr>
        <w:t xml:space="preserve">pelo</w:t>
      </w:r>
      <w:r>
        <w:rPr>
          <w:spacing w:val="1"/>
          <w:sz w:val="24"/>
          <w:szCs w:val="24"/>
        </w:rPr>
        <w:t xml:space="preserve"> </w:t>
      </w:r>
      <w:r>
        <w:rPr>
          <w:sz w:val="24"/>
          <w:szCs w:val="24"/>
        </w:rPr>
        <w:t xml:space="preserve">órgão</w:t>
      </w:r>
      <w:r>
        <w:rPr>
          <w:spacing w:val="1"/>
          <w:sz w:val="24"/>
          <w:szCs w:val="24"/>
        </w:rPr>
        <w:t xml:space="preserve"> </w:t>
      </w:r>
      <w:r>
        <w:rPr>
          <w:sz w:val="24"/>
          <w:szCs w:val="24"/>
        </w:rPr>
        <w:t xml:space="preserve">competente,</w:t>
      </w:r>
      <w:r>
        <w:rPr>
          <w:spacing w:val="-3"/>
          <w:sz w:val="24"/>
          <w:szCs w:val="24"/>
        </w:rPr>
        <w:t xml:space="preserve"> </w:t>
      </w:r>
      <w:r>
        <w:rPr>
          <w:sz w:val="24"/>
          <w:szCs w:val="24"/>
        </w:rPr>
        <w:t xml:space="preserve">no</w:t>
      </w:r>
      <w:r>
        <w:rPr>
          <w:spacing w:val="-2"/>
          <w:sz w:val="24"/>
          <w:szCs w:val="24"/>
        </w:rPr>
        <w:t xml:space="preserve"> </w:t>
      </w:r>
      <w:r>
        <w:rPr>
          <w:sz w:val="24"/>
          <w:szCs w:val="24"/>
        </w:rPr>
        <w:t xml:space="preserve">caso</w:t>
      </w:r>
      <w:r>
        <w:rPr>
          <w:spacing w:val="-2"/>
          <w:sz w:val="24"/>
          <w:szCs w:val="24"/>
        </w:rPr>
        <w:t xml:space="preserve"> </w:t>
      </w:r>
      <w:r>
        <w:rPr>
          <w:sz w:val="24"/>
          <w:szCs w:val="24"/>
        </w:rPr>
        <w:t xml:space="preserve">de</w:t>
      </w:r>
      <w:r>
        <w:rPr>
          <w:spacing w:val="-2"/>
          <w:sz w:val="24"/>
          <w:szCs w:val="24"/>
        </w:rPr>
        <w:t xml:space="preserve"> </w:t>
      </w:r>
      <w:r>
        <w:rPr>
          <w:sz w:val="24"/>
          <w:szCs w:val="24"/>
        </w:rPr>
        <w:t xml:space="preserve">empresas ou</w:t>
      </w:r>
      <w:r>
        <w:rPr>
          <w:spacing w:val="-2"/>
          <w:sz w:val="24"/>
          <w:szCs w:val="24"/>
        </w:rPr>
        <w:t xml:space="preserve"> </w:t>
      </w:r>
      <w:r>
        <w:rPr>
          <w:sz w:val="24"/>
          <w:szCs w:val="24"/>
        </w:rPr>
        <w:t xml:space="preserve">sociedades</w:t>
      </w:r>
      <w:r>
        <w:rPr>
          <w:spacing w:val="-1"/>
          <w:sz w:val="24"/>
          <w:szCs w:val="24"/>
        </w:rPr>
        <w:t xml:space="preserve"> </w:t>
      </w:r>
      <w:r>
        <w:rPr>
          <w:sz w:val="24"/>
          <w:szCs w:val="24"/>
        </w:rPr>
        <w:t xml:space="preserve">estrangeiras.</w:t>
      </w:r>
      <w:r>
        <w:rPr>
          <w:b/>
          <w:sz w:val="24"/>
          <w:szCs w:val="24"/>
          <w:u w:val="single"/>
        </w:rPr>
      </w:r>
    </w:p>
    <w:p>
      <w:pPr>
        <w:pStyle w:val="995"/>
        <w:pBdr/>
        <w:tabs>
          <w:tab w:val="left" w:leader="none" w:pos="851"/>
        </w:tabs>
        <w:spacing w:after="0" w:before="0"/>
        <w:ind w:left="0"/>
        <w:rPr>
          <w:b/>
          <w:sz w:val="24"/>
          <w:szCs w:val="24"/>
          <w:u w:val="single"/>
        </w:rPr>
      </w:pPr>
      <w:r>
        <w:rPr>
          <w:b/>
          <w:sz w:val="24"/>
          <w:szCs w:val="24"/>
          <w:u w:val="single"/>
        </w:rPr>
      </w:r>
      <w:r>
        <w:rPr>
          <w:b/>
          <w:sz w:val="24"/>
          <w:szCs w:val="24"/>
          <w:u w:val="single"/>
        </w:rPr>
      </w:r>
    </w:p>
    <w:p>
      <w:pPr>
        <w:pStyle w:val="995"/>
        <w:numPr>
          <w:ilvl w:val="2"/>
          <w:numId w:val="12"/>
        </w:numPr>
        <w:pBdr/>
        <w:tabs>
          <w:tab w:val="left" w:leader="none" w:pos="851"/>
          <w:tab w:val="left" w:leader="none" w:pos="993"/>
          <w:tab w:val="left" w:leader="none" w:pos="1701"/>
        </w:tabs>
        <w:spacing w:after="0" w:before="0"/>
        <w:ind w:firstLine="0" w:left="0"/>
        <w:rPr>
          <w:sz w:val="24"/>
          <w:szCs w:val="24"/>
        </w:rPr>
      </w:pPr>
      <w:r>
        <w:rPr>
          <w:b/>
          <w:bCs/>
          <w:sz w:val="24"/>
          <w:szCs w:val="24"/>
        </w:rPr>
        <w:t xml:space="preserve">REGULARIDADE FISCAL</w:t>
      </w:r>
      <w:r>
        <w:rPr>
          <w:b/>
          <w:sz w:val="24"/>
          <w:szCs w:val="24"/>
        </w:rPr>
        <w:t xml:space="preserve">:</w:t>
      </w:r>
      <w:bookmarkEnd w:id="51"/>
      <w:r/>
      <w:r>
        <w:rPr>
          <w:sz w:val="24"/>
          <w:szCs w:val="24"/>
        </w:rPr>
      </w:r>
    </w:p>
    <w:p>
      <w:pPr>
        <w:pStyle w:val="995"/>
        <w:pBdr/>
        <w:tabs>
          <w:tab w:val="left" w:leader="none" w:pos="851"/>
          <w:tab w:val="left" w:leader="none" w:pos="1701"/>
        </w:tabs>
        <w:spacing w:after="0" w:before="0"/>
        <w:ind w:left="0"/>
        <w:rPr>
          <w:sz w:val="24"/>
          <w:szCs w:val="24"/>
        </w:rPr>
      </w:pPr>
      <w:r>
        <w:rPr>
          <w:sz w:val="24"/>
          <w:szCs w:val="24"/>
        </w:rPr>
      </w:r>
      <w:r>
        <w:rPr>
          <w:sz w:val="24"/>
          <w:szCs w:val="24"/>
        </w:rPr>
      </w:r>
    </w:p>
    <w:p>
      <w:pPr>
        <w:pStyle w:val="995"/>
        <w:numPr>
          <w:ilvl w:val="3"/>
          <w:numId w:val="12"/>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inscrição no Cadastro Nacional de Pessoa Jurídica/</w:t>
      </w:r>
      <w:r>
        <w:rPr>
          <w:b/>
          <w:sz w:val="24"/>
          <w:szCs w:val="24"/>
        </w:rPr>
        <w:t xml:space="preserve">CNPJ</w:t>
      </w:r>
      <w:r>
        <w:rPr>
          <w:sz w:val="24"/>
          <w:szCs w:val="24"/>
        </w:rPr>
        <w:t xml:space="preserve">;</w:t>
      </w:r>
      <w:r>
        <w:rPr>
          <w:sz w:val="24"/>
          <w:szCs w:val="24"/>
        </w:rPr>
      </w:r>
    </w:p>
    <w:p>
      <w:pPr>
        <w:pStyle w:val="995"/>
        <w:numPr>
          <w:ilvl w:val="3"/>
          <w:numId w:val="12"/>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w:t>
      </w:r>
      <w:r>
        <w:rPr>
          <w:b/>
          <w:sz w:val="24"/>
          <w:szCs w:val="24"/>
        </w:rPr>
        <w:t xml:space="preserve">regularidade com a Fazenda Municipal</w:t>
      </w:r>
      <w:r>
        <w:rPr>
          <w:sz w:val="24"/>
          <w:szCs w:val="24"/>
        </w:rPr>
        <w:t xml:space="preserve">, em validade para o período desta licitação, do domicílio ou sede do licitante;</w:t>
      </w:r>
      <w:r>
        <w:rPr>
          <w:sz w:val="24"/>
          <w:szCs w:val="24"/>
        </w:rPr>
      </w:r>
    </w:p>
    <w:p>
      <w:pPr>
        <w:pStyle w:val="995"/>
        <w:numPr>
          <w:ilvl w:val="3"/>
          <w:numId w:val="12"/>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regularidade com a </w:t>
      </w:r>
      <w:r>
        <w:rPr>
          <w:b/>
          <w:bCs/>
          <w:sz w:val="24"/>
          <w:szCs w:val="24"/>
        </w:rPr>
        <w:t xml:space="preserve">Fazenda Estadual</w:t>
      </w:r>
      <w:r>
        <w:rPr>
          <w:sz w:val="24"/>
          <w:szCs w:val="24"/>
        </w:rPr>
        <w:t xml:space="preserve"> (Certidão Negativa de tributo estadual – </w:t>
      </w:r>
      <w:r>
        <w:rPr>
          <w:sz w:val="24"/>
          <w:szCs w:val="24"/>
          <w:u w:val="single"/>
        </w:rPr>
        <w:t xml:space="preserve">apenas</w:t>
      </w:r>
      <w:r>
        <w:rPr>
          <w:sz w:val="24"/>
          <w:szCs w:val="24"/>
        </w:rPr>
        <w:t xml:space="preserve"> ICM/ICMS do domicílio da licitante);</w:t>
      </w:r>
      <w:r>
        <w:rPr>
          <w:sz w:val="24"/>
          <w:szCs w:val="24"/>
        </w:rPr>
      </w:r>
    </w:p>
    <w:p>
      <w:pPr>
        <w:pStyle w:val="995"/>
        <w:numPr>
          <w:ilvl w:val="3"/>
          <w:numId w:val="12"/>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As </w:t>
      </w:r>
      <w:r>
        <w:rPr>
          <w:b/>
          <w:sz w:val="24"/>
          <w:szCs w:val="24"/>
        </w:rPr>
        <w:t xml:space="preserve">Certidões da Dívida Ativa</w:t>
      </w:r>
      <w:r>
        <w:rPr>
          <w:sz w:val="24"/>
          <w:szCs w:val="24"/>
        </w:rPr>
        <w:t xml:space="preserve">, no caso de empresas sediadas</w:t>
      </w:r>
      <w:r>
        <w:rPr>
          <w:spacing w:val="60"/>
          <w:sz w:val="24"/>
          <w:szCs w:val="24"/>
        </w:rPr>
        <w:t xml:space="preserve"> </w:t>
      </w:r>
      <w:r>
        <w:rPr>
          <w:sz w:val="24"/>
          <w:szCs w:val="24"/>
        </w:rPr>
        <w:t xml:space="preserve">no Estado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Rio</w:t>
      </w:r>
      <w:r>
        <w:rPr>
          <w:spacing w:val="1"/>
          <w:sz w:val="24"/>
          <w:szCs w:val="24"/>
        </w:rPr>
        <w:t xml:space="preserve"> </w:t>
      </w:r>
      <w:r>
        <w:rPr>
          <w:sz w:val="24"/>
          <w:szCs w:val="24"/>
        </w:rPr>
        <w:t xml:space="preserve">de Janeiro, deverão ser as expedidas pela </w:t>
      </w:r>
      <w:r>
        <w:rPr>
          <w:b/>
          <w:sz w:val="24"/>
          <w:szCs w:val="24"/>
        </w:rPr>
        <w:t xml:space="preserve">Procuradoria Geral do</w:t>
      </w:r>
      <w:r>
        <w:rPr>
          <w:b/>
          <w:spacing w:val="1"/>
          <w:sz w:val="24"/>
          <w:szCs w:val="24"/>
        </w:rPr>
        <w:t xml:space="preserve"> </w:t>
      </w:r>
      <w:r>
        <w:rPr>
          <w:b/>
          <w:sz w:val="24"/>
          <w:szCs w:val="24"/>
        </w:rPr>
        <w:t xml:space="preserve">Estado</w:t>
      </w:r>
      <w:r>
        <w:rPr>
          <w:b/>
          <w:spacing w:val="2"/>
          <w:sz w:val="24"/>
          <w:szCs w:val="24"/>
        </w:rPr>
        <w:t xml:space="preserve"> </w:t>
      </w:r>
      <w:r>
        <w:rPr>
          <w:b/>
          <w:sz w:val="24"/>
          <w:szCs w:val="24"/>
        </w:rPr>
        <w:t xml:space="preserve">(PGE).</w:t>
      </w:r>
      <w:r>
        <w:rPr>
          <w:sz w:val="24"/>
          <w:szCs w:val="24"/>
        </w:rPr>
      </w:r>
    </w:p>
    <w:p>
      <w:pPr>
        <w:pStyle w:val="995"/>
        <w:numPr>
          <w:ilvl w:val="4"/>
          <w:numId w:val="12"/>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Para</w:t>
      </w:r>
      <w:r>
        <w:rPr>
          <w:spacing w:val="1"/>
          <w:sz w:val="24"/>
          <w:szCs w:val="24"/>
        </w:rPr>
        <w:t xml:space="preserve"> </w:t>
      </w:r>
      <w:r>
        <w:rPr>
          <w:sz w:val="24"/>
          <w:szCs w:val="24"/>
        </w:rPr>
        <w:t xml:space="preserve">as</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não</w:t>
      </w:r>
      <w:r>
        <w:rPr>
          <w:spacing w:val="1"/>
          <w:sz w:val="24"/>
          <w:szCs w:val="24"/>
        </w:rPr>
        <w:t xml:space="preserve"> </w:t>
      </w:r>
      <w:r>
        <w:rPr>
          <w:sz w:val="24"/>
          <w:szCs w:val="24"/>
        </w:rPr>
        <w:t xml:space="preserve">sediadas</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Estado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Rio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Janeiro,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documento</w:t>
      </w:r>
      <w:r>
        <w:rPr>
          <w:spacing w:val="1"/>
          <w:sz w:val="24"/>
          <w:szCs w:val="24"/>
        </w:rPr>
        <w:t xml:space="preserve"> </w:t>
      </w:r>
      <w:r>
        <w:rPr>
          <w:sz w:val="24"/>
          <w:szCs w:val="24"/>
        </w:rPr>
        <w:t xml:space="preserve">emitido</w:t>
      </w:r>
      <w:r>
        <w:rPr>
          <w:spacing w:val="1"/>
          <w:sz w:val="24"/>
          <w:szCs w:val="24"/>
        </w:rPr>
        <w:t xml:space="preserve"> </w:t>
      </w:r>
      <w:r>
        <w:rPr>
          <w:sz w:val="24"/>
          <w:szCs w:val="24"/>
        </w:rPr>
        <w:t xml:space="preserve">pela</w:t>
      </w:r>
      <w:r>
        <w:rPr>
          <w:spacing w:val="1"/>
          <w:sz w:val="24"/>
          <w:szCs w:val="24"/>
        </w:rPr>
        <w:t xml:space="preserve"> </w:t>
      </w:r>
      <w:r>
        <w:rPr>
          <w:sz w:val="24"/>
          <w:szCs w:val="24"/>
        </w:rPr>
        <w:t xml:space="preserve">Fazenda</w:t>
      </w:r>
      <w:r>
        <w:rPr>
          <w:spacing w:val="1"/>
          <w:sz w:val="24"/>
          <w:szCs w:val="24"/>
        </w:rPr>
        <w:t xml:space="preserve"> </w:t>
      </w:r>
      <w:r>
        <w:rPr>
          <w:sz w:val="24"/>
          <w:szCs w:val="24"/>
        </w:rPr>
        <w:t xml:space="preserve">Estadual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Distrito</w:t>
      </w:r>
      <w:r>
        <w:rPr>
          <w:spacing w:val="60"/>
          <w:sz w:val="24"/>
          <w:szCs w:val="24"/>
        </w:rPr>
        <w:t xml:space="preserve"> </w:t>
      </w:r>
      <w:r>
        <w:rPr>
          <w:sz w:val="24"/>
          <w:szCs w:val="24"/>
        </w:rPr>
        <w:t xml:space="preserve">Federal,</w:t>
      </w:r>
      <w:r>
        <w:rPr>
          <w:spacing w:val="61"/>
          <w:sz w:val="24"/>
          <w:szCs w:val="24"/>
        </w:rPr>
        <w:t xml:space="preserve"> </w:t>
      </w:r>
      <w:r>
        <w:rPr>
          <w:sz w:val="24"/>
          <w:szCs w:val="24"/>
        </w:rPr>
        <w:t xml:space="preserve">do</w:t>
      </w:r>
      <w:r>
        <w:rPr>
          <w:spacing w:val="1"/>
          <w:sz w:val="24"/>
          <w:szCs w:val="24"/>
        </w:rPr>
        <w:t xml:space="preserve"> </w:t>
      </w:r>
      <w:r>
        <w:rPr>
          <w:sz w:val="24"/>
          <w:szCs w:val="24"/>
        </w:rPr>
        <w:t xml:space="preserve">domicilio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sede</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licitante</w:t>
      </w:r>
      <w:r>
        <w:rPr>
          <w:spacing w:val="1"/>
          <w:sz w:val="24"/>
          <w:szCs w:val="24"/>
        </w:rPr>
        <w:t xml:space="preserve"> </w:t>
      </w:r>
      <w:r>
        <w:rPr>
          <w:sz w:val="24"/>
          <w:szCs w:val="24"/>
        </w:rPr>
        <w:t xml:space="preserve">deverá</w:t>
      </w:r>
      <w:r>
        <w:rPr>
          <w:spacing w:val="1"/>
          <w:sz w:val="24"/>
          <w:szCs w:val="24"/>
        </w:rPr>
        <w:t xml:space="preserve"> </w:t>
      </w:r>
      <w:r>
        <w:rPr>
          <w:sz w:val="24"/>
          <w:szCs w:val="24"/>
        </w:rPr>
        <w:t xml:space="preserve">comprovar</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inexistência</w:t>
      </w:r>
      <w:r>
        <w:rPr>
          <w:spacing w:val="1"/>
          <w:sz w:val="24"/>
          <w:szCs w:val="24"/>
        </w:rPr>
        <w:t xml:space="preserve"> </w:t>
      </w:r>
      <w:r>
        <w:rPr>
          <w:sz w:val="24"/>
          <w:szCs w:val="24"/>
        </w:rPr>
        <w:t xml:space="preserve">tanto</w:t>
      </w:r>
      <w:r>
        <w:rPr>
          <w:spacing w:val="1"/>
          <w:sz w:val="24"/>
          <w:szCs w:val="24"/>
        </w:rPr>
        <w:t xml:space="preserve"> </w:t>
      </w:r>
      <w:r>
        <w:rPr>
          <w:sz w:val="24"/>
          <w:szCs w:val="24"/>
        </w:rPr>
        <w:t xml:space="preserve">de</w:t>
      </w:r>
      <w:r>
        <w:rPr>
          <w:spacing w:val="-58"/>
          <w:sz w:val="24"/>
          <w:szCs w:val="24"/>
        </w:rPr>
        <w:t xml:space="preserve"> </w:t>
      </w:r>
      <w:r>
        <w:rPr>
          <w:sz w:val="24"/>
          <w:szCs w:val="24"/>
        </w:rPr>
        <w:t xml:space="preserve">débitos inscritos quanto de não inscritos na Dívida Ativa ou demonstrar de</w:t>
      </w:r>
      <w:r>
        <w:rPr>
          <w:spacing w:val="1"/>
          <w:sz w:val="24"/>
          <w:szCs w:val="24"/>
        </w:rPr>
        <w:t xml:space="preserve"> </w:t>
      </w:r>
      <w:r>
        <w:rPr>
          <w:sz w:val="24"/>
          <w:szCs w:val="24"/>
        </w:rPr>
        <w:t xml:space="preserve">outra</w:t>
      </w:r>
      <w:r>
        <w:rPr>
          <w:spacing w:val="1"/>
          <w:sz w:val="24"/>
          <w:szCs w:val="24"/>
        </w:rPr>
        <w:t xml:space="preserve"> </w:t>
      </w:r>
      <w:r>
        <w:rPr>
          <w:sz w:val="24"/>
          <w:szCs w:val="24"/>
        </w:rPr>
        <w:t xml:space="preserve">forma</w:t>
      </w:r>
      <w:r>
        <w:rPr>
          <w:spacing w:val="1"/>
          <w:sz w:val="24"/>
          <w:szCs w:val="24"/>
        </w:rPr>
        <w:t xml:space="preserve"> </w:t>
      </w:r>
      <w:r>
        <w:rPr>
          <w:sz w:val="24"/>
          <w:szCs w:val="24"/>
        </w:rPr>
        <w:t xml:space="preserve">documental</w:t>
      </w:r>
      <w:r>
        <w:rPr>
          <w:spacing w:val="1"/>
          <w:sz w:val="24"/>
          <w:szCs w:val="24"/>
        </w:rPr>
        <w:t xml:space="preserve"> </w:t>
      </w:r>
      <w:r>
        <w:rPr>
          <w:sz w:val="24"/>
          <w:szCs w:val="24"/>
        </w:rPr>
        <w:t xml:space="preserve">tal</w:t>
      </w:r>
      <w:r>
        <w:rPr>
          <w:spacing w:val="1"/>
          <w:sz w:val="24"/>
          <w:szCs w:val="24"/>
        </w:rPr>
        <w:t xml:space="preserve"> </w:t>
      </w:r>
      <w:r>
        <w:rPr>
          <w:sz w:val="24"/>
          <w:szCs w:val="24"/>
        </w:rPr>
        <w:t xml:space="preserve">situação</w:t>
      </w:r>
      <w:r>
        <w:rPr>
          <w:spacing w:val="1"/>
          <w:sz w:val="24"/>
          <w:szCs w:val="24"/>
        </w:rPr>
        <w:t xml:space="preserve"> </w:t>
      </w:r>
      <w:r>
        <w:rPr>
          <w:sz w:val="24"/>
          <w:szCs w:val="24"/>
        </w:rPr>
        <w:t xml:space="preserve">fiscal,</w:t>
      </w:r>
      <w:r>
        <w:rPr>
          <w:spacing w:val="1"/>
          <w:sz w:val="24"/>
          <w:szCs w:val="24"/>
        </w:rPr>
        <w:t xml:space="preserve"> </w:t>
      </w:r>
      <w:r>
        <w:rPr>
          <w:sz w:val="24"/>
          <w:szCs w:val="24"/>
        </w:rPr>
        <w:t xml:space="preserve">podendo,</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tanto,</w:t>
      </w:r>
      <w:r>
        <w:rPr>
          <w:spacing w:val="1"/>
          <w:sz w:val="24"/>
          <w:szCs w:val="24"/>
        </w:rPr>
        <w:t xml:space="preserve"> </w:t>
      </w:r>
      <w:r>
        <w:rPr>
          <w:sz w:val="24"/>
          <w:szCs w:val="24"/>
        </w:rPr>
        <w:t xml:space="preserve">estar</w:t>
      </w:r>
      <w:r>
        <w:rPr>
          <w:spacing w:val="1"/>
          <w:sz w:val="24"/>
          <w:szCs w:val="24"/>
        </w:rPr>
        <w:t xml:space="preserve"> </w:t>
      </w:r>
      <w:r>
        <w:rPr>
          <w:sz w:val="24"/>
          <w:szCs w:val="24"/>
        </w:rPr>
        <w:t xml:space="preserve">acompanhado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legislação</w:t>
      </w:r>
      <w:r>
        <w:rPr>
          <w:spacing w:val="1"/>
          <w:sz w:val="24"/>
          <w:szCs w:val="24"/>
        </w:rPr>
        <w:t xml:space="preserve"> </w:t>
      </w:r>
      <w:r>
        <w:rPr>
          <w:sz w:val="24"/>
          <w:szCs w:val="24"/>
        </w:rPr>
        <w:t xml:space="preserve">específica</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informação</w:t>
      </w:r>
      <w:r>
        <w:rPr>
          <w:spacing w:val="1"/>
          <w:sz w:val="24"/>
          <w:szCs w:val="24"/>
        </w:rPr>
        <w:t xml:space="preserve"> </w:t>
      </w:r>
      <w:r>
        <w:rPr>
          <w:sz w:val="24"/>
          <w:szCs w:val="24"/>
        </w:rPr>
        <w:t xml:space="preserve">oficial</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órgão</w:t>
      </w:r>
      <w:r>
        <w:rPr>
          <w:spacing w:val="1"/>
          <w:sz w:val="24"/>
          <w:szCs w:val="24"/>
        </w:rPr>
        <w:t xml:space="preserve"> </w:t>
      </w:r>
      <w:r>
        <w:rPr>
          <w:sz w:val="24"/>
          <w:szCs w:val="24"/>
        </w:rPr>
        <w:t xml:space="preserve">fazendário.</w:t>
      </w:r>
      <w:r>
        <w:rPr>
          <w:sz w:val="24"/>
          <w:szCs w:val="24"/>
        </w:rPr>
      </w:r>
    </w:p>
    <w:p>
      <w:pPr>
        <w:pStyle w:val="995"/>
        <w:numPr>
          <w:ilvl w:val="3"/>
          <w:numId w:val="12"/>
        </w:numPr>
        <w:pBdr/>
        <w:tabs>
          <w:tab w:val="left" w:leader="none" w:pos="851"/>
          <w:tab w:val="left" w:leader="none" w:pos="1276"/>
          <w:tab w:val="left" w:leader="none" w:pos="1418"/>
          <w:tab w:val="left" w:leader="none" w:pos="1701"/>
        </w:tabs>
        <w:spacing w:after="0" w:before="0"/>
        <w:ind w:firstLine="0" w:left="0"/>
        <w:rPr>
          <w:sz w:val="24"/>
          <w:szCs w:val="24"/>
        </w:rPr>
      </w:pPr>
      <w:r>
        <w:rPr>
          <w:b/>
          <w:sz w:val="24"/>
          <w:szCs w:val="24"/>
        </w:rPr>
        <w:t xml:space="preserve">Certidão Negativa de Débitos relativos a Créditos Tributários Federais e à Dívida Ativa da União (CND);</w:t>
      </w:r>
      <w:r>
        <w:rPr>
          <w:sz w:val="24"/>
          <w:szCs w:val="24"/>
        </w:rPr>
      </w:r>
    </w:p>
    <w:p>
      <w:pPr>
        <w:pStyle w:val="995"/>
        <w:numPr>
          <w:ilvl w:val="3"/>
          <w:numId w:val="12"/>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Certificado de Regularidade de Situação perante a Secretaria de Garantia por Tempo de Serviço – </w:t>
      </w:r>
      <w:r>
        <w:rPr>
          <w:b/>
          <w:sz w:val="24"/>
          <w:szCs w:val="24"/>
        </w:rPr>
        <w:t xml:space="preserve">FGTS</w:t>
      </w:r>
      <w:r>
        <w:rPr>
          <w:sz w:val="24"/>
          <w:szCs w:val="24"/>
        </w:rPr>
        <w:t xml:space="preserve">, expedida pela Caixa Econômica Federal – CEF;</w:t>
      </w:r>
      <w:r>
        <w:rPr>
          <w:sz w:val="24"/>
          <w:szCs w:val="24"/>
        </w:rPr>
      </w:r>
    </w:p>
    <w:p>
      <w:pPr>
        <w:pBdr/>
        <w:tabs>
          <w:tab w:val="left" w:leader="none" w:pos="851"/>
        </w:tabs>
        <w:spacing w:after="0" w:before="0"/>
        <w:ind/>
        <w:rPr>
          <w:b/>
          <w:sz w:val="24"/>
          <w:szCs w:val="24"/>
        </w:rPr>
      </w:pPr>
      <w:r>
        <w:rPr>
          <w:b/>
          <w:sz w:val="24"/>
          <w:szCs w:val="24"/>
        </w:rPr>
      </w:r>
      <w:r>
        <w:rPr>
          <w:b/>
          <w:sz w:val="24"/>
          <w:szCs w:val="24"/>
        </w:rPr>
      </w:r>
    </w:p>
    <w:p>
      <w:pPr>
        <w:pBdr/>
        <w:tabs>
          <w:tab w:val="left" w:leader="none" w:pos="709"/>
          <w:tab w:val="left" w:leader="none" w:pos="851"/>
        </w:tabs>
        <w:spacing w:after="0" w:before="0"/>
        <w:ind/>
        <w:rPr>
          <w:sz w:val="24"/>
          <w:szCs w:val="24"/>
        </w:rPr>
      </w:pPr>
      <w:r>
        <w:rPr>
          <w:b/>
          <w:sz w:val="24"/>
          <w:szCs w:val="24"/>
        </w:rPr>
        <w:t xml:space="preserve">NOTA I</w:t>
      </w:r>
      <w:r>
        <w:rPr>
          <w:sz w:val="24"/>
          <w:szCs w:val="24"/>
        </w:rPr>
        <w:t xml:space="preserve">:</w:t>
      </w:r>
      <w:r>
        <w:rPr>
          <w:sz w:val="24"/>
          <w:szCs w:val="24"/>
        </w:rPr>
        <w:tab/>
        <w:t xml:space="preserve">Os documentos de habilitação que </w:t>
      </w:r>
      <w:r>
        <w:rPr>
          <w:b/>
          <w:sz w:val="24"/>
          <w:szCs w:val="24"/>
        </w:rPr>
        <w:t xml:space="preserve">não tiverem prazo de validade</w:t>
      </w:r>
      <w:r>
        <w:rPr>
          <w:sz w:val="24"/>
          <w:szCs w:val="24"/>
        </w:rPr>
        <w:t xml:space="preserve"> especificado no seu próprio texto, serão considerados válidos se estiverem dentro do </w:t>
      </w:r>
      <w:r>
        <w:rPr>
          <w:b/>
          <w:sz w:val="24"/>
          <w:szCs w:val="24"/>
        </w:rPr>
        <w:t xml:space="preserve">prazo de 180 </w:t>
      </w:r>
      <w:r>
        <w:rPr>
          <w:b/>
          <w:sz w:val="24"/>
          <w:szCs w:val="24"/>
        </w:rPr>
        <w:t xml:space="preserve">(cento e oitenta) dias</w:t>
      </w:r>
      <w:r>
        <w:rPr>
          <w:sz w:val="24"/>
          <w:szCs w:val="24"/>
        </w:rPr>
        <w:t xml:space="preserve"> contados da data de sua emissão, ressalvada a hipótese </w:t>
      </w:r>
      <w:r>
        <w:rPr>
          <w:sz w:val="24"/>
          <w:szCs w:val="24"/>
        </w:rPr>
        <w:t xml:space="preserve">da</w:t>
      </w:r>
      <w:r>
        <w:rPr>
          <w:sz w:val="24"/>
          <w:szCs w:val="24"/>
        </w:rPr>
        <w:t xml:space="preserve"> licitante comprovar prazo de validade superior, mediante norma pertinente que será juntada ao documento;</w:t>
      </w:r>
      <w:r>
        <w:rPr>
          <w:sz w:val="24"/>
          <w:szCs w:val="24"/>
        </w:rPr>
      </w:r>
    </w:p>
    <w:p>
      <w:pPr>
        <w:pBdr/>
        <w:tabs>
          <w:tab w:val="left" w:leader="none" w:pos="851"/>
        </w:tabs>
        <w:spacing w:after="0" w:before="0"/>
        <w:ind/>
        <w:rPr>
          <w:sz w:val="24"/>
          <w:szCs w:val="24"/>
        </w:rPr>
      </w:pPr>
      <w:r>
        <w:rPr>
          <w:b/>
          <w:sz w:val="24"/>
          <w:szCs w:val="24"/>
        </w:rPr>
        <w:t xml:space="preserve">NOTA II:</w:t>
      </w:r>
      <w:r>
        <w:rPr>
          <w:sz w:val="24"/>
          <w:szCs w:val="24"/>
        </w:rPr>
        <w:tab/>
        <w:t xml:space="preserve">As microempres</w:t>
      </w:r>
      <w:r>
        <w:rPr>
          <w:sz w:val="24"/>
          <w:szCs w:val="24"/>
        </w:rPr>
        <w:t xml:space="preserve">as e empresas de pequeno porte que desejarem utilizar-se da prerrogativa de que tratam as NOTAS IV, V e VI deverão entregar à Comissão de Pregão declaração do Contador, ou do representante legal da empresa, ou da Junta Comercial que comprove esta situação;</w:t>
      </w:r>
      <w:r>
        <w:rPr>
          <w:sz w:val="24"/>
          <w:szCs w:val="24"/>
        </w:rPr>
      </w:r>
    </w:p>
    <w:p>
      <w:pPr>
        <w:pBdr/>
        <w:tabs>
          <w:tab w:val="left" w:leader="none" w:pos="709"/>
          <w:tab w:val="left" w:leader="none" w:pos="851"/>
        </w:tabs>
        <w:spacing w:after="0" w:before="0" w:line="280" w:lineRule="atLeast"/>
        <w:ind/>
        <w:rPr>
          <w:sz w:val="24"/>
          <w:szCs w:val="24"/>
        </w:rPr>
      </w:pPr>
      <w:r>
        <w:rPr>
          <w:b/>
          <w:sz w:val="24"/>
          <w:szCs w:val="24"/>
        </w:rPr>
        <w:t xml:space="preserve">NOTA III: As microempresas e empresas de pequeno porte deverão apresentar os documentos elencados no item e subitens desta seção</w:t>
      </w:r>
      <w:r>
        <w:rPr>
          <w:sz w:val="24"/>
          <w:szCs w:val="24"/>
        </w:rPr>
        <w:t xml:space="preserve">, </w:t>
      </w:r>
      <w:r>
        <w:rPr>
          <w:b/>
          <w:sz w:val="24"/>
          <w:szCs w:val="24"/>
        </w:rPr>
        <w:t xml:space="preserve">mesmo que apresentem alguma restrição</w:t>
      </w:r>
      <w:r>
        <w:rPr>
          <w:sz w:val="24"/>
          <w:szCs w:val="24"/>
        </w:rPr>
        <w:t xml:space="preserve">;</w:t>
      </w:r>
      <w:r>
        <w:rPr>
          <w:sz w:val="24"/>
          <w:szCs w:val="24"/>
        </w:rPr>
      </w:r>
    </w:p>
    <w:p>
      <w:pPr>
        <w:pBdr/>
        <w:tabs>
          <w:tab w:val="left" w:leader="none" w:pos="851"/>
        </w:tabs>
        <w:spacing w:after="0" w:before="0"/>
        <w:ind/>
        <w:rPr>
          <w:color w:val="000000" w:themeColor="text1"/>
          <w:sz w:val="24"/>
          <w:szCs w:val="24"/>
        </w:rPr>
      </w:pPr>
      <w:r>
        <w:rPr>
          <w:b/>
          <w:sz w:val="24"/>
          <w:szCs w:val="24"/>
        </w:rPr>
        <w:t xml:space="preserve">NOTA IV: </w:t>
      </w:r>
      <w:r>
        <w:rPr>
          <w:sz w:val="24"/>
          <w:szCs w:val="24"/>
        </w:rPr>
        <w:t xml:space="preserve">Havendo alguma re</w:t>
      </w:r>
      <w:r>
        <w:rPr>
          <w:color w:val="000000" w:themeColor="text1"/>
          <w:sz w:val="24"/>
          <w:szCs w:val="24"/>
        </w:rPr>
        <w:t xml:space="preserve">strição na comprovação da regularidade fiscal exigida neste Edital, será(</w:t>
      </w:r>
      <w:r>
        <w:rPr>
          <w:color w:val="000000" w:themeColor="text1"/>
          <w:sz w:val="24"/>
          <w:szCs w:val="24"/>
        </w:rPr>
        <w:t xml:space="preserve">ão</w:t>
      </w:r>
      <w:r>
        <w:rPr>
          <w:color w:val="000000" w:themeColor="text1"/>
          <w:sz w:val="24"/>
          <w:szCs w:val="24"/>
        </w:rPr>
        <w:t xml:space="preserve">) assegurado(s) à(s) microempresa(s) e empresa(s) de pequeno porte adjudicatária(s) deste certame o </w:t>
      </w:r>
      <w:r>
        <w:rPr>
          <w:b/>
          <w:color w:val="000000" w:themeColor="text1"/>
          <w:sz w:val="24"/>
          <w:szCs w:val="24"/>
        </w:rPr>
        <w:t xml:space="preserve">prazo de 05 (cinco) dias úteis, contados a partir do momento em que for(em) declarada(s) a(s) vencedora(s), prorrogável por igual período, a critério da Administração Municipal</w:t>
      </w:r>
      <w:r>
        <w:rPr>
          <w:color w:val="000000" w:themeColor="text1"/>
          <w:sz w:val="24"/>
          <w:szCs w:val="24"/>
        </w:rPr>
        <w:t xml:space="preserve">, para a regularização da documentação, pagamento ou parcelamento do débito, e emissão de eventuais certidões negativas ou positivas com efeito de certidão negativa;</w:t>
      </w:r>
      <w:r>
        <w:rPr>
          <w:color w:val="000000" w:themeColor="text1"/>
          <w:sz w:val="24"/>
          <w:szCs w:val="24"/>
        </w:rPr>
      </w:r>
    </w:p>
    <w:p>
      <w:pPr>
        <w:pStyle w:val="994"/>
        <w:pBdr/>
        <w:tabs>
          <w:tab w:val="left" w:leader="none" w:pos="851"/>
          <w:tab w:val="clear" w:leader="none" w:pos="9712"/>
        </w:tabs>
        <w:spacing w:after="0" w:before="0"/>
        <w:ind w:right="-51"/>
        <w:jc w:val="both"/>
        <w:rPr>
          <w:rFonts w:ascii="Arial" w:hAnsi="Arial"/>
          <w:b w:val="0"/>
          <w:sz w:val="24"/>
          <w:szCs w:val="24"/>
          <w:u w:val="none"/>
        </w:rPr>
      </w:pPr>
      <w:r>
        <w:rPr>
          <w:rFonts w:ascii="Arial" w:hAnsi="Arial"/>
          <w:color w:val="000000" w:themeColor="text1"/>
          <w:sz w:val="24"/>
          <w:szCs w:val="24"/>
          <w:u w:val="none"/>
        </w:rPr>
        <w:t xml:space="preserve">NOTA V</w:t>
      </w:r>
      <w:r>
        <w:rPr>
          <w:rFonts w:ascii="Arial" w:hAnsi="Arial"/>
          <w:b w:val="0"/>
          <w:color w:val="000000" w:themeColor="text1"/>
          <w:sz w:val="24"/>
          <w:szCs w:val="24"/>
          <w:u w:val="none"/>
        </w:rPr>
        <w:t xml:space="preserve">: A não-regularização da documentação, no prazo previsto na NOTA V, implicará decadência do direito à(s) contratação (</w:t>
      </w:r>
      <w:r>
        <w:rPr>
          <w:rFonts w:ascii="Arial" w:hAnsi="Arial"/>
          <w:b w:val="0"/>
          <w:color w:val="000000" w:themeColor="text1"/>
          <w:sz w:val="24"/>
          <w:szCs w:val="24"/>
          <w:u w:val="none"/>
        </w:rPr>
        <w:t xml:space="preserve">ões</w:t>
      </w:r>
      <w:r>
        <w:rPr>
          <w:rFonts w:ascii="Arial" w:hAnsi="Arial"/>
          <w:b w:val="0"/>
          <w:color w:val="000000" w:themeColor="text1"/>
          <w:sz w:val="24"/>
          <w:szCs w:val="24"/>
          <w:u w:val="none"/>
        </w:rPr>
        <w:t xml:space="preserve">), sem prejuízo das </w:t>
      </w:r>
      <w:r>
        <w:rPr>
          <w:rFonts w:ascii="Arial" w:hAnsi="Arial"/>
          <w:color w:val="000000" w:themeColor="text1"/>
          <w:sz w:val="24"/>
          <w:szCs w:val="24"/>
          <w:u w:val="none"/>
        </w:rPr>
        <w:t xml:space="preserve">sanções previstas na legislação vigente</w:t>
      </w:r>
      <w:r>
        <w:rPr>
          <w:rFonts w:ascii="Arial" w:hAnsi="Arial"/>
          <w:b w:val="0"/>
          <w:color w:val="000000" w:themeColor="text1"/>
          <w:sz w:val="24"/>
          <w:szCs w:val="24"/>
          <w:u w:val="none"/>
        </w:rPr>
        <w:t xml:space="preserve">, sendo facultado à Administração convocar as licitantes remanescentes, na ordem de classificação, para celebrá-la (em) a(s) contratação (</w:t>
      </w:r>
      <w:r>
        <w:rPr>
          <w:rFonts w:ascii="Arial" w:hAnsi="Arial"/>
          <w:b w:val="0"/>
          <w:color w:val="000000" w:themeColor="text1"/>
          <w:sz w:val="24"/>
          <w:szCs w:val="24"/>
          <w:u w:val="none"/>
        </w:rPr>
        <w:t xml:space="preserve">õ</w:t>
      </w:r>
      <w:r>
        <w:rPr>
          <w:rFonts w:ascii="Arial" w:hAnsi="Arial"/>
          <w:b w:val="0"/>
          <w:sz w:val="24"/>
          <w:szCs w:val="24"/>
          <w:u w:val="none"/>
        </w:rPr>
        <w:t xml:space="preserve">es</w:t>
      </w:r>
      <w:r>
        <w:rPr>
          <w:rFonts w:ascii="Arial" w:hAnsi="Arial"/>
          <w:b w:val="0"/>
          <w:sz w:val="24"/>
          <w:szCs w:val="24"/>
          <w:u w:val="none"/>
        </w:rPr>
        <w:t xml:space="preserve">), ou revogar a licitação.</w:t>
      </w:r>
      <w:r>
        <w:rPr>
          <w:rFonts w:ascii="Arial" w:hAnsi="Arial"/>
          <w:b w:val="0"/>
          <w:sz w:val="24"/>
          <w:szCs w:val="24"/>
          <w:u w:val="none"/>
        </w:rPr>
      </w:r>
    </w:p>
    <w:p>
      <w:pPr>
        <w:pStyle w:val="994"/>
        <w:pBdr/>
        <w:spacing w:after="0" w:before="0"/>
        <w:ind w:right="-51"/>
        <w:jc w:val="both"/>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numPr>
          <w:ilvl w:val="2"/>
          <w:numId w:val="12"/>
        </w:numPr>
        <w:pBdr/>
        <w:tabs>
          <w:tab w:val="left" w:leader="none" w:pos="426"/>
          <w:tab w:val="left" w:leader="none" w:pos="1134"/>
          <w:tab w:val="left" w:leader="none" w:pos="1276"/>
          <w:tab w:val="left" w:leader="none" w:pos="1701"/>
        </w:tabs>
        <w:spacing w:after="0" w:before="0" w:line="280" w:lineRule="atLeast"/>
        <w:ind w:right="0"/>
        <w:jc w:val="both"/>
        <w:rPr>
          <w:rFonts w:ascii="Arial" w:hAnsi="Arial"/>
          <w:sz w:val="24"/>
          <w:szCs w:val="24"/>
          <w:u w:val="none"/>
        </w:rPr>
      </w:pPr>
      <w:r/>
      <w:bookmarkStart w:id="52" w:name="EDITALREGECONOMICA"/>
      <w:r>
        <w:rPr>
          <w:rFonts w:ascii="Arial" w:hAnsi="Arial"/>
          <w:sz w:val="24"/>
          <w:szCs w:val="24"/>
          <w:u w:val="none"/>
        </w:rPr>
        <w:t xml:space="preserve">REGULARIDADE ECONÔMICO-FINANCEIRA:</w:t>
      </w:r>
      <w:bookmarkEnd w:id="52"/>
      <w:r/>
      <w:r>
        <w:rPr>
          <w:rFonts w:ascii="Arial" w:hAnsi="Arial"/>
          <w:sz w:val="24"/>
          <w:szCs w:val="24"/>
          <w:u w:val="none"/>
        </w:rPr>
      </w:r>
    </w:p>
    <w:p>
      <w:pPr>
        <w:pStyle w:val="994"/>
        <w:pBdr/>
        <w:tabs>
          <w:tab w:val="left" w:leader="none" w:pos="426"/>
          <w:tab w:val="left" w:leader="none" w:pos="1134"/>
          <w:tab w:val="left" w:leader="none" w:pos="1276"/>
          <w:tab w:val="left" w:leader="none" w:pos="1701"/>
        </w:tabs>
        <w:spacing w:after="0" w:before="0" w:line="280" w:lineRule="atLeast"/>
        <w:ind w:right="0" w:left="720"/>
        <w:jc w:val="both"/>
        <w:rPr>
          <w:rFonts w:ascii="Arial" w:hAnsi="Arial"/>
          <w:sz w:val="24"/>
          <w:szCs w:val="24"/>
          <w:u w:val="none"/>
        </w:rPr>
      </w:pPr>
      <w:r>
        <w:rPr>
          <w:rFonts w:ascii="Arial" w:hAnsi="Arial"/>
          <w:sz w:val="24"/>
          <w:szCs w:val="24"/>
          <w:u w:val="none"/>
        </w:rPr>
      </w:r>
      <w:r>
        <w:rPr>
          <w:rFonts w:ascii="Arial" w:hAnsi="Arial"/>
          <w:sz w:val="24"/>
          <w:szCs w:val="24"/>
          <w:u w:val="none"/>
        </w:rPr>
      </w:r>
    </w:p>
    <w:p>
      <w:pPr>
        <w:pStyle w:val="994"/>
        <w:numPr>
          <w:ilvl w:val="3"/>
          <w:numId w:val="12"/>
        </w:numPr>
        <w:pBdr/>
        <w:tabs>
          <w:tab w:val="left" w:leader="none" w:pos="426"/>
          <w:tab w:val="left" w:leader="none" w:pos="1701"/>
        </w:tabs>
        <w:spacing w:after="0" w:before="0" w:line="280" w:lineRule="atLeast"/>
        <w:ind w:right="0"/>
        <w:jc w:val="both"/>
        <w:rPr>
          <w:rFonts w:ascii="Arial" w:hAnsi="Arial" w:cs="Arial"/>
          <w:sz w:val="24"/>
          <w:szCs w:val="24"/>
          <w:u w:val="none"/>
        </w:rPr>
      </w:pPr>
      <w:r>
        <w:rPr>
          <w:rFonts w:ascii="Arial" w:hAnsi="Arial" w:cs="Arial"/>
          <w:spacing w:val="1"/>
          <w:sz w:val="24"/>
          <w:szCs w:val="24"/>
          <w:u w:val="none"/>
        </w:rPr>
        <w:t xml:space="preserve"> </w:t>
      </w:r>
      <w:r>
        <w:rPr>
          <w:rFonts w:ascii="Arial" w:hAnsi="Arial" w:cs="Arial"/>
          <w:sz w:val="24"/>
          <w:szCs w:val="24"/>
          <w:u w:val="none"/>
        </w:rPr>
        <w:t xml:space="preserve">Certidão</w:t>
      </w:r>
      <w:r>
        <w:rPr>
          <w:rFonts w:ascii="Arial" w:hAnsi="Arial" w:cs="Arial"/>
          <w:spacing w:val="1"/>
          <w:sz w:val="24"/>
          <w:szCs w:val="24"/>
          <w:u w:val="none"/>
        </w:rPr>
        <w:t xml:space="preserve"> </w:t>
      </w:r>
      <w:r>
        <w:rPr>
          <w:rFonts w:ascii="Arial" w:hAnsi="Arial" w:cs="Arial"/>
          <w:sz w:val="24"/>
          <w:szCs w:val="24"/>
          <w:u w:val="none"/>
        </w:rPr>
        <w:t xml:space="preserve">Negativa</w:t>
      </w:r>
      <w:r>
        <w:rPr>
          <w:rFonts w:ascii="Arial" w:hAnsi="Arial" w:cs="Arial"/>
          <w:spacing w:val="1"/>
          <w:sz w:val="24"/>
          <w:szCs w:val="24"/>
          <w:u w:val="none"/>
        </w:rPr>
        <w:t xml:space="preserve"> </w:t>
      </w:r>
      <w:r>
        <w:rPr>
          <w:rFonts w:ascii="Arial" w:hAnsi="Arial" w:cs="Arial"/>
          <w:sz w:val="24"/>
          <w:szCs w:val="24"/>
          <w:u w:val="none"/>
        </w:rPr>
        <w:t xml:space="preserve">de</w:t>
      </w:r>
      <w:r>
        <w:rPr>
          <w:rFonts w:ascii="Arial" w:hAnsi="Arial" w:cs="Arial"/>
          <w:spacing w:val="1"/>
          <w:sz w:val="24"/>
          <w:szCs w:val="24"/>
          <w:u w:val="none"/>
        </w:rPr>
        <w:t xml:space="preserve"> </w:t>
      </w:r>
      <w:r>
        <w:rPr>
          <w:rFonts w:ascii="Arial" w:hAnsi="Arial" w:cs="Arial"/>
          <w:sz w:val="24"/>
          <w:szCs w:val="24"/>
          <w:u w:val="none"/>
        </w:rPr>
        <w:t xml:space="preserve">Falência,</w:t>
      </w:r>
      <w:r>
        <w:rPr>
          <w:rFonts w:ascii="Arial" w:hAnsi="Arial" w:cs="Arial"/>
          <w:spacing w:val="1"/>
          <w:sz w:val="24"/>
          <w:szCs w:val="24"/>
          <w:u w:val="none"/>
        </w:rPr>
        <w:t xml:space="preserve"> </w:t>
      </w:r>
      <w:r>
        <w:rPr>
          <w:rFonts w:ascii="Arial" w:hAnsi="Arial" w:cs="Arial"/>
          <w:sz w:val="24"/>
          <w:szCs w:val="24"/>
          <w:u w:val="none"/>
        </w:rPr>
        <w:t xml:space="preserve">Concordata</w:t>
      </w:r>
      <w:r>
        <w:rPr>
          <w:rFonts w:ascii="Arial" w:hAnsi="Arial" w:cs="Arial"/>
          <w:spacing w:val="1"/>
          <w:sz w:val="24"/>
          <w:szCs w:val="24"/>
          <w:u w:val="none"/>
        </w:rPr>
        <w:t xml:space="preserve"> </w:t>
      </w:r>
      <w:r>
        <w:rPr>
          <w:rFonts w:ascii="Arial" w:hAnsi="Arial" w:cs="Arial"/>
          <w:sz w:val="24"/>
          <w:szCs w:val="24"/>
          <w:u w:val="none"/>
        </w:rPr>
        <w:t xml:space="preserve">ou</w:t>
      </w:r>
      <w:r>
        <w:rPr>
          <w:rFonts w:ascii="Arial" w:hAnsi="Arial" w:cs="Arial"/>
          <w:spacing w:val="1"/>
          <w:sz w:val="24"/>
          <w:szCs w:val="24"/>
          <w:u w:val="none"/>
        </w:rPr>
        <w:t xml:space="preserve"> </w:t>
      </w:r>
      <w:r>
        <w:rPr>
          <w:rFonts w:ascii="Arial" w:hAnsi="Arial" w:cs="Arial"/>
          <w:sz w:val="24"/>
          <w:szCs w:val="24"/>
          <w:u w:val="none"/>
        </w:rPr>
        <w:t xml:space="preserve">Recuperação</w:t>
      </w:r>
      <w:r>
        <w:rPr>
          <w:rFonts w:ascii="Arial" w:hAnsi="Arial" w:cs="Arial"/>
          <w:spacing w:val="1"/>
          <w:sz w:val="24"/>
          <w:szCs w:val="24"/>
          <w:u w:val="none"/>
        </w:rPr>
        <w:t xml:space="preserve"> </w:t>
      </w:r>
      <w:r>
        <w:rPr>
          <w:rFonts w:ascii="Arial" w:hAnsi="Arial" w:cs="Arial"/>
          <w:sz w:val="24"/>
          <w:szCs w:val="24"/>
          <w:u w:val="none"/>
        </w:rPr>
        <w:t xml:space="preserve">Judicial,</w:t>
      </w:r>
      <w:r>
        <w:rPr>
          <w:rFonts w:ascii="Arial" w:hAnsi="Arial" w:cs="Arial"/>
          <w:spacing w:val="1"/>
          <w:sz w:val="24"/>
          <w:szCs w:val="24"/>
          <w:u w:val="none"/>
        </w:rPr>
        <w:t xml:space="preserve"> </w:t>
      </w:r>
      <w:r>
        <w:rPr>
          <w:rFonts w:ascii="Arial" w:hAnsi="Arial" w:cs="Arial"/>
          <w:sz w:val="24"/>
          <w:szCs w:val="24"/>
          <w:u w:val="none"/>
        </w:rPr>
        <w:t xml:space="preserve">com data de expedição não superior a 90 (noventa) dias, contados da data de apresentação da proposta.</w:t>
      </w:r>
      <w:r>
        <w:rPr>
          <w:rFonts w:ascii="Arial" w:hAnsi="Arial" w:cs="Arial"/>
          <w:sz w:val="24"/>
          <w:szCs w:val="24"/>
          <w:u w:val="none"/>
        </w:rPr>
      </w:r>
    </w:p>
    <w:p>
      <w:pPr>
        <w:pStyle w:val="969"/>
        <w:pBdr/>
        <w:spacing/>
        <w:ind w:right="-1"/>
        <w:rPr>
          <w:sz w:val="24"/>
          <w:szCs w:val="24"/>
        </w:rPr>
      </w:pPr>
      <w:r>
        <w:rPr>
          <w:b/>
          <w:sz w:val="24"/>
          <w:szCs w:val="24"/>
        </w:rPr>
        <w:t xml:space="preserve">Obs.:</w:t>
      </w:r>
      <w:r>
        <w:rPr>
          <w:sz w:val="24"/>
          <w:szCs w:val="24"/>
        </w:rPr>
        <w:t xml:space="preserve"> Não será causa de inabilitação do licitante a anotação de distribuição de</w:t>
      </w:r>
      <w:r>
        <w:rPr>
          <w:spacing w:val="1"/>
          <w:sz w:val="24"/>
          <w:szCs w:val="24"/>
        </w:rPr>
        <w:t xml:space="preserve"> </w:t>
      </w:r>
      <w:r>
        <w:rPr>
          <w:sz w:val="24"/>
          <w:szCs w:val="24"/>
        </w:rPr>
        <w:t xml:space="preserve">processo de recuperação judicial ou de pedido de homologação de recuperação</w:t>
      </w:r>
      <w:r>
        <w:rPr>
          <w:spacing w:val="1"/>
          <w:sz w:val="24"/>
          <w:szCs w:val="24"/>
        </w:rPr>
        <w:t xml:space="preserve"> </w:t>
      </w:r>
      <w:r>
        <w:rPr>
          <w:sz w:val="24"/>
          <w:szCs w:val="24"/>
        </w:rPr>
        <w:t xml:space="preserve">extrajudicial, caso seja comprovado, no momento da entrega da documentação</w:t>
      </w:r>
      <w:r>
        <w:rPr>
          <w:spacing w:val="1"/>
          <w:sz w:val="24"/>
          <w:szCs w:val="24"/>
        </w:rPr>
        <w:t xml:space="preserve"> </w:t>
      </w:r>
      <w:r>
        <w:rPr>
          <w:sz w:val="24"/>
          <w:szCs w:val="24"/>
        </w:rPr>
        <w:t xml:space="preserve">exigida</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presente</w:t>
      </w:r>
      <w:r>
        <w:rPr>
          <w:spacing w:val="1"/>
          <w:sz w:val="24"/>
          <w:szCs w:val="24"/>
        </w:rPr>
        <w:t xml:space="preserve"> </w:t>
      </w:r>
      <w:r>
        <w:rPr>
          <w:sz w:val="24"/>
          <w:szCs w:val="24"/>
        </w:rPr>
        <w:t xml:space="preserve">subitem, que</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plano de</w:t>
      </w:r>
      <w:r>
        <w:rPr>
          <w:spacing w:val="1"/>
          <w:sz w:val="24"/>
          <w:szCs w:val="24"/>
        </w:rPr>
        <w:t xml:space="preserve"> </w:t>
      </w:r>
      <w:r>
        <w:rPr>
          <w:sz w:val="24"/>
          <w:szCs w:val="24"/>
        </w:rPr>
        <w:t xml:space="preserve">recuperação</w:t>
      </w:r>
      <w:r>
        <w:rPr>
          <w:spacing w:val="1"/>
          <w:sz w:val="24"/>
          <w:szCs w:val="24"/>
        </w:rPr>
        <w:t xml:space="preserve"> </w:t>
      </w:r>
      <w:r>
        <w:rPr>
          <w:sz w:val="24"/>
          <w:szCs w:val="24"/>
        </w:rPr>
        <w:t xml:space="preserve">já foi</w:t>
      </w:r>
      <w:r>
        <w:rPr>
          <w:spacing w:val="1"/>
          <w:sz w:val="24"/>
          <w:szCs w:val="24"/>
        </w:rPr>
        <w:t xml:space="preserve"> </w:t>
      </w:r>
      <w:r>
        <w:rPr>
          <w:sz w:val="24"/>
          <w:szCs w:val="24"/>
        </w:rPr>
        <w:t xml:space="preserve">aprovado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homologado</w:t>
      </w:r>
      <w:r>
        <w:rPr>
          <w:spacing w:val="-3"/>
          <w:sz w:val="24"/>
          <w:szCs w:val="24"/>
        </w:rPr>
        <w:t xml:space="preserve"> </w:t>
      </w:r>
      <w:r>
        <w:rPr>
          <w:sz w:val="24"/>
          <w:szCs w:val="24"/>
        </w:rPr>
        <w:t xml:space="preserve">pelo</w:t>
      </w:r>
      <w:r>
        <w:rPr>
          <w:spacing w:val="-2"/>
          <w:sz w:val="24"/>
          <w:szCs w:val="24"/>
        </w:rPr>
        <w:t xml:space="preserve"> </w:t>
      </w:r>
      <w:r>
        <w:rPr>
          <w:sz w:val="24"/>
          <w:szCs w:val="24"/>
        </w:rPr>
        <w:t xml:space="preserve">Juízo</w:t>
      </w:r>
      <w:r>
        <w:rPr>
          <w:spacing w:val="-2"/>
          <w:sz w:val="24"/>
          <w:szCs w:val="24"/>
        </w:rPr>
        <w:t xml:space="preserve"> </w:t>
      </w:r>
      <w:r>
        <w:rPr>
          <w:sz w:val="24"/>
          <w:szCs w:val="24"/>
        </w:rPr>
        <w:t xml:space="preserve">competente.</w:t>
      </w:r>
      <w:r>
        <w:rPr>
          <w:sz w:val="24"/>
          <w:szCs w:val="24"/>
        </w:rPr>
      </w:r>
    </w:p>
    <w:p>
      <w:pPr>
        <w:pStyle w:val="994"/>
        <w:pBdr/>
        <w:spacing w:after="0" w:before="0" w:line="280" w:lineRule="atLeast"/>
        <w:ind w:right="0"/>
        <w:jc w:val="both"/>
        <w:rPr>
          <w:rFonts w:ascii="Arial" w:hAnsi="Arial"/>
          <w:sz w:val="24"/>
          <w:szCs w:val="24"/>
        </w:rPr>
      </w:pPr>
      <w:r>
        <w:rPr>
          <w:rFonts w:ascii="Arial" w:hAnsi="Arial"/>
          <w:sz w:val="24"/>
          <w:szCs w:val="24"/>
        </w:rPr>
      </w:r>
      <w:r>
        <w:rPr>
          <w:rFonts w:ascii="Arial" w:hAnsi="Arial"/>
          <w:sz w:val="24"/>
          <w:szCs w:val="24"/>
        </w:rPr>
      </w:r>
    </w:p>
    <w:p>
      <w:pPr>
        <w:pStyle w:val="994"/>
        <w:numPr>
          <w:ilvl w:val="2"/>
          <w:numId w:val="12"/>
        </w:numPr>
        <w:pBdr/>
        <w:tabs>
          <w:tab w:val="left" w:leader="none" w:pos="426"/>
          <w:tab w:val="left" w:leader="none" w:pos="1134"/>
          <w:tab w:val="left" w:leader="none" w:pos="1701"/>
        </w:tabs>
        <w:spacing w:after="0" w:before="0" w:line="280" w:lineRule="atLeast"/>
        <w:ind w:right="0"/>
        <w:jc w:val="both"/>
        <w:rPr>
          <w:rFonts w:ascii="Arial" w:hAnsi="Arial"/>
          <w:sz w:val="24"/>
          <w:szCs w:val="24"/>
          <w:u w:val="none"/>
        </w:rPr>
      </w:pPr>
      <w:r/>
      <w:bookmarkStart w:id="53" w:name="EDITALREGTRABALHISTA"/>
      <w:r>
        <w:rPr>
          <w:rFonts w:ascii="Arial" w:hAnsi="Arial"/>
          <w:bCs/>
          <w:sz w:val="24"/>
          <w:szCs w:val="24"/>
          <w:u w:val="none"/>
        </w:rPr>
        <w:t xml:space="preserve">REGULARIDADE TRABALHISTA</w:t>
      </w:r>
      <w:r>
        <w:rPr>
          <w:rFonts w:ascii="Arial" w:hAnsi="Arial"/>
          <w:sz w:val="24"/>
          <w:szCs w:val="24"/>
          <w:u w:val="none"/>
        </w:rPr>
        <w:t xml:space="preserve">:</w:t>
      </w:r>
      <w:bookmarkEnd w:id="53"/>
      <w:r/>
      <w:r>
        <w:rPr>
          <w:rFonts w:ascii="Arial" w:hAnsi="Arial"/>
          <w:sz w:val="24"/>
          <w:szCs w:val="24"/>
          <w:u w:val="none"/>
        </w:rPr>
      </w:r>
    </w:p>
    <w:p>
      <w:pPr>
        <w:pStyle w:val="994"/>
        <w:pBdr/>
        <w:tabs>
          <w:tab w:val="left" w:leader="none" w:pos="426"/>
          <w:tab w:val="left" w:leader="none" w:pos="1701"/>
        </w:tabs>
        <w:spacing w:after="0" w:before="0" w:line="280" w:lineRule="atLeast"/>
        <w:ind w:right="0" w:left="1440"/>
        <w:jc w:val="both"/>
        <w:rPr>
          <w:rFonts w:ascii="Arial" w:hAnsi="Arial"/>
          <w:sz w:val="24"/>
          <w:szCs w:val="24"/>
        </w:rPr>
      </w:pPr>
      <w:r>
        <w:rPr>
          <w:rFonts w:ascii="Arial" w:hAnsi="Arial"/>
          <w:sz w:val="24"/>
          <w:szCs w:val="24"/>
        </w:rPr>
      </w:r>
      <w:r>
        <w:rPr>
          <w:rFonts w:ascii="Arial" w:hAnsi="Arial"/>
          <w:sz w:val="24"/>
          <w:szCs w:val="24"/>
        </w:rPr>
      </w:r>
    </w:p>
    <w:p>
      <w:pPr>
        <w:pStyle w:val="994"/>
        <w:numPr>
          <w:ilvl w:val="3"/>
          <w:numId w:val="12"/>
        </w:numPr>
        <w:pBdr/>
        <w:tabs>
          <w:tab w:val="left" w:leader="none" w:pos="426"/>
          <w:tab w:val="left" w:leader="none" w:pos="993"/>
          <w:tab w:val="left" w:leader="none" w:pos="1276"/>
          <w:tab w:val="left" w:leader="none" w:pos="1701"/>
        </w:tabs>
        <w:spacing w:after="0" w:before="0" w:line="280" w:lineRule="atLeast"/>
        <w:ind w:right="0" w:firstLine="0" w:left="0"/>
        <w:jc w:val="both"/>
        <w:rPr>
          <w:rFonts w:ascii="Arial" w:hAnsi="Arial"/>
          <w:sz w:val="24"/>
          <w:szCs w:val="24"/>
        </w:rPr>
      </w:pPr>
      <w:r>
        <w:rPr>
          <w:rFonts w:ascii="Arial" w:hAnsi="Arial"/>
          <w:b w:val="0"/>
          <w:sz w:val="24"/>
          <w:szCs w:val="24"/>
          <w:u w:val="none"/>
        </w:rPr>
        <w:t xml:space="preserve">Certidão Negativa de Débitos Trabalhistas – </w:t>
      </w:r>
      <w:r>
        <w:rPr>
          <w:rFonts w:ascii="Arial" w:hAnsi="Arial"/>
          <w:sz w:val="24"/>
          <w:szCs w:val="24"/>
          <w:u w:val="none"/>
        </w:rPr>
        <w:t xml:space="preserve">CNDT</w:t>
      </w:r>
      <w:r>
        <w:rPr>
          <w:rFonts w:ascii="Arial" w:hAnsi="Arial"/>
          <w:b w:val="0"/>
          <w:sz w:val="24"/>
          <w:szCs w:val="24"/>
          <w:u w:val="none"/>
        </w:rPr>
        <w:t xml:space="preserve">, expedida pelo Tribunal Superior do Trabalho, Lei nº 12.440/2011;</w:t>
      </w:r>
      <w:r>
        <w:rPr>
          <w:rFonts w:ascii="Arial" w:hAnsi="Arial"/>
          <w:sz w:val="24"/>
          <w:szCs w:val="24"/>
        </w:rPr>
      </w:r>
    </w:p>
    <w:p>
      <w:pPr>
        <w:pStyle w:val="994"/>
        <w:pBdr/>
        <w:tabs>
          <w:tab w:val="left" w:leader="none" w:pos="284"/>
          <w:tab w:val="left" w:leader="none" w:pos="993"/>
          <w:tab w:val="clear" w:leader="none" w:pos="9712"/>
        </w:tabs>
        <w:spacing w:after="0" w:before="0" w:line="280" w:lineRule="atLeast"/>
        <w:ind w:right="0"/>
        <w:jc w:val="both"/>
        <w:rPr>
          <w:rFonts w:ascii="Arial" w:hAnsi="Arial"/>
          <w:b w:val="0"/>
          <w:color w:val="000000" w:themeColor="text1"/>
          <w:sz w:val="24"/>
          <w:szCs w:val="24"/>
          <w:u w:val="none"/>
        </w:rPr>
      </w:pPr>
      <w:r>
        <w:rPr>
          <w:rFonts w:ascii="Arial" w:hAnsi="Arial"/>
          <w:b w:val="0"/>
          <w:color w:val="000000" w:themeColor="text1"/>
          <w:sz w:val="24"/>
          <w:szCs w:val="24"/>
          <w:u w:val="none"/>
        </w:rPr>
      </w:r>
      <w:r>
        <w:rPr>
          <w:rFonts w:ascii="Arial" w:hAnsi="Arial"/>
          <w:b w:val="0"/>
          <w:color w:val="000000" w:themeColor="text1"/>
          <w:sz w:val="24"/>
          <w:szCs w:val="24"/>
          <w:u w:val="none"/>
        </w:rPr>
      </w:r>
    </w:p>
    <w:p>
      <w:pPr>
        <w:pStyle w:val="969"/>
        <w:numPr>
          <w:ilvl w:val="2"/>
          <w:numId w:val="12"/>
        </w:numPr>
        <w:pBdr/>
        <w:tabs>
          <w:tab w:val="left" w:leader="none" w:pos="1134"/>
          <w:tab w:val="left" w:leader="none" w:pos="1701"/>
        </w:tabs>
        <w:spacing w:after="480" w:line="280" w:lineRule="atLeast"/>
        <w:ind/>
        <w:rPr>
          <w:color w:val="000000" w:themeColor="text1"/>
          <w:sz w:val="24"/>
          <w:szCs w:val="24"/>
        </w:rPr>
      </w:pPr>
      <w:r/>
      <w:bookmarkStart w:id="54" w:name="EDITALJULGAMENTO"/>
      <w:r>
        <w:rPr>
          <w:b/>
          <w:color w:val="000000" w:themeColor="text1"/>
          <w:sz w:val="24"/>
          <w:szCs w:val="24"/>
        </w:rPr>
        <w:t xml:space="preserve">QUALIFICAÇÃO</w:t>
      </w:r>
      <w:r>
        <w:rPr>
          <w:b/>
          <w:color w:val="000000" w:themeColor="text1"/>
          <w:spacing w:val="36"/>
          <w:sz w:val="24"/>
          <w:szCs w:val="24"/>
        </w:rPr>
        <w:t xml:space="preserve"> </w:t>
      </w:r>
      <w:r>
        <w:rPr>
          <w:b/>
          <w:color w:val="000000" w:themeColor="text1"/>
          <w:sz w:val="24"/>
          <w:szCs w:val="24"/>
        </w:rPr>
        <w:t xml:space="preserve">TÉCNICA:</w:t>
      </w:r>
      <w:r>
        <w:rPr>
          <w:color w:val="000000" w:themeColor="text1"/>
          <w:sz w:val="24"/>
          <w:szCs w:val="24"/>
        </w:rPr>
      </w:r>
    </w:p>
    <w:p>
      <w:pPr>
        <w:pStyle w:val="969"/>
        <w:numPr>
          <w:ilvl w:val="3"/>
          <w:numId w:val="12"/>
        </w:numPr>
        <w:pBdr/>
        <w:tabs>
          <w:tab w:val="left" w:leader="none" w:pos="1276"/>
          <w:tab w:val="left" w:leader="none" w:pos="1418"/>
          <w:tab w:val="left" w:leader="none" w:pos="1701"/>
        </w:tabs>
        <w:spacing w:after="480" w:line="280" w:lineRule="atLeast"/>
        <w:ind w:firstLine="0" w:left="0"/>
        <w:rPr>
          <w:sz w:val="24"/>
          <w:szCs w:val="24"/>
          <w:u w:val="single"/>
        </w:rPr>
      </w:pPr>
      <w:r>
        <w:rPr>
          <w:sz w:val="24"/>
          <w:szCs w:val="24"/>
        </w:rPr>
        <w:t xml:space="preserve">Prova</w:t>
      </w:r>
      <w:r>
        <w:rPr>
          <w:spacing w:val="61"/>
          <w:sz w:val="24"/>
          <w:szCs w:val="24"/>
        </w:rPr>
        <w:t xml:space="preserve"> </w:t>
      </w:r>
      <w:r>
        <w:rPr>
          <w:sz w:val="24"/>
          <w:szCs w:val="24"/>
        </w:rPr>
        <w:t xml:space="preserve">de</w:t>
      </w:r>
      <w:r>
        <w:rPr>
          <w:spacing w:val="61"/>
          <w:sz w:val="24"/>
          <w:szCs w:val="24"/>
        </w:rPr>
        <w:t xml:space="preserve"> </w:t>
      </w:r>
      <w:r>
        <w:rPr>
          <w:sz w:val="24"/>
          <w:szCs w:val="24"/>
        </w:rPr>
        <w:t xml:space="preserve">capacidade</w:t>
      </w:r>
      <w:r>
        <w:rPr>
          <w:spacing w:val="61"/>
          <w:sz w:val="24"/>
          <w:szCs w:val="24"/>
        </w:rPr>
        <w:t xml:space="preserve"> </w:t>
      </w:r>
      <w:r>
        <w:rPr>
          <w:sz w:val="24"/>
          <w:szCs w:val="24"/>
        </w:rPr>
        <w:t xml:space="preserve">técnica,</w:t>
      </w:r>
      <w:r>
        <w:rPr>
          <w:spacing w:val="61"/>
          <w:sz w:val="24"/>
          <w:szCs w:val="24"/>
        </w:rPr>
        <w:t xml:space="preserve"> </w:t>
      </w:r>
      <w:r>
        <w:rPr>
          <w:sz w:val="24"/>
          <w:szCs w:val="24"/>
        </w:rPr>
        <w:t xml:space="preserve">mediante</w:t>
      </w:r>
      <w:r>
        <w:rPr>
          <w:spacing w:val="61"/>
          <w:sz w:val="24"/>
          <w:szCs w:val="24"/>
        </w:rPr>
        <w:t xml:space="preserve"> </w:t>
      </w:r>
      <w:r>
        <w:rPr>
          <w:sz w:val="24"/>
          <w:szCs w:val="24"/>
        </w:rPr>
        <w:t xml:space="preserve">apresentação</w:t>
      </w:r>
      <w:r>
        <w:rPr>
          <w:spacing w:val="61"/>
          <w:sz w:val="24"/>
          <w:szCs w:val="24"/>
        </w:rPr>
        <w:t xml:space="preserve"> </w:t>
      </w:r>
      <w:r>
        <w:rPr>
          <w:sz w:val="24"/>
          <w:szCs w:val="24"/>
        </w:rPr>
        <w:t xml:space="preserve">de</w:t>
      </w:r>
      <w:r>
        <w:rPr>
          <w:spacing w:val="1"/>
          <w:sz w:val="24"/>
          <w:szCs w:val="24"/>
        </w:rPr>
        <w:t xml:space="preserve"> </w:t>
      </w:r>
      <w:r>
        <w:rPr>
          <w:b/>
          <w:sz w:val="24"/>
          <w:szCs w:val="24"/>
        </w:rPr>
        <w:t xml:space="preserve">certidão(</w:t>
      </w:r>
      <w:r>
        <w:rPr>
          <w:b/>
          <w:sz w:val="24"/>
          <w:szCs w:val="24"/>
        </w:rPr>
        <w:t xml:space="preserve">ões</w:t>
      </w:r>
      <w:r>
        <w:rPr>
          <w:b/>
          <w:sz w:val="24"/>
          <w:szCs w:val="24"/>
        </w:rPr>
        <w:t xml:space="preserve">) ou atestado(s) fornecido(s) por pessoas jurídicas de direito</w:t>
      </w:r>
      <w:r>
        <w:rPr>
          <w:b/>
          <w:spacing w:val="1"/>
          <w:sz w:val="24"/>
          <w:szCs w:val="24"/>
        </w:rPr>
        <w:t xml:space="preserve"> </w:t>
      </w:r>
      <w:r>
        <w:rPr>
          <w:b/>
          <w:sz w:val="24"/>
          <w:szCs w:val="24"/>
        </w:rPr>
        <w:t xml:space="preserve">público</w:t>
      </w:r>
      <w:r>
        <w:rPr>
          <w:b/>
          <w:spacing w:val="46"/>
          <w:sz w:val="24"/>
          <w:szCs w:val="24"/>
        </w:rPr>
        <w:t xml:space="preserve"> </w:t>
      </w:r>
      <w:r>
        <w:rPr>
          <w:b/>
          <w:sz w:val="24"/>
          <w:szCs w:val="24"/>
        </w:rPr>
        <w:t xml:space="preserve">ou</w:t>
      </w:r>
      <w:r>
        <w:rPr>
          <w:b/>
          <w:spacing w:val="47"/>
          <w:sz w:val="24"/>
          <w:szCs w:val="24"/>
        </w:rPr>
        <w:t xml:space="preserve"> </w:t>
      </w:r>
      <w:r>
        <w:rPr>
          <w:b/>
          <w:sz w:val="24"/>
          <w:szCs w:val="24"/>
        </w:rPr>
        <w:t xml:space="preserve">privado</w:t>
      </w:r>
      <w:r>
        <w:rPr>
          <w:sz w:val="24"/>
          <w:szCs w:val="24"/>
        </w:rPr>
        <w:t xml:space="preserve">,</w:t>
      </w:r>
      <w:r>
        <w:rPr>
          <w:spacing w:val="48"/>
          <w:sz w:val="24"/>
          <w:szCs w:val="24"/>
        </w:rPr>
        <w:t xml:space="preserve"> </w:t>
      </w:r>
      <w:r>
        <w:rPr>
          <w:sz w:val="24"/>
          <w:szCs w:val="24"/>
        </w:rPr>
        <w:t xml:space="preserve">demonstrando</w:t>
      </w:r>
      <w:r>
        <w:rPr>
          <w:spacing w:val="49"/>
          <w:sz w:val="24"/>
          <w:szCs w:val="24"/>
        </w:rPr>
        <w:t xml:space="preserve"> </w:t>
      </w:r>
      <w:r>
        <w:rPr>
          <w:sz w:val="24"/>
          <w:szCs w:val="24"/>
        </w:rPr>
        <w:t xml:space="preserve">fornecimento</w:t>
      </w:r>
      <w:r>
        <w:rPr>
          <w:spacing w:val="47"/>
          <w:sz w:val="24"/>
          <w:szCs w:val="24"/>
        </w:rPr>
        <w:t xml:space="preserve"> </w:t>
      </w:r>
      <w:r>
        <w:rPr>
          <w:sz w:val="24"/>
          <w:szCs w:val="24"/>
        </w:rPr>
        <w:t xml:space="preserve">de</w:t>
      </w:r>
      <w:r>
        <w:rPr>
          <w:spacing w:val="48"/>
          <w:sz w:val="24"/>
          <w:szCs w:val="24"/>
        </w:rPr>
        <w:t xml:space="preserve"> </w:t>
      </w:r>
      <w:r>
        <w:rPr>
          <w:sz w:val="24"/>
          <w:szCs w:val="24"/>
        </w:rPr>
        <w:t xml:space="preserve">produto</w:t>
      </w:r>
      <w:r>
        <w:rPr>
          <w:spacing w:val="46"/>
          <w:sz w:val="24"/>
          <w:szCs w:val="24"/>
        </w:rPr>
        <w:t xml:space="preserve"> </w:t>
      </w:r>
      <w:r>
        <w:rPr>
          <w:sz w:val="24"/>
          <w:szCs w:val="24"/>
        </w:rPr>
        <w:t xml:space="preserve">pertinente </w:t>
      </w:r>
      <w:r>
        <w:rPr>
          <w:spacing w:val="-58"/>
          <w:sz w:val="24"/>
          <w:szCs w:val="24"/>
        </w:rPr>
        <w:t xml:space="preserve">e</w:t>
      </w:r>
      <w:r>
        <w:rPr>
          <w:spacing w:val="7"/>
          <w:sz w:val="24"/>
          <w:szCs w:val="24"/>
        </w:rPr>
        <w:t xml:space="preserve"> </w:t>
      </w:r>
      <w:r>
        <w:rPr>
          <w:sz w:val="24"/>
          <w:szCs w:val="24"/>
        </w:rPr>
        <w:t xml:space="preserve">compatível</w:t>
      </w:r>
      <w:r>
        <w:rPr>
          <w:spacing w:val="9"/>
          <w:sz w:val="24"/>
          <w:szCs w:val="24"/>
        </w:rPr>
        <w:t xml:space="preserve"> </w:t>
      </w:r>
      <w:r>
        <w:rPr>
          <w:sz w:val="24"/>
          <w:szCs w:val="24"/>
        </w:rPr>
        <w:t xml:space="preserve">com</w:t>
      </w:r>
      <w:r>
        <w:rPr>
          <w:spacing w:val="8"/>
          <w:sz w:val="24"/>
          <w:szCs w:val="24"/>
        </w:rPr>
        <w:t xml:space="preserve"> </w:t>
      </w:r>
      <w:r>
        <w:rPr>
          <w:sz w:val="24"/>
          <w:szCs w:val="24"/>
        </w:rPr>
        <w:t xml:space="preserve">o</w:t>
      </w:r>
      <w:r>
        <w:rPr>
          <w:spacing w:val="7"/>
          <w:sz w:val="24"/>
          <w:szCs w:val="24"/>
        </w:rPr>
        <w:t xml:space="preserve"> </w:t>
      </w:r>
      <w:r>
        <w:rPr>
          <w:sz w:val="24"/>
          <w:szCs w:val="24"/>
        </w:rPr>
        <w:t xml:space="preserve">objeto</w:t>
      </w:r>
      <w:r>
        <w:rPr>
          <w:spacing w:val="6"/>
          <w:sz w:val="24"/>
          <w:szCs w:val="24"/>
        </w:rPr>
        <w:t xml:space="preserve"> </w:t>
      </w:r>
      <w:r>
        <w:rPr>
          <w:sz w:val="24"/>
          <w:szCs w:val="24"/>
        </w:rPr>
        <w:t xml:space="preserve">deste</w:t>
      </w:r>
      <w:r>
        <w:rPr>
          <w:spacing w:val="10"/>
          <w:sz w:val="24"/>
          <w:szCs w:val="24"/>
        </w:rPr>
        <w:t xml:space="preserve"> </w:t>
      </w:r>
      <w:r>
        <w:rPr>
          <w:sz w:val="24"/>
          <w:szCs w:val="24"/>
        </w:rPr>
        <w:t xml:space="preserve">Edital.</w:t>
      </w:r>
      <w:r>
        <w:rPr>
          <w:sz w:val="24"/>
          <w:szCs w:val="24"/>
          <w:u w:val="single"/>
        </w:rPr>
      </w:r>
    </w:p>
    <w:p>
      <w:pPr>
        <w:pStyle w:val="969"/>
        <w:numPr>
          <w:ilvl w:val="3"/>
          <w:numId w:val="12"/>
        </w:numPr>
        <w:pBdr/>
        <w:tabs>
          <w:tab w:val="left" w:leader="none" w:pos="1276"/>
          <w:tab w:val="left" w:leader="none" w:pos="1418"/>
          <w:tab w:val="left" w:leader="none" w:pos="1701"/>
        </w:tabs>
        <w:spacing w:after="480" w:line="280" w:lineRule="atLeast"/>
        <w:ind w:firstLine="0" w:left="0"/>
        <w:rPr>
          <w:sz w:val="24"/>
          <w:szCs w:val="24"/>
        </w:rPr>
      </w:pPr>
      <w:r>
        <w:rPr>
          <w:sz w:val="24"/>
          <w:szCs w:val="24"/>
        </w:rPr>
        <w:t xml:space="preserve">A licitante deverá apresentar </w:t>
      </w:r>
      <w:r>
        <w:rPr>
          <w:b/>
          <w:bCs/>
          <w:sz w:val="24"/>
          <w:szCs w:val="24"/>
          <w:u w:val="single"/>
        </w:rPr>
        <w:t xml:space="preserve">Licença Ambiental de Operação (LAO)</w:t>
      </w:r>
      <w:r>
        <w:rPr>
          <w:sz w:val="24"/>
          <w:szCs w:val="24"/>
        </w:rPr>
        <w:t xml:space="preserve"> válida, expedida </w:t>
      </w:r>
      <w:r>
        <w:rPr>
          <w:sz w:val="24"/>
          <w:szCs w:val="24"/>
        </w:rPr>
        <w:t xml:space="preserve">pelo órgão ambiental competente, compatível com o objeto da licitação, devendo estar em nome da licitante e dentro do prazo de validade na data da sessão pública. Será admitida licença emitida por órgão ambiental municipal, estadual ou federal, conforme a </w:t>
      </w:r>
      <w:r>
        <w:rPr>
          <w:sz w:val="24"/>
          <w:szCs w:val="24"/>
        </w:rPr>
        <w:t xml:space="preserve">competência para o licenciamento da a</w:t>
      </w:r>
      <w:r>
        <w:rPr>
          <w:sz w:val="24"/>
          <w:szCs w:val="24"/>
        </w:rPr>
        <w:t xml:space="preserve">tividade. A exigência justifica-se em razão da natureza do objeto, que demanda regularidade ambiental para sua execução, em conformidade com a Lei nº 14.133/2021, no que se refere à qualificação técnica necessária ao cumprimento das obrigações contratuais.</w:t>
      </w:r>
      <w:r>
        <w:rPr>
          <w:sz w:val="24"/>
          <w:szCs w:val="24"/>
        </w:rPr>
      </w:r>
    </w:p>
    <w:p>
      <w:pPr>
        <w:pStyle w:val="969"/>
        <w:pBdr/>
        <w:tabs>
          <w:tab w:val="left" w:leader="none" w:pos="8080"/>
          <w:tab w:val="left" w:leader="none" w:pos="8222"/>
        </w:tabs>
        <w:spacing/>
        <w:ind w:right="-1"/>
        <w:rPr>
          <w:sz w:val="24"/>
          <w:szCs w:val="24"/>
        </w:rPr>
      </w:pPr>
      <w:r>
        <w:rPr>
          <w:b/>
          <w:sz w:val="24"/>
          <w:szCs w:val="24"/>
        </w:rPr>
        <w:t xml:space="preserve">Obs</w:t>
      </w:r>
      <w:r>
        <w:rPr>
          <w:b/>
          <w:sz w:val="24"/>
          <w:szCs w:val="24"/>
        </w:rPr>
        <w:t xml:space="preserve">: </w:t>
      </w:r>
      <w:r>
        <w:rPr>
          <w:sz w:val="24"/>
          <w:szCs w:val="24"/>
        </w:rPr>
        <w:t xml:space="preserve">A(s) certidão(</w:t>
      </w:r>
      <w:r>
        <w:rPr>
          <w:sz w:val="24"/>
          <w:szCs w:val="24"/>
        </w:rPr>
        <w:t xml:space="preserve">ões</w:t>
      </w:r>
      <w:r>
        <w:rPr>
          <w:sz w:val="24"/>
          <w:szCs w:val="24"/>
        </w:rPr>
        <w:t xml:space="preserve">) ou atestado(s) deverá(</w:t>
      </w:r>
      <w:r>
        <w:rPr>
          <w:sz w:val="24"/>
          <w:szCs w:val="24"/>
        </w:rPr>
        <w:t xml:space="preserve">ão</w:t>
      </w:r>
      <w:r>
        <w:rPr>
          <w:sz w:val="24"/>
          <w:szCs w:val="24"/>
        </w:rPr>
        <w:t xml:space="preserve">) ser datado(s) e assinado(s) por</w:t>
      </w:r>
      <w:r>
        <w:rPr>
          <w:spacing w:val="1"/>
          <w:sz w:val="24"/>
          <w:szCs w:val="24"/>
        </w:rPr>
        <w:t xml:space="preserve"> </w:t>
      </w:r>
      <w:r>
        <w:rPr>
          <w:sz w:val="24"/>
          <w:szCs w:val="24"/>
        </w:rPr>
        <w:t xml:space="preserve">pessoa</w:t>
      </w:r>
      <w:r>
        <w:rPr>
          <w:spacing w:val="1"/>
          <w:sz w:val="24"/>
          <w:szCs w:val="24"/>
        </w:rPr>
        <w:t xml:space="preserve"> </w:t>
      </w:r>
      <w:r>
        <w:rPr>
          <w:sz w:val="24"/>
          <w:szCs w:val="24"/>
        </w:rPr>
        <w:t xml:space="preserve">física</w:t>
      </w:r>
      <w:r>
        <w:rPr>
          <w:spacing w:val="1"/>
          <w:sz w:val="24"/>
          <w:szCs w:val="24"/>
        </w:rPr>
        <w:t xml:space="preserve"> </w:t>
      </w:r>
      <w:r>
        <w:rPr>
          <w:sz w:val="24"/>
          <w:szCs w:val="24"/>
        </w:rPr>
        <w:t xml:space="preserve">identificada</w:t>
      </w:r>
      <w:r>
        <w:rPr>
          <w:spacing w:val="1"/>
          <w:sz w:val="24"/>
          <w:szCs w:val="24"/>
        </w:rPr>
        <w:t xml:space="preserve"> </w:t>
      </w:r>
      <w:r>
        <w:rPr>
          <w:sz w:val="24"/>
          <w:szCs w:val="24"/>
        </w:rPr>
        <w:t xml:space="preserve">pelo</w:t>
      </w:r>
      <w:r>
        <w:rPr>
          <w:spacing w:val="1"/>
          <w:sz w:val="24"/>
          <w:szCs w:val="24"/>
        </w:rPr>
        <w:t xml:space="preserve"> </w:t>
      </w:r>
      <w:r>
        <w:rPr>
          <w:sz w:val="24"/>
          <w:szCs w:val="24"/>
        </w:rPr>
        <w:t xml:space="preserve">seu</w:t>
      </w:r>
      <w:r>
        <w:rPr>
          <w:spacing w:val="1"/>
          <w:sz w:val="24"/>
          <w:szCs w:val="24"/>
        </w:rPr>
        <w:t xml:space="preserve"> </w:t>
      </w:r>
      <w:r>
        <w:rPr>
          <w:sz w:val="24"/>
          <w:szCs w:val="24"/>
        </w:rPr>
        <w:t xml:space="preserve">nome</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cargo</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exercício</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entidade/empresa,</w:t>
      </w:r>
      <w:r>
        <w:rPr>
          <w:spacing w:val="7"/>
          <w:sz w:val="24"/>
          <w:szCs w:val="24"/>
        </w:rPr>
        <w:t xml:space="preserve"> </w:t>
      </w:r>
      <w:r>
        <w:rPr>
          <w:sz w:val="24"/>
          <w:szCs w:val="24"/>
        </w:rPr>
        <w:t xml:space="preserve">bem</w:t>
      </w:r>
      <w:r>
        <w:rPr>
          <w:spacing w:val="9"/>
          <w:sz w:val="24"/>
          <w:szCs w:val="24"/>
        </w:rPr>
        <w:t xml:space="preserve"> </w:t>
      </w:r>
      <w:r>
        <w:rPr>
          <w:sz w:val="24"/>
          <w:szCs w:val="24"/>
        </w:rPr>
        <w:t xml:space="preserve">como</w:t>
      </w:r>
      <w:r>
        <w:rPr>
          <w:spacing w:val="9"/>
          <w:sz w:val="24"/>
          <w:szCs w:val="24"/>
        </w:rPr>
        <w:t xml:space="preserve"> </w:t>
      </w:r>
      <w:r>
        <w:rPr>
          <w:sz w:val="24"/>
          <w:szCs w:val="24"/>
        </w:rPr>
        <w:t xml:space="preserve">dados</w:t>
      </w:r>
      <w:r>
        <w:rPr>
          <w:spacing w:val="10"/>
          <w:sz w:val="24"/>
          <w:szCs w:val="24"/>
        </w:rPr>
        <w:t xml:space="preserve"> </w:t>
      </w:r>
      <w:r>
        <w:rPr>
          <w:sz w:val="24"/>
          <w:szCs w:val="24"/>
        </w:rPr>
        <w:t xml:space="preserve">para</w:t>
      </w:r>
      <w:r>
        <w:rPr>
          <w:spacing w:val="10"/>
          <w:sz w:val="24"/>
          <w:szCs w:val="24"/>
        </w:rPr>
        <w:t xml:space="preserve"> </w:t>
      </w:r>
      <w:r>
        <w:rPr>
          <w:sz w:val="24"/>
          <w:szCs w:val="24"/>
        </w:rPr>
        <w:t xml:space="preserve">eventual</w:t>
      </w:r>
      <w:r>
        <w:rPr>
          <w:spacing w:val="11"/>
          <w:sz w:val="24"/>
          <w:szCs w:val="24"/>
        </w:rPr>
        <w:t xml:space="preserve"> </w:t>
      </w:r>
      <w:r>
        <w:rPr>
          <w:sz w:val="24"/>
          <w:szCs w:val="24"/>
        </w:rPr>
        <w:t xml:space="preserve">contato. As certidões poderão ser emitidas online, desde que com meios para conferência de autenticidade por meio eletrônico tais como </w:t>
      </w:r>
      <w:r>
        <w:rPr>
          <w:sz w:val="24"/>
          <w:szCs w:val="24"/>
        </w:rPr>
        <w:t xml:space="preserve">Qr</w:t>
      </w:r>
      <w:r>
        <w:rPr>
          <w:sz w:val="24"/>
          <w:szCs w:val="24"/>
        </w:rPr>
        <w:t xml:space="preserve"> </w:t>
      </w:r>
      <w:r>
        <w:rPr>
          <w:sz w:val="24"/>
          <w:szCs w:val="24"/>
        </w:rPr>
        <w:t xml:space="preserve">Code</w:t>
      </w:r>
      <w:r>
        <w:rPr>
          <w:sz w:val="24"/>
          <w:szCs w:val="24"/>
        </w:rPr>
        <w:t xml:space="preserve">.</w:t>
      </w:r>
      <w:r>
        <w:rPr>
          <w:sz w:val="24"/>
          <w:szCs w:val="24"/>
        </w:rPr>
      </w:r>
    </w:p>
    <w:p>
      <w:pPr>
        <w:pStyle w:val="969"/>
        <w:numPr>
          <w:ilvl w:val="3"/>
          <w:numId w:val="12"/>
        </w:numPr>
        <w:pBdr/>
        <w:tabs>
          <w:tab w:val="left" w:leader="none" w:pos="1276"/>
          <w:tab w:val="left" w:leader="none" w:pos="8080"/>
          <w:tab w:val="left" w:leader="none" w:pos="8222"/>
        </w:tabs>
        <w:spacing/>
        <w:ind w:right="-1" w:firstLine="0" w:left="0"/>
        <w:rPr>
          <w:sz w:val="24"/>
          <w:szCs w:val="24"/>
        </w:rPr>
      </w:pPr>
      <w:r>
        <w:rPr>
          <w:sz w:val="24"/>
          <w:szCs w:val="24"/>
        </w:rPr>
        <w:t xml:space="preserve">Não</w:t>
      </w:r>
      <w:r>
        <w:rPr>
          <w:spacing w:val="1"/>
          <w:sz w:val="24"/>
          <w:szCs w:val="24"/>
        </w:rPr>
        <w:t xml:space="preserve"> </w:t>
      </w:r>
      <w:r>
        <w:rPr>
          <w:sz w:val="24"/>
          <w:szCs w:val="24"/>
        </w:rPr>
        <w:t xml:space="preserve">serão</w:t>
      </w:r>
      <w:r>
        <w:rPr>
          <w:spacing w:val="1"/>
          <w:sz w:val="24"/>
          <w:szCs w:val="24"/>
        </w:rPr>
        <w:t xml:space="preserve"> </w:t>
      </w:r>
      <w:r>
        <w:rPr>
          <w:sz w:val="24"/>
          <w:szCs w:val="24"/>
        </w:rPr>
        <w:t xml:space="preserve">aceitos</w:t>
      </w:r>
      <w:r>
        <w:rPr>
          <w:spacing w:val="1"/>
          <w:sz w:val="24"/>
          <w:szCs w:val="24"/>
        </w:rPr>
        <w:t xml:space="preserve"> </w:t>
      </w:r>
      <w:r>
        <w:rPr>
          <w:sz w:val="24"/>
          <w:szCs w:val="24"/>
        </w:rPr>
        <w:t xml:space="preserve">protocolos</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recebimentos</w:t>
      </w:r>
      <w:r>
        <w:rPr>
          <w:spacing w:val="61"/>
          <w:sz w:val="24"/>
          <w:szCs w:val="24"/>
        </w:rPr>
        <w:t xml:space="preserve"> </w:t>
      </w:r>
      <w:r>
        <w:rPr>
          <w:sz w:val="24"/>
          <w:szCs w:val="24"/>
        </w:rPr>
        <w:t xml:space="preserve">ou</w:t>
      </w:r>
      <w:r>
        <w:rPr>
          <w:spacing w:val="61"/>
          <w:sz w:val="24"/>
          <w:szCs w:val="24"/>
        </w:rPr>
        <w:t xml:space="preserve"> </w:t>
      </w:r>
      <w:r>
        <w:rPr>
          <w:sz w:val="24"/>
          <w:szCs w:val="24"/>
        </w:rPr>
        <w:t xml:space="preserve">solicitação</w:t>
      </w:r>
      <w:r>
        <w:rPr>
          <w:spacing w:val="61"/>
          <w:sz w:val="24"/>
          <w:szCs w:val="24"/>
        </w:rPr>
        <w:t xml:space="preserve"> </w:t>
      </w:r>
      <w:r>
        <w:rPr>
          <w:sz w:val="24"/>
          <w:szCs w:val="24"/>
        </w:rPr>
        <w:t xml:space="preserve">de</w:t>
      </w:r>
      <w:r>
        <w:rPr>
          <w:spacing w:val="1"/>
          <w:sz w:val="24"/>
          <w:szCs w:val="24"/>
        </w:rPr>
        <w:t xml:space="preserve"> </w:t>
      </w:r>
      <w:r>
        <w:rPr>
          <w:sz w:val="24"/>
          <w:szCs w:val="24"/>
        </w:rPr>
        <w:t xml:space="preserve">documentos</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substituição</w:t>
      </w:r>
      <w:r>
        <w:rPr>
          <w:spacing w:val="1"/>
          <w:sz w:val="24"/>
          <w:szCs w:val="24"/>
        </w:rPr>
        <w:t xml:space="preserve"> </w:t>
      </w:r>
      <w:r>
        <w:rPr>
          <w:sz w:val="24"/>
          <w:szCs w:val="24"/>
        </w:rPr>
        <w:t xml:space="preserve">aos</w:t>
      </w:r>
      <w:r>
        <w:rPr>
          <w:spacing w:val="1"/>
          <w:sz w:val="24"/>
          <w:szCs w:val="24"/>
        </w:rPr>
        <w:t xml:space="preserve"> </w:t>
      </w:r>
      <w:r>
        <w:rPr>
          <w:sz w:val="24"/>
          <w:szCs w:val="24"/>
        </w:rPr>
        <w:t xml:space="preserve">documentos</w:t>
      </w:r>
      <w:r>
        <w:rPr>
          <w:spacing w:val="60"/>
          <w:sz w:val="24"/>
          <w:szCs w:val="24"/>
        </w:rPr>
        <w:t xml:space="preserve"> </w:t>
      </w:r>
      <w:r>
        <w:rPr>
          <w:sz w:val="24"/>
          <w:szCs w:val="24"/>
        </w:rPr>
        <w:t xml:space="preserve">requeridos</w:t>
      </w:r>
      <w:r>
        <w:rPr>
          <w:spacing w:val="61"/>
          <w:sz w:val="24"/>
          <w:szCs w:val="24"/>
        </w:rPr>
        <w:t xml:space="preserve"> </w:t>
      </w:r>
      <w:r>
        <w:rPr>
          <w:sz w:val="24"/>
          <w:szCs w:val="24"/>
        </w:rPr>
        <w:t xml:space="preserve">no</w:t>
      </w:r>
      <w:r>
        <w:rPr>
          <w:spacing w:val="61"/>
          <w:sz w:val="24"/>
          <w:szCs w:val="24"/>
        </w:rPr>
        <w:t xml:space="preserve"> </w:t>
      </w:r>
      <w:r>
        <w:rPr>
          <w:sz w:val="24"/>
          <w:szCs w:val="24"/>
        </w:rPr>
        <w:t xml:space="preserve">presente</w:t>
      </w:r>
      <w:r>
        <w:rPr>
          <w:spacing w:val="61"/>
          <w:sz w:val="24"/>
          <w:szCs w:val="24"/>
        </w:rPr>
        <w:t xml:space="preserve"> </w:t>
      </w:r>
      <w:r>
        <w:rPr>
          <w:sz w:val="24"/>
          <w:szCs w:val="24"/>
        </w:rPr>
        <w:t xml:space="preserve">Edital</w:t>
      </w:r>
      <w:r>
        <w:rPr>
          <w:spacing w:val="61"/>
          <w:sz w:val="24"/>
          <w:szCs w:val="24"/>
        </w:rPr>
        <w:t xml:space="preserve"> </w:t>
      </w:r>
      <w:r>
        <w:rPr>
          <w:sz w:val="24"/>
          <w:szCs w:val="24"/>
        </w:rPr>
        <w:t xml:space="preserve">e</w:t>
      </w:r>
      <w:r>
        <w:rPr>
          <w:spacing w:val="1"/>
          <w:sz w:val="24"/>
          <w:szCs w:val="24"/>
        </w:rPr>
        <w:t xml:space="preserve"> </w:t>
      </w:r>
      <w:r>
        <w:rPr>
          <w:sz w:val="24"/>
          <w:szCs w:val="24"/>
        </w:rPr>
        <w:t xml:space="preserve">seus</w:t>
      </w:r>
      <w:r>
        <w:rPr>
          <w:spacing w:val="8"/>
          <w:sz w:val="24"/>
          <w:szCs w:val="24"/>
        </w:rPr>
        <w:t xml:space="preserve"> </w:t>
      </w:r>
      <w:r>
        <w:rPr>
          <w:sz w:val="24"/>
          <w:szCs w:val="24"/>
        </w:rPr>
        <w:t xml:space="preserve">Anexos.</w:t>
      </w:r>
      <w:r>
        <w:rPr>
          <w:sz w:val="24"/>
          <w:szCs w:val="24"/>
        </w:rPr>
      </w:r>
    </w:p>
    <w:p>
      <w:pPr>
        <w:pStyle w:val="969"/>
        <w:numPr>
          <w:ilvl w:val="3"/>
          <w:numId w:val="12"/>
        </w:numPr>
        <w:pBdr/>
        <w:tabs>
          <w:tab w:val="left" w:leader="none" w:pos="1276"/>
          <w:tab w:val="left" w:leader="none" w:pos="8080"/>
          <w:tab w:val="left" w:leader="none" w:pos="8222"/>
        </w:tabs>
        <w:spacing/>
        <w:ind w:right="-1" w:firstLine="0" w:left="0"/>
        <w:rPr>
          <w:sz w:val="24"/>
          <w:szCs w:val="24"/>
        </w:rPr>
      </w:pPr>
      <w:r>
        <w:rPr>
          <w:sz w:val="24"/>
          <w:szCs w:val="24"/>
        </w:rPr>
        <w:t xml:space="preserve">A habilitação dos Licitantes será comprovada por meio de prévia e regular</w:t>
      </w:r>
      <w:r>
        <w:rPr>
          <w:spacing w:val="1"/>
          <w:sz w:val="24"/>
          <w:szCs w:val="24"/>
        </w:rPr>
        <w:t xml:space="preserve"> </w:t>
      </w:r>
      <w:r>
        <w:rPr>
          <w:sz w:val="24"/>
          <w:szCs w:val="24"/>
        </w:rPr>
        <w:t xml:space="preserve">inscrição cadastral no SICAF, desde que os documentos comprobatórios estejam</w:t>
      </w:r>
      <w:r>
        <w:rPr>
          <w:spacing w:val="1"/>
          <w:sz w:val="24"/>
          <w:szCs w:val="24"/>
        </w:rPr>
        <w:t xml:space="preserve"> </w:t>
      </w:r>
      <w:r>
        <w:rPr>
          <w:sz w:val="24"/>
          <w:szCs w:val="24"/>
        </w:rPr>
        <w:t xml:space="preserve">validados</w:t>
      </w:r>
      <w:r>
        <w:rPr>
          <w:spacing w:val="-2"/>
          <w:sz w:val="24"/>
          <w:szCs w:val="24"/>
        </w:rPr>
        <w:t xml:space="preserve"> </w:t>
      </w:r>
      <w:r>
        <w:rPr>
          <w:sz w:val="24"/>
          <w:szCs w:val="24"/>
        </w:rPr>
        <w:t xml:space="preserve">e</w:t>
      </w:r>
      <w:r>
        <w:rPr>
          <w:spacing w:val="-1"/>
          <w:sz w:val="24"/>
          <w:szCs w:val="24"/>
        </w:rPr>
        <w:t xml:space="preserve"> </w:t>
      </w:r>
      <w:r>
        <w:rPr>
          <w:sz w:val="24"/>
          <w:szCs w:val="24"/>
        </w:rPr>
        <w:t xml:space="preserve">atualizados.</w:t>
      </w:r>
      <w:r>
        <w:rPr>
          <w:sz w:val="24"/>
          <w:szCs w:val="24"/>
        </w:rPr>
      </w:r>
    </w:p>
    <w:p>
      <w:pPr>
        <w:pStyle w:val="969"/>
        <w:numPr>
          <w:ilvl w:val="3"/>
          <w:numId w:val="12"/>
        </w:numPr>
        <w:pBdr/>
        <w:tabs>
          <w:tab w:val="left" w:leader="none" w:pos="1276"/>
          <w:tab w:val="left" w:leader="none" w:pos="8080"/>
          <w:tab w:val="left" w:leader="none" w:pos="8222"/>
        </w:tabs>
        <w:spacing/>
        <w:ind w:right="-1" w:firstLine="0" w:left="0"/>
        <w:rPr>
          <w:sz w:val="24"/>
          <w:szCs w:val="24"/>
        </w:rPr>
      </w:pPr>
      <w:r>
        <w:rPr>
          <w:sz w:val="24"/>
          <w:szCs w:val="24"/>
        </w:rPr>
        <w:t xml:space="preserve">O cadastro no SICAF, abrangente dos níveis indicados no art. 6º da Instrução</w:t>
      </w:r>
      <w:r>
        <w:rPr>
          <w:spacing w:val="1"/>
          <w:sz w:val="24"/>
          <w:szCs w:val="24"/>
        </w:rPr>
        <w:t xml:space="preserve"> </w:t>
      </w:r>
      <w:r>
        <w:rPr>
          <w:sz w:val="24"/>
          <w:szCs w:val="24"/>
        </w:rPr>
        <w:t xml:space="preserve">Normativa</w:t>
      </w:r>
      <w:r>
        <w:rPr>
          <w:spacing w:val="1"/>
          <w:sz w:val="24"/>
          <w:szCs w:val="24"/>
        </w:rPr>
        <w:t xml:space="preserve"> </w:t>
      </w:r>
      <w:r>
        <w:rPr>
          <w:sz w:val="24"/>
          <w:szCs w:val="24"/>
        </w:rPr>
        <w:t xml:space="preserve">SLTI/MPOG</w:t>
      </w:r>
      <w:r>
        <w:rPr>
          <w:spacing w:val="1"/>
          <w:sz w:val="24"/>
          <w:szCs w:val="24"/>
        </w:rPr>
        <w:t xml:space="preserve"> </w:t>
      </w:r>
      <w:r>
        <w:rPr>
          <w:sz w:val="24"/>
          <w:szCs w:val="24"/>
        </w:rPr>
        <w:t xml:space="preserve">nº</w:t>
      </w:r>
      <w:r>
        <w:rPr>
          <w:spacing w:val="1"/>
          <w:sz w:val="24"/>
          <w:szCs w:val="24"/>
        </w:rPr>
        <w:t xml:space="preserve"> </w:t>
      </w:r>
      <w:r>
        <w:rPr>
          <w:sz w:val="24"/>
          <w:szCs w:val="24"/>
        </w:rPr>
        <w:t xml:space="preserve">3,</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26</w:t>
      </w:r>
      <w:r>
        <w:rPr>
          <w:spacing w:val="1"/>
          <w:sz w:val="24"/>
          <w:szCs w:val="24"/>
        </w:rPr>
        <w:t xml:space="preserve"> </w:t>
      </w:r>
      <w:r>
        <w:rPr>
          <w:sz w:val="24"/>
          <w:szCs w:val="24"/>
        </w:rPr>
        <w:t xml:space="preserve">abril</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2018,</w:t>
      </w:r>
      <w:r>
        <w:rPr>
          <w:spacing w:val="1"/>
          <w:sz w:val="24"/>
          <w:szCs w:val="24"/>
        </w:rPr>
        <w:t xml:space="preserve"> </w:t>
      </w:r>
      <w:r>
        <w:rPr>
          <w:b/>
          <w:sz w:val="24"/>
          <w:szCs w:val="24"/>
          <w:u w:val="single"/>
        </w:rPr>
        <w:t xml:space="preserve">PODERÁ</w:t>
      </w:r>
      <w:r>
        <w:rPr>
          <w:b/>
          <w:spacing w:val="1"/>
          <w:sz w:val="24"/>
          <w:szCs w:val="24"/>
          <w:u w:val="single"/>
        </w:rPr>
        <w:t xml:space="preserve"> </w:t>
      </w:r>
      <w:r>
        <w:rPr>
          <w:b/>
          <w:sz w:val="24"/>
          <w:szCs w:val="24"/>
          <w:u w:val="single"/>
        </w:rPr>
        <w:t xml:space="preserve">SUBSTITUIR</w:t>
      </w:r>
      <w:r>
        <w:rPr>
          <w:b/>
          <w:spacing w:val="1"/>
          <w:sz w:val="24"/>
          <w:szCs w:val="24"/>
          <w:u w:val="single"/>
        </w:rPr>
        <w:t xml:space="preserve"> </w:t>
      </w:r>
      <w:r>
        <w:rPr>
          <w:b/>
          <w:sz w:val="24"/>
          <w:szCs w:val="24"/>
          <w:u w:val="single"/>
        </w:rPr>
        <w:t xml:space="preserve">APENAS</w:t>
      </w:r>
      <w:r>
        <w:rPr>
          <w:b/>
          <w:spacing w:val="1"/>
          <w:sz w:val="24"/>
          <w:szCs w:val="24"/>
        </w:rPr>
        <w:t xml:space="preserve"> </w:t>
      </w:r>
      <w:r>
        <w:rPr>
          <w:sz w:val="24"/>
          <w:szCs w:val="24"/>
        </w:rPr>
        <w:t xml:space="preserve">os</w:t>
      </w:r>
      <w:r>
        <w:rPr>
          <w:spacing w:val="1"/>
          <w:sz w:val="24"/>
          <w:szCs w:val="24"/>
        </w:rPr>
        <w:t xml:space="preserve"> </w:t>
      </w:r>
      <w:r>
        <w:rPr>
          <w:sz w:val="24"/>
          <w:szCs w:val="24"/>
        </w:rPr>
        <w:t xml:space="preserve">documentos</w:t>
      </w:r>
      <w:r>
        <w:rPr>
          <w:spacing w:val="1"/>
          <w:sz w:val="24"/>
          <w:szCs w:val="24"/>
        </w:rPr>
        <w:t xml:space="preserve"> </w:t>
      </w:r>
      <w:r>
        <w:rPr>
          <w:sz w:val="24"/>
          <w:szCs w:val="24"/>
        </w:rPr>
        <w:t xml:space="preserve">indicados</w:t>
      </w:r>
      <w:r>
        <w:rPr>
          <w:spacing w:val="1"/>
          <w:sz w:val="24"/>
          <w:szCs w:val="24"/>
        </w:rPr>
        <w:t xml:space="preserve"> </w:t>
      </w:r>
      <w:r>
        <w:rPr>
          <w:sz w:val="24"/>
          <w:szCs w:val="24"/>
        </w:rPr>
        <w:t xml:space="preserve">nos</w:t>
      </w:r>
      <w:r>
        <w:rPr>
          <w:spacing w:val="1"/>
          <w:sz w:val="24"/>
          <w:szCs w:val="24"/>
        </w:rPr>
        <w:t xml:space="preserve"> </w:t>
      </w:r>
      <w:r>
        <w:rPr>
          <w:sz w:val="24"/>
          <w:szCs w:val="24"/>
        </w:rPr>
        <w:t xml:space="preserve">subitens</w:t>
      </w:r>
      <w:r>
        <w:rPr>
          <w:spacing w:val="1"/>
          <w:sz w:val="24"/>
          <w:szCs w:val="24"/>
        </w:rPr>
        <w:t xml:space="preserve"> </w:t>
      </w:r>
      <w:r>
        <w:rPr>
          <w:sz w:val="24"/>
          <w:szCs w:val="24"/>
        </w:rPr>
        <w:t xml:space="preserve">acima.</w:t>
      </w:r>
      <w:r>
        <w:rPr>
          <w:sz w:val="24"/>
          <w:szCs w:val="24"/>
        </w:rPr>
      </w:r>
    </w:p>
    <w:p>
      <w:pPr>
        <w:pStyle w:val="969"/>
        <w:numPr>
          <w:ilvl w:val="3"/>
          <w:numId w:val="12"/>
        </w:numPr>
        <w:pBdr/>
        <w:tabs>
          <w:tab w:val="left" w:leader="none" w:pos="1276"/>
          <w:tab w:val="left" w:leader="none" w:pos="8080"/>
          <w:tab w:val="left" w:leader="none" w:pos="8222"/>
        </w:tabs>
        <w:spacing/>
        <w:ind w:right="-1" w:firstLine="0" w:left="0"/>
        <w:rPr>
          <w:sz w:val="24"/>
          <w:szCs w:val="24"/>
        </w:rPr>
      </w:pPr>
      <w:r>
        <w:rPr>
          <w:b/>
          <w:sz w:val="24"/>
          <w:szCs w:val="24"/>
        </w:rPr>
        <w:t xml:space="preserve">Habilitação</w:t>
      </w:r>
      <w:r>
        <w:rPr>
          <w:b/>
          <w:spacing w:val="1"/>
          <w:sz w:val="24"/>
          <w:szCs w:val="24"/>
        </w:rPr>
        <w:t xml:space="preserve"> </w:t>
      </w:r>
      <w:r>
        <w:rPr>
          <w:b/>
          <w:sz w:val="24"/>
          <w:szCs w:val="24"/>
        </w:rPr>
        <w:t xml:space="preserve">Jurídica,</w:t>
      </w:r>
      <w:r>
        <w:rPr>
          <w:b/>
          <w:spacing w:val="1"/>
          <w:sz w:val="24"/>
          <w:szCs w:val="24"/>
        </w:rPr>
        <w:t xml:space="preserve"> </w:t>
      </w:r>
      <w:r>
        <w:rPr>
          <w:b/>
          <w:sz w:val="24"/>
          <w:szCs w:val="24"/>
        </w:rPr>
        <w:t xml:space="preserve">Habilitação Fiscal, Habilitação Trabalhista e Qualificação Econômico-Financeira,</w:t>
      </w:r>
      <w:r>
        <w:rPr>
          <w:b/>
          <w:spacing w:val="-2"/>
          <w:sz w:val="24"/>
          <w:szCs w:val="24"/>
        </w:rPr>
        <w:t xml:space="preserve"> </w:t>
      </w:r>
      <w:r>
        <w:rPr>
          <w:sz w:val="24"/>
          <w:szCs w:val="24"/>
          <w:u w:val="single"/>
        </w:rPr>
        <w:t xml:space="preserve">sendo</w:t>
      </w:r>
      <w:r>
        <w:rPr>
          <w:spacing w:val="-4"/>
          <w:sz w:val="24"/>
          <w:szCs w:val="24"/>
          <w:u w:val="single"/>
        </w:rPr>
        <w:t xml:space="preserve"> </w:t>
      </w:r>
      <w:r>
        <w:rPr>
          <w:sz w:val="24"/>
          <w:szCs w:val="24"/>
          <w:u w:val="single"/>
        </w:rPr>
        <w:t xml:space="preserve">que</w:t>
      </w:r>
      <w:r>
        <w:rPr>
          <w:spacing w:val="-3"/>
          <w:sz w:val="24"/>
          <w:szCs w:val="24"/>
          <w:u w:val="single"/>
        </w:rPr>
        <w:t xml:space="preserve"> </w:t>
      </w:r>
      <w:r>
        <w:rPr>
          <w:sz w:val="24"/>
          <w:szCs w:val="24"/>
          <w:u w:val="single"/>
        </w:rPr>
        <w:t xml:space="preserve">os</w:t>
      </w:r>
      <w:r>
        <w:rPr>
          <w:spacing w:val="-1"/>
          <w:sz w:val="24"/>
          <w:szCs w:val="24"/>
          <w:u w:val="single"/>
        </w:rPr>
        <w:t xml:space="preserve"> </w:t>
      </w:r>
      <w:r>
        <w:rPr>
          <w:sz w:val="24"/>
          <w:szCs w:val="24"/>
          <w:u w:val="single"/>
        </w:rPr>
        <w:t xml:space="preserve">demais</w:t>
      </w:r>
      <w:r>
        <w:rPr>
          <w:spacing w:val="-1"/>
          <w:sz w:val="24"/>
          <w:szCs w:val="24"/>
          <w:u w:val="single"/>
        </w:rPr>
        <w:t xml:space="preserve"> </w:t>
      </w:r>
      <w:r>
        <w:rPr>
          <w:sz w:val="24"/>
          <w:szCs w:val="24"/>
          <w:u w:val="single"/>
        </w:rPr>
        <w:t xml:space="preserve">são</w:t>
      </w:r>
      <w:r>
        <w:rPr>
          <w:spacing w:val="-2"/>
          <w:sz w:val="24"/>
          <w:szCs w:val="24"/>
          <w:u w:val="single"/>
        </w:rPr>
        <w:t xml:space="preserve"> </w:t>
      </w:r>
      <w:r>
        <w:rPr>
          <w:sz w:val="24"/>
          <w:szCs w:val="24"/>
          <w:u w:val="single"/>
        </w:rPr>
        <w:t xml:space="preserve">obrigatórios</w:t>
      </w:r>
      <w:r>
        <w:rPr>
          <w:spacing w:val="-1"/>
          <w:sz w:val="24"/>
          <w:szCs w:val="24"/>
          <w:u w:val="single"/>
        </w:rPr>
        <w:t xml:space="preserve"> </w:t>
      </w:r>
      <w:r>
        <w:rPr>
          <w:sz w:val="24"/>
          <w:szCs w:val="24"/>
          <w:u w:val="single"/>
        </w:rPr>
        <w:t xml:space="preserve">apresentação.</w:t>
      </w:r>
      <w:r>
        <w:rPr>
          <w:sz w:val="24"/>
          <w:szCs w:val="24"/>
        </w:rPr>
      </w:r>
    </w:p>
    <w:p>
      <w:pPr>
        <w:pStyle w:val="969"/>
        <w:numPr>
          <w:ilvl w:val="3"/>
          <w:numId w:val="12"/>
        </w:numPr>
        <w:pBdr/>
        <w:tabs>
          <w:tab w:val="left" w:leader="none" w:pos="1276"/>
          <w:tab w:val="left" w:leader="none" w:pos="8080"/>
          <w:tab w:val="left" w:leader="none" w:pos="8222"/>
        </w:tabs>
        <w:spacing/>
        <w:ind w:right="-1" w:firstLine="0" w:left="0"/>
        <w:rPr>
          <w:sz w:val="24"/>
          <w:szCs w:val="24"/>
        </w:rPr>
      </w:pPr>
      <w:r>
        <w:rPr>
          <w:sz w:val="24"/>
          <w:szCs w:val="24"/>
        </w:rPr>
        <w:t xml:space="preserve">Na hipótese dos documentos se encontrarem vencidos no referido sistema</w:t>
      </w:r>
      <w:r>
        <w:rPr>
          <w:spacing w:val="1"/>
          <w:sz w:val="24"/>
          <w:szCs w:val="24"/>
        </w:rPr>
        <w:t xml:space="preserve"> </w:t>
      </w:r>
      <w:r>
        <w:rPr>
          <w:sz w:val="24"/>
          <w:szCs w:val="24"/>
        </w:rPr>
        <w:t xml:space="preserve">(SICAF), o licitante convocado deverá encaminhar, juntamente com os demais, o</w:t>
      </w:r>
      <w:r>
        <w:rPr>
          <w:spacing w:val="1"/>
          <w:sz w:val="24"/>
          <w:szCs w:val="24"/>
        </w:rPr>
        <w:t xml:space="preserve"> </w:t>
      </w:r>
      <w:r>
        <w:rPr>
          <w:sz w:val="24"/>
          <w:szCs w:val="24"/>
        </w:rPr>
        <w:t xml:space="preserve">documento válido que comprove o atendimento das exigências deste Edital, sob</w:t>
      </w:r>
      <w:r>
        <w:rPr>
          <w:spacing w:val="1"/>
          <w:sz w:val="24"/>
          <w:szCs w:val="24"/>
        </w:rPr>
        <w:t xml:space="preserve"> </w:t>
      </w:r>
      <w:r>
        <w:rPr>
          <w:sz w:val="24"/>
          <w:szCs w:val="24"/>
        </w:rPr>
        <w:t xml:space="preserve">pena</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inabilitação,</w:t>
      </w:r>
      <w:r>
        <w:rPr>
          <w:spacing w:val="1"/>
          <w:sz w:val="24"/>
          <w:szCs w:val="24"/>
        </w:rPr>
        <w:t xml:space="preserve"> </w:t>
      </w:r>
      <w:r>
        <w:rPr>
          <w:sz w:val="24"/>
          <w:szCs w:val="24"/>
        </w:rPr>
        <w:t xml:space="preserve">ressalvando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disposto</w:t>
      </w:r>
      <w:r>
        <w:rPr>
          <w:spacing w:val="1"/>
          <w:sz w:val="24"/>
          <w:szCs w:val="24"/>
        </w:rPr>
        <w:t xml:space="preserve"> </w:t>
      </w:r>
      <w:r>
        <w:rPr>
          <w:sz w:val="24"/>
          <w:szCs w:val="24"/>
        </w:rPr>
        <w:t xml:space="preserve">quanto</w:t>
      </w:r>
      <w:r>
        <w:rPr>
          <w:spacing w:val="1"/>
          <w:sz w:val="24"/>
          <w:szCs w:val="24"/>
        </w:rPr>
        <w:t xml:space="preserve"> </w:t>
      </w:r>
      <w:r>
        <w:rPr>
          <w:sz w:val="24"/>
          <w:szCs w:val="24"/>
        </w:rPr>
        <w:t xml:space="preserve">à</w:t>
      </w:r>
      <w:r>
        <w:rPr>
          <w:spacing w:val="1"/>
          <w:sz w:val="24"/>
          <w:szCs w:val="24"/>
        </w:rPr>
        <w:t xml:space="preserve"> </w:t>
      </w:r>
      <w:r>
        <w:rPr>
          <w:sz w:val="24"/>
          <w:szCs w:val="24"/>
        </w:rPr>
        <w:t xml:space="preserve">comprovação</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regularidade fiscal das microempresas ou empresas de pequeno porte, conforme</w:t>
      </w:r>
      <w:r>
        <w:rPr>
          <w:spacing w:val="1"/>
          <w:sz w:val="24"/>
          <w:szCs w:val="24"/>
        </w:rPr>
        <w:t xml:space="preserve"> </w:t>
      </w:r>
      <w:r>
        <w:rPr>
          <w:sz w:val="24"/>
          <w:szCs w:val="24"/>
        </w:rPr>
        <w:t xml:space="preserve">disposto na Lei Complementar nº 123/2006, alterada pela Lei Complementar nº</w:t>
      </w:r>
      <w:r>
        <w:rPr>
          <w:spacing w:val="1"/>
          <w:sz w:val="24"/>
          <w:szCs w:val="24"/>
        </w:rPr>
        <w:t xml:space="preserve"> </w:t>
      </w:r>
      <w:r>
        <w:rPr>
          <w:sz w:val="24"/>
          <w:szCs w:val="24"/>
        </w:rPr>
        <w:t xml:space="preserve">147/2014.</w:t>
      </w:r>
      <w:r>
        <w:rPr>
          <w:sz w:val="24"/>
          <w:szCs w:val="24"/>
        </w:rPr>
      </w:r>
    </w:p>
    <w:p>
      <w:pPr>
        <w:pStyle w:val="969"/>
        <w:numPr>
          <w:ilvl w:val="3"/>
          <w:numId w:val="12"/>
        </w:numPr>
        <w:pBdr/>
        <w:tabs>
          <w:tab w:val="left" w:leader="none" w:pos="1276"/>
          <w:tab w:val="left" w:leader="none" w:pos="8080"/>
          <w:tab w:val="left" w:leader="none" w:pos="8222"/>
        </w:tabs>
        <w:spacing/>
        <w:ind w:right="-1" w:firstLine="0" w:left="0"/>
        <w:rPr>
          <w:sz w:val="24"/>
          <w:szCs w:val="24"/>
        </w:rPr>
      </w:pPr>
      <w:r>
        <w:rPr>
          <w:sz w:val="24"/>
          <w:szCs w:val="24"/>
        </w:rPr>
        <w:t xml:space="preserve">Também poderão ser consultados os sítios oficiais emissores de certidões de</w:t>
      </w:r>
      <w:r>
        <w:rPr>
          <w:spacing w:val="1"/>
          <w:sz w:val="24"/>
          <w:szCs w:val="24"/>
        </w:rPr>
        <w:t xml:space="preserve"> </w:t>
      </w:r>
      <w:r>
        <w:rPr>
          <w:sz w:val="24"/>
          <w:szCs w:val="24"/>
        </w:rPr>
        <w:t xml:space="preserve">regularidade</w:t>
      </w:r>
      <w:r>
        <w:rPr>
          <w:spacing w:val="1"/>
          <w:sz w:val="24"/>
          <w:szCs w:val="24"/>
        </w:rPr>
        <w:t xml:space="preserve"> </w:t>
      </w:r>
      <w:r>
        <w:rPr>
          <w:sz w:val="24"/>
          <w:szCs w:val="24"/>
        </w:rPr>
        <w:t xml:space="preserve">fiscal</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trabalhista,</w:t>
      </w:r>
      <w:r>
        <w:rPr>
          <w:spacing w:val="1"/>
          <w:sz w:val="24"/>
          <w:szCs w:val="24"/>
        </w:rPr>
        <w:t xml:space="preserve"> </w:t>
      </w:r>
      <w:r>
        <w:rPr>
          <w:sz w:val="24"/>
          <w:szCs w:val="24"/>
        </w:rPr>
        <w:t xml:space="preserve">especialmente</w:t>
      </w:r>
      <w:r>
        <w:rPr>
          <w:spacing w:val="1"/>
          <w:sz w:val="24"/>
          <w:szCs w:val="24"/>
        </w:rPr>
        <w:t xml:space="preserve"> </w:t>
      </w:r>
      <w:r>
        <w:rPr>
          <w:sz w:val="24"/>
          <w:szCs w:val="24"/>
        </w:rPr>
        <w:t xml:space="preserve">quando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licitante</w:t>
      </w:r>
      <w:r>
        <w:rPr>
          <w:spacing w:val="1"/>
          <w:sz w:val="24"/>
          <w:szCs w:val="24"/>
        </w:rPr>
        <w:t xml:space="preserve"> </w:t>
      </w:r>
      <w:r>
        <w:rPr>
          <w:sz w:val="24"/>
          <w:szCs w:val="24"/>
        </w:rPr>
        <w:t xml:space="preserve">esteja</w:t>
      </w:r>
      <w:r>
        <w:rPr>
          <w:spacing w:val="1"/>
          <w:sz w:val="24"/>
          <w:szCs w:val="24"/>
        </w:rPr>
        <w:t xml:space="preserve"> </w:t>
      </w:r>
      <w:r>
        <w:rPr>
          <w:sz w:val="24"/>
          <w:szCs w:val="24"/>
        </w:rPr>
        <w:t xml:space="preserve">com</w:t>
      </w:r>
      <w:r>
        <w:rPr>
          <w:spacing w:val="1"/>
          <w:sz w:val="24"/>
          <w:szCs w:val="24"/>
        </w:rPr>
        <w:t xml:space="preserve"> </w:t>
      </w:r>
      <w:r>
        <w:rPr>
          <w:sz w:val="24"/>
          <w:szCs w:val="24"/>
        </w:rPr>
        <w:t xml:space="preserve">alguma</w:t>
      </w:r>
      <w:r>
        <w:rPr>
          <w:spacing w:val="-3"/>
          <w:sz w:val="24"/>
          <w:szCs w:val="24"/>
        </w:rPr>
        <w:t xml:space="preserve"> </w:t>
      </w:r>
      <w:r>
        <w:rPr>
          <w:sz w:val="24"/>
          <w:szCs w:val="24"/>
        </w:rPr>
        <w:t xml:space="preserve">documentação</w:t>
      </w:r>
      <w:r>
        <w:rPr>
          <w:spacing w:val="-2"/>
          <w:sz w:val="24"/>
          <w:szCs w:val="24"/>
        </w:rPr>
        <w:t xml:space="preserve"> </w:t>
      </w:r>
      <w:r>
        <w:rPr>
          <w:sz w:val="24"/>
          <w:szCs w:val="24"/>
        </w:rPr>
        <w:t xml:space="preserve">vencida</w:t>
      </w:r>
      <w:r>
        <w:rPr>
          <w:spacing w:val="-1"/>
          <w:sz w:val="24"/>
          <w:szCs w:val="24"/>
        </w:rPr>
        <w:t xml:space="preserve"> </w:t>
      </w:r>
      <w:r>
        <w:rPr>
          <w:sz w:val="24"/>
          <w:szCs w:val="24"/>
        </w:rPr>
        <w:t xml:space="preserve">junto</w:t>
      </w:r>
      <w:r>
        <w:rPr>
          <w:spacing w:val="-2"/>
          <w:sz w:val="24"/>
          <w:szCs w:val="24"/>
        </w:rPr>
        <w:t xml:space="preserve"> </w:t>
      </w:r>
      <w:r>
        <w:rPr>
          <w:sz w:val="24"/>
          <w:szCs w:val="24"/>
        </w:rPr>
        <w:t xml:space="preserve">ao</w:t>
      </w:r>
      <w:r>
        <w:rPr>
          <w:spacing w:val="-2"/>
          <w:sz w:val="24"/>
          <w:szCs w:val="24"/>
        </w:rPr>
        <w:t xml:space="preserve"> </w:t>
      </w:r>
      <w:r>
        <w:rPr>
          <w:sz w:val="24"/>
          <w:szCs w:val="24"/>
        </w:rPr>
        <w:t xml:space="preserve">SICAF.</w:t>
      </w:r>
      <w:r>
        <w:rPr>
          <w:sz w:val="24"/>
          <w:szCs w:val="24"/>
        </w:rPr>
      </w:r>
    </w:p>
    <w:p>
      <w:pPr>
        <w:pStyle w:val="969"/>
        <w:numPr>
          <w:ilvl w:val="3"/>
          <w:numId w:val="12"/>
        </w:numPr>
        <w:pBdr/>
        <w:tabs>
          <w:tab w:val="left" w:leader="none" w:pos="1276"/>
          <w:tab w:val="left" w:leader="none" w:pos="8080"/>
          <w:tab w:val="left" w:leader="none" w:pos="8222"/>
        </w:tabs>
        <w:spacing/>
        <w:ind w:right="-1" w:firstLine="0" w:left="0"/>
        <w:rPr>
          <w:sz w:val="24"/>
          <w:szCs w:val="24"/>
        </w:rPr>
      </w:pPr>
      <w:r>
        <w:rPr>
          <w:sz w:val="24"/>
          <w:szCs w:val="24"/>
        </w:rPr>
        <w:t xml:space="preserve">Os documentos de que tratam os subitens anteriores serão analisados pelo Pregoeiro e sua</w:t>
      </w:r>
      <w:r>
        <w:rPr>
          <w:spacing w:val="1"/>
          <w:sz w:val="24"/>
          <w:szCs w:val="24"/>
        </w:rPr>
        <w:t xml:space="preserve"> </w:t>
      </w:r>
      <w:r>
        <w:rPr>
          <w:sz w:val="24"/>
          <w:szCs w:val="24"/>
        </w:rPr>
        <w:t xml:space="preserve">Equipe</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Apoio</w:t>
      </w:r>
      <w:r>
        <w:rPr>
          <w:spacing w:val="1"/>
          <w:sz w:val="24"/>
          <w:szCs w:val="24"/>
        </w:rPr>
        <w:t xml:space="preserve"> </w:t>
      </w:r>
      <w:r>
        <w:rPr>
          <w:sz w:val="24"/>
          <w:szCs w:val="24"/>
        </w:rPr>
        <w:t xml:space="preserve">quanto a</w:t>
      </w:r>
      <w:r>
        <w:rPr>
          <w:spacing w:val="1"/>
          <w:sz w:val="24"/>
          <w:szCs w:val="24"/>
        </w:rPr>
        <w:t xml:space="preserve"> </w:t>
      </w:r>
      <w:r>
        <w:rPr>
          <w:sz w:val="24"/>
          <w:szCs w:val="24"/>
        </w:rPr>
        <w:t xml:space="preserve">sua conformidade com</w:t>
      </w:r>
      <w:r>
        <w:rPr>
          <w:spacing w:val="60"/>
          <w:sz w:val="24"/>
          <w:szCs w:val="24"/>
        </w:rPr>
        <w:t xml:space="preserve"> </w:t>
      </w:r>
      <w:r>
        <w:rPr>
          <w:sz w:val="24"/>
          <w:szCs w:val="24"/>
        </w:rPr>
        <w:t xml:space="preserve">o solicitado</w:t>
      </w:r>
      <w:r>
        <w:rPr>
          <w:spacing w:val="1"/>
          <w:sz w:val="24"/>
          <w:szCs w:val="24"/>
        </w:rPr>
        <w:t xml:space="preserve"> </w:t>
      </w:r>
      <w:r>
        <w:rPr>
          <w:sz w:val="24"/>
          <w:szCs w:val="24"/>
        </w:rPr>
        <w:t xml:space="preserve">neste</w:t>
      </w:r>
      <w:r>
        <w:rPr>
          <w:spacing w:val="8"/>
          <w:sz w:val="24"/>
          <w:szCs w:val="24"/>
        </w:rPr>
        <w:t xml:space="preserve"> </w:t>
      </w:r>
      <w:r>
        <w:rPr>
          <w:sz w:val="24"/>
          <w:szCs w:val="24"/>
        </w:rPr>
        <w:t xml:space="preserve">Edital.</w:t>
      </w:r>
      <w:r>
        <w:rPr>
          <w:sz w:val="24"/>
          <w:szCs w:val="24"/>
        </w:rPr>
      </w:r>
    </w:p>
    <w:p>
      <w:pPr>
        <w:pStyle w:val="969"/>
        <w:numPr>
          <w:ilvl w:val="3"/>
          <w:numId w:val="12"/>
        </w:numPr>
        <w:pBdr/>
        <w:tabs>
          <w:tab w:val="left" w:leader="none" w:pos="1276"/>
          <w:tab w:val="left" w:leader="none" w:pos="2410"/>
          <w:tab w:val="left" w:leader="none" w:pos="8080"/>
          <w:tab w:val="left" w:leader="none" w:pos="8222"/>
        </w:tabs>
        <w:spacing/>
        <w:ind w:right="-1" w:firstLine="0" w:left="0"/>
        <w:rPr>
          <w:sz w:val="24"/>
          <w:szCs w:val="24"/>
        </w:rPr>
      </w:pPr>
      <w:r>
        <w:rPr>
          <w:sz w:val="24"/>
          <w:szCs w:val="24"/>
        </w:rPr>
        <w:t xml:space="preserve">No</w:t>
      </w:r>
      <w:r>
        <w:rPr>
          <w:spacing w:val="1"/>
          <w:sz w:val="24"/>
          <w:szCs w:val="24"/>
        </w:rPr>
        <w:t xml:space="preserve"> </w:t>
      </w:r>
      <w:r>
        <w:rPr>
          <w:sz w:val="24"/>
          <w:szCs w:val="24"/>
        </w:rPr>
        <w:t xml:space="preserve">julgamento</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habilitação,</w:t>
      </w:r>
      <w:r>
        <w:rPr>
          <w:spacing w:val="1"/>
          <w:sz w:val="24"/>
          <w:szCs w:val="24"/>
        </w:rPr>
        <w:t xml:space="preserve"> </w:t>
      </w:r>
      <w:r>
        <w:rPr>
          <w:sz w:val="24"/>
          <w:szCs w:val="24"/>
        </w:rPr>
        <w:t xml:space="preserve">o Pregoeiro</w:t>
      </w:r>
      <w:r>
        <w:rPr>
          <w:spacing w:val="61"/>
          <w:sz w:val="24"/>
          <w:szCs w:val="24"/>
        </w:rPr>
        <w:t xml:space="preserve"> </w:t>
      </w:r>
      <w:r>
        <w:rPr>
          <w:sz w:val="24"/>
          <w:szCs w:val="24"/>
        </w:rPr>
        <w:t xml:space="preserve">poderá</w:t>
      </w:r>
      <w:r>
        <w:rPr>
          <w:spacing w:val="61"/>
          <w:sz w:val="24"/>
          <w:szCs w:val="24"/>
        </w:rPr>
        <w:t xml:space="preserve"> </w:t>
      </w:r>
      <w:r>
        <w:rPr>
          <w:sz w:val="24"/>
          <w:szCs w:val="24"/>
        </w:rPr>
        <w:t xml:space="preserve">sanar</w:t>
      </w:r>
      <w:r>
        <w:rPr>
          <w:spacing w:val="61"/>
          <w:sz w:val="24"/>
          <w:szCs w:val="24"/>
        </w:rPr>
        <w:t xml:space="preserve"> </w:t>
      </w:r>
      <w:r>
        <w:rPr>
          <w:sz w:val="24"/>
          <w:szCs w:val="24"/>
        </w:rPr>
        <w:t xml:space="preserve">erros</w:t>
      </w:r>
      <w:r>
        <w:rPr>
          <w:spacing w:val="61"/>
          <w:sz w:val="24"/>
          <w:szCs w:val="24"/>
        </w:rPr>
        <w:t xml:space="preserve"> </w:t>
      </w:r>
      <w:r>
        <w:rPr>
          <w:sz w:val="24"/>
          <w:szCs w:val="24"/>
        </w:rPr>
        <w:t xml:space="preserve">ou</w:t>
      </w:r>
      <w:r>
        <w:rPr>
          <w:spacing w:val="61"/>
          <w:sz w:val="24"/>
          <w:szCs w:val="24"/>
        </w:rPr>
        <w:t xml:space="preserve"> </w:t>
      </w:r>
      <w:r>
        <w:rPr>
          <w:sz w:val="24"/>
          <w:szCs w:val="24"/>
        </w:rPr>
        <w:t xml:space="preserve">falhas</w:t>
      </w:r>
      <w:r>
        <w:rPr>
          <w:spacing w:val="1"/>
          <w:sz w:val="24"/>
          <w:szCs w:val="24"/>
        </w:rPr>
        <w:t xml:space="preserve"> </w:t>
      </w:r>
      <w:r>
        <w:rPr>
          <w:sz w:val="24"/>
          <w:szCs w:val="24"/>
        </w:rPr>
        <w:t xml:space="preserve">que</w:t>
      </w:r>
      <w:r>
        <w:rPr>
          <w:spacing w:val="1"/>
          <w:sz w:val="24"/>
          <w:szCs w:val="24"/>
        </w:rPr>
        <w:t xml:space="preserve"> </w:t>
      </w:r>
      <w:r>
        <w:rPr>
          <w:sz w:val="24"/>
          <w:szCs w:val="24"/>
        </w:rPr>
        <w:t xml:space="preserve">não</w:t>
      </w:r>
      <w:r>
        <w:rPr>
          <w:spacing w:val="1"/>
          <w:sz w:val="24"/>
          <w:szCs w:val="24"/>
        </w:rPr>
        <w:t xml:space="preserve"> </w:t>
      </w:r>
      <w:r>
        <w:rPr>
          <w:sz w:val="24"/>
          <w:szCs w:val="24"/>
        </w:rPr>
        <w:t xml:space="preserve">alterem</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substância</w:t>
      </w:r>
      <w:r>
        <w:rPr>
          <w:spacing w:val="1"/>
          <w:sz w:val="24"/>
          <w:szCs w:val="24"/>
        </w:rPr>
        <w:t xml:space="preserve"> </w:t>
      </w:r>
      <w:r>
        <w:rPr>
          <w:sz w:val="24"/>
          <w:szCs w:val="24"/>
        </w:rPr>
        <w:t xml:space="preserve">das</w:t>
      </w:r>
      <w:r>
        <w:rPr>
          <w:spacing w:val="1"/>
          <w:sz w:val="24"/>
          <w:szCs w:val="24"/>
        </w:rPr>
        <w:t xml:space="preserve"> </w:t>
      </w:r>
      <w:r>
        <w:rPr>
          <w:sz w:val="24"/>
          <w:szCs w:val="24"/>
        </w:rPr>
        <w:t xml:space="preserve">propostas,</w:t>
      </w:r>
      <w:r>
        <w:rPr>
          <w:spacing w:val="1"/>
          <w:sz w:val="24"/>
          <w:szCs w:val="24"/>
        </w:rPr>
        <w:t xml:space="preserve"> </w:t>
      </w:r>
      <w:r>
        <w:rPr>
          <w:sz w:val="24"/>
          <w:szCs w:val="24"/>
        </w:rPr>
        <w:t xml:space="preserve">dos</w:t>
      </w:r>
      <w:r>
        <w:rPr>
          <w:spacing w:val="1"/>
          <w:sz w:val="24"/>
          <w:szCs w:val="24"/>
        </w:rPr>
        <w:t xml:space="preserve"> </w:t>
      </w:r>
      <w:r>
        <w:rPr>
          <w:sz w:val="24"/>
          <w:szCs w:val="24"/>
        </w:rPr>
        <w:t xml:space="preserve">documentos</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sua</w:t>
      </w:r>
      <w:r>
        <w:rPr>
          <w:spacing w:val="1"/>
          <w:sz w:val="24"/>
          <w:szCs w:val="24"/>
        </w:rPr>
        <w:t xml:space="preserve"> </w:t>
      </w:r>
      <w:r>
        <w:rPr>
          <w:sz w:val="24"/>
          <w:szCs w:val="24"/>
        </w:rPr>
        <w:t xml:space="preserve">validade</w:t>
      </w:r>
      <w:r>
        <w:rPr>
          <w:spacing w:val="-58"/>
          <w:sz w:val="24"/>
          <w:szCs w:val="24"/>
        </w:rPr>
        <w:t xml:space="preserve"> </w:t>
      </w:r>
      <w:r>
        <w:rPr>
          <w:sz w:val="24"/>
          <w:szCs w:val="24"/>
        </w:rPr>
        <w:t xml:space="preserve">jurídica,</w:t>
      </w:r>
      <w:r>
        <w:rPr>
          <w:spacing w:val="1"/>
          <w:sz w:val="24"/>
          <w:szCs w:val="24"/>
        </w:rPr>
        <w:t xml:space="preserve"> </w:t>
      </w:r>
      <w:r>
        <w:rPr>
          <w:sz w:val="24"/>
          <w:szCs w:val="24"/>
        </w:rPr>
        <w:t xml:space="preserve">mediante</w:t>
      </w:r>
      <w:r>
        <w:rPr>
          <w:spacing w:val="1"/>
          <w:sz w:val="24"/>
          <w:szCs w:val="24"/>
        </w:rPr>
        <w:t xml:space="preserve"> </w:t>
      </w:r>
      <w:r>
        <w:rPr>
          <w:sz w:val="24"/>
          <w:szCs w:val="24"/>
        </w:rPr>
        <w:t xml:space="preserve">despacho</w:t>
      </w:r>
      <w:r>
        <w:rPr>
          <w:spacing w:val="1"/>
          <w:sz w:val="24"/>
          <w:szCs w:val="24"/>
        </w:rPr>
        <w:t xml:space="preserve"> </w:t>
      </w:r>
      <w:r>
        <w:rPr>
          <w:sz w:val="24"/>
          <w:szCs w:val="24"/>
        </w:rPr>
        <w:t xml:space="preserve">fundamentado,</w:t>
      </w:r>
      <w:r>
        <w:rPr>
          <w:spacing w:val="1"/>
          <w:sz w:val="24"/>
          <w:szCs w:val="24"/>
        </w:rPr>
        <w:t xml:space="preserve"> </w:t>
      </w:r>
      <w:r>
        <w:rPr>
          <w:sz w:val="24"/>
          <w:szCs w:val="24"/>
        </w:rPr>
        <w:t xml:space="preserve">registrado</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ata</w:t>
      </w:r>
      <w:r>
        <w:rPr>
          <w:spacing w:val="60"/>
          <w:sz w:val="24"/>
          <w:szCs w:val="24"/>
        </w:rPr>
        <w:t xml:space="preserve"> </w:t>
      </w:r>
      <w:r>
        <w:rPr>
          <w:sz w:val="24"/>
          <w:szCs w:val="24"/>
        </w:rPr>
        <w:t xml:space="preserve">e</w:t>
      </w:r>
      <w:r>
        <w:rPr>
          <w:spacing w:val="61"/>
          <w:sz w:val="24"/>
          <w:szCs w:val="24"/>
        </w:rPr>
        <w:t xml:space="preserve"> </w:t>
      </w:r>
      <w:r>
        <w:rPr>
          <w:sz w:val="24"/>
          <w:szCs w:val="24"/>
        </w:rPr>
        <w:t xml:space="preserve">acessível</w:t>
      </w:r>
      <w:r>
        <w:rPr>
          <w:spacing w:val="61"/>
          <w:sz w:val="24"/>
          <w:szCs w:val="24"/>
        </w:rPr>
        <w:t xml:space="preserve"> </w:t>
      </w:r>
      <w:r>
        <w:rPr>
          <w:sz w:val="24"/>
          <w:szCs w:val="24"/>
        </w:rPr>
        <w:t xml:space="preserve">a</w:t>
      </w:r>
      <w:r>
        <w:rPr>
          <w:spacing w:val="1"/>
          <w:sz w:val="24"/>
          <w:szCs w:val="24"/>
        </w:rPr>
        <w:t xml:space="preserve"> </w:t>
      </w:r>
      <w:r>
        <w:rPr>
          <w:sz w:val="24"/>
          <w:szCs w:val="24"/>
        </w:rPr>
        <w:t xml:space="preserve">todos,</w:t>
      </w:r>
      <w:r>
        <w:rPr>
          <w:spacing w:val="1"/>
          <w:sz w:val="24"/>
          <w:szCs w:val="24"/>
        </w:rPr>
        <w:t xml:space="preserve"> </w:t>
      </w:r>
      <w:r>
        <w:rPr>
          <w:sz w:val="24"/>
          <w:szCs w:val="24"/>
        </w:rPr>
        <w:t xml:space="preserve">atribuindo-lhes</w:t>
      </w:r>
      <w:r>
        <w:rPr>
          <w:spacing w:val="1"/>
          <w:sz w:val="24"/>
          <w:szCs w:val="24"/>
        </w:rPr>
        <w:t xml:space="preserve"> </w:t>
      </w:r>
      <w:r>
        <w:rPr>
          <w:sz w:val="24"/>
          <w:szCs w:val="24"/>
        </w:rPr>
        <w:t xml:space="preserve">validade</w:t>
      </w:r>
      <w:r>
        <w:rPr>
          <w:spacing w:val="1"/>
          <w:sz w:val="24"/>
          <w:szCs w:val="24"/>
        </w:rPr>
        <w:t xml:space="preserve"> </w:t>
      </w:r>
      <w:r>
        <w:rPr>
          <w:sz w:val="24"/>
          <w:szCs w:val="24"/>
        </w:rPr>
        <w:t xml:space="preserve">e</w:t>
      </w:r>
      <w:r>
        <w:rPr>
          <w:spacing w:val="61"/>
          <w:sz w:val="24"/>
          <w:szCs w:val="24"/>
        </w:rPr>
        <w:t xml:space="preserve"> </w:t>
      </w:r>
      <w:r>
        <w:rPr>
          <w:sz w:val="24"/>
          <w:szCs w:val="24"/>
        </w:rPr>
        <w:t xml:space="preserve">eficácia</w:t>
      </w:r>
      <w:r>
        <w:rPr>
          <w:spacing w:val="61"/>
          <w:sz w:val="24"/>
          <w:szCs w:val="24"/>
        </w:rPr>
        <w:t xml:space="preserve"> </w:t>
      </w:r>
      <w:r>
        <w:rPr>
          <w:sz w:val="24"/>
          <w:szCs w:val="24"/>
        </w:rPr>
        <w:t xml:space="preserve">para</w:t>
      </w:r>
      <w:r>
        <w:rPr>
          <w:spacing w:val="61"/>
          <w:sz w:val="24"/>
          <w:szCs w:val="24"/>
        </w:rPr>
        <w:t xml:space="preserve"> </w:t>
      </w:r>
      <w:r>
        <w:rPr>
          <w:sz w:val="24"/>
          <w:szCs w:val="24"/>
        </w:rPr>
        <w:t xml:space="preserve">fins</w:t>
      </w:r>
      <w:r>
        <w:rPr>
          <w:spacing w:val="61"/>
          <w:sz w:val="24"/>
          <w:szCs w:val="24"/>
        </w:rPr>
        <w:t xml:space="preserve"> </w:t>
      </w:r>
      <w:r>
        <w:rPr>
          <w:sz w:val="24"/>
          <w:szCs w:val="24"/>
        </w:rPr>
        <w:t xml:space="preserve">de</w:t>
      </w:r>
      <w:r>
        <w:rPr>
          <w:spacing w:val="61"/>
          <w:sz w:val="24"/>
          <w:szCs w:val="24"/>
        </w:rPr>
        <w:t xml:space="preserve"> </w:t>
      </w:r>
      <w:r>
        <w:rPr>
          <w:sz w:val="24"/>
          <w:szCs w:val="24"/>
        </w:rPr>
        <w:t xml:space="preserve">habilitação</w:t>
      </w:r>
      <w:r>
        <w:rPr>
          <w:spacing w:val="61"/>
          <w:sz w:val="24"/>
          <w:szCs w:val="24"/>
        </w:rPr>
        <w:t xml:space="preserve"> </w:t>
      </w:r>
      <w:r>
        <w:rPr>
          <w:sz w:val="24"/>
          <w:szCs w:val="24"/>
        </w:rPr>
        <w:t xml:space="preserve">e</w:t>
      </w:r>
      <w:r>
        <w:rPr>
          <w:spacing w:val="1"/>
          <w:sz w:val="24"/>
          <w:szCs w:val="24"/>
        </w:rPr>
        <w:t xml:space="preserve"> </w:t>
      </w:r>
      <w:r>
        <w:rPr>
          <w:sz w:val="24"/>
          <w:szCs w:val="24"/>
        </w:rPr>
        <w:t xml:space="preserve">classificação.</w:t>
      </w:r>
      <w:r>
        <w:rPr>
          <w:sz w:val="24"/>
          <w:szCs w:val="24"/>
        </w:rPr>
      </w:r>
    </w:p>
    <w:p>
      <w:pPr>
        <w:pStyle w:val="969"/>
        <w:numPr>
          <w:ilvl w:val="3"/>
          <w:numId w:val="12"/>
        </w:numPr>
        <w:pBdr/>
        <w:tabs>
          <w:tab w:val="left" w:leader="none" w:pos="1418"/>
          <w:tab w:val="left" w:leader="none" w:pos="2410"/>
        </w:tabs>
        <w:spacing/>
        <w:ind w:right="-1" w:firstLine="0" w:left="0"/>
        <w:rPr>
          <w:color w:val="000000" w:themeColor="text1"/>
          <w:sz w:val="24"/>
          <w:szCs w:val="24"/>
        </w:rPr>
      </w:pPr>
      <w:r>
        <w:rPr>
          <w:b/>
          <w:color w:val="000000" w:themeColor="text1"/>
          <w:sz w:val="24"/>
          <w:szCs w:val="24"/>
        </w:rPr>
        <w:t xml:space="preserve">O</w:t>
      </w:r>
      <w:r>
        <w:rPr>
          <w:b/>
          <w:color w:val="000000" w:themeColor="text1"/>
          <w:spacing w:val="1"/>
          <w:sz w:val="24"/>
          <w:szCs w:val="24"/>
        </w:rPr>
        <w:t xml:space="preserve"> </w:t>
      </w:r>
      <w:r>
        <w:rPr>
          <w:b/>
          <w:color w:val="000000" w:themeColor="text1"/>
          <w:sz w:val="24"/>
          <w:szCs w:val="24"/>
        </w:rPr>
        <w:t xml:space="preserve">não</w:t>
      </w:r>
      <w:r>
        <w:rPr>
          <w:b/>
          <w:color w:val="000000" w:themeColor="text1"/>
          <w:spacing w:val="1"/>
          <w:sz w:val="24"/>
          <w:szCs w:val="24"/>
        </w:rPr>
        <w:t xml:space="preserve"> </w:t>
      </w:r>
      <w:r>
        <w:rPr>
          <w:b/>
          <w:color w:val="000000" w:themeColor="text1"/>
          <w:sz w:val="24"/>
          <w:szCs w:val="24"/>
        </w:rPr>
        <w:t xml:space="preserve">atendimento</w:t>
      </w:r>
      <w:r>
        <w:rPr>
          <w:b/>
          <w:color w:val="000000" w:themeColor="text1"/>
          <w:spacing w:val="1"/>
          <w:sz w:val="24"/>
          <w:szCs w:val="24"/>
        </w:rPr>
        <w:t xml:space="preserve"> </w:t>
      </w:r>
      <w:r>
        <w:rPr>
          <w:b/>
          <w:color w:val="000000" w:themeColor="text1"/>
          <w:sz w:val="24"/>
          <w:szCs w:val="24"/>
        </w:rPr>
        <w:t xml:space="preserve">das</w:t>
      </w:r>
      <w:r>
        <w:rPr>
          <w:b/>
          <w:color w:val="000000" w:themeColor="text1"/>
          <w:spacing w:val="1"/>
          <w:sz w:val="24"/>
          <w:szCs w:val="24"/>
        </w:rPr>
        <w:t xml:space="preserve"> </w:t>
      </w:r>
      <w:r>
        <w:rPr>
          <w:b/>
          <w:color w:val="000000" w:themeColor="text1"/>
          <w:sz w:val="24"/>
          <w:szCs w:val="24"/>
        </w:rPr>
        <w:t xml:space="preserve">exigências</w:t>
      </w:r>
      <w:r>
        <w:rPr>
          <w:b/>
          <w:color w:val="000000" w:themeColor="text1"/>
          <w:spacing w:val="1"/>
          <w:sz w:val="24"/>
          <w:szCs w:val="24"/>
        </w:rPr>
        <w:t xml:space="preserve"> </w:t>
      </w:r>
      <w:r>
        <w:rPr>
          <w:b/>
          <w:color w:val="000000" w:themeColor="text1"/>
          <w:sz w:val="24"/>
          <w:szCs w:val="24"/>
        </w:rPr>
        <w:t xml:space="preserve">constantes</w:t>
      </w:r>
      <w:r>
        <w:rPr>
          <w:b/>
          <w:color w:val="000000" w:themeColor="text1"/>
          <w:spacing w:val="1"/>
          <w:sz w:val="24"/>
          <w:szCs w:val="24"/>
        </w:rPr>
        <w:t xml:space="preserve"> n</w:t>
      </w:r>
      <w:r>
        <w:rPr>
          <w:b/>
          <w:color w:val="000000" w:themeColor="text1"/>
          <w:sz w:val="24"/>
          <w:szCs w:val="24"/>
        </w:rPr>
        <w:t xml:space="preserve">o</w:t>
      </w:r>
      <w:r>
        <w:rPr>
          <w:b/>
          <w:color w:val="000000" w:themeColor="text1"/>
          <w:spacing w:val="60"/>
          <w:sz w:val="24"/>
          <w:szCs w:val="24"/>
        </w:rPr>
        <w:t xml:space="preserve"> </w:t>
      </w:r>
      <w:r>
        <w:rPr>
          <w:b/>
          <w:color w:val="000000" w:themeColor="text1"/>
          <w:sz w:val="24"/>
          <w:szCs w:val="24"/>
        </w:rPr>
        <w:t xml:space="preserve">Edital</w:t>
      </w:r>
      <w:r>
        <w:rPr>
          <w:color w:val="000000" w:themeColor="text1"/>
          <w:spacing w:val="1"/>
          <w:sz w:val="24"/>
          <w:szCs w:val="24"/>
        </w:rPr>
        <w:t xml:space="preserve"> </w:t>
      </w:r>
      <w:r>
        <w:rPr>
          <w:b/>
          <w:color w:val="000000" w:themeColor="text1"/>
          <w:sz w:val="24"/>
          <w:szCs w:val="24"/>
        </w:rPr>
        <w:t xml:space="preserve">implicará</w:t>
      </w:r>
      <w:r>
        <w:rPr>
          <w:b/>
          <w:color w:val="000000" w:themeColor="text1"/>
          <w:spacing w:val="7"/>
          <w:sz w:val="24"/>
          <w:szCs w:val="24"/>
        </w:rPr>
        <w:t xml:space="preserve"> </w:t>
      </w:r>
      <w:r>
        <w:rPr>
          <w:b/>
          <w:color w:val="000000" w:themeColor="text1"/>
          <w:sz w:val="24"/>
          <w:szCs w:val="24"/>
        </w:rPr>
        <w:t xml:space="preserve">a</w:t>
      </w:r>
      <w:r>
        <w:rPr>
          <w:b/>
          <w:color w:val="000000" w:themeColor="text1"/>
          <w:spacing w:val="7"/>
          <w:sz w:val="24"/>
          <w:szCs w:val="24"/>
        </w:rPr>
        <w:t xml:space="preserve"> </w:t>
      </w:r>
      <w:r>
        <w:rPr>
          <w:b/>
          <w:color w:val="000000" w:themeColor="text1"/>
          <w:sz w:val="24"/>
          <w:szCs w:val="24"/>
        </w:rPr>
        <w:t xml:space="preserve">inabilitação</w:t>
      </w:r>
      <w:r>
        <w:rPr>
          <w:b/>
          <w:color w:val="000000" w:themeColor="text1"/>
          <w:spacing w:val="7"/>
          <w:sz w:val="24"/>
          <w:szCs w:val="24"/>
        </w:rPr>
        <w:t xml:space="preserve"> </w:t>
      </w:r>
      <w:r>
        <w:rPr>
          <w:b/>
          <w:color w:val="000000" w:themeColor="text1"/>
          <w:sz w:val="24"/>
          <w:szCs w:val="24"/>
        </w:rPr>
        <w:t xml:space="preserve">do</w:t>
      </w:r>
      <w:r>
        <w:rPr>
          <w:b/>
          <w:color w:val="000000" w:themeColor="text1"/>
          <w:spacing w:val="6"/>
          <w:sz w:val="24"/>
          <w:szCs w:val="24"/>
        </w:rPr>
        <w:t xml:space="preserve"> </w:t>
      </w:r>
      <w:r>
        <w:rPr>
          <w:b/>
          <w:color w:val="000000" w:themeColor="text1"/>
          <w:sz w:val="24"/>
          <w:szCs w:val="24"/>
        </w:rPr>
        <w:t xml:space="preserve">licitante.</w:t>
      </w:r>
      <w:r>
        <w:rPr>
          <w:color w:val="000000" w:themeColor="text1"/>
          <w:sz w:val="24"/>
          <w:szCs w:val="24"/>
        </w:rPr>
      </w:r>
    </w:p>
    <w:p>
      <w:pPr>
        <w:pStyle w:val="969"/>
        <w:numPr>
          <w:ilvl w:val="3"/>
          <w:numId w:val="12"/>
        </w:numPr>
        <w:pBdr/>
        <w:tabs>
          <w:tab w:val="left" w:leader="none" w:pos="1418"/>
          <w:tab w:val="left" w:leader="none" w:pos="2410"/>
          <w:tab w:val="left" w:leader="none" w:pos="8080"/>
          <w:tab w:val="left" w:leader="none" w:pos="8222"/>
        </w:tabs>
        <w:spacing/>
        <w:ind w:right="-1" w:firstLine="0" w:left="0"/>
        <w:rPr>
          <w:sz w:val="24"/>
          <w:szCs w:val="24"/>
        </w:rPr>
      </w:pPr>
      <w:r>
        <w:rPr>
          <w:sz w:val="24"/>
          <w:szCs w:val="24"/>
        </w:rPr>
        <w:t xml:space="preserve">O</w:t>
      </w:r>
      <w:r>
        <w:rPr>
          <w:spacing w:val="34"/>
          <w:sz w:val="24"/>
          <w:szCs w:val="24"/>
        </w:rPr>
        <w:t xml:space="preserve"> </w:t>
      </w:r>
      <w:r>
        <w:rPr>
          <w:sz w:val="24"/>
          <w:szCs w:val="24"/>
        </w:rPr>
        <w:t xml:space="preserve">licitante</w:t>
      </w:r>
      <w:r>
        <w:rPr>
          <w:spacing w:val="37"/>
          <w:sz w:val="24"/>
          <w:szCs w:val="24"/>
        </w:rPr>
        <w:t xml:space="preserve"> </w:t>
      </w:r>
      <w:r>
        <w:rPr>
          <w:sz w:val="24"/>
          <w:szCs w:val="24"/>
        </w:rPr>
        <w:t xml:space="preserve">provisoriamente</w:t>
      </w:r>
      <w:r>
        <w:rPr>
          <w:spacing w:val="38"/>
          <w:sz w:val="24"/>
          <w:szCs w:val="24"/>
        </w:rPr>
        <w:t xml:space="preserve"> </w:t>
      </w:r>
      <w:r>
        <w:rPr>
          <w:sz w:val="24"/>
          <w:szCs w:val="24"/>
        </w:rPr>
        <w:t xml:space="preserve">vencedor</w:t>
      </w:r>
      <w:r>
        <w:rPr>
          <w:spacing w:val="37"/>
          <w:sz w:val="24"/>
          <w:szCs w:val="24"/>
        </w:rPr>
        <w:t xml:space="preserve"> </w:t>
      </w:r>
      <w:r>
        <w:rPr>
          <w:sz w:val="24"/>
          <w:szCs w:val="24"/>
        </w:rPr>
        <w:t xml:space="preserve">em</w:t>
      </w:r>
      <w:r>
        <w:rPr>
          <w:spacing w:val="36"/>
          <w:sz w:val="24"/>
          <w:szCs w:val="24"/>
        </w:rPr>
        <w:t xml:space="preserve"> </w:t>
      </w:r>
      <w:r>
        <w:rPr>
          <w:sz w:val="24"/>
          <w:szCs w:val="24"/>
        </w:rPr>
        <w:t xml:space="preserve">um</w:t>
      </w:r>
      <w:r>
        <w:rPr>
          <w:spacing w:val="36"/>
          <w:sz w:val="24"/>
          <w:szCs w:val="24"/>
        </w:rPr>
        <w:t xml:space="preserve"> </w:t>
      </w:r>
      <w:r>
        <w:rPr>
          <w:sz w:val="24"/>
          <w:szCs w:val="24"/>
        </w:rPr>
        <w:t xml:space="preserve">lote,</w:t>
      </w:r>
      <w:r>
        <w:rPr>
          <w:spacing w:val="35"/>
          <w:sz w:val="24"/>
          <w:szCs w:val="24"/>
        </w:rPr>
        <w:t xml:space="preserve"> </w:t>
      </w:r>
      <w:r>
        <w:rPr>
          <w:sz w:val="24"/>
          <w:szCs w:val="24"/>
        </w:rPr>
        <w:t xml:space="preserve">que</w:t>
      </w:r>
      <w:r>
        <w:rPr>
          <w:spacing w:val="38"/>
          <w:sz w:val="24"/>
          <w:szCs w:val="24"/>
        </w:rPr>
        <w:t xml:space="preserve"> </w:t>
      </w:r>
      <w:r>
        <w:rPr>
          <w:sz w:val="24"/>
          <w:szCs w:val="24"/>
        </w:rPr>
        <w:t xml:space="preserve">estiver</w:t>
      </w:r>
      <w:r>
        <w:rPr>
          <w:spacing w:val="37"/>
          <w:sz w:val="24"/>
          <w:szCs w:val="24"/>
        </w:rPr>
        <w:t xml:space="preserve"> </w:t>
      </w:r>
      <w:r>
        <w:rPr>
          <w:sz w:val="24"/>
          <w:szCs w:val="24"/>
        </w:rPr>
        <w:t xml:space="preserve">concorrendo</w:t>
      </w:r>
      <w:r>
        <w:rPr>
          <w:spacing w:val="-59"/>
          <w:sz w:val="24"/>
          <w:szCs w:val="24"/>
        </w:rPr>
        <w:t xml:space="preserve"> </w:t>
      </w:r>
      <w:r>
        <w:rPr>
          <w:sz w:val="24"/>
          <w:szCs w:val="24"/>
        </w:rPr>
        <w:t xml:space="preserve">em</w:t>
      </w:r>
      <w:r>
        <w:rPr>
          <w:spacing w:val="1"/>
          <w:sz w:val="24"/>
          <w:szCs w:val="24"/>
        </w:rPr>
        <w:t xml:space="preserve"> </w:t>
      </w:r>
      <w:r>
        <w:rPr>
          <w:sz w:val="24"/>
          <w:szCs w:val="24"/>
        </w:rPr>
        <w:t xml:space="preserve">outro</w:t>
      </w:r>
      <w:r>
        <w:rPr>
          <w:spacing w:val="1"/>
          <w:sz w:val="24"/>
          <w:szCs w:val="24"/>
        </w:rPr>
        <w:t xml:space="preserve"> </w:t>
      </w:r>
      <w:r>
        <w:rPr>
          <w:sz w:val="24"/>
          <w:szCs w:val="24"/>
        </w:rPr>
        <w:t xml:space="preserve">lote,</w:t>
      </w:r>
      <w:r>
        <w:rPr>
          <w:spacing w:val="1"/>
          <w:sz w:val="24"/>
          <w:szCs w:val="24"/>
        </w:rPr>
        <w:t xml:space="preserve"> </w:t>
      </w:r>
      <w:r>
        <w:rPr>
          <w:sz w:val="24"/>
          <w:szCs w:val="24"/>
        </w:rPr>
        <w:t xml:space="preserve">ficará</w:t>
      </w:r>
      <w:r>
        <w:rPr>
          <w:spacing w:val="1"/>
          <w:sz w:val="24"/>
          <w:szCs w:val="24"/>
        </w:rPr>
        <w:t xml:space="preserve"> </w:t>
      </w:r>
      <w:r>
        <w:rPr>
          <w:sz w:val="24"/>
          <w:szCs w:val="24"/>
        </w:rPr>
        <w:t xml:space="preserve">obrigado</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comprovar</w:t>
      </w:r>
      <w:r>
        <w:rPr>
          <w:spacing w:val="1"/>
          <w:sz w:val="24"/>
          <w:szCs w:val="24"/>
        </w:rPr>
        <w:t xml:space="preserve"> </w:t>
      </w:r>
      <w:r>
        <w:rPr>
          <w:sz w:val="24"/>
          <w:szCs w:val="24"/>
        </w:rPr>
        <w:t xml:space="preserve">os</w:t>
      </w:r>
      <w:r>
        <w:rPr>
          <w:spacing w:val="1"/>
          <w:sz w:val="24"/>
          <w:szCs w:val="24"/>
        </w:rPr>
        <w:t xml:space="preserve"> </w:t>
      </w:r>
      <w:r>
        <w:rPr>
          <w:sz w:val="24"/>
          <w:szCs w:val="24"/>
        </w:rPr>
        <w:t xml:space="preserve">requisitos</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habilitação</w:t>
      </w:r>
      <w:r>
        <w:rPr>
          <w:spacing w:val="1"/>
          <w:sz w:val="24"/>
          <w:szCs w:val="24"/>
        </w:rPr>
        <w:t xml:space="preserve"> </w:t>
      </w:r>
      <w:r>
        <w:rPr>
          <w:sz w:val="24"/>
          <w:szCs w:val="24"/>
        </w:rPr>
        <w:t xml:space="preserve">cumulativamente, isto</w:t>
      </w:r>
      <w:r>
        <w:rPr>
          <w:spacing w:val="60"/>
          <w:sz w:val="24"/>
          <w:szCs w:val="24"/>
        </w:rPr>
        <w:t xml:space="preserve"> </w:t>
      </w:r>
      <w:r>
        <w:rPr>
          <w:sz w:val="24"/>
          <w:szCs w:val="24"/>
        </w:rPr>
        <w:t xml:space="preserve">é, somando as exigências</w:t>
      </w:r>
      <w:r>
        <w:rPr>
          <w:spacing w:val="61"/>
          <w:sz w:val="24"/>
          <w:szCs w:val="24"/>
        </w:rPr>
        <w:t xml:space="preserve"> </w:t>
      </w:r>
      <w:r>
        <w:rPr>
          <w:sz w:val="24"/>
          <w:szCs w:val="24"/>
        </w:rPr>
        <w:t xml:space="preserve">do lote em que venceu às do</w:t>
      </w:r>
      <w:r>
        <w:rPr>
          <w:spacing w:val="1"/>
          <w:sz w:val="24"/>
          <w:szCs w:val="24"/>
        </w:rPr>
        <w:t xml:space="preserve"> </w:t>
      </w:r>
      <w:r>
        <w:rPr>
          <w:sz w:val="24"/>
          <w:szCs w:val="24"/>
        </w:rPr>
        <w:t xml:space="preserve">lote</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que</w:t>
      </w:r>
      <w:r>
        <w:rPr>
          <w:spacing w:val="1"/>
          <w:sz w:val="24"/>
          <w:szCs w:val="24"/>
        </w:rPr>
        <w:t xml:space="preserve"> </w:t>
      </w:r>
      <w:r>
        <w:rPr>
          <w:sz w:val="24"/>
          <w:szCs w:val="24"/>
        </w:rPr>
        <w:t xml:space="preserve">estiver</w:t>
      </w:r>
      <w:r>
        <w:rPr>
          <w:spacing w:val="1"/>
          <w:sz w:val="24"/>
          <w:szCs w:val="24"/>
        </w:rPr>
        <w:t xml:space="preserve"> </w:t>
      </w:r>
      <w:r>
        <w:rPr>
          <w:sz w:val="24"/>
          <w:szCs w:val="24"/>
        </w:rPr>
        <w:t xml:space="preserve">concorrendo,</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assim</w:t>
      </w:r>
      <w:r>
        <w:rPr>
          <w:spacing w:val="1"/>
          <w:sz w:val="24"/>
          <w:szCs w:val="24"/>
        </w:rPr>
        <w:t xml:space="preserve"> </w:t>
      </w:r>
      <w:r>
        <w:rPr>
          <w:sz w:val="24"/>
          <w:szCs w:val="24"/>
        </w:rPr>
        <w:t xml:space="preserve">sucessivamente,</w:t>
      </w:r>
      <w:r>
        <w:rPr>
          <w:spacing w:val="1"/>
          <w:sz w:val="24"/>
          <w:szCs w:val="24"/>
        </w:rPr>
        <w:t xml:space="preserve"> </w:t>
      </w:r>
      <w:r>
        <w:rPr>
          <w:sz w:val="24"/>
          <w:szCs w:val="24"/>
        </w:rPr>
        <w:t xml:space="preserve">sob</w:t>
      </w:r>
      <w:r>
        <w:rPr>
          <w:spacing w:val="1"/>
          <w:sz w:val="24"/>
          <w:szCs w:val="24"/>
        </w:rPr>
        <w:t xml:space="preserve"> </w:t>
      </w:r>
      <w:r>
        <w:rPr>
          <w:sz w:val="24"/>
          <w:szCs w:val="24"/>
        </w:rPr>
        <w:t xml:space="preserve">pena</w:t>
      </w:r>
      <w:r>
        <w:rPr>
          <w:spacing w:val="61"/>
          <w:sz w:val="24"/>
          <w:szCs w:val="24"/>
        </w:rPr>
        <w:t xml:space="preserve"> </w:t>
      </w:r>
      <w:r>
        <w:rPr>
          <w:sz w:val="24"/>
          <w:szCs w:val="24"/>
        </w:rPr>
        <w:t xml:space="preserve">de</w:t>
      </w:r>
      <w:r>
        <w:rPr>
          <w:spacing w:val="1"/>
          <w:sz w:val="24"/>
          <w:szCs w:val="24"/>
        </w:rPr>
        <w:t xml:space="preserve"> </w:t>
      </w:r>
      <w:r>
        <w:rPr>
          <w:sz w:val="24"/>
          <w:szCs w:val="24"/>
        </w:rPr>
        <w:t xml:space="preserve">inabilitação,</w:t>
      </w:r>
      <w:r>
        <w:rPr>
          <w:spacing w:val="8"/>
          <w:sz w:val="24"/>
          <w:szCs w:val="24"/>
        </w:rPr>
        <w:t xml:space="preserve"> </w:t>
      </w:r>
      <w:r>
        <w:rPr>
          <w:sz w:val="24"/>
          <w:szCs w:val="24"/>
        </w:rPr>
        <w:t xml:space="preserve">além</w:t>
      </w:r>
      <w:r>
        <w:rPr>
          <w:spacing w:val="10"/>
          <w:sz w:val="24"/>
          <w:szCs w:val="24"/>
        </w:rPr>
        <w:t xml:space="preserve"> </w:t>
      </w:r>
      <w:r>
        <w:rPr>
          <w:sz w:val="24"/>
          <w:szCs w:val="24"/>
        </w:rPr>
        <w:t xml:space="preserve">da</w:t>
      </w:r>
      <w:r>
        <w:rPr>
          <w:spacing w:val="9"/>
          <w:sz w:val="24"/>
          <w:szCs w:val="24"/>
        </w:rPr>
        <w:t xml:space="preserve"> </w:t>
      </w:r>
      <w:r>
        <w:rPr>
          <w:sz w:val="24"/>
          <w:szCs w:val="24"/>
        </w:rPr>
        <w:t xml:space="preserve">aplicação</w:t>
      </w:r>
      <w:r>
        <w:rPr>
          <w:spacing w:val="7"/>
          <w:sz w:val="24"/>
          <w:szCs w:val="24"/>
        </w:rPr>
        <w:t xml:space="preserve"> </w:t>
      </w:r>
      <w:r>
        <w:rPr>
          <w:sz w:val="24"/>
          <w:szCs w:val="24"/>
        </w:rPr>
        <w:t xml:space="preserve">das</w:t>
      </w:r>
      <w:r>
        <w:rPr>
          <w:spacing w:val="9"/>
          <w:sz w:val="24"/>
          <w:szCs w:val="24"/>
        </w:rPr>
        <w:t xml:space="preserve"> </w:t>
      </w:r>
      <w:r>
        <w:rPr>
          <w:sz w:val="24"/>
          <w:szCs w:val="24"/>
        </w:rPr>
        <w:t xml:space="preserve">sanções</w:t>
      </w:r>
      <w:r>
        <w:rPr>
          <w:spacing w:val="11"/>
          <w:sz w:val="24"/>
          <w:szCs w:val="24"/>
        </w:rPr>
        <w:t xml:space="preserve"> </w:t>
      </w:r>
      <w:r>
        <w:rPr>
          <w:sz w:val="24"/>
          <w:szCs w:val="24"/>
        </w:rPr>
        <w:t xml:space="preserve">cabíveis.</w:t>
      </w:r>
      <w:r>
        <w:rPr>
          <w:sz w:val="24"/>
          <w:szCs w:val="24"/>
        </w:rPr>
      </w:r>
    </w:p>
    <w:p>
      <w:pPr>
        <w:pStyle w:val="969"/>
        <w:numPr>
          <w:ilvl w:val="3"/>
          <w:numId w:val="12"/>
        </w:numPr>
        <w:pBdr/>
        <w:tabs>
          <w:tab w:val="left" w:leader="none" w:pos="1418"/>
          <w:tab w:val="left" w:leader="none" w:pos="2410"/>
          <w:tab w:val="left" w:leader="none" w:pos="8080"/>
          <w:tab w:val="left" w:leader="none" w:pos="8222"/>
        </w:tabs>
        <w:spacing/>
        <w:ind w:right="-1" w:firstLine="0" w:left="0"/>
        <w:rPr>
          <w:sz w:val="24"/>
          <w:szCs w:val="24"/>
        </w:rPr>
      </w:pPr>
      <w:r>
        <w:rPr>
          <w:sz w:val="24"/>
          <w:szCs w:val="24"/>
        </w:rPr>
        <w:t xml:space="preserve">Não havendo a comprovação cumulativa dos requisitos de habilitação, a</w:t>
      </w:r>
      <w:r>
        <w:rPr>
          <w:spacing w:val="1"/>
          <w:sz w:val="24"/>
          <w:szCs w:val="24"/>
        </w:rPr>
        <w:t xml:space="preserve"> </w:t>
      </w:r>
      <w:r>
        <w:rPr>
          <w:sz w:val="24"/>
          <w:szCs w:val="24"/>
        </w:rPr>
        <w:t xml:space="preserve">inabilitação</w:t>
      </w:r>
      <w:r>
        <w:rPr>
          <w:spacing w:val="1"/>
          <w:sz w:val="24"/>
          <w:szCs w:val="24"/>
        </w:rPr>
        <w:t xml:space="preserve"> </w:t>
      </w:r>
      <w:r>
        <w:rPr>
          <w:sz w:val="24"/>
          <w:szCs w:val="24"/>
        </w:rPr>
        <w:t xml:space="preserve">recairá</w:t>
      </w:r>
      <w:r>
        <w:rPr>
          <w:spacing w:val="1"/>
          <w:sz w:val="24"/>
          <w:szCs w:val="24"/>
        </w:rPr>
        <w:t xml:space="preserve"> </w:t>
      </w:r>
      <w:r>
        <w:rPr>
          <w:sz w:val="24"/>
          <w:szCs w:val="24"/>
        </w:rPr>
        <w:t xml:space="preserve">sobre</w:t>
      </w:r>
      <w:r>
        <w:rPr>
          <w:spacing w:val="1"/>
          <w:sz w:val="24"/>
          <w:szCs w:val="24"/>
        </w:rPr>
        <w:t xml:space="preserve"> </w:t>
      </w:r>
      <w:r>
        <w:rPr>
          <w:sz w:val="24"/>
          <w:szCs w:val="24"/>
        </w:rPr>
        <w:t xml:space="preserve">o(s)</w:t>
      </w:r>
      <w:r>
        <w:rPr>
          <w:spacing w:val="1"/>
          <w:sz w:val="24"/>
          <w:szCs w:val="24"/>
        </w:rPr>
        <w:t xml:space="preserve"> </w:t>
      </w:r>
      <w:r>
        <w:rPr>
          <w:sz w:val="24"/>
          <w:szCs w:val="24"/>
        </w:rPr>
        <w:t xml:space="preserve">lote(s)</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menor(es)</w:t>
      </w:r>
      <w:r>
        <w:rPr>
          <w:spacing w:val="1"/>
          <w:sz w:val="24"/>
          <w:szCs w:val="24"/>
        </w:rPr>
        <w:t xml:space="preserve"> </w:t>
      </w:r>
      <w:r>
        <w:rPr>
          <w:sz w:val="24"/>
          <w:szCs w:val="24"/>
        </w:rPr>
        <w:t xml:space="preserve">valor(es)</w:t>
      </w:r>
      <w:r>
        <w:rPr>
          <w:spacing w:val="1"/>
          <w:sz w:val="24"/>
          <w:szCs w:val="24"/>
        </w:rPr>
        <w:t xml:space="preserve"> </w:t>
      </w:r>
      <w:r>
        <w:rPr>
          <w:sz w:val="24"/>
          <w:szCs w:val="24"/>
        </w:rPr>
        <w:t xml:space="preserve">cuja</w:t>
      </w:r>
      <w:r>
        <w:rPr>
          <w:spacing w:val="60"/>
          <w:sz w:val="24"/>
          <w:szCs w:val="24"/>
        </w:rPr>
        <w:t xml:space="preserve"> </w:t>
      </w:r>
      <w:r>
        <w:rPr>
          <w:sz w:val="24"/>
          <w:szCs w:val="24"/>
        </w:rPr>
        <w:t xml:space="preserve">retirada(s)</w:t>
      </w:r>
      <w:r>
        <w:rPr>
          <w:spacing w:val="1"/>
          <w:sz w:val="24"/>
          <w:szCs w:val="24"/>
        </w:rPr>
        <w:t xml:space="preserve"> </w:t>
      </w:r>
      <w:r>
        <w:rPr>
          <w:sz w:val="24"/>
          <w:szCs w:val="24"/>
        </w:rPr>
        <w:t xml:space="preserve">seja(m)</w:t>
      </w:r>
      <w:r>
        <w:rPr>
          <w:spacing w:val="12"/>
          <w:sz w:val="24"/>
          <w:szCs w:val="24"/>
        </w:rPr>
        <w:t xml:space="preserve"> </w:t>
      </w:r>
      <w:r>
        <w:rPr>
          <w:sz w:val="24"/>
          <w:szCs w:val="24"/>
        </w:rPr>
        <w:t xml:space="preserve">suficiente(s)</w:t>
      </w:r>
      <w:r>
        <w:rPr>
          <w:spacing w:val="12"/>
          <w:sz w:val="24"/>
          <w:szCs w:val="24"/>
        </w:rPr>
        <w:t xml:space="preserve"> </w:t>
      </w:r>
      <w:r>
        <w:rPr>
          <w:sz w:val="24"/>
          <w:szCs w:val="24"/>
        </w:rPr>
        <w:t xml:space="preserve">para</w:t>
      </w:r>
      <w:r>
        <w:rPr>
          <w:spacing w:val="14"/>
          <w:sz w:val="24"/>
          <w:szCs w:val="24"/>
        </w:rPr>
        <w:t xml:space="preserve"> </w:t>
      </w:r>
      <w:r>
        <w:rPr>
          <w:sz w:val="24"/>
          <w:szCs w:val="24"/>
        </w:rPr>
        <w:t xml:space="preserve">a</w:t>
      </w:r>
      <w:r>
        <w:rPr>
          <w:spacing w:val="16"/>
          <w:sz w:val="24"/>
          <w:szCs w:val="24"/>
        </w:rPr>
        <w:t xml:space="preserve"> </w:t>
      </w:r>
      <w:r>
        <w:rPr>
          <w:sz w:val="24"/>
          <w:szCs w:val="24"/>
        </w:rPr>
        <w:t xml:space="preserve">habilitação</w:t>
      </w:r>
      <w:r>
        <w:rPr>
          <w:spacing w:val="15"/>
          <w:sz w:val="24"/>
          <w:szCs w:val="24"/>
        </w:rPr>
        <w:t xml:space="preserve"> </w:t>
      </w:r>
      <w:r>
        <w:rPr>
          <w:sz w:val="24"/>
          <w:szCs w:val="24"/>
        </w:rPr>
        <w:t xml:space="preserve">do</w:t>
      </w:r>
      <w:r>
        <w:rPr>
          <w:spacing w:val="12"/>
          <w:sz w:val="24"/>
          <w:szCs w:val="24"/>
        </w:rPr>
        <w:t xml:space="preserve"> </w:t>
      </w:r>
      <w:r>
        <w:rPr>
          <w:sz w:val="24"/>
          <w:szCs w:val="24"/>
        </w:rPr>
        <w:t xml:space="preserve">licitante</w:t>
      </w:r>
      <w:r>
        <w:rPr>
          <w:spacing w:val="14"/>
          <w:sz w:val="24"/>
          <w:szCs w:val="24"/>
        </w:rPr>
        <w:t xml:space="preserve"> </w:t>
      </w:r>
      <w:r>
        <w:rPr>
          <w:sz w:val="24"/>
          <w:szCs w:val="24"/>
        </w:rPr>
        <w:t xml:space="preserve">nos</w:t>
      </w:r>
      <w:r>
        <w:rPr>
          <w:spacing w:val="13"/>
          <w:sz w:val="24"/>
          <w:szCs w:val="24"/>
        </w:rPr>
        <w:t xml:space="preserve"> </w:t>
      </w:r>
      <w:r>
        <w:rPr>
          <w:sz w:val="24"/>
          <w:szCs w:val="24"/>
        </w:rPr>
        <w:t xml:space="preserve">remanescentes.</w:t>
      </w:r>
      <w:r>
        <w:rPr>
          <w:sz w:val="24"/>
          <w:szCs w:val="24"/>
        </w:rPr>
      </w:r>
    </w:p>
    <w:p>
      <w:pPr>
        <w:pStyle w:val="969"/>
        <w:numPr>
          <w:ilvl w:val="3"/>
          <w:numId w:val="12"/>
        </w:numPr>
        <w:pBdr/>
        <w:tabs>
          <w:tab w:val="left" w:leader="none" w:pos="1418"/>
          <w:tab w:val="left" w:leader="none" w:pos="2410"/>
          <w:tab w:val="left" w:leader="none" w:pos="8080"/>
          <w:tab w:val="left" w:leader="none" w:pos="8222"/>
        </w:tabs>
        <w:spacing/>
        <w:ind w:right="-1" w:firstLine="0" w:left="0"/>
        <w:rPr>
          <w:sz w:val="24"/>
          <w:szCs w:val="24"/>
        </w:rPr>
      </w:pPr>
      <w:r>
        <w:rPr>
          <w:sz w:val="24"/>
          <w:szCs w:val="24"/>
        </w:rPr>
        <w:t xml:space="preserve">Constatado</w:t>
      </w:r>
      <w:r>
        <w:rPr>
          <w:spacing w:val="38"/>
          <w:sz w:val="24"/>
          <w:szCs w:val="24"/>
        </w:rPr>
        <w:t xml:space="preserve"> </w:t>
      </w:r>
      <w:r>
        <w:rPr>
          <w:sz w:val="24"/>
          <w:szCs w:val="24"/>
        </w:rPr>
        <w:t xml:space="preserve">o</w:t>
      </w:r>
      <w:r>
        <w:rPr>
          <w:spacing w:val="36"/>
          <w:sz w:val="24"/>
          <w:szCs w:val="24"/>
        </w:rPr>
        <w:t xml:space="preserve"> </w:t>
      </w:r>
      <w:r>
        <w:rPr>
          <w:sz w:val="24"/>
          <w:szCs w:val="24"/>
        </w:rPr>
        <w:t xml:space="preserve">atendimento</w:t>
      </w:r>
      <w:r>
        <w:rPr>
          <w:spacing w:val="37"/>
          <w:sz w:val="24"/>
          <w:szCs w:val="24"/>
        </w:rPr>
        <w:t xml:space="preserve"> </w:t>
      </w:r>
      <w:r>
        <w:rPr>
          <w:sz w:val="24"/>
          <w:szCs w:val="24"/>
        </w:rPr>
        <w:t xml:space="preserve">às</w:t>
      </w:r>
      <w:r>
        <w:rPr>
          <w:spacing w:val="37"/>
          <w:sz w:val="24"/>
          <w:szCs w:val="24"/>
        </w:rPr>
        <w:t xml:space="preserve"> </w:t>
      </w:r>
      <w:r>
        <w:rPr>
          <w:sz w:val="24"/>
          <w:szCs w:val="24"/>
        </w:rPr>
        <w:t xml:space="preserve">exigências</w:t>
      </w:r>
      <w:r>
        <w:rPr>
          <w:spacing w:val="39"/>
          <w:sz w:val="24"/>
          <w:szCs w:val="24"/>
        </w:rPr>
        <w:t xml:space="preserve"> </w:t>
      </w:r>
      <w:r>
        <w:rPr>
          <w:sz w:val="24"/>
          <w:szCs w:val="24"/>
        </w:rPr>
        <w:t xml:space="preserve">de</w:t>
      </w:r>
      <w:r>
        <w:rPr>
          <w:spacing w:val="39"/>
          <w:sz w:val="24"/>
          <w:szCs w:val="24"/>
        </w:rPr>
        <w:t xml:space="preserve"> </w:t>
      </w:r>
      <w:r>
        <w:rPr>
          <w:sz w:val="24"/>
          <w:szCs w:val="24"/>
        </w:rPr>
        <w:t xml:space="preserve">habilitação</w:t>
      </w:r>
      <w:r>
        <w:rPr>
          <w:spacing w:val="38"/>
          <w:sz w:val="24"/>
          <w:szCs w:val="24"/>
        </w:rPr>
        <w:t xml:space="preserve"> </w:t>
      </w:r>
      <w:r>
        <w:rPr>
          <w:sz w:val="24"/>
          <w:szCs w:val="24"/>
        </w:rPr>
        <w:t xml:space="preserve">fixadas</w:t>
      </w:r>
      <w:r>
        <w:rPr>
          <w:spacing w:val="39"/>
          <w:sz w:val="24"/>
          <w:szCs w:val="24"/>
        </w:rPr>
        <w:t xml:space="preserve"> </w:t>
      </w:r>
      <w:r>
        <w:rPr>
          <w:sz w:val="24"/>
          <w:szCs w:val="24"/>
        </w:rPr>
        <w:t xml:space="preserve">no</w:t>
      </w:r>
      <w:r>
        <w:rPr>
          <w:spacing w:val="38"/>
          <w:sz w:val="24"/>
          <w:szCs w:val="24"/>
        </w:rPr>
        <w:t xml:space="preserve"> </w:t>
      </w:r>
      <w:r>
        <w:rPr>
          <w:sz w:val="24"/>
          <w:szCs w:val="24"/>
        </w:rPr>
        <w:t xml:space="preserve">Edital,</w:t>
      </w:r>
      <w:r>
        <w:rPr>
          <w:spacing w:val="-58"/>
          <w:sz w:val="24"/>
          <w:szCs w:val="24"/>
        </w:rPr>
        <w:t xml:space="preserve"> </w:t>
      </w:r>
      <w:r>
        <w:rPr>
          <w:sz w:val="24"/>
          <w:szCs w:val="24"/>
        </w:rPr>
        <w:t xml:space="preserve">o</w:t>
      </w:r>
      <w:r>
        <w:rPr>
          <w:spacing w:val="8"/>
          <w:sz w:val="24"/>
          <w:szCs w:val="24"/>
        </w:rPr>
        <w:t xml:space="preserve"> </w:t>
      </w:r>
      <w:r>
        <w:rPr>
          <w:sz w:val="24"/>
          <w:szCs w:val="24"/>
        </w:rPr>
        <w:t xml:space="preserve">licitante</w:t>
      </w:r>
      <w:r>
        <w:rPr>
          <w:spacing w:val="9"/>
          <w:sz w:val="24"/>
          <w:szCs w:val="24"/>
        </w:rPr>
        <w:t xml:space="preserve"> </w:t>
      </w:r>
      <w:r>
        <w:rPr>
          <w:sz w:val="24"/>
          <w:szCs w:val="24"/>
        </w:rPr>
        <w:t xml:space="preserve">será</w:t>
      </w:r>
      <w:r>
        <w:rPr>
          <w:spacing w:val="9"/>
          <w:sz w:val="24"/>
          <w:szCs w:val="24"/>
        </w:rPr>
        <w:t xml:space="preserve"> </w:t>
      </w:r>
      <w:r>
        <w:rPr>
          <w:sz w:val="24"/>
          <w:szCs w:val="24"/>
        </w:rPr>
        <w:t xml:space="preserve">declarado</w:t>
      </w:r>
      <w:r>
        <w:rPr>
          <w:spacing w:val="6"/>
          <w:sz w:val="24"/>
          <w:szCs w:val="24"/>
        </w:rPr>
        <w:t xml:space="preserve"> </w:t>
      </w:r>
      <w:r>
        <w:rPr>
          <w:sz w:val="24"/>
          <w:szCs w:val="24"/>
        </w:rPr>
        <w:t xml:space="preserve">vencedor.</w:t>
      </w:r>
      <w:r>
        <w:rPr>
          <w:sz w:val="24"/>
          <w:szCs w:val="24"/>
        </w:rPr>
      </w:r>
    </w:p>
    <w:p>
      <w:pPr>
        <w:pStyle w:val="969"/>
        <w:pBdr/>
        <w:tabs>
          <w:tab w:val="left" w:leader="none" w:pos="1418"/>
          <w:tab w:val="left" w:leader="none" w:pos="2410"/>
          <w:tab w:val="left" w:leader="none" w:pos="8080"/>
          <w:tab w:val="left" w:leader="none" w:pos="8222"/>
        </w:tabs>
        <w:spacing/>
        <w:ind w:right="-1"/>
        <w:rPr>
          <w:sz w:val="24"/>
          <w:szCs w:val="24"/>
        </w:rPr>
      </w:pPr>
      <w:r>
        <w:rPr>
          <w:sz w:val="24"/>
          <w:szCs w:val="24"/>
        </w:rPr>
      </w:r>
      <w:r>
        <w:rPr>
          <w:sz w:val="24"/>
          <w:szCs w:val="24"/>
        </w:rPr>
      </w:r>
    </w:p>
    <w:p>
      <w:pPr>
        <w:pStyle w:val="969"/>
        <w:numPr>
          <w:ilvl w:val="2"/>
          <w:numId w:val="12"/>
        </w:numPr>
        <w:pBdr/>
        <w:tabs>
          <w:tab w:val="left" w:leader="none" w:pos="1134"/>
          <w:tab w:val="left" w:leader="none" w:pos="1701"/>
        </w:tabs>
        <w:spacing w:after="480" w:line="280" w:lineRule="atLeast"/>
        <w:ind/>
        <w:rPr>
          <w:b/>
          <w:sz w:val="24"/>
          <w:szCs w:val="24"/>
        </w:rPr>
      </w:pPr>
      <w:r>
        <w:rPr>
          <w:b/>
          <w:sz w:val="24"/>
          <w:szCs w:val="24"/>
        </w:rPr>
        <w:t xml:space="preserve">DAS DECLARAÇÕES E DOCUMENTAÇÕES COMPLEMENTARES:</w:t>
      </w:r>
      <w:r>
        <w:rPr>
          <w:b/>
          <w:sz w:val="24"/>
          <w:szCs w:val="24"/>
        </w:rPr>
      </w:r>
    </w:p>
    <w:p>
      <w:pPr>
        <w:pStyle w:val="969"/>
        <w:numPr>
          <w:ilvl w:val="3"/>
          <w:numId w:val="12"/>
        </w:numPr>
        <w:pBdr/>
        <w:spacing w:after="480" w:line="280" w:lineRule="atLeast"/>
        <w:ind/>
        <w:rPr>
          <w:b/>
          <w:sz w:val="24"/>
          <w:szCs w:val="24"/>
        </w:rPr>
      </w:pPr>
      <w:r>
        <w:rPr>
          <w:b/>
          <w:sz w:val="24"/>
          <w:szCs w:val="24"/>
        </w:rPr>
        <w:t xml:space="preserve">APRESENTAÇÃO DE DECLARAÇÃO UNIFICADA (ANEXO III):</w:t>
      </w:r>
      <w:r>
        <w:rPr>
          <w:b/>
          <w:sz w:val="24"/>
          <w:szCs w:val="24"/>
        </w:rPr>
      </w:r>
    </w:p>
    <w:p>
      <w:pPr>
        <w:pStyle w:val="969"/>
        <w:numPr>
          <w:ilvl w:val="0"/>
          <w:numId w:val="8"/>
        </w:numPr>
        <w:pBdr/>
        <w:spacing w:after="0" w:beforeAutospacing="1"/>
        <w:ind w:right="-1" w:firstLine="0" w:left="0"/>
        <w:rPr>
          <w:b/>
          <w:color w:val="000000" w:themeColor="text1"/>
          <w:sz w:val="24"/>
          <w:szCs w:val="24"/>
        </w:rPr>
      </w:pPr>
      <w:r>
        <w:rPr>
          <w:sz w:val="24"/>
          <w:szCs w:val="24"/>
        </w:rPr>
        <w:t xml:space="preserve">D</w:t>
      </w:r>
      <w:r>
        <w:rPr>
          <w:color w:val="000000" w:themeColor="text1"/>
          <w:sz w:val="24"/>
          <w:szCs w:val="24"/>
        </w:rPr>
        <w:t xml:space="preserve">eclaração de que está ciente e concorda com as condições contidas no edital e seus anexos, bem como de que a proposta apresentada compreende a integralidade dos custos para atendimento dos direitos trabalhistas assegurados na Constituição Federal, nas </w:t>
      </w:r>
      <w:r>
        <w:rPr>
          <w:color w:val="000000" w:themeColor="text1"/>
          <w:sz w:val="24"/>
          <w:szCs w:val="24"/>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 </w:t>
      </w:r>
      <w:r>
        <w:rPr>
          <w:b/>
          <w:color w:val="000000" w:themeColor="text1"/>
          <w:sz w:val="24"/>
          <w:szCs w:val="24"/>
        </w:rPr>
        <w:t xml:space="preserve">(Anexo III – inciso I);</w:t>
      </w:r>
      <w:r>
        <w:rPr>
          <w:b/>
          <w:color w:val="000000" w:themeColor="text1"/>
          <w:sz w:val="24"/>
          <w:szCs w:val="24"/>
        </w:rPr>
      </w:r>
    </w:p>
    <w:p>
      <w:pPr>
        <w:pStyle w:val="969"/>
        <w:numPr>
          <w:ilvl w:val="0"/>
          <w:numId w:val="8"/>
        </w:numPr>
        <w:pBdr/>
        <w:spacing w:after="0" w:beforeAutospacing="1"/>
        <w:ind w:right="-1" w:firstLine="0" w:left="0"/>
        <w:rPr>
          <w:b/>
          <w:color w:val="000000" w:themeColor="text1"/>
          <w:sz w:val="24"/>
          <w:szCs w:val="24"/>
        </w:rPr>
      </w:pPr>
      <w:r>
        <w:rPr>
          <w:color w:val="000000" w:themeColor="text1"/>
          <w:sz w:val="24"/>
          <w:szCs w:val="24"/>
        </w:rPr>
        <w:t xml:space="preserve">Declaração que os preços cotados incluem </w:t>
      </w:r>
      <w:r>
        <w:rPr>
          <w:b/>
          <w:color w:val="000000" w:themeColor="text1"/>
          <w:sz w:val="24"/>
          <w:szCs w:val="24"/>
        </w:rPr>
        <w:t xml:space="preserve">todos os custos e despesas</w:t>
      </w:r>
      <w:r>
        <w:rPr>
          <w:color w:val="000000" w:themeColor="text1"/>
          <w:sz w:val="24"/>
          <w:szCs w:val="24"/>
        </w:rPr>
        <w:t xml:space="preserve"> necessárias ao cumprimento integral das obrigações decorrentes desta licitação </w:t>
      </w:r>
      <w:r>
        <w:rPr>
          <w:b/>
          <w:color w:val="000000" w:themeColor="text1"/>
          <w:sz w:val="24"/>
          <w:szCs w:val="24"/>
        </w:rPr>
        <w:t xml:space="preserve">(Anexo III – inciso II);</w:t>
      </w:r>
      <w:r>
        <w:rPr>
          <w:b/>
          <w:color w:val="000000" w:themeColor="text1"/>
          <w:sz w:val="24"/>
          <w:szCs w:val="24"/>
        </w:rPr>
      </w:r>
    </w:p>
    <w:p>
      <w:pPr>
        <w:pStyle w:val="969"/>
        <w:numPr>
          <w:ilvl w:val="0"/>
          <w:numId w:val="8"/>
        </w:numPr>
        <w:pBdr/>
        <w:spacing w:after="0" w:beforeAutospacing="1"/>
        <w:ind w:right="-1" w:firstLine="0" w:left="0"/>
        <w:rPr>
          <w:b/>
          <w:color w:val="000000" w:themeColor="text1"/>
          <w:sz w:val="24"/>
          <w:szCs w:val="24"/>
        </w:rPr>
      </w:pPr>
      <w:r>
        <w:rPr>
          <w:color w:val="000000" w:themeColor="text1"/>
          <w:sz w:val="24"/>
          <w:szCs w:val="24"/>
        </w:rPr>
        <w:t xml:space="preserve">Declaração que, por ser de seu conhecimento, </w:t>
      </w:r>
      <w:r>
        <w:rPr>
          <w:b/>
          <w:color w:val="000000" w:themeColor="text1"/>
          <w:sz w:val="24"/>
          <w:szCs w:val="24"/>
        </w:rPr>
        <w:t xml:space="preserve">atende e se submete a todas as cláusulas e condições do Edital e Anexos</w:t>
      </w:r>
      <w:r>
        <w:rPr>
          <w:color w:val="000000" w:themeColor="text1"/>
          <w:sz w:val="24"/>
          <w:szCs w:val="24"/>
        </w:rPr>
        <w:t xml:space="preserve">, relativos </w:t>
      </w:r>
      <w:r>
        <w:rPr>
          <w:color w:val="000000" w:themeColor="text1"/>
          <w:sz w:val="24"/>
          <w:szCs w:val="24"/>
        </w:rPr>
        <w:t xml:space="preserve">a</w:t>
      </w:r>
      <w:r>
        <w:rPr>
          <w:color w:val="000000" w:themeColor="text1"/>
          <w:sz w:val="24"/>
          <w:szCs w:val="24"/>
        </w:rPr>
        <w:t xml:space="preserve"> licitação supra, bem como às disposições da Lei Federal nº</w:t>
      </w:r>
      <w:r>
        <w:rPr>
          <w:color w:val="000000" w:themeColor="text1"/>
          <w:sz w:val="24"/>
          <w:szCs w:val="24"/>
        </w:rPr>
        <w:t xml:space="preserve"> 14.133/2021 Lei Complementar nº 123/2006, com a redação que lhe atribuiu a Lei Complementar 147/2014 e Decretos nº 56.475/2015 e, e demais normas complementares que disciplinam o certame e que integrarão o ajuste correspondente, no que lhe for pertinente </w:t>
      </w:r>
      <w:r>
        <w:rPr>
          <w:b/>
          <w:color w:val="000000" w:themeColor="text1"/>
          <w:sz w:val="24"/>
          <w:szCs w:val="24"/>
        </w:rPr>
        <w:t xml:space="preserve">(Anexo III – inciso III);</w:t>
      </w:r>
      <w:r>
        <w:rPr>
          <w:b/>
          <w:color w:val="000000" w:themeColor="text1"/>
          <w:sz w:val="24"/>
          <w:szCs w:val="24"/>
        </w:rPr>
      </w:r>
    </w:p>
    <w:p>
      <w:pPr>
        <w:pStyle w:val="969"/>
        <w:numPr>
          <w:ilvl w:val="0"/>
          <w:numId w:val="8"/>
        </w:numPr>
        <w:pBdr/>
        <w:spacing w:after="0" w:beforeAutospacing="1"/>
        <w:ind w:right="-1" w:firstLine="0" w:left="0"/>
        <w:rPr>
          <w:b/>
          <w:color w:val="000000" w:themeColor="text1"/>
          <w:sz w:val="24"/>
          <w:szCs w:val="24"/>
        </w:rPr>
      </w:pPr>
      <w:r>
        <w:rPr>
          <w:color w:val="000000" w:themeColor="text1"/>
          <w:sz w:val="24"/>
          <w:szCs w:val="24"/>
        </w:rPr>
        <w:t xml:space="preserve">Declaração que tem condições de fornecer a quantidade estabelecida no prazo assinalado, independentemente dos demais compromissos de fornecimento porventura existentes, bem como que </w:t>
      </w:r>
      <w:r>
        <w:rPr>
          <w:b/>
          <w:color w:val="000000" w:themeColor="text1"/>
          <w:sz w:val="24"/>
          <w:szCs w:val="24"/>
        </w:rPr>
        <w:t xml:space="preserve">fornecerá o material de acordo com as especificações técnicas (Anexo I do Edital)</w:t>
      </w:r>
      <w:r>
        <w:rPr>
          <w:color w:val="000000" w:themeColor="text1"/>
          <w:sz w:val="24"/>
          <w:szCs w:val="24"/>
        </w:rPr>
        <w:t xml:space="preserve">, respeitando as condições de embalagens, prazos de validade, requisitos específicos, enfim todas as especificações </w:t>
      </w:r>
      <w:r>
        <w:rPr>
          <w:b/>
          <w:color w:val="000000" w:themeColor="text1"/>
          <w:sz w:val="24"/>
          <w:szCs w:val="24"/>
        </w:rPr>
        <w:t xml:space="preserve">(Anexo III – inciso IV);</w:t>
      </w:r>
      <w:r>
        <w:rPr>
          <w:b/>
          <w:color w:val="000000" w:themeColor="text1"/>
          <w:sz w:val="24"/>
          <w:szCs w:val="24"/>
        </w:rPr>
      </w:r>
    </w:p>
    <w:p>
      <w:pPr>
        <w:pStyle w:val="969"/>
        <w:numPr>
          <w:ilvl w:val="0"/>
          <w:numId w:val="8"/>
        </w:numPr>
        <w:pBdr/>
        <w:spacing w:after="0" w:beforeAutospacing="1"/>
        <w:ind w:right="-1" w:firstLine="0" w:left="0"/>
        <w:rPr>
          <w:b/>
          <w:color w:val="000000" w:themeColor="text1"/>
          <w:sz w:val="24"/>
          <w:szCs w:val="24"/>
        </w:rPr>
      </w:pPr>
      <w:r>
        <w:rPr>
          <w:color w:val="000000" w:themeColor="text1"/>
          <w:sz w:val="24"/>
          <w:szCs w:val="24"/>
        </w:rPr>
        <w:t xml:space="preserve">Declaração de </w:t>
      </w:r>
      <w:r>
        <w:rPr>
          <w:b/>
          <w:color w:val="000000" w:themeColor="text1"/>
          <w:sz w:val="24"/>
          <w:szCs w:val="24"/>
        </w:rPr>
        <w:t xml:space="preserve">inexistência de fatos supervenientes (Anexo III – inciso V);</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 de </w:t>
      </w:r>
      <w:r>
        <w:rPr>
          <w:b/>
          <w:color w:val="000000" w:themeColor="text1"/>
          <w:sz w:val="24"/>
          <w:szCs w:val="24"/>
        </w:rPr>
        <w:t xml:space="preserve">inidoneidade</w:t>
      </w:r>
      <w:r>
        <w:rPr>
          <w:color w:val="000000" w:themeColor="text1"/>
          <w:sz w:val="24"/>
          <w:szCs w:val="24"/>
        </w:rPr>
        <w:t xml:space="preserve"> </w:t>
      </w:r>
      <w:r>
        <w:rPr>
          <w:b/>
          <w:color w:val="000000" w:themeColor="text1"/>
          <w:sz w:val="24"/>
          <w:szCs w:val="24"/>
        </w:rPr>
        <w:t xml:space="preserve">(Anexo III – inciso VI);</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 de que não emprega </w:t>
      </w:r>
      <w:r>
        <w:rPr>
          <w:b/>
          <w:color w:val="000000" w:themeColor="text1"/>
          <w:sz w:val="24"/>
          <w:szCs w:val="24"/>
        </w:rPr>
        <w:t xml:space="preserve">menor de idade</w:t>
      </w:r>
      <w:r>
        <w:rPr>
          <w:color w:val="000000" w:themeColor="text1"/>
          <w:sz w:val="24"/>
          <w:szCs w:val="24"/>
        </w:rPr>
        <w:t xml:space="preserve"> salvo em condição de aprendiz (</w:t>
      </w:r>
      <w:r>
        <w:rPr>
          <w:b/>
          <w:color w:val="000000" w:themeColor="text1"/>
          <w:sz w:val="24"/>
          <w:szCs w:val="24"/>
        </w:rPr>
        <w:t xml:space="preserve">(Anexo III – inciso VII);</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 de cumprimento aos requisitos de </w:t>
      </w:r>
      <w:r>
        <w:rPr>
          <w:b/>
          <w:color w:val="000000" w:themeColor="text1"/>
          <w:sz w:val="24"/>
          <w:szCs w:val="24"/>
        </w:rPr>
        <w:t xml:space="preserve">habilitação</w:t>
      </w:r>
      <w:r>
        <w:rPr>
          <w:color w:val="000000" w:themeColor="text1"/>
          <w:sz w:val="24"/>
          <w:szCs w:val="24"/>
        </w:rPr>
        <w:t xml:space="preserve"> </w:t>
      </w:r>
      <w:r>
        <w:rPr>
          <w:b/>
          <w:color w:val="000000" w:themeColor="text1"/>
          <w:sz w:val="24"/>
          <w:szCs w:val="24"/>
        </w:rPr>
        <w:t xml:space="preserve">(Anexo III – inciso VIII);</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b/>
          <w:color w:val="000000" w:themeColor="text1"/>
          <w:sz w:val="24"/>
          <w:szCs w:val="24"/>
        </w:rPr>
        <w:t xml:space="preserve">Declaração de ausência de parentesco (Anexo III – inciso IX);</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 de ausência de </w:t>
      </w:r>
      <w:r>
        <w:rPr>
          <w:b/>
          <w:color w:val="000000" w:themeColor="text1"/>
          <w:sz w:val="24"/>
          <w:szCs w:val="24"/>
        </w:rPr>
        <w:t xml:space="preserve">trabalho degradante e/ou forçado</w:t>
      </w:r>
      <w:r>
        <w:rPr>
          <w:color w:val="000000" w:themeColor="text1"/>
          <w:sz w:val="24"/>
          <w:szCs w:val="24"/>
        </w:rPr>
        <w:t xml:space="preserve"> </w:t>
      </w:r>
      <w:r>
        <w:rPr>
          <w:b/>
          <w:color w:val="000000" w:themeColor="text1"/>
          <w:sz w:val="24"/>
          <w:szCs w:val="24"/>
        </w:rPr>
        <w:t xml:space="preserve">(Anexo III – inciso X);</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 de </w:t>
      </w:r>
      <w:r>
        <w:rPr>
          <w:b/>
          <w:color w:val="000000" w:themeColor="text1"/>
          <w:sz w:val="24"/>
          <w:szCs w:val="24"/>
        </w:rPr>
        <w:t xml:space="preserve">proibição de ato discriminatório</w:t>
      </w:r>
      <w:r>
        <w:rPr>
          <w:color w:val="000000" w:themeColor="text1"/>
          <w:sz w:val="24"/>
          <w:szCs w:val="24"/>
        </w:rPr>
        <w:t xml:space="preserve"> </w:t>
      </w:r>
      <w:r>
        <w:rPr>
          <w:b/>
          <w:color w:val="000000" w:themeColor="text1"/>
          <w:sz w:val="24"/>
          <w:szCs w:val="24"/>
        </w:rPr>
        <w:t xml:space="preserve">(Anexo III – inciso XI);</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 que cumpre as exigências de reserva de cargos para pessoa com deficiência e para reabilitado da Previdência Social, previstas em lei e em outras normas específicas </w:t>
      </w:r>
      <w:r>
        <w:rPr>
          <w:b/>
          <w:color w:val="000000" w:themeColor="text1"/>
          <w:sz w:val="24"/>
          <w:szCs w:val="24"/>
        </w:rPr>
        <w:t xml:space="preserve">(Anexo III – inciso XII);</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 de </w:t>
      </w:r>
      <w:r>
        <w:rPr>
          <w:b/>
          <w:color w:val="000000" w:themeColor="text1"/>
          <w:sz w:val="24"/>
          <w:szCs w:val="24"/>
        </w:rPr>
        <w:t xml:space="preserve">autenticidade de documentação</w:t>
      </w:r>
      <w:r>
        <w:rPr>
          <w:color w:val="000000" w:themeColor="text1"/>
          <w:sz w:val="24"/>
          <w:szCs w:val="24"/>
        </w:rPr>
        <w:t xml:space="preserve"> </w:t>
      </w:r>
      <w:r>
        <w:rPr>
          <w:b/>
          <w:color w:val="000000" w:themeColor="text1"/>
          <w:sz w:val="24"/>
          <w:szCs w:val="24"/>
        </w:rPr>
        <w:t xml:space="preserve">(Anexo III – inciso XIII)</w:t>
      </w:r>
      <w:r>
        <w:rPr>
          <w:color w:val="000000" w:themeColor="text1"/>
          <w:sz w:val="24"/>
          <w:szCs w:val="24"/>
        </w:rPr>
        <w:t xml:space="preserve">.</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w:t>
      </w:r>
      <w:r>
        <w:rPr>
          <w:b/>
          <w:color w:val="000000" w:themeColor="text1"/>
          <w:sz w:val="24"/>
          <w:szCs w:val="24"/>
        </w:rPr>
        <w:t xml:space="preserve"> </w:t>
      </w:r>
      <w:r>
        <w:rPr>
          <w:color w:val="000000" w:themeColor="text1"/>
          <w:sz w:val="24"/>
          <w:szCs w:val="24"/>
        </w:rPr>
        <w:t xml:space="preserve">de</w:t>
      </w:r>
      <w:r>
        <w:rPr>
          <w:b/>
          <w:color w:val="000000" w:themeColor="text1"/>
          <w:sz w:val="24"/>
          <w:szCs w:val="24"/>
        </w:rPr>
        <w:t xml:space="preserve"> Atendimento aos Critérios de Qualidade Ambiental e Sustentabilidade Socioambiental (Anexo III – inciso XIV).</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rPr>
      </w:pPr>
      <w:r>
        <w:rPr>
          <w:color w:val="000000" w:themeColor="text1"/>
          <w:sz w:val="24"/>
          <w:szCs w:val="24"/>
        </w:rPr>
        <w:t xml:space="preserve">Declaração de ciência de apresentação de</w:t>
      </w:r>
      <w:r>
        <w:rPr>
          <w:b/>
          <w:color w:val="000000" w:themeColor="text1"/>
          <w:sz w:val="24"/>
          <w:szCs w:val="24"/>
        </w:rPr>
        <w:t xml:space="preserve"> declarações e certidões pertinentes dos órgãos competentes (Anexo III – inciso XV);</w:t>
      </w:r>
      <w:r>
        <w:rPr>
          <w:b/>
          <w:color w:val="000000" w:themeColor="text1"/>
          <w:sz w:val="24"/>
          <w:szCs w:val="24"/>
        </w:rPr>
      </w:r>
    </w:p>
    <w:p>
      <w:pPr>
        <w:pStyle w:val="969"/>
        <w:numPr>
          <w:ilvl w:val="0"/>
          <w:numId w:val="8"/>
        </w:numPr>
        <w:pBdr/>
        <w:spacing w:after="0" w:before="0"/>
        <w:ind w:right="-1" w:firstLine="0" w:left="0"/>
        <w:rPr>
          <w:b/>
          <w:color w:val="000000" w:themeColor="text1"/>
          <w:sz w:val="24"/>
          <w:szCs w:val="24"/>
          <w:u w:val="single"/>
        </w:rPr>
      </w:pPr>
      <w:r>
        <w:rPr>
          <w:color w:val="000000" w:themeColor="text1"/>
          <w:sz w:val="24"/>
          <w:szCs w:val="24"/>
        </w:rPr>
        <w:t xml:space="preserve">Declaração de ciência da</w:t>
      </w:r>
      <w:r>
        <w:rPr>
          <w:b/>
          <w:color w:val="000000" w:themeColor="text1"/>
          <w:sz w:val="24"/>
          <w:szCs w:val="24"/>
        </w:rPr>
        <w:t xml:space="preserve"> </w:t>
      </w:r>
      <w:r>
        <w:rPr>
          <w:color w:val="000000" w:themeColor="text1"/>
          <w:sz w:val="24"/>
          <w:szCs w:val="24"/>
        </w:rPr>
        <w:t xml:space="preserve">obrigatoriedade da apresentação do registro no </w:t>
      </w:r>
      <w:r>
        <w:rPr>
          <w:b/>
          <w:color w:val="000000" w:themeColor="text1"/>
          <w:sz w:val="24"/>
          <w:szCs w:val="24"/>
        </w:rPr>
        <w:t xml:space="preserve">Cadastro Técnico Federal de Atividades Potencialmente Poluidoras ou Utilizadoras de Recursos Ambientais (Anexo III – inciso XVI);</w:t>
      </w:r>
      <w:r>
        <w:rPr>
          <w:b/>
          <w:color w:val="000000" w:themeColor="text1"/>
          <w:sz w:val="24"/>
          <w:szCs w:val="24"/>
          <w:u w:val="single"/>
        </w:rPr>
      </w:r>
    </w:p>
    <w:p>
      <w:pPr>
        <w:pStyle w:val="969"/>
        <w:numPr>
          <w:ilvl w:val="0"/>
          <w:numId w:val="8"/>
        </w:numPr>
        <w:pBdr/>
        <w:spacing w:after="0" w:before="0"/>
        <w:ind w:right="-1" w:firstLine="0" w:left="0"/>
        <w:rPr>
          <w:b/>
          <w:color w:val="000000" w:themeColor="text1"/>
          <w:sz w:val="24"/>
          <w:szCs w:val="24"/>
          <w:u w:val="single"/>
        </w:rPr>
      </w:pPr>
      <w:r>
        <w:rPr>
          <w:color w:val="000000" w:themeColor="text1"/>
          <w:sz w:val="24"/>
          <w:szCs w:val="24"/>
        </w:rPr>
        <w:t xml:space="preserve">Declaração de que </w:t>
      </w:r>
      <w:r>
        <w:rPr>
          <w:rFonts w:cs="Arial"/>
          <w:color w:val="000000" w:themeColor="text1"/>
          <w:sz w:val="24"/>
          <w:szCs w:val="24"/>
        </w:rPr>
        <w:t xml:space="preserve">nos 5 (cinco) anos anteriores à divulga</w:t>
      </w:r>
      <w:r>
        <w:rPr>
          <w:rFonts w:cs="Arial"/>
          <w:color w:val="000000" w:themeColor="text1"/>
          <w:sz w:val="24"/>
          <w:szCs w:val="24"/>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b/>
          <w:color w:val="000000" w:themeColor="text1"/>
          <w:sz w:val="24"/>
          <w:szCs w:val="24"/>
        </w:rPr>
        <w:t xml:space="preserve"> (Anexo III – inciso XVII);</w:t>
      </w:r>
      <w:r>
        <w:rPr>
          <w:b/>
          <w:color w:val="000000" w:themeColor="text1"/>
          <w:sz w:val="24"/>
          <w:szCs w:val="24"/>
          <w:u w:val="single"/>
        </w:rPr>
      </w:r>
    </w:p>
    <w:p>
      <w:pPr>
        <w:pStyle w:val="969"/>
        <w:numPr>
          <w:ilvl w:val="0"/>
          <w:numId w:val="8"/>
        </w:numPr>
        <w:pBdr/>
        <w:spacing w:after="0" w:before="0" w:beforeAutospacing="1"/>
        <w:ind w:right="-1" w:firstLine="0" w:left="0"/>
        <w:rPr>
          <w:b/>
          <w:color w:val="000000" w:themeColor="text1"/>
          <w:sz w:val="24"/>
          <w:szCs w:val="24"/>
          <w:u w:val="single"/>
        </w:rPr>
      </w:pPr>
      <w:r>
        <w:rPr>
          <w:b/>
          <w:color w:val="000000" w:themeColor="text1"/>
          <w:sz w:val="24"/>
          <w:szCs w:val="24"/>
          <w:u w:val="single"/>
        </w:rPr>
        <w:t xml:space="preserve">Declaração de que se</w:t>
      </w:r>
      <w:r>
        <w:rPr>
          <w:color w:val="000000" w:themeColor="text1"/>
          <w:sz w:val="24"/>
          <w:szCs w:val="24"/>
          <w:u w:val="single"/>
        </w:rPr>
        <w:t xml:space="preserve"> </w:t>
      </w:r>
      <w:r>
        <w:rPr>
          <w:b/>
          <w:color w:val="000000" w:themeColor="text1"/>
          <w:sz w:val="24"/>
          <w:szCs w:val="24"/>
          <w:u w:val="single"/>
        </w:rPr>
        <w:t xml:space="preserve">enquadra na</w:t>
      </w:r>
      <w:r>
        <w:rPr>
          <w:b/>
          <w:color w:val="000000" w:themeColor="text1"/>
          <w:spacing w:val="1"/>
          <w:sz w:val="24"/>
          <w:szCs w:val="24"/>
          <w:u w:val="single"/>
        </w:rPr>
        <w:t xml:space="preserve"> </w:t>
      </w:r>
      <w:r>
        <w:rPr>
          <w:b/>
          <w:color w:val="000000" w:themeColor="text1"/>
          <w:sz w:val="24"/>
          <w:szCs w:val="24"/>
          <w:u w:val="single"/>
        </w:rPr>
        <w:t xml:space="preserve">situação de microempresa, empresa de pequeno porte ou cooperativa, nos termos</w:t>
      </w:r>
      <w:r>
        <w:rPr>
          <w:b/>
          <w:color w:val="000000" w:themeColor="text1"/>
          <w:spacing w:val="1"/>
          <w:sz w:val="24"/>
          <w:szCs w:val="24"/>
          <w:u w:val="single"/>
        </w:rPr>
        <w:t xml:space="preserve"> </w:t>
      </w:r>
      <w:r>
        <w:rPr>
          <w:b/>
          <w:color w:val="000000" w:themeColor="text1"/>
          <w:sz w:val="24"/>
          <w:szCs w:val="24"/>
          <w:u w:val="single"/>
        </w:rPr>
        <w:t xml:space="preserve">da lei complementar nº 123/06, alterada pela lei complementar nº 147/14</w:t>
      </w:r>
      <w:r>
        <w:rPr>
          <w:color w:val="000000" w:themeColor="text1"/>
          <w:sz w:val="24"/>
          <w:szCs w:val="24"/>
        </w:rPr>
        <w:t xml:space="preserve">, sob as penas do artigo 299 do código penal bem</w:t>
      </w:r>
      <w:r>
        <w:rPr>
          <w:color w:val="000000" w:themeColor="text1"/>
          <w:spacing w:val="1"/>
          <w:sz w:val="24"/>
          <w:szCs w:val="24"/>
        </w:rPr>
        <w:t xml:space="preserve"> </w:t>
      </w:r>
      <w:r>
        <w:rPr>
          <w:color w:val="000000" w:themeColor="text1"/>
          <w:sz w:val="24"/>
          <w:szCs w:val="24"/>
        </w:rPr>
        <w:t xml:space="preserve">assim que inexistem fatos supervenientes que conduzam ao seu desenquadramento desta</w:t>
      </w:r>
      <w:r>
        <w:rPr>
          <w:color w:val="000000" w:themeColor="text1"/>
          <w:spacing w:val="-3"/>
          <w:sz w:val="24"/>
          <w:szCs w:val="24"/>
        </w:rPr>
        <w:t xml:space="preserve"> </w:t>
      </w:r>
      <w:r>
        <w:rPr>
          <w:color w:val="000000" w:themeColor="text1"/>
          <w:sz w:val="24"/>
          <w:szCs w:val="24"/>
        </w:rPr>
        <w:t xml:space="preserve">situação.</w:t>
      </w:r>
      <w:r>
        <w:rPr>
          <w:b/>
          <w:color w:val="000000" w:themeColor="text1"/>
          <w:sz w:val="24"/>
          <w:szCs w:val="24"/>
        </w:rPr>
        <w:t xml:space="preserve"> (Anexo III – inciso XVIII)</w:t>
      </w:r>
      <w:r>
        <w:rPr>
          <w:color w:val="000000" w:themeColor="text1"/>
          <w:sz w:val="24"/>
          <w:szCs w:val="24"/>
        </w:rPr>
        <w:t xml:space="preserve"> Declaração de que está ciente e concorda com as condições contidas no edital e seus anexos, bem como de que a proposta apresentada compreende a integralidade dos custos para atendimento dos direitos trabalhistas assegurados na Constituição </w:t>
      </w:r>
      <w:r>
        <w:rPr>
          <w:color w:val="000000" w:themeColor="text1"/>
          <w:sz w:val="24"/>
          <w:szCs w:val="24"/>
        </w:rPr>
        <w:t xml:space="preserve">Federal, nas leis trabalhistas, nas normas infralegais, nas convenções coletivas de trabalho e nos termos de ajustamento de conduta vigentes na data de sua entrega em definitivo e que cumpre plenamente os requisitos de habilitação definidos no instrumento;</w:t>
      </w:r>
      <w:r>
        <w:rPr>
          <w:b/>
          <w:color w:val="000000" w:themeColor="text1"/>
          <w:sz w:val="24"/>
          <w:szCs w:val="24"/>
          <w:u w:val="single"/>
        </w:rPr>
      </w:r>
    </w:p>
    <w:p>
      <w:pPr>
        <w:pStyle w:val="969"/>
        <w:pBdr/>
        <w:spacing w:after="0" w:before="0"/>
        <w:ind w:right="-1"/>
        <w:rPr>
          <w:b/>
          <w:color w:val="000000" w:themeColor="text1"/>
          <w:sz w:val="24"/>
          <w:szCs w:val="24"/>
          <w:u w:val="single"/>
        </w:rPr>
      </w:pPr>
      <w:r>
        <w:rPr>
          <w:b/>
          <w:color w:val="000000" w:themeColor="text1"/>
          <w:sz w:val="24"/>
          <w:szCs w:val="24"/>
          <w:u w:val="single"/>
        </w:rPr>
      </w:r>
      <w:r>
        <w:rPr>
          <w:b/>
          <w:color w:val="000000" w:themeColor="text1"/>
          <w:sz w:val="24"/>
          <w:szCs w:val="24"/>
          <w:u w:val="single"/>
        </w:rPr>
      </w:r>
    </w:p>
    <w:p>
      <w:pPr>
        <w:pStyle w:val="969"/>
        <w:numPr>
          <w:ilvl w:val="3"/>
          <w:numId w:val="12"/>
        </w:numPr>
        <w:pBdr/>
        <w:tabs>
          <w:tab w:val="left" w:leader="none" w:pos="1418"/>
        </w:tabs>
        <w:spacing w:after="480" w:line="280" w:lineRule="atLeast"/>
        <w:ind w:right="-1" w:firstLine="0" w:left="0"/>
        <w:rPr>
          <w:b/>
          <w:color w:val="000000" w:themeColor="text1"/>
          <w:sz w:val="24"/>
          <w:szCs w:val="24"/>
          <w:u w:val="single"/>
        </w:rPr>
      </w:pPr>
      <w:r>
        <w:rPr>
          <w:color w:val="000000" w:themeColor="text1"/>
          <w:sz w:val="24"/>
          <w:szCs w:val="24"/>
        </w:rPr>
        <w:t xml:space="preserve">A licitante poderá, ainda, suprir ou sanear eventuais omissões ou falhas, relativas ao cumprimento dos requisitos e condições de habilitação estabelecidos no edital, mediante a apresentação de documentos, </w:t>
      </w:r>
      <w:r>
        <w:rPr>
          <w:color w:val="000000" w:themeColor="text1"/>
          <w:sz w:val="24"/>
          <w:szCs w:val="24"/>
          <w:u w:val="single"/>
        </w:rPr>
        <w:t xml:space="preserve">desde que que os envie no curso da própria sessão pública do pregão e até a decisão sobre a habilitação</w:t>
      </w:r>
      <w:r>
        <w:rPr>
          <w:color w:val="000000" w:themeColor="text1"/>
          <w:sz w:val="24"/>
          <w:szCs w:val="24"/>
        </w:rPr>
        <w:t xml:space="preserve">, por meio do e-mail: licitacao@riodasflores.rj.gov.br.</w:t>
      </w:r>
      <w:r>
        <w:rPr>
          <w:b/>
          <w:color w:val="000000" w:themeColor="text1"/>
          <w:sz w:val="24"/>
          <w:szCs w:val="24"/>
          <w:u w:val="single"/>
        </w:rPr>
      </w:r>
    </w:p>
    <w:p>
      <w:pPr>
        <w:pStyle w:val="969"/>
        <w:pBdr/>
        <w:spacing w:after="480" w:line="280" w:lineRule="atLeast"/>
        <w:ind w:right="-1"/>
        <w:rPr>
          <w:b/>
          <w:color w:val="000000" w:themeColor="text1"/>
          <w:sz w:val="24"/>
          <w:szCs w:val="24"/>
          <w:u w:val="single"/>
        </w:rPr>
      </w:pPr>
      <w:r>
        <w:rPr>
          <w:b/>
          <w:color w:val="000000" w:themeColor="text1"/>
          <w:sz w:val="24"/>
          <w:szCs w:val="24"/>
        </w:rPr>
        <w:t xml:space="preserve">Obs</w:t>
      </w:r>
      <w:r>
        <w:rPr>
          <w:b/>
          <w:color w:val="000000" w:themeColor="text1"/>
          <w:sz w:val="24"/>
          <w:szCs w:val="24"/>
        </w:rPr>
        <w:t xml:space="preserve">: A apresentação da Declaração Unificada (Anexo III) é obrigatória.</w:t>
      </w:r>
      <w:r>
        <w:rPr>
          <w:b/>
          <w:color w:val="000000" w:themeColor="text1"/>
          <w:sz w:val="24"/>
          <w:szCs w:val="24"/>
          <w:u w:val="single"/>
        </w:rPr>
      </w:r>
    </w:p>
    <w:p>
      <w:pPr>
        <w:pStyle w:val="969"/>
        <w:numPr>
          <w:ilvl w:val="0"/>
          <w:numId w:val="12"/>
        </w:numPr>
        <w:pBdr/>
        <w:tabs>
          <w:tab w:val="left" w:leader="none" w:pos="284"/>
        </w:tabs>
        <w:spacing w:after="480" w:line="280" w:lineRule="atLeast"/>
        <w:ind w:firstLine="0" w:left="0"/>
        <w:rPr>
          <w:rFonts w:cs="Arial"/>
          <w:b/>
          <w:sz w:val="24"/>
          <w:szCs w:val="24"/>
        </w:rPr>
      </w:pPr>
      <w:r/>
      <w:bookmarkStart w:id="55" w:name="_Toc135469231"/>
      <w:r/>
      <w:bookmarkStart w:id="56" w:name="EDITALACESSODISTÂNCIA"/>
      <w:r/>
      <w:bookmarkEnd w:id="54"/>
      <w:r>
        <w:rPr>
          <w:rFonts w:cs="Arial"/>
          <w:b/>
          <w:sz w:val="24"/>
          <w:szCs w:val="24"/>
        </w:rPr>
        <w:t xml:space="preserve">DA ATA DE REGISTRO DE PREÇOS</w:t>
      </w:r>
      <w:bookmarkEnd w:id="55"/>
      <w:r>
        <w:rPr>
          <w:rFonts w:cs="Arial"/>
          <w:b/>
          <w:sz w:val="24"/>
          <w:szCs w:val="24"/>
        </w:rPr>
        <w:t xml:space="preserve">:</w:t>
      </w:r>
      <w:r>
        <w:rPr>
          <w:rFonts w:cs="Arial"/>
          <w:b/>
          <w:sz w:val="24"/>
          <w:szCs w:val="24"/>
        </w:rPr>
      </w:r>
    </w:p>
    <w:p>
      <w:pPr>
        <w:pStyle w:val="1142"/>
        <w:numPr>
          <w:ilvl w:val="1"/>
          <w:numId w:val="12"/>
        </w:numPr>
        <w:pBdr/>
        <w:spacing/>
        <w:ind w:firstLine="0" w:left="0"/>
        <w:rPr>
          <w:sz w:val="24"/>
          <w:szCs w:val="24"/>
        </w:rPr>
      </w:pPr>
      <w:r>
        <w:rPr>
          <w:sz w:val="24"/>
          <w:szCs w:val="24"/>
        </w:rPr>
        <w:t xml:space="preserve">Hom</w:t>
      </w:r>
      <w:r>
        <w:rPr>
          <w:color w:val="000000" w:themeColor="text1"/>
          <w:sz w:val="24"/>
          <w:szCs w:val="24"/>
        </w:rPr>
        <w:t xml:space="preserve">ologado o resultado da licitação, o licitante mais bem classificado terá o </w:t>
      </w:r>
      <w:r>
        <w:rPr>
          <w:b/>
          <w:color w:val="000000" w:themeColor="text1"/>
          <w:sz w:val="24"/>
          <w:szCs w:val="24"/>
        </w:rPr>
        <w:t xml:space="preserve">prazo de 02 (dois) dias úteis</w:t>
      </w:r>
      <w:r>
        <w:rPr>
          <w:color w:val="000000" w:themeColor="text1"/>
          <w:sz w:val="24"/>
          <w:szCs w:val="24"/>
        </w:rPr>
        <w:t xml:space="preserve">, contados a partir da data de sua convocação, para assinar a Ata de Registro de Preços, cujo prazo de validade encontra-se nela fixado, sob pena de decadência do direito à contrata</w:t>
      </w:r>
      <w:r>
        <w:rPr>
          <w:sz w:val="24"/>
          <w:szCs w:val="24"/>
        </w:rPr>
        <w:t xml:space="preserve">ção, sem prejuízo das sanções previstas na Lei nº 14.133, de 2021. </w:t>
      </w:r>
      <w:r>
        <w:rPr>
          <w:sz w:val="24"/>
          <w:szCs w:val="24"/>
        </w:rPr>
      </w:r>
    </w:p>
    <w:p>
      <w:pPr>
        <w:pStyle w:val="1142"/>
        <w:numPr>
          <w:ilvl w:val="1"/>
          <w:numId w:val="12"/>
        </w:numPr>
        <w:pBdr/>
        <w:spacing/>
        <w:ind w:firstLine="0" w:left="0"/>
        <w:rPr>
          <w:sz w:val="24"/>
          <w:szCs w:val="24"/>
        </w:rPr>
      </w:pPr>
      <w:r>
        <w:rPr>
          <w:sz w:val="24"/>
          <w:szCs w:val="24"/>
        </w:rPr>
        <w:t xml:space="preserve">O prazo de </w:t>
      </w:r>
      <w:r>
        <w:rPr>
          <w:color w:val="auto"/>
          <w:sz w:val="24"/>
          <w:szCs w:val="24"/>
        </w:rPr>
        <w:t xml:space="preserve">convocação poderá ser prorrogado uma vez</w:t>
      </w:r>
      <w:r>
        <w:rPr>
          <w:sz w:val="24"/>
          <w:szCs w:val="24"/>
        </w:rPr>
        <w:t xml:space="preserve">, por igual período, mediante solicitação do licitante mais bem classificado ou do fornecedor convocado, desde que:</w:t>
      </w:r>
      <w:r>
        <w:rPr>
          <w:sz w:val="24"/>
          <w:szCs w:val="24"/>
        </w:rPr>
      </w:r>
    </w:p>
    <w:p>
      <w:pPr>
        <w:pStyle w:val="1142"/>
        <w:numPr>
          <w:ilvl w:val="0"/>
          <w:numId w:val="0"/>
        </w:numPr>
        <w:pBdr/>
        <w:spacing/>
        <w:ind/>
        <w:rPr>
          <w:iCs/>
          <w:color w:val="auto"/>
          <w:sz w:val="24"/>
          <w:szCs w:val="24"/>
        </w:rPr>
      </w:pPr>
      <w:r>
        <w:rPr>
          <w:iCs/>
          <w:color w:val="auto"/>
          <w:sz w:val="24"/>
          <w:szCs w:val="24"/>
        </w:rPr>
        <w:t xml:space="preserve">(a) a solicitação seja devidamente justificada e apresentada dentro do prazo; e</w:t>
      </w:r>
      <w:r>
        <w:rPr>
          <w:iCs/>
          <w:color w:val="auto"/>
          <w:sz w:val="24"/>
          <w:szCs w:val="24"/>
        </w:rPr>
      </w:r>
    </w:p>
    <w:p>
      <w:pPr>
        <w:pStyle w:val="1142"/>
        <w:numPr>
          <w:ilvl w:val="0"/>
          <w:numId w:val="0"/>
        </w:numPr>
        <w:pBdr/>
        <w:spacing/>
        <w:ind/>
        <w:rPr>
          <w:iCs/>
          <w:color w:val="000000" w:themeColor="text1"/>
          <w:sz w:val="24"/>
          <w:szCs w:val="24"/>
        </w:rPr>
      </w:pPr>
      <w:r>
        <w:rPr>
          <w:iCs/>
          <w:color w:val="auto"/>
          <w:sz w:val="24"/>
          <w:szCs w:val="24"/>
        </w:rPr>
        <w:t xml:space="preserve">(b</w:t>
      </w:r>
      <w:r>
        <w:rPr>
          <w:iCs/>
          <w:color w:val="000000" w:themeColor="text1"/>
          <w:sz w:val="24"/>
          <w:szCs w:val="24"/>
        </w:rPr>
        <w:t xml:space="preserve">) a justificativa apresentada seja aceita pela Administração.</w:t>
      </w:r>
      <w:r>
        <w:rPr>
          <w:iCs/>
          <w:color w:val="000000" w:themeColor="text1"/>
          <w:sz w:val="24"/>
          <w:szCs w:val="24"/>
        </w:rPr>
      </w:r>
    </w:p>
    <w:p>
      <w:pPr>
        <w:pStyle w:val="1142"/>
        <w:numPr>
          <w:ilvl w:val="1"/>
          <w:numId w:val="12"/>
        </w:numPr>
        <w:pBdr/>
        <w:spacing/>
        <w:ind w:firstLine="0" w:left="0"/>
        <w:rPr>
          <w:color w:val="000000" w:themeColor="text1"/>
          <w:sz w:val="24"/>
          <w:szCs w:val="24"/>
        </w:rPr>
      </w:pPr>
      <w:r>
        <w:rPr>
          <w:color w:val="000000" w:themeColor="text1"/>
          <w:sz w:val="24"/>
          <w:szCs w:val="24"/>
        </w:rPr>
        <w:t xml:space="preserve">A ata de registro de preços será assinada por meio de assinatura digital e disponibilizada no sistema de registro de preços.</w:t>
      </w:r>
      <w:r>
        <w:rPr>
          <w:color w:val="000000" w:themeColor="text1"/>
          <w:sz w:val="24"/>
          <w:szCs w:val="24"/>
        </w:rPr>
      </w:r>
    </w:p>
    <w:p>
      <w:pPr>
        <w:pStyle w:val="1142"/>
        <w:numPr>
          <w:ilvl w:val="1"/>
          <w:numId w:val="12"/>
        </w:numPr>
        <w:pBdr/>
        <w:spacing/>
        <w:ind w:firstLine="0" w:left="0"/>
        <w:rPr>
          <w:sz w:val="24"/>
          <w:szCs w:val="24"/>
        </w:rPr>
      </w:pPr>
      <w:r>
        <w:rPr>
          <w:color w:val="000000" w:themeColor="text1"/>
          <w:sz w:val="24"/>
          <w:szCs w:val="24"/>
        </w:rPr>
        <w:t xml:space="preserve">Serão formalizadas tantas Atas de Registro de Preços quantas forem necessárias para o registro de todos os itens constantes no Termo de Referência, com a indicação do licitante vencedor, a descrição do(s) it</w:t>
      </w:r>
      <w:r>
        <w:rPr>
          <w:sz w:val="24"/>
          <w:szCs w:val="24"/>
        </w:rPr>
        <w:t xml:space="preserve">em(</w:t>
      </w:r>
      <w:r>
        <w:rPr>
          <w:sz w:val="24"/>
          <w:szCs w:val="24"/>
        </w:rPr>
        <w:t xml:space="preserve">ns</w:t>
      </w:r>
      <w:r>
        <w:rPr>
          <w:sz w:val="24"/>
          <w:szCs w:val="24"/>
        </w:rPr>
        <w:t xml:space="preserve">), as respectivas quantidades, preços registrados e demais condições.</w:t>
      </w:r>
      <w:r>
        <w:rPr>
          <w:sz w:val="24"/>
          <w:szCs w:val="24"/>
        </w:rPr>
      </w:r>
    </w:p>
    <w:p>
      <w:pPr>
        <w:pStyle w:val="1142"/>
        <w:numPr>
          <w:ilvl w:val="1"/>
          <w:numId w:val="12"/>
        </w:numPr>
        <w:pBdr/>
        <w:spacing/>
        <w:ind w:firstLine="0" w:left="0"/>
        <w:rPr>
          <w:sz w:val="24"/>
          <w:szCs w:val="24"/>
        </w:rPr>
      </w:pPr>
      <w:r>
        <w:rPr>
          <w:sz w:val="24"/>
          <w:szCs w:val="24"/>
        </w:rPr>
        <w:t xml:space="preserve">A </w:t>
      </w:r>
      <w:r>
        <w:rPr>
          <w:sz w:val="24"/>
          <w:szCs w:val="24"/>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24"/>
          <w:szCs w:val="24"/>
        </w:rPr>
      </w:r>
    </w:p>
    <w:p>
      <w:pPr>
        <w:pStyle w:val="1142"/>
        <w:numPr>
          <w:ilvl w:val="1"/>
          <w:numId w:val="12"/>
        </w:numPr>
        <w:pBdr/>
        <w:spacing/>
        <w:ind w:firstLine="0" w:left="0"/>
        <w:rPr>
          <w:color w:val="auto"/>
          <w:sz w:val="24"/>
          <w:szCs w:val="24"/>
        </w:rPr>
      </w:pPr>
      <w:r>
        <w:rPr>
          <w:color w:val="auto"/>
          <w:sz w:val="24"/>
          <w:szCs w:val="24"/>
        </w:rPr>
        <w:t xml:space="preserve">Na hipótese de o convocado não assinar a ata de reg</w:t>
      </w:r>
      <w:r>
        <w:rPr>
          <w:color w:val="auto"/>
          <w:sz w:val="24"/>
          <w:szCs w:val="24"/>
        </w:rPr>
        <w:t xml:space="preserve">istro de preços no prazo e nas condições estabelecidas, fica facultado à Administração convocar os licitantes remanescentes do cadastro de reserva, na ordem de classificação, para fazê-lo em igual prazo e nas condições propostas pelo primeiro classificado.</w:t>
      </w:r>
      <w:r>
        <w:rPr>
          <w:color w:val="auto"/>
          <w:sz w:val="24"/>
          <w:szCs w:val="24"/>
        </w:rPr>
      </w:r>
    </w:p>
    <w:p>
      <w:pPr>
        <w:pStyle w:val="1142"/>
        <w:numPr>
          <w:ilvl w:val="1"/>
          <w:numId w:val="12"/>
        </w:numPr>
        <w:pBdr/>
        <w:spacing/>
        <w:ind w:firstLine="0" w:left="0"/>
        <w:rPr>
          <w:rFonts w:eastAsia="Times New Roman"/>
          <w:color w:val="ff0000"/>
          <w:sz w:val="24"/>
          <w:szCs w:val="24"/>
        </w:rPr>
      </w:pPr>
      <w:r>
        <w:rPr>
          <w:rFonts w:eastAsia="Times New Roman"/>
          <w:color w:val="ff0000"/>
          <w:sz w:val="24"/>
          <w:szCs w:val="24"/>
        </w:rPr>
        <w:t xml:space="preserve">O prazo de vigência da ata de registro de preços será de </w:t>
      </w:r>
      <w:r>
        <w:rPr>
          <w:rFonts w:eastAsia="Times New Roman"/>
          <w:b/>
          <w:color w:val="ff0000"/>
          <w:sz w:val="24"/>
          <w:szCs w:val="24"/>
        </w:rPr>
        <w:t xml:space="preserve">01 (um) ano</w:t>
      </w:r>
      <w:r>
        <w:rPr>
          <w:rFonts w:eastAsia="Times New Roman"/>
          <w:color w:val="ff0000"/>
          <w:sz w:val="24"/>
          <w:szCs w:val="24"/>
        </w:rPr>
        <w:t xml:space="preserve">, contado do primeiro dia útil subsequente à data de assinatura da Ata de Registro de Preços, e poderá ser prorrogado por igual período, desde que comprovado que o preço é vantajoso.</w:t>
      </w:r>
      <w:r>
        <w:rPr>
          <w:rFonts w:eastAsia="Times New Roman"/>
          <w:color w:val="ff0000"/>
          <w:sz w:val="24"/>
          <w:szCs w:val="24"/>
        </w:rPr>
      </w:r>
    </w:p>
    <w:p>
      <w:pPr>
        <w:pStyle w:val="1142"/>
        <w:numPr>
          <w:ilvl w:val="2"/>
          <w:numId w:val="12"/>
        </w:numPr>
        <w:pBdr/>
        <w:spacing/>
        <w:ind/>
        <w:rPr>
          <w:rFonts w:eastAsia="Arial"/>
          <w:color w:val="ff0000"/>
          <w:sz w:val="24"/>
          <w:szCs w:val="24"/>
        </w:rPr>
      </w:pPr>
      <w:r>
        <w:rPr>
          <w:color w:val="ff0000"/>
          <w:sz w:val="24"/>
          <w:szCs w:val="24"/>
        </w:rPr>
        <w:t xml:space="preserve">Em caso de prorrogação, a Administração poderá proceder ao estorno dos quantitativos durante a vigência in</w:t>
      </w:r>
      <w:r>
        <w:rPr>
          <w:color w:val="ff0000"/>
          <w:sz w:val="24"/>
          <w:szCs w:val="24"/>
        </w:rPr>
        <w:t xml:space="preserve">icial, promovendo o ajuste do saldo remanescente conforme a necessidade administrativa e disponibilidade orçamentária, sem que tal medida gere direito à indenização ao fornecedor registrado, tendo em vista o caráter estimativo dos quantitativos registrados</w:t>
      </w:r>
      <w:r>
        <w:rPr>
          <w:rFonts w:eastAsia="Arial"/>
          <w:color w:val="ff0000"/>
          <w:sz w:val="24"/>
          <w:szCs w:val="24"/>
        </w:rPr>
        <w:t xml:space="preserve">.</w:t>
      </w:r>
      <w:r>
        <w:rPr>
          <w:rFonts w:eastAsia="Arial"/>
          <w:color w:val="ff0000"/>
          <w:sz w:val="24"/>
          <w:szCs w:val="24"/>
        </w:rPr>
      </w:r>
    </w:p>
    <w:p>
      <w:pPr>
        <w:pStyle w:val="1142"/>
        <w:numPr>
          <w:ilvl w:val="2"/>
          <w:numId w:val="12"/>
        </w:numPr>
        <w:pBdr/>
        <w:spacing/>
        <w:ind/>
        <w:rPr>
          <w:color w:val="ff0000"/>
          <w:sz w:val="24"/>
          <w:szCs w:val="24"/>
        </w:rPr>
      </w:pPr>
      <w:r>
        <w:rPr>
          <w:color w:val="ff0000"/>
          <w:sz w:val="24"/>
          <w:szCs w:val="24"/>
        </w:rPr>
        <w:t xml:space="preserve">Considerando o caráter estimativo dos quantitativos registrados em Ata de Registro de Preços, bem como a inexistência de contratação efetivada até o presente momento, e tendo em vista a</w:t>
      </w:r>
      <w:r>
        <w:rPr>
          <w:color w:val="ff0000"/>
          <w:sz w:val="24"/>
          <w:szCs w:val="24"/>
        </w:rPr>
        <w:t xml:space="preserve"> alteração superveniente da necessidade administrativa relacionada ao fornecimento do objeto, poderá decidir pelo estorno integral dos quantitativos registrados, sem que tal medida gere direito à indenização ao fornecedor, nos termos da Lei nº 14.133/2021.</w:t>
      </w:r>
      <w:r>
        <w:rPr>
          <w:color w:val="ff0000"/>
          <w:sz w:val="24"/>
          <w:szCs w:val="24"/>
        </w:rPr>
      </w:r>
    </w:p>
    <w:p>
      <w:pPr>
        <w:pStyle w:val="1142"/>
        <w:numPr>
          <w:ilvl w:val="0"/>
          <w:numId w:val="0"/>
        </w:numPr>
        <w:pBdr/>
        <w:spacing/>
        <w:ind w:left="3934"/>
        <w:rPr>
          <w:color w:val="ff0000"/>
          <w:sz w:val="24"/>
          <w:szCs w:val="24"/>
        </w:rPr>
      </w:pPr>
      <w:r>
        <w:rPr>
          <w:color w:val="ff0000"/>
          <w:sz w:val="24"/>
          <w:szCs w:val="24"/>
        </w:rPr>
      </w:r>
      <w:r>
        <w:rPr>
          <w:color w:val="ff0000"/>
          <w:sz w:val="24"/>
          <w:szCs w:val="24"/>
        </w:rPr>
      </w:r>
    </w:p>
    <w:p>
      <w:pPr>
        <w:pStyle w:val="1142"/>
        <w:numPr>
          <w:ilvl w:val="1"/>
          <w:numId w:val="12"/>
        </w:numPr>
        <w:pBdr/>
        <w:tabs>
          <w:tab w:val="left" w:leader="none" w:pos="851"/>
          <w:tab w:val="left" w:leader="none" w:pos="1560"/>
        </w:tabs>
        <w:spacing/>
        <w:ind/>
        <w:rPr>
          <w:color w:val="auto"/>
          <w:sz w:val="24"/>
          <w:szCs w:val="24"/>
        </w:rPr>
      </w:pPr>
      <w:r>
        <w:rPr>
          <w:rFonts w:eastAsia="Times New Roman"/>
          <w:color w:val="auto"/>
          <w:sz w:val="24"/>
          <w:szCs w:val="24"/>
        </w:rPr>
        <w:t xml:space="preserve">O contrato decorrente da ata de registro de preços terá sua vigência estabelecida na forma prevista no art. 36, Decreto Federal nº 11.462/2023 c/c art. 105, Lei Federal nº 14.133/2021.</w:t>
      </w:r>
      <w:r>
        <w:rPr>
          <w:color w:val="auto"/>
          <w:sz w:val="24"/>
          <w:szCs w:val="24"/>
        </w:rPr>
      </w:r>
    </w:p>
    <w:p>
      <w:pPr>
        <w:pStyle w:val="1142"/>
        <w:numPr>
          <w:ilvl w:val="0"/>
          <w:numId w:val="0"/>
        </w:numPr>
        <w:pBdr/>
        <w:tabs>
          <w:tab w:val="left" w:leader="none" w:pos="851"/>
          <w:tab w:val="left" w:leader="none" w:pos="1560"/>
        </w:tabs>
        <w:spacing/>
        <w:ind/>
        <w:rPr>
          <w:color w:val="auto"/>
          <w:sz w:val="24"/>
          <w:szCs w:val="24"/>
        </w:rPr>
      </w:pPr>
      <w:r>
        <w:rPr>
          <w:color w:val="auto"/>
          <w:sz w:val="24"/>
          <w:szCs w:val="24"/>
        </w:rPr>
      </w:r>
      <w:r>
        <w:rPr>
          <w:color w:val="auto"/>
          <w:sz w:val="24"/>
          <w:szCs w:val="24"/>
        </w:rPr>
      </w:r>
    </w:p>
    <w:p>
      <w:pPr>
        <w:pStyle w:val="969"/>
        <w:numPr>
          <w:ilvl w:val="0"/>
          <w:numId w:val="12"/>
        </w:numPr>
        <w:pBdr/>
        <w:tabs>
          <w:tab w:val="left" w:leader="none" w:pos="567"/>
        </w:tabs>
        <w:spacing w:after="480" w:line="280" w:lineRule="atLeast"/>
        <w:ind w:firstLine="0" w:left="0"/>
        <w:rPr>
          <w:b/>
          <w:sz w:val="24"/>
          <w:szCs w:val="24"/>
        </w:rPr>
      </w:pPr>
      <w:r/>
      <w:bookmarkStart w:id="57" w:name="_Toc135469232"/>
      <w:r>
        <w:rPr>
          <w:b/>
          <w:sz w:val="24"/>
          <w:szCs w:val="24"/>
        </w:rPr>
        <w:t xml:space="preserve">DA FORMAÇÃO DO CADASTRO DE RESERVA</w:t>
      </w:r>
      <w:bookmarkEnd w:id="57"/>
      <w:r>
        <w:rPr>
          <w:b/>
          <w:sz w:val="24"/>
          <w:szCs w:val="24"/>
        </w:rPr>
        <w:t xml:space="preserve">:</w:t>
      </w:r>
      <w:r>
        <w:rPr>
          <w:b/>
          <w:sz w:val="24"/>
          <w:szCs w:val="24"/>
        </w:rPr>
      </w:r>
    </w:p>
    <w:p>
      <w:pPr>
        <w:pStyle w:val="1142"/>
        <w:numPr>
          <w:ilvl w:val="1"/>
          <w:numId w:val="12"/>
        </w:numPr>
        <w:pBdr/>
        <w:spacing/>
        <w:ind w:firstLine="0" w:left="0"/>
        <w:rPr>
          <w:sz w:val="24"/>
          <w:szCs w:val="24"/>
        </w:rPr>
      </w:pPr>
      <w:r>
        <w:rPr>
          <w:sz w:val="24"/>
          <w:szCs w:val="24"/>
        </w:rPr>
        <w:t xml:space="preserve">Após a homologação da licitação, será incluído na ata, na forma de anexo, o registro:</w:t>
      </w:r>
      <w:r>
        <w:rPr>
          <w:sz w:val="24"/>
          <w:szCs w:val="24"/>
        </w:rPr>
      </w:r>
    </w:p>
    <w:p>
      <w:pPr>
        <w:pStyle w:val="1143"/>
        <w:numPr>
          <w:ilvl w:val="2"/>
          <w:numId w:val="12"/>
        </w:numPr>
        <w:pBdr/>
        <w:tabs>
          <w:tab w:val="left" w:leader="none" w:pos="851"/>
        </w:tabs>
        <w:spacing/>
        <w:ind w:firstLine="0" w:left="0"/>
        <w:rPr>
          <w:sz w:val="24"/>
          <w:szCs w:val="24"/>
        </w:rPr>
      </w:pPr>
      <w:r>
        <w:rPr>
          <w:sz w:val="24"/>
          <w:szCs w:val="24"/>
        </w:rPr>
        <w:t xml:space="preserve">dos licitantes </w:t>
      </w:r>
      <w:bookmarkStart w:id="58" w:name="_Hlk132991372"/>
      <w:r>
        <w:rPr>
          <w:sz w:val="24"/>
          <w:szCs w:val="24"/>
        </w:rPr>
        <w:t xml:space="preserve">que </w:t>
      </w:r>
      <w:bookmarkStart w:id="59" w:name="_Hlk132989696"/>
      <w:r>
        <w:rPr>
          <w:sz w:val="24"/>
          <w:szCs w:val="24"/>
        </w:rPr>
        <w:t xml:space="preserve">aceitarem cotar o objeto com preço igual ao do adjudicatári</w:t>
      </w:r>
      <w:bookmarkEnd w:id="58"/>
      <w:r>
        <w:rPr>
          <w:sz w:val="24"/>
          <w:szCs w:val="24"/>
        </w:rPr>
        <w:t xml:space="preserve">o</w:t>
      </w:r>
      <w:bookmarkEnd w:id="59"/>
      <w:r>
        <w:rPr>
          <w:sz w:val="24"/>
          <w:szCs w:val="24"/>
        </w:rPr>
        <w:t xml:space="preserve">, observada a classificação na licitação; e </w:t>
      </w:r>
      <w:r>
        <w:rPr>
          <w:sz w:val="24"/>
          <w:szCs w:val="24"/>
        </w:rPr>
      </w:r>
    </w:p>
    <w:p>
      <w:pPr>
        <w:pStyle w:val="1143"/>
        <w:numPr>
          <w:ilvl w:val="2"/>
          <w:numId w:val="12"/>
        </w:numPr>
        <w:pBdr/>
        <w:tabs>
          <w:tab w:val="left" w:leader="none" w:pos="851"/>
          <w:tab w:val="left" w:leader="none" w:pos="1560"/>
        </w:tabs>
        <w:spacing/>
        <w:ind w:firstLine="0" w:left="0"/>
        <w:rPr>
          <w:rFonts w:eastAsia="MS Mincho"/>
          <w:iCs/>
          <w:sz w:val="24"/>
          <w:szCs w:val="24"/>
        </w:rPr>
      </w:pPr>
      <w:r>
        <w:rPr>
          <w:sz w:val="24"/>
          <w:szCs w:val="24"/>
        </w:rPr>
        <w:t xml:space="preserve">dos licitantes que mantiverem sua proposta original</w:t>
      </w:r>
      <w:r>
        <w:rPr>
          <w:rFonts w:eastAsia="MS Mincho"/>
          <w:iCs/>
          <w:sz w:val="24"/>
          <w:szCs w:val="24"/>
        </w:rPr>
      </w:r>
    </w:p>
    <w:p>
      <w:pPr>
        <w:pStyle w:val="1142"/>
        <w:numPr>
          <w:ilvl w:val="1"/>
          <w:numId w:val="12"/>
        </w:numPr>
        <w:pBdr/>
        <w:tabs>
          <w:tab w:val="left" w:leader="none" w:pos="851"/>
          <w:tab w:val="left" w:leader="none" w:pos="993"/>
          <w:tab w:val="left" w:leader="none" w:pos="1276"/>
          <w:tab w:val="left" w:leader="none" w:pos="1418"/>
          <w:tab w:val="left" w:leader="none" w:pos="1985"/>
        </w:tabs>
        <w:spacing/>
        <w:ind w:firstLine="0" w:left="0"/>
        <w:rPr>
          <w:rFonts w:eastAsia="MS Mincho"/>
          <w:i/>
          <w:iCs/>
          <w:sz w:val="24"/>
          <w:szCs w:val="24"/>
        </w:rPr>
      </w:pPr>
      <w:r>
        <w:rPr>
          <w:sz w:val="24"/>
          <w:szCs w:val="24"/>
        </w:rPr>
        <w:t xml:space="preserve">Será respeitada, nas contratações, a ordem de classificação dos licitantes ou fornecedores registrados na ata.</w:t>
      </w:r>
      <w:r>
        <w:rPr>
          <w:rFonts w:eastAsia="MS Mincho"/>
          <w:i/>
          <w:iCs/>
          <w:sz w:val="24"/>
          <w:szCs w:val="24"/>
        </w:rPr>
      </w:r>
    </w:p>
    <w:p>
      <w:pPr>
        <w:pStyle w:val="1143"/>
        <w:numPr>
          <w:ilvl w:val="2"/>
          <w:numId w:val="12"/>
        </w:numPr>
        <w:pBdr/>
        <w:tabs>
          <w:tab w:val="left" w:leader="none" w:pos="851"/>
          <w:tab w:val="left" w:leader="none" w:pos="1560"/>
        </w:tabs>
        <w:spacing/>
        <w:ind w:firstLine="0" w:left="0"/>
        <w:rPr>
          <w:rFonts w:eastAsia="Times New Roman"/>
          <w:sz w:val="24"/>
          <w:szCs w:val="24"/>
        </w:rPr>
      </w:pPr>
      <w:r>
        <w:rPr>
          <w:sz w:val="24"/>
          <w:szCs w:val="24"/>
        </w:rPr>
        <w:t xml:space="preserve">A apresentação de novas propostas na forma deste item não prejudicará o resultado do certame em relação ao licitante mais bem classificado.</w:t>
      </w:r>
      <w:r>
        <w:rPr>
          <w:rFonts w:eastAsia="Times New Roman"/>
          <w:sz w:val="24"/>
          <w:szCs w:val="24"/>
        </w:rPr>
      </w:r>
    </w:p>
    <w:p>
      <w:pPr>
        <w:pStyle w:val="1143"/>
        <w:numPr>
          <w:ilvl w:val="2"/>
          <w:numId w:val="12"/>
        </w:numPr>
        <w:pBdr/>
        <w:tabs>
          <w:tab w:val="left" w:leader="none" w:pos="851"/>
        </w:tabs>
        <w:spacing/>
        <w:ind w:firstLine="0" w:left="0"/>
        <w:rPr>
          <w:sz w:val="24"/>
          <w:szCs w:val="24"/>
        </w:rPr>
      </w:pPr>
      <w:r>
        <w:rPr>
          <w:sz w:val="24"/>
          <w:szCs w:val="24"/>
        </w:rPr>
        <w:t xml:space="preserve">Para fins da ordem de classificação, os licitantes ou fornecedores que aceitarem cotar o objeto com preço igual ao do adjudicatário antecederão aqueles que mantiverem sua proposta original.</w:t>
      </w:r>
      <w:r>
        <w:rPr>
          <w:sz w:val="24"/>
          <w:szCs w:val="24"/>
        </w:rPr>
      </w:r>
    </w:p>
    <w:p>
      <w:pPr>
        <w:pStyle w:val="1142"/>
        <w:numPr>
          <w:ilvl w:val="1"/>
          <w:numId w:val="12"/>
        </w:numPr>
        <w:pBdr/>
        <w:tabs>
          <w:tab w:val="left" w:leader="none" w:pos="0"/>
        </w:tabs>
        <w:spacing/>
        <w:ind w:firstLine="0" w:left="0"/>
        <w:rPr>
          <w:color w:val="ff0000"/>
          <w:sz w:val="24"/>
          <w:szCs w:val="24"/>
        </w:rPr>
      </w:pPr>
      <w:r>
        <w:rPr>
          <w:color w:val="ff0000"/>
          <w:sz w:val="24"/>
          <w:szCs w:val="24"/>
        </w:rPr>
        <w:t xml:space="preserve"> </w:t>
      </w:r>
      <w:r>
        <w:rPr>
          <w:sz w:val="24"/>
          <w:szCs w:val="24"/>
        </w:rPr>
        <w:t xml:space="preserve">A habilitação dos licitantes que comporão o cadastro de reserva será efetuada quando houver necessidade de contratação dos licitantes remanescentes, nas seguintes hipóteses:</w:t>
      </w:r>
      <w:r>
        <w:rPr>
          <w:color w:val="ff0000"/>
          <w:sz w:val="24"/>
          <w:szCs w:val="24"/>
        </w:rPr>
      </w:r>
    </w:p>
    <w:p>
      <w:pPr>
        <w:pStyle w:val="1143"/>
        <w:numPr>
          <w:ilvl w:val="2"/>
          <w:numId w:val="12"/>
        </w:numPr>
        <w:pBdr/>
        <w:tabs>
          <w:tab w:val="left" w:leader="none" w:pos="851"/>
          <w:tab w:val="left" w:leader="none" w:pos="1134"/>
        </w:tabs>
        <w:spacing/>
        <w:ind w:firstLine="0" w:left="0"/>
        <w:rPr>
          <w:sz w:val="24"/>
          <w:szCs w:val="24"/>
        </w:rPr>
      </w:pPr>
      <w:r>
        <w:rPr>
          <w:sz w:val="24"/>
          <w:szCs w:val="24"/>
        </w:rPr>
        <w:t xml:space="preserve"> quando o licitante vencedor não assinar a ata de registro de preços no prazo e nas condições estabelecidos no edital; ou</w:t>
      </w:r>
      <w:r>
        <w:rPr>
          <w:sz w:val="24"/>
          <w:szCs w:val="24"/>
        </w:rPr>
      </w:r>
    </w:p>
    <w:p>
      <w:pPr>
        <w:pStyle w:val="1143"/>
        <w:numPr>
          <w:ilvl w:val="2"/>
          <w:numId w:val="12"/>
        </w:numPr>
        <w:pBdr/>
        <w:tabs>
          <w:tab w:val="left" w:leader="none" w:pos="851"/>
          <w:tab w:val="left" w:leader="none" w:pos="1134"/>
        </w:tabs>
        <w:spacing/>
        <w:ind w:firstLine="0" w:left="0"/>
        <w:rPr>
          <w:rFonts w:eastAsia="Times New Roman"/>
          <w:sz w:val="24"/>
          <w:szCs w:val="24"/>
        </w:rPr>
      </w:pPr>
      <w:r>
        <w:rPr>
          <w:sz w:val="24"/>
          <w:szCs w:val="24"/>
        </w:rPr>
        <w:t xml:space="preserve">quando houver o cancelamento do registro do fornecedor ou do registro de preços, nas hipóteses previstas nos art. 28 e art. 29 do Decreto nº 11.462/23.</w:t>
      </w:r>
      <w:r>
        <w:rPr>
          <w:rFonts w:eastAsia="Times New Roman"/>
          <w:sz w:val="24"/>
          <w:szCs w:val="24"/>
        </w:rPr>
      </w:r>
    </w:p>
    <w:p>
      <w:pPr>
        <w:pStyle w:val="1142"/>
        <w:numPr>
          <w:ilvl w:val="1"/>
          <w:numId w:val="12"/>
        </w:numPr>
        <w:pBdr/>
        <w:spacing/>
        <w:ind w:firstLine="0" w:left="0"/>
        <w:rPr>
          <w:sz w:val="24"/>
          <w:szCs w:val="24"/>
        </w:rPr>
      </w:pPr>
      <w:r>
        <w:rPr>
          <w:sz w:val="24"/>
          <w:szCs w:val="24"/>
        </w:rPr>
        <w:t xml:space="preserve">Na hipótese de nenhum dos licitantes que aceitaram cotar o objet</w:t>
      </w:r>
      <w:r>
        <w:rPr>
          <w:sz w:val="24"/>
          <w:szCs w:val="24"/>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sz w:val="24"/>
          <w:szCs w:val="24"/>
        </w:rPr>
      </w:r>
    </w:p>
    <w:p>
      <w:pPr>
        <w:pStyle w:val="1143"/>
        <w:numPr>
          <w:ilvl w:val="2"/>
          <w:numId w:val="12"/>
        </w:numPr>
        <w:pBdr/>
        <w:tabs>
          <w:tab w:val="left" w:leader="none" w:pos="851"/>
          <w:tab w:val="left" w:leader="none" w:pos="1134"/>
        </w:tabs>
        <w:spacing/>
        <w:ind w:firstLine="0" w:left="0"/>
        <w:rPr>
          <w:sz w:val="24"/>
          <w:szCs w:val="24"/>
        </w:rPr>
      </w:pPr>
      <w:r>
        <w:rPr>
          <w:sz w:val="24"/>
          <w:szCs w:val="24"/>
        </w:rPr>
        <w:t xml:space="preserve"> convocar os licitantes que mantiveram sua proposta original para negociação, na ordem de classificação, com vistas à obtenção de preço melhor, mesmo que acima do preço do adjudicatário; ou</w:t>
      </w:r>
      <w:r>
        <w:rPr>
          <w:sz w:val="24"/>
          <w:szCs w:val="24"/>
        </w:rPr>
      </w:r>
    </w:p>
    <w:p>
      <w:pPr>
        <w:pStyle w:val="1143"/>
        <w:numPr>
          <w:ilvl w:val="2"/>
          <w:numId w:val="12"/>
        </w:numPr>
        <w:pBdr/>
        <w:tabs>
          <w:tab w:val="left" w:leader="none" w:pos="851"/>
          <w:tab w:val="left" w:leader="none" w:pos="1134"/>
        </w:tabs>
        <w:spacing/>
        <w:ind w:firstLine="0" w:left="0"/>
        <w:rPr>
          <w:sz w:val="24"/>
          <w:szCs w:val="24"/>
        </w:rPr>
      </w:pPr>
      <w:r>
        <w:rPr>
          <w:sz w:val="24"/>
          <w:szCs w:val="24"/>
        </w:rPr>
        <w:t xml:space="preserve">adjudicar e firmar o contrato nas condições ofertadas pelos licitantes remanescentes, observada a ordem de classificação, quando frustrada a negociação de melhor condição.</w:t>
      </w:r>
      <w:bookmarkEnd w:id="56"/>
      <w:r/>
      <w:r>
        <w:rPr>
          <w:sz w:val="24"/>
          <w:szCs w:val="24"/>
        </w:rPr>
      </w:r>
    </w:p>
    <w:p>
      <w:pPr>
        <w:pStyle w:val="995"/>
        <w:pBdr/>
        <w:spacing w:after="0" w:before="0" w:line="280" w:lineRule="atLeast"/>
        <w:ind w:left="0"/>
        <w:rPr>
          <w:b/>
          <w:i/>
          <w:sz w:val="24"/>
          <w:szCs w:val="24"/>
        </w:rPr>
      </w:pPr>
      <w:r>
        <w:rPr>
          <w:b/>
          <w:i/>
          <w:sz w:val="24"/>
          <w:szCs w:val="24"/>
        </w:rPr>
      </w:r>
      <w:r>
        <w:rPr>
          <w:b/>
          <w:i/>
          <w:sz w:val="24"/>
          <w:szCs w:val="24"/>
        </w:rPr>
      </w:r>
    </w:p>
    <w:p>
      <w:pPr>
        <w:pStyle w:val="995"/>
        <w:numPr>
          <w:ilvl w:val="0"/>
          <w:numId w:val="12"/>
        </w:numPr>
        <w:pBdr/>
        <w:tabs>
          <w:tab w:val="left" w:leader="none" w:pos="426"/>
          <w:tab w:val="left" w:leader="none" w:pos="851"/>
        </w:tabs>
        <w:spacing w:after="240" w:line="280" w:lineRule="atLeast"/>
        <w:ind w:firstLine="0" w:left="0"/>
        <w:contextualSpacing w:val="false"/>
        <w:rPr>
          <w:b/>
          <w:color w:val="00b0f0"/>
          <w:sz w:val="24"/>
          <w:szCs w:val="24"/>
        </w:rPr>
      </w:pPr>
      <w:r/>
      <w:bookmarkStart w:id="60" w:name="EDITALREAJUSTEVALOR"/>
      <w:r>
        <w:rPr>
          <w:rFonts w:cs="Arial"/>
          <w:b/>
          <w:color w:val="000000"/>
          <w:sz w:val="24"/>
          <w:szCs w:val="24"/>
        </w:rPr>
        <w:t xml:space="preserve">DA UTILIZAÇÃO DA ATA DE REGISTRO DE PREÇOS POR ÓRGÃOS OU ENTIDADES NÃO PARTICIPANTES:</w:t>
      </w:r>
      <w:r>
        <w:rPr>
          <w:b/>
          <w:color w:val="00b0f0"/>
          <w:sz w:val="24"/>
          <w:szCs w:val="24"/>
        </w:rPr>
      </w:r>
    </w:p>
    <w:p>
      <w:pPr>
        <w:pStyle w:val="995"/>
        <w:numPr>
          <w:ilvl w:val="1"/>
          <w:numId w:val="12"/>
        </w:numPr>
        <w:pBdr/>
        <w:tabs>
          <w:tab w:val="left" w:leader="none" w:pos="426"/>
          <w:tab w:val="left" w:leader="none" w:pos="851"/>
        </w:tabs>
        <w:spacing w:after="240" w:line="280" w:lineRule="atLeast"/>
        <w:ind w:firstLine="0" w:left="0"/>
        <w:contextualSpacing w:val="false"/>
        <w:rPr>
          <w:b/>
          <w:sz w:val="24"/>
          <w:szCs w:val="24"/>
          <w:u w:val="single"/>
        </w:rPr>
      </w:pPr>
      <w:r>
        <w:rPr>
          <w:rFonts w:cs="Arial"/>
          <w:b/>
          <w:bCs/>
          <w:sz w:val="24"/>
          <w:szCs w:val="24"/>
        </w:rPr>
        <w:t xml:space="preserve">REGRA GERAL:</w:t>
      </w:r>
      <w:r>
        <w:rPr>
          <w:b/>
          <w:sz w:val="24"/>
          <w:szCs w:val="24"/>
          <w:u w:val="single"/>
        </w:rPr>
      </w:r>
    </w:p>
    <w:p>
      <w:pPr>
        <w:pStyle w:val="995"/>
        <w:numPr>
          <w:ilvl w:val="2"/>
          <w:numId w:val="12"/>
        </w:numPr>
        <w:pBdr/>
        <w:tabs>
          <w:tab w:val="left" w:leader="none" w:pos="0"/>
          <w:tab w:val="left" w:leader="none" w:pos="851"/>
        </w:tabs>
        <w:spacing w:after="240" w:line="280" w:lineRule="atLeast"/>
        <w:ind w:firstLine="0" w:left="0"/>
        <w:contextualSpacing w:val="false"/>
        <w:rPr>
          <w:b/>
          <w:sz w:val="24"/>
          <w:szCs w:val="24"/>
          <w:u w:val="single"/>
        </w:rPr>
      </w:pPr>
      <w:r>
        <w:rPr>
          <w:rFonts w:cs="Arial"/>
          <w:sz w:val="24"/>
          <w:szCs w:val="24"/>
        </w:rPr>
        <w:t xml:space="preserve">Durante a vigência da ata, os órgãos e as entidades</w:t>
      </w:r>
      <w:r>
        <w:rPr>
          <w:rFonts w:cs="Arial"/>
          <w:sz w:val="24"/>
          <w:szCs w:val="24"/>
        </w:rPr>
        <w:t xml:space="preserve"> da Administração Pública federal, estadual, distrital e municipal que não participaram do procedimento de IRP poderão aderir à ata de registro de preços na condição de não participantes, observados os requisitos do art. 31, Decreto Federal nº 11.462/2023.</w:t>
      </w:r>
      <w:r>
        <w:rPr>
          <w:b/>
          <w:sz w:val="24"/>
          <w:szCs w:val="24"/>
          <w:u w:val="single"/>
        </w:rPr>
      </w:r>
    </w:p>
    <w:p>
      <w:pPr>
        <w:pStyle w:val="995"/>
        <w:numPr>
          <w:ilvl w:val="1"/>
          <w:numId w:val="12"/>
        </w:numPr>
        <w:pBdr/>
        <w:tabs>
          <w:tab w:val="left" w:leader="none" w:pos="0"/>
          <w:tab w:val="left" w:leader="none" w:pos="851"/>
        </w:tabs>
        <w:spacing w:after="240" w:line="280" w:lineRule="atLeast"/>
        <w:ind w:firstLine="0" w:left="0"/>
        <w:contextualSpacing w:val="false"/>
        <w:rPr>
          <w:b/>
          <w:sz w:val="24"/>
          <w:szCs w:val="24"/>
          <w:u w:val="single"/>
        </w:rPr>
      </w:pPr>
      <w:r>
        <w:rPr>
          <w:rFonts w:cs="Arial"/>
          <w:b/>
          <w:bCs/>
          <w:sz w:val="24"/>
          <w:szCs w:val="24"/>
        </w:rPr>
        <w:t xml:space="preserve">LIMITES PARA AS ADESÕES:</w:t>
      </w:r>
      <w:r>
        <w:rPr>
          <w:b/>
          <w:sz w:val="24"/>
          <w:szCs w:val="24"/>
          <w:u w:val="single"/>
        </w:rPr>
      </w:r>
    </w:p>
    <w:p>
      <w:pPr>
        <w:pStyle w:val="995"/>
        <w:numPr>
          <w:ilvl w:val="2"/>
          <w:numId w:val="12"/>
        </w:numPr>
        <w:pBdr/>
        <w:tabs>
          <w:tab w:val="left" w:leader="none" w:pos="0"/>
          <w:tab w:val="left" w:leader="none" w:pos="851"/>
        </w:tabs>
        <w:spacing w:after="240" w:line="280" w:lineRule="atLeast"/>
        <w:ind w:firstLine="0" w:left="0"/>
        <w:contextualSpacing w:val="false"/>
        <w:rPr>
          <w:b/>
          <w:sz w:val="24"/>
          <w:szCs w:val="24"/>
          <w:u w:val="single"/>
        </w:rPr>
      </w:pPr>
      <w:r>
        <w:rPr>
          <w:rFonts w:cs="Arial"/>
          <w:sz w:val="24"/>
          <w:szCs w:val="24"/>
        </w:rPr>
        <w:t xml:space="preserve">Serão observadas as seguintes regras de controle para a adesão à ata de registro de preços de que trata o art. 31, Decreto Federal nº 11.462/2023:</w:t>
      </w:r>
      <w:r>
        <w:rPr>
          <w:b/>
          <w:sz w:val="24"/>
          <w:szCs w:val="24"/>
          <w:u w:val="single"/>
        </w:rPr>
      </w:r>
    </w:p>
    <w:p>
      <w:pPr>
        <w:pStyle w:val="995"/>
        <w:numPr>
          <w:ilvl w:val="3"/>
          <w:numId w:val="12"/>
        </w:numPr>
        <w:pBdr/>
        <w:tabs>
          <w:tab w:val="left" w:leader="none" w:pos="0"/>
          <w:tab w:val="left" w:leader="none" w:pos="851"/>
          <w:tab w:val="left" w:leader="none" w:pos="1134"/>
        </w:tabs>
        <w:spacing w:after="240" w:line="280" w:lineRule="atLeast"/>
        <w:ind w:firstLine="0" w:left="0"/>
        <w:contextualSpacing w:val="false"/>
        <w:rPr>
          <w:b/>
          <w:sz w:val="24"/>
          <w:szCs w:val="24"/>
          <w:u w:val="single"/>
        </w:rPr>
      </w:pPr>
      <w:r>
        <w:rPr>
          <w:rFonts w:cs="Arial"/>
          <w:sz w:val="24"/>
          <w:szCs w:val="24"/>
        </w:rPr>
        <w:t xml:space="preserve">as aquisições ou as contratações adicionais </w:t>
      </w:r>
      <w:r>
        <w:rPr>
          <w:rFonts w:cs="Arial"/>
          <w:b/>
          <w:sz w:val="24"/>
          <w:szCs w:val="24"/>
        </w:rPr>
        <w:t xml:space="preserve">não poderão exceder, por órgão ou entidade, a cinquenta por cento dos quantitativos dos itens</w:t>
      </w:r>
      <w:r>
        <w:rPr>
          <w:rFonts w:cs="Arial"/>
          <w:sz w:val="24"/>
          <w:szCs w:val="24"/>
        </w:rPr>
        <w:t xml:space="preserve"> do instrumento convocatório registrados na ata de registro de preços para o órgão ou a entidade gerenciadora e para os órgãos ou as entidades participantes; e</w:t>
      </w:r>
      <w:r>
        <w:rPr>
          <w:b/>
          <w:sz w:val="24"/>
          <w:szCs w:val="24"/>
          <w:u w:val="single"/>
        </w:rPr>
      </w:r>
    </w:p>
    <w:p>
      <w:pPr>
        <w:pStyle w:val="995"/>
        <w:numPr>
          <w:ilvl w:val="3"/>
          <w:numId w:val="12"/>
        </w:numPr>
        <w:pBdr/>
        <w:tabs>
          <w:tab w:val="left" w:leader="none" w:pos="0"/>
          <w:tab w:val="left" w:leader="none" w:pos="851"/>
          <w:tab w:val="left" w:leader="none" w:pos="1134"/>
        </w:tabs>
        <w:spacing w:after="240" w:line="280" w:lineRule="atLeast"/>
        <w:ind w:firstLine="0" w:left="0"/>
        <w:contextualSpacing w:val="false"/>
        <w:rPr>
          <w:b/>
          <w:sz w:val="24"/>
          <w:szCs w:val="24"/>
          <w:u w:val="single"/>
        </w:rPr>
      </w:pPr>
      <w:r>
        <w:rPr>
          <w:rFonts w:cs="Arial"/>
          <w:sz w:val="24"/>
          <w:szCs w:val="24"/>
        </w:rPr>
        <w:t xml:space="preserve">o quantitativo decorrente das adesões </w:t>
      </w:r>
      <w:r>
        <w:rPr>
          <w:rFonts w:cs="Arial"/>
          <w:b/>
          <w:sz w:val="24"/>
          <w:szCs w:val="24"/>
        </w:rPr>
        <w:t xml:space="preserve">não poderá exceder, na totalidade, ao dobro do quantitativo de cada item registrado</w:t>
      </w:r>
      <w:r>
        <w:rPr>
          <w:rFonts w:cs="Arial"/>
          <w:sz w:val="24"/>
          <w:szCs w:val="24"/>
        </w:rPr>
        <w:t xml:space="preserve"> na ata de registro de preços para o órgão ou a entidade gerenciadora e os órgãos ou as entidades participantes, independentemente do número de órgãos ou entidades não participantes que aderirem à ata de registro de preços.</w:t>
      </w:r>
      <w:r>
        <w:rPr>
          <w:b/>
          <w:sz w:val="24"/>
          <w:szCs w:val="24"/>
          <w:u w:val="single"/>
        </w:rPr>
      </w:r>
    </w:p>
    <w:p>
      <w:pPr>
        <w:pStyle w:val="995"/>
        <w:numPr>
          <w:ilvl w:val="0"/>
          <w:numId w:val="12"/>
        </w:numPr>
        <w:pBdr/>
        <w:tabs>
          <w:tab w:val="left" w:leader="none" w:pos="426"/>
          <w:tab w:val="left" w:leader="none" w:pos="567"/>
          <w:tab w:val="left" w:leader="none" w:pos="851"/>
        </w:tabs>
        <w:spacing w:after="240" w:line="280" w:lineRule="atLeast"/>
        <w:ind w:firstLine="0" w:left="0"/>
        <w:contextualSpacing w:val="false"/>
        <w:rPr>
          <w:sz w:val="24"/>
          <w:szCs w:val="24"/>
        </w:rPr>
      </w:pPr>
      <w:r>
        <w:rPr>
          <w:rFonts w:cs="Arial"/>
          <w:b/>
          <w:bCs/>
          <w:color w:val="000000"/>
          <w:sz w:val="24"/>
          <w:szCs w:val="24"/>
        </w:rPr>
        <w:t xml:space="preserve">ALTERAÇÃO OU ATUALIZAÇÃO DOS PREÇOS REGISTRADOS</w:t>
      </w:r>
      <w:r>
        <w:rPr>
          <w:b/>
          <w:sz w:val="24"/>
          <w:szCs w:val="24"/>
        </w:rPr>
        <w:t xml:space="preserve">:</w:t>
      </w:r>
      <w:bookmarkEnd w:id="60"/>
      <w:r/>
      <w:r>
        <w:rPr>
          <w:sz w:val="24"/>
          <w:szCs w:val="24"/>
        </w:rPr>
      </w:r>
    </w:p>
    <w:p>
      <w:pPr>
        <w:pStyle w:val="995"/>
        <w:numPr>
          <w:ilvl w:val="1"/>
          <w:numId w:val="12"/>
        </w:numPr>
        <w:pBdr/>
        <w:tabs>
          <w:tab w:val="left" w:leader="none" w:pos="426"/>
          <w:tab w:val="left" w:leader="none" w:pos="567"/>
          <w:tab w:val="left" w:leader="none" w:pos="851"/>
        </w:tabs>
        <w:spacing w:after="240" w:line="280" w:lineRule="atLeast"/>
        <w:ind w:firstLine="0" w:left="0"/>
        <w:contextualSpacing w:val="false"/>
        <w:rPr>
          <w:color w:val="000000" w:themeColor="text1"/>
          <w:sz w:val="24"/>
          <w:szCs w:val="24"/>
        </w:rPr>
      </w:pPr>
      <w:r>
        <w:rPr>
          <w:rFonts w:cs="Arial"/>
          <w:color w:val="000000"/>
          <w:sz w:val="24"/>
          <w:szCs w:val="24"/>
        </w:rPr>
        <w:t xml:space="preserve">Os preços registrados poderão ser alterados ou atualizados em decorrência de eventual redução dos preços praticados no mercado ou d</w:t>
      </w:r>
      <w:r>
        <w:rPr>
          <w:rFonts w:cs="Arial"/>
          <w:color w:val="000000" w:themeColor="text1"/>
          <w:sz w:val="24"/>
          <w:szCs w:val="24"/>
        </w:rPr>
        <w:t xml:space="preserve">e fato que eleve o custo dos bens, das obras ou dos serviços registrados</w:t>
      </w:r>
      <w:r>
        <w:rPr>
          <w:color w:val="000000" w:themeColor="text1"/>
          <w:sz w:val="24"/>
          <w:szCs w:val="24"/>
        </w:rPr>
        <w:t xml:space="preserve">, situações previstas </w:t>
      </w:r>
      <w:r>
        <w:rPr>
          <w:b/>
          <w:color w:val="000000" w:themeColor="text1"/>
          <w:sz w:val="24"/>
          <w:szCs w:val="24"/>
        </w:rPr>
        <w:t xml:space="preserve">nos inciso</w:t>
      </w:r>
      <w:r>
        <w:rPr>
          <w:b/>
          <w:color w:val="000000" w:themeColor="text1"/>
          <w:sz w:val="24"/>
          <w:szCs w:val="24"/>
        </w:rPr>
        <w:t xml:space="preserve"> I a III do art. 25 do Decreto Federal nº 11.462/2023</w:t>
      </w:r>
      <w:r>
        <w:rPr>
          <w:color w:val="000000" w:themeColor="text1"/>
          <w:sz w:val="24"/>
          <w:szCs w:val="24"/>
        </w:rPr>
        <w:t xml:space="preserve">;</w:t>
      </w:r>
      <w:r>
        <w:rPr>
          <w:color w:val="000000" w:themeColor="text1"/>
          <w:sz w:val="24"/>
          <w:szCs w:val="24"/>
        </w:rPr>
      </w:r>
    </w:p>
    <w:p>
      <w:pPr>
        <w:pStyle w:val="995"/>
        <w:numPr>
          <w:ilvl w:val="1"/>
          <w:numId w:val="12"/>
        </w:numPr>
        <w:pBdr/>
        <w:tabs>
          <w:tab w:val="left" w:leader="none" w:pos="426"/>
          <w:tab w:val="left" w:leader="none" w:pos="567"/>
          <w:tab w:val="left" w:leader="none" w:pos="851"/>
        </w:tabs>
        <w:spacing w:after="240" w:line="280" w:lineRule="atLeast"/>
        <w:ind w:firstLine="0" w:left="0"/>
        <w:contextualSpacing w:val="false"/>
        <w:rPr>
          <w:color w:val="000000" w:themeColor="text1"/>
          <w:sz w:val="24"/>
          <w:szCs w:val="24"/>
        </w:rPr>
      </w:pPr>
      <w:r>
        <w:rPr>
          <w:color w:val="000000" w:themeColor="text1"/>
          <w:sz w:val="24"/>
          <w:szCs w:val="24"/>
        </w:rPr>
        <w:t xml:space="preserve">Mesmo comprovada a ocorrência das situações previstas </w:t>
      </w:r>
      <w:r>
        <w:rPr>
          <w:b/>
          <w:color w:val="000000" w:themeColor="text1"/>
          <w:sz w:val="24"/>
          <w:szCs w:val="24"/>
        </w:rPr>
        <w:t xml:space="preserve">nos inciso</w:t>
      </w:r>
      <w:r>
        <w:rPr>
          <w:b/>
          <w:color w:val="000000" w:themeColor="text1"/>
          <w:sz w:val="24"/>
          <w:szCs w:val="24"/>
        </w:rPr>
        <w:t xml:space="preserve"> I a III do art. 25 do Decreto Federal nº 11.462/2023</w:t>
      </w:r>
      <w:r>
        <w:rPr>
          <w:color w:val="000000" w:themeColor="text1"/>
          <w:sz w:val="24"/>
          <w:szCs w:val="24"/>
        </w:rPr>
        <w:t xml:space="preserve"> se a Administração julgar conveniente poderá</w:t>
      </w:r>
      <w:r>
        <w:rPr>
          <w:b/>
          <w:color w:val="000000" w:themeColor="text1"/>
          <w:sz w:val="24"/>
          <w:szCs w:val="24"/>
        </w:rPr>
        <w:t xml:space="preserve"> optar por cancelar</w:t>
      </w:r>
      <w:r>
        <w:rPr>
          <w:color w:val="000000" w:themeColor="text1"/>
          <w:sz w:val="24"/>
          <w:szCs w:val="24"/>
        </w:rPr>
        <w:t xml:space="preserve"> a ATA DE REGISTRO DE PREÇOS e iniciar outro processo licitatório;</w:t>
      </w:r>
      <w:r>
        <w:rPr>
          <w:color w:val="000000" w:themeColor="text1"/>
          <w:sz w:val="24"/>
          <w:szCs w:val="24"/>
        </w:rPr>
      </w:r>
    </w:p>
    <w:p>
      <w:pPr>
        <w:pStyle w:val="995"/>
        <w:numPr>
          <w:ilvl w:val="1"/>
          <w:numId w:val="12"/>
        </w:numPr>
        <w:pBdr/>
        <w:tabs>
          <w:tab w:val="left" w:leader="none" w:pos="426"/>
          <w:tab w:val="left" w:leader="none" w:pos="567"/>
          <w:tab w:val="left" w:leader="none" w:pos="851"/>
        </w:tabs>
        <w:spacing w:after="240" w:line="280" w:lineRule="atLeast"/>
        <w:ind w:firstLine="0" w:left="0"/>
        <w:contextualSpacing w:val="false"/>
        <w:rPr>
          <w:sz w:val="24"/>
          <w:szCs w:val="24"/>
        </w:rPr>
      </w:pPr>
      <w:r>
        <w:rPr>
          <w:sz w:val="24"/>
          <w:szCs w:val="24"/>
        </w:rPr>
        <w:t xml:space="preserve">Quando o valor constante na ATA DE REGISTRO DE PREÇOS, por motivo superveniente, tornar-se superior ou inferior ao valor praticado no mercado, o Órgão Gerenciador </w:t>
      </w:r>
      <w:r>
        <w:rPr>
          <w:sz w:val="24"/>
          <w:szCs w:val="24"/>
        </w:rPr>
        <w:t xml:space="preserve">deverá convocar o fornecedor visando a </w:t>
      </w:r>
      <w:r>
        <w:rPr>
          <w:b/>
          <w:sz w:val="24"/>
          <w:szCs w:val="24"/>
        </w:rPr>
        <w:t xml:space="preserve">negociação para adequação ao praticado pelo mercado</w:t>
      </w:r>
      <w:r>
        <w:rPr>
          <w:sz w:val="24"/>
          <w:szCs w:val="24"/>
        </w:rPr>
        <w:t xml:space="preserve">. Frustrada a negociação, o fornecedor será liberado do compromisso assumido, e convocado(s) outro(s) fornecedor (es) na ordem de classificação instituída na fase de lances do Certame;</w:t>
      </w:r>
      <w:r>
        <w:rPr>
          <w:sz w:val="24"/>
          <w:szCs w:val="24"/>
        </w:rPr>
      </w:r>
    </w:p>
    <w:p>
      <w:pPr>
        <w:pStyle w:val="995"/>
        <w:numPr>
          <w:ilvl w:val="1"/>
          <w:numId w:val="12"/>
        </w:numPr>
        <w:pBdr/>
        <w:tabs>
          <w:tab w:val="left" w:leader="none" w:pos="426"/>
          <w:tab w:val="left" w:leader="none" w:pos="567"/>
          <w:tab w:val="left" w:leader="none" w:pos="851"/>
        </w:tabs>
        <w:spacing w:after="240" w:line="280" w:lineRule="atLeast"/>
        <w:ind w:firstLine="0" w:left="0"/>
        <w:contextualSpacing w:val="false"/>
        <w:rPr>
          <w:sz w:val="24"/>
          <w:szCs w:val="24"/>
        </w:rPr>
      </w:pPr>
      <w:r>
        <w:rPr>
          <w:sz w:val="24"/>
          <w:szCs w:val="24"/>
        </w:rPr>
        <w:t xml:space="preserve">O(s) fornecedor (es) fica(m) obrigado(s) a comunicar (em) a </w:t>
      </w:r>
      <w:r>
        <w:rPr>
          <w:b/>
          <w:sz w:val="24"/>
          <w:szCs w:val="24"/>
        </w:rPr>
        <w:t xml:space="preserve">variação de preços</w:t>
      </w:r>
      <w:r>
        <w:rPr>
          <w:sz w:val="24"/>
          <w:szCs w:val="24"/>
        </w:rPr>
        <w:t xml:space="preserve"> quando este se posicionar abaixo do preço de mercado;</w:t>
      </w:r>
      <w:r>
        <w:rPr>
          <w:sz w:val="24"/>
          <w:szCs w:val="24"/>
        </w:rPr>
      </w:r>
    </w:p>
    <w:p>
      <w:pPr>
        <w:pStyle w:val="995"/>
        <w:numPr>
          <w:ilvl w:val="1"/>
          <w:numId w:val="12"/>
        </w:numPr>
        <w:pBdr/>
        <w:tabs>
          <w:tab w:val="left" w:leader="none" w:pos="426"/>
          <w:tab w:val="left" w:leader="none" w:pos="567"/>
          <w:tab w:val="left" w:leader="none" w:pos="851"/>
        </w:tabs>
        <w:spacing w:after="240" w:line="280" w:lineRule="atLeast"/>
        <w:ind w:firstLine="0" w:left="0"/>
        <w:contextualSpacing w:val="false"/>
        <w:rPr>
          <w:sz w:val="24"/>
          <w:szCs w:val="24"/>
        </w:rPr>
      </w:pPr>
      <w:r>
        <w:rPr>
          <w:sz w:val="24"/>
          <w:szCs w:val="24"/>
        </w:rPr>
        <w:t xml:space="preserve">Quando o(s) </w:t>
      </w:r>
      <w:r>
        <w:rPr>
          <w:b/>
          <w:sz w:val="24"/>
          <w:szCs w:val="24"/>
        </w:rPr>
        <w:t xml:space="preserve">valor (es) de mercado tornar-se superior (es) ao(s) valor (es) do(s) lance(s) vencedor (es) da licitação</w:t>
      </w:r>
      <w:r>
        <w:rPr>
          <w:sz w:val="24"/>
          <w:szCs w:val="24"/>
        </w:rPr>
        <w:t xml:space="preserve"> e o(s) fornecedor (es), mediante requerimento devidamente comprovado, não puder cumprir o compromisso, o Órgão Gerenciador poderá liberá-lo do com</w:t>
      </w:r>
      <w:r>
        <w:rPr>
          <w:sz w:val="24"/>
          <w:szCs w:val="24"/>
        </w:rPr>
        <w:t xml:space="preserve">promisso assumido, sem aplicação de penalidade, confirmando a veracidade dos motivos por meio de comprovante(s) apresentado(s) e se a comunicação ocorrer antes do pedido de fornecimento, podendo convocar os demais fornecedor (es) na ordem de classificação;</w:t>
      </w:r>
      <w:r>
        <w:rPr>
          <w:sz w:val="24"/>
          <w:szCs w:val="24"/>
        </w:rPr>
      </w:r>
    </w:p>
    <w:p>
      <w:pPr>
        <w:pStyle w:val="995"/>
        <w:numPr>
          <w:ilvl w:val="1"/>
          <w:numId w:val="12"/>
        </w:numPr>
        <w:pBdr/>
        <w:tabs>
          <w:tab w:val="left" w:leader="none" w:pos="426"/>
          <w:tab w:val="left" w:leader="none" w:pos="567"/>
          <w:tab w:val="left" w:leader="none" w:pos="851"/>
        </w:tabs>
        <w:spacing w:after="240" w:line="280" w:lineRule="atLeast"/>
        <w:ind w:firstLine="0" w:left="0"/>
        <w:contextualSpacing w:val="false"/>
        <w:rPr>
          <w:sz w:val="24"/>
          <w:szCs w:val="24"/>
        </w:rPr>
      </w:pPr>
      <w:r>
        <w:rPr>
          <w:rFonts w:cs="Arial"/>
          <w:color w:val="000000"/>
          <w:sz w:val="24"/>
          <w:szCs w:val="24"/>
        </w:rPr>
        <w:t xml:space="preserve">Se não obtiver </w:t>
      </w:r>
      <w:r>
        <w:rPr>
          <w:rFonts w:cs="Arial"/>
          <w:color w:val="000000"/>
          <w:sz w:val="24"/>
          <w:szCs w:val="24"/>
        </w:rPr>
        <w:t xml:space="preserve">êxito nas negociações, o órgão ou a entidade gerenciadora procederá ao cancelamento da ata de registro de preços, nos termos do disposto no art. 29, Decreto Federal nº 11.462/2023, e adotará as medidas cabíveis para a obtenção de contratação mais vantajosa</w:t>
      </w:r>
      <w:r>
        <w:rPr>
          <w:sz w:val="24"/>
          <w:szCs w:val="24"/>
        </w:rPr>
        <w:t xml:space="preserve">;</w:t>
      </w:r>
      <w:r>
        <w:rPr>
          <w:sz w:val="24"/>
          <w:szCs w:val="24"/>
        </w:rPr>
      </w:r>
    </w:p>
    <w:p>
      <w:pPr>
        <w:pStyle w:val="995"/>
        <w:numPr>
          <w:ilvl w:val="1"/>
          <w:numId w:val="12"/>
        </w:numPr>
        <w:pBdr/>
        <w:tabs>
          <w:tab w:val="left" w:leader="none" w:pos="426"/>
          <w:tab w:val="left" w:leader="none" w:pos="567"/>
          <w:tab w:val="left" w:leader="none" w:pos="851"/>
        </w:tabs>
        <w:spacing w:after="240" w:line="280" w:lineRule="atLeast"/>
        <w:ind w:firstLine="0" w:left="0"/>
        <w:contextualSpacing w:val="false"/>
        <w:rPr>
          <w:sz w:val="24"/>
          <w:szCs w:val="24"/>
        </w:rPr>
      </w:pPr>
      <w:r>
        <w:rPr>
          <w:b/>
          <w:sz w:val="24"/>
          <w:szCs w:val="24"/>
        </w:rPr>
        <w:t xml:space="preserve">O(s) valor (es) revisado(s) será(</w:t>
      </w:r>
      <w:r>
        <w:rPr>
          <w:b/>
          <w:sz w:val="24"/>
          <w:szCs w:val="24"/>
        </w:rPr>
        <w:t xml:space="preserve">ão</w:t>
      </w:r>
      <w:r>
        <w:rPr>
          <w:b/>
          <w:sz w:val="24"/>
          <w:szCs w:val="24"/>
        </w:rPr>
        <w:t xml:space="preserve">) publicado(s)</w:t>
      </w:r>
      <w:r>
        <w:rPr>
          <w:sz w:val="24"/>
          <w:szCs w:val="24"/>
        </w:rPr>
        <w:t xml:space="preserve"> no Informativo Oficial do Município de Rio das Flores.</w:t>
      </w:r>
      <w:r>
        <w:rPr>
          <w:sz w:val="24"/>
          <w:szCs w:val="24"/>
        </w:rPr>
      </w:r>
    </w:p>
    <w:p>
      <w:pPr>
        <w:pStyle w:val="995"/>
        <w:numPr>
          <w:ilvl w:val="0"/>
          <w:numId w:val="12"/>
        </w:numPr>
        <w:pBdr/>
        <w:tabs>
          <w:tab w:val="left" w:leader="none" w:pos="0"/>
          <w:tab w:val="left" w:leader="none" w:pos="284"/>
          <w:tab w:val="left" w:leader="none" w:pos="567"/>
          <w:tab w:val="left" w:leader="none" w:pos="851"/>
        </w:tabs>
        <w:spacing w:after="240" w:line="280" w:lineRule="atLeast"/>
        <w:ind w:firstLine="0" w:left="0"/>
        <w:contextualSpacing w:val="false"/>
        <w:rPr>
          <w:b/>
          <w:color w:val="ff0000"/>
          <w:sz w:val="24"/>
          <w:szCs w:val="24"/>
        </w:rPr>
      </w:pPr>
      <w:r>
        <w:rPr>
          <w:b/>
          <w:sz w:val="24"/>
          <w:szCs w:val="24"/>
        </w:rPr>
        <w:t xml:space="preserve">DO PAGAMENTO:</w:t>
      </w:r>
      <w:r>
        <w:rPr>
          <w:b/>
          <w:color w:val="ff0000"/>
          <w:sz w:val="24"/>
          <w:szCs w:val="24"/>
        </w:rPr>
      </w:r>
    </w:p>
    <w:p>
      <w:pPr>
        <w:pStyle w:val="995"/>
        <w:numPr>
          <w:ilvl w:val="1"/>
          <w:numId w:val="12"/>
        </w:numPr>
        <w:pBdr/>
        <w:tabs>
          <w:tab w:val="left" w:leader="none" w:pos="0"/>
          <w:tab w:val="left" w:leader="none" w:pos="284"/>
          <w:tab w:val="left" w:leader="none" w:pos="567"/>
          <w:tab w:val="left" w:leader="none" w:pos="851"/>
        </w:tabs>
        <w:spacing w:after="240" w:line="280" w:lineRule="atLeast"/>
        <w:ind w:firstLine="0" w:left="0"/>
        <w:contextualSpacing w:val="false"/>
        <w:rPr>
          <w:b/>
          <w:color w:val="000000" w:themeColor="text1"/>
          <w:sz w:val="24"/>
          <w:szCs w:val="24"/>
        </w:rPr>
      </w:pPr>
      <w:r>
        <w:rPr>
          <w:b/>
          <w:sz w:val="24"/>
          <w:szCs w:val="24"/>
        </w:rPr>
        <w:t xml:space="preserve">Prazo de pagamento não super</w:t>
      </w:r>
      <w:r>
        <w:rPr>
          <w:b/>
          <w:color w:val="000000" w:themeColor="text1"/>
          <w:sz w:val="24"/>
          <w:szCs w:val="24"/>
        </w:rPr>
        <w:t xml:space="preserve">ior a 30 (trinta) dias, contado a partir da data final do período de adimplemento de cada parcela;</w:t>
      </w:r>
      <w:r>
        <w:rPr>
          <w:b/>
          <w:color w:val="000000" w:themeColor="text1"/>
          <w:sz w:val="24"/>
          <w:szCs w:val="24"/>
        </w:rPr>
      </w:r>
    </w:p>
    <w:p>
      <w:pPr>
        <w:pStyle w:val="995"/>
        <w:numPr>
          <w:ilvl w:val="1"/>
          <w:numId w:val="12"/>
        </w:numPr>
        <w:pBdr/>
        <w:tabs>
          <w:tab w:val="left" w:leader="none" w:pos="0"/>
          <w:tab w:val="left" w:leader="none" w:pos="284"/>
          <w:tab w:val="left" w:leader="none" w:pos="567"/>
          <w:tab w:val="left" w:leader="none" w:pos="851"/>
        </w:tabs>
        <w:spacing w:after="240" w:line="280" w:lineRule="atLeast"/>
        <w:ind w:firstLine="0" w:left="0"/>
        <w:contextualSpacing w:val="false"/>
        <w:rPr>
          <w:b/>
          <w:color w:val="ff0000"/>
          <w:sz w:val="24"/>
          <w:szCs w:val="24"/>
        </w:rPr>
      </w:pPr>
      <w:r>
        <w:rPr>
          <w:b/>
          <w:sz w:val="24"/>
          <w:szCs w:val="24"/>
        </w:rPr>
        <w:t xml:space="preserve">O Pagamento será efetuado em até 30 (trinta) dias após a liquidação da Nota Fiscal</w:t>
      </w:r>
      <w:r>
        <w:rPr>
          <w:sz w:val="24"/>
          <w:szCs w:val="24"/>
        </w:rPr>
        <w:t xml:space="preserve">, que deverá ser emitida em conformidade com o que det</w:t>
      </w:r>
      <w:r>
        <w:rPr>
          <w:sz w:val="24"/>
          <w:szCs w:val="24"/>
        </w:rPr>
        <w:t xml:space="preserve">erminam os Protocolo ICMS 42/2009 e Protocolo ICMS 194/2010 (Exigência de Nota Fiscal para fornecer ao Serviço Público) e suas posteriores alterações, em nome do(s) adjudicatário(s), desde que não ocorra nenhuma divergência no tocante a fase de liquidação;</w:t>
      </w:r>
      <w:r>
        <w:rPr>
          <w:b/>
          <w:color w:val="ff0000"/>
          <w:sz w:val="24"/>
          <w:szCs w:val="24"/>
        </w:rPr>
      </w:r>
    </w:p>
    <w:p>
      <w:pPr>
        <w:pStyle w:val="995"/>
        <w:numPr>
          <w:ilvl w:val="1"/>
          <w:numId w:val="12"/>
        </w:numPr>
        <w:pBdr/>
        <w:tabs>
          <w:tab w:val="left" w:leader="none" w:pos="0"/>
          <w:tab w:val="left" w:leader="none" w:pos="284"/>
          <w:tab w:val="left" w:leader="none" w:pos="567"/>
          <w:tab w:val="left" w:leader="none" w:pos="851"/>
        </w:tabs>
        <w:spacing w:after="240" w:line="280" w:lineRule="atLeast"/>
        <w:ind w:firstLine="0" w:left="0"/>
        <w:contextualSpacing w:val="false"/>
        <w:rPr>
          <w:b/>
          <w:color w:val="ff0000"/>
          <w:sz w:val="24"/>
          <w:szCs w:val="24"/>
        </w:rPr>
      </w:pPr>
      <w:r>
        <w:rPr>
          <w:sz w:val="24"/>
          <w:szCs w:val="24"/>
        </w:rPr>
        <w:t xml:space="preserve">Não será efetuado qualquer pagamento ao(s) ADJUDICATÁRIO(S) enquanto houver pendência(s) de liquidação da obrigação financeira em virtude de penalidade ou inadimplência contratual.</w:t>
      </w:r>
      <w:r>
        <w:rPr>
          <w:b/>
          <w:color w:val="ff0000"/>
          <w:sz w:val="24"/>
          <w:szCs w:val="24"/>
        </w:rPr>
      </w:r>
    </w:p>
    <w:p>
      <w:pPr>
        <w:pStyle w:val="995"/>
        <w:numPr>
          <w:ilvl w:val="1"/>
          <w:numId w:val="12"/>
        </w:numPr>
        <w:pBdr/>
        <w:tabs>
          <w:tab w:val="left" w:leader="none" w:pos="0"/>
          <w:tab w:val="left" w:leader="none" w:pos="284"/>
          <w:tab w:val="left" w:leader="none" w:pos="567"/>
          <w:tab w:val="left" w:leader="none" w:pos="851"/>
        </w:tabs>
        <w:spacing w:after="240" w:line="280" w:lineRule="atLeast"/>
        <w:ind w:firstLine="0" w:left="0"/>
        <w:contextualSpacing w:val="false"/>
        <w:rPr>
          <w:b/>
          <w:color w:val="ff0000"/>
          <w:sz w:val="24"/>
          <w:szCs w:val="24"/>
        </w:rPr>
      </w:pPr>
      <w:r>
        <w:rPr>
          <w:sz w:val="24"/>
          <w:szCs w:val="24"/>
        </w:rPr>
        <w:t xml:space="preserve">No caso de incorreção dos dados constantes na Nota Fiscal, serão estas restituídas à(s) ADJUDICATÁRIA(S), para a(s) correção (os) solicitada(s), não respondendo o </w:t>
      </w:r>
      <w:r>
        <w:rPr>
          <w:b/>
          <w:sz w:val="24"/>
          <w:szCs w:val="24"/>
        </w:rPr>
        <w:t xml:space="preserve">MUNICÍPIO DE RIO DAS FLÔRES/RJ – FUNDO MUNICIPAL DE EDUCAÇÃO,</w:t>
      </w:r>
      <w:r>
        <w:rPr>
          <w:sz w:val="24"/>
          <w:szCs w:val="24"/>
        </w:rPr>
        <w:t xml:space="preserve"> por quaisquer encargos(s) resultante(s) de atraso(s) na liquidação do(s) pagamento(s) correspondente(s);</w:t>
      </w:r>
      <w:r>
        <w:rPr>
          <w:b/>
          <w:color w:val="ff0000"/>
          <w:sz w:val="24"/>
          <w:szCs w:val="24"/>
        </w:rPr>
      </w:r>
    </w:p>
    <w:p>
      <w:pPr>
        <w:pStyle w:val="995"/>
        <w:numPr>
          <w:ilvl w:val="1"/>
          <w:numId w:val="12"/>
        </w:numPr>
        <w:pBdr/>
        <w:tabs>
          <w:tab w:val="left" w:leader="none" w:pos="0"/>
          <w:tab w:val="left" w:leader="none" w:pos="284"/>
          <w:tab w:val="left" w:leader="none" w:pos="567"/>
          <w:tab w:val="left" w:leader="none" w:pos="851"/>
        </w:tabs>
        <w:spacing w:after="240" w:line="280" w:lineRule="atLeast"/>
        <w:ind w:firstLine="0" w:left="0"/>
        <w:contextualSpacing w:val="false"/>
        <w:rPr>
          <w:b/>
          <w:color w:val="ff0000"/>
          <w:sz w:val="24"/>
          <w:szCs w:val="24"/>
        </w:rPr>
      </w:pPr>
      <w:r>
        <w:rPr>
          <w:sz w:val="24"/>
          <w:szCs w:val="24"/>
        </w:rPr>
        <w:t xml:space="preserve">Não será efetuado qualquer pagamento ao(s) ADJUDICATÁRIO(S) que não atenda as exigências do Protocolo ICMS 42/2009 e suas posteriores alterações (Nota Fiscal deverá </w:t>
      </w:r>
      <w:r>
        <w:rPr>
          <w:sz w:val="24"/>
          <w:szCs w:val="24"/>
        </w:rPr>
        <w:t xml:space="preserve">ser Eletrônica</w:t>
      </w:r>
      <w:r>
        <w:rPr>
          <w:sz w:val="24"/>
          <w:szCs w:val="24"/>
        </w:rPr>
        <w:t xml:space="preserve">);</w:t>
      </w:r>
      <w:r>
        <w:rPr>
          <w:b/>
          <w:color w:val="ff0000"/>
          <w:sz w:val="24"/>
          <w:szCs w:val="24"/>
        </w:rPr>
      </w:r>
    </w:p>
    <w:p>
      <w:pPr>
        <w:pStyle w:val="995"/>
        <w:numPr>
          <w:ilvl w:val="1"/>
          <w:numId w:val="12"/>
        </w:numPr>
        <w:pBdr/>
        <w:tabs>
          <w:tab w:val="left" w:leader="none" w:pos="0"/>
          <w:tab w:val="left" w:leader="none" w:pos="284"/>
          <w:tab w:val="left" w:leader="none" w:pos="567"/>
          <w:tab w:val="left" w:leader="none" w:pos="851"/>
        </w:tabs>
        <w:spacing w:after="240" w:line="280" w:lineRule="atLeast"/>
        <w:ind w:firstLine="0" w:left="0"/>
        <w:contextualSpacing w:val="false"/>
        <w:rPr>
          <w:b/>
          <w:color w:val="ff0000"/>
          <w:sz w:val="24"/>
          <w:szCs w:val="24"/>
        </w:rPr>
      </w:pPr>
      <w:r>
        <w:rPr>
          <w:sz w:val="24"/>
          <w:szCs w:val="24"/>
        </w:rPr>
        <w:t xml:space="preserve">Para os Prestadores de </w:t>
      </w:r>
      <w:r>
        <w:rPr>
          <w:sz w:val="24"/>
          <w:szCs w:val="24"/>
        </w:rPr>
        <w:t xml:space="preserve">Serviços, cujo Município de sua sede, não faça emissão de Nota Fiscal Eletrônica (NF-e), deverá ser entregue junto a Nota Fiscal (modelo A ou A-1) um documento da Prefeitura Municipal declarando não possuir os serviços de emissão da Nota Fiscal Eletrônica.</w:t>
      </w:r>
      <w:r>
        <w:rPr>
          <w:b/>
          <w:color w:val="ff0000"/>
          <w:sz w:val="24"/>
          <w:szCs w:val="24"/>
        </w:rPr>
      </w:r>
    </w:p>
    <w:p>
      <w:pPr>
        <w:pStyle w:val="995"/>
        <w:numPr>
          <w:ilvl w:val="0"/>
          <w:numId w:val="12"/>
        </w:numPr>
        <w:pBdr/>
        <w:tabs>
          <w:tab w:val="left" w:leader="none" w:pos="567"/>
          <w:tab w:val="left" w:leader="none" w:pos="851"/>
        </w:tabs>
        <w:spacing w:after="240" w:line="280" w:lineRule="atLeast"/>
        <w:ind w:firstLine="0" w:left="0"/>
        <w:rPr>
          <w:b/>
          <w:sz w:val="24"/>
          <w:szCs w:val="24"/>
        </w:rPr>
      </w:pPr>
      <w:r/>
      <w:bookmarkStart w:id="61" w:name="EDITALATUALIZAÇÃOFINC"/>
      <w:r>
        <w:rPr>
          <w:b/>
          <w:sz w:val="24"/>
          <w:szCs w:val="24"/>
        </w:rPr>
        <w:t xml:space="preserve">CRITÉRIO DE ATUALIZAÇÃO FINANCEIRA DOS VALORES A SEREM PAGOS, DESDE A DATA FINAL DO PERÍODO DE ADIMPLEMENTO DE CADA PARCELA ATÉ A DATA DO EFETIVO PAGAMENTO:</w:t>
      </w:r>
      <w:bookmarkEnd w:id="61"/>
      <w:r/>
      <w:r>
        <w:rPr>
          <w:b/>
          <w:sz w:val="24"/>
          <w:szCs w:val="24"/>
        </w:rPr>
      </w:r>
    </w:p>
    <w:p>
      <w:pPr>
        <w:pStyle w:val="995"/>
        <w:pBdr/>
        <w:tabs>
          <w:tab w:val="left" w:leader="none" w:pos="851"/>
        </w:tabs>
        <w:spacing w:after="240" w:line="280" w:lineRule="atLeast"/>
        <w:ind w:left="0"/>
        <w:rPr>
          <w:b/>
          <w:sz w:val="24"/>
          <w:szCs w:val="24"/>
          <w:u w:val="single"/>
        </w:rPr>
      </w:pPr>
      <w:r>
        <w:rPr>
          <w:b/>
          <w:sz w:val="24"/>
          <w:szCs w:val="24"/>
          <w:u w:val="single"/>
        </w:rPr>
      </w:r>
      <w:r>
        <w:rPr>
          <w:b/>
          <w:sz w:val="24"/>
          <w:szCs w:val="24"/>
          <w:u w:val="single"/>
        </w:rPr>
      </w:r>
    </w:p>
    <w:p>
      <w:pPr>
        <w:pStyle w:val="995"/>
        <w:numPr>
          <w:ilvl w:val="1"/>
          <w:numId w:val="12"/>
        </w:numPr>
        <w:pBdr/>
        <w:tabs>
          <w:tab w:val="left" w:leader="none" w:pos="426"/>
          <w:tab w:val="left" w:leader="none" w:pos="709"/>
          <w:tab w:val="left" w:leader="none" w:pos="993"/>
        </w:tabs>
        <w:spacing w:after="240" w:line="280" w:lineRule="atLeast"/>
        <w:ind w:firstLine="0" w:left="0"/>
        <w:contextualSpacing w:val="false"/>
        <w:rPr>
          <w:sz w:val="24"/>
          <w:szCs w:val="24"/>
          <w:u w:val="single"/>
        </w:rPr>
      </w:pPr>
      <w:r>
        <w:rPr>
          <w:b/>
          <w:sz w:val="24"/>
          <w:szCs w:val="24"/>
        </w:rPr>
        <w:t xml:space="preserve">Compensações financeiras e penalizações, por eventuais atrasos e descontos, por eventuais antecipações de pagamentos: </w:t>
      </w:r>
      <w:r>
        <w:rPr>
          <w:sz w:val="24"/>
          <w:szCs w:val="24"/>
          <w:u w:val="single"/>
        </w:rPr>
      </w:r>
    </w:p>
    <w:p>
      <w:pPr>
        <w:pStyle w:val="995"/>
        <w:numPr>
          <w:ilvl w:val="2"/>
          <w:numId w:val="12"/>
        </w:numPr>
        <w:pBdr/>
        <w:tabs>
          <w:tab w:val="left" w:leader="none" w:pos="426"/>
          <w:tab w:val="left" w:leader="none" w:pos="851"/>
          <w:tab w:val="left" w:leader="none" w:pos="993"/>
        </w:tabs>
        <w:spacing w:after="240" w:line="280" w:lineRule="atLeast"/>
        <w:ind w:firstLine="0" w:left="0"/>
        <w:contextualSpacing w:val="false"/>
        <w:rPr>
          <w:sz w:val="24"/>
          <w:szCs w:val="24"/>
          <w:u w:val="single"/>
        </w:rPr>
      </w:pPr>
      <w:r>
        <w:rPr>
          <w:sz w:val="24"/>
          <w:szCs w:val="24"/>
        </w:rPr>
        <w:t xml:space="preserve">Em caso de atraso de pagamento, motivado pela Prefeitura Municipal de Rio das </w:t>
      </w:r>
      <w:r>
        <w:rPr>
          <w:sz w:val="24"/>
          <w:szCs w:val="24"/>
        </w:rPr>
        <w:t xml:space="preserve">Flôres</w:t>
      </w:r>
      <w:r>
        <w:rPr>
          <w:sz w:val="24"/>
          <w:szCs w:val="24"/>
        </w:rPr>
        <w:t xml:space="preserve">, o valor a ser pago será atualizado financeiramente desde a data prevista para o pagamento até a do efetivo pagamento, tendo como base o Índice Nacional de Preços ao Consumidor Amplo (IPCA), </w:t>
      </w:r>
      <w:r>
        <w:rPr>
          <w:i/>
          <w:sz w:val="24"/>
          <w:szCs w:val="24"/>
        </w:rPr>
        <w:t xml:space="preserve">pro rata tempore, mediante a aplicação da seguinte fórmula:</w:t>
      </w:r>
      <w:r>
        <w:rPr>
          <w:sz w:val="24"/>
          <w:szCs w:val="24"/>
          <w:u w:val="single"/>
        </w:rPr>
      </w:r>
    </w:p>
    <w:p>
      <w:pPr>
        <w:pStyle w:val="995"/>
        <w:pBdr/>
        <w:tabs>
          <w:tab w:val="left" w:leader="none" w:pos="851"/>
        </w:tabs>
        <w:spacing w:after="240" w:line="280" w:lineRule="atLeast"/>
        <w:ind w:left="0"/>
        <w:contextualSpacing w:val="false"/>
        <w:jc w:val="center"/>
        <w:rPr>
          <w:b/>
          <w:sz w:val="24"/>
          <w:szCs w:val="24"/>
        </w:rPr>
      </w:pPr>
      <w:r>
        <w:rPr>
          <w:b/>
          <w:sz w:val="24"/>
          <w:szCs w:val="24"/>
        </w:rPr>
        <w:t xml:space="preserve">AF = [(1+IPCA/100) </w:t>
      </w:r>
      <w:r>
        <w:rPr>
          <w:b/>
          <w:sz w:val="24"/>
          <w:szCs w:val="24"/>
          <w:vertAlign w:val="superscript"/>
        </w:rPr>
        <w:t xml:space="preserve">N/30</w:t>
      </w:r>
      <w:r>
        <w:rPr>
          <w:b/>
          <w:sz w:val="24"/>
          <w:szCs w:val="24"/>
        </w:rPr>
        <w:t xml:space="preserve"> – 1] X VP</w:t>
      </w:r>
      <w:r>
        <w:rPr>
          <w:b/>
          <w:sz w:val="24"/>
          <w:szCs w:val="24"/>
        </w:rPr>
      </w:r>
    </w:p>
    <w:p>
      <w:pPr>
        <w:pStyle w:val="995"/>
        <w:pBdr/>
        <w:tabs>
          <w:tab w:val="left" w:leader="none" w:pos="851"/>
        </w:tabs>
        <w:spacing w:after="240" w:line="280" w:lineRule="atLeast"/>
        <w:ind w:left="0"/>
        <w:contextualSpacing w:val="false"/>
        <w:rPr>
          <w:sz w:val="24"/>
          <w:szCs w:val="24"/>
        </w:rPr>
      </w:pPr>
      <w:r>
        <w:rPr>
          <w:sz w:val="24"/>
          <w:szCs w:val="24"/>
        </w:rPr>
        <w:t xml:space="preserve">Onde:</w:t>
      </w:r>
      <w:r>
        <w:rPr>
          <w:sz w:val="24"/>
          <w:szCs w:val="24"/>
        </w:rPr>
      </w:r>
    </w:p>
    <w:p>
      <w:pPr>
        <w:pStyle w:val="995"/>
        <w:pBdr/>
        <w:tabs>
          <w:tab w:val="left" w:leader="none" w:pos="851"/>
        </w:tabs>
        <w:spacing w:after="240" w:line="280" w:lineRule="atLeast"/>
        <w:ind w:left="0"/>
        <w:contextualSpacing w:val="false"/>
        <w:rPr>
          <w:sz w:val="24"/>
          <w:szCs w:val="24"/>
        </w:rPr>
      </w:pPr>
      <w:r>
        <w:rPr>
          <w:b/>
          <w:sz w:val="24"/>
          <w:szCs w:val="24"/>
        </w:rPr>
        <w:t xml:space="preserve">AF</w:t>
      </w:r>
      <w:r>
        <w:rPr>
          <w:sz w:val="24"/>
          <w:szCs w:val="24"/>
        </w:rPr>
        <w:t xml:space="preserve"> = Atualização Financeira;</w:t>
      </w:r>
      <w:r>
        <w:rPr>
          <w:sz w:val="24"/>
          <w:szCs w:val="24"/>
        </w:rPr>
      </w:r>
    </w:p>
    <w:p>
      <w:pPr>
        <w:pStyle w:val="995"/>
        <w:pBdr/>
        <w:tabs>
          <w:tab w:val="left" w:leader="none" w:pos="851"/>
        </w:tabs>
        <w:spacing w:after="240" w:line="280" w:lineRule="atLeast"/>
        <w:ind w:left="0"/>
        <w:contextualSpacing w:val="false"/>
        <w:rPr>
          <w:sz w:val="24"/>
          <w:szCs w:val="24"/>
        </w:rPr>
      </w:pPr>
      <w:r>
        <w:rPr>
          <w:b/>
          <w:sz w:val="24"/>
          <w:szCs w:val="24"/>
        </w:rPr>
        <w:t xml:space="preserve">IPCA</w:t>
      </w:r>
      <w:r>
        <w:rPr>
          <w:sz w:val="24"/>
          <w:szCs w:val="24"/>
        </w:rPr>
        <w:t xml:space="preserve"> = Índice Nacional de Preços ao Consumidor Amplo;</w:t>
      </w:r>
      <w:r>
        <w:rPr>
          <w:sz w:val="24"/>
          <w:szCs w:val="24"/>
        </w:rPr>
      </w:r>
    </w:p>
    <w:p>
      <w:pPr>
        <w:pStyle w:val="995"/>
        <w:pBdr/>
        <w:tabs>
          <w:tab w:val="left" w:leader="none" w:pos="851"/>
        </w:tabs>
        <w:spacing w:after="240" w:line="280" w:lineRule="atLeast"/>
        <w:ind w:left="0"/>
        <w:contextualSpacing w:val="false"/>
        <w:rPr>
          <w:sz w:val="24"/>
          <w:szCs w:val="24"/>
        </w:rPr>
      </w:pPr>
      <w:r>
        <w:rPr>
          <w:b/>
          <w:sz w:val="24"/>
          <w:szCs w:val="24"/>
        </w:rPr>
        <w:t xml:space="preserve">N</w:t>
      </w:r>
      <w:r>
        <w:rPr>
          <w:sz w:val="24"/>
          <w:szCs w:val="24"/>
        </w:rPr>
        <w:t xml:space="preserve"> = Número de dias entre a data prevista para o pagamento e a do efetivo pagamento;</w:t>
      </w:r>
      <w:r>
        <w:rPr>
          <w:sz w:val="24"/>
          <w:szCs w:val="24"/>
        </w:rPr>
      </w:r>
    </w:p>
    <w:p>
      <w:pPr>
        <w:pStyle w:val="995"/>
        <w:pBdr/>
        <w:tabs>
          <w:tab w:val="left" w:leader="none" w:pos="851"/>
        </w:tabs>
        <w:spacing w:after="240" w:line="280" w:lineRule="atLeast"/>
        <w:ind w:left="0"/>
        <w:contextualSpacing w:val="false"/>
        <w:rPr>
          <w:sz w:val="24"/>
          <w:szCs w:val="24"/>
        </w:rPr>
      </w:pPr>
      <w:r>
        <w:rPr>
          <w:b/>
          <w:sz w:val="24"/>
          <w:szCs w:val="24"/>
        </w:rPr>
        <w:t xml:space="preserve">VP</w:t>
      </w:r>
      <w:r>
        <w:rPr>
          <w:sz w:val="24"/>
          <w:szCs w:val="24"/>
        </w:rPr>
        <w:t xml:space="preserve"> = Valor da Parcela a ser paga.</w:t>
      </w:r>
      <w:r>
        <w:rPr>
          <w:sz w:val="24"/>
          <w:szCs w:val="24"/>
        </w:rPr>
      </w:r>
    </w:p>
    <w:p>
      <w:pPr>
        <w:pBdr/>
        <w:spacing/>
        <w:ind/>
        <w:rPr>
          <w:sz w:val="24"/>
          <w:szCs w:val="24"/>
        </w:rPr>
      </w:pPr>
      <w:r>
        <w:rPr>
          <w:sz w:val="24"/>
          <w:szCs w:val="24"/>
        </w:rPr>
      </w:r>
      <w:r>
        <w:rPr>
          <w:sz w:val="24"/>
          <w:szCs w:val="24"/>
        </w:rPr>
      </w:r>
    </w:p>
    <w:p>
      <w:pPr>
        <w:pStyle w:val="995"/>
        <w:numPr>
          <w:ilvl w:val="0"/>
          <w:numId w:val="12"/>
        </w:numPr>
        <w:pBdr/>
        <w:tabs>
          <w:tab w:val="left" w:leader="none" w:pos="567"/>
          <w:tab w:val="left" w:leader="none" w:pos="851"/>
        </w:tabs>
        <w:spacing w:after="240" w:line="280" w:lineRule="atLeast"/>
        <w:ind w:firstLine="0" w:left="0"/>
        <w:contextualSpacing w:val="false"/>
        <w:rPr>
          <w:b/>
          <w:sz w:val="24"/>
          <w:szCs w:val="24"/>
        </w:rPr>
      </w:pPr>
      <w:r/>
      <w:bookmarkStart w:id="62" w:name="EDITALRECURSOADM"/>
      <w:r>
        <w:rPr>
          <w:b/>
          <w:sz w:val="24"/>
          <w:szCs w:val="24"/>
        </w:rPr>
        <w:t xml:space="preserve">DOS RECURSOS:</w:t>
      </w:r>
      <w:bookmarkEnd w:id="62"/>
      <w:r/>
      <w:r>
        <w:rPr>
          <w:b/>
          <w:sz w:val="24"/>
          <w:szCs w:val="24"/>
        </w:rPr>
      </w:r>
    </w:p>
    <w:p>
      <w:pPr>
        <w:pStyle w:val="1142"/>
        <w:numPr>
          <w:ilvl w:val="1"/>
          <w:numId w:val="12"/>
        </w:numPr>
        <w:pBdr/>
        <w:spacing/>
        <w:ind w:firstLine="0" w:left="0"/>
        <w:rPr>
          <w:sz w:val="24"/>
          <w:szCs w:val="24"/>
        </w:rPr>
      </w:pPr>
      <w:r>
        <w:rPr>
          <w:sz w:val="24"/>
          <w:szCs w:val="24"/>
        </w:rPr>
        <w:t xml:space="preserve">A interposição de recurso referente ao julgamento das propostas, à habilitação ou inabilitação de licitantes, à anulação ou revogação da licitação, observará o disposto no </w:t>
      </w:r>
      <w:hyperlink r:id="rId54" w:tooltip="http://www.planalto.gov.br/ccivil_03/_ato2019-2022/2021/lei/L14133.htm#art165" w:anchor="art165" w:history="1">
        <w:r>
          <w:rPr>
            <w:rStyle w:val="953"/>
            <w:sz w:val="24"/>
            <w:szCs w:val="24"/>
          </w:rPr>
          <w:t xml:space="preserve">art. 165 da Lei nº 14.133, de 2021</w:t>
        </w:r>
      </w:hyperlink>
      <w:r>
        <w:rPr>
          <w:sz w:val="24"/>
          <w:szCs w:val="24"/>
        </w:rPr>
        <w:t xml:space="preserve">.</w:t>
      </w:r>
      <w:r>
        <w:rPr>
          <w:sz w:val="24"/>
          <w:szCs w:val="24"/>
        </w:rPr>
      </w:r>
    </w:p>
    <w:p>
      <w:pPr>
        <w:pStyle w:val="1142"/>
        <w:numPr>
          <w:ilvl w:val="1"/>
          <w:numId w:val="12"/>
        </w:numPr>
        <w:pBdr/>
        <w:spacing/>
        <w:ind w:firstLine="0" w:left="0"/>
        <w:rPr>
          <w:sz w:val="24"/>
          <w:szCs w:val="24"/>
        </w:rPr>
      </w:pPr>
      <w:r>
        <w:rPr>
          <w:sz w:val="24"/>
          <w:szCs w:val="24"/>
        </w:rPr>
        <w:t xml:space="preserve">O prazo recursal é de </w:t>
      </w:r>
      <w:r>
        <w:rPr>
          <w:b/>
          <w:sz w:val="24"/>
          <w:szCs w:val="24"/>
        </w:rPr>
        <w:t xml:space="preserve">03 (três) dias úteis</w:t>
      </w:r>
      <w:r>
        <w:rPr>
          <w:sz w:val="24"/>
          <w:szCs w:val="24"/>
        </w:rPr>
        <w:t xml:space="preserve">, contados da data de intimação ou de lavratura da ata.</w:t>
      </w:r>
      <w:r>
        <w:rPr>
          <w:sz w:val="24"/>
          <w:szCs w:val="24"/>
        </w:rPr>
      </w:r>
    </w:p>
    <w:p>
      <w:pPr>
        <w:pStyle w:val="1142"/>
        <w:numPr>
          <w:ilvl w:val="1"/>
          <w:numId w:val="12"/>
        </w:numPr>
        <w:pBdr/>
        <w:spacing/>
        <w:ind w:firstLine="0" w:left="0"/>
        <w:rPr>
          <w:sz w:val="24"/>
          <w:szCs w:val="24"/>
        </w:rPr>
      </w:pPr>
      <w:r>
        <w:rPr>
          <w:sz w:val="24"/>
          <w:szCs w:val="24"/>
        </w:rPr>
        <w:t xml:space="preserve">Quando o recurso apresentado impugnar o julgamento das propostas ou o ato de habilitação ou inabilitação do licitante:</w:t>
      </w:r>
      <w:r>
        <w:rPr>
          <w:sz w:val="24"/>
          <w:szCs w:val="24"/>
        </w:rPr>
      </w:r>
    </w:p>
    <w:p>
      <w:pPr>
        <w:pStyle w:val="1143"/>
        <w:numPr>
          <w:ilvl w:val="2"/>
          <w:numId w:val="12"/>
        </w:numPr>
        <w:pBdr/>
        <w:tabs>
          <w:tab w:val="left" w:leader="none" w:pos="851"/>
        </w:tabs>
        <w:spacing/>
        <w:ind w:firstLine="0" w:left="0"/>
        <w:rPr>
          <w:sz w:val="24"/>
          <w:szCs w:val="24"/>
        </w:rPr>
      </w:pPr>
      <w:r>
        <w:rPr>
          <w:sz w:val="24"/>
          <w:szCs w:val="24"/>
        </w:rPr>
        <w:t xml:space="preserve">a intenção de recorrer deverá ser manifestada imediatamente, sob pena de preclusão;</w:t>
      </w:r>
      <w:r>
        <w:rPr>
          <w:sz w:val="24"/>
          <w:szCs w:val="24"/>
        </w:rPr>
      </w:r>
    </w:p>
    <w:p>
      <w:pPr>
        <w:pStyle w:val="1143"/>
        <w:numPr>
          <w:ilvl w:val="2"/>
          <w:numId w:val="12"/>
        </w:numPr>
        <w:pBdr/>
        <w:tabs>
          <w:tab w:val="left" w:leader="none" w:pos="851"/>
        </w:tabs>
        <w:spacing/>
        <w:ind w:firstLine="0" w:left="0"/>
        <w:rPr>
          <w:sz w:val="24"/>
          <w:szCs w:val="24"/>
        </w:rPr>
      </w:pPr>
      <w:r/>
      <w:bookmarkStart w:id="63" w:name="_Hlk135318381"/>
      <w:r/>
      <w:bookmarkStart w:id="64" w:name="_Hlk135315794"/>
      <w:r>
        <w:rPr>
          <w:sz w:val="24"/>
          <w:szCs w:val="24"/>
        </w:rPr>
        <w:t xml:space="preserve">o prazo para a manifestação da intenção de recorrer </w:t>
      </w:r>
      <w:r>
        <w:rPr>
          <w:b/>
          <w:sz w:val="24"/>
          <w:szCs w:val="24"/>
        </w:rPr>
        <w:t xml:space="preserve">não será inferior a 10 (dez) minutos</w:t>
      </w:r>
      <w:r>
        <w:rPr>
          <w:sz w:val="24"/>
          <w:szCs w:val="24"/>
        </w:rPr>
        <w:t xml:space="preserve">.</w:t>
      </w:r>
      <w:bookmarkEnd w:id="63"/>
      <w:r/>
      <w:bookmarkEnd w:id="64"/>
      <w:r/>
      <w:r>
        <w:rPr>
          <w:sz w:val="24"/>
          <w:szCs w:val="24"/>
        </w:rPr>
      </w:r>
    </w:p>
    <w:p>
      <w:pPr>
        <w:pStyle w:val="1143"/>
        <w:numPr>
          <w:ilvl w:val="2"/>
          <w:numId w:val="12"/>
        </w:numPr>
        <w:pBdr/>
        <w:tabs>
          <w:tab w:val="left" w:leader="none" w:pos="851"/>
        </w:tabs>
        <w:spacing/>
        <w:ind w:firstLine="0" w:left="0"/>
        <w:rPr>
          <w:sz w:val="24"/>
          <w:szCs w:val="24"/>
        </w:rPr>
      </w:pPr>
      <w:r>
        <w:rPr>
          <w:sz w:val="24"/>
          <w:szCs w:val="24"/>
        </w:rPr>
        <w:t xml:space="preserve">o prazo para apresentação das razões recursais será iniciado na data de intimação ou de lavratura da ata de habilitação ou inabilitação;</w:t>
      </w:r>
      <w:r>
        <w:rPr>
          <w:sz w:val="24"/>
          <w:szCs w:val="24"/>
        </w:rPr>
      </w:r>
    </w:p>
    <w:p>
      <w:pPr>
        <w:pStyle w:val="1143"/>
        <w:numPr>
          <w:ilvl w:val="2"/>
          <w:numId w:val="12"/>
        </w:numPr>
        <w:pBdr/>
        <w:tabs>
          <w:tab w:val="left" w:leader="none" w:pos="851"/>
        </w:tabs>
        <w:spacing/>
        <w:ind w:firstLine="0" w:left="0"/>
        <w:rPr>
          <w:sz w:val="24"/>
          <w:szCs w:val="24"/>
        </w:rPr>
      </w:pPr>
      <w:r>
        <w:rPr>
          <w:sz w:val="24"/>
          <w:szCs w:val="24"/>
        </w:rPr>
        <w:t xml:space="preserve">na hipótese de adoção da inversão de fases prevista no </w:t>
      </w:r>
      <w:hyperlink r:id="rId55" w:tooltip="http://www.planalto.gov.br/ccivil_03/_ato2019-2022/2021/lei/L14133.htm#art17§1" w:anchor="art17§1" w:history="1">
        <w:r>
          <w:rPr>
            <w:rStyle w:val="953"/>
            <w:sz w:val="24"/>
            <w:szCs w:val="24"/>
          </w:rPr>
          <w:t xml:space="preserve">§ 1º do art. 17 da Lei nº 14.133, de 2021</w:t>
        </w:r>
      </w:hyperlink>
      <w:r>
        <w:rPr>
          <w:sz w:val="24"/>
          <w:szCs w:val="24"/>
        </w:rPr>
        <w:t xml:space="preserve">, o prazo para apresentação das razões recursais será iniciado na data de intimação da ata de julgamento.</w:t>
      </w:r>
      <w:r>
        <w:rPr>
          <w:sz w:val="24"/>
          <w:szCs w:val="24"/>
        </w:rPr>
      </w:r>
    </w:p>
    <w:p>
      <w:pPr>
        <w:pStyle w:val="1142"/>
        <w:numPr>
          <w:ilvl w:val="1"/>
          <w:numId w:val="12"/>
        </w:numPr>
        <w:pBdr/>
        <w:spacing/>
        <w:ind w:firstLine="0" w:left="0"/>
        <w:rPr>
          <w:sz w:val="24"/>
          <w:szCs w:val="24"/>
        </w:rPr>
      </w:pPr>
      <w:r>
        <w:rPr>
          <w:sz w:val="24"/>
          <w:szCs w:val="24"/>
        </w:rPr>
        <w:t xml:space="preserve">Os recursos deverão ser encaminhados em campo próprio do sistema.</w:t>
      </w:r>
      <w:r>
        <w:rPr>
          <w:sz w:val="24"/>
          <w:szCs w:val="24"/>
        </w:rPr>
      </w:r>
    </w:p>
    <w:p>
      <w:pPr>
        <w:pStyle w:val="1142"/>
        <w:numPr>
          <w:ilvl w:val="1"/>
          <w:numId w:val="12"/>
        </w:numPr>
        <w:pBdr/>
        <w:spacing/>
        <w:ind w:firstLine="0" w:left="0"/>
        <w:rPr>
          <w:sz w:val="24"/>
          <w:szCs w:val="24"/>
        </w:rPr>
      </w:pPr>
      <w:r>
        <w:rPr>
          <w:sz w:val="24"/>
          <w:szCs w:val="24"/>
        </w:rPr>
        <w:t xml:space="preserve">O recurso será dirigido à autoridade que tiver editado o ato ou proferido a decisão recorrida, a qual poderá reconsiderar sua decisão no prazo de </w:t>
      </w:r>
      <w:r>
        <w:rPr>
          <w:b/>
          <w:sz w:val="24"/>
          <w:szCs w:val="24"/>
        </w:rPr>
        <w:t xml:space="preserve">03 (três) dias úteis</w:t>
      </w:r>
      <w:r>
        <w:rPr>
          <w:sz w:val="24"/>
          <w:szCs w:val="24"/>
        </w:rPr>
        <w:t xml:space="preserve">, ou, </w:t>
      </w:r>
      <w:r>
        <w:rPr>
          <w:sz w:val="24"/>
          <w:szCs w:val="24"/>
        </w:rPr>
        <w:t xml:space="preserve">nesse mesmo prazo, encaminhar recurso para a autoridade superior, a qual deverá proferir sua decisão no prazo de </w:t>
      </w:r>
      <w:r>
        <w:rPr>
          <w:b/>
          <w:sz w:val="24"/>
          <w:szCs w:val="24"/>
        </w:rPr>
        <w:t xml:space="preserve">10 (dez) dias úteis</w:t>
      </w:r>
      <w:r>
        <w:rPr>
          <w:sz w:val="24"/>
          <w:szCs w:val="24"/>
        </w:rPr>
        <w:t xml:space="preserve">, contado do recebimento dos autos.</w:t>
      </w:r>
      <w:r>
        <w:rPr>
          <w:sz w:val="24"/>
          <w:szCs w:val="24"/>
        </w:rPr>
      </w:r>
    </w:p>
    <w:p>
      <w:pPr>
        <w:pStyle w:val="1142"/>
        <w:numPr>
          <w:ilvl w:val="1"/>
          <w:numId w:val="12"/>
        </w:numPr>
        <w:pBdr/>
        <w:spacing/>
        <w:ind w:firstLine="0" w:left="0"/>
        <w:rPr>
          <w:sz w:val="24"/>
          <w:szCs w:val="24"/>
        </w:rPr>
      </w:pPr>
      <w:r>
        <w:rPr>
          <w:sz w:val="24"/>
          <w:szCs w:val="24"/>
        </w:rPr>
        <w:t xml:space="preserve">Os recursos interpostos fora do prazo não serão conhecidos. </w:t>
      </w:r>
      <w:r>
        <w:rPr>
          <w:sz w:val="24"/>
          <w:szCs w:val="24"/>
        </w:rPr>
      </w:r>
    </w:p>
    <w:p>
      <w:pPr>
        <w:pStyle w:val="1142"/>
        <w:numPr>
          <w:ilvl w:val="1"/>
          <w:numId w:val="12"/>
        </w:numPr>
        <w:pBdr/>
        <w:spacing/>
        <w:ind w:firstLine="0" w:left="0"/>
        <w:rPr>
          <w:sz w:val="24"/>
          <w:szCs w:val="24"/>
        </w:rPr>
      </w:pPr>
      <w:r>
        <w:rPr>
          <w:sz w:val="24"/>
          <w:szCs w:val="24"/>
        </w:rPr>
        <w:t xml:space="preserve">O prazo para apresentação de </w:t>
      </w:r>
      <w:r>
        <w:rPr>
          <w:b/>
          <w:sz w:val="24"/>
          <w:szCs w:val="24"/>
        </w:rPr>
        <w:t xml:space="preserve">contrarrazões</w:t>
      </w:r>
      <w:r>
        <w:rPr>
          <w:sz w:val="24"/>
          <w:szCs w:val="24"/>
        </w:rPr>
        <w:t xml:space="preserve"> ao recurso pelos demais licitantes será de </w:t>
      </w:r>
      <w:r>
        <w:rPr>
          <w:b/>
          <w:sz w:val="24"/>
          <w:szCs w:val="24"/>
        </w:rPr>
        <w:t xml:space="preserve">03 (três) dias úteis</w:t>
      </w:r>
      <w:r>
        <w:rPr>
          <w:sz w:val="24"/>
          <w:szCs w:val="24"/>
        </w:rPr>
        <w:t xml:space="preserve">, contados da data da intimação pessoal ou da divulgação da interposição do recurso, assegurada a vista imediata dos elementos indispensáveis à defesa de seus interesses.</w:t>
      </w:r>
      <w:r>
        <w:rPr>
          <w:sz w:val="24"/>
          <w:szCs w:val="24"/>
        </w:rPr>
      </w:r>
    </w:p>
    <w:p>
      <w:pPr>
        <w:pStyle w:val="1142"/>
        <w:numPr>
          <w:ilvl w:val="1"/>
          <w:numId w:val="12"/>
        </w:numPr>
        <w:pBdr/>
        <w:spacing/>
        <w:ind w:firstLine="0" w:left="0"/>
        <w:rPr>
          <w:sz w:val="24"/>
          <w:szCs w:val="24"/>
        </w:rPr>
      </w:pPr>
      <w:r>
        <w:rPr>
          <w:sz w:val="24"/>
          <w:szCs w:val="24"/>
        </w:rPr>
        <w:t xml:space="preserve">O recurso e o pedido de reconsideração terão efeito suspensivo do ato ou da decisão recorrida até que sobrevenha decisão final da autoridade competente. </w:t>
      </w:r>
      <w:r>
        <w:rPr>
          <w:sz w:val="24"/>
          <w:szCs w:val="24"/>
        </w:rPr>
      </w:r>
    </w:p>
    <w:p>
      <w:pPr>
        <w:pStyle w:val="1142"/>
        <w:numPr>
          <w:ilvl w:val="1"/>
          <w:numId w:val="12"/>
        </w:numPr>
        <w:pBdr/>
        <w:spacing/>
        <w:ind w:firstLine="0" w:left="0"/>
        <w:rPr>
          <w:color w:val="000000" w:themeColor="text1"/>
          <w:sz w:val="24"/>
          <w:szCs w:val="24"/>
        </w:rPr>
      </w:pPr>
      <w:r>
        <w:rPr>
          <w:sz w:val="24"/>
          <w:szCs w:val="24"/>
        </w:rPr>
        <w:t xml:space="preserve">O acolhimento do recurso invalida tão somente os atos insuscetíveis de aproveitamento. </w:t>
      </w:r>
      <w:r>
        <w:rPr>
          <w:color w:val="000000" w:themeColor="text1"/>
          <w:sz w:val="24"/>
          <w:szCs w:val="24"/>
        </w:rPr>
      </w:r>
    </w:p>
    <w:p>
      <w:pPr>
        <w:pStyle w:val="1142"/>
        <w:numPr>
          <w:ilvl w:val="1"/>
          <w:numId w:val="12"/>
        </w:numPr>
        <w:pBdr/>
        <w:spacing/>
        <w:ind w:firstLine="0" w:left="0"/>
        <w:rPr>
          <w:color w:val="000000" w:themeColor="text1"/>
          <w:sz w:val="24"/>
          <w:szCs w:val="24"/>
        </w:rPr>
      </w:pPr>
      <w:r>
        <w:rPr>
          <w:color w:val="000000" w:themeColor="text1"/>
          <w:sz w:val="24"/>
          <w:szCs w:val="24"/>
        </w:rPr>
        <w:t xml:space="preserve">Os autos do processo permanecerão com vista franqueada aos interessados no sítio eletrônico </w:t>
      </w:r>
      <w:hyperlink r:id="rId56" w:tooltip="http://www.riodasflores.rj.gov.br" w:history="1">
        <w:r>
          <w:rPr>
            <w:rStyle w:val="953"/>
            <w:b/>
            <w:color w:val="000000" w:themeColor="text1"/>
            <w:sz w:val="24"/>
            <w:szCs w:val="24"/>
          </w:rPr>
          <w:t xml:space="preserve">www.riodasflores.rj.gov.br</w:t>
        </w:r>
      </w:hyperlink>
      <w:r>
        <w:rPr>
          <w:color w:val="000000" w:themeColor="text1"/>
          <w:sz w:val="24"/>
          <w:szCs w:val="24"/>
        </w:rPr>
        <w:t xml:space="preserve">.</w:t>
      </w:r>
      <w:r>
        <w:rPr>
          <w:color w:val="000000" w:themeColor="text1"/>
          <w:sz w:val="24"/>
          <w:szCs w:val="24"/>
        </w:rPr>
      </w:r>
    </w:p>
    <w:p>
      <w:pPr>
        <w:pStyle w:val="995"/>
        <w:pBdr/>
        <w:tabs>
          <w:tab w:val="left" w:leader="none" w:pos="851"/>
        </w:tabs>
        <w:spacing w:after="240" w:line="280" w:lineRule="atLeast"/>
        <w:ind w:left="-142"/>
        <w:contextualSpacing w:val="false"/>
        <w:rPr>
          <w:b/>
          <w:sz w:val="24"/>
          <w:szCs w:val="24"/>
          <w:u w:val="single"/>
        </w:rPr>
      </w:pPr>
      <w:r>
        <w:rPr>
          <w:b/>
          <w:sz w:val="24"/>
          <w:szCs w:val="24"/>
          <w:u w:val="single"/>
        </w:rPr>
      </w:r>
      <w:r>
        <w:rPr>
          <w:b/>
          <w:sz w:val="24"/>
          <w:szCs w:val="24"/>
          <w:u w:val="single"/>
        </w:rPr>
      </w:r>
    </w:p>
    <w:p>
      <w:pPr>
        <w:pStyle w:val="1141"/>
        <w:numPr>
          <w:ilvl w:val="0"/>
          <w:numId w:val="12"/>
        </w:numPr>
        <w:pBdr/>
        <w:spacing/>
        <w:ind w:firstLine="0" w:left="0"/>
        <w:rPr/>
      </w:pPr>
      <w:r/>
      <w:bookmarkStart w:id="65" w:name="_Toc135469234"/>
      <w:r>
        <w:t xml:space="preserve">DAS INFRAÇÕES ADMINISTRATIVAS E SANÇÕES</w:t>
      </w:r>
      <w:bookmarkEnd w:id="65"/>
      <w:r/>
      <w:r/>
    </w:p>
    <w:p>
      <w:pPr>
        <w:pStyle w:val="1142"/>
        <w:numPr>
          <w:ilvl w:val="1"/>
          <w:numId w:val="12"/>
        </w:numPr>
        <w:pBdr/>
        <w:spacing/>
        <w:ind w:firstLine="0" w:left="0"/>
        <w:rPr>
          <w:sz w:val="24"/>
          <w:szCs w:val="24"/>
        </w:rPr>
      </w:pPr>
      <w:r>
        <w:rPr>
          <w:sz w:val="24"/>
          <w:szCs w:val="24"/>
        </w:rPr>
        <w:t xml:space="preserve">Comete infração administrativa, nos termos da lei, o licitante que, com dolo ou culpa: </w:t>
      </w:r>
      <w:r>
        <w:rPr>
          <w:sz w:val="24"/>
          <w:szCs w:val="24"/>
        </w:rPr>
      </w:r>
    </w:p>
    <w:p>
      <w:pPr>
        <w:pStyle w:val="1143"/>
        <w:numPr>
          <w:ilvl w:val="2"/>
          <w:numId w:val="12"/>
        </w:numPr>
        <w:pBdr/>
        <w:tabs>
          <w:tab w:val="left" w:leader="none" w:pos="1134"/>
        </w:tabs>
        <w:spacing/>
        <w:ind w:firstLine="0" w:left="0"/>
        <w:rPr>
          <w:sz w:val="24"/>
          <w:szCs w:val="24"/>
        </w:rPr>
      </w:pPr>
      <w:r/>
      <w:bookmarkStart w:id="66" w:name="_Ref114668085"/>
      <w:r/>
      <w:bookmarkStart w:id="67" w:name="_Hlk114652595"/>
      <w:r>
        <w:rPr>
          <w:sz w:val="24"/>
          <w:szCs w:val="24"/>
        </w:rPr>
        <w:t xml:space="preserve">deixar de entregar a documentação exigida para o certame ou não entregar qualquer documento que tenha sido solicitado pelo/a pregoeiro/a durante o certame;</w:t>
      </w:r>
      <w:bookmarkEnd w:id="66"/>
      <w:r/>
      <w:r>
        <w:rPr>
          <w:sz w:val="24"/>
          <w:szCs w:val="24"/>
        </w:rPr>
      </w:r>
    </w:p>
    <w:p>
      <w:pPr>
        <w:pStyle w:val="1143"/>
        <w:numPr>
          <w:ilvl w:val="2"/>
          <w:numId w:val="12"/>
        </w:numPr>
        <w:pBdr/>
        <w:tabs>
          <w:tab w:val="left" w:leader="none" w:pos="1134"/>
        </w:tabs>
        <w:spacing/>
        <w:ind w:firstLine="0" w:left="0"/>
        <w:rPr>
          <w:sz w:val="24"/>
          <w:szCs w:val="24"/>
        </w:rPr>
      </w:pPr>
      <w:r/>
      <w:bookmarkStart w:id="68" w:name="_Ref114668108"/>
      <w:r>
        <w:rPr>
          <w:sz w:val="24"/>
          <w:szCs w:val="24"/>
        </w:rPr>
        <w:t xml:space="preserve">Salvo em decorrência de fato superveniente devidamente justificado, não mantiver a proposta em especial quando:</w:t>
      </w:r>
      <w:bookmarkEnd w:id="68"/>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não enviar a proposta adequada ao último lance ofertado ou após a negociação; </w:t>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recusar-se a enviar o detalhamento da proposta quando exigível; </w:t>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pedir para ser desclassificado quando encerrada a etapa competitiva; ou </w:t>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deixar de apresentar amostra;</w:t>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apresentar proposta ou amostra em desacordo com as especificações do edital; </w:t>
      </w:r>
      <w:r>
        <w:rPr>
          <w:sz w:val="24"/>
          <w:szCs w:val="24"/>
        </w:rPr>
      </w:r>
    </w:p>
    <w:p>
      <w:pPr>
        <w:pStyle w:val="1143"/>
        <w:numPr>
          <w:ilvl w:val="2"/>
          <w:numId w:val="12"/>
        </w:numPr>
        <w:pBdr/>
        <w:tabs>
          <w:tab w:val="left" w:leader="none" w:pos="1134"/>
        </w:tabs>
        <w:spacing/>
        <w:ind w:firstLine="0" w:left="0"/>
        <w:rPr>
          <w:sz w:val="24"/>
          <w:szCs w:val="24"/>
        </w:rPr>
      </w:pPr>
      <w:r/>
      <w:bookmarkStart w:id="69" w:name="_Ref114668139"/>
      <w:r>
        <w:rPr>
          <w:sz w:val="24"/>
          <w:szCs w:val="24"/>
        </w:rPr>
        <w:t xml:space="preserve">não celebrar o contrato ou não entregar a documentação exigida para a contratação, quando convocado dentro do prazo de validade de sua proposta;</w:t>
      </w:r>
      <w:bookmarkEnd w:id="69"/>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recusar-se, sem justificativa, a assinar o contrato ou a ata de registro de preço, ou a aceitar ou retirar o instrumento equivalente no prazo estabelecido pela Administração;</w:t>
      </w:r>
      <w:r>
        <w:rPr>
          <w:sz w:val="24"/>
          <w:szCs w:val="24"/>
        </w:rPr>
      </w:r>
    </w:p>
    <w:p>
      <w:pPr>
        <w:pStyle w:val="1143"/>
        <w:numPr>
          <w:ilvl w:val="2"/>
          <w:numId w:val="12"/>
        </w:numPr>
        <w:pBdr/>
        <w:tabs>
          <w:tab w:val="left" w:leader="none" w:pos="1134"/>
        </w:tabs>
        <w:spacing/>
        <w:ind w:firstLine="0" w:left="0"/>
        <w:rPr>
          <w:sz w:val="24"/>
          <w:szCs w:val="24"/>
        </w:rPr>
      </w:pPr>
      <w:r/>
      <w:bookmarkStart w:id="70" w:name="_Ref114668249"/>
      <w:r>
        <w:rPr>
          <w:sz w:val="24"/>
          <w:szCs w:val="24"/>
        </w:rPr>
        <w:t xml:space="preserve">apresentar declaração ou documentação falsa exigida para o certame ou prestar declaração falsa durante a licitação</w:t>
      </w:r>
      <w:bookmarkEnd w:id="70"/>
      <w:r/>
      <w:r>
        <w:rPr>
          <w:sz w:val="24"/>
          <w:szCs w:val="24"/>
        </w:rPr>
      </w:r>
    </w:p>
    <w:p>
      <w:pPr>
        <w:pStyle w:val="1143"/>
        <w:numPr>
          <w:ilvl w:val="2"/>
          <w:numId w:val="12"/>
        </w:numPr>
        <w:pBdr/>
        <w:tabs>
          <w:tab w:val="left" w:leader="none" w:pos="1134"/>
        </w:tabs>
        <w:spacing/>
        <w:ind w:firstLine="0" w:left="0"/>
        <w:rPr>
          <w:sz w:val="24"/>
          <w:szCs w:val="24"/>
        </w:rPr>
      </w:pPr>
      <w:r/>
      <w:bookmarkStart w:id="71" w:name="_Ref114668245"/>
      <w:r>
        <w:rPr>
          <w:sz w:val="24"/>
          <w:szCs w:val="24"/>
        </w:rPr>
        <w:t xml:space="preserve">fraudar a licitação</w:t>
      </w:r>
      <w:bookmarkEnd w:id="71"/>
      <w:r/>
      <w:r>
        <w:rPr>
          <w:sz w:val="24"/>
          <w:szCs w:val="24"/>
        </w:rPr>
      </w:r>
    </w:p>
    <w:p>
      <w:pPr>
        <w:pStyle w:val="1143"/>
        <w:numPr>
          <w:ilvl w:val="2"/>
          <w:numId w:val="12"/>
        </w:numPr>
        <w:pBdr/>
        <w:tabs>
          <w:tab w:val="left" w:leader="none" w:pos="1134"/>
        </w:tabs>
        <w:spacing/>
        <w:ind w:firstLine="0" w:left="0"/>
        <w:rPr>
          <w:sz w:val="24"/>
          <w:szCs w:val="24"/>
        </w:rPr>
      </w:pPr>
      <w:r/>
      <w:bookmarkStart w:id="72" w:name="_Ref114668247"/>
      <w:r>
        <w:rPr>
          <w:sz w:val="24"/>
          <w:szCs w:val="24"/>
        </w:rPr>
        <w:t xml:space="preserve">comportar-se de modo inidôneo ou cometer fraude de qualquer natureza, em especial quando:</w:t>
      </w:r>
      <w:bookmarkEnd w:id="72"/>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agir em conluio ou em desconformidade com a lei; </w:t>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induzir deliberadamente a erro no julgamento; </w:t>
      </w:r>
      <w:r>
        <w:rPr>
          <w:sz w:val="24"/>
          <w:szCs w:val="24"/>
        </w:rPr>
      </w:r>
    </w:p>
    <w:p>
      <w:pPr>
        <w:pStyle w:val="1144"/>
        <w:numPr>
          <w:ilvl w:val="3"/>
          <w:numId w:val="12"/>
        </w:numPr>
        <w:pBdr/>
        <w:tabs>
          <w:tab w:val="left" w:leader="none" w:pos="1134"/>
        </w:tabs>
        <w:spacing/>
        <w:ind w:firstLine="0" w:left="0"/>
        <w:rPr>
          <w:sz w:val="24"/>
          <w:szCs w:val="24"/>
        </w:rPr>
      </w:pPr>
      <w:r>
        <w:rPr>
          <w:sz w:val="24"/>
          <w:szCs w:val="24"/>
        </w:rPr>
        <w:t xml:space="preserve">apresentar amostra falsificada ou deteriorada; </w:t>
      </w:r>
      <w:r>
        <w:rPr>
          <w:sz w:val="24"/>
          <w:szCs w:val="24"/>
        </w:rPr>
      </w:r>
    </w:p>
    <w:p>
      <w:pPr>
        <w:pStyle w:val="1143"/>
        <w:numPr>
          <w:ilvl w:val="2"/>
          <w:numId w:val="12"/>
        </w:numPr>
        <w:pBdr/>
        <w:tabs>
          <w:tab w:val="left" w:leader="none" w:pos="1134"/>
        </w:tabs>
        <w:spacing/>
        <w:ind w:firstLine="0" w:left="0"/>
        <w:rPr>
          <w:sz w:val="24"/>
          <w:szCs w:val="24"/>
        </w:rPr>
      </w:pPr>
      <w:r/>
      <w:bookmarkStart w:id="73" w:name="_Ref114668251"/>
      <w:r>
        <w:rPr>
          <w:sz w:val="24"/>
          <w:szCs w:val="24"/>
        </w:rPr>
        <w:t xml:space="preserve">praticar atos ilícitos com vistas a frustrar os objetivos da licitação</w:t>
      </w:r>
      <w:bookmarkEnd w:id="73"/>
      <w:r/>
      <w:r>
        <w:rPr>
          <w:sz w:val="24"/>
          <w:szCs w:val="24"/>
        </w:rPr>
      </w:r>
    </w:p>
    <w:p>
      <w:pPr>
        <w:pStyle w:val="1143"/>
        <w:numPr>
          <w:ilvl w:val="2"/>
          <w:numId w:val="12"/>
        </w:numPr>
        <w:pBdr/>
        <w:tabs>
          <w:tab w:val="left" w:leader="none" w:pos="1134"/>
        </w:tabs>
        <w:spacing/>
        <w:ind w:firstLine="0" w:left="0"/>
        <w:rPr>
          <w:sz w:val="24"/>
          <w:szCs w:val="24"/>
        </w:rPr>
      </w:pPr>
      <w:r/>
      <w:bookmarkStart w:id="74" w:name="_Ref114668252"/>
      <w:r>
        <w:rPr>
          <w:sz w:val="24"/>
          <w:szCs w:val="24"/>
        </w:rPr>
        <w:t xml:space="preserve">praticar ato lesivo previsto no </w:t>
      </w:r>
      <w:hyperlink r:id="rId57" w:tooltip="https://www.planalto.gov.br/ccivil_03/_ato2011-2014/2013/lei/l12846.htm#art5" w:anchor="art5" w:history="1">
        <w:r>
          <w:rPr>
            <w:rStyle w:val="953"/>
            <w:sz w:val="24"/>
            <w:szCs w:val="24"/>
          </w:rPr>
          <w:t xml:space="preserve">art. 5º da Lei n.º 12.846, de 2013</w:t>
        </w:r>
      </w:hyperlink>
      <w:r>
        <w:rPr>
          <w:sz w:val="24"/>
          <w:szCs w:val="24"/>
        </w:rPr>
        <w:t xml:space="preserve">.</w:t>
      </w:r>
      <w:bookmarkEnd w:id="67"/>
      <w:r/>
      <w:bookmarkEnd w:id="74"/>
      <w:r/>
      <w:r>
        <w:rPr>
          <w:sz w:val="24"/>
          <w:szCs w:val="24"/>
        </w:rPr>
      </w:r>
    </w:p>
    <w:p>
      <w:pPr>
        <w:pStyle w:val="1142"/>
        <w:numPr>
          <w:ilvl w:val="1"/>
          <w:numId w:val="12"/>
        </w:numPr>
        <w:pBdr/>
        <w:spacing/>
        <w:ind w:firstLine="0" w:left="0"/>
        <w:rPr>
          <w:b/>
          <w:color w:val="auto"/>
          <w:sz w:val="24"/>
          <w:szCs w:val="24"/>
        </w:rPr>
      </w:pPr>
      <w:r>
        <w:rPr>
          <w:b/>
          <w:color w:val="auto"/>
          <w:sz w:val="24"/>
          <w:szCs w:val="24"/>
        </w:rPr>
        <w:t xml:space="preserve">Com fulcro na </w:t>
      </w:r>
      <w:hyperlink r:id="rId58" w:tooltip="http://www.planalto.gov.br/ccivil_03/_ato2019-2022/2021/lei/L14133.htm" w:history="1">
        <w:r>
          <w:rPr>
            <w:rStyle w:val="953"/>
            <w:b/>
            <w:color w:val="auto"/>
            <w:sz w:val="24"/>
            <w:szCs w:val="24"/>
          </w:rPr>
          <w:t xml:space="preserve">Lei nº 14.133, de 2021</w:t>
        </w:r>
      </w:hyperlink>
      <w:r>
        <w:rPr>
          <w:b/>
          <w:color w:val="auto"/>
          <w:sz w:val="24"/>
          <w:szCs w:val="24"/>
        </w:rPr>
        <w:t xml:space="preserve">, a Administração poderá, garantida a prévia defesa, aplicar aos licitantes e/ou adjudicatários as seguintes sanções, sem prejuízo das responsabilidades civil e criminal: </w:t>
      </w:r>
      <w:r>
        <w:rPr>
          <w:b/>
          <w:color w:val="auto"/>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advertência; </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multa;</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impedimento de licitar e contratar e</w:t>
      </w:r>
      <w:r>
        <w:rPr>
          <w:sz w:val="24"/>
          <w:szCs w:val="24"/>
        </w:rPr>
      </w:r>
    </w:p>
    <w:p>
      <w:pPr>
        <w:pStyle w:val="1143"/>
        <w:numPr>
          <w:ilvl w:val="2"/>
          <w:numId w:val="12"/>
        </w:numPr>
        <w:pBdr/>
        <w:tabs>
          <w:tab w:val="left" w:leader="none" w:pos="993"/>
        </w:tabs>
        <w:spacing/>
        <w:ind w:firstLine="0" w:left="0"/>
        <w:rPr>
          <w:sz w:val="24"/>
          <w:szCs w:val="24"/>
        </w:rPr>
      </w:pPr>
      <w:r>
        <w:rPr>
          <w:sz w:val="24"/>
          <w:szCs w:val="24"/>
        </w:rPr>
        <w:t xml:space="preserve">declaração de inidoneidade para licitar ou contratar, enquanto perdurarem os motivos determinantes da punição ou até que seja promovida sua reabilitação perante a própria autoridade que aplicou a penalidade.</w:t>
      </w:r>
      <w:r>
        <w:rPr>
          <w:sz w:val="24"/>
          <w:szCs w:val="24"/>
        </w:rPr>
      </w:r>
    </w:p>
    <w:p>
      <w:pPr>
        <w:pStyle w:val="1142"/>
        <w:numPr>
          <w:ilvl w:val="1"/>
          <w:numId w:val="12"/>
        </w:numPr>
        <w:pBdr/>
        <w:spacing/>
        <w:ind w:firstLine="0" w:left="0"/>
        <w:rPr>
          <w:b/>
          <w:sz w:val="24"/>
          <w:szCs w:val="24"/>
        </w:rPr>
      </w:pPr>
      <w:r>
        <w:rPr>
          <w:b/>
          <w:sz w:val="24"/>
          <w:szCs w:val="24"/>
        </w:rPr>
        <w:t xml:space="preserve">Na aplicação das sanções serão considerados:</w:t>
      </w:r>
      <w:r>
        <w:rPr>
          <w:b/>
          <w:sz w:val="24"/>
          <w:szCs w:val="24"/>
        </w:rPr>
      </w:r>
    </w:p>
    <w:p>
      <w:pPr>
        <w:pStyle w:val="1143"/>
        <w:numPr>
          <w:ilvl w:val="2"/>
          <w:numId w:val="12"/>
        </w:numPr>
        <w:pBdr/>
        <w:tabs>
          <w:tab w:val="left" w:leader="none" w:pos="709"/>
          <w:tab w:val="left" w:leader="none" w:pos="993"/>
        </w:tabs>
        <w:spacing/>
        <w:ind w:firstLine="0" w:left="0"/>
        <w:rPr>
          <w:sz w:val="24"/>
          <w:szCs w:val="24"/>
        </w:rPr>
      </w:pPr>
      <w:r>
        <w:rPr>
          <w:sz w:val="24"/>
          <w:szCs w:val="24"/>
        </w:rPr>
        <w:t xml:space="preserve">a natureza e a gravidade da infração cometida.</w:t>
      </w:r>
      <w:r>
        <w:rPr>
          <w:sz w:val="24"/>
          <w:szCs w:val="24"/>
        </w:rPr>
      </w:r>
    </w:p>
    <w:p>
      <w:pPr>
        <w:pStyle w:val="1143"/>
        <w:numPr>
          <w:ilvl w:val="2"/>
          <w:numId w:val="12"/>
        </w:numPr>
        <w:pBdr/>
        <w:tabs>
          <w:tab w:val="left" w:leader="none" w:pos="709"/>
          <w:tab w:val="left" w:leader="none" w:pos="993"/>
        </w:tabs>
        <w:spacing/>
        <w:ind w:firstLine="0" w:left="0"/>
        <w:rPr>
          <w:sz w:val="24"/>
          <w:szCs w:val="24"/>
        </w:rPr>
      </w:pPr>
      <w:r>
        <w:rPr>
          <w:sz w:val="24"/>
          <w:szCs w:val="24"/>
        </w:rPr>
        <w:t xml:space="preserve">as peculiaridades do caso concreto</w:t>
      </w:r>
      <w:r>
        <w:rPr>
          <w:sz w:val="24"/>
          <w:szCs w:val="24"/>
        </w:rPr>
      </w:r>
    </w:p>
    <w:p>
      <w:pPr>
        <w:pStyle w:val="1143"/>
        <w:numPr>
          <w:ilvl w:val="2"/>
          <w:numId w:val="12"/>
        </w:numPr>
        <w:pBdr/>
        <w:tabs>
          <w:tab w:val="left" w:leader="none" w:pos="709"/>
          <w:tab w:val="left" w:leader="none" w:pos="993"/>
        </w:tabs>
        <w:spacing/>
        <w:ind w:firstLine="0" w:left="0"/>
        <w:rPr>
          <w:sz w:val="24"/>
          <w:szCs w:val="24"/>
        </w:rPr>
      </w:pPr>
      <w:r>
        <w:rPr>
          <w:sz w:val="24"/>
          <w:szCs w:val="24"/>
        </w:rPr>
        <w:t xml:space="preserve">as circunstâncias agravantes ou atenuantes</w:t>
      </w:r>
      <w:r>
        <w:rPr>
          <w:sz w:val="24"/>
          <w:szCs w:val="24"/>
        </w:rPr>
      </w:r>
    </w:p>
    <w:p>
      <w:pPr>
        <w:pStyle w:val="1143"/>
        <w:numPr>
          <w:ilvl w:val="2"/>
          <w:numId w:val="12"/>
        </w:numPr>
        <w:pBdr/>
        <w:tabs>
          <w:tab w:val="left" w:leader="none" w:pos="709"/>
          <w:tab w:val="left" w:leader="none" w:pos="993"/>
        </w:tabs>
        <w:spacing/>
        <w:ind w:firstLine="0" w:left="0"/>
        <w:rPr>
          <w:sz w:val="24"/>
          <w:szCs w:val="24"/>
        </w:rPr>
      </w:pPr>
      <w:r>
        <w:rPr>
          <w:sz w:val="24"/>
          <w:szCs w:val="24"/>
        </w:rPr>
        <w:t xml:space="preserve">os danos que dela provierem para a Administração Pública</w:t>
      </w:r>
      <w:r>
        <w:rPr>
          <w:sz w:val="24"/>
          <w:szCs w:val="24"/>
        </w:rPr>
      </w:r>
    </w:p>
    <w:p>
      <w:pPr>
        <w:pStyle w:val="1143"/>
        <w:numPr>
          <w:ilvl w:val="2"/>
          <w:numId w:val="12"/>
        </w:numPr>
        <w:pBdr/>
        <w:tabs>
          <w:tab w:val="left" w:leader="none" w:pos="709"/>
          <w:tab w:val="left" w:leader="none" w:pos="993"/>
        </w:tabs>
        <w:spacing/>
        <w:ind w:firstLine="0" w:left="0"/>
        <w:rPr>
          <w:sz w:val="24"/>
          <w:szCs w:val="24"/>
        </w:rPr>
      </w:pPr>
      <w:r>
        <w:rPr>
          <w:sz w:val="24"/>
          <w:szCs w:val="24"/>
        </w:rPr>
        <w:t xml:space="preserve">a implantação ou o aperfeiçoamento de programa de integridade, conforme normas e orientações dos órgãos de controle.</w:t>
      </w:r>
      <w:r>
        <w:rPr>
          <w:sz w:val="24"/>
          <w:szCs w:val="24"/>
        </w:rPr>
      </w:r>
    </w:p>
    <w:p>
      <w:pPr>
        <w:pStyle w:val="1142"/>
        <w:numPr>
          <w:ilvl w:val="1"/>
          <w:numId w:val="12"/>
        </w:numPr>
        <w:pBdr/>
        <w:spacing/>
        <w:ind w:firstLine="0" w:left="0"/>
        <w:rPr>
          <w:color w:val="000000" w:themeColor="text1"/>
          <w:sz w:val="24"/>
          <w:szCs w:val="24"/>
        </w:rPr>
      </w:pPr>
      <w:r>
        <w:rPr>
          <w:color w:val="auto"/>
          <w:sz w:val="24"/>
          <w:szCs w:val="24"/>
        </w:rPr>
        <w:t xml:space="preserve">A multa será recolhida em percentual de 0,5% a 30% incidente sobre o valor do contrato licitado, recolhida no prazo máximo de </w:t>
      </w:r>
      <w:r>
        <w:rPr>
          <w:b/>
          <w:bCs/>
          <w:color w:val="auto"/>
          <w:sz w:val="24"/>
          <w:szCs w:val="24"/>
        </w:rPr>
        <w:t xml:space="preserve">15 (quinze) dias</w:t>
      </w:r>
      <w:r>
        <w:rPr>
          <w:color w:val="auto"/>
          <w:sz w:val="24"/>
          <w:szCs w:val="24"/>
        </w:rPr>
        <w:t xml:space="preserve"> úteis, a contar da comunicaç</w:t>
      </w:r>
      <w:r>
        <w:rPr>
          <w:color w:val="000000" w:themeColor="text1"/>
          <w:sz w:val="24"/>
          <w:szCs w:val="24"/>
        </w:rPr>
        <w:t xml:space="preserve">ão oficial. </w:t>
      </w:r>
      <w:r>
        <w:rPr>
          <w:color w:val="000000" w:themeColor="text1"/>
          <w:sz w:val="24"/>
          <w:szCs w:val="24"/>
        </w:rPr>
      </w:r>
    </w:p>
    <w:p>
      <w:pPr>
        <w:pStyle w:val="1143"/>
        <w:numPr>
          <w:ilvl w:val="2"/>
          <w:numId w:val="12"/>
        </w:numPr>
        <w:pBdr/>
        <w:tabs>
          <w:tab w:val="left" w:leader="none" w:pos="851"/>
        </w:tabs>
        <w:spacing/>
        <w:ind w:firstLine="0" w:left="0"/>
        <w:rPr>
          <w:color w:val="000000" w:themeColor="text1"/>
          <w:sz w:val="24"/>
          <w:szCs w:val="24"/>
        </w:rPr>
      </w:pPr>
      <w:r/>
      <w:bookmarkStart w:id="75" w:name="_Hlk113876035"/>
      <w:r>
        <w:rPr>
          <w:color w:val="000000" w:themeColor="text1"/>
          <w:sz w:val="24"/>
          <w:szCs w:val="24"/>
        </w:rPr>
        <w:t xml:space="preserve">Para as infrações previstas nos itens 21.1.1, 21.1.2 e 21.1.3, a multa será de 0,5% a 15% do valor do contrato licitado.</w:t>
      </w:r>
      <w:bookmarkEnd w:id="75"/>
      <w:r/>
      <w:r>
        <w:rPr>
          <w:color w:val="000000" w:themeColor="text1"/>
          <w:sz w:val="24"/>
          <w:szCs w:val="24"/>
        </w:rPr>
      </w:r>
    </w:p>
    <w:p>
      <w:pPr>
        <w:pStyle w:val="1143"/>
        <w:numPr>
          <w:ilvl w:val="2"/>
          <w:numId w:val="12"/>
        </w:numPr>
        <w:pBdr/>
        <w:tabs>
          <w:tab w:val="left" w:leader="none" w:pos="851"/>
        </w:tabs>
        <w:spacing/>
        <w:ind w:firstLine="0" w:left="0"/>
        <w:rPr>
          <w:color w:val="000000" w:themeColor="text1"/>
          <w:sz w:val="24"/>
          <w:szCs w:val="24"/>
        </w:rPr>
      </w:pPr>
      <w:r>
        <w:rPr>
          <w:color w:val="000000" w:themeColor="text1"/>
          <w:sz w:val="24"/>
          <w:szCs w:val="24"/>
        </w:rPr>
        <w:t xml:space="preserve">Para as infrações previstas nos itens 21.1.4, 21.1.5, 21.1.6, 21.1.7 e 21.1.8, a multa será de 15% a 30% do valor do contrato licitado.</w:t>
      </w:r>
      <w:r>
        <w:rPr>
          <w:color w:val="000000" w:themeColor="text1"/>
          <w:sz w:val="24"/>
          <w:szCs w:val="24"/>
        </w:rPr>
      </w:r>
    </w:p>
    <w:p>
      <w:pPr>
        <w:pStyle w:val="1142"/>
        <w:numPr>
          <w:ilvl w:val="1"/>
          <w:numId w:val="12"/>
        </w:numPr>
        <w:pBdr/>
        <w:spacing/>
        <w:ind w:firstLine="0" w:left="0"/>
        <w:rPr>
          <w:sz w:val="24"/>
          <w:szCs w:val="24"/>
        </w:rPr>
      </w:pPr>
      <w:r>
        <w:rPr>
          <w:color w:val="000000" w:themeColor="text1"/>
          <w:sz w:val="24"/>
          <w:szCs w:val="24"/>
        </w:rPr>
        <w:t xml:space="preserve">As sanções de advertência, im</w:t>
      </w:r>
      <w:r>
        <w:rPr>
          <w:sz w:val="24"/>
          <w:szCs w:val="24"/>
        </w:rPr>
        <w:t xml:space="preserve">pedimento de licitar e contratar e declaração de inidoneidade para licitar ou contratar poderão ser aplicadas, cumulativamente ou não, à penalidade de multa.</w:t>
      </w:r>
      <w:r>
        <w:rPr>
          <w:sz w:val="24"/>
          <w:szCs w:val="24"/>
        </w:rPr>
      </w:r>
    </w:p>
    <w:p>
      <w:pPr>
        <w:pStyle w:val="1142"/>
        <w:numPr>
          <w:ilvl w:val="1"/>
          <w:numId w:val="12"/>
        </w:numPr>
        <w:pBdr/>
        <w:spacing/>
        <w:ind w:firstLine="0" w:left="0"/>
        <w:rPr>
          <w:sz w:val="24"/>
          <w:szCs w:val="24"/>
        </w:rPr>
      </w:pPr>
      <w:r>
        <w:rPr>
          <w:sz w:val="24"/>
          <w:szCs w:val="24"/>
        </w:rPr>
        <w:t xml:space="preserve">Na aplicação da sanção de multa será facultada a defesa do interessado no prazo de </w:t>
      </w:r>
      <w:r>
        <w:rPr>
          <w:b/>
          <w:sz w:val="24"/>
          <w:szCs w:val="24"/>
        </w:rPr>
        <w:t xml:space="preserve">15 (quinze) dias úteis</w:t>
      </w:r>
      <w:r>
        <w:rPr>
          <w:sz w:val="24"/>
          <w:szCs w:val="24"/>
        </w:rPr>
        <w:t xml:space="preserve">, contado da data de sua intimação.</w:t>
      </w:r>
      <w:r>
        <w:rPr>
          <w:sz w:val="24"/>
          <w:szCs w:val="24"/>
        </w:rPr>
      </w:r>
    </w:p>
    <w:p>
      <w:pPr>
        <w:pStyle w:val="1142"/>
        <w:numPr>
          <w:ilvl w:val="1"/>
          <w:numId w:val="12"/>
        </w:numPr>
        <w:pBdr/>
        <w:spacing/>
        <w:ind w:firstLine="0" w:left="0"/>
        <w:rPr>
          <w:sz w:val="24"/>
          <w:szCs w:val="24"/>
        </w:rPr>
      </w:pPr>
      <w:r>
        <w:rPr>
          <w:sz w:val="24"/>
          <w:szCs w:val="24"/>
        </w:rPr>
        <w:t xml:space="preserve">A sanção de impedimento de licitar e contratar será aplicada ao responsável em decorrência das infrações administrativas relacionadas nos itens </w:t>
      </w:r>
      <w:r>
        <w:rPr>
          <w:sz w:val="24"/>
          <w:szCs w:val="24"/>
        </w:rPr>
        <w:fldChar w:fldCharType="begin"/>
      </w:r>
      <w:r>
        <w:rPr>
          <w:sz w:val="24"/>
          <w:szCs w:val="24"/>
        </w:rPr>
        <w:instrText xml:space="preserve"> REF _Ref114668085 \r \h  \* MERGEFORMAT </w:instrText>
      </w:r>
      <w:r>
        <w:rPr>
          <w:sz w:val="24"/>
          <w:szCs w:val="24"/>
        </w:rPr>
        <w:fldChar w:fldCharType="separate"/>
      </w:r>
      <w:r>
        <w:rPr>
          <w:sz w:val="24"/>
          <w:szCs w:val="24"/>
        </w:rPr>
        <w:t xml:space="preserve">21.1.1</w:t>
      </w:r>
      <w:r>
        <w:rPr>
          <w:sz w:val="24"/>
          <w:szCs w:val="24"/>
        </w:rPr>
        <w:fldChar w:fldCharType="end"/>
      </w:r>
      <w:r>
        <w:rPr>
          <w:sz w:val="24"/>
          <w:szCs w:val="24"/>
        </w:rPr>
        <w:t xml:space="preserve">, </w:t>
      </w:r>
      <w:r>
        <w:rPr>
          <w:sz w:val="24"/>
          <w:szCs w:val="24"/>
        </w:rPr>
        <w:fldChar w:fldCharType="begin"/>
      </w:r>
      <w:r>
        <w:rPr>
          <w:sz w:val="24"/>
          <w:szCs w:val="24"/>
        </w:rPr>
        <w:instrText xml:space="preserve"> REF _Ref114668108 \r \h  \* MERGEFORMAT </w:instrText>
      </w:r>
      <w:r>
        <w:rPr>
          <w:sz w:val="24"/>
          <w:szCs w:val="24"/>
        </w:rPr>
        <w:fldChar w:fldCharType="separate"/>
      </w:r>
      <w:r>
        <w:rPr>
          <w:sz w:val="24"/>
          <w:szCs w:val="24"/>
        </w:rPr>
        <w:t xml:space="preserve">21.1.2</w:t>
      </w:r>
      <w:r>
        <w:rPr>
          <w:sz w:val="24"/>
          <w:szCs w:val="24"/>
        </w:rPr>
        <w:fldChar w:fldCharType="end"/>
      </w:r>
      <w:r>
        <w:rPr>
          <w:sz w:val="24"/>
          <w:szCs w:val="24"/>
        </w:rPr>
        <w:t xml:space="preserve"> e </w:t>
      </w:r>
      <w:r>
        <w:rPr>
          <w:sz w:val="24"/>
          <w:szCs w:val="24"/>
        </w:rPr>
        <w:fldChar w:fldCharType="begin"/>
      </w:r>
      <w:r>
        <w:rPr>
          <w:sz w:val="24"/>
          <w:szCs w:val="24"/>
        </w:rPr>
        <w:instrText xml:space="preserve"> REF _Ref114668139 \r \h  \* MERGEFORMAT </w:instrText>
      </w:r>
      <w:r>
        <w:rPr>
          <w:sz w:val="24"/>
          <w:szCs w:val="24"/>
        </w:rPr>
        <w:fldChar w:fldCharType="separate"/>
      </w:r>
      <w:r>
        <w:rPr>
          <w:sz w:val="24"/>
          <w:szCs w:val="24"/>
        </w:rPr>
        <w:t xml:space="preserve">21.1.3</w:t>
      </w:r>
      <w:r>
        <w:rPr>
          <w:sz w:val="24"/>
          <w:szCs w:val="24"/>
        </w:rPr>
        <w:fldChar w:fldCharType="end"/>
      </w:r>
      <w:r>
        <w:rPr>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w:t>
      </w:r>
      <w:r>
        <w:rPr>
          <w:b/>
          <w:sz w:val="24"/>
          <w:szCs w:val="24"/>
        </w:rPr>
        <w:t xml:space="preserve">03 (três) anos</w:t>
      </w:r>
      <w:r>
        <w:rPr>
          <w:sz w:val="24"/>
          <w:szCs w:val="24"/>
        </w:rPr>
        <w:t xml:space="preserve">.</w:t>
      </w:r>
      <w:r>
        <w:rPr>
          <w:sz w:val="24"/>
          <w:szCs w:val="24"/>
        </w:rPr>
      </w:r>
    </w:p>
    <w:p>
      <w:pPr>
        <w:pStyle w:val="1142"/>
        <w:numPr>
          <w:ilvl w:val="1"/>
          <w:numId w:val="12"/>
        </w:numPr>
        <w:pBdr/>
        <w:spacing/>
        <w:ind w:firstLine="0" w:left="0"/>
        <w:rPr>
          <w:sz w:val="24"/>
          <w:szCs w:val="24"/>
        </w:rPr>
      </w:pPr>
      <w:r>
        <w:rPr>
          <w:sz w:val="24"/>
          <w:szCs w:val="24"/>
        </w:rPr>
        <w:t xml:space="preserve">Poderá ser aplicada ao responsável a sanção de declaração de inidoneidade para licitar ou contratar, em decorrência da prática das infrações dispostas nos itens </w:t>
      </w:r>
      <w:r>
        <w:rPr>
          <w:sz w:val="24"/>
          <w:szCs w:val="24"/>
        </w:rPr>
        <w:fldChar w:fldCharType="begin"/>
      </w:r>
      <w:r>
        <w:rPr>
          <w:sz w:val="24"/>
          <w:szCs w:val="24"/>
        </w:rPr>
        <w:instrText xml:space="preserve"> REF _Ref114668249 \r \h  \* MERGEFORMAT </w:instrText>
      </w:r>
      <w:r>
        <w:rPr>
          <w:sz w:val="24"/>
          <w:szCs w:val="24"/>
        </w:rPr>
        <w:fldChar w:fldCharType="separate"/>
      </w:r>
      <w:r>
        <w:rPr>
          <w:sz w:val="24"/>
          <w:szCs w:val="24"/>
        </w:rPr>
        <w:t xml:space="preserve">21.1.4</w:t>
      </w:r>
      <w:r>
        <w:rPr>
          <w:sz w:val="24"/>
          <w:szCs w:val="24"/>
        </w:rPr>
        <w:fldChar w:fldCharType="end"/>
      </w:r>
      <w:r>
        <w:rPr>
          <w:sz w:val="24"/>
          <w:szCs w:val="24"/>
        </w:rPr>
        <w:t xml:space="preserve">, </w:t>
      </w:r>
      <w:r>
        <w:rPr>
          <w:sz w:val="24"/>
          <w:szCs w:val="24"/>
        </w:rPr>
        <w:fldChar w:fldCharType="begin"/>
      </w:r>
      <w:r>
        <w:rPr>
          <w:sz w:val="24"/>
          <w:szCs w:val="24"/>
        </w:rPr>
        <w:instrText xml:space="preserve"> REF _Ref114668245 \r \h  \* MERGEFORMAT </w:instrText>
      </w:r>
      <w:r>
        <w:rPr>
          <w:sz w:val="24"/>
          <w:szCs w:val="24"/>
        </w:rPr>
        <w:fldChar w:fldCharType="separate"/>
      </w:r>
      <w:r>
        <w:rPr>
          <w:sz w:val="24"/>
          <w:szCs w:val="24"/>
        </w:rPr>
        <w:t xml:space="preserve">21.1.5</w:t>
      </w:r>
      <w:r>
        <w:rPr>
          <w:sz w:val="24"/>
          <w:szCs w:val="24"/>
        </w:rPr>
        <w:fldChar w:fldCharType="end"/>
      </w:r>
      <w:r>
        <w:rPr>
          <w:sz w:val="24"/>
          <w:szCs w:val="24"/>
        </w:rPr>
        <w:t xml:space="preserve">, </w:t>
      </w:r>
      <w:r>
        <w:rPr>
          <w:sz w:val="24"/>
          <w:szCs w:val="24"/>
        </w:rPr>
        <w:fldChar w:fldCharType="begin"/>
      </w:r>
      <w:r>
        <w:rPr>
          <w:sz w:val="24"/>
          <w:szCs w:val="24"/>
        </w:rPr>
        <w:instrText xml:space="preserve"> REF _Ref114668247 \r \h  \* MERGEFORMAT </w:instrText>
      </w:r>
      <w:r>
        <w:rPr>
          <w:sz w:val="24"/>
          <w:szCs w:val="24"/>
        </w:rPr>
        <w:fldChar w:fldCharType="separate"/>
      </w:r>
      <w:r>
        <w:rPr>
          <w:sz w:val="24"/>
          <w:szCs w:val="24"/>
        </w:rPr>
        <w:t xml:space="preserve">21.1.6</w:t>
      </w:r>
      <w:r>
        <w:rPr>
          <w:sz w:val="24"/>
          <w:szCs w:val="24"/>
        </w:rPr>
        <w:fldChar w:fldCharType="end"/>
      </w:r>
      <w:r>
        <w:rPr>
          <w:sz w:val="24"/>
          <w:szCs w:val="24"/>
        </w:rPr>
        <w:t xml:space="preserve">, </w:t>
      </w:r>
      <w:r>
        <w:rPr>
          <w:sz w:val="24"/>
          <w:szCs w:val="24"/>
        </w:rPr>
        <w:fldChar w:fldCharType="begin"/>
      </w:r>
      <w:r>
        <w:rPr>
          <w:sz w:val="24"/>
          <w:szCs w:val="24"/>
        </w:rPr>
        <w:instrText xml:space="preserve"> REF _Ref114668251 \r \h  \* MERGEFORMAT </w:instrText>
      </w:r>
      <w:r>
        <w:rPr>
          <w:sz w:val="24"/>
          <w:szCs w:val="24"/>
        </w:rPr>
        <w:fldChar w:fldCharType="separate"/>
      </w:r>
      <w:r>
        <w:rPr>
          <w:sz w:val="24"/>
          <w:szCs w:val="24"/>
        </w:rPr>
        <w:t xml:space="preserve">21.1.7</w:t>
      </w:r>
      <w:r>
        <w:rPr>
          <w:sz w:val="24"/>
          <w:szCs w:val="24"/>
        </w:rPr>
        <w:fldChar w:fldCharType="end"/>
      </w:r>
      <w:r>
        <w:rPr>
          <w:sz w:val="24"/>
          <w:szCs w:val="24"/>
        </w:rPr>
        <w:t xml:space="preserve"> e </w:t>
      </w:r>
      <w:r>
        <w:rPr>
          <w:sz w:val="24"/>
          <w:szCs w:val="24"/>
        </w:rPr>
        <w:fldChar w:fldCharType="begin"/>
      </w:r>
      <w:r>
        <w:rPr>
          <w:sz w:val="24"/>
          <w:szCs w:val="24"/>
        </w:rPr>
        <w:instrText xml:space="preserve"> REF _Ref114668252 \r \h  \* MERGEFORMAT </w:instrText>
      </w:r>
      <w:r>
        <w:rPr>
          <w:sz w:val="24"/>
          <w:szCs w:val="24"/>
        </w:rPr>
        <w:fldChar w:fldCharType="separate"/>
      </w:r>
      <w:r>
        <w:rPr>
          <w:sz w:val="24"/>
          <w:szCs w:val="24"/>
        </w:rPr>
        <w:t xml:space="preserve">21.1.8</w:t>
      </w:r>
      <w:r>
        <w:rPr>
          <w:sz w:val="24"/>
          <w:szCs w:val="24"/>
        </w:rPr>
        <w:fldChar w:fldCharType="end"/>
      </w:r>
      <w:r>
        <w:rPr>
          <w:sz w:val="24"/>
          <w:szCs w:val="24"/>
        </w:rPr>
        <w:t xml:space="preserve">, bem como pelas infrações administrativas previstas nos itens </w:t>
      </w:r>
      <w:r>
        <w:rPr>
          <w:sz w:val="24"/>
          <w:szCs w:val="24"/>
        </w:rPr>
        <w:fldChar w:fldCharType="begin"/>
      </w:r>
      <w:r>
        <w:rPr>
          <w:sz w:val="24"/>
          <w:szCs w:val="24"/>
        </w:rPr>
        <w:instrText xml:space="preserve"> REF _Ref114668085 \r \h  \* MERGEFORMAT </w:instrText>
      </w:r>
      <w:r>
        <w:rPr>
          <w:sz w:val="24"/>
          <w:szCs w:val="24"/>
        </w:rPr>
        <w:fldChar w:fldCharType="separate"/>
      </w:r>
      <w:r>
        <w:rPr>
          <w:sz w:val="24"/>
          <w:szCs w:val="24"/>
        </w:rPr>
        <w:t xml:space="preserve">21.1.1</w:t>
      </w:r>
      <w:r>
        <w:rPr>
          <w:sz w:val="24"/>
          <w:szCs w:val="24"/>
        </w:rPr>
        <w:fldChar w:fldCharType="end"/>
      </w:r>
      <w:r>
        <w:rPr>
          <w:sz w:val="24"/>
          <w:szCs w:val="24"/>
        </w:rPr>
        <w:t xml:space="preserve">, </w:t>
      </w:r>
      <w:r>
        <w:rPr>
          <w:sz w:val="24"/>
          <w:szCs w:val="24"/>
        </w:rPr>
        <w:fldChar w:fldCharType="begin"/>
      </w:r>
      <w:r>
        <w:rPr>
          <w:sz w:val="24"/>
          <w:szCs w:val="24"/>
        </w:rPr>
        <w:instrText xml:space="preserve"> REF _Ref114668108 \r \h  \* MERGEFORMAT </w:instrText>
      </w:r>
      <w:r>
        <w:rPr>
          <w:sz w:val="24"/>
          <w:szCs w:val="24"/>
        </w:rPr>
        <w:fldChar w:fldCharType="separate"/>
      </w:r>
      <w:r>
        <w:rPr>
          <w:sz w:val="24"/>
          <w:szCs w:val="24"/>
        </w:rPr>
        <w:t xml:space="preserve">21.1.2</w:t>
      </w:r>
      <w:r>
        <w:rPr>
          <w:sz w:val="24"/>
          <w:szCs w:val="24"/>
        </w:rPr>
        <w:fldChar w:fldCharType="end"/>
      </w:r>
      <w:r>
        <w:rPr>
          <w:sz w:val="24"/>
          <w:szCs w:val="24"/>
        </w:rPr>
        <w:t xml:space="preserve"> e </w:t>
      </w:r>
      <w:r>
        <w:rPr>
          <w:sz w:val="24"/>
          <w:szCs w:val="24"/>
        </w:rPr>
        <w:fldChar w:fldCharType="begin"/>
      </w:r>
      <w:r>
        <w:rPr>
          <w:sz w:val="24"/>
          <w:szCs w:val="24"/>
        </w:rPr>
        <w:instrText xml:space="preserve"> REF _Ref114668139 \r \h  \* MERGEFORMAT </w:instrText>
      </w:r>
      <w:r>
        <w:rPr>
          <w:sz w:val="24"/>
          <w:szCs w:val="24"/>
        </w:rPr>
        <w:fldChar w:fldCharType="separate"/>
      </w:r>
      <w:r>
        <w:rPr>
          <w:sz w:val="24"/>
          <w:szCs w:val="24"/>
        </w:rPr>
        <w:t xml:space="preserve">21.1.3</w:t>
      </w:r>
      <w:r>
        <w:rPr>
          <w:sz w:val="24"/>
          <w:szCs w:val="24"/>
        </w:rPr>
        <w:fldChar w:fldCharType="end"/>
      </w:r>
      <w:r>
        <w:rPr>
          <w:sz w:val="24"/>
          <w:szCs w:val="24"/>
        </w:rPr>
        <w:t xml:space="preserve"> que justifiquem a imposição de penalidade mais grave que a sanção de impedimento de licitar e contratar, cuja duração observará o prazo previsto no </w:t>
      </w:r>
      <w:hyperlink r:id="rId59" w:tooltip="http://www.planalto.gov.br/ccivil_03/_ato2019-2022/2021/lei/L14133.htm#art156§5" w:anchor="art156§5" w:history="1">
        <w:r>
          <w:rPr>
            <w:rStyle w:val="953"/>
            <w:sz w:val="24"/>
            <w:szCs w:val="24"/>
          </w:rPr>
          <w:t xml:space="preserve">art. 156, §5º, da Lei n.º 14.133/2021</w:t>
        </w:r>
      </w:hyperlink>
      <w:r>
        <w:rPr>
          <w:sz w:val="24"/>
          <w:szCs w:val="24"/>
        </w:rPr>
        <w:t xml:space="preserve">.</w:t>
      </w:r>
      <w:r>
        <w:rPr>
          <w:sz w:val="24"/>
          <w:szCs w:val="24"/>
        </w:rPr>
      </w:r>
    </w:p>
    <w:p>
      <w:pPr>
        <w:pStyle w:val="1142"/>
        <w:numPr>
          <w:ilvl w:val="1"/>
          <w:numId w:val="12"/>
        </w:numPr>
        <w:pBdr/>
        <w:spacing/>
        <w:ind w:firstLine="0" w:left="0"/>
        <w:rPr>
          <w:sz w:val="24"/>
          <w:szCs w:val="24"/>
        </w:rPr>
      </w:pPr>
      <w:r>
        <w:rPr>
          <w:sz w:val="24"/>
          <w:szCs w:val="24"/>
        </w:rPr>
        <w:t xml:space="preserve">A recusa injustificada do adjudicatário em assinar o contrato ou a ata de registro de preço, ou em aceitar ou retirar o instrumento equivalente no prazo estabelecido pela Administração, descrita no item </w:t>
      </w:r>
      <w:r>
        <w:rPr>
          <w:sz w:val="24"/>
          <w:szCs w:val="24"/>
        </w:rPr>
        <w:fldChar w:fldCharType="begin"/>
      </w:r>
      <w:r>
        <w:rPr>
          <w:sz w:val="24"/>
          <w:szCs w:val="24"/>
        </w:rPr>
        <w:instrText xml:space="preserve"> REF _Ref114668139 \r \h  \* MERGEFORMAT </w:instrText>
      </w:r>
      <w:r>
        <w:rPr>
          <w:sz w:val="24"/>
          <w:szCs w:val="24"/>
        </w:rPr>
        <w:fldChar w:fldCharType="separate"/>
      </w:r>
      <w:r>
        <w:rPr>
          <w:sz w:val="24"/>
          <w:szCs w:val="24"/>
        </w:rPr>
        <w:t xml:space="preserve">21.1.3</w:t>
      </w:r>
      <w:r>
        <w:rPr>
          <w:sz w:val="24"/>
          <w:szCs w:val="24"/>
        </w:rPr>
        <w:fldChar w:fldCharType="end"/>
      </w:r>
      <w:r>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0" w:tooltip="https://www.gov.br/compras/pt-br/acesso-a-informacao/legislacao/instrucoes-normativas/instrucao-normativa-seges-me-no-73-de-30-de-setembro-de-2022" w:history="1">
        <w:r>
          <w:rPr>
            <w:rStyle w:val="953"/>
            <w:sz w:val="24"/>
            <w:szCs w:val="24"/>
          </w:rPr>
          <w:t xml:space="preserve">art. 45, §4º da IN SEGES/ME n.º 73, de 2022</w:t>
        </w:r>
      </w:hyperlink>
      <w:r>
        <w:rPr>
          <w:sz w:val="24"/>
          <w:szCs w:val="24"/>
        </w:rPr>
        <w:t xml:space="preserve">. </w:t>
      </w:r>
      <w:r>
        <w:rPr>
          <w:sz w:val="24"/>
          <w:szCs w:val="24"/>
        </w:rPr>
      </w:r>
    </w:p>
    <w:p>
      <w:pPr>
        <w:pStyle w:val="1142"/>
        <w:numPr>
          <w:ilvl w:val="1"/>
          <w:numId w:val="12"/>
        </w:numPr>
        <w:pBdr/>
        <w:spacing/>
        <w:ind w:firstLine="0" w:left="0"/>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w:t>
      </w:r>
      <w:r>
        <w:rPr>
          <w:color w:val="000000" w:themeColor="text1"/>
          <w:sz w:val="24"/>
          <w:szCs w:val="24"/>
        </w:rPr>
        <w:t xml:space="preserve">duzido por </w:t>
      </w:r>
      <w:r>
        <w:rPr>
          <w:b/>
          <w:color w:val="000000" w:themeColor="text1"/>
          <w:sz w:val="24"/>
          <w:szCs w:val="24"/>
        </w:rPr>
        <w:t xml:space="preserve">comissão composta por 02 (dois) ou mais servidores estáveis</w:t>
      </w:r>
      <w:r>
        <w:rPr>
          <w:color w:val="000000" w:themeColor="text1"/>
          <w:sz w:val="24"/>
          <w:szCs w:val="24"/>
        </w:rPr>
        <w:t xml:space="preserve">, que avaliará fatos e circunstâncias conhecidos e intimará o licitante ou o adjudicatário para, no prazo</w:t>
      </w:r>
      <w:r>
        <w:rPr>
          <w:sz w:val="24"/>
          <w:szCs w:val="24"/>
        </w:rPr>
        <w:t xml:space="preserve"> de </w:t>
      </w:r>
      <w:r>
        <w:rPr>
          <w:b/>
          <w:sz w:val="24"/>
          <w:szCs w:val="24"/>
        </w:rPr>
        <w:t xml:space="preserve">15 (quinze) dias úteis</w:t>
      </w:r>
      <w:r>
        <w:rPr>
          <w:sz w:val="24"/>
          <w:szCs w:val="24"/>
        </w:rPr>
        <w:t xml:space="preserve">, contado da data de sua intimação, apresentar defesa escrita e especificar as provas que pretenda produzir. </w:t>
      </w:r>
      <w:r>
        <w:rPr>
          <w:sz w:val="24"/>
          <w:szCs w:val="24"/>
        </w:rPr>
      </w:r>
    </w:p>
    <w:p>
      <w:pPr>
        <w:pStyle w:val="1142"/>
        <w:numPr>
          <w:ilvl w:val="1"/>
          <w:numId w:val="12"/>
        </w:numPr>
        <w:pBdr/>
        <w:spacing/>
        <w:ind w:firstLine="0" w:left="0"/>
        <w:rPr>
          <w:sz w:val="24"/>
          <w:szCs w:val="24"/>
        </w:rPr>
      </w:pPr>
      <w:r>
        <w:rPr>
          <w:sz w:val="24"/>
          <w:szCs w:val="24"/>
        </w:rPr>
        <w:t xml:space="preserve">Caberá recurso no prazo de </w:t>
      </w:r>
      <w:r>
        <w:rPr>
          <w:b/>
          <w:sz w:val="24"/>
          <w:szCs w:val="24"/>
        </w:rPr>
        <w:t xml:space="preserve">15 (quinze) dias úteis</w:t>
      </w:r>
      <w:r>
        <w:rPr>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Pr>
          <w:b/>
          <w:sz w:val="24"/>
          <w:szCs w:val="24"/>
        </w:rPr>
        <w:t xml:space="preserve">05 (cinco) dias úteis</w:t>
      </w:r>
      <w:r>
        <w:rPr>
          <w:sz w:val="24"/>
          <w:szCs w:val="24"/>
        </w:rPr>
        <w:t xml:space="preserve">, encaminhará o recurso com sua motivação à autoridade superior, que deverá proferir sua decisão no prazo máximo de </w:t>
      </w:r>
      <w:r>
        <w:rPr>
          <w:b/>
          <w:sz w:val="24"/>
          <w:szCs w:val="24"/>
        </w:rPr>
        <w:t xml:space="preserve">20 (vinte) dias úteis</w:t>
      </w:r>
      <w:r>
        <w:rPr>
          <w:sz w:val="24"/>
          <w:szCs w:val="24"/>
        </w:rPr>
        <w:t xml:space="preserve">, contado do recebimento dos autos.</w:t>
      </w:r>
      <w:r>
        <w:rPr>
          <w:sz w:val="24"/>
          <w:szCs w:val="24"/>
        </w:rPr>
      </w:r>
    </w:p>
    <w:p>
      <w:pPr>
        <w:pStyle w:val="1142"/>
        <w:numPr>
          <w:ilvl w:val="1"/>
          <w:numId w:val="12"/>
        </w:numPr>
        <w:pBdr/>
        <w:spacing/>
        <w:ind w:firstLine="0" w:left="0"/>
        <w:rPr>
          <w:sz w:val="24"/>
          <w:szCs w:val="24"/>
        </w:rPr>
      </w:pPr>
      <w:r>
        <w:rPr>
          <w:sz w:val="24"/>
          <w:szCs w:val="24"/>
        </w:rPr>
        <w:t xml:space="preserve">Caberá a apresentação de pedido de reconsideração da aplicação da sanção de declaração de inidoneidade para licitar ou contratar no prazo de </w:t>
      </w:r>
      <w:r>
        <w:rPr>
          <w:b/>
          <w:sz w:val="24"/>
          <w:szCs w:val="24"/>
        </w:rPr>
        <w:t xml:space="preserve">15 (quinze) dias úteis</w:t>
      </w:r>
      <w:r>
        <w:rPr>
          <w:sz w:val="24"/>
          <w:szCs w:val="24"/>
        </w:rPr>
        <w:t xml:space="preserve">, contado da data da intimação, e decidido no prazo máximo de </w:t>
      </w:r>
      <w:r>
        <w:rPr>
          <w:b/>
          <w:sz w:val="24"/>
          <w:szCs w:val="24"/>
        </w:rPr>
        <w:t xml:space="preserve">20 (vinte) dias úteis</w:t>
      </w:r>
      <w:r>
        <w:rPr>
          <w:sz w:val="24"/>
          <w:szCs w:val="24"/>
        </w:rPr>
        <w:t xml:space="preserve">, contado do seu recebimento.</w:t>
      </w:r>
      <w:r>
        <w:rPr>
          <w:sz w:val="24"/>
          <w:szCs w:val="24"/>
        </w:rPr>
      </w:r>
    </w:p>
    <w:p>
      <w:pPr>
        <w:pStyle w:val="1142"/>
        <w:numPr>
          <w:ilvl w:val="1"/>
          <w:numId w:val="12"/>
        </w:numPr>
        <w:pBdr/>
        <w:spacing/>
        <w:ind w:firstLine="0" w:left="0"/>
        <w:rPr>
          <w:sz w:val="24"/>
          <w:szCs w:val="24"/>
        </w:rPr>
      </w:pPr>
      <w:r>
        <w:rPr>
          <w:sz w:val="24"/>
          <w:szCs w:val="24"/>
        </w:rPr>
        <w:t xml:space="preserve">O recurso e o pedido de reconsideração terão efeito suspensivo do ato ou da decisão recorrida até que sobrevenha decisão final da autoridade competente.</w:t>
      </w:r>
      <w:r>
        <w:rPr>
          <w:sz w:val="24"/>
          <w:szCs w:val="24"/>
        </w:rPr>
      </w:r>
    </w:p>
    <w:p>
      <w:pPr>
        <w:pStyle w:val="1142"/>
        <w:numPr>
          <w:ilvl w:val="1"/>
          <w:numId w:val="12"/>
        </w:numPr>
        <w:pBdr/>
        <w:spacing/>
        <w:ind w:firstLine="0" w:left="0"/>
        <w:rPr>
          <w:sz w:val="24"/>
          <w:szCs w:val="24"/>
        </w:rPr>
      </w:pPr>
      <w:r>
        <w:rPr>
          <w:sz w:val="24"/>
          <w:szCs w:val="24"/>
        </w:rPr>
        <w:t xml:space="preserve">A aplicação das sanções previstas neste edital não exclui, em hipótese alguma, a obrigação de reparação integral dos danos causados.</w:t>
      </w:r>
      <w:r>
        <w:rPr>
          <w:sz w:val="24"/>
          <w:szCs w:val="24"/>
        </w:rPr>
      </w:r>
    </w:p>
    <w:p>
      <w:pPr>
        <w:pStyle w:val="1142"/>
        <w:numPr>
          <w:ilvl w:val="0"/>
          <w:numId w:val="0"/>
        </w:numPr>
        <w:pBdr/>
        <w:spacing/>
        <w:ind/>
        <w:rPr>
          <w:sz w:val="24"/>
          <w:szCs w:val="24"/>
        </w:rPr>
      </w:pPr>
      <w:r>
        <w:rPr>
          <w:sz w:val="24"/>
          <w:szCs w:val="24"/>
        </w:rPr>
      </w:r>
      <w:r>
        <w:rPr>
          <w:sz w:val="24"/>
          <w:szCs w:val="24"/>
        </w:rPr>
      </w:r>
    </w:p>
    <w:p>
      <w:pPr>
        <w:pStyle w:val="995"/>
        <w:numPr>
          <w:ilvl w:val="0"/>
          <w:numId w:val="12"/>
        </w:numPr>
        <w:pBdr/>
        <w:tabs>
          <w:tab w:val="left" w:leader="none" w:pos="567"/>
          <w:tab w:val="left" w:leader="none" w:pos="851"/>
        </w:tabs>
        <w:spacing w:after="240" w:line="280" w:lineRule="atLeast"/>
        <w:ind w:firstLine="0" w:left="0"/>
        <w:contextualSpacing w:val="false"/>
        <w:rPr>
          <w:b/>
          <w:sz w:val="24"/>
          <w:szCs w:val="24"/>
        </w:rPr>
      </w:pPr>
      <w:r/>
      <w:bookmarkStart w:id="76" w:name="_Toc135469235"/>
      <w:r>
        <w:rPr>
          <w:b/>
          <w:sz w:val="24"/>
          <w:szCs w:val="24"/>
        </w:rPr>
        <w:t xml:space="preserve">DA IMPUGNAÇÃO AO EDITAL E DO PEDIDO DE ESCLARECIMENTO</w:t>
      </w:r>
      <w:bookmarkEnd w:id="76"/>
      <w:r>
        <w:rPr>
          <w:b/>
          <w:sz w:val="24"/>
          <w:szCs w:val="24"/>
        </w:rPr>
        <w:t xml:space="preserve">:</w:t>
      </w:r>
      <w:r>
        <w:rPr>
          <w:b/>
          <w:sz w:val="24"/>
          <w:szCs w:val="24"/>
        </w:rPr>
      </w:r>
    </w:p>
    <w:p>
      <w:pPr>
        <w:pStyle w:val="1142"/>
        <w:numPr>
          <w:ilvl w:val="1"/>
          <w:numId w:val="12"/>
        </w:numPr>
        <w:pBdr/>
        <w:spacing/>
        <w:ind w:firstLine="0" w:left="0"/>
        <w:rPr>
          <w:sz w:val="24"/>
          <w:szCs w:val="24"/>
        </w:rPr>
      </w:pPr>
      <w:r>
        <w:rPr>
          <w:sz w:val="24"/>
          <w:szCs w:val="24"/>
        </w:rPr>
        <w:t xml:space="preserve">Qualquer pessoa é parte legítima para impugnar este Edital por irregularidade na aplicação da </w:t>
      </w:r>
      <w:hyperlink r:id="rId61" w:tooltip="http://www.planalto.gov.br/ccivil_03/_ato2019-2022/2021/lei/L14133.htm" w:history="1">
        <w:r>
          <w:rPr>
            <w:rStyle w:val="953"/>
            <w:sz w:val="24"/>
            <w:szCs w:val="24"/>
          </w:rPr>
          <w:t xml:space="preserve">Lei nº 14.133, de 2021</w:t>
        </w:r>
      </w:hyperlink>
      <w:r>
        <w:rPr>
          <w:sz w:val="24"/>
          <w:szCs w:val="24"/>
        </w:rPr>
        <w:t xml:space="preserve">, devendo protocolar o pedido até </w:t>
      </w:r>
      <w:r>
        <w:rPr>
          <w:b/>
          <w:sz w:val="24"/>
          <w:szCs w:val="24"/>
        </w:rPr>
        <w:t xml:space="preserve">03 (três) dias úteis</w:t>
      </w:r>
      <w:r>
        <w:rPr>
          <w:sz w:val="24"/>
          <w:szCs w:val="24"/>
        </w:rPr>
        <w:t xml:space="preserve"> antes da data da abertura do certame.</w:t>
      </w:r>
      <w:r>
        <w:rPr>
          <w:sz w:val="24"/>
          <w:szCs w:val="24"/>
        </w:rPr>
      </w:r>
    </w:p>
    <w:p>
      <w:pPr>
        <w:pStyle w:val="1142"/>
        <w:numPr>
          <w:ilvl w:val="1"/>
          <w:numId w:val="12"/>
        </w:numPr>
        <w:pBdr/>
        <w:spacing/>
        <w:ind w:firstLine="0" w:left="0"/>
        <w:rPr>
          <w:color w:val="000000" w:themeColor="text1"/>
          <w:sz w:val="24"/>
          <w:szCs w:val="24"/>
        </w:rPr>
      </w:pPr>
      <w:r>
        <w:rPr>
          <w:sz w:val="24"/>
          <w:szCs w:val="24"/>
        </w:rPr>
        <w:t xml:space="preserve">A resposta à impugnação ou ao pedido de esclarecimento será divulgado em sítio eletrônico oficial no prazo de até </w:t>
      </w:r>
      <w:r>
        <w:rPr>
          <w:b/>
          <w:sz w:val="24"/>
          <w:szCs w:val="24"/>
        </w:rPr>
        <w:t xml:space="preserve">03 (três) dias úteis</w:t>
      </w:r>
      <w:r>
        <w:rPr>
          <w:sz w:val="24"/>
          <w:szCs w:val="24"/>
        </w:rPr>
        <w:t xml:space="preserve">, limitado ao último dia útil anterior à data</w:t>
      </w:r>
      <w:r>
        <w:rPr>
          <w:color w:val="000000" w:themeColor="text1"/>
          <w:sz w:val="24"/>
          <w:szCs w:val="24"/>
        </w:rPr>
        <w:t xml:space="preserve"> da abertura do certame.</w:t>
      </w:r>
      <w:r>
        <w:rPr>
          <w:color w:val="000000" w:themeColor="text1"/>
          <w:sz w:val="24"/>
          <w:szCs w:val="24"/>
        </w:rPr>
      </w:r>
    </w:p>
    <w:p>
      <w:pPr>
        <w:pStyle w:val="1142"/>
        <w:numPr>
          <w:ilvl w:val="1"/>
          <w:numId w:val="12"/>
        </w:numPr>
        <w:pBdr/>
        <w:spacing/>
        <w:ind w:firstLine="0" w:left="0"/>
        <w:rPr>
          <w:color w:val="000000" w:themeColor="text1"/>
          <w:sz w:val="24"/>
          <w:szCs w:val="24"/>
        </w:rPr>
      </w:pPr>
      <w:r>
        <w:rPr>
          <w:color w:val="000000" w:themeColor="text1"/>
          <w:sz w:val="24"/>
          <w:szCs w:val="24"/>
        </w:rPr>
        <w:t xml:space="preserve">A impugnação e o pedido de esclarecimento poderão ser realizados por forma eletrônica, </w:t>
      </w:r>
      <w:r>
        <w:rPr>
          <w:iCs/>
          <w:color w:val="000000" w:themeColor="text1"/>
          <w:sz w:val="24"/>
          <w:szCs w:val="24"/>
        </w:rPr>
        <w:t xml:space="preserve">pelos seguintes meios</w:t>
      </w:r>
      <w:r>
        <w:rPr>
          <w:color w:val="000000" w:themeColor="text1"/>
          <w:sz w:val="24"/>
          <w:szCs w:val="24"/>
        </w:rPr>
        <w:t xml:space="preserve">: </w:t>
      </w:r>
      <w:hyperlink r:id="rId62" w:tooltip="mailto:licitacao@riodasflores.rj.gov.br" w:history="1">
        <w:r>
          <w:rPr>
            <w:rStyle w:val="953"/>
            <w:color w:val="000000" w:themeColor="text1"/>
            <w:sz w:val="24"/>
            <w:szCs w:val="24"/>
          </w:rPr>
          <w:t xml:space="preserve">licitacao@riodasflores.rj.gov.br</w:t>
        </w:r>
      </w:hyperlink>
      <w:r>
        <w:rPr>
          <w:color w:val="000000" w:themeColor="text1"/>
          <w:sz w:val="24"/>
          <w:szCs w:val="24"/>
        </w:rPr>
        <w:t xml:space="preserve"> </w:t>
      </w:r>
      <w:r>
        <w:rPr>
          <w:color w:val="000000" w:themeColor="text1"/>
          <w:sz w:val="24"/>
          <w:szCs w:val="24"/>
        </w:rPr>
      </w:r>
    </w:p>
    <w:p>
      <w:pPr>
        <w:pStyle w:val="1142"/>
        <w:numPr>
          <w:ilvl w:val="1"/>
          <w:numId w:val="12"/>
        </w:numPr>
        <w:pBdr/>
        <w:spacing/>
        <w:ind w:firstLine="0" w:left="0"/>
        <w:rPr>
          <w:sz w:val="24"/>
          <w:szCs w:val="24"/>
        </w:rPr>
      </w:pPr>
      <w:r>
        <w:rPr>
          <w:sz w:val="24"/>
          <w:szCs w:val="24"/>
        </w:rPr>
        <w:t xml:space="preserve">As impugnações e pedidos de esclarecimentos não suspendem os prazos previstos no certame.</w:t>
      </w:r>
      <w:r>
        <w:rPr>
          <w:sz w:val="24"/>
          <w:szCs w:val="24"/>
        </w:rPr>
      </w:r>
    </w:p>
    <w:p>
      <w:pPr>
        <w:pStyle w:val="1143"/>
        <w:numPr>
          <w:ilvl w:val="2"/>
          <w:numId w:val="12"/>
        </w:numPr>
        <w:pBdr/>
        <w:tabs>
          <w:tab w:val="left" w:leader="none" w:pos="993"/>
          <w:tab w:val="left" w:leader="none" w:pos="1701"/>
        </w:tabs>
        <w:spacing/>
        <w:ind w:firstLine="0" w:left="0"/>
        <w:rPr>
          <w:sz w:val="24"/>
          <w:szCs w:val="24"/>
        </w:rPr>
      </w:pPr>
      <w:r>
        <w:rPr>
          <w:sz w:val="24"/>
          <w:szCs w:val="24"/>
        </w:rPr>
        <w:t xml:space="preserve">A concessão de efeito suspensivo à impugnação é medida excepcional e deverá ser motivada pelo agente de contratação, nos autos do processo de licitação.</w:t>
      </w:r>
      <w:r>
        <w:rPr>
          <w:sz w:val="24"/>
          <w:szCs w:val="24"/>
        </w:rPr>
      </w:r>
    </w:p>
    <w:p>
      <w:pPr>
        <w:pStyle w:val="1143"/>
        <w:numPr>
          <w:ilvl w:val="1"/>
          <w:numId w:val="12"/>
        </w:numPr>
        <w:pBdr/>
        <w:tabs>
          <w:tab w:val="left" w:leader="none" w:pos="993"/>
          <w:tab w:val="left" w:leader="none" w:pos="1701"/>
        </w:tabs>
        <w:spacing/>
        <w:ind w:firstLine="0" w:left="0"/>
        <w:rPr>
          <w:sz w:val="24"/>
          <w:szCs w:val="24"/>
        </w:rPr>
      </w:pPr>
      <w:r>
        <w:rPr>
          <w:sz w:val="24"/>
          <w:szCs w:val="24"/>
        </w:rPr>
        <w:t xml:space="preserve">Acolhida a impugnação, será definida e publicada nova data para a realização do certame.</w:t>
      </w:r>
      <w:r>
        <w:rPr>
          <w:sz w:val="24"/>
          <w:szCs w:val="24"/>
        </w:rPr>
      </w:r>
    </w:p>
    <w:p>
      <w:pPr>
        <w:pStyle w:val="995"/>
        <w:numPr>
          <w:ilvl w:val="0"/>
          <w:numId w:val="12"/>
        </w:numPr>
        <w:pBdr/>
        <w:tabs>
          <w:tab w:val="left" w:leader="none" w:pos="567"/>
          <w:tab w:val="left" w:leader="none" w:pos="851"/>
        </w:tabs>
        <w:spacing w:after="240" w:line="280" w:lineRule="atLeast"/>
        <w:ind w:firstLine="0" w:left="0"/>
        <w:contextualSpacing w:val="false"/>
        <w:rPr>
          <w:b/>
          <w:sz w:val="24"/>
          <w:szCs w:val="24"/>
        </w:rPr>
      </w:pPr>
      <w:r/>
      <w:hyperlink w:tooltip="#ANEXOIRECEBIMENTO" w:anchor="ANEXOIRECEBIMENTO" w:history="1">
        <w:bookmarkStart w:id="77" w:name="EDITALRECEBIMENTOOBJ"/>
        <w:r>
          <w:rPr>
            <w:rStyle w:val="953"/>
            <w:b/>
            <w:color w:val="auto"/>
            <w:sz w:val="24"/>
            <w:szCs w:val="24"/>
            <w:u w:val="none"/>
          </w:rPr>
          <w:t xml:space="preserve">CONDIÇÕES DE RECEBIMENTO DO OBJETO:</w:t>
        </w:r>
      </w:hyperlink>
      <w:r/>
      <w:bookmarkEnd w:id="77"/>
      <w:r/>
      <w:r>
        <w:rPr>
          <w:b/>
          <w:sz w:val="24"/>
          <w:szCs w:val="24"/>
        </w:rPr>
      </w:r>
    </w:p>
    <w:p>
      <w:pPr>
        <w:pStyle w:val="995"/>
        <w:numPr>
          <w:ilvl w:val="1"/>
          <w:numId w:val="12"/>
        </w:numPr>
        <w:pBdr/>
        <w:tabs>
          <w:tab w:val="left" w:leader="none" w:pos="709"/>
        </w:tabs>
        <w:spacing w:line="280" w:lineRule="atLeast"/>
        <w:ind w:firstLine="0" w:left="0"/>
        <w:rPr>
          <w:b/>
          <w:sz w:val="24"/>
          <w:szCs w:val="24"/>
        </w:rPr>
      </w:pPr>
      <w:r/>
      <w:hyperlink w:tooltip="#ANEXOIRECEBIMENTO" w:anchor="ANEXOIRECEBIMENTO" w:history="1">
        <w:r>
          <w:rPr>
            <w:rStyle w:val="953"/>
            <w:b/>
            <w:color w:val="auto"/>
            <w:sz w:val="24"/>
            <w:szCs w:val="24"/>
            <w:u w:val="none"/>
          </w:rPr>
          <w:t xml:space="preserve">DO RECEBIMENTO DO(S) OBJETO(S)</w:t>
        </w:r>
      </w:hyperlink>
      <w:r>
        <w:rPr>
          <w:b/>
          <w:sz w:val="24"/>
          <w:szCs w:val="24"/>
        </w:rPr>
        <w:t xml:space="preserve">:</w:t>
      </w:r>
      <w:r>
        <w:rPr>
          <w:b/>
          <w:sz w:val="24"/>
          <w:szCs w:val="24"/>
        </w:rPr>
      </w:r>
    </w:p>
    <w:p>
      <w:pPr>
        <w:pStyle w:val="995"/>
        <w:pBdr/>
        <w:tabs>
          <w:tab w:val="left" w:leader="none" w:pos="709"/>
        </w:tabs>
        <w:spacing w:line="280" w:lineRule="atLeast"/>
        <w:ind w:left="0"/>
        <w:rPr>
          <w:b/>
          <w:sz w:val="24"/>
          <w:szCs w:val="24"/>
        </w:rPr>
      </w:pPr>
      <w:r>
        <w:rPr>
          <w:b/>
          <w:sz w:val="24"/>
          <w:szCs w:val="24"/>
        </w:rPr>
      </w:r>
      <w:r>
        <w:rPr>
          <w:b/>
          <w:sz w:val="24"/>
          <w:szCs w:val="24"/>
        </w:rPr>
      </w:r>
    </w:p>
    <w:p>
      <w:pPr>
        <w:pStyle w:val="995"/>
        <w:numPr>
          <w:ilvl w:val="2"/>
          <w:numId w:val="12"/>
        </w:numPr>
        <w:pBdr/>
        <w:tabs>
          <w:tab w:val="left" w:leader="none" w:pos="709"/>
          <w:tab w:val="left" w:leader="none" w:pos="1134"/>
          <w:tab w:val="left" w:leader="none" w:pos="1560"/>
        </w:tabs>
        <w:spacing w:line="280" w:lineRule="atLeast"/>
        <w:ind w:firstLine="0" w:left="0"/>
        <w:rPr>
          <w:b/>
          <w:sz w:val="24"/>
          <w:szCs w:val="24"/>
        </w:rPr>
      </w:pPr>
      <w:r>
        <w:rPr>
          <w:sz w:val="24"/>
          <w:szCs w:val="24"/>
        </w:rPr>
        <w:t xml:space="preserve">Em se tratando de </w:t>
      </w:r>
      <w:r>
        <w:rPr>
          <w:b/>
          <w:sz w:val="24"/>
          <w:szCs w:val="24"/>
        </w:rPr>
        <w:t xml:space="preserve">compras ou de locação de equipamentos (art. 140, inciso II, alíneas “a” e “b”, Lei Federal 14.133/2021):</w:t>
      </w:r>
      <w:r>
        <w:rPr>
          <w:b/>
          <w:sz w:val="24"/>
          <w:szCs w:val="24"/>
        </w:rPr>
      </w:r>
    </w:p>
    <w:p>
      <w:pPr>
        <w:pStyle w:val="995"/>
        <w:pBdr/>
        <w:tabs>
          <w:tab w:val="left" w:leader="none" w:pos="709"/>
          <w:tab w:val="left" w:leader="none" w:pos="1134"/>
        </w:tabs>
        <w:spacing w:line="280" w:lineRule="atLeast"/>
        <w:ind w:left="0"/>
        <w:rPr>
          <w:b/>
          <w:sz w:val="24"/>
          <w:szCs w:val="24"/>
        </w:rPr>
      </w:pPr>
      <w:r>
        <w:rPr>
          <w:b/>
          <w:sz w:val="24"/>
          <w:szCs w:val="24"/>
        </w:rPr>
      </w:r>
      <w:r>
        <w:rPr>
          <w:b/>
          <w:sz w:val="24"/>
          <w:szCs w:val="24"/>
        </w:rPr>
      </w:r>
    </w:p>
    <w:p>
      <w:pPr>
        <w:pStyle w:val="995"/>
        <w:numPr>
          <w:ilvl w:val="3"/>
          <w:numId w:val="12"/>
        </w:numPr>
        <w:pBdr/>
        <w:tabs>
          <w:tab w:val="left" w:leader="none" w:pos="709"/>
          <w:tab w:val="left" w:leader="none" w:pos="1134"/>
        </w:tabs>
        <w:spacing w:line="280" w:lineRule="atLeast"/>
        <w:ind w:firstLine="0" w:left="0"/>
        <w:rPr>
          <w:b/>
          <w:sz w:val="24"/>
          <w:szCs w:val="24"/>
        </w:rPr>
      </w:pPr>
      <w:r>
        <w:rPr>
          <w:b/>
          <w:sz w:val="24"/>
          <w:szCs w:val="24"/>
        </w:rPr>
        <w:t xml:space="preserve">PROVISORIAMENTE</w:t>
      </w:r>
      <w:r>
        <w:rPr>
          <w:i/>
          <w:sz w:val="24"/>
          <w:szCs w:val="24"/>
        </w:rPr>
        <w:t xml:space="preserve">,</w:t>
      </w:r>
      <w:r>
        <w:rPr>
          <w:rFonts w:cs="Arial"/>
          <w:color w:val="000000"/>
          <w:sz w:val="24"/>
          <w:szCs w:val="24"/>
        </w:rPr>
        <w:t xml:space="preserve"> de forma sumária, pelo responsável por seu acompanhamento e fiscalização, com verificação posterior da conformidade do material com as exigências contratuais</w:t>
      </w:r>
      <w:r>
        <w:rPr>
          <w:sz w:val="24"/>
          <w:szCs w:val="24"/>
        </w:rPr>
        <w:t xml:space="preserve">;</w:t>
      </w:r>
      <w:r>
        <w:rPr>
          <w:b/>
          <w:sz w:val="24"/>
          <w:szCs w:val="24"/>
        </w:rPr>
      </w:r>
    </w:p>
    <w:p>
      <w:pPr>
        <w:pStyle w:val="995"/>
        <w:pBdr/>
        <w:tabs>
          <w:tab w:val="left" w:leader="none" w:pos="709"/>
          <w:tab w:val="left" w:leader="none" w:pos="1134"/>
        </w:tabs>
        <w:spacing w:line="280" w:lineRule="atLeast"/>
        <w:ind w:left="0"/>
        <w:rPr>
          <w:b/>
          <w:sz w:val="24"/>
          <w:szCs w:val="24"/>
        </w:rPr>
      </w:pPr>
      <w:r>
        <w:rPr>
          <w:b/>
          <w:sz w:val="24"/>
          <w:szCs w:val="24"/>
        </w:rPr>
      </w:r>
      <w:r>
        <w:rPr>
          <w:b/>
          <w:sz w:val="24"/>
          <w:szCs w:val="24"/>
        </w:rPr>
      </w:r>
    </w:p>
    <w:p>
      <w:pPr>
        <w:pStyle w:val="995"/>
        <w:numPr>
          <w:ilvl w:val="3"/>
          <w:numId w:val="12"/>
        </w:numPr>
        <w:pBdr/>
        <w:tabs>
          <w:tab w:val="left" w:leader="none" w:pos="709"/>
          <w:tab w:val="left" w:leader="none" w:pos="1134"/>
        </w:tabs>
        <w:spacing w:line="280" w:lineRule="atLeast"/>
        <w:ind w:firstLine="0" w:left="0"/>
        <w:rPr>
          <w:b/>
          <w:sz w:val="24"/>
          <w:szCs w:val="24"/>
        </w:rPr>
      </w:pPr>
      <w:r>
        <w:rPr>
          <w:b/>
          <w:sz w:val="24"/>
          <w:szCs w:val="24"/>
        </w:rPr>
        <w:t xml:space="preserve">DEFINITIVAMENTE</w:t>
      </w:r>
      <w:r>
        <w:rPr>
          <w:i/>
          <w:sz w:val="24"/>
          <w:szCs w:val="24"/>
        </w:rPr>
        <w:t xml:space="preserve">, </w:t>
      </w:r>
      <w:r>
        <w:rPr>
          <w:rFonts w:cs="Arial"/>
          <w:color w:val="000000"/>
          <w:sz w:val="24"/>
          <w:szCs w:val="24"/>
        </w:rPr>
        <w:t xml:space="preserve">definitivamente, por servidor ou comissão designada pela autoridade competente, mediante termo detalhado que comprove o atendimento das exigências contratuais</w:t>
      </w:r>
      <w:r>
        <w:rPr>
          <w:sz w:val="24"/>
          <w:szCs w:val="24"/>
        </w:rPr>
        <w:t xml:space="preserve">.</w:t>
      </w:r>
      <w:r>
        <w:rPr>
          <w:b/>
          <w:sz w:val="24"/>
          <w:szCs w:val="24"/>
        </w:rPr>
      </w:r>
    </w:p>
    <w:p>
      <w:pPr>
        <w:pStyle w:val="995"/>
        <w:pBdr/>
        <w:tabs>
          <w:tab w:val="left" w:leader="none" w:pos="709"/>
        </w:tabs>
        <w:spacing w:line="280" w:lineRule="atLeast"/>
        <w:ind w:left="0"/>
        <w:rPr>
          <w:b/>
          <w:sz w:val="24"/>
          <w:szCs w:val="24"/>
        </w:rPr>
      </w:pPr>
      <w:r>
        <w:rPr>
          <w:b/>
          <w:sz w:val="24"/>
          <w:szCs w:val="24"/>
        </w:rPr>
      </w:r>
      <w:r>
        <w:rPr>
          <w:b/>
          <w:sz w:val="24"/>
          <w:szCs w:val="24"/>
        </w:rPr>
      </w:r>
    </w:p>
    <w:p>
      <w:pPr>
        <w:pStyle w:val="995"/>
        <w:pBdr/>
        <w:tabs>
          <w:tab w:val="left" w:leader="none" w:pos="709"/>
          <w:tab w:val="left" w:leader="none" w:pos="993"/>
        </w:tabs>
        <w:spacing w:line="280" w:lineRule="atLeast"/>
        <w:ind w:left="0"/>
        <w:contextualSpacing w:val="false"/>
        <w:rPr>
          <w:sz w:val="24"/>
          <w:szCs w:val="24"/>
        </w:rPr>
      </w:pPr>
      <w:r>
        <w:rPr>
          <w:b/>
          <w:sz w:val="24"/>
          <w:szCs w:val="24"/>
        </w:rPr>
        <w:t xml:space="preserve">Nota I</w:t>
      </w:r>
      <w:r>
        <w:rPr>
          <w:sz w:val="24"/>
          <w:szCs w:val="24"/>
        </w:rPr>
        <w:t xml:space="preserve">: </w:t>
      </w:r>
      <w:r>
        <w:rPr>
          <w:rFonts w:cs="Arial"/>
          <w:color w:val="000000"/>
          <w:sz w:val="24"/>
          <w:szCs w:val="24"/>
        </w:rPr>
        <w:t xml:space="preserve">O recebimento provisório ou definitivo não excluirá a responsabilidade civil pela solidez e pela segurança da obra ou serviço nem a responsabilidade ético-profissional pela perfeita execução do contrato, nos limites estabelecidos pela lei ou pelo contrato</w:t>
      </w:r>
      <w:r>
        <w:rPr>
          <w:sz w:val="24"/>
          <w:szCs w:val="24"/>
        </w:rPr>
        <w:t xml:space="preserve"> (</w:t>
      </w:r>
      <w:r>
        <w:rPr>
          <w:b/>
          <w:sz w:val="24"/>
          <w:szCs w:val="24"/>
        </w:rPr>
        <w:t xml:space="preserve">art. 140, inciso II, § 2º, Lei Federal 14.133/2021)</w:t>
      </w:r>
      <w:r>
        <w:rPr>
          <w:sz w:val="24"/>
          <w:szCs w:val="24"/>
        </w:rPr>
        <w:t xml:space="preserve">.</w:t>
      </w:r>
      <w:r>
        <w:rPr>
          <w:sz w:val="24"/>
          <w:szCs w:val="24"/>
        </w:rPr>
      </w:r>
    </w:p>
    <w:p>
      <w:pPr>
        <w:pStyle w:val="995"/>
        <w:pBdr/>
        <w:tabs>
          <w:tab w:val="left" w:leader="none" w:pos="993"/>
        </w:tabs>
        <w:spacing w:line="280" w:lineRule="atLeast"/>
        <w:ind w:left="0"/>
        <w:contextualSpacing w:val="false"/>
        <w:rPr>
          <w:sz w:val="24"/>
          <w:szCs w:val="24"/>
        </w:rPr>
      </w:pPr>
      <w:r>
        <w:rPr>
          <w:sz w:val="24"/>
          <w:szCs w:val="24"/>
        </w:rPr>
      </w:r>
      <w:r>
        <w:rPr>
          <w:sz w:val="24"/>
          <w:szCs w:val="24"/>
        </w:rPr>
      </w:r>
    </w:p>
    <w:p>
      <w:pPr>
        <w:pStyle w:val="995"/>
        <w:numPr>
          <w:ilvl w:val="0"/>
          <w:numId w:val="12"/>
        </w:numPr>
        <w:pBdr/>
        <w:tabs>
          <w:tab w:val="left" w:leader="none" w:pos="426"/>
          <w:tab w:val="left" w:leader="none" w:pos="851"/>
        </w:tabs>
        <w:spacing w:after="240" w:line="280" w:lineRule="atLeast"/>
        <w:ind w:firstLine="0" w:left="0"/>
        <w:contextualSpacing w:val="false"/>
        <w:rPr>
          <w:b/>
          <w:sz w:val="24"/>
          <w:szCs w:val="24"/>
        </w:rPr>
      </w:pPr>
      <w:r/>
      <w:hyperlink w:tooltip="#ANEXOICONDIÇÕESGERAIS" w:anchor="ANEXOICONDIÇÕESGERAIS" w:history="1">
        <w:bookmarkStart w:id="78" w:name="_Toc135469236"/>
        <w:r>
          <w:t xml:space="preserve"> </w:t>
        </w:r>
        <w:r>
          <w:rPr>
            <w:b/>
            <w:sz w:val="24"/>
            <w:szCs w:val="24"/>
          </w:rPr>
          <w:t xml:space="preserve">DAS DISPOSIÇÕES GERAIS</w:t>
        </w:r>
        <w:bookmarkEnd w:id="78"/>
        <w:r>
          <w:rPr>
            <w:rStyle w:val="953"/>
            <w:b/>
            <w:color w:val="auto"/>
            <w:sz w:val="24"/>
            <w:szCs w:val="24"/>
            <w:u w:val="none"/>
          </w:rPr>
          <w:t xml:space="preserve">:</w:t>
        </w:r>
      </w:hyperlink>
      <w:r/>
      <w:r>
        <w:rPr>
          <w:b/>
          <w:sz w:val="24"/>
          <w:szCs w:val="24"/>
        </w:rPr>
      </w:r>
    </w:p>
    <w:p>
      <w:pPr>
        <w:pStyle w:val="1142"/>
        <w:numPr>
          <w:ilvl w:val="1"/>
          <w:numId w:val="12"/>
        </w:numPr>
        <w:pBdr/>
        <w:spacing/>
        <w:ind w:firstLine="0" w:left="0"/>
        <w:rPr>
          <w:sz w:val="24"/>
          <w:szCs w:val="24"/>
        </w:rPr>
      </w:pPr>
      <w:r>
        <w:rPr>
          <w:sz w:val="24"/>
          <w:szCs w:val="24"/>
        </w:rPr>
        <w:t xml:space="preserve">Será divulgada ata da sessão pública no sistema eletrônico.</w:t>
      </w:r>
      <w:r>
        <w:rPr>
          <w:sz w:val="24"/>
          <w:szCs w:val="24"/>
        </w:rPr>
      </w:r>
    </w:p>
    <w:p>
      <w:pPr>
        <w:pStyle w:val="1142"/>
        <w:numPr>
          <w:ilvl w:val="1"/>
          <w:numId w:val="12"/>
        </w:numPr>
        <w:pBdr/>
        <w:spacing/>
        <w:ind w:firstLine="0" w:left="0"/>
        <w:rPr>
          <w:sz w:val="24"/>
          <w:szCs w:val="24"/>
        </w:rPr>
      </w:pPr>
      <w:r>
        <w:rPr>
          <w:sz w:val="24"/>
          <w:szCs w:val="24"/>
        </w:rPr>
        <w:t xml:space="preserve">Não havendo expediente ou ocorrendo qualquer </w:t>
      </w:r>
      <w:r>
        <w:rPr>
          <w:sz w:val="24"/>
          <w:szCs w:val="24"/>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24"/>
          <w:szCs w:val="24"/>
        </w:rPr>
      </w:r>
    </w:p>
    <w:p>
      <w:pPr>
        <w:pStyle w:val="1142"/>
        <w:numPr>
          <w:ilvl w:val="1"/>
          <w:numId w:val="12"/>
        </w:numPr>
        <w:pBdr/>
        <w:spacing/>
        <w:ind w:firstLine="0" w:left="0"/>
        <w:rPr>
          <w:sz w:val="24"/>
          <w:szCs w:val="24"/>
        </w:rPr>
      </w:pPr>
      <w:r>
        <w:rPr>
          <w:sz w:val="24"/>
          <w:szCs w:val="24"/>
        </w:rPr>
        <w:t xml:space="preserve">Todas as referências de tempo no Edital, no aviso e durante a sessão pública observarão o horário de Brasília - DF.</w:t>
      </w:r>
      <w:r>
        <w:rPr>
          <w:sz w:val="24"/>
          <w:szCs w:val="24"/>
        </w:rPr>
      </w:r>
    </w:p>
    <w:p>
      <w:pPr>
        <w:pStyle w:val="1142"/>
        <w:numPr>
          <w:ilvl w:val="1"/>
          <w:numId w:val="12"/>
        </w:numPr>
        <w:pBdr/>
        <w:spacing/>
        <w:ind w:firstLine="0" w:left="0"/>
        <w:rPr>
          <w:sz w:val="24"/>
          <w:szCs w:val="24"/>
        </w:rPr>
      </w:pPr>
      <w:r>
        <w:rPr>
          <w:sz w:val="24"/>
          <w:szCs w:val="24"/>
        </w:rPr>
        <w:t xml:space="preserve">A homologação do resultado desta licitação não implicará direito à contratação.</w:t>
      </w:r>
      <w:r>
        <w:rPr>
          <w:sz w:val="24"/>
          <w:szCs w:val="24"/>
        </w:rPr>
      </w:r>
    </w:p>
    <w:p>
      <w:pPr>
        <w:pStyle w:val="1142"/>
        <w:numPr>
          <w:ilvl w:val="1"/>
          <w:numId w:val="12"/>
        </w:numPr>
        <w:pBdr/>
        <w:spacing/>
        <w:ind w:firstLine="0" w:left="0"/>
        <w:rPr>
          <w:sz w:val="24"/>
          <w:szCs w:val="24"/>
        </w:rPr>
      </w:pPr>
      <w:r>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24"/>
          <w:szCs w:val="24"/>
        </w:rPr>
      </w:r>
    </w:p>
    <w:p>
      <w:pPr>
        <w:pStyle w:val="1142"/>
        <w:numPr>
          <w:ilvl w:val="1"/>
          <w:numId w:val="12"/>
        </w:numPr>
        <w:pBdr/>
        <w:spacing/>
        <w:ind w:firstLine="0" w:left="0"/>
        <w:rPr>
          <w:sz w:val="24"/>
          <w:szCs w:val="24"/>
        </w:rPr>
      </w:pPr>
      <w:r>
        <w:rPr>
          <w:sz w:val="24"/>
          <w:szCs w:val="24"/>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24"/>
          <w:szCs w:val="24"/>
        </w:rPr>
      </w:r>
    </w:p>
    <w:p>
      <w:pPr>
        <w:pStyle w:val="1142"/>
        <w:numPr>
          <w:ilvl w:val="1"/>
          <w:numId w:val="12"/>
        </w:numPr>
        <w:pBdr/>
        <w:spacing/>
        <w:ind w:firstLine="0" w:left="0"/>
        <w:rPr>
          <w:sz w:val="24"/>
          <w:szCs w:val="24"/>
        </w:rPr>
      </w:pPr>
      <w:r>
        <w:rPr>
          <w:sz w:val="24"/>
          <w:szCs w:val="24"/>
        </w:rPr>
        <w:t xml:space="preserve">Na contagem dos prazos estabelecidos neste Edital e seus Anexos, excluir-se-á o dia do início e incluir-se-á o do vencimento. Só se iniciam e vencem os prazos em dias de expediente na Administração.</w:t>
      </w:r>
      <w:r>
        <w:rPr>
          <w:sz w:val="24"/>
          <w:szCs w:val="24"/>
        </w:rPr>
      </w:r>
    </w:p>
    <w:p>
      <w:pPr>
        <w:pStyle w:val="1142"/>
        <w:numPr>
          <w:ilvl w:val="1"/>
          <w:numId w:val="12"/>
        </w:numPr>
        <w:pBdr/>
        <w:spacing/>
        <w:ind w:firstLine="0" w:left="0"/>
        <w:rPr>
          <w:sz w:val="24"/>
          <w:szCs w:val="24"/>
        </w:rPr>
      </w:pPr>
      <w:r>
        <w:rPr>
          <w:sz w:val="24"/>
          <w:szCs w:val="24"/>
        </w:rPr>
        <w:t xml:space="preserve">O desatendimento de exigências formais não essenciais não importará o afastamento do licitante, desde que seja possível o aproveitamento do ato, observados os princípios da isonomia e do interesse público.</w:t>
      </w:r>
      <w:r>
        <w:rPr>
          <w:sz w:val="24"/>
          <w:szCs w:val="24"/>
        </w:rPr>
      </w:r>
    </w:p>
    <w:p>
      <w:pPr>
        <w:pStyle w:val="1142"/>
        <w:numPr>
          <w:ilvl w:val="1"/>
          <w:numId w:val="12"/>
        </w:numPr>
        <w:pBdr/>
        <w:spacing/>
        <w:ind w:firstLine="0" w:left="0"/>
        <w:rPr>
          <w:rFonts w:eastAsia="Times New Roman"/>
          <w:sz w:val="24"/>
          <w:szCs w:val="24"/>
        </w:rPr>
      </w:pPr>
      <w:r>
        <w:rPr>
          <w:sz w:val="24"/>
          <w:szCs w:val="24"/>
        </w:rPr>
        <w:t xml:space="preserve">Em caso de divergência entre disposições deste Edital e de seus anexos ou demais peças que compõem o processo, prevalecerá as deste Edital.</w:t>
      </w:r>
      <w:r>
        <w:rPr>
          <w:rFonts w:eastAsia="Times New Roman"/>
          <w:sz w:val="24"/>
          <w:szCs w:val="24"/>
        </w:rPr>
      </w:r>
    </w:p>
    <w:p>
      <w:pPr>
        <w:pStyle w:val="1142"/>
        <w:numPr>
          <w:ilvl w:val="1"/>
          <w:numId w:val="12"/>
        </w:numPr>
        <w:pBdr/>
        <w:spacing/>
        <w:ind w:firstLine="0" w:left="0"/>
        <w:rPr>
          <w:rFonts w:eastAsia="Times New Roman"/>
          <w:sz w:val="24"/>
          <w:szCs w:val="24"/>
        </w:rPr>
      </w:pPr>
      <w:r>
        <w:rPr>
          <w:sz w:val="24"/>
          <w:szCs w:val="24"/>
        </w:rPr>
        <w:t xml:space="preserve">O Edital e seus anexos estão disponíveis, na íntegra, no Portal Nacional de Contratações Públicas (PNCP) e endereço eletrônico </w:t>
      </w:r>
      <w:hyperlink r:id="rId63" w:tooltip="http://www.riodasflores.rj.gov.br" w:history="1">
        <w:r>
          <w:rPr>
            <w:rStyle w:val="953"/>
            <w:b/>
            <w:sz w:val="24"/>
            <w:szCs w:val="24"/>
          </w:rPr>
          <w:t xml:space="preserve">www.riodasflores.rj.gov.br</w:t>
        </w:r>
      </w:hyperlink>
      <w:r>
        <w:rPr>
          <w:sz w:val="24"/>
          <w:szCs w:val="24"/>
        </w:rPr>
        <w:t xml:space="preserve">.</w:t>
      </w:r>
      <w:r>
        <w:rPr>
          <w:rFonts w:eastAsia="Times New Roman"/>
          <w:sz w:val="24"/>
          <w:szCs w:val="24"/>
        </w:rPr>
      </w:r>
    </w:p>
    <w:p>
      <w:pPr>
        <w:pStyle w:val="1142"/>
        <w:numPr>
          <w:ilvl w:val="1"/>
          <w:numId w:val="12"/>
        </w:numPr>
        <w:pBdr/>
        <w:spacing/>
        <w:ind w:firstLine="0" w:left="0"/>
        <w:rPr>
          <w:rFonts w:eastAsia="Times New Roman"/>
          <w:sz w:val="24"/>
          <w:szCs w:val="24"/>
        </w:rPr>
      </w:pPr>
      <w:r>
        <w:rPr>
          <w:sz w:val="24"/>
          <w:szCs w:val="24"/>
        </w:rPr>
        <w:t xml:space="preserve">O(a) Pregoeiro(a) poderá exigir testes de funcionamento, qualidade e rendimento, por conta do fornecedor, bem como garantia do material;</w:t>
      </w:r>
      <w:r>
        <w:rPr>
          <w:rFonts w:eastAsia="Times New Roman"/>
          <w:sz w:val="24"/>
          <w:szCs w:val="24"/>
        </w:rPr>
      </w:r>
    </w:p>
    <w:p>
      <w:pPr>
        <w:pStyle w:val="1142"/>
        <w:numPr>
          <w:ilvl w:val="1"/>
          <w:numId w:val="12"/>
        </w:numPr>
        <w:pBdr/>
        <w:spacing/>
        <w:ind w:firstLine="0" w:left="0"/>
        <w:rPr>
          <w:rFonts w:eastAsia="Times New Roman"/>
          <w:sz w:val="24"/>
          <w:szCs w:val="24"/>
        </w:rPr>
      </w:pPr>
      <w:r>
        <w:rPr>
          <w:sz w:val="24"/>
          <w:szCs w:val="24"/>
        </w:rPr>
        <w:t xml:space="preserve">Durante o período de entrega do(s) objeto(s), o(s) adjudicatário(s) deverá(</w:t>
      </w:r>
      <w:r>
        <w:rPr>
          <w:sz w:val="24"/>
          <w:szCs w:val="24"/>
        </w:rPr>
        <w:t xml:space="preserve">ão</w:t>
      </w:r>
      <w:r>
        <w:rPr>
          <w:sz w:val="24"/>
          <w:szCs w:val="24"/>
        </w:rPr>
        <w:t xml:space="preserve">) manter todas as condições de habilitação exigidas na licitação.</w:t>
      </w:r>
      <w:r>
        <w:rPr>
          <w:rFonts w:eastAsia="Times New Roman"/>
          <w:sz w:val="24"/>
          <w:szCs w:val="24"/>
        </w:rPr>
      </w:r>
    </w:p>
    <w:p>
      <w:pPr>
        <w:pStyle w:val="1142"/>
        <w:numPr>
          <w:ilvl w:val="1"/>
          <w:numId w:val="12"/>
        </w:numPr>
        <w:pBdr/>
        <w:spacing/>
        <w:ind w:firstLine="0" w:left="0"/>
        <w:rPr>
          <w:rFonts w:eastAsia="Times New Roman"/>
          <w:color w:val="auto"/>
          <w:sz w:val="24"/>
          <w:szCs w:val="24"/>
        </w:rPr>
      </w:pPr>
      <w:r>
        <w:rPr>
          <w:color w:val="auto"/>
          <w:sz w:val="24"/>
          <w:szCs w:val="24"/>
        </w:rPr>
        <w:t xml:space="preserve">Quaisquer informações quanto aos termos deste PREGÃO ELETRÔNICO serão prestadas pelo(a) Pregoeiro(a), das 8:</w:t>
      </w:r>
      <w:r>
        <w:rPr>
          <w:color w:val="auto"/>
          <w:sz w:val="24"/>
          <w:szCs w:val="24"/>
        </w:rPr>
        <w:t xml:space="preserve">00 às 11:30 e 13:00 às 16:00h, de 2ª a 6ª feira, exceto nos feriados do Município de Rio das Flores, do Estado do Rio Janeiro e Nacional, na Rua Cel. Eurico de Castro, nº 14, Centro, Rio das Flores/RJ, CEP: 27.660-000 - Telefone: (24) 2458-1328/Ramal: 210.</w:t>
      </w:r>
      <w:r>
        <w:rPr>
          <w:rFonts w:eastAsia="Times New Roman"/>
          <w:color w:val="auto"/>
          <w:sz w:val="24"/>
          <w:szCs w:val="24"/>
        </w:rPr>
      </w:r>
    </w:p>
    <w:p>
      <w:pPr>
        <w:pStyle w:val="1142"/>
        <w:numPr>
          <w:ilvl w:val="1"/>
          <w:numId w:val="12"/>
        </w:numPr>
        <w:pBdr/>
        <w:spacing/>
        <w:ind w:firstLine="0" w:left="0"/>
        <w:rPr>
          <w:rFonts w:eastAsia="Times New Roman"/>
          <w:sz w:val="24"/>
          <w:szCs w:val="24"/>
        </w:rPr>
      </w:pPr>
      <w:r>
        <w:rPr>
          <w:sz w:val="24"/>
          <w:szCs w:val="24"/>
        </w:rPr>
        <w:t xml:space="preserve">Fica eleito o Foro da Comarca de Rio das Flores/RJ, para dirimir eventuais pendências oriundas da presente licitação.</w:t>
      </w:r>
      <w:r>
        <w:rPr>
          <w:rFonts w:eastAsia="Times New Roman"/>
          <w:sz w:val="24"/>
          <w:szCs w:val="24"/>
        </w:rPr>
      </w:r>
    </w:p>
    <w:p>
      <w:pPr>
        <w:pStyle w:val="995"/>
        <w:numPr>
          <w:ilvl w:val="0"/>
          <w:numId w:val="12"/>
        </w:numPr>
        <w:pBdr/>
        <w:tabs>
          <w:tab w:val="left" w:leader="none" w:pos="426"/>
          <w:tab w:val="left" w:leader="none" w:pos="709"/>
        </w:tabs>
        <w:spacing w:after="240" w:afterAutospacing="1" w:before="480" w:beforeAutospacing="1"/>
        <w:ind w:firstLine="0" w:left="0"/>
        <w:contextualSpacing w:val="false"/>
        <w:rPr>
          <w:sz w:val="24"/>
          <w:szCs w:val="24"/>
        </w:rPr>
      </w:pPr>
      <w:r/>
      <w:bookmarkStart w:id="79" w:name="EDITALADJUDICAÇÃO"/>
      <w:r>
        <w:rPr>
          <w:b/>
          <w:sz w:val="24"/>
          <w:szCs w:val="24"/>
        </w:rPr>
        <w:t xml:space="preserve">DA ADJUDICAÇÃO E HOMOLOGAÇÃO:</w:t>
      </w:r>
      <w:bookmarkEnd w:id="79"/>
      <w:r/>
      <w:r>
        <w:rPr>
          <w:sz w:val="24"/>
          <w:szCs w:val="24"/>
        </w:rPr>
      </w:r>
    </w:p>
    <w:p>
      <w:pPr>
        <w:pStyle w:val="995"/>
        <w:numPr>
          <w:ilvl w:val="1"/>
          <w:numId w:val="12"/>
        </w:numPr>
        <w:pBdr/>
        <w:spacing w:after="240" w:afterAutospacing="1" w:before="480" w:beforeAutospacing="1" w:line="280" w:lineRule="atLeast"/>
        <w:ind w:firstLine="0" w:left="0"/>
        <w:contextualSpacing w:val="false"/>
        <w:rPr>
          <w:sz w:val="24"/>
          <w:szCs w:val="24"/>
        </w:rPr>
      </w:pPr>
      <w:r>
        <w:rPr>
          <w:b/>
          <w:bCs/>
          <w:sz w:val="24"/>
          <w:szCs w:val="24"/>
        </w:rPr>
        <w:t xml:space="preserve">Autoridade competente, </w:t>
      </w:r>
      <w:bookmarkStart w:id="80" w:name="art45"/>
      <w:r/>
      <w:bookmarkEnd w:id="80"/>
      <w:r>
        <w:rPr>
          <w:bCs/>
          <w:sz w:val="24"/>
          <w:szCs w:val="24"/>
        </w:rPr>
        <w:t xml:space="preserve">d</w:t>
      </w:r>
      <w:r>
        <w:rPr>
          <w:sz w:val="24"/>
          <w:szCs w:val="24"/>
        </w:rPr>
        <w:t xml:space="preserve">ecididos os recursos e constatada a regularidade dos atos praticados, a autoridade competente adjudicará o objeto e homologará o procedimento licitatório, nos termos do disposto no inciso V do </w:t>
      </w:r>
      <w:r>
        <w:rPr>
          <w:b/>
          <w:bCs/>
          <w:sz w:val="24"/>
          <w:szCs w:val="24"/>
        </w:rPr>
        <w:t xml:space="preserve">caput</w:t>
      </w:r>
      <w:r>
        <w:rPr>
          <w:sz w:val="24"/>
          <w:szCs w:val="24"/>
        </w:rPr>
        <w:t xml:space="preserve"> do art. 13 do Decreto Federal nº 10.024/2019.</w:t>
      </w:r>
      <w:r>
        <w:rPr>
          <w:sz w:val="24"/>
          <w:szCs w:val="24"/>
        </w:rPr>
      </w:r>
    </w:p>
    <w:p>
      <w:pPr>
        <w:pStyle w:val="995"/>
        <w:numPr>
          <w:ilvl w:val="1"/>
          <w:numId w:val="12"/>
        </w:numPr>
        <w:pBdr/>
        <w:spacing w:after="240" w:afterAutospacing="1" w:before="480" w:beforeAutospacing="1" w:line="280" w:lineRule="atLeast"/>
        <w:ind w:firstLine="0" w:left="0"/>
        <w:contextualSpacing w:val="false"/>
        <w:rPr>
          <w:sz w:val="24"/>
          <w:szCs w:val="24"/>
        </w:rPr>
      </w:pPr>
      <w:r>
        <w:rPr>
          <w:b/>
          <w:bCs/>
          <w:sz w:val="24"/>
          <w:szCs w:val="24"/>
        </w:rPr>
        <w:t xml:space="preserve">Pregoeiro,</w:t>
      </w:r>
      <w:bookmarkStart w:id="81" w:name="art46"/>
      <w:r/>
      <w:bookmarkEnd w:id="81"/>
      <w:r>
        <w:rPr>
          <w:b/>
          <w:bCs/>
          <w:sz w:val="24"/>
          <w:szCs w:val="24"/>
        </w:rPr>
        <w:t xml:space="preserve"> </w:t>
      </w:r>
      <w:r>
        <w:rPr>
          <w:bCs/>
          <w:sz w:val="24"/>
          <w:szCs w:val="24"/>
        </w:rPr>
        <w:t xml:space="preserve">n</w:t>
      </w:r>
      <w:r>
        <w:rPr>
          <w:sz w:val="24"/>
          <w:szCs w:val="24"/>
        </w:rPr>
        <w:t xml:space="preserve">a ausência de recurso, caberá ao pregoeiro adjudicar o objeto e encaminhar o processo devidamente instruído à autoridade superior e propor a homologação, nos termos do disposto no inciso IX do </w:t>
      </w:r>
      <w:r>
        <w:rPr>
          <w:b/>
          <w:bCs/>
          <w:sz w:val="24"/>
          <w:szCs w:val="24"/>
        </w:rPr>
        <w:t xml:space="preserve">caput</w:t>
      </w:r>
      <w:r>
        <w:rPr>
          <w:sz w:val="24"/>
          <w:szCs w:val="24"/>
        </w:rPr>
        <w:t xml:space="preserve"> do art. 17 do Decreto Federal nº 10.024/2019. </w:t>
      </w:r>
      <w:r>
        <w:rPr>
          <w:sz w:val="24"/>
          <w:szCs w:val="24"/>
        </w:rPr>
      </w:r>
    </w:p>
    <w:p>
      <w:pPr>
        <w:pStyle w:val="995"/>
        <w:numPr>
          <w:ilvl w:val="0"/>
          <w:numId w:val="12"/>
        </w:numPr>
        <w:pBdr/>
        <w:tabs>
          <w:tab w:val="left" w:leader="none" w:pos="426"/>
          <w:tab w:val="left" w:leader="none" w:pos="851"/>
        </w:tabs>
        <w:spacing w:after="0" w:before="0" w:line="280" w:lineRule="atLeast"/>
        <w:ind w:firstLine="0" w:left="0"/>
        <w:contextualSpacing w:val="false"/>
        <w:rPr>
          <w:sz w:val="24"/>
          <w:szCs w:val="24"/>
        </w:rPr>
      </w:pPr>
      <w:r/>
      <w:bookmarkStart w:id="82" w:name="EDITALANEXOS"/>
      <w:r>
        <w:rPr>
          <w:b/>
          <w:sz w:val="24"/>
          <w:szCs w:val="24"/>
        </w:rPr>
        <w:t xml:space="preserve">INTEGRAM ESTE EDITAL, PARA TODOS OS FINS E EFEITOS, OS SEGUINTES ANEXOS:</w:t>
      </w:r>
      <w:bookmarkEnd w:id="82"/>
      <w:r/>
      <w:r>
        <w:rPr>
          <w:sz w:val="24"/>
          <w:szCs w:val="24"/>
        </w:rPr>
      </w:r>
    </w:p>
    <w:p>
      <w:pPr>
        <w:pStyle w:val="995"/>
        <w:pBdr/>
        <w:tabs>
          <w:tab w:val="left" w:leader="none" w:pos="851"/>
        </w:tabs>
        <w:spacing w:after="0" w:before="0" w:line="280" w:lineRule="atLeast"/>
        <w:ind w:left="0"/>
        <w:contextualSpacing w:val="false"/>
        <w:rPr>
          <w:sz w:val="24"/>
          <w:szCs w:val="24"/>
          <w:u w:val="single"/>
        </w:rPr>
      </w:pPr>
      <w:r>
        <w:rPr>
          <w:sz w:val="24"/>
          <w:szCs w:val="24"/>
          <w:u w:val="single"/>
        </w:rPr>
      </w:r>
      <w:r>
        <w:rPr>
          <w:sz w:val="24"/>
          <w:szCs w:val="24"/>
          <w:u w:val="single"/>
        </w:rPr>
      </w:r>
    </w:p>
    <w:p>
      <w:pPr>
        <w:pStyle w:val="995"/>
        <w:pBdr/>
        <w:spacing w:after="0" w:before="0" w:line="280" w:lineRule="atLeast"/>
        <w:ind w:left="0"/>
        <w:contextualSpacing w:val="false"/>
        <w:rPr>
          <w:sz w:val="24"/>
          <w:szCs w:val="24"/>
        </w:rPr>
      </w:pPr>
      <w:r>
        <w:rPr>
          <w:sz w:val="24"/>
          <w:szCs w:val="24"/>
        </w:rPr>
      </w:r>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I: Termo de Referência;</w:t>
      </w:r>
      <w:bookmarkStart w:id="83" w:name="ANEXOITR"/>
      <w:r/>
      <w:bookmarkEnd w:id="83"/>
      <w:r/>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II: Proposta modelo;</w:t>
      </w:r>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III: Modelo de Declaração Unificada;</w:t>
      </w:r>
      <w:bookmarkStart w:id="84" w:name="ANEXOIIUNIFICADA"/>
      <w:r/>
      <w:bookmarkStart w:id="85" w:name="ANEXOIIIARP"/>
      <w:r/>
      <w:bookmarkEnd w:id="84"/>
      <w:r/>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IV: Minuta da Ata de Registro de Preço</w:t>
      </w:r>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V: Minuta do Cadastro de Reserva</w:t>
      </w:r>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VI: Minuta do Futuro Contrato;</w:t>
      </w:r>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VII: Relação de veículos;</w:t>
      </w:r>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VIII: Mão-de-obra;</w:t>
      </w:r>
      <w:bookmarkEnd w:id="85"/>
      <w:r>
        <w:rPr>
          <w:sz w:val="24"/>
          <w:szCs w:val="24"/>
        </w:rPr>
      </w:r>
    </w:p>
    <w:p>
      <w:pPr>
        <w:pStyle w:val="995"/>
        <w:numPr>
          <w:ilvl w:val="1"/>
          <w:numId w:val="12"/>
        </w:numPr>
        <w:pBdr/>
        <w:tabs>
          <w:tab w:val="left" w:leader="none" w:pos="851"/>
          <w:tab w:val="left" w:leader="none" w:pos="1843"/>
        </w:tabs>
        <w:spacing w:after="0" w:before="0" w:line="300" w:lineRule="atLeast"/>
        <w:ind w:firstLine="0" w:left="0"/>
        <w:rPr>
          <w:sz w:val="24"/>
          <w:szCs w:val="24"/>
        </w:rPr>
      </w:pPr>
      <w:r>
        <w:rPr>
          <w:sz w:val="24"/>
          <w:szCs w:val="24"/>
        </w:rPr>
        <w:t xml:space="preserve">ANEXO IX: Planilha orçamentária.</w:t>
      </w:r>
      <w:r>
        <w:rPr>
          <w:sz w:val="24"/>
          <w:szCs w:val="24"/>
        </w:rPr>
      </w:r>
    </w:p>
    <w:p>
      <w:pPr>
        <w:pStyle w:val="995"/>
        <w:pBdr/>
        <w:spacing w:after="0" w:before="0" w:line="280" w:lineRule="atLeast"/>
        <w:ind w:left="0"/>
        <w:rPr>
          <w:b/>
          <w:i/>
          <w:sz w:val="24"/>
          <w:szCs w:val="24"/>
        </w:rPr>
      </w:pPr>
      <w:r>
        <w:rPr>
          <w:b/>
          <w:i/>
          <w:sz w:val="24"/>
          <w:szCs w:val="24"/>
        </w:rPr>
      </w:r>
      <w:r>
        <w:rPr>
          <w:b/>
          <w:i/>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t xml:space="preserve">Rio das </w:t>
      </w:r>
      <w:r>
        <w:rPr>
          <w:sz w:val="24"/>
          <w:szCs w:val="24"/>
        </w:rPr>
        <w:t xml:space="preserve">Flôres</w:t>
      </w:r>
      <w:r>
        <w:rPr>
          <w:sz w:val="24"/>
          <w:szCs w:val="24"/>
        </w:rPr>
        <w:t xml:space="preserve">/RJ, </w:t>
      </w:r>
      <w:r>
        <w:rPr>
          <w:sz w:val="24"/>
          <w:szCs w:val="24"/>
        </w:rPr>
        <w:t xml:space="preserve">16</w:t>
      </w:r>
      <w:r>
        <w:rPr>
          <w:sz w:val="24"/>
          <w:szCs w:val="24"/>
        </w:rPr>
        <w:t xml:space="preserve"> de </w:t>
      </w:r>
      <w:r>
        <w:rPr>
          <w:sz w:val="24"/>
          <w:szCs w:val="24"/>
        </w:rPr>
        <w:t xml:space="preserve">setembro</w:t>
      </w:r>
      <w:r>
        <w:rPr>
          <w:sz w:val="24"/>
          <w:szCs w:val="24"/>
        </w:rPr>
        <w:t xml:space="preserve"> de 2026.</w:t>
      </w:r>
      <w:r>
        <w:rPr>
          <w:sz w:val="24"/>
          <w:szCs w:val="24"/>
        </w:rPr>
      </w:r>
    </w:p>
    <w:p>
      <w:pPr>
        <w:pBdr/>
        <w:tabs>
          <w:tab w:val="left" w:leader="none" w:pos="709"/>
          <w:tab w:val="left" w:leader="none" w:pos="1276"/>
          <w:tab w:val="left" w:leader="none" w:pos="1843"/>
        </w:tabs>
        <w:spacing w:after="0" w:before="0" w:line="280" w:lineRule="atLeast"/>
        <w:ind/>
        <w:rPr>
          <w:sz w:val="24"/>
          <w:szCs w:val="24"/>
        </w:rPr>
      </w:pPr>
      <w:r>
        <w:rPr>
          <w:sz w:val="24"/>
          <w:szCs w:val="24"/>
        </w:rPr>
      </w:r>
      <w:r>
        <w:rPr>
          <w:sz w:val="24"/>
          <w:szCs w:val="24"/>
        </w:rPr>
      </w:r>
    </w:p>
    <w:p>
      <w:pPr>
        <w:pStyle w:val="994"/>
        <w:pBdr/>
        <w:spacing w:after="0" w:before="0"/>
        <w:ind/>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Bdr/>
        <w:spacing/>
        <w:ind/>
        <w:jc w:val="center"/>
        <w:rPr>
          <w:rFonts w:cs="Arial"/>
          <w:b/>
          <w:sz w:val="24"/>
          <w:szCs w:val="24"/>
        </w:rPr>
      </w:pPr>
      <w:r>
        <w:rPr>
          <w:rFonts w:cs="Arial"/>
          <w:b/>
          <w:sz w:val="24"/>
          <w:szCs w:val="24"/>
        </w:rPr>
        <w:t xml:space="preserve">Mário Vasconcellos Fernandes</w:t>
      </w:r>
      <w:r>
        <w:rPr>
          <w:rFonts w:cs="Arial"/>
          <w:b/>
          <w:sz w:val="24"/>
          <w:szCs w:val="24"/>
        </w:rPr>
      </w:r>
    </w:p>
    <w:p>
      <w:pPr>
        <w:pBdr/>
        <w:spacing/>
        <w:ind/>
        <w:jc w:val="center"/>
        <w:rPr>
          <w:rFonts w:cs="Arial"/>
          <w:b/>
          <w:sz w:val="24"/>
          <w:szCs w:val="24"/>
        </w:rPr>
      </w:pPr>
      <w:r>
        <w:rPr>
          <w:rFonts w:cs="Arial"/>
          <w:b/>
          <w:sz w:val="24"/>
          <w:szCs w:val="24"/>
        </w:rPr>
        <w:t xml:space="preserve">Secretaria Municipal de Governo</w:t>
      </w:r>
      <w:r>
        <w:rPr>
          <w:rFonts w:cs="Arial"/>
          <w:b/>
          <w:sz w:val="24"/>
          <w:szCs w:val="24"/>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bCs/>
          <w:sz w:val="24"/>
          <w:szCs w:val="24"/>
        </w:rPr>
      </w:pPr>
      <w:r>
        <w:rPr>
          <w:rFonts w:cs="Arial"/>
          <w:b/>
          <w:bCs/>
          <w:sz w:val="24"/>
          <w:szCs w:val="24"/>
        </w:rPr>
        <w:t xml:space="preserve">Márcio Navarro Machado</w:t>
      </w:r>
      <w:r>
        <w:rPr>
          <w:rFonts w:cs="Arial"/>
          <w:b/>
          <w:bCs/>
          <w:sz w:val="24"/>
          <w:szCs w:val="24"/>
        </w:rPr>
      </w:r>
    </w:p>
    <w:p>
      <w:pPr>
        <w:pBdr/>
        <w:spacing/>
        <w:ind/>
        <w:jc w:val="center"/>
        <w:rPr>
          <w:rFonts w:cs="Arial"/>
          <w:b/>
          <w:sz w:val="24"/>
          <w:szCs w:val="24"/>
        </w:rPr>
      </w:pPr>
      <w:r>
        <w:rPr>
          <w:rFonts w:cs="Arial"/>
          <w:b/>
          <w:sz w:val="24"/>
          <w:szCs w:val="24"/>
        </w:rPr>
        <w:t xml:space="preserve">Secretaria Municipal de Agropecuária</w:t>
      </w:r>
      <w:r>
        <w:rPr>
          <w:rFonts w:cs="Arial"/>
          <w:b/>
          <w:sz w:val="24"/>
          <w:szCs w:val="24"/>
        </w:rPr>
      </w:r>
    </w:p>
    <w:p>
      <w:pPr>
        <w:pBdr/>
        <w:spacing w:line="360" w:lineRule="auto"/>
        <w:ind/>
        <w:jc w:val="center"/>
        <w:rPr>
          <w:b/>
          <w:sz w:val="24"/>
          <w:szCs w:val="24"/>
        </w:rPr>
      </w:pPr>
      <w:r>
        <w:rPr>
          <w:b/>
          <w:sz w:val="24"/>
          <w:szCs w:val="24"/>
        </w:rPr>
      </w:r>
      <w:r>
        <w:rPr>
          <w:b/>
          <w:sz w:val="24"/>
          <w:szCs w:val="24"/>
        </w:rPr>
      </w:r>
    </w:p>
    <w:p>
      <w:pPr>
        <w:pBdr/>
        <w:spacing/>
        <w:ind/>
        <w:jc w:val="center"/>
        <w:rPr>
          <w:rFonts w:cs="Arial"/>
          <w:b/>
          <w:sz w:val="24"/>
          <w:szCs w:val="24"/>
        </w:rPr>
      </w:pPr>
      <w:r>
        <w:rPr>
          <w:rFonts w:cs="Arial"/>
          <w:b/>
          <w:sz w:val="24"/>
          <w:szCs w:val="24"/>
        </w:rPr>
        <w:t xml:space="preserve">João Paulo Resende Cardoso</w:t>
      </w:r>
      <w:r>
        <w:rPr>
          <w:rFonts w:cs="Arial"/>
          <w:b/>
          <w:sz w:val="24"/>
          <w:szCs w:val="24"/>
        </w:rPr>
      </w:r>
    </w:p>
    <w:p>
      <w:pPr>
        <w:pBdr/>
        <w:spacing/>
        <w:ind/>
        <w:jc w:val="center"/>
        <w:rPr>
          <w:rFonts w:cs="Arial"/>
          <w:b/>
          <w:sz w:val="24"/>
          <w:szCs w:val="24"/>
        </w:rPr>
      </w:pPr>
      <w:r>
        <w:rPr>
          <w:rFonts w:cs="Arial"/>
          <w:b/>
          <w:sz w:val="24"/>
          <w:szCs w:val="24"/>
        </w:rPr>
        <w:t xml:space="preserve">Fundo Municipal de Assistência Social</w:t>
      </w:r>
      <w:r>
        <w:rPr>
          <w:rFonts w:cs="Arial"/>
          <w:b/>
          <w:sz w:val="24"/>
          <w:szCs w:val="24"/>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rPr>
      </w:pPr>
      <w:r>
        <w:rPr>
          <w:rFonts w:cs="Arial"/>
          <w:b/>
          <w:sz w:val="24"/>
          <w:szCs w:val="24"/>
        </w:rPr>
        <w:t xml:space="preserve">Bruno Luís Silva de Andrade </w:t>
      </w:r>
      <w:r>
        <w:rPr>
          <w:rFonts w:cs="Arial"/>
          <w:b/>
          <w:sz w:val="24"/>
          <w:szCs w:val="24"/>
        </w:rPr>
      </w:r>
    </w:p>
    <w:p>
      <w:pPr>
        <w:pBdr/>
        <w:spacing/>
        <w:ind/>
        <w:jc w:val="center"/>
        <w:rPr>
          <w:rFonts w:cs="Arial"/>
          <w:b/>
          <w:sz w:val="24"/>
          <w:szCs w:val="24"/>
        </w:rPr>
      </w:pPr>
      <w:r>
        <w:rPr>
          <w:rFonts w:cs="Arial"/>
          <w:b/>
          <w:sz w:val="24"/>
          <w:szCs w:val="24"/>
        </w:rPr>
        <w:t xml:space="preserve">Fundo Municipal de Habitação</w:t>
      </w:r>
      <w:r>
        <w:rPr>
          <w:rFonts w:cs="Arial"/>
          <w:b/>
          <w:sz w:val="24"/>
          <w:szCs w:val="24"/>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rPr>
      </w:pPr>
      <w:r>
        <w:rPr>
          <w:rFonts w:cs="Arial"/>
          <w:b/>
          <w:sz w:val="24"/>
          <w:szCs w:val="24"/>
        </w:rPr>
        <w:t xml:space="preserve">Marco Antônio de Almeida</w:t>
      </w:r>
      <w:r>
        <w:rPr>
          <w:rFonts w:cs="Arial"/>
          <w:b/>
          <w:sz w:val="24"/>
          <w:szCs w:val="24"/>
        </w:rPr>
      </w:r>
    </w:p>
    <w:p>
      <w:pPr>
        <w:pBdr/>
        <w:spacing/>
        <w:ind/>
        <w:jc w:val="center"/>
        <w:rPr>
          <w:rFonts w:cs="Arial"/>
          <w:b/>
          <w:sz w:val="24"/>
          <w:szCs w:val="24"/>
        </w:rPr>
      </w:pPr>
      <w:r>
        <w:rPr>
          <w:rFonts w:cs="Arial"/>
          <w:b/>
          <w:sz w:val="24"/>
          <w:szCs w:val="24"/>
        </w:rPr>
        <w:t xml:space="preserve">Secretaria Municipal de Obras e Serviços Públicos</w:t>
      </w:r>
      <w:r>
        <w:rPr>
          <w:rFonts w:cs="Arial"/>
          <w:b/>
          <w:sz w:val="24"/>
          <w:szCs w:val="24"/>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highlight w:val="yellow"/>
        </w:rPr>
      </w:pPr>
      <w:r>
        <w:rPr>
          <w:rFonts w:cs="Arial"/>
          <w:b/>
          <w:sz w:val="24"/>
          <w:szCs w:val="24"/>
          <w:highlight w:val="none"/>
        </w:rPr>
        <w:t xml:space="preserve">Lucas Lasneaux</w:t>
      </w:r>
      <w:r>
        <w:rPr>
          <w:rFonts w:cs="Arial"/>
          <w:b/>
          <w:sz w:val="24"/>
          <w:szCs w:val="24"/>
          <w:highlight w:val="none"/>
        </w:rPr>
        <w:t xml:space="preserve"> Dutra</w:t>
      </w:r>
      <w:r>
        <w:rPr>
          <w:rFonts w:cs="Arial"/>
          <w:b/>
          <w:sz w:val="24"/>
          <w:szCs w:val="24"/>
          <w:highlight w:val="yellow"/>
        </w:rPr>
      </w:r>
      <w:r>
        <w:rPr>
          <w:rFonts w:cs="Arial"/>
          <w:b/>
          <w:sz w:val="24"/>
          <w:szCs w:val="24"/>
          <w:highlight w:val="yellow"/>
        </w:rPr>
      </w:r>
    </w:p>
    <w:p>
      <w:pPr>
        <w:pBdr/>
        <w:spacing/>
        <w:ind/>
        <w:jc w:val="center"/>
        <w:rPr>
          <w:rFonts w:cs="Arial"/>
          <w:b/>
          <w:sz w:val="24"/>
          <w:szCs w:val="24"/>
          <w:highlight w:val="none"/>
        </w:rPr>
      </w:pPr>
      <w:r>
        <w:rPr>
          <w:rFonts w:cs="Arial"/>
          <w:b/>
          <w:sz w:val="24"/>
          <w:szCs w:val="24"/>
          <w:highlight w:val="none"/>
        </w:rPr>
        <w:t xml:space="preserve">Secretário Municipal de Planejamento</w:t>
      </w:r>
      <w:r>
        <w:rPr>
          <w:rFonts w:cs="Arial"/>
          <w:b/>
          <w:sz w:val="24"/>
          <w:szCs w:val="24"/>
          <w:highlight w:val="none"/>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rPr>
      </w:pPr>
      <w:r>
        <w:rPr>
          <w:rFonts w:cs="Arial"/>
          <w:b/>
          <w:sz w:val="24"/>
          <w:szCs w:val="24"/>
        </w:rPr>
        <w:t xml:space="preserve">Renata Santana de Almeida</w:t>
      </w:r>
      <w:r>
        <w:rPr>
          <w:rFonts w:cs="Arial"/>
          <w:b/>
          <w:sz w:val="24"/>
          <w:szCs w:val="24"/>
        </w:rPr>
      </w:r>
    </w:p>
    <w:p>
      <w:pPr>
        <w:pBdr/>
        <w:spacing/>
        <w:ind/>
        <w:jc w:val="center"/>
        <w:rPr>
          <w:rFonts w:cs="Arial"/>
          <w:b/>
          <w:sz w:val="24"/>
          <w:szCs w:val="24"/>
        </w:rPr>
      </w:pPr>
      <w:r>
        <w:rPr>
          <w:rFonts w:cs="Arial"/>
          <w:b/>
          <w:sz w:val="24"/>
          <w:szCs w:val="24"/>
        </w:rPr>
        <w:t xml:space="preserve">Fundo Municipal de Saúde</w:t>
      </w:r>
      <w:r>
        <w:rPr>
          <w:rFonts w:cs="Arial"/>
          <w:b/>
          <w:sz w:val="24"/>
          <w:szCs w:val="24"/>
        </w:rPr>
      </w:r>
    </w:p>
    <w:p>
      <w:pPr>
        <w:pBdr/>
        <w:spacing/>
        <w:ind/>
        <w:jc w:val="center"/>
        <w:rPr>
          <w:rFonts w:cs="Arial"/>
          <w:b/>
          <w:bCs/>
          <w:sz w:val="24"/>
          <w:szCs w:val="24"/>
        </w:rPr>
      </w:pPr>
      <w:r>
        <w:rPr>
          <w:rFonts w:cs="Arial"/>
          <w:b/>
          <w:bCs/>
          <w:sz w:val="24"/>
          <w:szCs w:val="24"/>
        </w:rPr>
      </w:r>
      <w:r>
        <w:rPr>
          <w:rFonts w:cs="Arial"/>
          <w:b/>
          <w:bCs/>
          <w:sz w:val="24"/>
          <w:szCs w:val="24"/>
        </w:rPr>
      </w:r>
    </w:p>
    <w:p>
      <w:pPr>
        <w:pBdr/>
        <w:spacing/>
        <w:ind/>
        <w:jc w:val="center"/>
        <w:rPr>
          <w:rFonts w:cs="Arial"/>
          <w:b/>
          <w:sz w:val="24"/>
          <w:szCs w:val="24"/>
        </w:rPr>
      </w:pPr>
      <w:r>
        <w:rPr>
          <w:rFonts w:cs="Arial"/>
          <w:b/>
          <w:sz w:val="24"/>
          <w:szCs w:val="24"/>
        </w:rPr>
        <w:t xml:space="preserve">Mauro Victor dos Santos</w:t>
      </w:r>
      <w:r>
        <w:rPr>
          <w:rFonts w:cs="Arial"/>
          <w:b/>
          <w:sz w:val="24"/>
          <w:szCs w:val="24"/>
        </w:rPr>
      </w:r>
    </w:p>
    <w:p>
      <w:pPr>
        <w:pBdr/>
        <w:spacing/>
        <w:ind/>
        <w:jc w:val="center"/>
        <w:rPr>
          <w:rFonts w:cs="Arial"/>
          <w:b/>
          <w:sz w:val="24"/>
          <w:szCs w:val="24"/>
        </w:rPr>
      </w:pPr>
      <w:r>
        <w:rPr>
          <w:rFonts w:cs="Arial"/>
          <w:b/>
          <w:sz w:val="24"/>
          <w:szCs w:val="24"/>
        </w:rPr>
        <w:t xml:space="preserve">Fundo Municipal Socioambiental</w:t>
      </w:r>
      <w:r>
        <w:rPr>
          <w:rFonts w:cs="Arial"/>
          <w:b/>
          <w:sz w:val="24"/>
          <w:szCs w:val="24"/>
        </w:rPr>
      </w:r>
    </w:p>
    <w:p>
      <w:pPr>
        <w:pBdr/>
        <w:spacing/>
        <w:ind/>
        <w:rPr>
          <w:rFonts w:cs="Arial"/>
        </w:rPr>
      </w:pPr>
      <w:r>
        <w:rPr>
          <w:rFonts w:cs="Arial"/>
        </w:rPr>
      </w:r>
      <w:r>
        <w:rPr>
          <w:rFonts w:cs="Arial"/>
        </w:rPr>
      </w:r>
    </w:p>
    <w:p>
      <w:pPr>
        <w:pStyle w:val="994"/>
        <w:pBdr/>
        <w:spacing w:after="0" w:before="0"/>
        <w:ind/>
        <w:rPr>
          <w:rFonts w:ascii="Arial" w:hAnsi="Arial"/>
          <w:sz w:val="24"/>
          <w:szCs w:val="24"/>
          <w:u w:val="none"/>
        </w:rPr>
      </w:pPr>
      <w:r>
        <w:rPr>
          <w:rFonts w:ascii="Arial" w:hAnsi="Arial"/>
          <w:sz w:val="24"/>
          <w:szCs w:val="24"/>
          <w:u w:val="none"/>
        </w:rPr>
      </w:r>
      <w:r>
        <w:rPr>
          <w:rFonts w:ascii="Arial" w:hAnsi="Arial"/>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tab/>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Style w:val="994"/>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p>
    <w:p>
      <w:pPr>
        <w:pBdr/>
        <w:tabs>
          <w:tab w:val="left" w:leader="none" w:pos="709"/>
          <w:tab w:val="left" w:leader="none" w:pos="1276"/>
          <w:tab w:val="left" w:leader="none" w:pos="1843"/>
        </w:tabs>
        <w:spacing w:after="480" w:line="280" w:lineRule="atLeast"/>
        <w:ind/>
        <w:jc w:val="center"/>
        <w:rPr>
          <w:b/>
          <w:sz w:val="24"/>
          <w:szCs w:val="24"/>
        </w:rPr>
      </w:pPr>
      <w:r>
        <w:rPr>
          <w:b/>
          <w:sz w:val="24"/>
          <w:szCs w:val="24"/>
        </w:rPr>
        <w:t xml:space="preserve">ANEXO I – TERMO DE REFERÊNCIA</w:t>
      </w:r>
      <w:r>
        <w:rPr>
          <w:rFonts w:cs="Arial"/>
          <w:b/>
          <w:color w:val="000000"/>
          <w:sz w:val="24"/>
          <w:szCs w:val="24"/>
        </w:rPr>
        <w:tab/>
      </w:r>
      <w:r>
        <w:rPr>
          <w:b/>
          <w:sz w:val="24"/>
          <w:szCs w:val="24"/>
        </w:rPr>
      </w:r>
    </w:p>
    <w:p>
      <w:pPr>
        <w:numPr>
          <w:ilvl w:val="0"/>
          <w:numId w:val="42"/>
        </w:numPr>
        <w:pBdr>
          <w:top w:val="none" w:color="000000" w:sz="4" w:space="0"/>
          <w:left w:val="none" w:color="000000" w:sz="4" w:space="0"/>
          <w:bottom w:val="none" w:color="000000" w:sz="4" w:space="0"/>
          <w:right w:val="none" w:color="000000" w:sz="4" w:space="0"/>
          <w:between w:val="none" w:color="000000" w:sz="4" w:space="0"/>
        </w:pBdr>
        <w:spacing w:line="360" w:lineRule="auto"/>
        <w:ind w:hanging="284" w:left="284"/>
        <w:rPr>
          <w:rFonts w:cs="Arial"/>
          <w:color w:val="000000"/>
          <w:sz w:val="24"/>
          <w:szCs w:val="24"/>
        </w:rPr>
      </w:pPr>
      <w:r>
        <w:rPr>
          <w:rFonts w:cs="Arial"/>
          <w:b/>
          <w:color w:val="000000"/>
          <w:sz w:val="24"/>
          <w:szCs w:val="24"/>
        </w:rPr>
        <w:t xml:space="preserve">DO OBJETO </w:t>
      </w:r>
      <w:r>
        <w:rPr>
          <w:rFonts w:cs="Arial"/>
          <w:color w:val="000000"/>
          <w:sz w:val="24"/>
          <w:szCs w:val="24"/>
        </w:rPr>
        <w:t xml:space="preserve">(</w:t>
      </w:r>
      <w:r>
        <w:rPr>
          <w:rFonts w:cs="Arial"/>
          <w:color w:val="00b050"/>
          <w:sz w:val="24"/>
          <w:szCs w:val="24"/>
        </w:rPr>
        <w:t xml:space="preserve">Art. 6º, XXIII, “a” da Lei 14.133/21)</w:t>
      </w:r>
      <w:r>
        <w:rPr>
          <w:rFonts w:cs="Arial"/>
          <w:color w:val="000000"/>
          <w:sz w:val="24"/>
          <w:szCs w:val="24"/>
        </w:rPr>
      </w:r>
    </w:p>
    <w:p>
      <w:pPr>
        <w:pStyle w:val="995"/>
        <w:widowControl w:val="false"/>
        <w:pBdr/>
        <w:tabs>
          <w:tab w:val="left" w:leader="none" w:pos="704"/>
          <w:tab w:val="left" w:leader="none" w:pos="1418"/>
        </w:tabs>
        <w:spacing w:line="276" w:lineRule="auto"/>
        <w:ind w:right="729" w:left="0"/>
        <w:contextualSpacing w:val="false"/>
        <w:rPr>
          <w:rFonts w:cs="Arial"/>
          <w:sz w:val="24"/>
          <w:szCs w:val="24"/>
        </w:rPr>
      </w:pPr>
      <w:r>
        <w:rPr>
          <w:rFonts w:cs="Arial"/>
          <w:sz w:val="24"/>
          <w:szCs w:val="24"/>
        </w:rPr>
        <w:tab/>
        <w:t xml:space="preserve">O presente Termo de Referência tem por objeto a futura e eventual contratação de empresa especializada em manutenção preventiva e corretiva da frota de veículos pertencentes a Prefeitura Municipal de Rio das </w:t>
      </w:r>
      <w:r>
        <w:rPr>
          <w:rFonts w:cs="Arial"/>
          <w:sz w:val="24"/>
          <w:szCs w:val="24"/>
        </w:rPr>
        <w:t xml:space="preserve">Flôres</w:t>
      </w:r>
      <w:r>
        <w:rPr>
          <w:rFonts w:cs="Arial"/>
          <w:sz w:val="24"/>
          <w:szCs w:val="24"/>
        </w:rPr>
        <w:t xml:space="preserve"> (Fundos/Secretarias Municipais</w:t>
      </w:r>
      <w:r>
        <w:rPr>
          <w:rFonts w:cs="Arial"/>
          <w:sz w:val="24"/>
          <w:szCs w:val="24"/>
        </w:rPr>
        <w:t xml:space="preserve">) ,</w:t>
      </w:r>
      <w:r>
        <w:rPr>
          <w:rFonts w:cs="Arial"/>
          <w:sz w:val="24"/>
          <w:szCs w:val="24"/>
        </w:rPr>
        <w:t xml:space="preserve"> movidos a Diesel/Gasolina, com mão de obra (hora/homem) e aplicação e fornecimento de peças e acessórios, através de Pregão Eletrônico, por meio de Registro de Preços pelo período de 12(doze) meses.</w:t>
      </w:r>
      <w:r>
        <w:rPr>
          <w:rFonts w:cs="Arial"/>
          <w:sz w:val="24"/>
          <w:szCs w:val="24"/>
        </w:rPr>
      </w:r>
    </w:p>
    <w:p>
      <w:pPr>
        <w:pStyle w:val="995"/>
        <w:widowControl w:val="false"/>
        <w:pBdr/>
        <w:tabs>
          <w:tab w:val="left" w:leader="none" w:pos="704"/>
          <w:tab w:val="left" w:leader="none" w:pos="1418"/>
        </w:tabs>
        <w:spacing/>
        <w:ind w:right="729" w:left="0"/>
        <w:contextualSpacing w:val="false"/>
        <w:rPr>
          <w:rFonts w:cs="Arial"/>
          <w:color w:val="000000"/>
          <w:sz w:val="24"/>
          <w:szCs w:val="24"/>
        </w:rPr>
      </w:pPr>
      <w:r>
        <w:rPr>
          <w:rFonts w:cs="Arial"/>
          <w:color w:val="000000"/>
          <w:sz w:val="24"/>
          <w:szCs w:val="24"/>
        </w:rPr>
      </w:r>
      <w:r>
        <w:rPr>
          <w:rFonts w:cs="Arial"/>
          <w:color w:val="000000"/>
          <w:sz w:val="24"/>
          <w:szCs w:val="24"/>
        </w:rPr>
      </w:r>
    </w:p>
    <w:p>
      <w:pPr>
        <w:pStyle w:val="995"/>
        <w:numPr>
          <w:ilvl w:val="1"/>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color w:val="000000"/>
          <w:sz w:val="24"/>
          <w:szCs w:val="24"/>
        </w:rPr>
      </w:pPr>
      <w:r>
        <w:rPr>
          <w:rFonts w:cs="Arial"/>
          <w:b/>
          <w:sz w:val="24"/>
          <w:szCs w:val="24"/>
        </w:rPr>
        <w:t xml:space="preserve">DOS ITENS E DA ESTIMATIVA DE PREÇOS:</w:t>
      </w:r>
      <w:r>
        <w:rPr>
          <w:rFonts w:cs="Arial"/>
          <w:color w:val="000000"/>
          <w:sz w:val="24"/>
          <w:szCs w:val="24"/>
        </w:rPr>
      </w:r>
    </w:p>
    <w:p>
      <w:pPr>
        <w:pBdr/>
        <w:tabs>
          <w:tab w:val="left" w:leader="none" w:pos="129"/>
          <w:tab w:val="left" w:leader="none" w:pos="5040"/>
        </w:tabs>
        <w:spacing w:line="360" w:lineRule="auto"/>
        <w:ind w:hanging="855"/>
        <w:rPr>
          <w:rFonts w:cs="Arial"/>
          <w:b/>
          <w:bCs/>
          <w:sz w:val="24"/>
          <w:szCs w:val="24"/>
        </w:rPr>
      </w:pPr>
      <w:r>
        <w:rPr>
          <w:rFonts w:cs="Arial"/>
          <w:sz w:val="24"/>
          <w:szCs w:val="24"/>
        </w:rPr>
        <w:tab/>
      </w:r>
      <w:r>
        <w:rPr>
          <w:rFonts w:cs="Arial"/>
          <w:b/>
          <w:sz w:val="24"/>
          <w:szCs w:val="24"/>
        </w:rPr>
        <w:t xml:space="preserve"> </w:t>
      </w:r>
      <w:r>
        <w:rPr>
          <w:rFonts w:cs="Arial"/>
          <w:b/>
          <w:bCs/>
          <w:sz w:val="24"/>
          <w:szCs w:val="24"/>
        </w:rPr>
      </w:r>
    </w:p>
    <w:tbl>
      <w:tblPr>
        <w:tblStyle w:val="1136"/>
        <w:tblW w:w="0" w:type="auto"/>
        <w:tblBorders/>
        <w:tblLayout w:type="fixed"/>
        <w:tblLook w:val="04A0" w:firstRow="1" w:lastRow="0" w:firstColumn="1" w:lastColumn="0" w:noHBand="0" w:noVBand="1"/>
      </w:tblPr>
      <w:tblGrid>
        <w:gridCol w:w="646"/>
        <w:gridCol w:w="683"/>
        <w:gridCol w:w="2624"/>
        <w:gridCol w:w="1515"/>
        <w:gridCol w:w="993"/>
        <w:gridCol w:w="1554"/>
        <w:gridCol w:w="1765"/>
      </w:tblGrid>
      <w:tr>
        <w:trPr>
          <w:trHeight w:val="37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6" w:type="dxa"/>
            <w:vAlign w:val="center"/>
            <w:vMerge w:val="restart"/>
            <w:textDirection w:val="btLr"/>
            <w:noWrap w:val="false"/>
          </w:tcPr>
          <w:p>
            <w:pPr>
              <w:pBdr/>
              <w:spacing/>
              <w:ind/>
              <w:jc w:val="center"/>
              <w:rPr/>
            </w:pPr>
            <w:r>
              <w:rPr>
                <w:rFonts w:ascii="Calibri" w:hAnsi="Calibri" w:eastAsia="Calibri" w:cs="Calibri"/>
                <w:b/>
                <w:color w:val="000000"/>
                <w:sz w:val="32"/>
              </w:rPr>
              <w:t xml:space="preserve">LOTE 1</w:t>
            </w:r>
            <w:r/>
          </w:p>
        </w:tc>
        <w:tc>
          <w:tcPr>
            <w:shd w:val="clear" w:color="ffff00" w:fill="ffff00"/>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3" w:type="dxa"/>
            <w:vAlign w:val="bottom"/>
            <w:textDirection w:val="lrTb"/>
            <w:noWrap w:val="false"/>
          </w:tcPr>
          <w:p>
            <w:pPr>
              <w:pBdr/>
              <w:spacing/>
              <w:ind/>
              <w:jc w:val="center"/>
              <w:rPr/>
            </w:pPr>
            <w:r>
              <w:rPr>
                <w:rFonts w:ascii="Calibri" w:hAnsi="Calibri" w:eastAsia="Calibri" w:cs="Calibri"/>
                <w:b/>
                <w:color w:val="000000"/>
                <w:sz w:val="24"/>
              </w:rPr>
              <w:t xml:space="preserve">ITEM</w:t>
            </w:r>
            <w:r/>
          </w:p>
        </w:tc>
        <w:tc>
          <w:tcPr>
            <w:shd w:val="clear" w:color="ffff00" w:fill="ffff00"/>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24" w:type="dxa"/>
            <w:vAlign w:val="bottom"/>
            <w:textDirection w:val="lrTb"/>
            <w:noWrap w:val="false"/>
          </w:tcPr>
          <w:p>
            <w:pPr>
              <w:pBdr/>
              <w:spacing/>
              <w:ind/>
              <w:jc w:val="center"/>
              <w:rPr/>
            </w:pPr>
            <w:r>
              <w:rPr>
                <w:rFonts w:ascii="Calibri" w:hAnsi="Calibri" w:eastAsia="Calibri" w:cs="Calibri"/>
                <w:b/>
                <w:color w:val="000000"/>
                <w:sz w:val="24"/>
              </w:rPr>
              <w:t xml:space="preserve">DESCRIÇÃO</w:t>
            </w:r>
            <w:r/>
          </w:p>
        </w:tc>
        <w:tc>
          <w:tcPr>
            <w:shd w:val="clear" w:color="ffff00" w:fill="ffff00"/>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5" w:type="dxa"/>
            <w:vAlign w:val="center"/>
            <w:textDirection w:val="lrTb"/>
            <w:noWrap w:val="false"/>
          </w:tcPr>
          <w:p>
            <w:pPr>
              <w:pBdr/>
              <w:spacing/>
              <w:ind/>
              <w:jc w:val="center"/>
              <w:rPr/>
            </w:pPr>
            <w:r>
              <w:rPr>
                <w:rFonts w:ascii="Calibri" w:hAnsi="Calibri" w:eastAsia="Calibri" w:cs="Calibri"/>
                <w:b/>
                <w:color w:val="000000"/>
                <w:sz w:val="24"/>
              </w:rPr>
              <w:t xml:space="preserve">QUANTIDADE</w:t>
            </w:r>
            <w:r/>
          </w:p>
        </w:tc>
        <w:tc>
          <w:tcPr>
            <w:shd w:val="clear" w:color="ffff00" w:fill="ffff00"/>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3" w:type="dxa"/>
            <w:vAlign w:val="bottom"/>
            <w:textDirection w:val="lrTb"/>
            <w:noWrap w:val="false"/>
          </w:tcPr>
          <w:p>
            <w:pPr>
              <w:pBdr/>
              <w:spacing/>
              <w:ind/>
              <w:jc w:val="center"/>
              <w:rPr/>
            </w:pPr>
            <w:r>
              <w:rPr>
                <w:rFonts w:ascii="Calibri" w:hAnsi="Calibri" w:eastAsia="Calibri" w:cs="Calibri"/>
                <w:b/>
                <w:color w:val="000000"/>
                <w:sz w:val="24"/>
              </w:rPr>
              <w:t xml:space="preserve">UNIDADE</w:t>
            </w:r>
            <w:r/>
          </w:p>
        </w:tc>
        <w:tc>
          <w:tcPr>
            <w:shd w:val="clear" w:color="ffff00" w:fill="ffff00"/>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4" w:type="dxa"/>
            <w:vAlign w:val="bottom"/>
            <w:textDirection w:val="lrTb"/>
            <w:noWrap w:val="false"/>
          </w:tcPr>
          <w:p>
            <w:pPr>
              <w:pBdr/>
              <w:spacing/>
              <w:ind/>
              <w:jc w:val="center"/>
              <w:rPr/>
            </w:pPr>
            <w:r>
              <w:rPr>
                <w:rFonts w:ascii="Calibri" w:hAnsi="Calibri" w:eastAsia="Calibri" w:cs="Calibri"/>
                <w:b/>
                <w:color w:val="000000"/>
                <w:sz w:val="24"/>
              </w:rPr>
              <w:t xml:space="preserve">VALOR UNITÁRIO</w:t>
            </w:r>
            <w:r/>
          </w:p>
        </w:tc>
        <w:tc>
          <w:tcPr>
            <w:shd w:val="clear" w:color="ffff00" w:fill="ffff00"/>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4" w:type="dxa"/>
            <w:vAlign w:val="bottom"/>
            <w:textDirection w:val="lrTb"/>
            <w:noWrap w:val="false"/>
          </w:tcPr>
          <w:p>
            <w:pPr>
              <w:pBdr/>
              <w:spacing/>
              <w:ind/>
              <w:jc w:val="center"/>
              <w:rPr/>
            </w:pPr>
            <w:r>
              <w:rPr>
                <w:rFonts w:ascii="Calibri" w:hAnsi="Calibri" w:eastAsia="Calibri" w:cs="Calibri"/>
                <w:b/>
                <w:color w:val="000000"/>
                <w:sz w:val="24"/>
              </w:rPr>
              <w:t xml:space="preserve">VALOR TOTAL</w:t>
            </w:r>
            <w:r/>
          </w:p>
        </w:tc>
      </w:tr>
      <w:tr>
        <w:trPr>
          <w:trHeight w:val="52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6" w:type="dxa"/>
            <w:vAlign w:val="center"/>
            <w:vMerge w:val="continue"/>
            <w:textDirection w:val="btLr"/>
            <w:noWrap w:val="false"/>
          </w:tcPr>
          <w:p>
            <w:pPr>
              <w:pBdr/>
              <w:spacing/>
              <w:ind/>
              <w:jc w:val="center"/>
              <w:rPr/>
            </w:p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3" w:type="dxa"/>
            <w:vAlign w:val="bottom"/>
            <w:textDirection w:val="lrTb"/>
            <w:noWrap w:val="false"/>
          </w:tcPr>
          <w:p>
            <w:pPr>
              <w:pBdr/>
              <w:spacing/>
              <w:ind/>
              <w:jc w:val="center"/>
              <w:rPr/>
            </w:pPr>
            <w:r>
              <w:rPr>
                <w:rFonts w:ascii="Calibri" w:hAnsi="Calibri" w:eastAsia="Calibri" w:cs="Calibri"/>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24" w:type="dxa"/>
            <w:vAlign w:val="bottom"/>
            <w:textDirection w:val="lrTb"/>
            <w:noWrap w:val="false"/>
          </w:tcPr>
          <w:p>
            <w:pPr>
              <w:pBdr/>
              <w:spacing/>
              <w:ind/>
              <w:jc w:val="left"/>
              <w:rPr/>
            </w:pPr>
            <w:r>
              <w:rPr>
                <w:rFonts w:ascii="Calibri" w:hAnsi="Calibri" w:eastAsia="Calibri" w:cs="Calibri"/>
                <w:color w:val="000000"/>
                <w:sz w:val="22"/>
              </w:rPr>
              <w:t xml:space="preserve">Serviço de mão de obra para manutenção de veículos e máquinas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5" w:type="dxa"/>
            <w:vAlign w:val="bottom"/>
            <w:textDirection w:val="lrTb"/>
            <w:noWrap w:val="false"/>
          </w:tcPr>
          <w:p>
            <w:pPr>
              <w:pBdr/>
              <w:spacing/>
              <w:ind/>
              <w:jc w:val="center"/>
              <w:rPr/>
            </w:pPr>
            <w:r>
              <w:rPr>
                <w:rFonts w:ascii="Calibri" w:hAnsi="Calibri" w:eastAsia="Calibri" w:cs="Calibri"/>
                <w:color w:val="000000"/>
                <w:sz w:val="22"/>
              </w:rPr>
              <w:t xml:space="preserve">465,24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3" w:type="dxa"/>
            <w:vAlign w:val="bottom"/>
            <w:textDirection w:val="lrTb"/>
            <w:noWrap w:val="false"/>
          </w:tcPr>
          <w:p>
            <w:pPr>
              <w:pBdr/>
              <w:spacing/>
              <w:ind/>
              <w:jc w:val="center"/>
              <w:rPr/>
            </w:pPr>
            <w:r>
              <w:rPr>
                <w:rFonts w:ascii="Calibri" w:hAnsi="Calibri" w:eastAsia="Calibri" w:cs="Calibri"/>
                <w:color w:val="000000"/>
                <w:sz w:val="22"/>
              </w:rPr>
              <w:t xml:space="preserve">H/S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4" w:type="dxa"/>
            <w:vAlign w:val="bottom"/>
            <w:textDirection w:val="lrTb"/>
            <w:noWrap w:val="false"/>
          </w:tcPr>
          <w:p>
            <w:pPr>
              <w:pBdr/>
              <w:spacing/>
              <w:ind/>
              <w:jc w:val="center"/>
              <w:rPr/>
            </w:pPr>
            <w:r>
              <w:rPr>
                <w:rFonts w:ascii="Calibri" w:hAnsi="Calibri" w:eastAsia="Calibri" w:cs="Calibri"/>
                <w:color w:val="000000"/>
                <w:sz w:val="22"/>
              </w:rPr>
              <w:t xml:space="preserve">R$ 345,54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4" w:type="dxa"/>
            <w:vAlign w:val="bottom"/>
            <w:textDirection w:val="lrTb"/>
            <w:noWrap w:val="false"/>
          </w:tcPr>
          <w:p>
            <w:pPr>
              <w:pBdr/>
              <w:spacing/>
              <w:ind/>
              <w:jc w:val="center"/>
              <w:rPr/>
            </w:pPr>
            <w:r>
              <w:rPr>
                <w:rFonts w:ascii="Calibri" w:hAnsi="Calibri" w:eastAsia="Calibri" w:cs="Calibri"/>
                <w:color w:val="000000"/>
                <w:sz w:val="22"/>
              </w:rPr>
              <w:t xml:space="preserve">R$ 160.758,00</w:t>
            </w:r>
            <w:r/>
          </w:p>
        </w:tc>
      </w:tr>
      <w:tr>
        <w:trPr>
          <w:trHeight w:val="46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6" w:type="dxa"/>
            <w:vAlign w:val="center"/>
            <w:vMerge w:val="continue"/>
            <w:textDirection w:val="btLr"/>
            <w:noWrap w:val="false"/>
          </w:tcPr>
          <w:p>
            <w:pPr>
              <w:pBdr/>
              <w:spacing/>
              <w:ind/>
              <w:jc w:val="center"/>
              <w:rPr/>
            </w:p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3" w:type="dxa"/>
            <w:vAlign w:val="bottom"/>
            <w:textDirection w:val="lrTb"/>
            <w:noWrap w:val="false"/>
          </w:tcPr>
          <w:p>
            <w:pPr>
              <w:pBdr/>
              <w:spacing/>
              <w:ind/>
              <w:jc w:val="center"/>
              <w:rPr/>
            </w:pPr>
            <w:r>
              <w:rPr>
                <w:rFonts w:ascii="Calibri" w:hAnsi="Calibri" w:eastAsia="Calibri" w:cs="Calibri"/>
                <w:color w:val="000000"/>
                <w:sz w:val="22"/>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24" w:type="dxa"/>
            <w:vAlign w:val="bottom"/>
            <w:textDirection w:val="lrTb"/>
            <w:noWrap w:val="false"/>
          </w:tcPr>
          <w:p>
            <w:pPr>
              <w:pBdr/>
              <w:spacing/>
              <w:ind/>
              <w:jc w:val="left"/>
              <w:rPr/>
            </w:pPr>
            <w:r>
              <w:rPr>
                <w:rFonts w:ascii="Calibri" w:hAnsi="Calibri" w:eastAsia="Calibri" w:cs="Calibri"/>
                <w:color w:val="000000"/>
                <w:sz w:val="22"/>
              </w:rPr>
              <w:t xml:space="preserve">Peças de reposição e materiais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5" w:type="dxa"/>
            <w:vAlign w:val="bottom"/>
            <w:textDirection w:val="lrTb"/>
            <w:noWrap w:val="false"/>
          </w:tcPr>
          <w:p>
            <w:pPr>
              <w:pBdr/>
              <w:spacing/>
              <w:ind/>
              <w:jc w:val="center"/>
              <w:rPr/>
            </w:pPr>
            <w:r>
              <w:rPr>
                <w:rFonts w:ascii="Calibri" w:hAnsi="Calibri" w:eastAsia="Calibri" w:cs="Calibri"/>
                <w:color w:val="000000"/>
                <w:sz w:val="22"/>
              </w:rPr>
              <w:t xml:space="preserve">21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3" w:type="dxa"/>
            <w:vAlign w:val="bottom"/>
            <w:textDirection w:val="lrTb"/>
            <w:noWrap w:val="false"/>
          </w:tcPr>
          <w:p>
            <w:pPr>
              <w:pBdr/>
              <w:spacing/>
              <w:ind/>
              <w:jc w:val="center"/>
              <w:rPr/>
            </w:pPr>
            <w:r>
              <w:rPr>
                <w:rFonts w:ascii="Calibri" w:hAnsi="Calibri" w:eastAsia="Calibri" w:cs="Calibri"/>
                <w:color w:val="000000"/>
                <w:sz w:val="22"/>
              </w:rPr>
              <w:t xml:space="preserve">VEÍCULO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4" w:type="dxa"/>
            <w:vAlign w:val="bottom"/>
            <w:textDirection w:val="lrTb"/>
            <w:noWrap w:val="false"/>
          </w:tcPr>
          <w:p>
            <w:pPr>
              <w:pBdr/>
              <w:spacing/>
              <w:ind/>
              <w:jc w:val="center"/>
              <w:rPr/>
            </w:pPr>
            <w:r>
              <w:rPr>
                <w:rFonts w:ascii="Calibri" w:hAnsi="Calibri" w:eastAsia="Calibri" w:cs="Calibri"/>
                <w:color w:val="000000"/>
                <w:sz w:val="22"/>
              </w:rPr>
              <w:t xml:space="preserve">R$ 17.862,00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4" w:type="dxa"/>
            <w:vAlign w:val="bottom"/>
            <w:textDirection w:val="lrTb"/>
            <w:noWrap w:val="false"/>
          </w:tcPr>
          <w:p>
            <w:pPr>
              <w:pBdr/>
              <w:spacing/>
              <w:ind/>
              <w:jc w:val="center"/>
              <w:rPr/>
            </w:pPr>
            <w:r>
              <w:rPr>
                <w:rFonts w:ascii="Calibri" w:hAnsi="Calibri" w:eastAsia="Calibri" w:cs="Calibri"/>
                <w:color w:val="000000"/>
                <w:sz w:val="22"/>
              </w:rPr>
              <w:t xml:space="preserve">R$ 375.102,00</w:t>
            </w:r>
            <w:r/>
          </w:p>
        </w:tc>
      </w:tr>
      <w:tr>
        <w:trPr>
          <w:trHeight w:val="300"/>
        </w:trPr>
        <w:tc>
          <w:tcPr>
            <w:gridSpan w:val="6"/>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014" w:type="dxa"/>
            <w:vAlign w:val="bottom"/>
            <w:textDirection w:val="lrTb"/>
            <w:noWrap w:val="false"/>
          </w:tcPr>
          <w:p>
            <w:pPr>
              <w:pBdr/>
              <w:spacing/>
              <w:ind/>
              <w:jc w:val="center"/>
              <w:rPr/>
            </w:pPr>
            <w:r>
              <w:rPr>
                <w:rFonts w:ascii="Calibri" w:hAnsi="Calibri" w:eastAsia="Calibri" w:cs="Calibri"/>
                <w:b/>
                <w:color w:val="000000"/>
                <w:sz w:val="22"/>
              </w:rPr>
              <w:t xml:space="preserve">TOTAL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4" w:type="dxa"/>
            <w:vAlign w:val="bottom"/>
            <w:textDirection w:val="lrTb"/>
            <w:noWrap w:val="false"/>
          </w:tcPr>
          <w:p>
            <w:pPr>
              <w:pBdr/>
              <w:spacing/>
              <w:ind/>
              <w:jc w:val="center"/>
              <w:rPr/>
            </w:pPr>
            <w:r>
              <w:rPr>
                <w:rFonts w:ascii="Calibri" w:hAnsi="Calibri" w:eastAsia="Calibri" w:cs="Calibri"/>
                <w:color w:val="000000"/>
                <w:sz w:val="22"/>
              </w:rPr>
              <w:t xml:space="preserve">R$ 535.860,00</w:t>
            </w:r>
            <w:r/>
          </w:p>
        </w:tc>
      </w:tr>
      <w:tr>
        <w:trPr>
          <w:trHeight w:val="33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6" w:type="dxa"/>
            <w:vAlign w:val="center"/>
            <w:vMerge w:val="restart"/>
            <w:textDirection w:val="btLr"/>
            <w:noWrap w:val="false"/>
          </w:tcPr>
          <w:p>
            <w:pPr>
              <w:pBdr/>
              <w:spacing/>
              <w:ind/>
              <w:jc w:val="center"/>
              <w:rPr/>
            </w:pPr>
            <w:r>
              <w:rPr>
                <w:rFonts w:ascii="Calibri" w:hAnsi="Calibri" w:eastAsia="Calibri" w:cs="Calibri"/>
                <w:b/>
                <w:color w:val="000000"/>
                <w:sz w:val="32"/>
              </w:rPr>
              <w:t xml:space="preserve">LOTE 2</w:t>
            </w:r>
            <w:r/>
          </w:p>
        </w:tc>
        <w:tc>
          <w:tcPr>
            <w:shd w:val="clear" w:color="49f00c" w:fill="49f00c"/>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3" w:type="dxa"/>
            <w:vAlign w:val="bottom"/>
            <w:textDirection w:val="lrTb"/>
            <w:noWrap w:val="false"/>
          </w:tcPr>
          <w:p>
            <w:pPr>
              <w:pBdr/>
              <w:spacing/>
              <w:ind/>
              <w:jc w:val="center"/>
              <w:rPr/>
            </w:pPr>
            <w:r>
              <w:rPr>
                <w:rFonts w:ascii="Calibri" w:hAnsi="Calibri" w:eastAsia="Calibri" w:cs="Calibri"/>
                <w:b/>
                <w:color w:val="000000"/>
                <w:sz w:val="24"/>
              </w:rPr>
              <w:t xml:space="preserve">ITEM</w:t>
            </w:r>
            <w:r/>
          </w:p>
        </w:tc>
        <w:tc>
          <w:tcPr>
            <w:shd w:val="clear" w:color="49f00c" w:fill="49f00c"/>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624" w:type="dxa"/>
            <w:vAlign w:val="bottom"/>
            <w:textDirection w:val="lrTb"/>
            <w:noWrap w:val="false"/>
          </w:tcPr>
          <w:p>
            <w:pPr>
              <w:pBdr/>
              <w:spacing/>
              <w:ind/>
              <w:jc w:val="center"/>
              <w:rPr/>
            </w:pPr>
            <w:r>
              <w:rPr>
                <w:rFonts w:ascii="Calibri" w:hAnsi="Calibri" w:eastAsia="Calibri" w:cs="Calibri"/>
                <w:b/>
                <w:color w:val="000000"/>
                <w:sz w:val="24"/>
              </w:rPr>
              <w:t xml:space="preserve">DESCRIÇÃO</w:t>
            </w:r>
            <w:r/>
          </w:p>
        </w:tc>
        <w:tc>
          <w:tcPr>
            <w:shd w:val="clear" w:color="49f00c" w:fill="49f00c"/>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5" w:type="dxa"/>
            <w:vAlign w:val="center"/>
            <w:textDirection w:val="lrTb"/>
            <w:noWrap w:val="false"/>
          </w:tcPr>
          <w:p>
            <w:pPr>
              <w:pBdr/>
              <w:spacing/>
              <w:ind/>
              <w:jc w:val="center"/>
              <w:rPr/>
            </w:pPr>
            <w:r>
              <w:rPr>
                <w:rFonts w:ascii="Calibri" w:hAnsi="Calibri" w:eastAsia="Calibri" w:cs="Calibri"/>
                <w:b/>
                <w:color w:val="000000"/>
                <w:sz w:val="24"/>
              </w:rPr>
              <w:t xml:space="preserve">QUANTIDADE</w:t>
            </w:r>
            <w:r/>
          </w:p>
        </w:tc>
        <w:tc>
          <w:tcPr>
            <w:shd w:val="clear" w:color="49f00c" w:fill="49f00c"/>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3" w:type="dxa"/>
            <w:vAlign w:val="bottom"/>
            <w:textDirection w:val="lrTb"/>
            <w:noWrap w:val="false"/>
          </w:tcPr>
          <w:p>
            <w:pPr>
              <w:pBdr/>
              <w:spacing/>
              <w:ind/>
              <w:jc w:val="center"/>
              <w:rPr/>
            </w:pPr>
            <w:r>
              <w:rPr>
                <w:rFonts w:ascii="Calibri" w:hAnsi="Calibri" w:eastAsia="Calibri" w:cs="Calibri"/>
                <w:b/>
                <w:color w:val="000000"/>
                <w:sz w:val="24"/>
              </w:rPr>
              <w:t xml:space="preserve">UNIDADE</w:t>
            </w:r>
            <w:r/>
          </w:p>
        </w:tc>
        <w:tc>
          <w:tcPr>
            <w:shd w:val="clear" w:color="49f00c" w:fill="49f00c"/>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4" w:type="dxa"/>
            <w:vAlign w:val="bottom"/>
            <w:textDirection w:val="lrTb"/>
            <w:noWrap w:val="false"/>
          </w:tcPr>
          <w:p>
            <w:pPr>
              <w:pBdr/>
              <w:spacing/>
              <w:ind/>
              <w:jc w:val="center"/>
              <w:rPr/>
            </w:pPr>
            <w:r>
              <w:rPr>
                <w:rFonts w:ascii="Calibri" w:hAnsi="Calibri" w:eastAsia="Calibri" w:cs="Calibri"/>
                <w:b/>
                <w:color w:val="000000"/>
                <w:sz w:val="24"/>
              </w:rPr>
              <w:t xml:space="preserve">VALOR UNITÁRIO</w:t>
            </w:r>
            <w:r/>
          </w:p>
        </w:tc>
        <w:tc>
          <w:tcPr>
            <w:shd w:val="clear" w:color="49f00c" w:fill="49f00c"/>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4" w:type="dxa"/>
            <w:vAlign w:val="bottom"/>
            <w:textDirection w:val="lrTb"/>
            <w:noWrap w:val="false"/>
          </w:tcPr>
          <w:p>
            <w:pPr>
              <w:pBdr/>
              <w:spacing/>
              <w:ind/>
              <w:jc w:val="center"/>
              <w:rPr/>
            </w:pPr>
            <w:r>
              <w:rPr>
                <w:rFonts w:ascii="Calibri" w:hAnsi="Calibri" w:eastAsia="Calibri" w:cs="Calibri"/>
                <w:b/>
                <w:color w:val="000000"/>
                <w:sz w:val="24"/>
              </w:rPr>
              <w:t xml:space="preserve">VALOR TOTAL</w:t>
            </w:r>
            <w:r/>
          </w:p>
        </w:tc>
      </w:tr>
      <w:tr>
        <w:trPr>
          <w:trHeight w:val="5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6" w:type="dxa"/>
            <w:vAlign w:val="center"/>
            <w:vMerge w:val="continue"/>
            <w:textDirection w:val="btLr"/>
            <w:noWrap w:val="false"/>
          </w:tcPr>
          <w:p>
            <w:pPr>
              <w:pBdr/>
              <w:spacing/>
              <w:ind/>
              <w:jc w:val="center"/>
              <w:rPr/>
            </w:p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3" w:type="dxa"/>
            <w:vAlign w:val="bottom"/>
            <w:textDirection w:val="lrTb"/>
            <w:noWrap w:val="false"/>
          </w:tcPr>
          <w:p>
            <w:pPr>
              <w:pBdr/>
              <w:spacing/>
              <w:ind/>
              <w:jc w:val="center"/>
              <w:rPr/>
            </w:pPr>
            <w:r>
              <w:rPr>
                <w:rFonts w:ascii="Calibri" w:hAnsi="Calibri" w:eastAsia="Calibri" w:cs="Calibri"/>
                <w:color w:val="000000"/>
                <w:sz w:val="22"/>
              </w:rPr>
              <w:t xml:space="preserve">1</w:t>
            </w:r>
            <w:r/>
          </w:p>
        </w:tc>
        <w:tc>
          <w:tcPr>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624" w:type="dxa"/>
            <w:vAlign w:val="bottom"/>
            <w:textDirection w:val="lrTb"/>
            <w:noWrap w:val="false"/>
          </w:tcPr>
          <w:p>
            <w:pPr>
              <w:pBdr/>
              <w:spacing/>
              <w:ind/>
              <w:jc w:val="left"/>
              <w:rPr/>
            </w:pPr>
            <w:r>
              <w:rPr>
                <w:rFonts w:ascii="Calibri" w:hAnsi="Calibri" w:eastAsia="Calibri" w:cs="Calibri"/>
                <w:color w:val="000000"/>
                <w:sz w:val="22"/>
              </w:rPr>
              <w:t xml:space="preserve">Serviço de mão de obra para manutenção de veículos e máquinas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5" w:type="dxa"/>
            <w:vAlign w:val="bottom"/>
            <w:textDirection w:val="lrTb"/>
            <w:noWrap w:val="false"/>
          </w:tcPr>
          <w:p>
            <w:pPr>
              <w:pBdr/>
              <w:spacing/>
              <w:ind/>
              <w:jc w:val="center"/>
              <w:rPr/>
            </w:pPr>
            <w:r>
              <w:rPr>
                <w:rFonts w:ascii="Calibri" w:hAnsi="Calibri" w:eastAsia="Calibri" w:cs="Calibri"/>
                <w:color w:val="000000"/>
                <w:sz w:val="22"/>
              </w:rPr>
              <w:t xml:space="preserve">1.670,68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3" w:type="dxa"/>
            <w:vAlign w:val="bottom"/>
            <w:textDirection w:val="lrTb"/>
            <w:noWrap w:val="false"/>
          </w:tcPr>
          <w:p>
            <w:pPr>
              <w:pBdr/>
              <w:spacing/>
              <w:ind/>
              <w:jc w:val="center"/>
              <w:rPr/>
            </w:pPr>
            <w:r>
              <w:rPr>
                <w:rFonts w:ascii="Calibri" w:hAnsi="Calibri" w:eastAsia="Calibri" w:cs="Calibri"/>
                <w:color w:val="000000"/>
                <w:sz w:val="22"/>
              </w:rPr>
              <w:t xml:space="preserve">H/S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4" w:type="dxa"/>
            <w:vAlign w:val="bottom"/>
            <w:textDirection w:val="lrTb"/>
            <w:noWrap w:val="false"/>
          </w:tcPr>
          <w:p>
            <w:pPr>
              <w:pBdr/>
              <w:spacing/>
              <w:ind/>
              <w:jc w:val="center"/>
              <w:rPr/>
            </w:pPr>
            <w:r>
              <w:rPr>
                <w:rFonts w:ascii="Calibri" w:hAnsi="Calibri" w:eastAsia="Calibri" w:cs="Calibri"/>
                <w:color w:val="000000"/>
                <w:sz w:val="22"/>
              </w:rPr>
              <w:t xml:space="preserve">R$ 345,54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4" w:type="dxa"/>
            <w:vAlign w:val="bottom"/>
            <w:textDirection w:val="lrTb"/>
            <w:noWrap w:val="false"/>
          </w:tcPr>
          <w:p>
            <w:pPr>
              <w:pBdr/>
              <w:spacing/>
              <w:ind/>
              <w:jc w:val="center"/>
              <w:rPr/>
            </w:pPr>
            <w:r>
              <w:rPr>
                <w:rFonts w:ascii="Calibri" w:hAnsi="Calibri" w:eastAsia="Calibri" w:cs="Calibri"/>
                <w:color w:val="000000"/>
                <w:sz w:val="22"/>
              </w:rPr>
              <w:t xml:space="preserve">R$ 577.286,85</w:t>
            </w:r>
            <w:r/>
          </w:p>
        </w:tc>
      </w:tr>
      <w:tr>
        <w:trPr>
          <w:trHeight w:val="49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6" w:type="dxa"/>
            <w:vAlign w:val="center"/>
            <w:vMerge w:val="continue"/>
            <w:textDirection w:val="btLr"/>
            <w:noWrap w:val="false"/>
          </w:tcPr>
          <w:p>
            <w:pPr>
              <w:pBdr/>
              <w:spacing/>
              <w:ind/>
              <w:jc w:val="center"/>
              <w:rPr/>
            </w:p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3" w:type="dxa"/>
            <w:vAlign w:val="bottom"/>
            <w:textDirection w:val="lrTb"/>
            <w:noWrap w:val="false"/>
          </w:tcPr>
          <w:p>
            <w:pPr>
              <w:pBdr/>
              <w:spacing/>
              <w:ind/>
              <w:jc w:val="center"/>
              <w:rPr/>
            </w:pPr>
            <w:r>
              <w:rPr>
                <w:rFonts w:ascii="Calibri" w:hAnsi="Calibri" w:eastAsia="Calibri" w:cs="Calibri"/>
                <w:color w:val="000000"/>
                <w:sz w:val="22"/>
              </w:rPr>
              <w:t xml:space="preserve">2</w:t>
            </w:r>
            <w:r/>
          </w:p>
        </w:tc>
        <w:tc>
          <w:tcPr>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624" w:type="dxa"/>
            <w:vAlign w:val="bottom"/>
            <w:textDirection w:val="lrTb"/>
            <w:noWrap w:val="false"/>
          </w:tcPr>
          <w:p>
            <w:pPr>
              <w:pBdr/>
              <w:spacing/>
              <w:ind/>
              <w:jc w:val="left"/>
              <w:rPr/>
            </w:pPr>
            <w:r>
              <w:rPr>
                <w:rFonts w:ascii="Calibri" w:hAnsi="Calibri" w:eastAsia="Calibri" w:cs="Calibri"/>
                <w:color w:val="000000"/>
                <w:sz w:val="22"/>
              </w:rPr>
              <w:t xml:space="preserve">Peças de reposição e materiais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5" w:type="dxa"/>
            <w:vAlign w:val="bottom"/>
            <w:textDirection w:val="lrTb"/>
            <w:noWrap w:val="false"/>
          </w:tcPr>
          <w:p>
            <w:pPr>
              <w:pBdr/>
              <w:spacing/>
              <w:ind/>
              <w:jc w:val="center"/>
              <w:rPr/>
            </w:pPr>
            <w:r>
              <w:rPr>
                <w:rFonts w:ascii="Calibri" w:hAnsi="Calibri" w:eastAsia="Calibri" w:cs="Calibri"/>
                <w:color w:val="000000"/>
                <w:sz w:val="22"/>
              </w:rPr>
              <w:t xml:space="preserve">26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3" w:type="dxa"/>
            <w:vAlign w:val="bottom"/>
            <w:textDirection w:val="lrTb"/>
            <w:noWrap w:val="false"/>
          </w:tcPr>
          <w:p>
            <w:pPr>
              <w:pBdr/>
              <w:spacing/>
              <w:ind/>
              <w:jc w:val="center"/>
              <w:rPr/>
            </w:pPr>
            <w:r>
              <w:rPr>
                <w:rFonts w:ascii="Calibri" w:hAnsi="Calibri" w:eastAsia="Calibri" w:cs="Calibri"/>
                <w:color w:val="000000"/>
                <w:sz w:val="22"/>
              </w:rPr>
              <w:t xml:space="preserve">VEÍCULO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4" w:type="dxa"/>
            <w:vAlign w:val="bottom"/>
            <w:textDirection w:val="lrTb"/>
            <w:noWrap w:val="false"/>
          </w:tcPr>
          <w:p>
            <w:pPr>
              <w:pBdr/>
              <w:spacing/>
              <w:ind/>
              <w:jc w:val="center"/>
              <w:rPr/>
            </w:pPr>
            <w:r>
              <w:rPr>
                <w:rFonts w:ascii="Calibri" w:hAnsi="Calibri" w:eastAsia="Calibri" w:cs="Calibri"/>
                <w:color w:val="000000"/>
                <w:sz w:val="22"/>
              </w:rPr>
              <w:t xml:space="preserve">R$ 51.807,79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4" w:type="dxa"/>
            <w:vAlign w:val="bottom"/>
            <w:textDirection w:val="lrTb"/>
            <w:noWrap w:val="false"/>
          </w:tcPr>
          <w:p>
            <w:pPr>
              <w:pBdr/>
              <w:spacing/>
              <w:ind/>
              <w:jc w:val="center"/>
              <w:rPr/>
            </w:pPr>
            <w:r>
              <w:rPr>
                <w:rFonts w:ascii="Calibri" w:hAnsi="Calibri" w:eastAsia="Calibri" w:cs="Calibri"/>
                <w:color w:val="000000"/>
                <w:sz w:val="22"/>
              </w:rPr>
              <w:t xml:space="preserve">R$ 1.347.002,65</w:t>
            </w:r>
            <w:r/>
          </w:p>
        </w:tc>
      </w:tr>
      <w:tr>
        <w:trPr>
          <w:trHeight w:val="285"/>
        </w:trPr>
        <w:tc>
          <w:tcPr>
            <w:gridSpan w:val="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8014" w:type="dxa"/>
            <w:vAlign w:val="bottom"/>
            <w:textDirection w:val="lrTb"/>
            <w:noWrap w:val="false"/>
          </w:tcPr>
          <w:p>
            <w:pPr>
              <w:pBdr/>
              <w:spacing/>
              <w:ind/>
              <w:jc w:val="center"/>
              <w:rPr/>
            </w:pPr>
            <w:r>
              <w:rPr>
                <w:rFonts w:ascii="Calibri" w:hAnsi="Calibri" w:eastAsia="Calibri" w:cs="Calibri"/>
                <w:b/>
                <w:color w:val="000000"/>
                <w:sz w:val="22"/>
              </w:rPr>
              <w:t xml:space="preserve">TOTAL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4" w:type="dxa"/>
            <w:vAlign w:val="bottom"/>
            <w:textDirection w:val="lrTb"/>
            <w:noWrap w:val="false"/>
          </w:tcPr>
          <w:p>
            <w:pPr>
              <w:pBdr/>
              <w:spacing/>
              <w:ind/>
              <w:jc w:val="center"/>
              <w:rPr/>
            </w:pPr>
            <w:r>
              <w:rPr>
                <w:rFonts w:ascii="Calibri" w:hAnsi="Calibri" w:eastAsia="Calibri" w:cs="Calibri"/>
                <w:color w:val="000000"/>
                <w:sz w:val="22"/>
              </w:rPr>
              <w:t xml:space="preserve">R$ 1.924.289,50</w:t>
            </w:r>
            <w:r/>
          </w:p>
        </w:tc>
      </w:tr>
      <w:tr>
        <w:trPr>
          <w:trHeight w:val="375"/>
        </w:trPr>
        <w:tc>
          <w:tcPr>
            <w:gridSpan w:val="5"/>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60" w:type="dxa"/>
            <w:vAlign w:val="bottom"/>
            <w:textDirection w:val="lrTb"/>
            <w:noWrap w:val="false"/>
          </w:tcPr>
          <w:p>
            <w:pPr>
              <w:pBdr/>
              <w:spacing/>
              <w:ind/>
              <w:jc w:val="center"/>
              <w:rPr/>
            </w:pPr>
            <w:r>
              <w:rPr>
                <w:rFonts w:ascii="Calibri" w:hAnsi="Calibri" w:eastAsia="Calibri" w:cs="Calibri"/>
                <w:b/>
                <w:color w:val="000000"/>
                <w:sz w:val="28"/>
              </w:rPr>
              <w:t xml:space="preserve">TOTAL GERAL</w:t>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19" w:type="dxa"/>
            <w:vAlign w:val="bottom"/>
            <w:textDirection w:val="lrTb"/>
            <w:noWrap w:val="false"/>
          </w:tcPr>
          <w:p>
            <w:pPr>
              <w:pBdr/>
              <w:spacing/>
              <w:ind/>
              <w:jc w:val="center"/>
              <w:rPr/>
            </w:pPr>
            <w:r>
              <w:rPr>
                <w:rFonts w:ascii="Calibri" w:hAnsi="Calibri" w:eastAsia="Calibri" w:cs="Calibri"/>
                <w:b/>
                <w:color w:val="000000"/>
                <w:sz w:val="28"/>
              </w:rPr>
              <w:t xml:space="preserve"> R</w:t>
            </w:r>
            <w:r>
              <w:rPr>
                <w:rFonts w:ascii="Calibri" w:hAnsi="Calibri" w:eastAsia="Calibri" w:cs="Calibri"/>
                <w:b/>
                <w:color w:val="000000"/>
                <w:sz w:val="28"/>
              </w:rPr>
              <w:t xml:space="preserve">$  2.460.149</w:t>
            </w:r>
            <w:r>
              <w:rPr>
                <w:rFonts w:ascii="Calibri" w:hAnsi="Calibri" w:eastAsia="Calibri" w:cs="Calibri"/>
                <w:b/>
                <w:color w:val="000000"/>
                <w:sz w:val="28"/>
              </w:rPr>
              <w:t xml:space="preserve">,50 </w:t>
            </w:r>
            <w:r/>
          </w:p>
        </w:tc>
      </w:tr>
    </w:tbl>
    <w:p>
      <w:pPr>
        <w:pStyle w:val="995"/>
        <w:numPr>
          <w:ilvl w:val="1"/>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color w:val="000000"/>
          <w:sz w:val="24"/>
          <w:szCs w:val="24"/>
        </w:rPr>
      </w:pPr>
      <w:r>
        <w:rPr>
          <w:rFonts w:eastAsia="Arial" w:cs="Arial"/>
          <w:b/>
          <w:color w:val="000000"/>
          <w:sz w:val="24"/>
          <w:szCs w:val="24"/>
        </w:rPr>
        <w:t xml:space="preserve">JUSTIFICATIVA: </w:t>
      </w:r>
      <w:r>
        <w:rPr>
          <w:rFonts w:cs="Arial"/>
          <w:color w:val="000000"/>
          <w:sz w:val="24"/>
          <w:szCs w:val="24"/>
        </w:rPr>
      </w:r>
    </w:p>
    <w:p>
      <w:pPr>
        <w:pStyle w:val="995"/>
        <w:widowControl w:val="false"/>
        <w:pBdr>
          <w:top w:val="none" w:color="000000" w:sz="4" w:space="0"/>
          <w:left w:val="none" w:color="000000" w:sz="4" w:space="0"/>
          <w:bottom w:val="none" w:color="000000" w:sz="4" w:space="0"/>
          <w:right w:val="none" w:color="000000" w:sz="4" w:space="0"/>
        </w:pBdr>
        <w:tabs>
          <w:tab w:val="left" w:leader="none" w:pos="704"/>
          <w:tab w:val="left" w:leader="none" w:pos="1418"/>
        </w:tabs>
        <w:spacing w:line="276" w:lineRule="auto"/>
        <w:ind w:right="729" w:left="0"/>
        <w:contextualSpacing w:val="false"/>
        <w:rPr>
          <w:rFonts w:cs="Arial"/>
          <w:sz w:val="24"/>
          <w:szCs w:val="24"/>
        </w:rPr>
      </w:pPr>
      <w:r>
        <w:rPr>
          <w:rFonts w:eastAsia="Arial" w:cs="Arial"/>
          <w:sz w:val="24"/>
          <w:szCs w:val="24"/>
        </w:rPr>
        <w:tab/>
        <w:t xml:space="preserve">A contratação de empresa especializada para prestação de serviços de manutenção preventiva e corretiva da frota de veículos pertencentes à Prefeitura Municipal de Rio das </w:t>
      </w:r>
      <w:r>
        <w:rPr>
          <w:rFonts w:eastAsia="Arial" w:cs="Arial"/>
          <w:sz w:val="24"/>
          <w:szCs w:val="24"/>
        </w:rPr>
        <w:t xml:space="preserve">Flôres</w:t>
      </w:r>
      <w:r>
        <w:rPr>
          <w:rFonts w:eastAsia="Arial" w:cs="Arial"/>
          <w:sz w:val="24"/>
          <w:szCs w:val="24"/>
        </w:rPr>
        <w:t xml:space="preserve">, incluindo os Fu</w:t>
      </w:r>
      <w:r>
        <w:rPr>
          <w:rFonts w:eastAsia="Arial" w:cs="Arial"/>
          <w:sz w:val="24"/>
          <w:szCs w:val="24"/>
        </w:rPr>
        <w:t xml:space="preserve">ndos e Secretarias Municipais, com fornecimento de peças, acessórios e mão de obra (hora/homem), é necessária para garantir a adequada conservação dos veículos, preservando o patrimônio público e contribuindo para o aumento da vida útil da frota municipal.</w:t>
      </w:r>
      <w:r>
        <w:rPr>
          <w:rFonts w:cs="Arial"/>
          <w:sz w:val="24"/>
          <w:szCs w:val="24"/>
        </w:rPr>
      </w:r>
    </w:p>
    <w:p>
      <w:pPr>
        <w:pStyle w:val="995"/>
        <w:widowControl w:val="false"/>
        <w:pBdr>
          <w:top w:val="none" w:color="000000" w:sz="4" w:space="0"/>
          <w:left w:val="none" w:color="000000" w:sz="4" w:space="0"/>
          <w:bottom w:val="none" w:color="000000" w:sz="4" w:space="0"/>
          <w:right w:val="none" w:color="000000" w:sz="4" w:space="0"/>
        </w:pBdr>
        <w:tabs>
          <w:tab w:val="left" w:leader="none" w:pos="704"/>
          <w:tab w:val="left" w:leader="none" w:pos="1418"/>
        </w:tabs>
        <w:spacing w:line="276" w:lineRule="auto"/>
        <w:ind w:right="729" w:left="0"/>
        <w:contextualSpacing w:val="false"/>
        <w:rPr>
          <w:rFonts w:cs="Arial"/>
          <w:sz w:val="24"/>
          <w:szCs w:val="24"/>
        </w:rPr>
      </w:pPr>
      <w:r>
        <w:rPr>
          <w:rFonts w:eastAsia="Arial" w:cs="Arial"/>
          <w:sz w:val="24"/>
          <w:szCs w:val="24"/>
        </w:rPr>
        <w:tab/>
        <w:t xml:space="preserve">A manutenção periódica e corretiva dos veícul</w:t>
      </w:r>
      <w:r>
        <w:rPr>
          <w:rFonts w:eastAsia="Arial" w:cs="Arial"/>
          <w:sz w:val="24"/>
          <w:szCs w:val="24"/>
        </w:rPr>
        <w:t xml:space="preserve">os é essencial para mantê-los em perfeito estado de funcionamento e segurança, assegurando a continuidade das atividades administrativas, operacionais e institucionais desempenhadas pelas diversas Secretarias e Fundos Municipais. Os veículos são amplamente</w:t>
      </w:r>
      <w:r>
        <w:rPr>
          <w:rFonts w:eastAsia="Arial" w:cs="Arial"/>
          <w:sz w:val="24"/>
          <w:szCs w:val="24"/>
        </w:rPr>
        <w:t xml:space="preserve"> utilizados para deslocamento de servidores, execução de serviços públicos, transporte de equipes técnicas, apoio às atividades de saúde, assistência social, obras, planejamento, meio ambiente, agropecuária e demais ações inerentes à Administração Pública.</w:t>
      </w:r>
      <w:r>
        <w:rPr>
          <w:rFonts w:cs="Arial"/>
          <w:sz w:val="24"/>
          <w:szCs w:val="24"/>
        </w:rPr>
      </w:r>
    </w:p>
    <w:p>
      <w:pPr>
        <w:pStyle w:val="995"/>
        <w:widowControl w:val="false"/>
        <w:pBdr>
          <w:top w:val="none" w:color="000000" w:sz="4" w:space="0"/>
          <w:left w:val="none" w:color="000000" w:sz="4" w:space="0"/>
          <w:bottom w:val="none" w:color="000000" w:sz="4" w:space="0"/>
          <w:right w:val="none" w:color="000000" w:sz="4" w:space="0"/>
        </w:pBdr>
        <w:tabs>
          <w:tab w:val="left" w:leader="none" w:pos="704"/>
          <w:tab w:val="left" w:leader="none" w:pos="1418"/>
        </w:tabs>
        <w:spacing w:line="276" w:lineRule="auto"/>
        <w:ind w:right="729" w:left="0"/>
        <w:contextualSpacing w:val="false"/>
        <w:rPr>
          <w:rFonts w:cs="Arial"/>
          <w:sz w:val="24"/>
          <w:szCs w:val="24"/>
        </w:rPr>
      </w:pPr>
      <w:r>
        <w:rPr>
          <w:rFonts w:eastAsia="Arial" w:cs="Arial"/>
          <w:sz w:val="24"/>
          <w:szCs w:val="24"/>
        </w:rPr>
        <w:tab/>
        <w:t xml:space="preserve">A ausên</w:t>
      </w:r>
      <w:r>
        <w:rPr>
          <w:rFonts w:eastAsia="Arial" w:cs="Arial"/>
          <w:sz w:val="24"/>
          <w:szCs w:val="24"/>
        </w:rPr>
        <w:t xml:space="preserve">cia de manutenção adequada poderá ocasionar falhas mecânicas, paralisação de veículos, aumento de custos com reparos emergenciais e prejuízos à prestação dos serviços públicos, além de comprometer a segurança dos usuários e servidores que utilizam a frota.</w:t>
      </w:r>
      <w:r>
        <w:rPr>
          <w:rFonts w:cs="Arial"/>
          <w:sz w:val="24"/>
          <w:szCs w:val="24"/>
        </w:rPr>
      </w:r>
    </w:p>
    <w:p>
      <w:pPr>
        <w:pStyle w:val="995"/>
        <w:widowControl w:val="false"/>
        <w:pBdr>
          <w:top w:val="none" w:color="000000" w:sz="4" w:space="0"/>
          <w:left w:val="none" w:color="000000" w:sz="4" w:space="0"/>
          <w:bottom w:val="none" w:color="000000" w:sz="4" w:space="0"/>
          <w:right w:val="none" w:color="000000" w:sz="4" w:space="0"/>
        </w:pBdr>
        <w:tabs>
          <w:tab w:val="left" w:leader="none" w:pos="704"/>
          <w:tab w:val="left" w:leader="none" w:pos="1418"/>
        </w:tabs>
        <w:spacing w:line="276" w:lineRule="auto"/>
        <w:ind w:right="729" w:left="0"/>
        <w:contextualSpacing w:val="false"/>
        <w:rPr>
          <w:rFonts w:cs="Arial"/>
          <w:sz w:val="24"/>
          <w:szCs w:val="24"/>
        </w:rPr>
      </w:pPr>
      <w:r>
        <w:rPr>
          <w:rFonts w:eastAsia="Arial" w:cs="Arial"/>
          <w:sz w:val="24"/>
          <w:szCs w:val="24"/>
        </w:rPr>
        <w:tab/>
        <w:t xml:space="preserve">Dessa forma, justifica-se a realização de procedimento licitatório para a futura e eventual contratação do referido objeto, por meio de Registro de Preços, na modalidade Pregão Eletrônico, com vigência de 12 (doze) meses</w:t>
      </w:r>
      <w:r>
        <w:rPr>
          <w:rFonts w:eastAsia="Arial" w:cs="Arial"/>
          <w:sz w:val="24"/>
          <w:szCs w:val="24"/>
        </w:rPr>
        <w:t xml:space="preserve">, em conformidade com as disposições da Lei Federal nº 14.133/2021, visando assegurar maior eficiência, economicidade e planejamento na gestão da frota municipal, possibilitando o atendimento das demandas das diversas unidades administrativas do Município.</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360" w:lineRule="auto"/>
        <w:ind w:left="0"/>
        <w:rPr>
          <w:rFonts w:cs="Arial"/>
          <w:sz w:val="24"/>
          <w:szCs w:val="24"/>
        </w:rPr>
      </w:pPr>
      <w:r>
        <w:rPr>
          <w:rFonts w:cs="Arial"/>
          <w:sz w:val="24"/>
          <w:szCs w:val="24"/>
        </w:rPr>
      </w:r>
      <w:r>
        <w:rPr>
          <w:rFonts w:cs="Arial"/>
          <w:sz w:val="24"/>
          <w:szCs w:val="24"/>
        </w:rPr>
      </w:r>
    </w:p>
    <w:p>
      <w:pPr>
        <w:pStyle w:val="995"/>
        <w:numPr>
          <w:ilvl w:val="1"/>
          <w:numId w:val="43"/>
        </w:num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360" w:lineRule="auto"/>
        <w:ind/>
        <w:rPr>
          <w:rFonts w:cs="Arial"/>
          <w:sz w:val="24"/>
          <w:szCs w:val="24"/>
        </w:rPr>
      </w:pPr>
      <w:r>
        <w:rPr>
          <w:rFonts w:eastAsia="Arial" w:cs="Arial"/>
          <w:b/>
          <w:sz w:val="24"/>
          <w:szCs w:val="24"/>
        </w:rPr>
        <w:t xml:space="preserve">PERÍODO ESTIMADO</w:t>
      </w:r>
      <w:r>
        <w:rPr>
          <w:rFonts w:cs="Arial"/>
          <w:sz w:val="24"/>
          <w:szCs w:val="24"/>
        </w:rPr>
      </w:r>
    </w:p>
    <w:p>
      <w:pPr>
        <w:pStyle w:val="995"/>
        <w:numPr>
          <w:ilvl w:val="2"/>
          <w:numId w:val="43"/>
        </w:num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276" w:lineRule="auto"/>
        <w:ind/>
        <w:rPr>
          <w:rFonts w:cs="Arial"/>
          <w:sz w:val="24"/>
          <w:szCs w:val="24"/>
        </w:rPr>
      </w:pPr>
      <w:r>
        <w:rPr>
          <w:rFonts w:eastAsia="Arial" w:cs="Arial"/>
          <w:sz w:val="24"/>
          <w:szCs w:val="24"/>
        </w:rPr>
        <w:t xml:space="preserve">A estimativa para a vigência da Ata de Registro de </w:t>
      </w:r>
      <w:r>
        <w:rPr>
          <w:rFonts w:eastAsia="Arial" w:cs="Arial"/>
          <w:sz w:val="24"/>
          <w:szCs w:val="24"/>
        </w:rPr>
        <w:t xml:space="preserve">Preços  será</w:t>
      </w:r>
      <w:r>
        <w:rPr>
          <w:rFonts w:eastAsia="Arial" w:cs="Arial"/>
          <w:sz w:val="24"/>
          <w:szCs w:val="24"/>
        </w:rPr>
        <w:t xml:space="preserve"> de 12 (doze) meses, podendo ser prorrogado com renovação dos quantitativos originalmente licitados.</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276" w:lineRule="auto"/>
        <w:ind w:left="390"/>
        <w:rPr>
          <w:rFonts w:cs="Arial"/>
          <w:sz w:val="24"/>
          <w:szCs w:val="24"/>
        </w:rPr>
      </w:pPr>
      <w:r>
        <w:rPr>
          <w:rFonts w:cs="Arial"/>
          <w:sz w:val="24"/>
          <w:szCs w:val="24"/>
        </w:rPr>
      </w:r>
      <w:r>
        <w:rPr>
          <w:rFonts w:cs="Arial"/>
          <w:sz w:val="24"/>
          <w:szCs w:val="24"/>
        </w:rPr>
      </w:r>
    </w:p>
    <w:p>
      <w:pPr>
        <w:pStyle w:val="995"/>
        <w:numPr>
          <w:ilvl w:val="0"/>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color w:val="000000"/>
          <w:sz w:val="24"/>
          <w:szCs w:val="24"/>
        </w:rPr>
      </w:pPr>
      <w:r>
        <w:rPr>
          <w:rFonts w:eastAsia="Arial" w:cs="Arial"/>
          <w:b/>
          <w:sz w:val="24"/>
          <w:szCs w:val="24"/>
        </w:rPr>
        <w:t xml:space="preserve">FUNDAMENTAÇÃO LEGAL (</w:t>
      </w:r>
      <w:r>
        <w:rPr>
          <w:rFonts w:eastAsia="Arial" w:cs="Arial"/>
          <w:color w:val="00b050"/>
          <w:sz w:val="24"/>
          <w:szCs w:val="24"/>
        </w:rPr>
        <w:t xml:space="preserve">Art. 6º, XXIII, “b” da Lei 14.133/21)</w:t>
      </w:r>
      <w:r>
        <w:rPr>
          <w:rFonts w:cs="Arial"/>
          <w:color w:val="000000"/>
          <w:sz w:val="24"/>
          <w:szCs w:val="24"/>
        </w:rPr>
      </w:r>
    </w:p>
    <w:p>
      <w:pPr>
        <w:pStyle w:val="995"/>
        <w:numPr>
          <w:ilvl w:val="1"/>
          <w:numId w:val="43"/>
        </w:numPr>
        <w:pBdr>
          <w:top w:val="none" w:color="000000" w:sz="4" w:space="0"/>
          <w:left w:val="none" w:color="000000" w:sz="4" w:space="0"/>
          <w:bottom w:val="none" w:color="000000" w:sz="4" w:space="0"/>
          <w:right w:val="none" w:color="000000" w:sz="4" w:space="0"/>
          <w:between w:val="none" w:color="000000" w:sz="4" w:space="0"/>
        </w:pBdr>
        <w:spacing w:line="276" w:lineRule="auto"/>
        <w:ind/>
        <w:rPr>
          <w:rFonts w:cs="Arial"/>
          <w:color w:val="000000"/>
          <w:sz w:val="24"/>
          <w:szCs w:val="24"/>
        </w:rPr>
      </w:pPr>
      <w:r>
        <w:rPr>
          <w:rFonts w:eastAsia="Arial" w:cs="Arial"/>
          <w:sz w:val="24"/>
          <w:szCs w:val="24"/>
        </w:rPr>
        <w:t xml:space="preserve">A execução do objeto desta contratação encontra amparo na norma legal, consoante ao disposto na Lei Federal nº 14.133/2021, art. 28, I, o que justifica a realização da licitação.</w:t>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left="390"/>
        <w:rPr>
          <w:rFonts w:cs="Arial"/>
          <w:color w:val="000000"/>
          <w:sz w:val="24"/>
          <w:szCs w:val="24"/>
        </w:rPr>
      </w:pPr>
      <w:r>
        <w:rPr>
          <w:rFonts w:cs="Arial"/>
          <w:color w:val="000000"/>
          <w:sz w:val="24"/>
          <w:szCs w:val="24"/>
        </w:rPr>
      </w:r>
      <w:r>
        <w:rPr>
          <w:rFonts w:cs="Arial"/>
          <w:color w:val="000000"/>
          <w:sz w:val="24"/>
          <w:szCs w:val="24"/>
        </w:rPr>
      </w:r>
    </w:p>
    <w:p>
      <w:pPr>
        <w:pStyle w:val="995"/>
        <w:numPr>
          <w:ilvl w:val="0"/>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color w:val="000000"/>
          <w:sz w:val="24"/>
          <w:szCs w:val="24"/>
        </w:rPr>
      </w:pPr>
      <w:r>
        <w:rPr>
          <w:rFonts w:eastAsia="Arial" w:cs="Arial"/>
          <w:b/>
          <w:sz w:val="24"/>
          <w:szCs w:val="24"/>
        </w:rPr>
        <w:t xml:space="preserve">DESCRIÇÃO DA SOLUÇÃO (</w:t>
      </w:r>
      <w:r>
        <w:rPr>
          <w:rFonts w:eastAsia="Arial" w:cs="Arial"/>
          <w:color w:val="00b050"/>
          <w:sz w:val="24"/>
          <w:szCs w:val="24"/>
        </w:rPr>
        <w:t xml:space="preserve">Art. 6º, XXIII, “c” da Lei 14.133/21) – </w:t>
      </w:r>
      <w:r>
        <w:rPr>
          <w:rFonts w:eastAsia="Arial" w:cs="Arial"/>
          <w:b/>
          <w:color w:val="00b050"/>
          <w:sz w:val="24"/>
          <w:szCs w:val="24"/>
        </w:rPr>
        <w:t xml:space="preserve">TÓPICO 03 ETP</w:t>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A contratação dos serviços é justificável pela necessidade de manutenção da frota de veículos pertencentes à Prefeitura Municipal de Rio das </w:t>
      </w:r>
      <w:r>
        <w:rPr>
          <w:rFonts w:eastAsia="Arial" w:cs="Arial"/>
          <w:sz w:val="24"/>
          <w:szCs w:val="24"/>
        </w:rPr>
        <w:t xml:space="preserve">Flôres</w:t>
      </w:r>
      <w:r>
        <w:rPr>
          <w:rFonts w:eastAsia="Arial" w:cs="Arial"/>
          <w:sz w:val="24"/>
          <w:szCs w:val="24"/>
        </w:rPr>
        <w:t xml:space="preserve">, abrangendo os Fundos e Secretarias Municipais, com vistas à preservação do patrimônio público, ao aumento da vida útil dos veículos e à g</w:t>
      </w:r>
      <w:r>
        <w:rPr>
          <w:rFonts w:eastAsia="Arial" w:cs="Arial"/>
          <w:sz w:val="24"/>
          <w:szCs w:val="24"/>
        </w:rPr>
        <w:t xml:space="preserve">arantia de que permaneçam em perfeito estado de funcionamento. A adequada manutenção da frota é essencial para assegurar a continuidade e a eficiência dos serviços públicos prestados à população, considerando que os veículos são utilizados em diversas ativ</w:t>
      </w:r>
      <w:r>
        <w:rPr>
          <w:rFonts w:eastAsia="Arial" w:cs="Arial"/>
          <w:sz w:val="24"/>
          <w:szCs w:val="24"/>
        </w:rPr>
        <w:t xml:space="preserve">idades administrativas e operacionais, tais como deslocamento de servidores, atendimento às demandas das Secretarias Municipais, apoio às ações de saúde, assistência social, obras, planejamento, agropecuária, meio ambiente e demais serviços institucionais.</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A solução pretendida consiste na contratação de empresa especializada, pessoa jurídica, para futura e eventual prestação de serviços de manutenção preventiva e corretiva da frota municipal, com fornecimento de mão de obra (hora/homem), bem como aplicação</w:t>
      </w:r>
      <w:r>
        <w:rPr>
          <w:rFonts w:eastAsia="Arial" w:cs="Arial"/>
          <w:sz w:val="24"/>
          <w:szCs w:val="24"/>
        </w:rPr>
        <w:t xml:space="preserve"> e fornecimento de peças, componentes e acessórios, além de serviços de remoção quando necessário, por meio de Ata de Registro de Preços. A execução dos serviços ocorrerá conforme a necessidade das Secretarias e Fundos Municipais participantes do registro.</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O objeto da presente contratação refere-se à manutenção preventiva e corretiva dos veículos, destinada a mantê-los ou restabelecê-los ao seu perfeito estado de funcioname</w:t>
      </w:r>
      <w:r>
        <w:rPr>
          <w:rFonts w:eastAsia="Arial" w:cs="Arial"/>
          <w:sz w:val="24"/>
          <w:szCs w:val="24"/>
        </w:rPr>
        <w:t xml:space="preserve">nto, mediante substituição autorizada de peças que se apresentarem danificadas, desgastadas ou defeituosas, bem como a realização de regulagens, ajustes mecânicos, elétricos e demais intervenções necessárias ao pleno funcionamento e segurança dos veículos.</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A manutenção preventiva compreende todos os serviços executados em oficinas mecânicas, em conformidade com as recomendações dos fabrica</w:t>
      </w:r>
      <w:r>
        <w:rPr>
          <w:rFonts w:eastAsia="Arial" w:cs="Arial"/>
          <w:sz w:val="24"/>
          <w:szCs w:val="24"/>
        </w:rPr>
        <w:t xml:space="preserve">ntes dos veículos, constantes em seus respectivos manuais, visando garantir as melhores condições de funcionamento e segurança. Tais serviços deverão ser programados conforme critérios de tempo ou quilometragem, de acordo com as orientações do fabricante. </w:t>
      </w:r>
      <w:r>
        <w:rPr>
          <w:rFonts w:eastAsia="Arial" w:cs="Arial"/>
          <w:sz w:val="24"/>
          <w:szCs w:val="24"/>
        </w:rPr>
        <w:tab/>
        <w:t xml:space="preserve">Como exemplos de manutenção preventiva podem ser citados: lubrificação de componentes dos veículos; troca de óleo de motor, câmbio e diferencial; substituição de fluido </w:t>
      </w:r>
      <w:r>
        <w:rPr>
          <w:rFonts w:eastAsia="Arial" w:cs="Arial"/>
          <w:sz w:val="24"/>
          <w:szCs w:val="24"/>
        </w:rPr>
        <w:t xml:space="preserve">de freio e líquido de arrefecimento; reposição de palhetas de limpador e correias; substituição de componentes do motor; limpeza de motor e bicos injetores; regulagens de bombas e bicos injetores; além de outros serviços previstos nos manuais dos veículos.</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A manutenção corretiva compreende todos os serviços exec</w:t>
      </w:r>
      <w:r>
        <w:rPr>
          <w:rFonts w:eastAsia="Arial" w:cs="Arial"/>
          <w:sz w:val="24"/>
          <w:szCs w:val="24"/>
        </w:rPr>
        <w:t xml:space="preserve">utados para correção de defeitos ocorridos fora dos períodos estabelecidos para manutenção preventiva, decorrentes de desgaste natural, falhas mecânicas, elétricas ou eletrônicas, acidentes ou outras ocorrências que comprometam o funcionamento do veículo. </w:t>
      </w:r>
      <w:r>
        <w:rPr>
          <w:rFonts w:eastAsia="Arial" w:cs="Arial"/>
          <w:sz w:val="24"/>
          <w:szCs w:val="24"/>
        </w:rPr>
        <w:tab/>
        <w:t xml:space="preserve">Esses serviços têm como objetivo restabelecer as condiçõ</w:t>
      </w:r>
      <w:r>
        <w:rPr>
          <w:rFonts w:eastAsia="Arial" w:cs="Arial"/>
          <w:sz w:val="24"/>
          <w:szCs w:val="24"/>
        </w:rPr>
        <w:t xml:space="preserve">es adequadas de funcionamento e segurança, garantindo a operacionalidade da frota. Como exemplos de manutenção corretiva destacam-se: retífica de motores; montagem e desmontagem de embreagens, caixas de câmbio e diferenciais; serviços de instalação elétric</w:t>
      </w:r>
      <w:r>
        <w:rPr>
          <w:rFonts w:eastAsia="Arial" w:cs="Arial"/>
          <w:sz w:val="24"/>
          <w:szCs w:val="24"/>
        </w:rPr>
        <w:t xml:space="preserve">a e eletrônica; reparos nos sistemas de freios e rodas; manutenção no sistema de injeção eletrônica; serviços no sistema hidráulico; serviços de capotaria, tapeçaria, funilaria e pintura; reparos no sistema de arrefecimento e no sistema de ar-condicionado.</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Qualquer manutenção ou aquisição de peças, equipamentos ou acessórios deverá ser previamente autorizada pelo órgão ou Secretaria responsável pelo veículo, mediante solicitação formal.</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Os materiais de consumo de pequeno valor, tais como soldas, fios, lixas, ceras, graxas, l</w:t>
      </w:r>
      <w:r>
        <w:rPr>
          <w:rFonts w:eastAsia="Arial" w:cs="Arial"/>
          <w:sz w:val="24"/>
          <w:szCs w:val="24"/>
        </w:rPr>
        <w:t xml:space="preserve">ubrificantes, fitas adesivas e isolantes, massas e demais insumos necessários à execução dos serviços, deverão estar incluídos nos valores da mão de obra contratada, sendo vedada sua inclusão em orçamento específico como peças, equipamentos ou componentes.</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Para fins deste Termo de Referência, entende-se por peças todas as partes individuais que compõem um veículo. Quanto aos componentes, entende-se co</w:t>
      </w:r>
      <w:r>
        <w:rPr>
          <w:rFonts w:eastAsia="Arial" w:cs="Arial"/>
          <w:sz w:val="24"/>
          <w:szCs w:val="24"/>
        </w:rPr>
        <w:t xml:space="preserve">mo agrupamentos de peças individuais formando subconjuntos montados, conforme definição da Associação Brasileira de Normas Técnicas – ABNT. São considerados principais componentes de um veículo, entre outros: motor, suspensão, sistema de direção, sistema d</w:t>
      </w:r>
      <w:r>
        <w:rPr>
          <w:rFonts w:eastAsia="Arial" w:cs="Arial"/>
          <w:sz w:val="24"/>
          <w:szCs w:val="24"/>
        </w:rPr>
        <w:t xml:space="preserve">e freios, sistema de ar-condicionado, sistema de combustível, componentes internos, componentes elétricos e eletrônicos, estruturas dianteira e traseira, sistema de exaustão, teto, laterais, chassi, portas, acessórios, para-brisa, vidros, vedações e pneus.</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Considera-se peça original aquela peça nova, de primeiro uso, distribuída pela montadora do veículo e garantida por esta. Considera-se peça genuína aquela peça nova, de primeiro uso, da mesma marca utilizad</w:t>
      </w:r>
      <w:r>
        <w:rPr>
          <w:rFonts w:eastAsia="Arial" w:cs="Arial"/>
          <w:sz w:val="24"/>
          <w:szCs w:val="24"/>
        </w:rPr>
        <w:t xml:space="preserve">a pela montadora, porém distribuída pelo próprio fabricante da peça e garantida por este. Consideram-se outras peças aquelas que não se enquadrem como genuínas ou originais, desde que sejam de primeira linha e apresentem garantia mínima de 06 (seis) meses.</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Os serviços prestados deverão atender aos padrões mínimos de qualidade e segurança exigidos para o objeto, em conformidade com a legislação aplic</w:t>
      </w:r>
      <w:r>
        <w:rPr>
          <w:rFonts w:eastAsia="Arial" w:cs="Arial"/>
          <w:sz w:val="24"/>
          <w:szCs w:val="24"/>
        </w:rPr>
        <w:t xml:space="preserve">ável e com o Código de Defesa do Consumidor (Lei nº 8.078/1990). Os serviços ou peças que não atenderem às especificações exigidas ou apresentarem qualidade inferior não serão aceitos, ficando suspenso o pagamento até que sejam integralmente regularizados.</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Entende-se por serviço inadequado aquele que apresentar qualidade inferior, estiver em desacordo com as determinações legais ou não atender às especificações estabelecidas no Edital e neste Termo de Referência.</w:t>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Os serviços considerados inadequados ou irregulares poderão ser rejeitados, total ou parcialmente, sendo determinada sua substituição ou correção no prazo máximo de 24 (vinte e quatro) h</w:t>
      </w:r>
      <w:r>
        <w:rPr>
          <w:rFonts w:eastAsia="Arial" w:cs="Arial"/>
          <w:sz w:val="24"/>
          <w:szCs w:val="24"/>
        </w:rPr>
        <w:t xml:space="preserve">oras, contadas da notificação formal da Administração, sem prejuízo da aplicação das penalidades previstas no Edital, neste Termo de Referência e na legislação vigente. Caso não seja possível a substituição ou correção, serão aplicadas as sanções cabíveis.</w:t>
      </w:r>
      <w:r>
        <w:rPr>
          <w:rFonts w:cs="Arial"/>
          <w:sz w:val="24"/>
          <w:szCs w:val="24"/>
        </w:rPr>
      </w:r>
    </w:p>
    <w:p>
      <w:pPr>
        <w:pStyle w:val="995"/>
        <w:numPr>
          <w:ilvl w:val="0"/>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b/>
          <w:color w:val="000000"/>
          <w:sz w:val="24"/>
          <w:szCs w:val="24"/>
        </w:rPr>
      </w:pPr>
      <w:r>
        <w:rPr>
          <w:rFonts w:eastAsia="Arial" w:cs="Arial"/>
          <w:b/>
          <w:color w:val="000000" w:themeColor="text1"/>
          <w:sz w:val="24"/>
          <w:szCs w:val="24"/>
        </w:rPr>
        <w:t xml:space="preserve">INDICAÇÃO DOS LOCAIS DE ENTREGA DOS PRODUTOS</w:t>
      </w:r>
      <w:r>
        <w:rPr>
          <w:rFonts w:eastAsia="Arial" w:cs="Arial"/>
          <w:b/>
          <w:color w:val="ff0000"/>
          <w:sz w:val="24"/>
          <w:szCs w:val="24"/>
        </w:rPr>
        <w:t xml:space="preserve"> </w:t>
      </w:r>
      <w:r>
        <w:rPr>
          <w:rFonts w:eastAsia="Arial" w:cs="Arial"/>
          <w:color w:val="00b050"/>
          <w:sz w:val="24"/>
          <w:szCs w:val="24"/>
        </w:rPr>
        <w:t xml:space="preserve">(</w:t>
      </w:r>
      <w:r>
        <w:rPr>
          <w:rFonts w:eastAsia="Arial" w:cs="Arial"/>
          <w:color w:val="00b050"/>
          <w:sz w:val="24"/>
          <w:szCs w:val="24"/>
        </w:rPr>
        <w:t xml:space="preserve">ART. 40, §1º, II DA LEI 14.133/21)</w:t>
      </w:r>
      <w:r>
        <w:rPr>
          <w:rFonts w:cs="Arial"/>
          <w:b/>
          <w:color w:val="000000"/>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O objeto desta licitação deverá ser realizado no local onde está instalada a oficina da licitante vencedora, que deverá ser bem estruturada, situada no raio máximo de 20 Km (vinte quilômetros) dos locais onde estão localizados os equipamentos da referida.</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Possuir área útil disponível para receber, com segurança, simultaneamente, de no mínimo 03 (três) veículos para manutenção; </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firstLine="330" w:left="390"/>
        <w:rPr>
          <w:rFonts w:cs="Arial"/>
          <w:sz w:val="24"/>
          <w:szCs w:val="24"/>
        </w:rPr>
      </w:pPr>
      <w:r>
        <w:rPr>
          <w:rFonts w:eastAsia="Arial" w:cs="Arial"/>
          <w:sz w:val="24"/>
          <w:szCs w:val="24"/>
        </w:rPr>
        <w:t xml:space="preserve">Respon</w:t>
      </w:r>
      <w:r>
        <w:rPr>
          <w:rFonts w:eastAsia="Arial" w:cs="Arial"/>
          <w:sz w:val="24"/>
          <w:szCs w:val="24"/>
        </w:rPr>
        <w:t xml:space="preserve">sabilizar-se pelo veículo/equipamentos entregues para manutenção, obrigando-se a mantê-los seguros contra acidentes, desabamentos, vendaval, inundação, incêndios, roubo, furto e outros, assumindo total responsabilidade por quaisquer danos ou prejuízos caus</w:t>
      </w:r>
      <w:r>
        <w:rPr>
          <w:rFonts w:eastAsia="Arial" w:cs="Arial"/>
          <w:sz w:val="24"/>
          <w:szCs w:val="24"/>
        </w:rPr>
        <w:t xml:space="preserve">ados ao município ou a terceiros, quando seus empregados ou prepostos estiverem conduzindo os veículos; c) possuir os recursos essenciais para que os serviços prestados tenham a técnica/qualidade/presteza exigida para os padrões do fabricante dos veículos.</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360" w:lineRule="auto"/>
        <w:ind w:left="390"/>
        <w:rPr>
          <w:rFonts w:cs="Arial"/>
          <w:sz w:val="24"/>
          <w:szCs w:val="24"/>
        </w:rPr>
      </w:pPr>
      <w:r>
        <w:rPr>
          <w:rFonts w:cs="Arial"/>
          <w:sz w:val="24"/>
          <w:szCs w:val="24"/>
        </w:rPr>
      </w:r>
      <w:r>
        <w:rPr>
          <w:rFonts w:cs="Arial"/>
          <w:sz w:val="24"/>
          <w:szCs w:val="24"/>
        </w:rPr>
      </w:r>
    </w:p>
    <w:p>
      <w:pPr>
        <w:pStyle w:val="995"/>
        <w:numPr>
          <w:ilvl w:val="0"/>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b/>
          <w:sz w:val="24"/>
          <w:szCs w:val="24"/>
        </w:rPr>
      </w:pPr>
      <w:r>
        <w:rPr>
          <w:rFonts w:eastAsia="Arial" w:cs="Arial"/>
          <w:b/>
          <w:sz w:val="24"/>
          <w:szCs w:val="24"/>
        </w:rPr>
        <w:t xml:space="preserve">DAS REGRAS PARA RECEBIMENTOS PROVISÓRIO E DEFINITIVO, QUANDO FOR O CASO</w:t>
      </w:r>
      <w:r>
        <w:rPr>
          <w:rFonts w:eastAsia="Arial" w:cs="Arial"/>
          <w:sz w:val="24"/>
          <w:szCs w:val="24"/>
        </w:rPr>
        <w:t xml:space="preserve"> (</w:t>
      </w:r>
      <w:r>
        <w:rPr>
          <w:rFonts w:eastAsia="Arial" w:cs="Arial"/>
          <w:sz w:val="24"/>
          <w:szCs w:val="24"/>
        </w:rPr>
        <w:t xml:space="preserve">ART. 40, §1º, II DA LEI 14.133/21)</w:t>
      </w:r>
      <w:r>
        <w:rPr>
          <w:rFonts w:cs="Arial"/>
          <w:b/>
          <w:sz w:val="24"/>
          <w:szCs w:val="24"/>
        </w:rPr>
      </w:r>
    </w:p>
    <w:p>
      <w:pPr>
        <w:pStyle w:val="995"/>
        <w:numPr>
          <w:ilvl w:val="1"/>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b/>
          <w:sz w:val="24"/>
          <w:szCs w:val="24"/>
        </w:rPr>
      </w:pPr>
      <w:r>
        <w:rPr>
          <w:rFonts w:eastAsia="Arial" w:cs="Arial"/>
          <w:sz w:val="24"/>
          <w:szCs w:val="24"/>
        </w:rPr>
        <w:t xml:space="preserve">Em se tratando de </w:t>
      </w:r>
      <w:r>
        <w:rPr>
          <w:rFonts w:eastAsia="Arial" w:cs="Arial"/>
          <w:b/>
          <w:sz w:val="24"/>
          <w:szCs w:val="24"/>
        </w:rPr>
        <w:t xml:space="preserve">compras ou de locação de equipamentos (art. 140, inciso I, alíneas “a” e “b”, Lei Federal 14.133/2021):</w:t>
      </w:r>
      <w:r>
        <w:rPr>
          <w:rFonts w:cs="Arial"/>
          <w:b/>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b/>
          <w:sz w:val="24"/>
          <w:szCs w:val="24"/>
        </w:rPr>
      </w:pPr>
      <w:r>
        <w:rPr>
          <w:rFonts w:cs="Arial"/>
          <w:b/>
          <w:sz w:val="24"/>
          <w:szCs w:val="24"/>
        </w:rPr>
      </w:r>
      <w:r>
        <w:rPr>
          <w:rFonts w:cs="Arial"/>
          <w:b/>
          <w:sz w:val="24"/>
          <w:szCs w:val="24"/>
        </w:rPr>
      </w:r>
    </w:p>
    <w:p>
      <w:pPr>
        <w:pStyle w:val="995"/>
        <w:numPr>
          <w:ilvl w:val="2"/>
          <w:numId w:val="43"/>
        </w:numPr>
        <w:pBdr>
          <w:top w:val="none" w:color="000000" w:sz="4" w:space="0"/>
          <w:left w:val="none" w:color="000000" w:sz="4" w:space="0"/>
          <w:bottom w:val="none" w:color="000000" w:sz="4" w:space="0"/>
          <w:right w:val="none" w:color="000000" w:sz="4" w:space="0"/>
          <w:between w:val="none" w:color="000000" w:sz="4" w:space="0"/>
        </w:pBdr>
        <w:spacing w:line="276" w:lineRule="auto"/>
        <w:ind/>
        <w:rPr>
          <w:rFonts w:cs="Arial"/>
          <w:b/>
          <w:sz w:val="24"/>
          <w:szCs w:val="24"/>
        </w:rPr>
      </w:pPr>
      <w:r>
        <w:rPr>
          <w:rFonts w:eastAsia="Arial" w:cs="Arial"/>
          <w:b/>
          <w:sz w:val="24"/>
          <w:szCs w:val="24"/>
        </w:rPr>
        <w:t xml:space="preserve">PROVISORIAMENTE</w:t>
      </w:r>
      <w:r>
        <w:rPr>
          <w:rFonts w:eastAsia="Arial" w:cs="Arial"/>
          <w:i/>
          <w:sz w:val="24"/>
          <w:szCs w:val="24"/>
        </w:rPr>
        <w:t xml:space="preserve">,</w:t>
      </w:r>
      <w:r>
        <w:rPr>
          <w:rFonts w:eastAsia="Arial" w:cs="Arial"/>
          <w:sz w:val="24"/>
          <w:szCs w:val="24"/>
        </w:rPr>
        <w:t xml:space="preserve"> de forma sumária, pelo responsável por seu acompanhamento e fiscalização, com verificação posterior da conformidade do material com as exigências contratuais;</w:t>
      </w:r>
      <w:r>
        <w:rPr>
          <w:rFonts w:cs="Arial"/>
          <w:b/>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1146"/>
        <w:rPr>
          <w:rFonts w:cs="Arial"/>
          <w:b/>
          <w:sz w:val="24"/>
          <w:szCs w:val="24"/>
        </w:rPr>
      </w:pPr>
      <w:r>
        <w:rPr>
          <w:rFonts w:cs="Arial"/>
          <w:b/>
          <w:sz w:val="24"/>
          <w:szCs w:val="24"/>
        </w:rPr>
      </w:r>
      <w:r>
        <w:rPr>
          <w:rFonts w:cs="Arial"/>
          <w:b/>
          <w:sz w:val="24"/>
          <w:szCs w:val="24"/>
        </w:rPr>
      </w:r>
    </w:p>
    <w:p>
      <w:pPr>
        <w:pStyle w:val="995"/>
        <w:numPr>
          <w:ilvl w:val="2"/>
          <w:numId w:val="43"/>
        </w:numPr>
        <w:pBdr>
          <w:top w:val="none" w:color="000000" w:sz="4" w:space="0"/>
          <w:left w:val="none" w:color="000000" w:sz="4" w:space="0"/>
          <w:bottom w:val="none" w:color="000000" w:sz="4" w:space="0"/>
          <w:right w:val="none" w:color="000000" w:sz="4" w:space="0"/>
          <w:between w:val="none" w:color="000000" w:sz="4" w:space="0"/>
        </w:pBdr>
        <w:spacing w:line="276" w:lineRule="auto"/>
        <w:ind/>
        <w:rPr>
          <w:rFonts w:cs="Arial"/>
          <w:b/>
          <w:sz w:val="24"/>
          <w:szCs w:val="24"/>
        </w:rPr>
      </w:pPr>
      <w:r>
        <w:rPr>
          <w:rFonts w:eastAsia="Arial" w:cs="Arial"/>
          <w:b/>
          <w:sz w:val="24"/>
          <w:szCs w:val="24"/>
        </w:rPr>
        <w:t xml:space="preserve">DEFINITIVAMENTE</w:t>
      </w:r>
      <w:r>
        <w:rPr>
          <w:rFonts w:eastAsia="Arial" w:cs="Arial"/>
          <w:i/>
          <w:sz w:val="24"/>
          <w:szCs w:val="24"/>
        </w:rPr>
        <w:t xml:space="preserve">, </w:t>
      </w:r>
      <w:r>
        <w:rPr>
          <w:rFonts w:eastAsia="Arial" w:cs="Arial"/>
          <w:sz w:val="24"/>
          <w:szCs w:val="24"/>
        </w:rPr>
        <w:t xml:space="preserve">definitivamente, por servidor ou comissão designada pela autoridade competente, mediante termo detalhado que comprove o atendimento das exigências contratuais.</w:t>
      </w:r>
      <w:r>
        <w:rPr>
          <w:rFonts w:cs="Arial"/>
          <w:b/>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left="426"/>
        <w:rPr>
          <w:rFonts w:cs="Arial"/>
          <w:b/>
          <w:sz w:val="24"/>
          <w:szCs w:val="24"/>
        </w:rPr>
      </w:pPr>
      <w:r>
        <w:rPr>
          <w:rFonts w:eastAsia="Arial" w:cs="Arial"/>
          <w:b/>
          <w:sz w:val="24"/>
          <w:szCs w:val="24"/>
        </w:rPr>
        <w:t xml:space="preserve">Obs</w:t>
      </w:r>
      <w:r>
        <w:rPr>
          <w:rFonts w:eastAsia="Arial" w:cs="Arial"/>
          <w:b/>
          <w:sz w:val="24"/>
          <w:szCs w:val="24"/>
        </w:rPr>
        <w:t xml:space="preserve">¹</w:t>
      </w:r>
      <w:r>
        <w:rPr>
          <w:rFonts w:eastAsia="Arial" w:cs="Arial"/>
          <w:sz w:val="24"/>
          <w:szCs w:val="24"/>
        </w:rPr>
        <w:t xml:space="preserve">:  O</w:t>
      </w:r>
      <w:r>
        <w:rPr>
          <w:rFonts w:eastAsia="Arial" w:cs="Arial"/>
          <w:sz w:val="24"/>
          <w:szCs w:val="24"/>
        </w:rPr>
        <w:t xml:space="preserve">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eastAsia="Arial" w:cs="Arial"/>
          <w:b/>
          <w:sz w:val="24"/>
          <w:szCs w:val="24"/>
        </w:rPr>
        <w:t xml:space="preserve">art. 140, inciso II, § 2º, Lei Federal 14.133/2021)</w:t>
      </w:r>
      <w:r>
        <w:rPr>
          <w:rFonts w:cs="Arial"/>
          <w:b/>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left="426"/>
        <w:rPr>
          <w:rFonts w:cs="Arial"/>
          <w:b/>
          <w:color w:val="000000"/>
          <w:sz w:val="24"/>
          <w:szCs w:val="24"/>
        </w:rPr>
      </w:pPr>
      <w:r>
        <w:rPr>
          <w:rFonts w:cs="Arial"/>
          <w:b/>
          <w:color w:val="000000"/>
          <w:sz w:val="24"/>
          <w:szCs w:val="24"/>
        </w:rPr>
      </w:r>
      <w:r>
        <w:rPr>
          <w:rFonts w:cs="Arial"/>
          <w:b/>
          <w:color w:val="000000"/>
          <w:sz w:val="24"/>
          <w:szCs w:val="24"/>
        </w:rPr>
      </w:r>
    </w:p>
    <w:p>
      <w:pPr>
        <w:pStyle w:val="995"/>
        <w:numPr>
          <w:ilvl w:val="0"/>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color w:val="000000"/>
          <w:sz w:val="24"/>
          <w:szCs w:val="24"/>
        </w:rPr>
      </w:pPr>
      <w:r>
        <w:rPr>
          <w:rFonts w:eastAsia="Arial" w:cs="Arial"/>
          <w:b/>
          <w:sz w:val="24"/>
          <w:szCs w:val="24"/>
        </w:rPr>
        <w:t xml:space="preserve">DOS REQUISITOS DA CONTRATAÇÃO </w:t>
      </w:r>
      <w:r>
        <w:rPr>
          <w:rFonts w:eastAsia="Arial" w:cs="Arial"/>
          <w:color w:val="00b050"/>
          <w:sz w:val="24"/>
          <w:szCs w:val="24"/>
        </w:rPr>
        <w:t xml:space="preserve">(</w:t>
      </w:r>
      <w:r>
        <w:rPr>
          <w:rFonts w:eastAsia="Arial" w:cs="Arial"/>
          <w:color w:val="00b050"/>
          <w:sz w:val="24"/>
          <w:szCs w:val="24"/>
        </w:rPr>
        <w:t xml:space="preserve">Art. 6º, XXIII, “d” da Lei 14.133/21)</w:t>
      </w:r>
      <w:r>
        <w:rPr>
          <w:rFonts w:cs="Arial"/>
          <w:color w:val="000000"/>
          <w:sz w:val="24"/>
          <w:szCs w:val="24"/>
        </w:rPr>
      </w:r>
    </w:p>
    <w:p>
      <w:pPr>
        <w:pStyle w:val="995"/>
        <w:numPr>
          <w:ilvl w:val="1"/>
          <w:numId w:val="43"/>
        </w:num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color w:val="000000"/>
          <w:sz w:val="24"/>
          <w:szCs w:val="24"/>
        </w:rPr>
      </w:pPr>
      <w:r>
        <w:rPr>
          <w:rFonts w:eastAsia="Arial" w:cs="Arial"/>
          <w:b/>
          <w:caps/>
          <w:sz w:val="24"/>
          <w:szCs w:val="24"/>
        </w:rPr>
        <w:t xml:space="preserve">Obrigações e Responsabilidades</w:t>
      </w:r>
      <w:r>
        <w:rPr>
          <w:rFonts w:cs="Arial"/>
          <w:color w:val="000000"/>
          <w:sz w:val="24"/>
          <w:szCs w:val="24"/>
        </w:rPr>
      </w:r>
    </w:p>
    <w:p>
      <w:pPr>
        <w:pStyle w:val="995"/>
        <w:numPr>
          <w:ilvl w:val="2"/>
          <w:numId w:val="43"/>
        </w:numPr>
        <w:pBdr>
          <w:top w:val="none" w:color="000000" w:sz="4" w:space="0"/>
          <w:left w:val="none" w:color="000000" w:sz="4" w:space="0"/>
          <w:bottom w:val="none" w:color="000000" w:sz="4" w:space="0"/>
          <w:right w:val="none" w:color="000000" w:sz="4" w:space="0"/>
          <w:between w:val="none" w:color="000000" w:sz="4" w:space="0"/>
        </w:pBdr>
        <w:spacing w:line="276" w:lineRule="auto"/>
        <w:ind/>
        <w:rPr>
          <w:rFonts w:cs="Arial"/>
          <w:sz w:val="24"/>
          <w:szCs w:val="24"/>
        </w:rPr>
      </w:pPr>
      <w:r>
        <w:rPr>
          <w:rFonts w:eastAsia="Arial" w:cs="Arial"/>
          <w:b/>
          <w:color w:val="000000"/>
          <w:sz w:val="24"/>
          <w:szCs w:val="24"/>
        </w:rPr>
        <w:t xml:space="preserve">DAS OBRIGAÇÕES DA CONTRATADA</w:t>
      </w:r>
      <w:r>
        <w:rPr>
          <w:rFonts w:cs="Arial"/>
          <w:sz w:val="24"/>
          <w:szCs w:val="24"/>
        </w:rPr>
      </w:r>
    </w:p>
    <w:p>
      <w:pPr>
        <w:pStyle w:val="995"/>
        <w:pBdr/>
        <w:tabs>
          <w:tab w:val="num" w:leader="none" w:pos="720"/>
        </w:tabs>
        <w:spacing w:line="276" w:lineRule="auto"/>
        <w:ind w:left="390"/>
        <w:rPr>
          <w:rFonts w:cs="Arial"/>
          <w:b/>
          <w:sz w:val="24"/>
          <w:szCs w:val="24"/>
        </w:rPr>
      </w:pPr>
      <w:r>
        <w:rPr>
          <w:rFonts w:eastAsia="Arial" w:cs="Arial"/>
          <w:b/>
          <w:sz w:val="24"/>
          <w:szCs w:val="24"/>
        </w:rPr>
        <w:t xml:space="preserve"> </w:t>
      </w:r>
      <w:r>
        <w:rPr>
          <w:rFonts w:cs="Arial"/>
          <w:b/>
          <w:sz w:val="24"/>
          <w:szCs w:val="24"/>
        </w:rPr>
      </w:r>
    </w:p>
    <w:p>
      <w:pPr>
        <w:pStyle w:val="995"/>
        <w:widowControl w:val="false"/>
        <w:numPr>
          <w:ilvl w:val="0"/>
          <w:numId w:val="45"/>
        </w:numPr>
        <w:pBdr/>
        <w:tabs>
          <w:tab w:val="left" w:leader="none" w:pos="1583"/>
        </w:tabs>
        <w:spacing w:before="240" w:line="276" w:lineRule="auto"/>
        <w:ind/>
        <w:rPr>
          <w:rFonts w:cs="Arial"/>
          <w:sz w:val="24"/>
          <w:szCs w:val="24"/>
        </w:rPr>
      </w:pPr>
      <w:r>
        <w:rPr>
          <w:rFonts w:eastAsia="Arial" w:cs="Arial"/>
          <w:sz w:val="24"/>
          <w:szCs w:val="24"/>
        </w:rPr>
        <w:t xml:space="preserve">cumprir fielmente o que estabelece as cláusulas e condições do contrato, de forma</w:t>
      </w:r>
      <w:r>
        <w:rPr>
          <w:rFonts w:eastAsia="Arial" w:cs="Arial"/>
          <w:spacing w:val="1"/>
          <w:sz w:val="24"/>
          <w:szCs w:val="24"/>
        </w:rPr>
        <w:t xml:space="preserve"> </w:t>
      </w:r>
      <w:r>
        <w:rPr>
          <w:rFonts w:eastAsia="Arial" w:cs="Arial"/>
          <w:sz w:val="24"/>
          <w:szCs w:val="24"/>
        </w:rPr>
        <w:t xml:space="preserve">que os serviços a serem executados mantenham os veículos em condições de perfeito,</w:t>
      </w:r>
      <w:r>
        <w:rPr>
          <w:rFonts w:eastAsia="Arial" w:cs="Arial"/>
          <w:spacing w:val="-64"/>
          <w:sz w:val="24"/>
          <w:szCs w:val="24"/>
        </w:rPr>
        <w:t xml:space="preserve"> </w:t>
      </w:r>
      <w:r>
        <w:rPr>
          <w:rFonts w:eastAsia="Arial" w:cs="Arial"/>
          <w:sz w:val="24"/>
          <w:szCs w:val="24"/>
        </w:rPr>
        <w:t xml:space="preserve">ininterrupto</w:t>
      </w:r>
      <w:r>
        <w:rPr>
          <w:rFonts w:eastAsia="Arial" w:cs="Arial"/>
          <w:spacing w:val="1"/>
          <w:sz w:val="24"/>
          <w:szCs w:val="24"/>
        </w:rPr>
        <w:t xml:space="preserve"> </w:t>
      </w:r>
      <w:r>
        <w:rPr>
          <w:rFonts w:eastAsia="Arial" w:cs="Arial"/>
          <w:sz w:val="24"/>
          <w:szCs w:val="24"/>
        </w:rPr>
        <w:t xml:space="preserve">e</w:t>
      </w:r>
      <w:r>
        <w:rPr>
          <w:rFonts w:eastAsia="Arial" w:cs="Arial"/>
          <w:spacing w:val="1"/>
          <w:sz w:val="24"/>
          <w:szCs w:val="24"/>
        </w:rPr>
        <w:t xml:space="preserve"> </w:t>
      </w:r>
      <w:r>
        <w:rPr>
          <w:rFonts w:eastAsia="Arial" w:cs="Arial"/>
          <w:sz w:val="24"/>
          <w:szCs w:val="24"/>
        </w:rPr>
        <w:t xml:space="preserve">regular</w:t>
      </w:r>
      <w:r>
        <w:rPr>
          <w:rFonts w:eastAsia="Arial" w:cs="Arial"/>
          <w:spacing w:val="1"/>
          <w:sz w:val="24"/>
          <w:szCs w:val="24"/>
        </w:rPr>
        <w:t xml:space="preserve"> </w:t>
      </w:r>
      <w:r>
        <w:rPr>
          <w:rFonts w:eastAsia="Arial" w:cs="Arial"/>
          <w:sz w:val="24"/>
          <w:szCs w:val="24"/>
        </w:rPr>
        <w:t xml:space="preserve">funcionamento,</w:t>
      </w:r>
      <w:r>
        <w:rPr>
          <w:rFonts w:eastAsia="Arial" w:cs="Arial"/>
          <w:spacing w:val="1"/>
          <w:sz w:val="24"/>
          <w:szCs w:val="24"/>
        </w:rPr>
        <w:t xml:space="preserve"> </w:t>
      </w:r>
      <w:r>
        <w:rPr>
          <w:rFonts w:eastAsia="Arial" w:cs="Arial"/>
          <w:sz w:val="24"/>
          <w:szCs w:val="24"/>
        </w:rPr>
        <w:t xml:space="preserve">mediante</w:t>
      </w:r>
      <w:r>
        <w:rPr>
          <w:rFonts w:eastAsia="Arial" w:cs="Arial"/>
          <w:spacing w:val="1"/>
          <w:sz w:val="24"/>
          <w:szCs w:val="24"/>
        </w:rPr>
        <w:t xml:space="preserve"> </w:t>
      </w:r>
      <w:r>
        <w:rPr>
          <w:rFonts w:eastAsia="Arial" w:cs="Arial"/>
          <w:sz w:val="24"/>
          <w:szCs w:val="24"/>
        </w:rPr>
        <w:t xml:space="preserve">assistência</w:t>
      </w:r>
      <w:r>
        <w:rPr>
          <w:rFonts w:eastAsia="Arial" w:cs="Arial"/>
          <w:spacing w:val="1"/>
          <w:sz w:val="24"/>
          <w:szCs w:val="24"/>
        </w:rPr>
        <w:t xml:space="preserve"> </w:t>
      </w:r>
      <w:r>
        <w:rPr>
          <w:rFonts w:eastAsia="Arial" w:cs="Arial"/>
          <w:sz w:val="24"/>
          <w:szCs w:val="24"/>
        </w:rPr>
        <w:t xml:space="preserve">técnica</w:t>
      </w:r>
      <w:r>
        <w:rPr>
          <w:rFonts w:eastAsia="Arial" w:cs="Arial"/>
          <w:spacing w:val="1"/>
          <w:sz w:val="24"/>
          <w:szCs w:val="24"/>
        </w:rPr>
        <w:t xml:space="preserve"> </w:t>
      </w:r>
      <w:r>
        <w:rPr>
          <w:rFonts w:eastAsia="Arial" w:cs="Arial"/>
          <w:sz w:val="24"/>
          <w:szCs w:val="24"/>
        </w:rPr>
        <w:t xml:space="preserve">e</w:t>
      </w:r>
      <w:r>
        <w:rPr>
          <w:rFonts w:eastAsia="Arial" w:cs="Arial"/>
          <w:spacing w:val="1"/>
          <w:sz w:val="24"/>
          <w:szCs w:val="24"/>
        </w:rPr>
        <w:t xml:space="preserve"> </w:t>
      </w:r>
      <w:r>
        <w:rPr>
          <w:rFonts w:eastAsia="Arial" w:cs="Arial"/>
          <w:sz w:val="24"/>
          <w:szCs w:val="24"/>
        </w:rPr>
        <w:t xml:space="preserve">serviços</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manutenção</w:t>
      </w:r>
      <w:r>
        <w:rPr>
          <w:rFonts w:eastAsia="Arial" w:cs="Arial"/>
          <w:spacing w:val="1"/>
          <w:sz w:val="24"/>
          <w:szCs w:val="24"/>
        </w:rPr>
        <w:t xml:space="preserve"> </w:t>
      </w:r>
      <w:r>
        <w:rPr>
          <w:rFonts w:eastAsia="Arial" w:cs="Arial"/>
          <w:sz w:val="24"/>
          <w:szCs w:val="24"/>
        </w:rPr>
        <w:t xml:space="preserve">preventiva</w:t>
      </w:r>
      <w:r>
        <w:rPr>
          <w:rFonts w:eastAsia="Arial" w:cs="Arial"/>
          <w:spacing w:val="1"/>
          <w:sz w:val="24"/>
          <w:szCs w:val="24"/>
        </w:rPr>
        <w:t xml:space="preserve"> </w:t>
      </w:r>
      <w:r>
        <w:rPr>
          <w:rFonts w:eastAsia="Arial" w:cs="Arial"/>
          <w:sz w:val="24"/>
          <w:szCs w:val="24"/>
        </w:rPr>
        <w:t xml:space="preserve">e</w:t>
      </w:r>
      <w:r>
        <w:rPr>
          <w:rFonts w:eastAsia="Arial" w:cs="Arial"/>
          <w:spacing w:val="1"/>
          <w:sz w:val="24"/>
          <w:szCs w:val="24"/>
        </w:rPr>
        <w:t xml:space="preserve"> </w:t>
      </w:r>
      <w:r>
        <w:rPr>
          <w:rFonts w:eastAsia="Arial" w:cs="Arial"/>
          <w:sz w:val="24"/>
          <w:szCs w:val="24"/>
        </w:rPr>
        <w:t xml:space="preserve">corretiva</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defeitos</w:t>
      </w:r>
      <w:r>
        <w:rPr>
          <w:rFonts w:eastAsia="Arial" w:cs="Arial"/>
          <w:spacing w:val="1"/>
          <w:sz w:val="24"/>
          <w:szCs w:val="24"/>
        </w:rPr>
        <w:t xml:space="preserve"> </w:t>
      </w:r>
      <w:r>
        <w:rPr>
          <w:rFonts w:eastAsia="Arial" w:cs="Arial"/>
          <w:sz w:val="24"/>
          <w:szCs w:val="24"/>
        </w:rPr>
        <w:t xml:space="preserve">e</w:t>
      </w:r>
      <w:r>
        <w:rPr>
          <w:rFonts w:eastAsia="Arial" w:cs="Arial"/>
          <w:spacing w:val="1"/>
          <w:sz w:val="24"/>
          <w:szCs w:val="24"/>
        </w:rPr>
        <w:t xml:space="preserve"> </w:t>
      </w:r>
      <w:r>
        <w:rPr>
          <w:rFonts w:eastAsia="Arial" w:cs="Arial"/>
          <w:sz w:val="24"/>
          <w:szCs w:val="24"/>
        </w:rPr>
        <w:t xml:space="preserve">verificações</w:t>
      </w:r>
      <w:r>
        <w:rPr>
          <w:rFonts w:eastAsia="Arial" w:cs="Arial"/>
          <w:spacing w:val="1"/>
          <w:sz w:val="24"/>
          <w:szCs w:val="24"/>
        </w:rPr>
        <w:t xml:space="preserve"> </w:t>
      </w:r>
      <w:r>
        <w:rPr>
          <w:rFonts w:eastAsia="Arial" w:cs="Arial"/>
          <w:sz w:val="24"/>
          <w:szCs w:val="24"/>
        </w:rPr>
        <w:t xml:space="preserve">que</w:t>
      </w:r>
      <w:r>
        <w:rPr>
          <w:rFonts w:eastAsia="Arial" w:cs="Arial"/>
          <w:spacing w:val="1"/>
          <w:sz w:val="24"/>
          <w:szCs w:val="24"/>
        </w:rPr>
        <w:t xml:space="preserve"> </w:t>
      </w:r>
      <w:r>
        <w:rPr>
          <w:rFonts w:eastAsia="Arial" w:cs="Arial"/>
          <w:sz w:val="24"/>
          <w:szCs w:val="24"/>
        </w:rPr>
        <w:t xml:space="preserve">se</w:t>
      </w:r>
      <w:r>
        <w:rPr>
          <w:rFonts w:eastAsia="Arial" w:cs="Arial"/>
          <w:spacing w:val="1"/>
          <w:sz w:val="24"/>
          <w:szCs w:val="24"/>
        </w:rPr>
        <w:t xml:space="preserve"> </w:t>
      </w:r>
      <w:r>
        <w:rPr>
          <w:rFonts w:eastAsia="Arial" w:cs="Arial"/>
          <w:sz w:val="24"/>
          <w:szCs w:val="24"/>
        </w:rPr>
        <w:t xml:space="preserve">fizerem</w:t>
      </w:r>
      <w:r>
        <w:rPr>
          <w:rFonts w:eastAsia="Arial" w:cs="Arial"/>
          <w:spacing w:val="1"/>
          <w:sz w:val="24"/>
          <w:szCs w:val="24"/>
        </w:rPr>
        <w:t xml:space="preserve"> </w:t>
      </w:r>
      <w:r>
        <w:rPr>
          <w:rFonts w:eastAsia="Arial" w:cs="Arial"/>
          <w:sz w:val="24"/>
          <w:szCs w:val="24"/>
        </w:rPr>
        <w:t xml:space="preserve">necessárias, efetuando-se os consertos e lubrificações, bem como todos os demais</w:t>
      </w:r>
      <w:r>
        <w:rPr>
          <w:rFonts w:eastAsia="Arial" w:cs="Arial"/>
          <w:spacing w:val="1"/>
          <w:sz w:val="24"/>
          <w:szCs w:val="24"/>
        </w:rPr>
        <w:t xml:space="preserve"> </w:t>
      </w:r>
      <w:r>
        <w:rPr>
          <w:rFonts w:eastAsia="Arial" w:cs="Arial"/>
          <w:sz w:val="24"/>
          <w:szCs w:val="24"/>
        </w:rPr>
        <w:t xml:space="preserve">serviços</w:t>
      </w:r>
      <w:r>
        <w:rPr>
          <w:rFonts w:eastAsia="Arial" w:cs="Arial"/>
          <w:spacing w:val="-1"/>
          <w:sz w:val="24"/>
          <w:szCs w:val="24"/>
        </w:rPr>
        <w:t xml:space="preserve"> </w:t>
      </w:r>
      <w:r>
        <w:rPr>
          <w:rFonts w:eastAsia="Arial" w:cs="Arial"/>
          <w:sz w:val="24"/>
          <w:szCs w:val="24"/>
        </w:rPr>
        <w:t xml:space="preserve">recomendados para</w:t>
      </w:r>
      <w:r>
        <w:rPr>
          <w:rFonts w:eastAsia="Arial" w:cs="Arial"/>
          <w:spacing w:val="-1"/>
          <w:sz w:val="24"/>
          <w:szCs w:val="24"/>
        </w:rPr>
        <w:t xml:space="preserve"> </w:t>
      </w:r>
      <w:r>
        <w:rPr>
          <w:rFonts w:eastAsia="Arial" w:cs="Arial"/>
          <w:sz w:val="24"/>
          <w:szCs w:val="24"/>
        </w:rPr>
        <w:t xml:space="preserve">sua</w:t>
      </w:r>
      <w:r>
        <w:rPr>
          <w:rFonts w:eastAsia="Arial" w:cs="Arial"/>
          <w:spacing w:val="-2"/>
          <w:sz w:val="24"/>
          <w:szCs w:val="24"/>
        </w:rPr>
        <w:t xml:space="preserve"> </w:t>
      </w:r>
      <w:r>
        <w:rPr>
          <w:rFonts w:eastAsia="Arial" w:cs="Arial"/>
          <w:sz w:val="24"/>
          <w:szCs w:val="24"/>
        </w:rPr>
        <w:t xml:space="preserve">manutenção adequada;</w:t>
      </w:r>
      <w:r>
        <w:rPr>
          <w:rFonts w:cs="Arial"/>
          <w:sz w:val="24"/>
          <w:szCs w:val="24"/>
        </w:rPr>
      </w:r>
    </w:p>
    <w:p>
      <w:pPr>
        <w:pStyle w:val="995"/>
        <w:widowControl w:val="false"/>
        <w:pBdr/>
        <w:tabs>
          <w:tab w:val="left" w:leader="none" w:pos="1583"/>
        </w:tabs>
        <w:spacing w:before="240" w:line="276" w:lineRule="auto"/>
        <w:ind w:left="750"/>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583"/>
        </w:tabs>
        <w:spacing w:before="240" w:line="276" w:lineRule="auto"/>
        <w:ind/>
        <w:rPr>
          <w:rFonts w:cs="Arial"/>
          <w:sz w:val="24"/>
          <w:szCs w:val="24"/>
        </w:rPr>
      </w:pPr>
      <w:r>
        <w:rPr>
          <w:rFonts w:eastAsia="Arial" w:cs="Arial"/>
          <w:sz w:val="24"/>
          <w:szCs w:val="24"/>
        </w:rPr>
        <w:t xml:space="preserve">realizar a manutenção preventiva e corretiva mediante emissão de ordem de serviço e</w:t>
      </w:r>
      <w:r>
        <w:rPr>
          <w:rFonts w:eastAsia="Arial" w:cs="Arial"/>
          <w:spacing w:val="1"/>
          <w:sz w:val="24"/>
          <w:szCs w:val="24"/>
        </w:rPr>
        <w:t xml:space="preserve"> </w:t>
      </w:r>
      <w:r>
        <w:rPr>
          <w:rFonts w:eastAsia="Arial" w:cs="Arial"/>
          <w:sz w:val="24"/>
          <w:szCs w:val="24"/>
        </w:rPr>
        <w:t xml:space="preserve">após</w:t>
      </w:r>
      <w:r>
        <w:rPr>
          <w:rFonts w:eastAsia="Arial" w:cs="Arial"/>
          <w:spacing w:val="1"/>
          <w:sz w:val="24"/>
          <w:szCs w:val="24"/>
        </w:rPr>
        <w:t xml:space="preserve"> </w:t>
      </w:r>
      <w:r>
        <w:rPr>
          <w:rFonts w:eastAsia="Arial" w:cs="Arial"/>
          <w:sz w:val="24"/>
          <w:szCs w:val="24"/>
        </w:rPr>
        <w:t xml:space="preserve">autorização</w:t>
      </w:r>
      <w:r>
        <w:rPr>
          <w:rFonts w:eastAsia="Arial" w:cs="Arial"/>
          <w:spacing w:val="1"/>
          <w:sz w:val="24"/>
          <w:szCs w:val="24"/>
        </w:rPr>
        <w:t xml:space="preserve"> </w:t>
      </w:r>
      <w:r>
        <w:rPr>
          <w:rFonts w:eastAsia="Arial" w:cs="Arial"/>
          <w:sz w:val="24"/>
          <w:szCs w:val="24"/>
        </w:rPr>
        <w:t xml:space="preserve">do</w:t>
      </w:r>
      <w:r>
        <w:rPr>
          <w:rFonts w:eastAsia="Arial" w:cs="Arial"/>
          <w:spacing w:val="1"/>
          <w:sz w:val="24"/>
          <w:szCs w:val="24"/>
        </w:rPr>
        <w:t xml:space="preserve"> </w:t>
      </w:r>
      <w:r>
        <w:rPr>
          <w:rFonts w:eastAsia="Arial" w:cs="Arial"/>
          <w:sz w:val="24"/>
          <w:szCs w:val="24"/>
        </w:rPr>
        <w:t xml:space="preserve">orçamento</w:t>
      </w:r>
      <w:r>
        <w:rPr>
          <w:rFonts w:eastAsia="Arial" w:cs="Arial"/>
          <w:spacing w:val="1"/>
          <w:sz w:val="24"/>
          <w:szCs w:val="24"/>
        </w:rPr>
        <w:t xml:space="preserve"> </w:t>
      </w:r>
      <w:r>
        <w:rPr>
          <w:rFonts w:eastAsia="Arial" w:cs="Arial"/>
          <w:sz w:val="24"/>
          <w:szCs w:val="24"/>
        </w:rPr>
        <w:t xml:space="preserve">apresentado,</w:t>
      </w:r>
      <w:r>
        <w:rPr>
          <w:rFonts w:eastAsia="Arial" w:cs="Arial"/>
          <w:spacing w:val="1"/>
          <w:sz w:val="24"/>
          <w:szCs w:val="24"/>
        </w:rPr>
        <w:t xml:space="preserve"> </w:t>
      </w:r>
      <w:r>
        <w:rPr>
          <w:rFonts w:eastAsia="Arial" w:cs="Arial"/>
          <w:sz w:val="24"/>
          <w:szCs w:val="24"/>
        </w:rPr>
        <w:t xml:space="preserve">a</w:t>
      </w:r>
      <w:r>
        <w:rPr>
          <w:rFonts w:eastAsia="Arial" w:cs="Arial"/>
          <w:spacing w:val="1"/>
          <w:sz w:val="24"/>
          <w:szCs w:val="24"/>
        </w:rPr>
        <w:t xml:space="preserve"> </w:t>
      </w:r>
      <w:r>
        <w:rPr>
          <w:rFonts w:eastAsia="Arial" w:cs="Arial"/>
          <w:sz w:val="24"/>
          <w:szCs w:val="24"/>
        </w:rPr>
        <w:t xml:space="preserve">qual</w:t>
      </w:r>
      <w:r>
        <w:rPr>
          <w:rFonts w:eastAsia="Arial" w:cs="Arial"/>
          <w:spacing w:val="1"/>
          <w:sz w:val="24"/>
          <w:szCs w:val="24"/>
        </w:rPr>
        <w:t xml:space="preserve"> </w:t>
      </w:r>
      <w:r>
        <w:rPr>
          <w:rFonts w:eastAsia="Arial" w:cs="Arial"/>
          <w:sz w:val="24"/>
          <w:szCs w:val="24"/>
        </w:rPr>
        <w:t xml:space="preserve">terá</w:t>
      </w:r>
      <w:r>
        <w:rPr>
          <w:rFonts w:eastAsia="Arial" w:cs="Arial"/>
          <w:spacing w:val="1"/>
          <w:sz w:val="24"/>
          <w:szCs w:val="24"/>
        </w:rPr>
        <w:t xml:space="preserve"> </w:t>
      </w:r>
      <w:r>
        <w:rPr>
          <w:rFonts w:eastAsia="Arial" w:cs="Arial"/>
          <w:sz w:val="24"/>
          <w:szCs w:val="24"/>
        </w:rPr>
        <w:t xml:space="preserve">por</w:t>
      </w:r>
      <w:r>
        <w:rPr>
          <w:rFonts w:eastAsia="Arial" w:cs="Arial"/>
          <w:spacing w:val="1"/>
          <w:sz w:val="24"/>
          <w:szCs w:val="24"/>
        </w:rPr>
        <w:t xml:space="preserve"> </w:t>
      </w:r>
      <w:r>
        <w:rPr>
          <w:rFonts w:eastAsia="Arial" w:cs="Arial"/>
          <w:sz w:val="24"/>
          <w:szCs w:val="24"/>
        </w:rPr>
        <w:t xml:space="preserve">finalidade</w:t>
      </w:r>
      <w:r>
        <w:rPr>
          <w:rFonts w:eastAsia="Arial" w:cs="Arial"/>
          <w:spacing w:val="66"/>
          <w:sz w:val="24"/>
          <w:szCs w:val="24"/>
        </w:rPr>
        <w:t xml:space="preserve"> </w:t>
      </w:r>
      <w:r>
        <w:rPr>
          <w:rFonts w:eastAsia="Arial" w:cs="Arial"/>
          <w:sz w:val="24"/>
          <w:szCs w:val="24"/>
        </w:rPr>
        <w:t xml:space="preserve">corrigir</w:t>
      </w:r>
      <w:r>
        <w:rPr>
          <w:rFonts w:eastAsia="Arial" w:cs="Arial"/>
          <w:spacing w:val="1"/>
          <w:sz w:val="24"/>
          <w:szCs w:val="24"/>
        </w:rPr>
        <w:t xml:space="preserve"> </w:t>
      </w:r>
      <w:r>
        <w:rPr>
          <w:rFonts w:eastAsia="Arial" w:cs="Arial"/>
          <w:sz w:val="24"/>
          <w:szCs w:val="24"/>
        </w:rPr>
        <w:t xml:space="preserve">possíveis falhas, efetuando-se os necessários ajustes, reparos e consertos, inclusive a</w:t>
      </w:r>
      <w:r>
        <w:rPr>
          <w:rFonts w:eastAsia="Arial" w:cs="Arial"/>
          <w:spacing w:val="1"/>
          <w:sz w:val="24"/>
          <w:szCs w:val="24"/>
        </w:rPr>
        <w:t xml:space="preserve"> </w:t>
      </w:r>
      <w:r>
        <w:rPr>
          <w:rFonts w:eastAsia="Arial" w:cs="Arial"/>
          <w:sz w:val="24"/>
          <w:szCs w:val="24"/>
        </w:rPr>
        <w:t xml:space="preserve">substituição</w:t>
      </w:r>
      <w:r>
        <w:rPr>
          <w:rFonts w:eastAsia="Arial" w:cs="Arial"/>
          <w:spacing w:val="-1"/>
          <w:sz w:val="24"/>
          <w:szCs w:val="24"/>
        </w:rPr>
        <w:t xml:space="preserve"> </w:t>
      </w:r>
      <w:r>
        <w:rPr>
          <w:rFonts w:eastAsia="Arial" w:cs="Arial"/>
          <w:sz w:val="24"/>
          <w:szCs w:val="24"/>
        </w:rPr>
        <w:t xml:space="preserve">de peças</w:t>
      </w:r>
      <w:r>
        <w:rPr>
          <w:rFonts w:eastAsia="Arial" w:cs="Arial"/>
          <w:spacing w:val="-2"/>
          <w:sz w:val="24"/>
          <w:szCs w:val="24"/>
        </w:rPr>
        <w:t xml:space="preserve"> </w:t>
      </w:r>
      <w:r>
        <w:rPr>
          <w:rFonts w:eastAsia="Arial" w:cs="Arial"/>
          <w:sz w:val="24"/>
          <w:szCs w:val="24"/>
        </w:rPr>
        <w:t xml:space="preserve">desgastadas pelo</w:t>
      </w:r>
      <w:r>
        <w:rPr>
          <w:rFonts w:eastAsia="Arial" w:cs="Arial"/>
          <w:spacing w:val="-2"/>
          <w:sz w:val="24"/>
          <w:szCs w:val="24"/>
        </w:rPr>
        <w:t xml:space="preserve"> </w:t>
      </w:r>
      <w:r>
        <w:rPr>
          <w:rFonts w:eastAsia="Arial" w:cs="Arial"/>
          <w:sz w:val="24"/>
          <w:szCs w:val="24"/>
        </w:rPr>
        <w:t xml:space="preserve">uso;</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583"/>
        </w:tabs>
        <w:spacing w:before="240" w:line="276" w:lineRule="auto"/>
        <w:ind/>
        <w:rPr>
          <w:rFonts w:cs="Arial"/>
          <w:sz w:val="24"/>
          <w:szCs w:val="24"/>
        </w:rPr>
      </w:pPr>
      <w:r>
        <w:rPr>
          <w:rFonts w:eastAsia="Arial" w:cs="Arial"/>
          <w:sz w:val="24"/>
          <w:szCs w:val="24"/>
        </w:rPr>
        <w:t xml:space="preserve">disponibilizar todas as ferramentas e equipamentos necessários ao tipo de serviço a</w:t>
      </w:r>
      <w:r>
        <w:rPr>
          <w:rFonts w:eastAsia="Arial" w:cs="Arial"/>
          <w:spacing w:val="1"/>
          <w:sz w:val="24"/>
          <w:szCs w:val="24"/>
        </w:rPr>
        <w:t xml:space="preserve"> </w:t>
      </w:r>
      <w:r>
        <w:rPr>
          <w:rFonts w:eastAsia="Arial" w:cs="Arial"/>
          <w:sz w:val="24"/>
          <w:szCs w:val="24"/>
        </w:rPr>
        <w:t xml:space="preserve">ser</w:t>
      </w:r>
      <w:r>
        <w:rPr>
          <w:rFonts w:eastAsia="Arial" w:cs="Arial"/>
          <w:spacing w:val="-1"/>
          <w:sz w:val="24"/>
          <w:szCs w:val="24"/>
        </w:rPr>
        <w:t xml:space="preserve"> </w:t>
      </w:r>
      <w:r>
        <w:rPr>
          <w:rFonts w:eastAsia="Arial" w:cs="Arial"/>
          <w:sz w:val="24"/>
          <w:szCs w:val="24"/>
        </w:rPr>
        <w:t xml:space="preserve">realizado;</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595"/>
        </w:tabs>
        <w:spacing w:before="240" w:line="276" w:lineRule="auto"/>
        <w:ind/>
        <w:rPr>
          <w:rFonts w:cs="Arial"/>
          <w:sz w:val="24"/>
          <w:szCs w:val="24"/>
        </w:rPr>
      </w:pPr>
      <w:r>
        <w:rPr>
          <w:rFonts w:eastAsia="Arial" w:cs="Arial"/>
          <w:sz w:val="24"/>
          <w:szCs w:val="24"/>
        </w:rPr>
        <w:t xml:space="preserve">garantir</w:t>
      </w:r>
      <w:r>
        <w:rPr>
          <w:rFonts w:eastAsia="Arial" w:cs="Arial"/>
          <w:spacing w:val="1"/>
          <w:sz w:val="24"/>
          <w:szCs w:val="24"/>
        </w:rPr>
        <w:t xml:space="preserve"> </w:t>
      </w:r>
      <w:r>
        <w:rPr>
          <w:rFonts w:eastAsia="Arial" w:cs="Arial"/>
          <w:sz w:val="24"/>
          <w:szCs w:val="24"/>
        </w:rPr>
        <w:t xml:space="preserve">o</w:t>
      </w:r>
      <w:r>
        <w:rPr>
          <w:rFonts w:eastAsia="Arial" w:cs="Arial"/>
          <w:spacing w:val="1"/>
          <w:sz w:val="24"/>
          <w:szCs w:val="24"/>
        </w:rPr>
        <w:t xml:space="preserve"> </w:t>
      </w:r>
      <w:r>
        <w:rPr>
          <w:rFonts w:eastAsia="Arial" w:cs="Arial"/>
          <w:sz w:val="24"/>
          <w:szCs w:val="24"/>
        </w:rPr>
        <w:t xml:space="preserve">perfeito funcionamento</w:t>
      </w:r>
      <w:r>
        <w:rPr>
          <w:rFonts w:eastAsia="Arial" w:cs="Arial"/>
          <w:spacing w:val="1"/>
          <w:sz w:val="24"/>
          <w:szCs w:val="24"/>
        </w:rPr>
        <w:t xml:space="preserve"> </w:t>
      </w:r>
      <w:r>
        <w:rPr>
          <w:rFonts w:eastAsia="Arial" w:cs="Arial"/>
          <w:sz w:val="24"/>
          <w:szCs w:val="24"/>
        </w:rPr>
        <w:t xml:space="preserve">dos</w:t>
      </w:r>
      <w:r>
        <w:rPr>
          <w:rFonts w:eastAsia="Arial" w:cs="Arial"/>
          <w:spacing w:val="1"/>
          <w:sz w:val="24"/>
          <w:szCs w:val="24"/>
        </w:rPr>
        <w:t xml:space="preserve"> </w:t>
      </w:r>
      <w:r>
        <w:rPr>
          <w:rFonts w:eastAsia="Arial" w:cs="Arial"/>
          <w:sz w:val="24"/>
          <w:szCs w:val="24"/>
        </w:rPr>
        <w:t xml:space="preserve">serviços</w:t>
      </w:r>
      <w:r>
        <w:rPr>
          <w:rFonts w:eastAsia="Arial" w:cs="Arial"/>
          <w:spacing w:val="1"/>
          <w:sz w:val="24"/>
          <w:szCs w:val="24"/>
        </w:rPr>
        <w:t xml:space="preserve"> </w:t>
      </w:r>
      <w:r>
        <w:rPr>
          <w:rFonts w:eastAsia="Arial" w:cs="Arial"/>
          <w:sz w:val="24"/>
          <w:szCs w:val="24"/>
        </w:rPr>
        <w:t xml:space="preserve">executados durante 90</w:t>
      </w:r>
      <w:r>
        <w:rPr>
          <w:rFonts w:eastAsia="Arial" w:cs="Arial"/>
          <w:spacing w:val="66"/>
          <w:sz w:val="24"/>
          <w:szCs w:val="24"/>
        </w:rPr>
        <w:t xml:space="preserve"> </w:t>
      </w:r>
      <w:r>
        <w:rPr>
          <w:rFonts w:eastAsia="Arial" w:cs="Arial"/>
          <w:sz w:val="24"/>
          <w:szCs w:val="24"/>
        </w:rPr>
        <w:t xml:space="preserve">(noventa)</w:t>
      </w:r>
      <w:r>
        <w:rPr>
          <w:rFonts w:eastAsia="Arial" w:cs="Arial"/>
          <w:spacing w:val="1"/>
          <w:sz w:val="24"/>
          <w:szCs w:val="24"/>
        </w:rPr>
        <w:t xml:space="preserve"> </w:t>
      </w:r>
      <w:r>
        <w:rPr>
          <w:rFonts w:eastAsia="Arial" w:cs="Arial"/>
          <w:sz w:val="24"/>
          <w:szCs w:val="24"/>
        </w:rPr>
        <w:t xml:space="preserve">dias, mesmo após o término da vigência do contrato ou, na hipótese de falha técnica,</w:t>
      </w:r>
      <w:r>
        <w:rPr>
          <w:rFonts w:eastAsia="Arial" w:cs="Arial"/>
          <w:spacing w:val="1"/>
          <w:sz w:val="24"/>
          <w:szCs w:val="24"/>
        </w:rPr>
        <w:t xml:space="preserve"> </w:t>
      </w:r>
      <w:r>
        <w:rPr>
          <w:rFonts w:eastAsia="Arial" w:cs="Arial"/>
          <w:sz w:val="24"/>
          <w:szCs w:val="24"/>
        </w:rPr>
        <w:t xml:space="preserve">por culpa exclusiva e devidamente comprovada dos seus empregados e prepostos,</w:t>
      </w:r>
      <w:r>
        <w:rPr>
          <w:rFonts w:eastAsia="Arial" w:cs="Arial"/>
          <w:spacing w:val="1"/>
          <w:sz w:val="24"/>
          <w:szCs w:val="24"/>
        </w:rPr>
        <w:t xml:space="preserve"> </w:t>
      </w:r>
      <w:r>
        <w:rPr>
          <w:rFonts w:eastAsia="Arial" w:cs="Arial"/>
          <w:sz w:val="24"/>
          <w:szCs w:val="24"/>
        </w:rPr>
        <w:t xml:space="preserve">quando</w:t>
      </w:r>
      <w:r>
        <w:rPr>
          <w:rFonts w:eastAsia="Arial" w:cs="Arial"/>
          <w:spacing w:val="-3"/>
          <w:sz w:val="24"/>
          <w:szCs w:val="24"/>
        </w:rPr>
        <w:t xml:space="preserve"> </w:t>
      </w:r>
      <w:r>
        <w:rPr>
          <w:rFonts w:eastAsia="Arial" w:cs="Arial"/>
          <w:sz w:val="24"/>
          <w:szCs w:val="24"/>
        </w:rPr>
        <w:t xml:space="preserve">do cumprimento das</w:t>
      </w:r>
      <w:r>
        <w:rPr>
          <w:rFonts w:eastAsia="Arial" w:cs="Arial"/>
          <w:spacing w:val="-3"/>
          <w:sz w:val="24"/>
          <w:szCs w:val="24"/>
        </w:rPr>
        <w:t xml:space="preserve"> </w:t>
      </w:r>
      <w:r>
        <w:rPr>
          <w:rFonts w:eastAsia="Arial" w:cs="Arial"/>
          <w:sz w:val="24"/>
          <w:szCs w:val="24"/>
        </w:rPr>
        <w:t xml:space="preserve">obrigações;</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549"/>
        </w:tabs>
        <w:spacing w:before="240" w:line="276" w:lineRule="auto"/>
        <w:ind/>
        <w:rPr>
          <w:rFonts w:cs="Arial"/>
          <w:sz w:val="24"/>
          <w:szCs w:val="24"/>
        </w:rPr>
      </w:pPr>
      <w:r>
        <w:rPr>
          <w:rFonts w:eastAsia="Arial" w:cs="Arial"/>
          <w:sz w:val="24"/>
          <w:szCs w:val="24"/>
        </w:rPr>
        <w:t xml:space="preserve">assumir inteiramente a responsabilidade pelas obrigações decorrentes da legislação</w:t>
      </w:r>
      <w:r>
        <w:rPr>
          <w:rFonts w:eastAsia="Arial" w:cs="Arial"/>
          <w:spacing w:val="1"/>
          <w:sz w:val="24"/>
          <w:szCs w:val="24"/>
        </w:rPr>
        <w:t xml:space="preserve"> </w:t>
      </w:r>
      <w:r>
        <w:rPr>
          <w:rFonts w:eastAsia="Arial" w:cs="Arial"/>
          <w:sz w:val="24"/>
          <w:szCs w:val="24"/>
        </w:rPr>
        <w:t xml:space="preserve">trabalhista, previdenciária, de acidente de trabalho e quaisquer outras relativas a seu</w:t>
      </w:r>
      <w:r>
        <w:rPr>
          <w:rFonts w:eastAsia="Arial" w:cs="Arial"/>
          <w:spacing w:val="1"/>
          <w:sz w:val="24"/>
          <w:szCs w:val="24"/>
        </w:rPr>
        <w:t xml:space="preserve"> </w:t>
      </w:r>
      <w:r>
        <w:rPr>
          <w:rFonts w:eastAsia="Arial" w:cs="Arial"/>
          <w:sz w:val="24"/>
          <w:szCs w:val="24"/>
        </w:rPr>
        <w:t xml:space="preserve">pessoal,</w:t>
      </w:r>
      <w:r>
        <w:rPr>
          <w:rFonts w:eastAsia="Arial" w:cs="Arial"/>
          <w:spacing w:val="-1"/>
          <w:sz w:val="24"/>
          <w:szCs w:val="24"/>
        </w:rPr>
        <w:t xml:space="preserve"> </w:t>
      </w:r>
      <w:r>
        <w:rPr>
          <w:rFonts w:eastAsia="Arial" w:cs="Arial"/>
          <w:sz w:val="24"/>
          <w:szCs w:val="24"/>
        </w:rPr>
        <w:t xml:space="preserve">como</w:t>
      </w:r>
      <w:r>
        <w:rPr>
          <w:rFonts w:eastAsia="Arial" w:cs="Arial"/>
          <w:spacing w:val="-2"/>
          <w:sz w:val="24"/>
          <w:szCs w:val="24"/>
        </w:rPr>
        <w:t xml:space="preserve"> </w:t>
      </w:r>
      <w:r>
        <w:rPr>
          <w:rFonts w:eastAsia="Arial" w:cs="Arial"/>
          <w:sz w:val="24"/>
          <w:szCs w:val="24"/>
        </w:rPr>
        <w:t xml:space="preserve">a contratados e</w:t>
      </w:r>
      <w:r>
        <w:rPr>
          <w:rFonts w:eastAsia="Arial" w:cs="Arial"/>
          <w:spacing w:val="-1"/>
          <w:sz w:val="24"/>
          <w:szCs w:val="24"/>
        </w:rPr>
        <w:t xml:space="preserve"> </w:t>
      </w:r>
      <w:r>
        <w:rPr>
          <w:rFonts w:eastAsia="Arial" w:cs="Arial"/>
          <w:sz w:val="24"/>
          <w:szCs w:val="24"/>
        </w:rPr>
        <w:t xml:space="preserve">prepostos;</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610"/>
        </w:tabs>
        <w:spacing w:before="240" w:line="276" w:lineRule="auto"/>
        <w:ind/>
        <w:rPr>
          <w:rFonts w:cs="Arial"/>
          <w:sz w:val="24"/>
          <w:szCs w:val="24"/>
        </w:rPr>
      </w:pPr>
      <w:r>
        <w:rPr>
          <w:rFonts w:eastAsia="Arial" w:cs="Arial"/>
          <w:sz w:val="24"/>
          <w:szCs w:val="24"/>
        </w:rPr>
        <w:t xml:space="preserve">responsabilizar-se</w:t>
      </w:r>
      <w:r>
        <w:rPr>
          <w:rFonts w:eastAsia="Arial" w:cs="Arial"/>
          <w:spacing w:val="1"/>
          <w:sz w:val="24"/>
          <w:szCs w:val="24"/>
        </w:rPr>
        <w:t xml:space="preserve"> </w:t>
      </w:r>
      <w:r>
        <w:rPr>
          <w:rFonts w:eastAsia="Arial" w:cs="Arial"/>
          <w:sz w:val="24"/>
          <w:szCs w:val="24"/>
        </w:rPr>
        <w:t xml:space="preserve">integralmente</w:t>
      </w:r>
      <w:r>
        <w:rPr>
          <w:rFonts w:eastAsia="Arial" w:cs="Arial"/>
          <w:spacing w:val="1"/>
          <w:sz w:val="24"/>
          <w:szCs w:val="24"/>
        </w:rPr>
        <w:t xml:space="preserve"> </w:t>
      </w:r>
      <w:r>
        <w:rPr>
          <w:rFonts w:eastAsia="Arial" w:cs="Arial"/>
          <w:sz w:val="24"/>
          <w:szCs w:val="24"/>
        </w:rPr>
        <w:t xml:space="preserve">por</w:t>
      </w:r>
      <w:r>
        <w:rPr>
          <w:rFonts w:eastAsia="Arial" w:cs="Arial"/>
          <w:spacing w:val="1"/>
          <w:sz w:val="24"/>
          <w:szCs w:val="24"/>
        </w:rPr>
        <w:t xml:space="preserve"> </w:t>
      </w:r>
      <w:r>
        <w:rPr>
          <w:rFonts w:eastAsia="Arial" w:cs="Arial"/>
          <w:sz w:val="24"/>
          <w:szCs w:val="24"/>
        </w:rPr>
        <w:t xml:space="preserve">quaisquer</w:t>
      </w:r>
      <w:r>
        <w:rPr>
          <w:rFonts w:eastAsia="Arial" w:cs="Arial"/>
          <w:spacing w:val="1"/>
          <w:sz w:val="24"/>
          <w:szCs w:val="24"/>
        </w:rPr>
        <w:t xml:space="preserve"> </w:t>
      </w:r>
      <w:r>
        <w:rPr>
          <w:rFonts w:eastAsia="Arial" w:cs="Arial"/>
          <w:sz w:val="24"/>
          <w:szCs w:val="24"/>
        </w:rPr>
        <w:t xml:space="preserve">danos</w:t>
      </w:r>
      <w:r>
        <w:rPr>
          <w:rFonts w:eastAsia="Arial" w:cs="Arial"/>
          <w:spacing w:val="1"/>
          <w:sz w:val="24"/>
          <w:szCs w:val="24"/>
        </w:rPr>
        <w:t xml:space="preserve"> </w:t>
      </w:r>
      <w:r>
        <w:rPr>
          <w:rFonts w:eastAsia="Arial" w:cs="Arial"/>
          <w:sz w:val="24"/>
          <w:szCs w:val="24"/>
        </w:rPr>
        <w:t xml:space="preserve">ou</w:t>
      </w:r>
      <w:r>
        <w:rPr>
          <w:rFonts w:eastAsia="Arial" w:cs="Arial"/>
          <w:spacing w:val="1"/>
          <w:sz w:val="24"/>
          <w:szCs w:val="24"/>
        </w:rPr>
        <w:t xml:space="preserve"> </w:t>
      </w:r>
      <w:r>
        <w:rPr>
          <w:rFonts w:eastAsia="Arial" w:cs="Arial"/>
          <w:sz w:val="24"/>
          <w:szCs w:val="24"/>
        </w:rPr>
        <w:t xml:space="preserve">ônus</w:t>
      </w:r>
      <w:r>
        <w:rPr>
          <w:rFonts w:eastAsia="Arial" w:cs="Arial"/>
          <w:spacing w:val="1"/>
          <w:sz w:val="24"/>
          <w:szCs w:val="24"/>
        </w:rPr>
        <w:t xml:space="preserve"> </w:t>
      </w:r>
      <w:r>
        <w:rPr>
          <w:rFonts w:eastAsia="Arial" w:cs="Arial"/>
          <w:sz w:val="24"/>
          <w:szCs w:val="24"/>
        </w:rPr>
        <w:t xml:space="preserve">causados</w:t>
      </w:r>
      <w:r>
        <w:rPr>
          <w:rFonts w:eastAsia="Arial" w:cs="Arial"/>
          <w:spacing w:val="1"/>
          <w:sz w:val="24"/>
          <w:szCs w:val="24"/>
        </w:rPr>
        <w:t xml:space="preserve"> </w:t>
      </w:r>
      <w:r>
        <w:rPr>
          <w:rFonts w:eastAsia="Arial" w:cs="Arial"/>
          <w:sz w:val="24"/>
          <w:szCs w:val="24"/>
        </w:rPr>
        <w:t xml:space="preserve">ou</w:t>
      </w:r>
      <w:r>
        <w:rPr>
          <w:rFonts w:eastAsia="Arial" w:cs="Arial"/>
          <w:spacing w:val="1"/>
          <w:sz w:val="24"/>
          <w:szCs w:val="24"/>
        </w:rPr>
        <w:t xml:space="preserve"> </w:t>
      </w:r>
      <w:r>
        <w:rPr>
          <w:rFonts w:eastAsia="Arial" w:cs="Arial"/>
          <w:sz w:val="24"/>
          <w:szCs w:val="24"/>
        </w:rPr>
        <w:t xml:space="preserve">imputados aos veículos e/ou bens pertencentes as Secretarias Demandantes, a partir do</w:t>
      </w:r>
      <w:r>
        <w:rPr>
          <w:rFonts w:eastAsia="Arial" w:cs="Arial"/>
          <w:spacing w:val="1"/>
          <w:sz w:val="24"/>
          <w:szCs w:val="24"/>
        </w:rPr>
        <w:t xml:space="preserve"> </w:t>
      </w:r>
      <w:r>
        <w:rPr>
          <w:rFonts w:eastAsia="Arial" w:cs="Arial"/>
          <w:sz w:val="24"/>
          <w:szCs w:val="24"/>
        </w:rPr>
        <w:t xml:space="preserve">recebimento dos mesmos, resultantes</w:t>
      </w:r>
      <w:r>
        <w:rPr>
          <w:rFonts w:eastAsia="Arial" w:cs="Arial"/>
          <w:spacing w:val="1"/>
          <w:sz w:val="24"/>
          <w:szCs w:val="24"/>
        </w:rPr>
        <w:t xml:space="preserve"> </w:t>
      </w:r>
      <w:r>
        <w:rPr>
          <w:rFonts w:eastAsia="Arial" w:cs="Arial"/>
          <w:sz w:val="24"/>
          <w:szCs w:val="24"/>
        </w:rPr>
        <w:t xml:space="preserve">de ação ou omissão, negligência,</w:t>
      </w:r>
      <w:r>
        <w:rPr>
          <w:rFonts w:eastAsia="Arial" w:cs="Arial"/>
          <w:spacing w:val="66"/>
          <w:sz w:val="24"/>
          <w:szCs w:val="24"/>
        </w:rPr>
        <w:t xml:space="preserve"> </w:t>
      </w:r>
      <w:r>
        <w:rPr>
          <w:rFonts w:eastAsia="Arial" w:cs="Arial"/>
          <w:sz w:val="24"/>
          <w:szCs w:val="24"/>
        </w:rPr>
        <w:t xml:space="preserve">imprudência</w:t>
      </w:r>
      <w:r>
        <w:rPr>
          <w:rFonts w:eastAsia="Arial" w:cs="Arial"/>
          <w:spacing w:val="1"/>
          <w:sz w:val="24"/>
          <w:szCs w:val="24"/>
        </w:rPr>
        <w:t xml:space="preserve"> </w:t>
      </w:r>
      <w:r>
        <w:rPr>
          <w:rFonts w:eastAsia="Arial" w:cs="Arial"/>
          <w:sz w:val="24"/>
          <w:szCs w:val="24"/>
        </w:rPr>
        <w:t xml:space="preserve">ou imperícia dos seus empregados, prepostos ou terceiros, sejam danos culposos ou</w:t>
      </w:r>
      <w:r>
        <w:rPr>
          <w:rFonts w:eastAsia="Arial" w:cs="Arial"/>
          <w:spacing w:val="1"/>
          <w:sz w:val="24"/>
          <w:szCs w:val="24"/>
        </w:rPr>
        <w:t xml:space="preserve"> </w:t>
      </w:r>
      <w:r>
        <w:rPr>
          <w:rFonts w:eastAsia="Arial" w:cs="Arial"/>
          <w:sz w:val="24"/>
          <w:szCs w:val="24"/>
        </w:rPr>
        <w:t xml:space="preserve">dolosos,</w:t>
      </w:r>
      <w:r>
        <w:rPr>
          <w:rFonts w:eastAsia="Arial" w:cs="Arial"/>
          <w:spacing w:val="-1"/>
          <w:sz w:val="24"/>
          <w:szCs w:val="24"/>
        </w:rPr>
        <w:t xml:space="preserve"> </w:t>
      </w:r>
      <w:r>
        <w:rPr>
          <w:rFonts w:eastAsia="Arial" w:cs="Arial"/>
          <w:sz w:val="24"/>
          <w:szCs w:val="24"/>
        </w:rPr>
        <w:t xml:space="preserve">inclusive furto, multa e</w:t>
      </w:r>
      <w:r>
        <w:rPr>
          <w:rFonts w:eastAsia="Arial" w:cs="Arial"/>
          <w:spacing w:val="-1"/>
          <w:sz w:val="24"/>
          <w:szCs w:val="24"/>
        </w:rPr>
        <w:t xml:space="preserve"> </w:t>
      </w:r>
      <w:r>
        <w:rPr>
          <w:rFonts w:eastAsia="Arial" w:cs="Arial"/>
          <w:sz w:val="24"/>
          <w:szCs w:val="24"/>
        </w:rPr>
        <w:t xml:space="preserve">similares;</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610"/>
        </w:tabs>
        <w:spacing w:before="240" w:line="276" w:lineRule="auto"/>
        <w:ind/>
        <w:rPr>
          <w:rFonts w:cs="Arial"/>
          <w:sz w:val="24"/>
          <w:szCs w:val="24"/>
        </w:rPr>
      </w:pPr>
      <w:r>
        <w:rPr>
          <w:rFonts w:eastAsia="Arial" w:cs="Arial"/>
          <w:sz w:val="24"/>
          <w:szCs w:val="24"/>
        </w:rPr>
        <w:t xml:space="preserve">manter,</w:t>
      </w:r>
      <w:r>
        <w:rPr>
          <w:rFonts w:eastAsia="Arial" w:cs="Arial"/>
          <w:spacing w:val="1"/>
          <w:sz w:val="24"/>
          <w:szCs w:val="24"/>
        </w:rPr>
        <w:t xml:space="preserve"> </w:t>
      </w:r>
      <w:r>
        <w:rPr>
          <w:rFonts w:eastAsia="Arial" w:cs="Arial"/>
          <w:sz w:val="24"/>
          <w:szCs w:val="24"/>
        </w:rPr>
        <w:t xml:space="preserve">durante</w:t>
      </w:r>
      <w:r>
        <w:rPr>
          <w:rFonts w:eastAsia="Arial" w:cs="Arial"/>
          <w:spacing w:val="1"/>
          <w:sz w:val="24"/>
          <w:szCs w:val="24"/>
        </w:rPr>
        <w:t xml:space="preserve"> </w:t>
      </w:r>
      <w:r>
        <w:rPr>
          <w:rFonts w:eastAsia="Arial" w:cs="Arial"/>
          <w:sz w:val="24"/>
          <w:szCs w:val="24"/>
        </w:rPr>
        <w:t xml:space="preserve">a</w:t>
      </w:r>
      <w:r>
        <w:rPr>
          <w:rFonts w:eastAsia="Arial" w:cs="Arial"/>
          <w:spacing w:val="1"/>
          <w:sz w:val="24"/>
          <w:szCs w:val="24"/>
        </w:rPr>
        <w:t xml:space="preserve"> </w:t>
      </w:r>
      <w:r>
        <w:rPr>
          <w:rFonts w:eastAsia="Arial" w:cs="Arial"/>
          <w:sz w:val="24"/>
          <w:szCs w:val="24"/>
        </w:rPr>
        <w:t xml:space="preserve">execução</w:t>
      </w:r>
      <w:r>
        <w:rPr>
          <w:rFonts w:eastAsia="Arial" w:cs="Arial"/>
          <w:spacing w:val="1"/>
          <w:sz w:val="24"/>
          <w:szCs w:val="24"/>
        </w:rPr>
        <w:t xml:space="preserve"> </w:t>
      </w:r>
      <w:r>
        <w:rPr>
          <w:rFonts w:eastAsia="Arial" w:cs="Arial"/>
          <w:sz w:val="24"/>
          <w:szCs w:val="24"/>
        </w:rPr>
        <w:t xml:space="preserve">do</w:t>
      </w:r>
      <w:r>
        <w:rPr>
          <w:rFonts w:eastAsia="Arial" w:cs="Arial"/>
          <w:spacing w:val="1"/>
          <w:sz w:val="24"/>
          <w:szCs w:val="24"/>
        </w:rPr>
        <w:t xml:space="preserve"> </w:t>
      </w:r>
      <w:r>
        <w:rPr>
          <w:rFonts w:eastAsia="Arial" w:cs="Arial"/>
          <w:sz w:val="24"/>
          <w:szCs w:val="24"/>
        </w:rPr>
        <w:t xml:space="preserve">contrato,</w:t>
      </w:r>
      <w:r>
        <w:rPr>
          <w:rFonts w:eastAsia="Arial" w:cs="Arial"/>
          <w:spacing w:val="1"/>
          <w:sz w:val="24"/>
          <w:szCs w:val="24"/>
        </w:rPr>
        <w:t xml:space="preserve"> </w:t>
      </w:r>
      <w:r>
        <w:rPr>
          <w:rFonts w:eastAsia="Arial" w:cs="Arial"/>
          <w:sz w:val="24"/>
          <w:szCs w:val="24"/>
        </w:rPr>
        <w:t xml:space="preserve">todas</w:t>
      </w:r>
      <w:r>
        <w:rPr>
          <w:rFonts w:eastAsia="Arial" w:cs="Arial"/>
          <w:spacing w:val="1"/>
          <w:sz w:val="24"/>
          <w:szCs w:val="24"/>
        </w:rPr>
        <w:t xml:space="preserve"> </w:t>
      </w:r>
      <w:r>
        <w:rPr>
          <w:rFonts w:eastAsia="Arial" w:cs="Arial"/>
          <w:sz w:val="24"/>
          <w:szCs w:val="24"/>
        </w:rPr>
        <w:t xml:space="preserve">as</w:t>
      </w:r>
      <w:r>
        <w:rPr>
          <w:rFonts w:eastAsia="Arial" w:cs="Arial"/>
          <w:spacing w:val="1"/>
          <w:sz w:val="24"/>
          <w:szCs w:val="24"/>
        </w:rPr>
        <w:t xml:space="preserve"> </w:t>
      </w:r>
      <w:r>
        <w:rPr>
          <w:rFonts w:eastAsia="Arial" w:cs="Arial"/>
          <w:sz w:val="24"/>
          <w:szCs w:val="24"/>
        </w:rPr>
        <w:t xml:space="preserve">condições</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habilitação</w:t>
      </w:r>
      <w:r>
        <w:rPr>
          <w:rFonts w:eastAsia="Arial" w:cs="Arial"/>
          <w:spacing w:val="1"/>
          <w:sz w:val="24"/>
          <w:szCs w:val="24"/>
        </w:rPr>
        <w:t xml:space="preserve"> </w:t>
      </w:r>
      <w:r>
        <w:rPr>
          <w:rFonts w:eastAsia="Arial" w:cs="Arial"/>
          <w:sz w:val="24"/>
          <w:szCs w:val="24"/>
        </w:rPr>
        <w:t xml:space="preserve">e</w:t>
      </w:r>
      <w:r>
        <w:rPr>
          <w:rFonts w:eastAsia="Arial" w:cs="Arial"/>
          <w:spacing w:val="1"/>
          <w:sz w:val="24"/>
          <w:szCs w:val="24"/>
        </w:rPr>
        <w:t xml:space="preserve"> </w:t>
      </w:r>
      <w:r>
        <w:rPr>
          <w:rFonts w:eastAsia="Arial" w:cs="Arial"/>
          <w:sz w:val="24"/>
          <w:szCs w:val="24"/>
        </w:rPr>
        <w:t xml:space="preserve">qualificação</w:t>
      </w:r>
      <w:r>
        <w:rPr>
          <w:rFonts w:eastAsia="Arial" w:cs="Arial"/>
          <w:spacing w:val="-1"/>
          <w:sz w:val="24"/>
          <w:szCs w:val="24"/>
        </w:rPr>
        <w:t xml:space="preserve"> </w:t>
      </w:r>
      <w:r>
        <w:rPr>
          <w:rFonts w:eastAsia="Arial" w:cs="Arial"/>
          <w:sz w:val="24"/>
          <w:szCs w:val="24"/>
        </w:rPr>
        <w:t xml:space="preserve">exigidas na licitação;</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610"/>
        </w:tabs>
        <w:spacing w:before="240" w:line="276" w:lineRule="auto"/>
        <w:ind/>
        <w:rPr>
          <w:rFonts w:cs="Arial"/>
          <w:sz w:val="24"/>
          <w:szCs w:val="24"/>
        </w:rPr>
      </w:pPr>
      <w:r>
        <w:rPr>
          <w:rFonts w:eastAsia="Arial" w:cs="Arial"/>
          <w:b/>
          <w:sz w:val="24"/>
          <w:szCs w:val="24"/>
          <w:u w:val="single"/>
        </w:rPr>
        <w:t xml:space="preserve">utilizar</w:t>
      </w:r>
      <w:r>
        <w:rPr>
          <w:rFonts w:eastAsia="Arial" w:cs="Arial"/>
          <w:b/>
          <w:spacing w:val="-1"/>
          <w:sz w:val="24"/>
          <w:szCs w:val="24"/>
          <w:u w:val="single"/>
        </w:rPr>
        <w:t xml:space="preserve"> </w:t>
      </w:r>
      <w:r>
        <w:rPr>
          <w:rFonts w:eastAsia="Arial" w:cs="Arial"/>
          <w:b/>
          <w:sz w:val="24"/>
          <w:szCs w:val="24"/>
          <w:u w:val="single"/>
        </w:rPr>
        <w:t xml:space="preserve">nos</w:t>
      </w:r>
      <w:r>
        <w:rPr>
          <w:rFonts w:eastAsia="Arial" w:cs="Arial"/>
          <w:b/>
          <w:spacing w:val="-2"/>
          <w:sz w:val="24"/>
          <w:szCs w:val="24"/>
          <w:u w:val="single"/>
        </w:rPr>
        <w:t xml:space="preserve"> </w:t>
      </w:r>
      <w:r>
        <w:rPr>
          <w:rFonts w:eastAsia="Arial" w:cs="Arial"/>
          <w:b/>
          <w:sz w:val="24"/>
          <w:szCs w:val="24"/>
          <w:u w:val="single"/>
        </w:rPr>
        <w:t xml:space="preserve">reparos</w:t>
      </w:r>
      <w:r>
        <w:rPr>
          <w:rFonts w:eastAsia="Arial" w:cs="Arial"/>
          <w:b/>
          <w:spacing w:val="-1"/>
          <w:sz w:val="24"/>
          <w:szCs w:val="24"/>
          <w:u w:val="single"/>
        </w:rPr>
        <w:t xml:space="preserve"> </w:t>
      </w:r>
      <w:r>
        <w:rPr>
          <w:rFonts w:eastAsia="Arial" w:cs="Arial"/>
          <w:b/>
          <w:sz w:val="24"/>
          <w:szCs w:val="24"/>
          <w:u w:val="single"/>
        </w:rPr>
        <w:t xml:space="preserve">somente</w:t>
      </w:r>
      <w:r>
        <w:rPr>
          <w:rFonts w:eastAsia="Arial" w:cs="Arial"/>
          <w:b/>
          <w:spacing w:val="-2"/>
          <w:sz w:val="24"/>
          <w:szCs w:val="24"/>
          <w:u w:val="single"/>
        </w:rPr>
        <w:t xml:space="preserve"> </w:t>
      </w:r>
      <w:r>
        <w:rPr>
          <w:rFonts w:eastAsia="Arial" w:cs="Arial"/>
          <w:b/>
          <w:sz w:val="24"/>
          <w:szCs w:val="24"/>
          <w:u w:val="single"/>
        </w:rPr>
        <w:t xml:space="preserve">peças</w:t>
      </w:r>
      <w:r>
        <w:rPr>
          <w:rFonts w:eastAsia="Arial" w:cs="Arial"/>
          <w:b/>
          <w:spacing w:val="-1"/>
          <w:sz w:val="24"/>
          <w:szCs w:val="24"/>
          <w:u w:val="single"/>
        </w:rPr>
        <w:t xml:space="preserve"> </w:t>
      </w:r>
      <w:r>
        <w:rPr>
          <w:rFonts w:eastAsia="Arial" w:cs="Arial"/>
          <w:b/>
          <w:sz w:val="24"/>
          <w:szCs w:val="24"/>
          <w:u w:val="single"/>
        </w:rPr>
        <w:t xml:space="preserve">novas e</w:t>
      </w:r>
      <w:r>
        <w:rPr>
          <w:rFonts w:eastAsia="Arial" w:cs="Arial"/>
          <w:b/>
          <w:spacing w:val="65"/>
          <w:sz w:val="24"/>
          <w:szCs w:val="24"/>
          <w:u w:val="single"/>
        </w:rPr>
        <w:t xml:space="preserve"> </w:t>
      </w:r>
      <w:r>
        <w:rPr>
          <w:rFonts w:eastAsia="Arial" w:cs="Arial"/>
          <w:b/>
          <w:sz w:val="24"/>
          <w:szCs w:val="24"/>
          <w:u w:val="single"/>
        </w:rPr>
        <w:t xml:space="preserve">genuínas</w:t>
      </w:r>
      <w:r>
        <w:rPr>
          <w:rFonts w:eastAsia="Arial" w:cs="Arial"/>
          <w:sz w:val="24"/>
          <w:szCs w:val="24"/>
        </w:rPr>
        <w:t xml:space="preserve">.</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610"/>
        </w:tabs>
        <w:spacing w:before="240" w:line="276" w:lineRule="auto"/>
        <w:ind/>
        <w:rPr>
          <w:rFonts w:cs="Arial"/>
          <w:sz w:val="24"/>
          <w:szCs w:val="24"/>
        </w:rPr>
      </w:pPr>
      <w:r>
        <w:rPr>
          <w:rFonts w:eastAsia="Arial" w:cs="Arial"/>
          <w:sz w:val="24"/>
          <w:szCs w:val="24"/>
        </w:rPr>
        <w:t xml:space="preserve">devolver à Secretaria Demandante, todas e quaisquer peças e/ou acessórios –</w:t>
      </w:r>
      <w:r>
        <w:rPr>
          <w:rFonts w:eastAsia="Arial" w:cs="Arial"/>
          <w:spacing w:val="1"/>
          <w:sz w:val="24"/>
          <w:szCs w:val="24"/>
        </w:rPr>
        <w:t xml:space="preserve"> </w:t>
      </w:r>
      <w:r>
        <w:rPr>
          <w:rFonts w:eastAsia="Arial" w:cs="Arial"/>
          <w:sz w:val="24"/>
          <w:szCs w:val="24"/>
        </w:rPr>
        <w:t xml:space="preserve">etiquetados com a denominação e data da substituição – que forem substituídos por</w:t>
      </w:r>
      <w:r>
        <w:rPr>
          <w:rFonts w:eastAsia="Arial" w:cs="Arial"/>
          <w:spacing w:val="1"/>
          <w:sz w:val="24"/>
          <w:szCs w:val="24"/>
        </w:rPr>
        <w:t xml:space="preserve"> </w:t>
      </w:r>
      <w:r>
        <w:rPr>
          <w:rFonts w:eastAsia="Arial" w:cs="Arial"/>
          <w:sz w:val="24"/>
          <w:szCs w:val="24"/>
        </w:rPr>
        <w:t xml:space="preserve">ocasião</w:t>
      </w:r>
      <w:r>
        <w:rPr>
          <w:rFonts w:eastAsia="Arial" w:cs="Arial"/>
          <w:spacing w:val="-2"/>
          <w:sz w:val="24"/>
          <w:szCs w:val="24"/>
        </w:rPr>
        <w:t xml:space="preserve"> </w:t>
      </w:r>
      <w:r>
        <w:rPr>
          <w:rFonts w:eastAsia="Arial" w:cs="Arial"/>
          <w:sz w:val="24"/>
          <w:szCs w:val="24"/>
        </w:rPr>
        <w:t xml:space="preserve">da realização</w:t>
      </w:r>
      <w:r>
        <w:rPr>
          <w:rFonts w:eastAsia="Arial" w:cs="Arial"/>
          <w:spacing w:val="-2"/>
          <w:sz w:val="24"/>
          <w:szCs w:val="24"/>
        </w:rPr>
        <w:t xml:space="preserve"> </w:t>
      </w:r>
      <w:r>
        <w:rPr>
          <w:rFonts w:eastAsia="Arial" w:cs="Arial"/>
          <w:sz w:val="24"/>
          <w:szCs w:val="24"/>
        </w:rPr>
        <w:t xml:space="preserve">dos serviços;</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5"/>
        </w:numPr>
        <w:pBdr/>
        <w:tabs>
          <w:tab w:val="left" w:leader="none" w:pos="1610"/>
        </w:tabs>
        <w:spacing w:before="240" w:line="276" w:lineRule="auto"/>
        <w:ind/>
        <w:rPr>
          <w:rFonts w:cs="Arial"/>
          <w:sz w:val="24"/>
          <w:szCs w:val="24"/>
        </w:rPr>
      </w:pPr>
      <w:r>
        <w:rPr>
          <w:rFonts w:eastAsia="Arial" w:cs="Arial"/>
          <w:sz w:val="24"/>
          <w:szCs w:val="24"/>
        </w:rPr>
        <w:t xml:space="preserve">reparar, corrigir, remover, reconstituir ou substituir no todo ou em parte – no prazo</w:t>
      </w:r>
      <w:r>
        <w:rPr>
          <w:rFonts w:eastAsia="Arial" w:cs="Arial"/>
          <w:spacing w:val="1"/>
          <w:sz w:val="24"/>
          <w:szCs w:val="24"/>
        </w:rPr>
        <w:t xml:space="preserve"> </w:t>
      </w:r>
      <w:r>
        <w:rPr>
          <w:rFonts w:eastAsia="Arial" w:cs="Arial"/>
          <w:sz w:val="24"/>
          <w:szCs w:val="24"/>
        </w:rPr>
        <w:t xml:space="preserve">máximo de 24 (vinte e quatro) horas – peças e serviços que apresentarem defeitos ou</w:t>
      </w:r>
      <w:r>
        <w:rPr>
          <w:rFonts w:eastAsia="Arial" w:cs="Arial"/>
          <w:spacing w:val="-64"/>
          <w:sz w:val="24"/>
          <w:szCs w:val="24"/>
        </w:rPr>
        <w:t xml:space="preserve"> </w:t>
      </w:r>
      <w:r>
        <w:rPr>
          <w:rFonts w:eastAsia="Arial" w:cs="Arial"/>
          <w:sz w:val="24"/>
          <w:szCs w:val="24"/>
        </w:rPr>
        <w:t xml:space="preserve">incorreções resultantes dos serviços e/ou de materiais empregados, dentro do período</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garantia,</w:t>
      </w:r>
      <w:r>
        <w:rPr>
          <w:rFonts w:eastAsia="Arial" w:cs="Arial"/>
          <w:spacing w:val="-1"/>
          <w:sz w:val="24"/>
          <w:szCs w:val="24"/>
        </w:rPr>
        <w:t xml:space="preserve"> </w:t>
      </w:r>
      <w:r>
        <w:rPr>
          <w:rFonts w:eastAsia="Arial" w:cs="Arial"/>
          <w:sz w:val="24"/>
          <w:szCs w:val="24"/>
        </w:rPr>
        <w:t xml:space="preserve">sem</w:t>
      </w:r>
      <w:r>
        <w:rPr>
          <w:rFonts w:eastAsia="Arial" w:cs="Arial"/>
          <w:spacing w:val="-1"/>
          <w:sz w:val="24"/>
          <w:szCs w:val="24"/>
        </w:rPr>
        <w:t xml:space="preserve"> </w:t>
      </w:r>
      <w:r>
        <w:rPr>
          <w:rFonts w:eastAsia="Arial" w:cs="Arial"/>
          <w:sz w:val="24"/>
          <w:szCs w:val="24"/>
        </w:rPr>
        <w:t xml:space="preserve">ônus</w:t>
      </w:r>
      <w:r>
        <w:rPr>
          <w:rFonts w:eastAsia="Arial" w:cs="Arial"/>
          <w:spacing w:val="-6"/>
          <w:sz w:val="24"/>
          <w:szCs w:val="24"/>
        </w:rPr>
        <w:t xml:space="preserve"> </w:t>
      </w:r>
      <w:r>
        <w:rPr>
          <w:rFonts w:eastAsia="Arial" w:cs="Arial"/>
          <w:sz w:val="24"/>
          <w:szCs w:val="24"/>
        </w:rPr>
        <w:t xml:space="preserve">adicional</w:t>
      </w:r>
      <w:r>
        <w:rPr>
          <w:rFonts w:eastAsia="Arial" w:cs="Arial"/>
          <w:spacing w:val="-3"/>
          <w:sz w:val="24"/>
          <w:szCs w:val="24"/>
        </w:rPr>
        <w:t xml:space="preserve"> </w:t>
      </w:r>
      <w:r>
        <w:rPr>
          <w:rFonts w:eastAsia="Arial" w:cs="Arial"/>
          <w:sz w:val="24"/>
          <w:szCs w:val="24"/>
        </w:rPr>
        <w:t xml:space="preserve">para</w:t>
      </w:r>
      <w:r>
        <w:rPr>
          <w:rFonts w:eastAsia="Arial" w:cs="Arial"/>
          <w:spacing w:val="-4"/>
          <w:sz w:val="24"/>
          <w:szCs w:val="24"/>
        </w:rPr>
        <w:t xml:space="preserve"> </w:t>
      </w:r>
      <w:r>
        <w:rPr>
          <w:rFonts w:eastAsia="Arial" w:cs="Arial"/>
          <w:sz w:val="24"/>
          <w:szCs w:val="24"/>
        </w:rPr>
        <w:t xml:space="preserve">a</w:t>
      </w:r>
      <w:r>
        <w:rPr>
          <w:rFonts w:eastAsia="Arial" w:cs="Arial"/>
          <w:spacing w:val="1"/>
          <w:sz w:val="24"/>
          <w:szCs w:val="24"/>
        </w:rPr>
        <w:t xml:space="preserve"> </w:t>
      </w:r>
      <w:r>
        <w:rPr>
          <w:rFonts w:eastAsia="Arial" w:cs="Arial"/>
          <w:sz w:val="24"/>
          <w:szCs w:val="24"/>
        </w:rPr>
        <w:t xml:space="preserve">Secretaria Municipal de Educação,</w:t>
      </w:r>
      <w:r>
        <w:rPr>
          <w:rFonts w:eastAsia="Arial" w:cs="Arial"/>
          <w:spacing w:val="-2"/>
          <w:sz w:val="24"/>
          <w:szCs w:val="24"/>
        </w:rPr>
        <w:t xml:space="preserve"> </w:t>
      </w:r>
      <w:r>
        <w:rPr>
          <w:rFonts w:eastAsia="Arial" w:cs="Arial"/>
          <w:sz w:val="24"/>
          <w:szCs w:val="24"/>
        </w:rPr>
        <w:t xml:space="preserve">na</w:t>
      </w:r>
      <w:r>
        <w:rPr>
          <w:rFonts w:eastAsia="Arial" w:cs="Arial"/>
          <w:spacing w:val="-3"/>
          <w:sz w:val="24"/>
          <w:szCs w:val="24"/>
        </w:rPr>
        <w:t xml:space="preserve"> </w:t>
      </w:r>
      <w:r>
        <w:rPr>
          <w:rFonts w:eastAsia="Arial" w:cs="Arial"/>
          <w:sz w:val="24"/>
          <w:szCs w:val="24"/>
        </w:rPr>
        <w:t xml:space="preserve">forma</w:t>
      </w:r>
      <w:r>
        <w:rPr>
          <w:rFonts w:eastAsia="Arial" w:cs="Arial"/>
          <w:spacing w:val="-2"/>
          <w:sz w:val="24"/>
          <w:szCs w:val="24"/>
        </w:rPr>
        <w:t xml:space="preserve"> </w:t>
      </w:r>
      <w:r>
        <w:rPr>
          <w:rFonts w:eastAsia="Arial" w:cs="Arial"/>
          <w:sz w:val="24"/>
          <w:szCs w:val="24"/>
        </w:rPr>
        <w:t xml:space="preserve">da</w:t>
      </w:r>
      <w:r>
        <w:rPr>
          <w:rFonts w:eastAsia="Arial" w:cs="Arial"/>
          <w:spacing w:val="-3"/>
          <w:sz w:val="24"/>
          <w:szCs w:val="24"/>
        </w:rPr>
        <w:t xml:space="preserve"> </w:t>
      </w:r>
      <w:r>
        <w:rPr>
          <w:rFonts w:eastAsia="Arial" w:cs="Arial"/>
          <w:sz w:val="24"/>
          <w:szCs w:val="24"/>
        </w:rPr>
        <w:t xml:space="preserve">lei;</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pBdr/>
        <w:tabs>
          <w:tab w:val="left" w:leader="none" w:pos="1610"/>
        </w:tabs>
        <w:spacing w:before="240" w:line="276" w:lineRule="auto"/>
        <w:ind w:left="390"/>
        <w:rPr>
          <w:rFonts w:cs="Arial"/>
          <w:sz w:val="24"/>
          <w:szCs w:val="24"/>
        </w:rPr>
      </w:pPr>
      <w:r>
        <w:rPr>
          <w:rFonts w:eastAsia="Arial" w:cs="Arial"/>
          <w:sz w:val="24"/>
          <w:szCs w:val="24"/>
        </w:rPr>
        <w:t xml:space="preserve">k) responsabilizar-se</w:t>
      </w:r>
      <w:r>
        <w:rPr>
          <w:rFonts w:eastAsia="Arial" w:cs="Arial"/>
          <w:spacing w:val="1"/>
          <w:sz w:val="24"/>
          <w:szCs w:val="24"/>
        </w:rPr>
        <w:t xml:space="preserve"> </w:t>
      </w:r>
      <w:r>
        <w:rPr>
          <w:rFonts w:eastAsia="Arial" w:cs="Arial"/>
          <w:sz w:val="24"/>
          <w:szCs w:val="24"/>
        </w:rPr>
        <w:t xml:space="preserve">integralmente</w:t>
      </w:r>
      <w:r>
        <w:rPr>
          <w:rFonts w:eastAsia="Arial" w:cs="Arial"/>
          <w:spacing w:val="1"/>
          <w:sz w:val="24"/>
          <w:szCs w:val="24"/>
        </w:rPr>
        <w:t xml:space="preserve"> </w:t>
      </w:r>
      <w:r>
        <w:rPr>
          <w:rFonts w:eastAsia="Arial" w:cs="Arial"/>
          <w:sz w:val="24"/>
          <w:szCs w:val="24"/>
        </w:rPr>
        <w:t xml:space="preserve">pelos</w:t>
      </w:r>
      <w:r>
        <w:rPr>
          <w:rFonts w:eastAsia="Arial" w:cs="Arial"/>
          <w:spacing w:val="1"/>
          <w:sz w:val="24"/>
          <w:szCs w:val="24"/>
        </w:rPr>
        <w:t xml:space="preserve"> </w:t>
      </w:r>
      <w:r>
        <w:rPr>
          <w:rFonts w:eastAsia="Arial" w:cs="Arial"/>
          <w:sz w:val="24"/>
          <w:szCs w:val="24"/>
        </w:rPr>
        <w:t xml:space="preserve">serviços</w:t>
      </w:r>
      <w:r>
        <w:rPr>
          <w:rFonts w:eastAsia="Arial" w:cs="Arial"/>
          <w:spacing w:val="1"/>
          <w:sz w:val="24"/>
          <w:szCs w:val="24"/>
        </w:rPr>
        <w:t xml:space="preserve"> </w:t>
      </w:r>
      <w:r>
        <w:rPr>
          <w:rFonts w:eastAsia="Arial" w:cs="Arial"/>
          <w:sz w:val="24"/>
          <w:szCs w:val="24"/>
        </w:rPr>
        <w:t xml:space="preserve">contratados,</w:t>
      </w:r>
      <w:r>
        <w:rPr>
          <w:rFonts w:eastAsia="Arial" w:cs="Arial"/>
          <w:spacing w:val="1"/>
          <w:sz w:val="24"/>
          <w:szCs w:val="24"/>
        </w:rPr>
        <w:t xml:space="preserve"> </w:t>
      </w:r>
      <w:r>
        <w:rPr>
          <w:rFonts w:eastAsia="Arial" w:cs="Arial"/>
          <w:sz w:val="24"/>
          <w:szCs w:val="24"/>
        </w:rPr>
        <w:t xml:space="preserve">nos</w:t>
      </w:r>
      <w:r>
        <w:rPr>
          <w:rFonts w:eastAsia="Arial" w:cs="Arial"/>
          <w:spacing w:val="1"/>
          <w:sz w:val="24"/>
          <w:szCs w:val="24"/>
        </w:rPr>
        <w:t xml:space="preserve"> </w:t>
      </w:r>
      <w:r>
        <w:rPr>
          <w:rFonts w:eastAsia="Arial" w:cs="Arial"/>
          <w:sz w:val="24"/>
          <w:szCs w:val="24"/>
        </w:rPr>
        <w:t xml:space="preserve">termos</w:t>
      </w:r>
      <w:r>
        <w:rPr>
          <w:rFonts w:eastAsia="Arial" w:cs="Arial"/>
          <w:spacing w:val="1"/>
          <w:sz w:val="24"/>
          <w:szCs w:val="24"/>
        </w:rPr>
        <w:t xml:space="preserve"> </w:t>
      </w:r>
      <w:r>
        <w:rPr>
          <w:rFonts w:eastAsia="Arial" w:cs="Arial"/>
          <w:sz w:val="24"/>
          <w:szCs w:val="24"/>
        </w:rPr>
        <w:t xml:space="preserve">da</w:t>
      </w:r>
      <w:r>
        <w:rPr>
          <w:rFonts w:eastAsia="Arial" w:cs="Arial"/>
          <w:spacing w:val="1"/>
          <w:sz w:val="24"/>
          <w:szCs w:val="24"/>
        </w:rPr>
        <w:t xml:space="preserve"> </w:t>
      </w:r>
      <w:r>
        <w:rPr>
          <w:rFonts w:eastAsia="Arial" w:cs="Arial"/>
          <w:sz w:val="24"/>
          <w:szCs w:val="24"/>
        </w:rPr>
        <w:t xml:space="preserve">legislação vigente, fornecendo mão de obra qualificada, necessária e indispensável à</w:t>
      </w:r>
      <w:r>
        <w:rPr>
          <w:rFonts w:eastAsia="Arial" w:cs="Arial"/>
          <w:spacing w:val="1"/>
          <w:sz w:val="24"/>
          <w:szCs w:val="24"/>
        </w:rPr>
        <w:t xml:space="preserve"> </w:t>
      </w:r>
      <w:r>
        <w:rPr>
          <w:rFonts w:eastAsia="Arial" w:cs="Arial"/>
          <w:sz w:val="24"/>
          <w:szCs w:val="24"/>
        </w:rPr>
        <w:t xml:space="preserve">perfeita</w:t>
      </w:r>
      <w:r>
        <w:rPr>
          <w:rFonts w:eastAsia="Arial" w:cs="Arial"/>
          <w:spacing w:val="-3"/>
          <w:sz w:val="24"/>
          <w:szCs w:val="24"/>
        </w:rPr>
        <w:t xml:space="preserve"> </w:t>
      </w:r>
      <w:r>
        <w:rPr>
          <w:rFonts w:eastAsia="Arial" w:cs="Arial"/>
          <w:sz w:val="24"/>
          <w:szCs w:val="24"/>
        </w:rPr>
        <w:t xml:space="preserve">execução dos</w:t>
      </w:r>
      <w:r>
        <w:rPr>
          <w:rFonts w:eastAsia="Arial" w:cs="Arial"/>
          <w:spacing w:val="-2"/>
          <w:sz w:val="24"/>
          <w:szCs w:val="24"/>
        </w:rPr>
        <w:t xml:space="preserve"> </w:t>
      </w:r>
      <w:r>
        <w:rPr>
          <w:rFonts w:eastAsia="Arial" w:cs="Arial"/>
          <w:sz w:val="24"/>
          <w:szCs w:val="24"/>
        </w:rPr>
        <w:t xml:space="preserve">mesmos;</w:t>
      </w:r>
      <w:r>
        <w:rPr>
          <w:rFonts w:cs="Arial"/>
          <w:sz w:val="24"/>
          <w:szCs w:val="24"/>
        </w:rPr>
      </w:r>
    </w:p>
    <w:p>
      <w:pPr>
        <w:pStyle w:val="995"/>
        <w:widowControl w:val="false"/>
        <w:pBdr/>
        <w:tabs>
          <w:tab w:val="left" w:leader="none" w:pos="1610"/>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610"/>
        </w:tabs>
        <w:spacing w:before="240" w:line="276" w:lineRule="auto"/>
        <w:ind w:left="390"/>
        <w:rPr>
          <w:rFonts w:cs="Arial"/>
          <w:sz w:val="24"/>
          <w:szCs w:val="24"/>
        </w:rPr>
      </w:pPr>
      <w:r>
        <w:rPr>
          <w:rFonts w:eastAsia="Arial" w:cs="Arial"/>
          <w:sz w:val="24"/>
          <w:szCs w:val="24"/>
        </w:rPr>
        <w:t xml:space="preserve">l) prestar todos os esclarecimentos solicitados pelo representante de cada Secretaria </w:t>
      </w:r>
      <w:r>
        <w:rPr>
          <w:rFonts w:eastAsia="Arial" w:cs="Arial"/>
          <w:sz w:val="24"/>
          <w:szCs w:val="24"/>
        </w:rPr>
        <w:t xml:space="preserve">Demantante</w:t>
      </w:r>
      <w:r>
        <w:rPr>
          <w:rFonts w:eastAsia="Arial" w:cs="Arial"/>
          <w:sz w:val="24"/>
          <w:szCs w:val="24"/>
        </w:rPr>
        <w:t xml:space="preserve">, cujas reclamações se obriga a atender prontamente e, aceitar a fiscalização dos</w:t>
      </w:r>
      <w:r>
        <w:rPr>
          <w:rFonts w:eastAsia="Arial" w:cs="Arial"/>
          <w:spacing w:val="1"/>
          <w:sz w:val="24"/>
          <w:szCs w:val="24"/>
        </w:rPr>
        <w:t xml:space="preserve"> </w:t>
      </w:r>
      <w:r>
        <w:rPr>
          <w:rFonts w:eastAsia="Arial" w:cs="Arial"/>
          <w:sz w:val="24"/>
          <w:szCs w:val="24"/>
        </w:rPr>
        <w:t xml:space="preserve">serviços por parte do fiscal do contrato, permitindo, inclusive, o acesso às suas</w:t>
      </w:r>
      <w:r>
        <w:rPr>
          <w:rFonts w:eastAsia="Arial" w:cs="Arial"/>
          <w:spacing w:val="1"/>
          <w:sz w:val="24"/>
          <w:szCs w:val="24"/>
        </w:rPr>
        <w:t xml:space="preserve"> </w:t>
      </w:r>
      <w:r>
        <w:rPr>
          <w:rFonts w:eastAsia="Arial" w:cs="Arial"/>
          <w:sz w:val="24"/>
          <w:szCs w:val="24"/>
        </w:rPr>
        <w:t xml:space="preserve">instalações;</w:t>
      </w:r>
      <w:r>
        <w:rPr>
          <w:rFonts w:cs="Arial"/>
          <w:sz w:val="24"/>
          <w:szCs w:val="24"/>
        </w:rPr>
      </w:r>
    </w:p>
    <w:p>
      <w:pPr>
        <w:pStyle w:val="995"/>
        <w:widowControl w:val="false"/>
        <w:pBdr/>
        <w:tabs>
          <w:tab w:val="left" w:leader="none" w:pos="1610"/>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588"/>
        </w:tabs>
        <w:spacing w:before="240" w:line="276" w:lineRule="auto"/>
        <w:ind w:left="390"/>
        <w:rPr>
          <w:rFonts w:cs="Arial"/>
          <w:sz w:val="24"/>
          <w:szCs w:val="24"/>
        </w:rPr>
      </w:pPr>
      <w:r>
        <w:rPr>
          <w:rFonts w:eastAsia="Arial" w:cs="Arial"/>
          <w:sz w:val="24"/>
          <w:szCs w:val="24"/>
        </w:rPr>
        <w:t xml:space="preserve">m) apresentar extrato da folha da tabela de Preços de Venda à vista de peças e</w:t>
      </w:r>
      <w:r>
        <w:rPr>
          <w:rFonts w:eastAsia="Arial" w:cs="Arial"/>
          <w:spacing w:val="1"/>
          <w:sz w:val="24"/>
          <w:szCs w:val="24"/>
        </w:rPr>
        <w:t xml:space="preserve"> </w:t>
      </w:r>
      <w:r>
        <w:rPr>
          <w:rFonts w:eastAsia="Arial" w:cs="Arial"/>
          <w:sz w:val="24"/>
          <w:szCs w:val="24"/>
        </w:rPr>
        <w:t xml:space="preserve">acessórios emitida pelo fabricante do veículo, correspondente à peça ou acessório</w:t>
      </w:r>
      <w:r>
        <w:rPr>
          <w:rFonts w:eastAsia="Arial" w:cs="Arial"/>
          <w:spacing w:val="1"/>
          <w:sz w:val="24"/>
          <w:szCs w:val="24"/>
        </w:rPr>
        <w:t xml:space="preserve"> </w:t>
      </w:r>
      <w:r>
        <w:rPr>
          <w:rFonts w:eastAsia="Arial" w:cs="Arial"/>
          <w:sz w:val="24"/>
          <w:szCs w:val="24"/>
        </w:rPr>
        <w:t xml:space="preserve">substituído,</w:t>
      </w:r>
      <w:r>
        <w:rPr>
          <w:rFonts w:eastAsia="Arial" w:cs="Arial"/>
          <w:spacing w:val="-1"/>
          <w:sz w:val="24"/>
          <w:szCs w:val="24"/>
        </w:rPr>
        <w:t xml:space="preserve"> </w:t>
      </w:r>
      <w:r>
        <w:rPr>
          <w:rFonts w:eastAsia="Arial" w:cs="Arial"/>
          <w:sz w:val="24"/>
          <w:szCs w:val="24"/>
        </w:rPr>
        <w:t xml:space="preserve">junto</w:t>
      </w:r>
      <w:r>
        <w:rPr>
          <w:rFonts w:eastAsia="Arial" w:cs="Arial"/>
          <w:spacing w:val="1"/>
          <w:sz w:val="24"/>
          <w:szCs w:val="24"/>
        </w:rPr>
        <w:t xml:space="preserve"> </w:t>
      </w:r>
      <w:r>
        <w:rPr>
          <w:rFonts w:eastAsia="Arial" w:cs="Arial"/>
          <w:sz w:val="24"/>
          <w:szCs w:val="24"/>
        </w:rPr>
        <w:t xml:space="preserve">com</w:t>
      </w:r>
      <w:r>
        <w:rPr>
          <w:rFonts w:eastAsia="Arial" w:cs="Arial"/>
          <w:spacing w:val="-1"/>
          <w:sz w:val="24"/>
          <w:szCs w:val="24"/>
        </w:rPr>
        <w:t xml:space="preserve"> </w:t>
      </w:r>
      <w:r>
        <w:rPr>
          <w:rFonts w:eastAsia="Arial" w:cs="Arial"/>
          <w:sz w:val="24"/>
          <w:szCs w:val="24"/>
        </w:rPr>
        <w:t xml:space="preserve">a nota</w:t>
      </w:r>
      <w:r>
        <w:rPr>
          <w:rFonts w:eastAsia="Arial" w:cs="Arial"/>
          <w:spacing w:val="-1"/>
          <w:sz w:val="24"/>
          <w:szCs w:val="24"/>
        </w:rPr>
        <w:t xml:space="preserve"> </w:t>
      </w:r>
      <w:r>
        <w:rPr>
          <w:rFonts w:eastAsia="Arial" w:cs="Arial"/>
          <w:sz w:val="24"/>
          <w:szCs w:val="24"/>
        </w:rPr>
        <w:t xml:space="preserve">fiscal;</w:t>
      </w:r>
      <w:r>
        <w:rPr>
          <w:rFonts w:cs="Arial"/>
          <w:sz w:val="24"/>
          <w:szCs w:val="24"/>
        </w:rPr>
      </w:r>
    </w:p>
    <w:p>
      <w:pPr>
        <w:pStyle w:val="995"/>
        <w:widowControl w:val="false"/>
        <w:pBdr/>
        <w:tabs>
          <w:tab w:val="left" w:leader="none" w:pos="1588"/>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574"/>
        </w:tabs>
        <w:spacing w:before="240" w:line="276" w:lineRule="auto"/>
        <w:ind w:left="390"/>
        <w:rPr>
          <w:rFonts w:cs="Arial"/>
          <w:sz w:val="24"/>
          <w:szCs w:val="24"/>
        </w:rPr>
      </w:pPr>
      <w:r>
        <w:rPr>
          <w:rFonts w:eastAsia="Arial" w:cs="Arial"/>
          <w:sz w:val="24"/>
          <w:szCs w:val="24"/>
        </w:rPr>
        <w:t xml:space="preserve">n) apresentar, no prazo máximo de vinte e quatro horas, contado da notificação, o</w:t>
      </w:r>
      <w:r>
        <w:rPr>
          <w:rFonts w:eastAsia="Arial" w:cs="Arial"/>
          <w:spacing w:val="1"/>
          <w:sz w:val="24"/>
          <w:szCs w:val="24"/>
        </w:rPr>
        <w:t xml:space="preserve"> </w:t>
      </w:r>
      <w:r>
        <w:rPr>
          <w:rFonts w:eastAsia="Arial" w:cs="Arial"/>
          <w:sz w:val="24"/>
          <w:szCs w:val="24"/>
        </w:rPr>
        <w:t xml:space="preserve">orçamento</w:t>
      </w:r>
      <w:r>
        <w:rPr>
          <w:rFonts w:eastAsia="Arial" w:cs="Arial"/>
          <w:spacing w:val="-1"/>
          <w:sz w:val="24"/>
          <w:szCs w:val="24"/>
        </w:rPr>
        <w:t xml:space="preserve"> </w:t>
      </w:r>
      <w:r>
        <w:rPr>
          <w:rFonts w:eastAsia="Arial" w:cs="Arial"/>
          <w:sz w:val="24"/>
          <w:szCs w:val="24"/>
        </w:rPr>
        <w:t xml:space="preserve">dos</w:t>
      </w:r>
      <w:r>
        <w:rPr>
          <w:rFonts w:eastAsia="Arial" w:cs="Arial"/>
          <w:spacing w:val="-3"/>
          <w:sz w:val="24"/>
          <w:szCs w:val="24"/>
        </w:rPr>
        <w:t xml:space="preserve"> </w:t>
      </w:r>
      <w:r>
        <w:rPr>
          <w:rFonts w:eastAsia="Arial" w:cs="Arial"/>
          <w:sz w:val="24"/>
          <w:szCs w:val="24"/>
        </w:rPr>
        <w:t xml:space="preserve">serviços solicitados; </w:t>
      </w:r>
      <w:r>
        <w:rPr>
          <w:rFonts w:cs="Arial"/>
          <w:sz w:val="24"/>
          <w:szCs w:val="24"/>
        </w:rPr>
      </w:r>
    </w:p>
    <w:p>
      <w:pPr>
        <w:pStyle w:val="995"/>
        <w:widowControl w:val="false"/>
        <w:pBdr/>
        <w:tabs>
          <w:tab w:val="left" w:leader="none" w:pos="1574"/>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562"/>
        </w:tabs>
        <w:spacing w:before="240" w:line="276" w:lineRule="auto"/>
        <w:ind w:left="390"/>
        <w:rPr>
          <w:rFonts w:cs="Arial"/>
          <w:sz w:val="24"/>
          <w:szCs w:val="24"/>
        </w:rPr>
      </w:pPr>
      <w:r>
        <w:rPr>
          <w:rFonts w:eastAsia="Arial" w:cs="Arial"/>
          <w:sz w:val="24"/>
          <w:szCs w:val="24"/>
        </w:rPr>
        <w:t xml:space="preserve">o) </w:t>
      </w:r>
      <w:r>
        <w:rPr>
          <w:rFonts w:eastAsia="Arial" w:cs="Arial"/>
          <w:sz w:val="24"/>
          <w:szCs w:val="24"/>
        </w:rPr>
        <w:t xml:space="preserve">fornecer</w:t>
      </w:r>
      <w:r>
        <w:rPr>
          <w:rFonts w:eastAsia="Arial" w:cs="Arial"/>
          <w:sz w:val="24"/>
          <w:szCs w:val="24"/>
        </w:rPr>
        <w:t xml:space="preserve">, mensalmente, ao representante de cada Secretaria Demandante, relatório de</w:t>
      </w:r>
      <w:r>
        <w:rPr>
          <w:rFonts w:eastAsia="Arial" w:cs="Arial"/>
          <w:spacing w:val="1"/>
          <w:sz w:val="24"/>
          <w:szCs w:val="24"/>
        </w:rPr>
        <w:t xml:space="preserve"> </w:t>
      </w:r>
      <w:r>
        <w:rPr>
          <w:rFonts w:eastAsia="Arial" w:cs="Arial"/>
          <w:sz w:val="24"/>
          <w:szCs w:val="24"/>
        </w:rPr>
        <w:t xml:space="preserve">manutenção</w:t>
      </w:r>
      <w:r>
        <w:rPr>
          <w:rFonts w:eastAsia="Arial" w:cs="Arial"/>
          <w:spacing w:val="1"/>
          <w:sz w:val="24"/>
          <w:szCs w:val="24"/>
        </w:rPr>
        <w:t xml:space="preserve"> </w:t>
      </w:r>
      <w:r>
        <w:rPr>
          <w:rFonts w:eastAsia="Arial" w:cs="Arial"/>
          <w:sz w:val="24"/>
          <w:szCs w:val="24"/>
        </w:rPr>
        <w:t xml:space="preserve">impresso</w:t>
      </w:r>
      <w:r>
        <w:rPr>
          <w:rFonts w:eastAsia="Arial" w:cs="Arial"/>
          <w:spacing w:val="1"/>
          <w:sz w:val="24"/>
          <w:szCs w:val="24"/>
        </w:rPr>
        <w:t xml:space="preserve"> </w:t>
      </w:r>
      <w:r>
        <w:rPr>
          <w:rFonts w:eastAsia="Arial" w:cs="Arial"/>
          <w:sz w:val="24"/>
          <w:szCs w:val="24"/>
        </w:rPr>
        <w:t xml:space="preserve">ou,</w:t>
      </w:r>
      <w:r>
        <w:rPr>
          <w:rFonts w:eastAsia="Arial" w:cs="Arial"/>
          <w:spacing w:val="1"/>
          <w:sz w:val="24"/>
          <w:szCs w:val="24"/>
        </w:rPr>
        <w:t xml:space="preserve"> </w:t>
      </w:r>
      <w:r>
        <w:rPr>
          <w:rFonts w:eastAsia="Arial" w:cs="Arial"/>
          <w:sz w:val="24"/>
          <w:szCs w:val="24"/>
        </w:rPr>
        <w:t xml:space="preserve">a</w:t>
      </w:r>
      <w:r>
        <w:rPr>
          <w:rFonts w:eastAsia="Arial" w:cs="Arial"/>
          <w:spacing w:val="1"/>
          <w:sz w:val="24"/>
          <w:szCs w:val="24"/>
        </w:rPr>
        <w:t xml:space="preserve"> </w:t>
      </w:r>
      <w:r>
        <w:rPr>
          <w:rFonts w:eastAsia="Arial" w:cs="Arial"/>
          <w:sz w:val="24"/>
          <w:szCs w:val="24"/>
        </w:rPr>
        <w:t xml:space="preserve">critério</w:t>
      </w:r>
      <w:r>
        <w:rPr>
          <w:rFonts w:eastAsia="Arial" w:cs="Arial"/>
          <w:spacing w:val="1"/>
          <w:sz w:val="24"/>
          <w:szCs w:val="24"/>
        </w:rPr>
        <w:t xml:space="preserve"> </w:t>
      </w:r>
      <w:r>
        <w:rPr>
          <w:rFonts w:eastAsia="Arial" w:cs="Arial"/>
          <w:sz w:val="24"/>
          <w:szCs w:val="24"/>
        </w:rPr>
        <w:t xml:space="preserve">do</w:t>
      </w:r>
      <w:r>
        <w:rPr>
          <w:rFonts w:eastAsia="Arial" w:cs="Arial"/>
          <w:spacing w:val="1"/>
          <w:sz w:val="24"/>
          <w:szCs w:val="24"/>
        </w:rPr>
        <w:t xml:space="preserve"> </w:t>
      </w:r>
      <w:r>
        <w:rPr>
          <w:rFonts w:eastAsia="Arial" w:cs="Arial"/>
          <w:sz w:val="24"/>
          <w:szCs w:val="24"/>
        </w:rPr>
        <w:t xml:space="preserve">Setor</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manutenção,</w:t>
      </w:r>
      <w:r>
        <w:rPr>
          <w:rFonts w:eastAsia="Arial" w:cs="Arial"/>
          <w:spacing w:val="1"/>
          <w:sz w:val="24"/>
          <w:szCs w:val="24"/>
        </w:rPr>
        <w:t xml:space="preserve"> </w:t>
      </w:r>
      <w:r>
        <w:rPr>
          <w:rFonts w:eastAsia="Arial" w:cs="Arial"/>
          <w:sz w:val="24"/>
          <w:szCs w:val="24"/>
        </w:rPr>
        <w:t xml:space="preserve">em</w:t>
      </w:r>
      <w:r>
        <w:rPr>
          <w:rFonts w:eastAsia="Arial" w:cs="Arial"/>
          <w:spacing w:val="1"/>
          <w:sz w:val="24"/>
          <w:szCs w:val="24"/>
        </w:rPr>
        <w:t xml:space="preserve"> </w:t>
      </w:r>
      <w:r>
        <w:rPr>
          <w:rFonts w:eastAsia="Arial" w:cs="Arial"/>
          <w:sz w:val="24"/>
          <w:szCs w:val="24"/>
        </w:rPr>
        <w:t xml:space="preserve">meio</w:t>
      </w:r>
      <w:r>
        <w:rPr>
          <w:rFonts w:eastAsia="Arial" w:cs="Arial"/>
          <w:spacing w:val="1"/>
          <w:sz w:val="24"/>
          <w:szCs w:val="24"/>
        </w:rPr>
        <w:t xml:space="preserve"> </w:t>
      </w:r>
      <w:r>
        <w:rPr>
          <w:rFonts w:eastAsia="Arial" w:cs="Arial"/>
          <w:sz w:val="24"/>
          <w:szCs w:val="24"/>
        </w:rPr>
        <w:t xml:space="preserve">digital</w:t>
      </w:r>
      <w:r>
        <w:rPr>
          <w:rFonts w:eastAsia="Arial" w:cs="Arial"/>
          <w:spacing w:val="66"/>
          <w:sz w:val="24"/>
          <w:szCs w:val="24"/>
        </w:rPr>
        <w:t xml:space="preserve"> </w:t>
      </w:r>
      <w:r>
        <w:rPr>
          <w:rFonts w:eastAsia="Arial" w:cs="Arial"/>
          <w:sz w:val="24"/>
          <w:szCs w:val="24"/>
        </w:rPr>
        <w:t xml:space="preserve">no </w:t>
      </w:r>
      <w:r>
        <w:rPr>
          <w:rFonts w:eastAsia="Arial" w:cs="Arial"/>
          <w:spacing w:val="-64"/>
          <w:sz w:val="24"/>
          <w:szCs w:val="24"/>
        </w:rPr>
        <w:t xml:space="preserve"> </w:t>
      </w:r>
      <w:r>
        <w:rPr>
          <w:rFonts w:eastAsia="Arial" w:cs="Arial"/>
          <w:sz w:val="24"/>
          <w:szCs w:val="24"/>
        </w:rPr>
        <w:t xml:space="preserve">formato</w:t>
      </w:r>
      <w:r>
        <w:rPr>
          <w:rFonts w:eastAsia="Arial" w:cs="Arial"/>
          <w:sz w:val="24"/>
          <w:szCs w:val="24"/>
        </w:rPr>
        <w:t xml:space="preserve"> e software por este definido, contendo o registro de todo trabalho efetuado e</w:t>
      </w:r>
      <w:r>
        <w:rPr>
          <w:rFonts w:eastAsia="Arial" w:cs="Arial"/>
          <w:spacing w:val="1"/>
          <w:sz w:val="24"/>
          <w:szCs w:val="24"/>
        </w:rPr>
        <w:t xml:space="preserve"> </w:t>
      </w:r>
      <w:r>
        <w:rPr>
          <w:rFonts w:eastAsia="Arial" w:cs="Arial"/>
          <w:sz w:val="24"/>
          <w:szCs w:val="24"/>
        </w:rPr>
        <w:t xml:space="preserve">das</w:t>
      </w:r>
      <w:r>
        <w:rPr>
          <w:rFonts w:eastAsia="Arial" w:cs="Arial"/>
          <w:spacing w:val="-1"/>
          <w:sz w:val="24"/>
          <w:szCs w:val="24"/>
        </w:rPr>
        <w:t xml:space="preserve"> </w:t>
      </w:r>
      <w:r>
        <w:rPr>
          <w:rFonts w:eastAsia="Arial" w:cs="Arial"/>
          <w:sz w:val="24"/>
          <w:szCs w:val="24"/>
        </w:rPr>
        <w:t xml:space="preserve">peças</w:t>
      </w:r>
      <w:r>
        <w:rPr>
          <w:rFonts w:eastAsia="Arial" w:cs="Arial"/>
          <w:spacing w:val="-2"/>
          <w:sz w:val="24"/>
          <w:szCs w:val="24"/>
        </w:rPr>
        <w:t xml:space="preserve"> </w:t>
      </w:r>
      <w:r>
        <w:rPr>
          <w:rFonts w:eastAsia="Arial" w:cs="Arial"/>
          <w:sz w:val="24"/>
          <w:szCs w:val="24"/>
        </w:rPr>
        <w:t xml:space="preserve">porventura fornecidas;</w:t>
      </w:r>
      <w:r>
        <w:rPr>
          <w:rFonts w:cs="Arial"/>
          <w:sz w:val="24"/>
          <w:szCs w:val="24"/>
        </w:rPr>
      </w:r>
    </w:p>
    <w:p>
      <w:pPr>
        <w:pStyle w:val="995"/>
        <w:widowControl w:val="false"/>
        <w:pBdr/>
        <w:tabs>
          <w:tab w:val="left" w:leader="none" w:pos="1562"/>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538"/>
        </w:tabs>
        <w:spacing w:before="240" w:line="276" w:lineRule="auto"/>
        <w:ind w:left="390"/>
        <w:rPr>
          <w:rFonts w:cs="Arial"/>
          <w:sz w:val="24"/>
          <w:szCs w:val="24"/>
        </w:rPr>
      </w:pPr>
      <w:r>
        <w:rPr>
          <w:rFonts w:eastAsia="Arial" w:cs="Arial"/>
          <w:sz w:val="24"/>
          <w:szCs w:val="24"/>
        </w:rPr>
        <w:t xml:space="preserve">p) apresentar sempre que solicitado documentos e/ou notas fiscais que comprovem a</w:t>
      </w:r>
      <w:r>
        <w:rPr>
          <w:rFonts w:eastAsia="Arial" w:cs="Arial"/>
          <w:spacing w:val="1"/>
          <w:sz w:val="24"/>
          <w:szCs w:val="24"/>
        </w:rPr>
        <w:t xml:space="preserve"> </w:t>
      </w:r>
      <w:r>
        <w:rPr>
          <w:rFonts w:eastAsia="Arial" w:cs="Arial"/>
          <w:sz w:val="24"/>
          <w:szCs w:val="24"/>
        </w:rPr>
        <w:t xml:space="preserve">procedência</w:t>
      </w:r>
      <w:r>
        <w:rPr>
          <w:rFonts w:eastAsia="Arial" w:cs="Arial"/>
          <w:spacing w:val="-3"/>
          <w:sz w:val="24"/>
          <w:szCs w:val="24"/>
        </w:rPr>
        <w:t xml:space="preserve"> </w:t>
      </w:r>
      <w:r>
        <w:rPr>
          <w:rFonts w:eastAsia="Arial" w:cs="Arial"/>
          <w:sz w:val="24"/>
          <w:szCs w:val="24"/>
        </w:rPr>
        <w:t xml:space="preserve">das</w:t>
      </w:r>
      <w:r>
        <w:rPr>
          <w:rFonts w:eastAsia="Arial" w:cs="Arial"/>
          <w:spacing w:val="-2"/>
          <w:sz w:val="24"/>
          <w:szCs w:val="24"/>
        </w:rPr>
        <w:t xml:space="preserve"> </w:t>
      </w:r>
      <w:r>
        <w:rPr>
          <w:rFonts w:eastAsia="Arial" w:cs="Arial"/>
          <w:sz w:val="24"/>
          <w:szCs w:val="24"/>
        </w:rPr>
        <w:t xml:space="preserve">peças destinadas</w:t>
      </w:r>
      <w:r>
        <w:rPr>
          <w:rFonts w:eastAsia="Arial" w:cs="Arial"/>
          <w:spacing w:val="-3"/>
          <w:sz w:val="24"/>
          <w:szCs w:val="24"/>
        </w:rPr>
        <w:t xml:space="preserve"> </w:t>
      </w:r>
      <w:r>
        <w:rPr>
          <w:rFonts w:eastAsia="Arial" w:cs="Arial"/>
          <w:sz w:val="24"/>
          <w:szCs w:val="24"/>
        </w:rPr>
        <w:t xml:space="preserve">à</w:t>
      </w:r>
      <w:r>
        <w:rPr>
          <w:rFonts w:eastAsia="Arial" w:cs="Arial"/>
          <w:spacing w:val="1"/>
          <w:sz w:val="24"/>
          <w:szCs w:val="24"/>
        </w:rPr>
        <w:t xml:space="preserve"> </w:t>
      </w:r>
      <w:r>
        <w:rPr>
          <w:rFonts w:eastAsia="Arial" w:cs="Arial"/>
          <w:sz w:val="24"/>
          <w:szCs w:val="24"/>
        </w:rPr>
        <w:t xml:space="preserve">substituição; </w:t>
      </w:r>
      <w:r>
        <w:rPr>
          <w:rFonts w:cs="Arial"/>
          <w:sz w:val="24"/>
          <w:szCs w:val="24"/>
        </w:rPr>
      </w:r>
    </w:p>
    <w:p>
      <w:pPr>
        <w:pStyle w:val="995"/>
        <w:widowControl w:val="false"/>
        <w:pBdr/>
        <w:tabs>
          <w:tab w:val="left" w:leader="none" w:pos="1538"/>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547"/>
        </w:tabs>
        <w:spacing w:before="240" w:line="276" w:lineRule="auto"/>
        <w:ind w:left="390"/>
        <w:rPr>
          <w:rFonts w:cs="Arial"/>
          <w:sz w:val="24"/>
          <w:szCs w:val="24"/>
        </w:rPr>
      </w:pPr>
      <w:r>
        <w:rPr>
          <w:rFonts w:eastAsia="Arial" w:cs="Arial"/>
          <w:sz w:val="24"/>
          <w:szCs w:val="24"/>
        </w:rPr>
        <w:t xml:space="preserve">q) possuir em suas instalações caixa coletora de resíduos líquidos poluentes e dar</w:t>
      </w:r>
      <w:r>
        <w:rPr>
          <w:rFonts w:eastAsia="Arial" w:cs="Arial"/>
          <w:spacing w:val="1"/>
          <w:sz w:val="24"/>
          <w:szCs w:val="24"/>
        </w:rPr>
        <w:t xml:space="preserve"> </w:t>
      </w:r>
      <w:r>
        <w:rPr>
          <w:rFonts w:eastAsia="Arial" w:cs="Arial"/>
          <w:sz w:val="24"/>
          <w:szCs w:val="24"/>
        </w:rPr>
        <w:t xml:space="preserve">destinação</w:t>
      </w:r>
      <w:r>
        <w:rPr>
          <w:rFonts w:eastAsia="Arial" w:cs="Arial"/>
          <w:spacing w:val="1"/>
          <w:sz w:val="24"/>
          <w:szCs w:val="24"/>
        </w:rPr>
        <w:t xml:space="preserve"> </w:t>
      </w:r>
      <w:r>
        <w:rPr>
          <w:rFonts w:eastAsia="Arial" w:cs="Arial"/>
          <w:sz w:val="24"/>
          <w:szCs w:val="24"/>
        </w:rPr>
        <w:t xml:space="preserve">adequada</w:t>
      </w:r>
      <w:r>
        <w:rPr>
          <w:rFonts w:eastAsia="Arial" w:cs="Arial"/>
          <w:spacing w:val="1"/>
          <w:sz w:val="24"/>
          <w:szCs w:val="24"/>
        </w:rPr>
        <w:t xml:space="preserve"> </w:t>
      </w:r>
      <w:r>
        <w:rPr>
          <w:rFonts w:eastAsia="Arial" w:cs="Arial"/>
          <w:sz w:val="24"/>
          <w:szCs w:val="24"/>
        </w:rPr>
        <w:t xml:space="preserve">aos</w:t>
      </w:r>
      <w:r>
        <w:rPr>
          <w:rFonts w:eastAsia="Arial" w:cs="Arial"/>
          <w:spacing w:val="1"/>
          <w:sz w:val="24"/>
          <w:szCs w:val="24"/>
        </w:rPr>
        <w:t xml:space="preserve"> </w:t>
      </w:r>
      <w:r>
        <w:rPr>
          <w:rFonts w:eastAsia="Arial" w:cs="Arial"/>
          <w:sz w:val="24"/>
          <w:szCs w:val="24"/>
        </w:rPr>
        <w:t xml:space="preserve">mesmos,</w:t>
      </w:r>
      <w:r>
        <w:rPr>
          <w:rFonts w:eastAsia="Arial" w:cs="Arial"/>
          <w:spacing w:val="1"/>
          <w:sz w:val="24"/>
          <w:szCs w:val="24"/>
        </w:rPr>
        <w:t xml:space="preserve"> </w:t>
      </w:r>
      <w:r>
        <w:rPr>
          <w:rFonts w:eastAsia="Arial" w:cs="Arial"/>
          <w:sz w:val="24"/>
          <w:szCs w:val="24"/>
        </w:rPr>
        <w:t xml:space="preserve">bem</w:t>
      </w:r>
      <w:r>
        <w:rPr>
          <w:rFonts w:eastAsia="Arial" w:cs="Arial"/>
          <w:spacing w:val="1"/>
          <w:sz w:val="24"/>
          <w:szCs w:val="24"/>
        </w:rPr>
        <w:t xml:space="preserve"> </w:t>
      </w:r>
      <w:r>
        <w:rPr>
          <w:rFonts w:eastAsia="Arial" w:cs="Arial"/>
          <w:sz w:val="24"/>
          <w:szCs w:val="24"/>
        </w:rPr>
        <w:t xml:space="preserve">como</w:t>
      </w:r>
      <w:r>
        <w:rPr>
          <w:rFonts w:eastAsia="Arial" w:cs="Arial"/>
          <w:spacing w:val="1"/>
          <w:sz w:val="24"/>
          <w:szCs w:val="24"/>
        </w:rPr>
        <w:t xml:space="preserve"> </w:t>
      </w:r>
      <w:r>
        <w:rPr>
          <w:rFonts w:eastAsia="Arial" w:cs="Arial"/>
          <w:sz w:val="24"/>
          <w:szCs w:val="24"/>
        </w:rPr>
        <w:t xml:space="preserve">às</w:t>
      </w:r>
      <w:r>
        <w:rPr>
          <w:rFonts w:eastAsia="Arial" w:cs="Arial"/>
          <w:spacing w:val="1"/>
          <w:sz w:val="24"/>
          <w:szCs w:val="24"/>
        </w:rPr>
        <w:t xml:space="preserve"> </w:t>
      </w:r>
      <w:r>
        <w:rPr>
          <w:rFonts w:eastAsia="Arial" w:cs="Arial"/>
          <w:sz w:val="24"/>
          <w:szCs w:val="24"/>
        </w:rPr>
        <w:t xml:space="preserve">embalagens</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óleos</w:t>
      </w:r>
      <w:r>
        <w:rPr>
          <w:rFonts w:eastAsia="Arial" w:cs="Arial"/>
          <w:spacing w:val="1"/>
          <w:sz w:val="24"/>
          <w:szCs w:val="24"/>
        </w:rPr>
        <w:t xml:space="preserve"> </w:t>
      </w:r>
      <w:r>
        <w:rPr>
          <w:rFonts w:eastAsia="Arial" w:cs="Arial"/>
          <w:sz w:val="24"/>
          <w:szCs w:val="24"/>
        </w:rPr>
        <w:t xml:space="preserve">e</w:t>
      </w:r>
      <w:r>
        <w:rPr>
          <w:rFonts w:eastAsia="Arial" w:cs="Arial"/>
          <w:spacing w:val="1"/>
          <w:sz w:val="24"/>
          <w:szCs w:val="24"/>
        </w:rPr>
        <w:t xml:space="preserve"> </w:t>
      </w:r>
      <w:r>
        <w:rPr>
          <w:rFonts w:eastAsia="Arial" w:cs="Arial"/>
          <w:sz w:val="24"/>
          <w:szCs w:val="24"/>
        </w:rPr>
        <w:t xml:space="preserve">seus</w:t>
      </w:r>
      <w:r>
        <w:rPr>
          <w:rFonts w:eastAsia="Arial" w:cs="Arial"/>
          <w:spacing w:val="1"/>
          <w:sz w:val="24"/>
          <w:szCs w:val="24"/>
        </w:rPr>
        <w:t xml:space="preserve"> </w:t>
      </w:r>
      <w:r>
        <w:rPr>
          <w:rFonts w:eastAsia="Arial" w:cs="Arial"/>
          <w:sz w:val="24"/>
          <w:szCs w:val="24"/>
        </w:rPr>
        <w:t xml:space="preserve">derivados,</w:t>
      </w:r>
      <w:r>
        <w:rPr>
          <w:rFonts w:eastAsia="Arial" w:cs="Arial"/>
          <w:spacing w:val="-3"/>
          <w:sz w:val="24"/>
          <w:szCs w:val="24"/>
        </w:rPr>
        <w:t xml:space="preserve"> </w:t>
      </w:r>
      <w:r>
        <w:rPr>
          <w:rFonts w:eastAsia="Arial" w:cs="Arial"/>
          <w:sz w:val="24"/>
          <w:szCs w:val="24"/>
        </w:rPr>
        <w:t xml:space="preserve">filtros</w:t>
      </w:r>
      <w:r>
        <w:rPr>
          <w:rFonts w:eastAsia="Arial" w:cs="Arial"/>
          <w:spacing w:val="1"/>
          <w:sz w:val="24"/>
          <w:szCs w:val="24"/>
        </w:rPr>
        <w:t xml:space="preserve"> </w:t>
      </w:r>
      <w:r>
        <w:rPr>
          <w:rFonts w:eastAsia="Arial" w:cs="Arial"/>
          <w:sz w:val="24"/>
          <w:szCs w:val="24"/>
        </w:rPr>
        <w:t xml:space="preserve">e</w:t>
      </w:r>
      <w:r>
        <w:rPr>
          <w:rFonts w:eastAsia="Arial" w:cs="Arial"/>
          <w:spacing w:val="-3"/>
          <w:sz w:val="24"/>
          <w:szCs w:val="24"/>
        </w:rPr>
        <w:t xml:space="preserve"> </w:t>
      </w:r>
      <w:r>
        <w:rPr>
          <w:rFonts w:eastAsia="Arial" w:cs="Arial"/>
          <w:sz w:val="24"/>
          <w:szCs w:val="24"/>
        </w:rPr>
        <w:t xml:space="preserve">sucatas</w:t>
      </w:r>
      <w:r>
        <w:rPr>
          <w:rFonts w:eastAsia="Arial" w:cs="Arial"/>
          <w:spacing w:val="-2"/>
          <w:sz w:val="24"/>
          <w:szCs w:val="24"/>
        </w:rPr>
        <w:t xml:space="preserve"> </w:t>
      </w:r>
      <w:r>
        <w:rPr>
          <w:rFonts w:eastAsia="Arial" w:cs="Arial"/>
          <w:sz w:val="24"/>
          <w:szCs w:val="24"/>
        </w:rPr>
        <w:t xml:space="preserve">derivadas da</w:t>
      </w:r>
      <w:r>
        <w:rPr>
          <w:rFonts w:eastAsia="Arial" w:cs="Arial"/>
          <w:spacing w:val="-1"/>
          <w:sz w:val="24"/>
          <w:szCs w:val="24"/>
        </w:rPr>
        <w:t xml:space="preserve"> </w:t>
      </w:r>
      <w:r>
        <w:rPr>
          <w:rFonts w:eastAsia="Arial" w:cs="Arial"/>
          <w:sz w:val="24"/>
          <w:szCs w:val="24"/>
        </w:rPr>
        <w:t xml:space="preserve">manutenção veicular;</w:t>
      </w:r>
      <w:r>
        <w:rPr>
          <w:rFonts w:cs="Arial"/>
          <w:sz w:val="24"/>
          <w:szCs w:val="24"/>
        </w:rPr>
      </w:r>
    </w:p>
    <w:p>
      <w:pPr>
        <w:pStyle w:val="995"/>
        <w:widowControl w:val="false"/>
        <w:pBdr/>
        <w:tabs>
          <w:tab w:val="left" w:leader="none" w:pos="1547"/>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547"/>
        </w:tabs>
        <w:spacing w:before="240" w:line="276" w:lineRule="auto"/>
        <w:ind w:left="390"/>
        <w:rPr>
          <w:rFonts w:cs="Arial"/>
          <w:sz w:val="24"/>
          <w:szCs w:val="24"/>
        </w:rPr>
      </w:pPr>
      <w:r>
        <w:rPr>
          <w:rFonts w:eastAsia="Arial" w:cs="Arial"/>
          <w:sz w:val="24"/>
          <w:szCs w:val="24"/>
        </w:rPr>
        <w:t xml:space="preserve">r) garantir por no mínimo 90</w:t>
      </w:r>
      <w:r>
        <w:rPr>
          <w:rFonts w:eastAsia="Arial" w:cs="Arial"/>
          <w:spacing w:val="1"/>
          <w:sz w:val="24"/>
          <w:szCs w:val="24"/>
        </w:rPr>
        <w:t xml:space="preserve"> </w:t>
      </w:r>
      <w:r>
        <w:rPr>
          <w:rFonts w:eastAsia="Arial" w:cs="Arial"/>
          <w:sz w:val="24"/>
          <w:szCs w:val="24"/>
        </w:rPr>
        <w:t xml:space="preserve">(noventa) dias todos os serviços</w:t>
      </w:r>
      <w:r>
        <w:rPr>
          <w:rFonts w:eastAsia="Arial" w:cs="Arial"/>
          <w:spacing w:val="1"/>
          <w:sz w:val="24"/>
          <w:szCs w:val="24"/>
        </w:rPr>
        <w:t xml:space="preserve"> </w:t>
      </w:r>
      <w:r>
        <w:rPr>
          <w:rFonts w:eastAsia="Arial" w:cs="Arial"/>
          <w:sz w:val="24"/>
          <w:szCs w:val="24"/>
        </w:rPr>
        <w:t xml:space="preserve">executados,</w:t>
      </w:r>
      <w:r>
        <w:rPr>
          <w:rFonts w:eastAsia="Arial" w:cs="Arial"/>
          <w:spacing w:val="1"/>
          <w:sz w:val="24"/>
          <w:szCs w:val="24"/>
        </w:rPr>
        <w:t xml:space="preserve"> </w:t>
      </w:r>
      <w:r>
        <w:rPr>
          <w:rFonts w:eastAsia="Arial" w:cs="Arial"/>
          <w:sz w:val="24"/>
          <w:szCs w:val="24"/>
        </w:rPr>
        <w:t xml:space="preserve">bem</w:t>
      </w:r>
      <w:r>
        <w:rPr>
          <w:rFonts w:eastAsia="Arial" w:cs="Arial"/>
          <w:spacing w:val="66"/>
          <w:sz w:val="24"/>
          <w:szCs w:val="24"/>
        </w:rPr>
        <w:t xml:space="preserve"> </w:t>
      </w:r>
      <w:r>
        <w:rPr>
          <w:rFonts w:eastAsia="Arial" w:cs="Arial"/>
          <w:sz w:val="24"/>
          <w:szCs w:val="24"/>
        </w:rPr>
        <w:t xml:space="preserve">como</w:t>
      </w:r>
      <w:r>
        <w:rPr>
          <w:rFonts w:eastAsia="Arial" w:cs="Arial"/>
          <w:spacing w:val="-64"/>
          <w:sz w:val="24"/>
          <w:szCs w:val="24"/>
        </w:rPr>
        <w:t xml:space="preserve"> </w:t>
      </w:r>
      <w:r>
        <w:rPr>
          <w:rFonts w:eastAsia="Arial" w:cs="Arial"/>
          <w:sz w:val="24"/>
          <w:szCs w:val="24"/>
        </w:rPr>
        <w:t xml:space="preserve">as peças fornecidas, ou se maior, no caso de peças, o período determinado pelo</w:t>
      </w:r>
      <w:r>
        <w:rPr>
          <w:rFonts w:eastAsia="Arial" w:cs="Arial"/>
          <w:spacing w:val="1"/>
          <w:sz w:val="24"/>
          <w:szCs w:val="24"/>
        </w:rPr>
        <w:t xml:space="preserve"> </w:t>
      </w:r>
      <w:r>
        <w:rPr>
          <w:rFonts w:eastAsia="Arial" w:cs="Arial"/>
          <w:sz w:val="24"/>
          <w:szCs w:val="24"/>
        </w:rPr>
        <w:t xml:space="preserve">fabricante.</w:t>
      </w:r>
      <w:r>
        <w:rPr>
          <w:rFonts w:cs="Arial"/>
          <w:sz w:val="24"/>
          <w:szCs w:val="24"/>
        </w:rPr>
      </w:r>
    </w:p>
    <w:p>
      <w:pPr>
        <w:pStyle w:val="995"/>
        <w:widowControl w:val="false"/>
        <w:pBdr/>
        <w:tabs>
          <w:tab w:val="left" w:leader="none" w:pos="1547"/>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709"/>
          <w:tab w:val="left" w:leader="none" w:pos="1989"/>
        </w:tabs>
        <w:spacing w:before="240" w:line="276" w:lineRule="auto"/>
        <w:ind w:left="390"/>
        <w:rPr>
          <w:rFonts w:cs="Arial"/>
          <w:color w:val="ff0000"/>
          <w:sz w:val="24"/>
          <w:szCs w:val="24"/>
        </w:rPr>
      </w:pPr>
      <w:r>
        <w:rPr>
          <w:rFonts w:eastAsia="Arial" w:cs="Arial"/>
          <w:color w:val="ff0000"/>
          <w:sz w:val="24"/>
          <w:szCs w:val="24"/>
        </w:rPr>
        <w:t xml:space="preserve">s) serviços de guincho: - A </w:t>
      </w:r>
      <w:r>
        <w:rPr>
          <w:rFonts w:eastAsia="Arial" w:cs="Arial"/>
          <w:color w:val="ff0000"/>
          <w:sz w:val="24"/>
          <w:szCs w:val="24"/>
        </w:rPr>
        <w:t xml:space="preserve">empresa contratada deverá prestar serviços de reboque por carro tipo guincho quando os veículos da frota da Contratante não puderem trafegar, devido a defeitos mecânicos, elétricos ou quaisquer avarias ou panes ocorridas. - O serviço de assistência de guin</w:t>
      </w:r>
      <w:r>
        <w:rPr>
          <w:rFonts w:eastAsia="Arial" w:cs="Arial"/>
          <w:color w:val="ff0000"/>
          <w:sz w:val="24"/>
          <w:szCs w:val="24"/>
        </w:rPr>
        <w:t xml:space="preserve">cho deverá ser prestado em regime de plantão de 24 (vinte e quatro) horas x 07 (sete) dias por semana, sem qualquer ônus para a Contratante, devendo ser disponibilizado o(s) número(s) de telefone para chamados diretos fora do horário normal de expediente. </w:t>
      </w:r>
      <w:r>
        <w:rPr>
          <w:rFonts w:cs="Arial"/>
          <w:color w:val="ff0000"/>
          <w:sz w:val="24"/>
          <w:szCs w:val="24"/>
        </w:rPr>
      </w:r>
    </w:p>
    <w:p>
      <w:pPr>
        <w:pStyle w:val="995"/>
        <w:widowControl w:val="false"/>
        <w:pBdr/>
        <w:tabs>
          <w:tab w:val="left" w:leader="none" w:pos="709"/>
          <w:tab w:val="left" w:leader="none" w:pos="1989"/>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989"/>
        </w:tabs>
        <w:spacing w:before="240" w:line="276" w:lineRule="auto"/>
        <w:ind w:left="390"/>
        <w:rPr>
          <w:rFonts w:cs="Arial"/>
          <w:sz w:val="24"/>
          <w:szCs w:val="24"/>
        </w:rPr>
      </w:pPr>
      <w:r>
        <w:rPr>
          <w:rFonts w:eastAsia="Arial" w:cs="Arial"/>
          <w:sz w:val="24"/>
          <w:szCs w:val="24"/>
        </w:rPr>
        <w:t xml:space="preserve">t) o atendimento dos chamados serviços de guincho contadas imediatamente a partir do recebimento da Ordem de Serviço.</w:t>
      </w:r>
      <w:r>
        <w:rPr>
          <w:rFonts w:cs="Arial"/>
          <w:sz w:val="24"/>
          <w:szCs w:val="24"/>
        </w:rPr>
      </w:r>
    </w:p>
    <w:p>
      <w:pPr>
        <w:pStyle w:val="995"/>
        <w:widowControl w:val="false"/>
        <w:pBdr/>
        <w:tabs>
          <w:tab w:val="left" w:leader="none" w:pos="1989"/>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989"/>
        </w:tabs>
        <w:spacing w:before="240" w:line="276" w:lineRule="auto"/>
        <w:ind w:left="390"/>
        <w:rPr>
          <w:rFonts w:cs="Arial"/>
          <w:sz w:val="24"/>
          <w:szCs w:val="24"/>
        </w:rPr>
      </w:pPr>
      <w:r>
        <w:rPr>
          <w:rFonts w:eastAsia="Arial" w:cs="Arial"/>
          <w:sz w:val="24"/>
          <w:szCs w:val="24"/>
        </w:rPr>
        <w:t xml:space="preserve">u) na prestação dos serviços de guincho deverá ser sempre preenchido um “</w:t>
      </w:r>
      <w:r>
        <w:rPr>
          <w:rFonts w:eastAsia="Arial" w:cs="Arial"/>
          <w:i/>
          <w:sz w:val="24"/>
          <w:szCs w:val="24"/>
        </w:rPr>
        <w:t xml:space="preserve">check</w:t>
      </w:r>
      <w:r>
        <w:rPr>
          <w:rFonts w:eastAsia="Arial" w:cs="Arial"/>
          <w:i/>
          <w:sz w:val="24"/>
          <w:szCs w:val="24"/>
        </w:rPr>
        <w:t xml:space="preserve"> </w:t>
      </w:r>
      <w:r>
        <w:rPr>
          <w:rFonts w:eastAsia="Arial" w:cs="Arial"/>
          <w:i/>
          <w:sz w:val="24"/>
          <w:szCs w:val="24"/>
        </w:rPr>
        <w:t xml:space="preserve">list</w:t>
      </w:r>
      <w:r>
        <w:rPr>
          <w:rFonts w:eastAsia="Arial" w:cs="Arial"/>
          <w:sz w:val="24"/>
          <w:szCs w:val="24"/>
        </w:rPr>
        <w:t xml:space="preserve">” completo, logo que chegar ao local e antes de iniciado qualquer atendimento, informando, neste documento, a descrição completa do automóvel, seus danos aparentes, acessórios e eventuais pertences deixados no seu interior. Este “</w:t>
      </w:r>
      <w:r>
        <w:rPr>
          <w:rFonts w:eastAsia="Arial" w:cs="Arial"/>
          <w:i/>
          <w:sz w:val="24"/>
          <w:szCs w:val="24"/>
        </w:rPr>
        <w:t xml:space="preserve">check</w:t>
      </w:r>
      <w:r>
        <w:rPr>
          <w:rFonts w:eastAsia="Arial" w:cs="Arial"/>
          <w:i/>
          <w:sz w:val="24"/>
          <w:szCs w:val="24"/>
        </w:rPr>
        <w:t xml:space="preserve"> </w:t>
      </w:r>
      <w:r>
        <w:rPr>
          <w:rFonts w:eastAsia="Arial" w:cs="Arial"/>
          <w:i/>
          <w:sz w:val="24"/>
          <w:szCs w:val="24"/>
        </w:rPr>
        <w:t xml:space="preserve">list</w:t>
      </w:r>
      <w:r>
        <w:rPr>
          <w:rFonts w:eastAsia="Arial" w:cs="Arial"/>
          <w:sz w:val="24"/>
          <w:szCs w:val="24"/>
        </w:rPr>
        <w:t xml:space="preserve">” para ter validade deverá ser assinado pelo usuário. Este documento servirá para assegurar ao Fundo Municipal de Educação que não terá que arcar com possíveis danos ao veículo em seu transporte. </w:t>
      </w:r>
      <w:r>
        <w:rPr>
          <w:rFonts w:cs="Arial"/>
          <w:sz w:val="24"/>
          <w:szCs w:val="24"/>
        </w:rPr>
      </w:r>
    </w:p>
    <w:p>
      <w:pPr>
        <w:pStyle w:val="995"/>
        <w:pBdr/>
        <w:tabs>
          <w:tab w:val="num" w:leader="none" w:pos="720"/>
        </w:tabs>
        <w:spacing w:line="276" w:lineRule="auto"/>
        <w:ind w:left="390"/>
        <w:rPr>
          <w:rFonts w:cs="Arial"/>
          <w:b/>
          <w:sz w:val="24"/>
          <w:szCs w:val="24"/>
        </w:rPr>
      </w:pPr>
      <w:r>
        <w:rPr>
          <w:rFonts w:cs="Arial"/>
          <w:b/>
          <w:sz w:val="24"/>
          <w:szCs w:val="24"/>
        </w:rPr>
      </w:r>
      <w:r>
        <w:rPr>
          <w:rFonts w:cs="Arial"/>
          <w:b/>
          <w:sz w:val="24"/>
          <w:szCs w:val="24"/>
        </w:rPr>
      </w:r>
    </w:p>
    <w:p>
      <w:pPr>
        <w:pStyle w:val="995"/>
        <w:pBdr/>
        <w:spacing w:line="276" w:lineRule="auto"/>
        <w:ind w:left="390"/>
        <w:rPr>
          <w:rFonts w:cs="Arial"/>
          <w:color w:val="000000"/>
          <w:sz w:val="24"/>
          <w:szCs w:val="24"/>
        </w:rPr>
      </w:pPr>
      <w:r>
        <w:rPr>
          <w:rFonts w:eastAsia="Arial" w:cs="Arial"/>
          <w:color w:val="000000"/>
          <w:sz w:val="24"/>
          <w:szCs w:val="24"/>
        </w:rPr>
        <w:t xml:space="preserve">v) atender prontamente a quaisquer exigências da Administração, inerentes ao objeto da presente contratação;</w:t>
      </w:r>
      <w:r>
        <w:rPr>
          <w:rFonts w:cs="Arial"/>
          <w:color w:val="000000"/>
          <w:sz w:val="24"/>
          <w:szCs w:val="24"/>
        </w:rPr>
      </w:r>
    </w:p>
    <w:p>
      <w:pPr>
        <w:pStyle w:val="995"/>
        <w:pBdr/>
        <w:spacing w:line="276" w:lineRule="auto"/>
        <w:ind w:left="390"/>
        <w:rPr>
          <w:rFonts w:cs="Arial"/>
          <w:color w:val="000000"/>
          <w:sz w:val="24"/>
          <w:szCs w:val="24"/>
        </w:rPr>
      </w:pPr>
      <w:r>
        <w:rPr>
          <w:rFonts w:cs="Arial"/>
          <w:color w:val="000000"/>
          <w:sz w:val="24"/>
          <w:szCs w:val="24"/>
        </w:rPr>
      </w:r>
      <w:r>
        <w:rPr>
          <w:rFonts w:cs="Arial"/>
          <w:color w:val="000000"/>
          <w:sz w:val="24"/>
          <w:szCs w:val="24"/>
        </w:rPr>
      </w:r>
    </w:p>
    <w:p>
      <w:pPr>
        <w:pStyle w:val="995"/>
        <w:pBdr/>
        <w:spacing w:line="276" w:lineRule="auto"/>
        <w:ind w:left="390"/>
        <w:rPr>
          <w:rFonts w:cs="Arial"/>
          <w:color w:val="000000"/>
          <w:sz w:val="24"/>
          <w:szCs w:val="24"/>
        </w:rPr>
      </w:pPr>
      <w:r>
        <w:rPr>
          <w:rFonts w:eastAsia="Arial" w:cs="Arial"/>
          <w:color w:val="000000"/>
          <w:sz w:val="24"/>
          <w:szCs w:val="24"/>
        </w:rPr>
        <w:t xml:space="preserve">w)</w:t>
      </w:r>
      <w:r>
        <w:rPr>
          <w:rFonts w:eastAsia="Arial" w:cs="Arial"/>
          <w:color w:val="000000"/>
          <w:sz w:val="24"/>
          <w:szCs w:val="24"/>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r>
        <w:rPr>
          <w:rFonts w:cs="Arial"/>
          <w:color w:val="000000"/>
          <w:sz w:val="24"/>
          <w:szCs w:val="24"/>
        </w:rPr>
      </w:r>
    </w:p>
    <w:p>
      <w:pPr>
        <w:pStyle w:val="995"/>
        <w:pBdr/>
        <w:spacing w:line="276" w:lineRule="auto"/>
        <w:ind w:left="390"/>
        <w:rPr>
          <w:rFonts w:cs="Arial"/>
          <w:color w:val="000000"/>
          <w:sz w:val="24"/>
          <w:szCs w:val="24"/>
        </w:rPr>
      </w:pPr>
      <w:r>
        <w:rPr>
          <w:rFonts w:cs="Arial"/>
          <w:color w:val="000000"/>
          <w:sz w:val="24"/>
          <w:szCs w:val="24"/>
        </w:rPr>
      </w:r>
      <w:r>
        <w:rPr>
          <w:rFonts w:cs="Arial"/>
          <w:color w:val="000000"/>
          <w:sz w:val="24"/>
          <w:szCs w:val="24"/>
        </w:rPr>
      </w:r>
    </w:p>
    <w:p>
      <w:pPr>
        <w:pStyle w:val="994"/>
        <w:pBdr/>
        <w:spacing w:line="276" w:lineRule="auto"/>
        <w:ind w:left="390"/>
        <w:rPr>
          <w:rFonts w:ascii="Arial" w:hAnsi="Arial" w:cs="Arial"/>
          <w:bCs/>
          <w:sz w:val="24"/>
          <w:szCs w:val="24"/>
        </w:rPr>
      </w:pPr>
      <w:r>
        <w:rPr>
          <w:rFonts w:ascii="Arial" w:hAnsi="Arial" w:eastAsia="Arial" w:cs="Arial"/>
          <w:bCs/>
          <w:sz w:val="24"/>
          <w:szCs w:val="24"/>
        </w:rPr>
        <w:t xml:space="preserve">x) cumprir todas as demais obrigações impostas pelo edital e seus anexos.</w:t>
      </w:r>
      <w:r>
        <w:rPr>
          <w:rFonts w:ascii="Arial" w:hAnsi="Arial" w:cs="Arial"/>
          <w:bCs/>
          <w:sz w:val="24"/>
          <w:szCs w:val="24"/>
        </w:rPr>
      </w:r>
    </w:p>
    <w:p>
      <w:pPr>
        <w:pStyle w:val="995"/>
        <w:widowControl w:val="false"/>
        <w:pBdr/>
        <w:tabs>
          <w:tab w:val="left" w:leader="none" w:pos="1547"/>
        </w:tabs>
        <w:spacing w:before="240" w:line="276" w:lineRule="auto"/>
        <w:ind w:left="390"/>
        <w:rPr>
          <w:rFonts w:cs="Arial"/>
          <w:sz w:val="24"/>
          <w:szCs w:val="24"/>
        </w:rPr>
      </w:pPr>
      <w:r>
        <w:rPr>
          <w:rFonts w:eastAsia="Arial" w:cs="Arial"/>
          <w:sz w:val="24"/>
          <w:szCs w:val="24"/>
        </w:rPr>
        <w:t xml:space="preserve">y) a</w:t>
      </w:r>
      <w:r>
        <w:rPr>
          <w:rFonts w:eastAsia="Arial" w:cs="Arial"/>
          <w:spacing w:val="-3"/>
          <w:sz w:val="24"/>
          <w:szCs w:val="24"/>
        </w:rPr>
        <w:t xml:space="preserve"> </w:t>
      </w:r>
      <w:r>
        <w:rPr>
          <w:rFonts w:eastAsia="Arial" w:cs="Arial"/>
          <w:sz w:val="24"/>
          <w:szCs w:val="24"/>
        </w:rPr>
        <w:t xml:space="preserve">empresa</w:t>
      </w:r>
      <w:r>
        <w:rPr>
          <w:rFonts w:eastAsia="Arial" w:cs="Arial"/>
          <w:spacing w:val="-2"/>
          <w:sz w:val="24"/>
          <w:szCs w:val="24"/>
        </w:rPr>
        <w:t xml:space="preserve"> </w:t>
      </w:r>
      <w:r>
        <w:rPr>
          <w:rFonts w:eastAsia="Arial" w:cs="Arial"/>
          <w:sz w:val="24"/>
          <w:szCs w:val="24"/>
        </w:rPr>
        <w:t xml:space="preserve">contratada</w:t>
      </w:r>
      <w:r>
        <w:rPr>
          <w:rFonts w:eastAsia="Arial" w:cs="Arial"/>
          <w:spacing w:val="-4"/>
          <w:sz w:val="24"/>
          <w:szCs w:val="24"/>
        </w:rPr>
        <w:t xml:space="preserve"> </w:t>
      </w:r>
      <w:r>
        <w:rPr>
          <w:rFonts w:eastAsia="Arial" w:cs="Arial"/>
          <w:sz w:val="24"/>
          <w:szCs w:val="24"/>
        </w:rPr>
        <w:t xml:space="preserve">deverá</w:t>
      </w:r>
      <w:r>
        <w:rPr>
          <w:rFonts w:eastAsia="Arial" w:cs="Arial"/>
          <w:spacing w:val="-2"/>
          <w:sz w:val="24"/>
          <w:szCs w:val="24"/>
        </w:rPr>
        <w:t xml:space="preserve"> </w:t>
      </w:r>
      <w:r>
        <w:rPr>
          <w:rFonts w:eastAsia="Arial" w:cs="Arial"/>
          <w:sz w:val="24"/>
          <w:szCs w:val="24"/>
        </w:rPr>
        <w:t xml:space="preserve">ainda:</w:t>
      </w:r>
      <w:r>
        <w:rPr>
          <w:rFonts w:cs="Arial"/>
          <w:sz w:val="24"/>
          <w:szCs w:val="24"/>
        </w:rPr>
      </w:r>
    </w:p>
    <w:p>
      <w:pPr>
        <w:pStyle w:val="995"/>
        <w:widowControl w:val="false"/>
        <w:pBdr/>
        <w:tabs>
          <w:tab w:val="left" w:leader="none" w:pos="0"/>
        </w:tabs>
        <w:spacing w:before="240" w:line="276" w:lineRule="auto"/>
        <w:ind w:left="390"/>
        <w:rPr>
          <w:rFonts w:cs="Arial"/>
          <w:sz w:val="24"/>
          <w:szCs w:val="24"/>
        </w:rPr>
      </w:pPr>
      <w:r>
        <w:rPr>
          <w:rFonts w:eastAsia="Arial" w:cs="Arial"/>
          <w:sz w:val="24"/>
          <w:szCs w:val="24"/>
        </w:rPr>
        <w:t xml:space="preserve">Manter oficina especializada com espaço apropriado para guarda dos veículos, devidamente instalada e licenciada numa distância máxima de 20 (vinte) KM da sede da Prefeitura Municipal de Rio das </w:t>
      </w:r>
      <w:r>
        <w:rPr>
          <w:rFonts w:eastAsia="Arial" w:cs="Arial"/>
          <w:sz w:val="24"/>
          <w:szCs w:val="24"/>
        </w:rPr>
        <w:t xml:space="preserve">Flôres</w:t>
      </w:r>
      <w:r>
        <w:rPr>
          <w:rFonts w:eastAsia="Arial" w:cs="Arial"/>
          <w:sz w:val="24"/>
          <w:szCs w:val="24"/>
        </w:rPr>
        <w:t xml:space="preserve">, localizado no seguinte endereço:</w:t>
      </w:r>
      <w:r>
        <w:rPr>
          <w:rFonts w:eastAsia="Arial" w:cs="Arial"/>
          <w:spacing w:val="1"/>
          <w:sz w:val="24"/>
          <w:szCs w:val="24"/>
        </w:rPr>
        <w:t xml:space="preserve"> </w:t>
      </w:r>
      <w:r>
        <w:rPr>
          <w:rFonts w:eastAsia="Arial" w:cs="Arial"/>
          <w:sz w:val="24"/>
          <w:szCs w:val="24"/>
        </w:rPr>
        <w:t xml:space="preserve">Rua Cel. Eurico de Castro, nº 14, Centro, Rio das </w:t>
      </w:r>
      <w:r>
        <w:rPr>
          <w:rFonts w:eastAsia="Arial" w:cs="Arial"/>
          <w:sz w:val="24"/>
          <w:szCs w:val="24"/>
        </w:rPr>
        <w:t xml:space="preserve">Flôres</w:t>
      </w:r>
      <w:r>
        <w:rPr>
          <w:rFonts w:eastAsia="Arial" w:cs="Arial"/>
          <w:sz w:val="24"/>
          <w:szCs w:val="24"/>
        </w:rPr>
        <w:t xml:space="preserve"> – RJ, CEP: 27.660-000.</w:t>
      </w:r>
      <w:r>
        <w:rPr>
          <w:rFonts w:cs="Arial"/>
          <w:sz w:val="24"/>
          <w:szCs w:val="24"/>
        </w:rPr>
      </w:r>
    </w:p>
    <w:p>
      <w:pPr>
        <w:pStyle w:val="995"/>
        <w:widowControl w:val="false"/>
        <w:pBdr/>
        <w:tabs>
          <w:tab w:val="left" w:leader="none" w:pos="0"/>
        </w:tabs>
        <w:spacing w:before="240" w:line="276" w:lineRule="auto"/>
        <w:ind w:left="390"/>
        <w:rPr>
          <w:rFonts w:cs="Arial"/>
          <w:sz w:val="24"/>
          <w:szCs w:val="24"/>
        </w:rPr>
      </w:pPr>
      <w:r>
        <w:rPr>
          <w:rFonts w:cs="Arial"/>
          <w:sz w:val="24"/>
          <w:szCs w:val="24"/>
        </w:rPr>
      </w:r>
      <w:r>
        <w:rPr>
          <w:rFonts w:cs="Arial"/>
          <w:sz w:val="24"/>
          <w:szCs w:val="24"/>
        </w:rPr>
      </w:r>
    </w:p>
    <w:p>
      <w:pPr>
        <w:pStyle w:val="994"/>
        <w:pBdr/>
        <w:spacing w:line="276" w:lineRule="auto"/>
        <w:ind w:left="390"/>
        <w:rPr>
          <w:rFonts w:ascii="Arial" w:hAnsi="Arial" w:cs="Arial"/>
          <w:sz w:val="24"/>
          <w:szCs w:val="24"/>
        </w:rPr>
      </w:pPr>
      <w:r>
        <w:rPr>
          <w:rFonts w:ascii="Arial" w:hAnsi="Arial" w:eastAsia="Arial" w:cs="Arial"/>
          <w:sz w:val="24"/>
          <w:szCs w:val="24"/>
        </w:rPr>
        <w:t xml:space="preserve">A informação descrita acima deverá ser comprovada por meio da apresentação, juntamente com a proposta, de cópia do Alvará de Funcionamento do estabelecimento, emitido pelo órgão competente.</w:t>
      </w:r>
      <w:r>
        <w:rPr>
          <w:rFonts w:ascii="Arial" w:hAnsi="Arial" w:cs="Arial"/>
          <w:sz w:val="24"/>
          <w:szCs w:val="24"/>
        </w:rPr>
      </w:r>
    </w:p>
    <w:p>
      <w:pPr>
        <w:pStyle w:val="994"/>
        <w:pBdr/>
        <w:spacing w:line="276" w:lineRule="auto"/>
        <w:ind w:left="390"/>
        <w:rPr>
          <w:rFonts w:ascii="Arial" w:hAnsi="Arial" w:cs="Arial"/>
          <w:sz w:val="24"/>
          <w:szCs w:val="24"/>
        </w:rPr>
      </w:pPr>
      <w:r>
        <w:rPr>
          <w:rFonts w:ascii="Arial" w:hAnsi="Arial" w:cs="Arial"/>
          <w:sz w:val="24"/>
          <w:szCs w:val="24"/>
        </w:rPr>
      </w:r>
      <w:r>
        <w:rPr>
          <w:rFonts w:ascii="Arial" w:hAnsi="Arial" w:cs="Arial"/>
          <w:sz w:val="24"/>
          <w:szCs w:val="24"/>
        </w:rPr>
      </w:r>
    </w:p>
    <w:p>
      <w:pPr>
        <w:pStyle w:val="995"/>
        <w:numPr>
          <w:ilvl w:val="2"/>
          <w:numId w:val="43"/>
        </w:numPr>
        <w:pBdr/>
        <w:tabs>
          <w:tab w:val="num" w:leader="none" w:pos="720"/>
        </w:tabs>
        <w:spacing w:line="276" w:lineRule="auto"/>
        <w:ind/>
        <w:rPr>
          <w:rFonts w:cs="Arial"/>
          <w:b/>
          <w:sz w:val="24"/>
          <w:szCs w:val="24"/>
        </w:rPr>
      </w:pPr>
      <w:r>
        <w:rPr>
          <w:rFonts w:eastAsia="Arial" w:cs="Arial"/>
          <w:b/>
          <w:sz w:val="24"/>
          <w:szCs w:val="24"/>
        </w:rPr>
        <w:t xml:space="preserve"> DO ÓRGÃO CONTRATANTE</w:t>
      </w:r>
      <w:r>
        <w:rPr>
          <w:rFonts w:cs="Arial"/>
          <w:b/>
          <w:sz w:val="24"/>
          <w:szCs w:val="24"/>
        </w:rPr>
      </w:r>
    </w:p>
    <w:p>
      <w:pPr>
        <w:pStyle w:val="995"/>
        <w:pBdr/>
        <w:tabs>
          <w:tab w:val="num" w:leader="none" w:pos="720"/>
        </w:tabs>
        <w:spacing w:line="276" w:lineRule="auto"/>
        <w:ind w:left="1146"/>
        <w:rPr>
          <w:rFonts w:cs="Arial"/>
          <w:b/>
          <w:sz w:val="24"/>
          <w:szCs w:val="24"/>
        </w:rPr>
      </w:pPr>
      <w:r>
        <w:rPr>
          <w:rFonts w:cs="Arial"/>
          <w:b/>
          <w:sz w:val="24"/>
          <w:szCs w:val="24"/>
        </w:rPr>
      </w:r>
      <w:r>
        <w:rPr>
          <w:rFonts w:cs="Arial"/>
          <w:b/>
          <w:sz w:val="24"/>
          <w:szCs w:val="24"/>
        </w:rPr>
      </w:r>
    </w:p>
    <w:p>
      <w:pPr>
        <w:pStyle w:val="995"/>
        <w:widowControl w:val="false"/>
        <w:pBdr/>
        <w:tabs>
          <w:tab w:val="left" w:leader="none" w:pos="567"/>
        </w:tabs>
        <w:spacing w:before="240" w:line="276" w:lineRule="auto"/>
        <w:ind w:left="390"/>
        <w:rPr>
          <w:rFonts w:cs="Arial"/>
          <w:sz w:val="24"/>
          <w:szCs w:val="24"/>
        </w:rPr>
      </w:pPr>
      <w:r>
        <w:rPr>
          <w:rFonts w:eastAsia="Arial" w:cs="Arial"/>
          <w:sz w:val="24"/>
          <w:szCs w:val="24"/>
        </w:rPr>
        <w:t xml:space="preserve">Compete</w:t>
      </w:r>
      <w:r>
        <w:rPr>
          <w:rFonts w:eastAsia="Arial" w:cs="Arial"/>
          <w:spacing w:val="-3"/>
          <w:sz w:val="24"/>
          <w:szCs w:val="24"/>
        </w:rPr>
        <w:t xml:space="preserve"> </w:t>
      </w:r>
      <w:r>
        <w:rPr>
          <w:rFonts w:eastAsia="Arial" w:cs="Arial"/>
          <w:sz w:val="24"/>
          <w:szCs w:val="24"/>
        </w:rPr>
        <w:t xml:space="preserve">ao Órgão Contratante:</w:t>
      </w:r>
      <w:r>
        <w:rPr>
          <w:rFonts w:cs="Arial"/>
          <w:sz w:val="24"/>
          <w:szCs w:val="24"/>
        </w:rPr>
      </w:r>
    </w:p>
    <w:p>
      <w:pPr>
        <w:pStyle w:val="995"/>
        <w:widowControl w:val="false"/>
        <w:pBdr/>
        <w:tabs>
          <w:tab w:val="left" w:leader="none" w:pos="567"/>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numPr>
          <w:ilvl w:val="0"/>
          <w:numId w:val="46"/>
        </w:numPr>
        <w:pBdr/>
        <w:tabs>
          <w:tab w:val="left" w:leader="none" w:pos="1583"/>
        </w:tabs>
        <w:spacing w:before="240" w:line="276" w:lineRule="auto"/>
        <w:ind/>
        <w:rPr>
          <w:rFonts w:cs="Arial"/>
          <w:sz w:val="24"/>
          <w:szCs w:val="24"/>
        </w:rPr>
      </w:pPr>
      <w:r>
        <w:rPr>
          <w:rFonts w:eastAsia="Arial" w:cs="Arial"/>
          <w:sz w:val="24"/>
          <w:szCs w:val="24"/>
        </w:rPr>
        <w:t xml:space="preserve">acompanhar e fiscalizar a execução do Contrato a ser firmado, por intermédio de</w:t>
      </w:r>
      <w:r>
        <w:rPr>
          <w:rFonts w:eastAsia="Arial" w:cs="Arial"/>
          <w:spacing w:val="1"/>
          <w:sz w:val="24"/>
          <w:szCs w:val="24"/>
        </w:rPr>
        <w:t xml:space="preserve"> </w:t>
      </w:r>
      <w:r>
        <w:rPr>
          <w:rFonts w:eastAsia="Arial" w:cs="Arial"/>
          <w:sz w:val="24"/>
          <w:szCs w:val="24"/>
        </w:rPr>
        <w:t xml:space="preserve">servidores</w:t>
      </w:r>
      <w:r>
        <w:rPr>
          <w:rFonts w:eastAsia="Arial" w:cs="Arial"/>
          <w:spacing w:val="1"/>
          <w:sz w:val="24"/>
          <w:szCs w:val="24"/>
        </w:rPr>
        <w:t xml:space="preserve"> </w:t>
      </w:r>
      <w:r>
        <w:rPr>
          <w:rFonts w:eastAsia="Arial" w:cs="Arial"/>
          <w:sz w:val="24"/>
          <w:szCs w:val="24"/>
        </w:rPr>
        <w:t xml:space="preserve">especialmente</w:t>
      </w:r>
      <w:r>
        <w:rPr>
          <w:rFonts w:eastAsia="Arial" w:cs="Arial"/>
          <w:spacing w:val="1"/>
          <w:sz w:val="24"/>
          <w:szCs w:val="24"/>
        </w:rPr>
        <w:t xml:space="preserve"> </w:t>
      </w:r>
      <w:r>
        <w:rPr>
          <w:rFonts w:eastAsia="Arial" w:cs="Arial"/>
          <w:sz w:val="24"/>
          <w:szCs w:val="24"/>
        </w:rPr>
        <w:t xml:space="preserve">designados,</w:t>
      </w:r>
      <w:r>
        <w:rPr>
          <w:rFonts w:eastAsia="Arial" w:cs="Arial"/>
          <w:spacing w:val="1"/>
          <w:sz w:val="24"/>
          <w:szCs w:val="24"/>
        </w:rPr>
        <w:t xml:space="preserve"> </w:t>
      </w:r>
      <w:r>
        <w:rPr>
          <w:rFonts w:eastAsia="Arial" w:cs="Arial"/>
          <w:sz w:val="24"/>
          <w:szCs w:val="24"/>
        </w:rPr>
        <w:t xml:space="preserve">que</w:t>
      </w:r>
      <w:r>
        <w:rPr>
          <w:rFonts w:eastAsia="Arial" w:cs="Arial"/>
          <w:spacing w:val="1"/>
          <w:sz w:val="24"/>
          <w:szCs w:val="24"/>
        </w:rPr>
        <w:t xml:space="preserve"> </w:t>
      </w:r>
      <w:r>
        <w:rPr>
          <w:rFonts w:eastAsia="Arial" w:cs="Arial"/>
          <w:sz w:val="24"/>
          <w:szCs w:val="24"/>
        </w:rPr>
        <w:t xml:space="preserve">anotarão</w:t>
      </w:r>
      <w:r>
        <w:rPr>
          <w:rFonts w:eastAsia="Arial" w:cs="Arial"/>
          <w:spacing w:val="1"/>
          <w:sz w:val="24"/>
          <w:szCs w:val="24"/>
        </w:rPr>
        <w:t xml:space="preserve"> </w:t>
      </w:r>
      <w:r>
        <w:rPr>
          <w:rFonts w:eastAsia="Arial" w:cs="Arial"/>
          <w:sz w:val="24"/>
          <w:szCs w:val="24"/>
        </w:rPr>
        <w:t xml:space="preserve">em</w:t>
      </w:r>
      <w:r>
        <w:rPr>
          <w:rFonts w:eastAsia="Arial" w:cs="Arial"/>
          <w:spacing w:val="1"/>
          <w:sz w:val="24"/>
          <w:szCs w:val="24"/>
        </w:rPr>
        <w:t xml:space="preserve"> </w:t>
      </w:r>
      <w:r>
        <w:rPr>
          <w:rFonts w:eastAsia="Arial" w:cs="Arial"/>
          <w:sz w:val="24"/>
          <w:szCs w:val="24"/>
        </w:rPr>
        <w:t xml:space="preserve">registro</w:t>
      </w:r>
      <w:r>
        <w:rPr>
          <w:rFonts w:eastAsia="Arial" w:cs="Arial"/>
          <w:spacing w:val="1"/>
          <w:sz w:val="24"/>
          <w:szCs w:val="24"/>
        </w:rPr>
        <w:t xml:space="preserve"> </w:t>
      </w:r>
      <w:r>
        <w:rPr>
          <w:rFonts w:eastAsia="Arial" w:cs="Arial"/>
          <w:sz w:val="24"/>
          <w:szCs w:val="24"/>
        </w:rPr>
        <w:t xml:space="preserve">próprio</w:t>
      </w:r>
      <w:r>
        <w:rPr>
          <w:rFonts w:eastAsia="Arial" w:cs="Arial"/>
          <w:spacing w:val="1"/>
          <w:sz w:val="24"/>
          <w:szCs w:val="24"/>
        </w:rPr>
        <w:t xml:space="preserve"> </w:t>
      </w:r>
      <w:r>
        <w:rPr>
          <w:rFonts w:eastAsia="Arial" w:cs="Arial"/>
          <w:sz w:val="24"/>
          <w:szCs w:val="24"/>
        </w:rPr>
        <w:t xml:space="preserve">todas</w:t>
      </w:r>
      <w:r>
        <w:rPr>
          <w:rFonts w:eastAsia="Arial" w:cs="Arial"/>
          <w:spacing w:val="1"/>
          <w:sz w:val="24"/>
          <w:szCs w:val="24"/>
        </w:rPr>
        <w:t xml:space="preserve"> </w:t>
      </w:r>
      <w:r>
        <w:rPr>
          <w:rFonts w:eastAsia="Arial" w:cs="Arial"/>
          <w:sz w:val="24"/>
          <w:szCs w:val="24"/>
        </w:rPr>
        <w:t xml:space="preserve">as</w:t>
      </w:r>
      <w:r>
        <w:rPr>
          <w:rFonts w:eastAsia="Arial" w:cs="Arial"/>
          <w:spacing w:val="1"/>
          <w:sz w:val="24"/>
          <w:szCs w:val="24"/>
        </w:rPr>
        <w:t xml:space="preserve"> </w:t>
      </w:r>
      <w:r>
        <w:rPr>
          <w:rFonts w:eastAsia="Arial" w:cs="Arial"/>
          <w:sz w:val="24"/>
          <w:szCs w:val="24"/>
        </w:rPr>
        <w:t xml:space="preserve">ocorrências</w:t>
      </w:r>
      <w:r>
        <w:rPr>
          <w:rFonts w:eastAsia="Arial" w:cs="Arial"/>
          <w:spacing w:val="-1"/>
          <w:sz w:val="24"/>
          <w:szCs w:val="24"/>
        </w:rPr>
        <w:t xml:space="preserve"> </w:t>
      </w:r>
      <w:r>
        <w:rPr>
          <w:rFonts w:eastAsia="Arial" w:cs="Arial"/>
          <w:sz w:val="24"/>
          <w:szCs w:val="24"/>
        </w:rPr>
        <w:t xml:space="preserve">relacionadas com</w:t>
      </w:r>
      <w:r>
        <w:rPr>
          <w:rFonts w:eastAsia="Arial" w:cs="Arial"/>
          <w:spacing w:val="1"/>
          <w:sz w:val="24"/>
          <w:szCs w:val="24"/>
        </w:rPr>
        <w:t xml:space="preserve"> </w:t>
      </w:r>
      <w:r>
        <w:rPr>
          <w:rFonts w:eastAsia="Arial" w:cs="Arial"/>
          <w:sz w:val="24"/>
          <w:szCs w:val="24"/>
        </w:rPr>
        <w:t xml:space="preserve">o</w:t>
      </w:r>
      <w:r>
        <w:rPr>
          <w:rFonts w:eastAsia="Arial" w:cs="Arial"/>
          <w:spacing w:val="-1"/>
          <w:sz w:val="24"/>
          <w:szCs w:val="24"/>
        </w:rPr>
        <w:t xml:space="preserve"> </w:t>
      </w:r>
      <w:r>
        <w:rPr>
          <w:rFonts w:eastAsia="Arial" w:cs="Arial"/>
          <w:sz w:val="24"/>
          <w:szCs w:val="24"/>
        </w:rPr>
        <w:t xml:space="preserve">mesmo;</w:t>
      </w:r>
      <w:r>
        <w:rPr>
          <w:rFonts w:cs="Arial"/>
          <w:sz w:val="24"/>
          <w:szCs w:val="24"/>
        </w:rPr>
      </w:r>
    </w:p>
    <w:p>
      <w:pPr>
        <w:pStyle w:val="995"/>
        <w:widowControl w:val="false"/>
        <w:pBdr/>
        <w:tabs>
          <w:tab w:val="left" w:leader="none" w:pos="1583"/>
        </w:tabs>
        <w:spacing w:before="240" w:line="276" w:lineRule="auto"/>
        <w:ind w:left="750"/>
        <w:rPr>
          <w:rFonts w:cs="Arial"/>
          <w:sz w:val="24"/>
          <w:szCs w:val="24"/>
        </w:rPr>
      </w:pPr>
      <w:r>
        <w:rPr>
          <w:rFonts w:cs="Arial"/>
          <w:sz w:val="24"/>
          <w:szCs w:val="24"/>
        </w:rPr>
      </w:r>
      <w:r>
        <w:rPr>
          <w:rFonts w:cs="Arial"/>
          <w:sz w:val="24"/>
          <w:szCs w:val="24"/>
        </w:rPr>
      </w:r>
    </w:p>
    <w:p>
      <w:pPr>
        <w:pStyle w:val="995"/>
        <w:widowControl w:val="false"/>
        <w:numPr>
          <w:ilvl w:val="0"/>
          <w:numId w:val="46"/>
        </w:numPr>
        <w:pBdr/>
        <w:tabs>
          <w:tab w:val="left" w:leader="none" w:pos="1583"/>
        </w:tabs>
        <w:spacing w:before="240" w:line="276" w:lineRule="auto"/>
        <w:ind/>
        <w:rPr>
          <w:rFonts w:cs="Arial"/>
          <w:sz w:val="24"/>
          <w:szCs w:val="24"/>
          <w:highlight w:val="white"/>
        </w:rPr>
      </w:pPr>
      <w:r>
        <w:rPr>
          <w:rFonts w:eastAsia="Arial" w:cs="Arial"/>
          <w:sz w:val="24"/>
          <w:szCs w:val="24"/>
          <w:highlight w:val="white"/>
        </w:rPr>
        <w:t xml:space="preserve">efetuar o pagamento à Licitante Vencedora em até 30 dias após a efetiva</w:t>
      </w:r>
      <w:r>
        <w:rPr>
          <w:rFonts w:eastAsia="Arial" w:cs="Arial"/>
          <w:spacing w:val="1"/>
          <w:sz w:val="24"/>
          <w:szCs w:val="24"/>
          <w:highlight w:val="white"/>
        </w:rPr>
        <w:t xml:space="preserve"> </w:t>
      </w:r>
      <w:r>
        <w:rPr>
          <w:rFonts w:eastAsia="Arial" w:cs="Arial"/>
          <w:sz w:val="24"/>
          <w:szCs w:val="24"/>
          <w:highlight w:val="white"/>
        </w:rPr>
        <w:t xml:space="preserve">prestação</w:t>
      </w:r>
      <w:r>
        <w:rPr>
          <w:rFonts w:eastAsia="Arial" w:cs="Arial"/>
          <w:spacing w:val="1"/>
          <w:sz w:val="24"/>
          <w:szCs w:val="24"/>
          <w:highlight w:val="white"/>
        </w:rPr>
        <w:t xml:space="preserve"> </w:t>
      </w:r>
      <w:r>
        <w:rPr>
          <w:rFonts w:eastAsia="Arial" w:cs="Arial"/>
          <w:sz w:val="24"/>
          <w:szCs w:val="24"/>
          <w:highlight w:val="white"/>
        </w:rPr>
        <w:t xml:space="preserve">do</w:t>
      </w:r>
      <w:r>
        <w:rPr>
          <w:rFonts w:eastAsia="Arial" w:cs="Arial"/>
          <w:spacing w:val="1"/>
          <w:sz w:val="24"/>
          <w:szCs w:val="24"/>
          <w:highlight w:val="white"/>
        </w:rPr>
        <w:t xml:space="preserve"> </w:t>
      </w:r>
      <w:r>
        <w:rPr>
          <w:rFonts w:eastAsia="Arial" w:cs="Arial"/>
          <w:sz w:val="24"/>
          <w:szCs w:val="24"/>
          <w:highlight w:val="white"/>
        </w:rPr>
        <w:t xml:space="preserve">serviço,</w:t>
      </w:r>
      <w:r>
        <w:rPr>
          <w:rFonts w:eastAsia="Arial" w:cs="Arial"/>
          <w:spacing w:val="1"/>
          <w:sz w:val="24"/>
          <w:szCs w:val="24"/>
          <w:highlight w:val="white"/>
        </w:rPr>
        <w:t xml:space="preserve"> </w:t>
      </w:r>
      <w:r>
        <w:rPr>
          <w:rFonts w:eastAsia="Arial" w:cs="Arial"/>
          <w:sz w:val="24"/>
          <w:szCs w:val="24"/>
          <w:highlight w:val="white"/>
        </w:rPr>
        <w:t xml:space="preserve">mediante</w:t>
      </w:r>
      <w:r>
        <w:rPr>
          <w:rFonts w:eastAsia="Arial" w:cs="Arial"/>
          <w:spacing w:val="1"/>
          <w:sz w:val="24"/>
          <w:szCs w:val="24"/>
          <w:highlight w:val="white"/>
        </w:rPr>
        <w:t xml:space="preserve"> </w:t>
      </w:r>
      <w:r>
        <w:rPr>
          <w:rFonts w:eastAsia="Arial" w:cs="Arial"/>
          <w:sz w:val="24"/>
          <w:szCs w:val="24"/>
          <w:highlight w:val="white"/>
        </w:rPr>
        <w:t xml:space="preserve">apresentação</w:t>
      </w:r>
      <w:r>
        <w:rPr>
          <w:rFonts w:eastAsia="Arial" w:cs="Arial"/>
          <w:spacing w:val="1"/>
          <w:sz w:val="24"/>
          <w:szCs w:val="24"/>
          <w:highlight w:val="white"/>
        </w:rPr>
        <w:t xml:space="preserve"> </w:t>
      </w:r>
      <w:r>
        <w:rPr>
          <w:rFonts w:eastAsia="Arial" w:cs="Arial"/>
          <w:sz w:val="24"/>
          <w:szCs w:val="24"/>
          <w:highlight w:val="white"/>
        </w:rPr>
        <w:t xml:space="preserve">da</w:t>
      </w:r>
      <w:r>
        <w:rPr>
          <w:rFonts w:eastAsia="Arial" w:cs="Arial"/>
          <w:spacing w:val="67"/>
          <w:sz w:val="24"/>
          <w:szCs w:val="24"/>
          <w:highlight w:val="white"/>
        </w:rPr>
        <w:t xml:space="preserve"> </w:t>
      </w:r>
      <w:r>
        <w:rPr>
          <w:rFonts w:eastAsia="Arial" w:cs="Arial"/>
          <w:sz w:val="24"/>
          <w:szCs w:val="24"/>
          <w:highlight w:val="white"/>
        </w:rPr>
        <w:t xml:space="preserve">Nota</w:t>
      </w:r>
      <w:r>
        <w:rPr>
          <w:rFonts w:eastAsia="Arial" w:cs="Arial"/>
          <w:spacing w:val="1"/>
          <w:sz w:val="24"/>
          <w:szCs w:val="24"/>
          <w:highlight w:val="white"/>
        </w:rPr>
        <w:t xml:space="preserve"> </w:t>
      </w:r>
      <w:r>
        <w:rPr>
          <w:rFonts w:eastAsia="Arial" w:cs="Arial"/>
          <w:sz w:val="24"/>
          <w:szCs w:val="24"/>
          <w:highlight w:val="white"/>
        </w:rPr>
        <w:t xml:space="preserve">Fiscal/Fatura,</w:t>
      </w:r>
      <w:r>
        <w:rPr>
          <w:rFonts w:eastAsia="Arial" w:cs="Arial"/>
          <w:spacing w:val="1"/>
          <w:sz w:val="24"/>
          <w:szCs w:val="24"/>
          <w:highlight w:val="white"/>
        </w:rPr>
        <w:t xml:space="preserve"> </w:t>
      </w:r>
      <w:r>
        <w:rPr>
          <w:rFonts w:eastAsia="Arial" w:cs="Arial"/>
          <w:sz w:val="24"/>
          <w:szCs w:val="24"/>
          <w:highlight w:val="white"/>
        </w:rPr>
        <w:t xml:space="preserve">devidamente</w:t>
      </w:r>
      <w:r>
        <w:rPr>
          <w:rFonts w:eastAsia="Arial" w:cs="Arial"/>
          <w:spacing w:val="1"/>
          <w:sz w:val="24"/>
          <w:szCs w:val="24"/>
          <w:highlight w:val="white"/>
        </w:rPr>
        <w:t xml:space="preserve"> </w:t>
      </w:r>
      <w:r>
        <w:rPr>
          <w:rFonts w:eastAsia="Arial" w:cs="Arial"/>
          <w:sz w:val="24"/>
          <w:szCs w:val="24"/>
          <w:highlight w:val="white"/>
        </w:rPr>
        <w:t xml:space="preserve">atestada</w:t>
      </w:r>
      <w:r>
        <w:rPr>
          <w:rFonts w:eastAsia="Arial" w:cs="Arial"/>
          <w:spacing w:val="1"/>
          <w:sz w:val="24"/>
          <w:szCs w:val="24"/>
          <w:highlight w:val="white"/>
        </w:rPr>
        <w:t xml:space="preserve"> </w:t>
      </w:r>
      <w:r>
        <w:rPr>
          <w:rFonts w:eastAsia="Arial" w:cs="Arial"/>
          <w:sz w:val="24"/>
          <w:szCs w:val="24"/>
          <w:highlight w:val="white"/>
        </w:rPr>
        <w:t xml:space="preserve">pelo</w:t>
      </w:r>
      <w:r>
        <w:rPr>
          <w:rFonts w:eastAsia="Arial" w:cs="Arial"/>
          <w:spacing w:val="1"/>
          <w:sz w:val="24"/>
          <w:szCs w:val="24"/>
          <w:highlight w:val="white"/>
        </w:rPr>
        <w:t xml:space="preserve"> </w:t>
      </w:r>
      <w:r>
        <w:rPr>
          <w:rFonts w:eastAsia="Arial" w:cs="Arial"/>
          <w:sz w:val="24"/>
          <w:szCs w:val="24"/>
          <w:highlight w:val="white"/>
        </w:rPr>
        <w:t xml:space="preserve">Setor</w:t>
      </w:r>
      <w:r>
        <w:rPr>
          <w:rFonts w:eastAsia="Arial" w:cs="Arial"/>
          <w:spacing w:val="1"/>
          <w:sz w:val="24"/>
          <w:szCs w:val="24"/>
          <w:highlight w:val="white"/>
        </w:rPr>
        <w:t xml:space="preserve"> </w:t>
      </w:r>
      <w:r>
        <w:rPr>
          <w:rFonts w:eastAsia="Arial" w:cs="Arial"/>
          <w:sz w:val="24"/>
          <w:szCs w:val="24"/>
          <w:highlight w:val="white"/>
        </w:rPr>
        <w:t xml:space="preserve">competente,</w:t>
      </w:r>
      <w:r>
        <w:rPr>
          <w:rFonts w:eastAsia="Arial" w:cs="Arial"/>
          <w:spacing w:val="1"/>
          <w:sz w:val="24"/>
          <w:szCs w:val="24"/>
          <w:highlight w:val="white"/>
        </w:rPr>
        <w:t xml:space="preserve"> e </w:t>
      </w:r>
      <w:r>
        <w:rPr>
          <w:rFonts w:eastAsia="Arial" w:cs="Arial"/>
          <w:sz w:val="24"/>
          <w:szCs w:val="24"/>
          <w:highlight w:val="white"/>
        </w:rPr>
        <w:t xml:space="preserve">Tabela Oficial de Preços de Peças e Acessórios Novos e Genuínos, emitida</w:t>
      </w:r>
      <w:r>
        <w:rPr>
          <w:rFonts w:eastAsia="Arial" w:cs="Arial"/>
          <w:spacing w:val="1"/>
          <w:sz w:val="24"/>
          <w:szCs w:val="24"/>
          <w:highlight w:val="white"/>
        </w:rPr>
        <w:t xml:space="preserve"> </w:t>
      </w:r>
      <w:r>
        <w:rPr>
          <w:rFonts w:eastAsia="Arial" w:cs="Arial"/>
          <w:sz w:val="24"/>
          <w:szCs w:val="24"/>
          <w:highlight w:val="white"/>
        </w:rPr>
        <w:t xml:space="preserve">pelos:</w:t>
      </w:r>
      <w:r>
        <w:rPr>
          <w:rFonts w:eastAsia="Arial" w:cs="Arial"/>
          <w:spacing w:val="1"/>
          <w:sz w:val="24"/>
          <w:szCs w:val="24"/>
          <w:highlight w:val="white"/>
        </w:rPr>
        <w:t xml:space="preserve"> </w:t>
      </w:r>
      <w:r>
        <w:rPr>
          <w:rFonts w:eastAsia="Arial" w:cs="Arial"/>
          <w:sz w:val="24"/>
          <w:szCs w:val="24"/>
          <w:highlight w:val="white"/>
        </w:rPr>
        <w:t xml:space="preserve">fabricantes</w:t>
      </w:r>
      <w:r>
        <w:rPr>
          <w:rFonts w:eastAsia="Arial" w:cs="Arial"/>
          <w:spacing w:val="1"/>
          <w:sz w:val="24"/>
          <w:szCs w:val="24"/>
          <w:highlight w:val="white"/>
        </w:rPr>
        <w:t xml:space="preserve"> </w:t>
      </w:r>
      <w:r>
        <w:rPr>
          <w:rFonts w:eastAsia="Arial" w:cs="Arial"/>
          <w:sz w:val="24"/>
          <w:szCs w:val="24"/>
          <w:highlight w:val="white"/>
        </w:rPr>
        <w:t xml:space="preserve">dos</w:t>
      </w:r>
      <w:r>
        <w:rPr>
          <w:rFonts w:eastAsia="Arial" w:cs="Arial"/>
          <w:spacing w:val="1"/>
          <w:sz w:val="24"/>
          <w:szCs w:val="24"/>
          <w:highlight w:val="white"/>
        </w:rPr>
        <w:t xml:space="preserve"> </w:t>
      </w:r>
      <w:r>
        <w:rPr>
          <w:rFonts w:eastAsia="Arial" w:cs="Arial"/>
          <w:sz w:val="24"/>
          <w:szCs w:val="24"/>
          <w:highlight w:val="white"/>
        </w:rPr>
        <w:t xml:space="preserve">equipamentos</w:t>
      </w:r>
      <w:r>
        <w:rPr>
          <w:rFonts w:eastAsia="Arial" w:cs="Arial"/>
          <w:spacing w:val="1"/>
          <w:sz w:val="24"/>
          <w:szCs w:val="24"/>
          <w:highlight w:val="white"/>
        </w:rPr>
        <w:t xml:space="preserve"> </w:t>
      </w:r>
      <w:r>
        <w:rPr>
          <w:rFonts w:eastAsia="Arial" w:cs="Arial"/>
          <w:sz w:val="24"/>
          <w:szCs w:val="24"/>
          <w:highlight w:val="white"/>
        </w:rPr>
        <w:t xml:space="preserve">constantes</w:t>
      </w:r>
      <w:r>
        <w:rPr>
          <w:rFonts w:eastAsia="Arial" w:cs="Arial"/>
          <w:spacing w:val="1"/>
          <w:sz w:val="24"/>
          <w:szCs w:val="24"/>
          <w:highlight w:val="white"/>
        </w:rPr>
        <w:t xml:space="preserve"> </w:t>
      </w:r>
      <w:r>
        <w:rPr>
          <w:rFonts w:eastAsia="Arial" w:cs="Arial"/>
          <w:sz w:val="24"/>
          <w:szCs w:val="24"/>
          <w:highlight w:val="white"/>
        </w:rPr>
        <w:t xml:space="preserve">do</w:t>
      </w:r>
      <w:r>
        <w:rPr>
          <w:rFonts w:eastAsia="Arial" w:cs="Arial"/>
          <w:spacing w:val="1"/>
          <w:sz w:val="24"/>
          <w:szCs w:val="24"/>
          <w:highlight w:val="white"/>
        </w:rPr>
        <w:t xml:space="preserve"> </w:t>
      </w:r>
      <w:r>
        <w:rPr>
          <w:rFonts w:eastAsia="Arial" w:cs="Arial"/>
          <w:sz w:val="24"/>
          <w:szCs w:val="24"/>
          <w:highlight w:val="white"/>
        </w:rPr>
        <w:t xml:space="preserve">presente</w:t>
      </w:r>
      <w:r>
        <w:rPr>
          <w:rFonts w:eastAsia="Arial" w:cs="Arial"/>
          <w:spacing w:val="1"/>
          <w:sz w:val="24"/>
          <w:szCs w:val="24"/>
          <w:highlight w:val="white"/>
        </w:rPr>
        <w:t xml:space="preserve"> </w:t>
      </w:r>
      <w:r>
        <w:rPr>
          <w:rFonts w:eastAsia="Arial" w:cs="Arial"/>
          <w:sz w:val="24"/>
          <w:szCs w:val="24"/>
          <w:highlight w:val="white"/>
        </w:rPr>
        <w:t xml:space="preserve">Termo</w:t>
      </w:r>
      <w:r>
        <w:rPr>
          <w:rFonts w:eastAsia="Arial" w:cs="Arial"/>
          <w:spacing w:val="1"/>
          <w:sz w:val="24"/>
          <w:szCs w:val="24"/>
          <w:highlight w:val="white"/>
        </w:rPr>
        <w:t xml:space="preserve"> </w:t>
      </w:r>
      <w:r>
        <w:rPr>
          <w:rFonts w:eastAsia="Arial" w:cs="Arial"/>
          <w:sz w:val="24"/>
          <w:szCs w:val="24"/>
          <w:highlight w:val="white"/>
        </w:rPr>
        <w:t xml:space="preserve">de</w:t>
      </w:r>
      <w:r>
        <w:rPr>
          <w:rFonts w:eastAsia="Arial" w:cs="Arial"/>
          <w:spacing w:val="1"/>
          <w:sz w:val="24"/>
          <w:szCs w:val="24"/>
          <w:highlight w:val="white"/>
        </w:rPr>
        <w:t xml:space="preserve"> </w:t>
      </w:r>
      <w:r>
        <w:rPr>
          <w:rFonts w:eastAsia="Arial" w:cs="Arial"/>
          <w:sz w:val="24"/>
          <w:szCs w:val="24"/>
          <w:highlight w:val="white"/>
        </w:rPr>
        <w:t xml:space="preserve">Referência, Concessionária e/ou Catálogo de Preços Sistema </w:t>
      </w:r>
      <w:r>
        <w:rPr>
          <w:rFonts w:eastAsia="Arial" w:cs="Arial"/>
          <w:b/>
          <w:sz w:val="24"/>
          <w:szCs w:val="24"/>
          <w:highlight w:val="white"/>
        </w:rPr>
        <w:t xml:space="preserve">AUDATEX</w:t>
      </w:r>
      <w:r>
        <w:rPr>
          <w:rFonts w:eastAsia="Arial" w:cs="Arial"/>
          <w:sz w:val="24"/>
          <w:szCs w:val="24"/>
          <w:highlight w:val="white"/>
        </w:rPr>
        <w:t xml:space="preserve">,</w:t>
      </w:r>
      <w:r>
        <w:rPr>
          <w:rFonts w:eastAsia="Arial" w:cs="Arial"/>
          <w:spacing w:val="1"/>
          <w:sz w:val="24"/>
          <w:szCs w:val="24"/>
          <w:highlight w:val="white"/>
        </w:rPr>
        <w:t xml:space="preserve"> </w:t>
      </w:r>
      <w:r>
        <w:rPr>
          <w:rFonts w:eastAsia="Arial" w:cs="Arial"/>
          <w:sz w:val="24"/>
          <w:szCs w:val="24"/>
          <w:highlight w:val="white"/>
        </w:rPr>
        <w:t xml:space="preserve">que</w:t>
      </w:r>
      <w:r>
        <w:rPr>
          <w:rFonts w:eastAsia="Arial" w:cs="Arial"/>
          <w:spacing w:val="1"/>
          <w:sz w:val="24"/>
          <w:szCs w:val="24"/>
          <w:highlight w:val="white"/>
        </w:rPr>
        <w:t xml:space="preserve"> </w:t>
      </w:r>
      <w:r>
        <w:rPr>
          <w:rFonts w:eastAsia="Arial" w:cs="Arial"/>
          <w:sz w:val="24"/>
          <w:szCs w:val="24"/>
          <w:highlight w:val="white"/>
        </w:rPr>
        <w:t xml:space="preserve">deverá</w:t>
      </w:r>
      <w:r>
        <w:rPr>
          <w:rFonts w:eastAsia="Arial" w:cs="Arial"/>
          <w:spacing w:val="1"/>
          <w:sz w:val="24"/>
          <w:szCs w:val="24"/>
          <w:highlight w:val="white"/>
        </w:rPr>
        <w:t xml:space="preserve"> </w:t>
      </w:r>
      <w:r>
        <w:rPr>
          <w:rFonts w:eastAsia="Arial" w:cs="Arial"/>
          <w:sz w:val="24"/>
          <w:szCs w:val="24"/>
          <w:highlight w:val="white"/>
        </w:rPr>
        <w:t xml:space="preserve">vir</w:t>
      </w:r>
      <w:r>
        <w:rPr>
          <w:rFonts w:eastAsia="Arial" w:cs="Arial"/>
          <w:spacing w:val="1"/>
          <w:sz w:val="24"/>
          <w:szCs w:val="24"/>
          <w:highlight w:val="white"/>
        </w:rPr>
        <w:t xml:space="preserve"> </w:t>
      </w:r>
      <w:r>
        <w:rPr>
          <w:rFonts w:eastAsia="Arial" w:cs="Arial"/>
          <w:sz w:val="24"/>
          <w:szCs w:val="24"/>
          <w:highlight w:val="white"/>
        </w:rPr>
        <w:t xml:space="preserve">acompanhada da ordem de serviço emitida pela Secretaria Demandante, relatório</w:t>
      </w:r>
      <w:r>
        <w:rPr>
          <w:rFonts w:eastAsia="Arial" w:cs="Arial"/>
          <w:spacing w:val="1"/>
          <w:sz w:val="24"/>
          <w:szCs w:val="24"/>
          <w:highlight w:val="white"/>
        </w:rPr>
        <w:t xml:space="preserve"> </w:t>
      </w:r>
      <w:r>
        <w:rPr>
          <w:rFonts w:eastAsia="Arial" w:cs="Arial"/>
          <w:sz w:val="24"/>
          <w:szCs w:val="24"/>
          <w:highlight w:val="white"/>
        </w:rPr>
        <w:t xml:space="preserve">detalhado</w:t>
      </w:r>
      <w:r>
        <w:rPr>
          <w:rFonts w:eastAsia="Arial" w:cs="Arial"/>
          <w:spacing w:val="-1"/>
          <w:sz w:val="24"/>
          <w:szCs w:val="24"/>
          <w:highlight w:val="white"/>
        </w:rPr>
        <w:t xml:space="preserve"> </w:t>
      </w:r>
      <w:r>
        <w:rPr>
          <w:rFonts w:eastAsia="Arial" w:cs="Arial"/>
          <w:sz w:val="24"/>
          <w:szCs w:val="24"/>
          <w:highlight w:val="white"/>
        </w:rPr>
        <w:t xml:space="preserve">dos serviços</w:t>
      </w:r>
      <w:r>
        <w:rPr>
          <w:rFonts w:eastAsia="Arial" w:cs="Arial"/>
          <w:spacing w:val="-1"/>
          <w:sz w:val="24"/>
          <w:szCs w:val="24"/>
          <w:highlight w:val="white"/>
        </w:rPr>
        <w:t xml:space="preserve"> </w:t>
      </w:r>
      <w:r>
        <w:rPr>
          <w:rFonts w:eastAsia="Arial" w:cs="Arial"/>
          <w:sz w:val="24"/>
          <w:szCs w:val="24"/>
          <w:highlight w:val="white"/>
        </w:rPr>
        <w:t xml:space="preserve">efetuados</w:t>
      </w:r>
      <w:r>
        <w:rPr>
          <w:rFonts w:eastAsia="Arial" w:cs="Arial"/>
          <w:spacing w:val="-2"/>
          <w:sz w:val="24"/>
          <w:szCs w:val="24"/>
          <w:highlight w:val="white"/>
        </w:rPr>
        <w:t xml:space="preserve"> </w:t>
      </w:r>
      <w:r>
        <w:rPr>
          <w:rFonts w:eastAsia="Arial" w:cs="Arial"/>
          <w:sz w:val="24"/>
          <w:szCs w:val="24"/>
          <w:highlight w:val="white"/>
        </w:rPr>
        <w:t xml:space="preserve">e das</w:t>
      </w:r>
      <w:r>
        <w:rPr>
          <w:rFonts w:eastAsia="Arial" w:cs="Arial"/>
          <w:spacing w:val="-4"/>
          <w:sz w:val="24"/>
          <w:szCs w:val="24"/>
          <w:highlight w:val="white"/>
        </w:rPr>
        <w:t xml:space="preserve"> </w:t>
      </w:r>
      <w:r>
        <w:rPr>
          <w:rFonts w:eastAsia="Arial" w:cs="Arial"/>
          <w:sz w:val="24"/>
          <w:szCs w:val="24"/>
          <w:highlight w:val="white"/>
        </w:rPr>
        <w:t xml:space="preserve">peças substituídas;</w:t>
      </w:r>
      <w:r>
        <w:rPr>
          <w:rFonts w:cs="Arial"/>
          <w:sz w:val="24"/>
          <w:szCs w:val="24"/>
          <w:highlight w:val="white"/>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6"/>
        </w:numPr>
        <w:pBdr/>
        <w:tabs>
          <w:tab w:val="left" w:leader="none" w:pos="1583"/>
        </w:tabs>
        <w:spacing w:before="240" w:line="276" w:lineRule="auto"/>
        <w:ind/>
        <w:rPr>
          <w:rFonts w:cs="Arial"/>
          <w:sz w:val="24"/>
          <w:szCs w:val="24"/>
        </w:rPr>
      </w:pPr>
      <w:r>
        <w:rPr>
          <w:rFonts w:eastAsia="Arial" w:cs="Arial"/>
          <w:sz w:val="24"/>
          <w:szCs w:val="24"/>
        </w:rPr>
        <w:t xml:space="preserve">proporcionar</w:t>
      </w:r>
      <w:r>
        <w:rPr>
          <w:rFonts w:eastAsia="Arial" w:cs="Arial"/>
          <w:spacing w:val="1"/>
          <w:sz w:val="24"/>
          <w:szCs w:val="24"/>
        </w:rPr>
        <w:t xml:space="preserve"> </w:t>
      </w:r>
      <w:r>
        <w:rPr>
          <w:rFonts w:eastAsia="Arial" w:cs="Arial"/>
          <w:sz w:val="24"/>
          <w:szCs w:val="24"/>
        </w:rPr>
        <w:t xml:space="preserve">todas</w:t>
      </w:r>
      <w:r>
        <w:rPr>
          <w:rFonts w:eastAsia="Arial" w:cs="Arial"/>
          <w:spacing w:val="1"/>
          <w:sz w:val="24"/>
          <w:szCs w:val="24"/>
        </w:rPr>
        <w:t xml:space="preserve"> </w:t>
      </w:r>
      <w:r>
        <w:rPr>
          <w:rFonts w:eastAsia="Arial" w:cs="Arial"/>
          <w:sz w:val="24"/>
          <w:szCs w:val="24"/>
        </w:rPr>
        <w:t xml:space="preserve">as</w:t>
      </w:r>
      <w:r>
        <w:rPr>
          <w:rFonts w:eastAsia="Arial" w:cs="Arial"/>
          <w:spacing w:val="1"/>
          <w:sz w:val="24"/>
          <w:szCs w:val="24"/>
        </w:rPr>
        <w:t xml:space="preserve"> </w:t>
      </w:r>
      <w:r>
        <w:rPr>
          <w:rFonts w:eastAsia="Arial" w:cs="Arial"/>
          <w:sz w:val="24"/>
          <w:szCs w:val="24"/>
        </w:rPr>
        <w:t xml:space="preserve">facilidades</w:t>
      </w:r>
      <w:r>
        <w:rPr>
          <w:rFonts w:eastAsia="Arial" w:cs="Arial"/>
          <w:spacing w:val="1"/>
          <w:sz w:val="24"/>
          <w:szCs w:val="24"/>
        </w:rPr>
        <w:t xml:space="preserve"> </w:t>
      </w:r>
      <w:r>
        <w:rPr>
          <w:rFonts w:eastAsia="Arial" w:cs="Arial"/>
          <w:sz w:val="24"/>
          <w:szCs w:val="24"/>
        </w:rPr>
        <w:t xml:space="preserve">para</w:t>
      </w:r>
      <w:r>
        <w:rPr>
          <w:rFonts w:eastAsia="Arial" w:cs="Arial"/>
          <w:spacing w:val="1"/>
          <w:sz w:val="24"/>
          <w:szCs w:val="24"/>
        </w:rPr>
        <w:t xml:space="preserve"> </w:t>
      </w:r>
      <w:r>
        <w:rPr>
          <w:rFonts w:eastAsia="Arial" w:cs="Arial"/>
          <w:sz w:val="24"/>
          <w:szCs w:val="24"/>
        </w:rPr>
        <w:t xml:space="preserve">que</w:t>
      </w:r>
      <w:r>
        <w:rPr>
          <w:rFonts w:eastAsia="Arial" w:cs="Arial"/>
          <w:spacing w:val="1"/>
          <w:sz w:val="24"/>
          <w:szCs w:val="24"/>
        </w:rPr>
        <w:t xml:space="preserve"> </w:t>
      </w:r>
      <w:r>
        <w:rPr>
          <w:rFonts w:eastAsia="Arial" w:cs="Arial"/>
          <w:sz w:val="24"/>
          <w:szCs w:val="24"/>
        </w:rPr>
        <w:t xml:space="preserve">a</w:t>
      </w:r>
      <w:r>
        <w:rPr>
          <w:rFonts w:eastAsia="Arial" w:cs="Arial"/>
          <w:spacing w:val="1"/>
          <w:sz w:val="24"/>
          <w:szCs w:val="24"/>
        </w:rPr>
        <w:t xml:space="preserve"> </w:t>
      </w:r>
      <w:r>
        <w:rPr>
          <w:rFonts w:eastAsia="Arial" w:cs="Arial"/>
          <w:sz w:val="24"/>
          <w:szCs w:val="24"/>
        </w:rPr>
        <w:t xml:space="preserve">Licitante</w:t>
      </w:r>
      <w:r>
        <w:rPr>
          <w:rFonts w:eastAsia="Arial" w:cs="Arial"/>
          <w:spacing w:val="1"/>
          <w:sz w:val="24"/>
          <w:szCs w:val="24"/>
        </w:rPr>
        <w:t xml:space="preserve"> </w:t>
      </w:r>
      <w:r>
        <w:rPr>
          <w:rFonts w:eastAsia="Arial" w:cs="Arial"/>
          <w:sz w:val="24"/>
          <w:szCs w:val="24"/>
        </w:rPr>
        <w:t xml:space="preserve">Vencedora</w:t>
      </w:r>
      <w:r>
        <w:rPr>
          <w:rFonts w:eastAsia="Arial" w:cs="Arial"/>
          <w:spacing w:val="1"/>
          <w:sz w:val="24"/>
          <w:szCs w:val="24"/>
        </w:rPr>
        <w:t xml:space="preserve"> </w:t>
      </w:r>
      <w:r>
        <w:rPr>
          <w:rFonts w:eastAsia="Arial" w:cs="Arial"/>
          <w:sz w:val="24"/>
          <w:szCs w:val="24"/>
        </w:rPr>
        <w:t xml:space="preserve">possa</w:t>
      </w:r>
      <w:r>
        <w:rPr>
          <w:rFonts w:eastAsia="Arial" w:cs="Arial"/>
          <w:spacing w:val="1"/>
          <w:sz w:val="24"/>
          <w:szCs w:val="24"/>
        </w:rPr>
        <w:t xml:space="preserve"> </w:t>
      </w:r>
      <w:r>
        <w:rPr>
          <w:rFonts w:eastAsia="Arial" w:cs="Arial"/>
          <w:sz w:val="24"/>
          <w:szCs w:val="24"/>
        </w:rPr>
        <w:t xml:space="preserve">desempenhar</w:t>
      </w:r>
      <w:r>
        <w:rPr>
          <w:rFonts w:eastAsia="Arial" w:cs="Arial"/>
          <w:spacing w:val="-1"/>
          <w:sz w:val="24"/>
          <w:szCs w:val="24"/>
        </w:rPr>
        <w:t xml:space="preserve"> </w:t>
      </w:r>
      <w:r>
        <w:rPr>
          <w:rFonts w:eastAsia="Arial" w:cs="Arial"/>
          <w:sz w:val="24"/>
          <w:szCs w:val="24"/>
        </w:rPr>
        <w:t xml:space="preserve">seus</w:t>
      </w:r>
      <w:r>
        <w:rPr>
          <w:rFonts w:eastAsia="Arial" w:cs="Arial"/>
          <w:spacing w:val="-4"/>
          <w:sz w:val="24"/>
          <w:szCs w:val="24"/>
        </w:rPr>
        <w:t xml:space="preserve"> </w:t>
      </w:r>
      <w:r>
        <w:rPr>
          <w:rFonts w:eastAsia="Arial" w:cs="Arial"/>
          <w:sz w:val="24"/>
          <w:szCs w:val="24"/>
        </w:rPr>
        <w:t xml:space="preserve">serviços,</w:t>
      </w:r>
      <w:r>
        <w:rPr>
          <w:rFonts w:eastAsia="Arial" w:cs="Arial"/>
          <w:spacing w:val="-1"/>
          <w:sz w:val="24"/>
          <w:szCs w:val="24"/>
        </w:rPr>
        <w:t xml:space="preserve"> </w:t>
      </w:r>
      <w:r>
        <w:rPr>
          <w:rFonts w:eastAsia="Arial" w:cs="Arial"/>
          <w:sz w:val="24"/>
          <w:szCs w:val="24"/>
        </w:rPr>
        <w:t xml:space="preserve">dentro</w:t>
      </w:r>
      <w:r>
        <w:rPr>
          <w:rFonts w:eastAsia="Arial" w:cs="Arial"/>
          <w:spacing w:val="-2"/>
          <w:sz w:val="24"/>
          <w:szCs w:val="24"/>
        </w:rPr>
        <w:t xml:space="preserve"> </w:t>
      </w:r>
      <w:r>
        <w:rPr>
          <w:rFonts w:eastAsia="Arial" w:cs="Arial"/>
          <w:sz w:val="24"/>
          <w:szCs w:val="24"/>
        </w:rPr>
        <w:t xml:space="preserve">das</w:t>
      </w:r>
      <w:r>
        <w:rPr>
          <w:rFonts w:eastAsia="Arial" w:cs="Arial"/>
          <w:spacing w:val="-1"/>
          <w:sz w:val="24"/>
          <w:szCs w:val="24"/>
        </w:rPr>
        <w:t xml:space="preserve"> </w:t>
      </w:r>
      <w:r>
        <w:rPr>
          <w:rFonts w:eastAsia="Arial" w:cs="Arial"/>
          <w:sz w:val="24"/>
          <w:szCs w:val="24"/>
        </w:rPr>
        <w:t xml:space="preserve">condições</w:t>
      </w:r>
      <w:r>
        <w:rPr>
          <w:rFonts w:eastAsia="Arial" w:cs="Arial"/>
          <w:spacing w:val="-1"/>
          <w:sz w:val="24"/>
          <w:szCs w:val="24"/>
        </w:rPr>
        <w:t xml:space="preserve"> </w:t>
      </w:r>
      <w:r>
        <w:rPr>
          <w:rFonts w:eastAsia="Arial" w:cs="Arial"/>
          <w:sz w:val="24"/>
          <w:szCs w:val="24"/>
        </w:rPr>
        <w:t xml:space="preserve">estabelecidas</w:t>
      </w:r>
      <w:r>
        <w:rPr>
          <w:rFonts w:eastAsia="Arial" w:cs="Arial"/>
          <w:spacing w:val="-4"/>
          <w:sz w:val="24"/>
          <w:szCs w:val="24"/>
        </w:rPr>
        <w:t xml:space="preserve"> </w:t>
      </w:r>
      <w:r>
        <w:rPr>
          <w:rFonts w:eastAsia="Arial" w:cs="Arial"/>
          <w:sz w:val="24"/>
          <w:szCs w:val="24"/>
        </w:rPr>
        <w:t xml:space="preserve">no</w:t>
      </w:r>
      <w:r>
        <w:rPr>
          <w:rFonts w:eastAsia="Arial" w:cs="Arial"/>
          <w:spacing w:val="-4"/>
          <w:sz w:val="24"/>
          <w:szCs w:val="24"/>
        </w:rPr>
        <w:t xml:space="preserve"> </w:t>
      </w:r>
      <w:r>
        <w:rPr>
          <w:rFonts w:eastAsia="Arial" w:cs="Arial"/>
          <w:sz w:val="24"/>
          <w:szCs w:val="24"/>
        </w:rPr>
        <w:t xml:space="preserve">Contrato ou instrumento equivalente;</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6"/>
        </w:numPr>
        <w:pBdr/>
        <w:tabs>
          <w:tab w:val="left" w:leader="none" w:pos="1583"/>
        </w:tabs>
        <w:spacing w:before="240" w:line="276" w:lineRule="auto"/>
        <w:ind/>
        <w:rPr>
          <w:rFonts w:cs="Arial"/>
          <w:sz w:val="24"/>
          <w:szCs w:val="24"/>
        </w:rPr>
      </w:pPr>
      <w:r>
        <w:rPr>
          <w:rFonts w:eastAsia="Arial" w:cs="Arial"/>
          <w:sz w:val="24"/>
          <w:szCs w:val="24"/>
        </w:rPr>
        <w:t xml:space="preserve">fiscalizar</w:t>
      </w:r>
      <w:r>
        <w:rPr>
          <w:rFonts w:eastAsia="Arial" w:cs="Arial"/>
          <w:spacing w:val="1"/>
          <w:sz w:val="24"/>
          <w:szCs w:val="24"/>
        </w:rPr>
        <w:t xml:space="preserve"> </w:t>
      </w:r>
      <w:r>
        <w:rPr>
          <w:rFonts w:eastAsia="Arial" w:cs="Arial"/>
          <w:sz w:val="24"/>
          <w:szCs w:val="24"/>
        </w:rPr>
        <w:t xml:space="preserve">a</w:t>
      </w:r>
      <w:r>
        <w:rPr>
          <w:rFonts w:eastAsia="Arial" w:cs="Arial"/>
          <w:spacing w:val="1"/>
          <w:sz w:val="24"/>
          <w:szCs w:val="24"/>
        </w:rPr>
        <w:t xml:space="preserve"> </w:t>
      </w:r>
      <w:r>
        <w:rPr>
          <w:rFonts w:eastAsia="Arial" w:cs="Arial"/>
          <w:sz w:val="24"/>
          <w:szCs w:val="24"/>
        </w:rPr>
        <w:t xml:space="preserve">execução</w:t>
      </w:r>
      <w:r>
        <w:rPr>
          <w:rFonts w:eastAsia="Arial" w:cs="Arial"/>
          <w:spacing w:val="1"/>
          <w:sz w:val="24"/>
          <w:szCs w:val="24"/>
        </w:rPr>
        <w:t xml:space="preserve"> </w:t>
      </w:r>
      <w:r>
        <w:rPr>
          <w:rFonts w:eastAsia="Arial" w:cs="Arial"/>
          <w:sz w:val="24"/>
          <w:szCs w:val="24"/>
        </w:rPr>
        <w:t xml:space="preserve">dos</w:t>
      </w:r>
      <w:r>
        <w:rPr>
          <w:rFonts w:eastAsia="Arial" w:cs="Arial"/>
          <w:spacing w:val="1"/>
          <w:sz w:val="24"/>
          <w:szCs w:val="24"/>
        </w:rPr>
        <w:t xml:space="preserve"> </w:t>
      </w:r>
      <w:r>
        <w:rPr>
          <w:rFonts w:eastAsia="Arial" w:cs="Arial"/>
          <w:sz w:val="24"/>
          <w:szCs w:val="24"/>
        </w:rPr>
        <w:t xml:space="preserve">serviços</w:t>
      </w:r>
      <w:r>
        <w:rPr>
          <w:rFonts w:eastAsia="Arial" w:cs="Arial"/>
          <w:spacing w:val="1"/>
          <w:sz w:val="24"/>
          <w:szCs w:val="24"/>
        </w:rPr>
        <w:t xml:space="preserve"> </w:t>
      </w:r>
      <w:r>
        <w:rPr>
          <w:rFonts w:eastAsia="Arial" w:cs="Arial"/>
          <w:sz w:val="24"/>
          <w:szCs w:val="24"/>
        </w:rPr>
        <w:t xml:space="preserve">e</w:t>
      </w:r>
      <w:r>
        <w:rPr>
          <w:rFonts w:eastAsia="Arial" w:cs="Arial"/>
          <w:spacing w:val="1"/>
          <w:sz w:val="24"/>
          <w:szCs w:val="24"/>
        </w:rPr>
        <w:t xml:space="preserve"> </w:t>
      </w:r>
      <w:r>
        <w:rPr>
          <w:rFonts w:eastAsia="Arial" w:cs="Arial"/>
          <w:sz w:val="24"/>
          <w:szCs w:val="24"/>
        </w:rPr>
        <w:t xml:space="preserve">o</w:t>
      </w:r>
      <w:r>
        <w:rPr>
          <w:rFonts w:eastAsia="Arial" w:cs="Arial"/>
          <w:spacing w:val="1"/>
          <w:sz w:val="24"/>
          <w:szCs w:val="24"/>
        </w:rPr>
        <w:t xml:space="preserve"> </w:t>
      </w:r>
      <w:r>
        <w:rPr>
          <w:rFonts w:eastAsia="Arial" w:cs="Arial"/>
          <w:sz w:val="24"/>
          <w:szCs w:val="24"/>
        </w:rPr>
        <w:t xml:space="preserve">fornecimento</w:t>
      </w:r>
      <w:r>
        <w:rPr>
          <w:rFonts w:eastAsia="Arial" w:cs="Arial"/>
          <w:spacing w:val="1"/>
          <w:sz w:val="24"/>
          <w:szCs w:val="24"/>
        </w:rPr>
        <w:t xml:space="preserve"> </w:t>
      </w:r>
      <w:r>
        <w:rPr>
          <w:rFonts w:eastAsia="Arial" w:cs="Arial"/>
          <w:sz w:val="24"/>
          <w:szCs w:val="24"/>
        </w:rPr>
        <w:t xml:space="preserve">das</w:t>
      </w:r>
      <w:r>
        <w:rPr>
          <w:rFonts w:eastAsia="Arial" w:cs="Arial"/>
          <w:spacing w:val="1"/>
          <w:sz w:val="24"/>
          <w:szCs w:val="24"/>
        </w:rPr>
        <w:t xml:space="preserve"> </w:t>
      </w:r>
      <w:r>
        <w:rPr>
          <w:rFonts w:eastAsia="Arial" w:cs="Arial"/>
          <w:sz w:val="24"/>
          <w:szCs w:val="24"/>
        </w:rPr>
        <w:t xml:space="preserve">peças</w:t>
      </w:r>
      <w:r>
        <w:rPr>
          <w:rFonts w:eastAsia="Arial" w:cs="Arial"/>
          <w:spacing w:val="1"/>
          <w:sz w:val="24"/>
          <w:szCs w:val="24"/>
        </w:rPr>
        <w:t xml:space="preserve"> </w:t>
      </w:r>
      <w:r>
        <w:rPr>
          <w:rFonts w:eastAsia="Arial" w:cs="Arial"/>
          <w:sz w:val="24"/>
          <w:szCs w:val="24"/>
        </w:rPr>
        <w:t xml:space="preserve">genuínas</w:t>
      </w:r>
      <w:r>
        <w:rPr>
          <w:rFonts w:eastAsia="Arial" w:cs="Arial"/>
          <w:spacing w:val="1"/>
          <w:sz w:val="24"/>
          <w:szCs w:val="24"/>
        </w:rPr>
        <w:t xml:space="preserve"> </w:t>
      </w:r>
      <w:r>
        <w:rPr>
          <w:rFonts w:eastAsia="Arial" w:cs="Arial"/>
          <w:sz w:val="24"/>
          <w:szCs w:val="24"/>
        </w:rPr>
        <w:t xml:space="preserve">dos</w:t>
      </w:r>
      <w:r>
        <w:rPr>
          <w:rFonts w:eastAsia="Arial" w:cs="Arial"/>
          <w:spacing w:val="1"/>
          <w:sz w:val="24"/>
          <w:szCs w:val="24"/>
        </w:rPr>
        <w:t xml:space="preserve"> </w:t>
      </w:r>
      <w:r>
        <w:rPr>
          <w:rFonts w:eastAsia="Arial" w:cs="Arial"/>
          <w:sz w:val="24"/>
          <w:szCs w:val="24"/>
        </w:rPr>
        <w:t xml:space="preserve">fabricantes dos veículos objeto deste Termo, podendo sustar, recusar, mandar fazer ou</w:t>
      </w:r>
      <w:r>
        <w:rPr>
          <w:rFonts w:eastAsia="Arial" w:cs="Arial"/>
          <w:spacing w:val="-64"/>
          <w:sz w:val="24"/>
          <w:szCs w:val="24"/>
        </w:rPr>
        <w:t xml:space="preserve"> </w:t>
      </w:r>
      <w:r>
        <w:rPr>
          <w:rFonts w:eastAsia="Arial" w:cs="Arial"/>
          <w:sz w:val="24"/>
          <w:szCs w:val="24"/>
        </w:rPr>
        <w:t xml:space="preserve">desfazer qualquer serviço que não esteja de acordo com as condições e exigências</w:t>
      </w:r>
      <w:r>
        <w:rPr>
          <w:rFonts w:eastAsia="Arial" w:cs="Arial"/>
          <w:spacing w:val="1"/>
          <w:sz w:val="24"/>
          <w:szCs w:val="24"/>
        </w:rPr>
        <w:t xml:space="preserve"> </w:t>
      </w:r>
      <w:r>
        <w:rPr>
          <w:rFonts w:eastAsia="Arial" w:cs="Arial"/>
          <w:sz w:val="24"/>
          <w:szCs w:val="24"/>
        </w:rPr>
        <w:t xml:space="preserve">especificadas;</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numPr>
          <w:ilvl w:val="0"/>
          <w:numId w:val="46"/>
        </w:numPr>
        <w:pBdr/>
        <w:tabs>
          <w:tab w:val="left" w:leader="none" w:pos="1583"/>
        </w:tabs>
        <w:spacing w:before="240" w:line="276" w:lineRule="auto"/>
        <w:ind/>
        <w:rPr>
          <w:rFonts w:cs="Arial"/>
          <w:sz w:val="24"/>
          <w:szCs w:val="24"/>
        </w:rPr>
      </w:pPr>
      <w:r>
        <w:rPr>
          <w:rFonts w:eastAsia="Arial" w:cs="Arial"/>
          <w:sz w:val="24"/>
          <w:szCs w:val="24"/>
        </w:rPr>
        <w:t xml:space="preserve">emitir</w:t>
      </w:r>
      <w:r>
        <w:rPr>
          <w:rFonts w:eastAsia="Arial" w:cs="Arial"/>
          <w:spacing w:val="1"/>
          <w:sz w:val="24"/>
          <w:szCs w:val="24"/>
        </w:rPr>
        <w:t xml:space="preserve"> </w:t>
      </w:r>
      <w:r>
        <w:rPr>
          <w:rFonts w:eastAsia="Arial" w:cs="Arial"/>
          <w:sz w:val="24"/>
          <w:szCs w:val="24"/>
        </w:rPr>
        <w:t xml:space="preserve">as</w:t>
      </w:r>
      <w:r>
        <w:rPr>
          <w:rFonts w:eastAsia="Arial" w:cs="Arial"/>
          <w:spacing w:val="1"/>
          <w:sz w:val="24"/>
          <w:szCs w:val="24"/>
        </w:rPr>
        <w:t xml:space="preserve"> </w:t>
      </w:r>
      <w:r>
        <w:rPr>
          <w:rFonts w:eastAsia="Arial" w:cs="Arial"/>
          <w:sz w:val="24"/>
          <w:szCs w:val="24"/>
        </w:rPr>
        <w:t xml:space="preserve">autorizações</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execução</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serviços</w:t>
      </w:r>
      <w:r>
        <w:rPr>
          <w:rFonts w:eastAsia="Arial" w:cs="Arial"/>
          <w:spacing w:val="1"/>
          <w:sz w:val="24"/>
          <w:szCs w:val="24"/>
        </w:rPr>
        <w:t xml:space="preserve"> </w:t>
      </w:r>
      <w:r>
        <w:rPr>
          <w:rFonts w:eastAsia="Arial" w:cs="Arial"/>
          <w:sz w:val="24"/>
          <w:szCs w:val="24"/>
        </w:rPr>
        <w:t xml:space="preserve">necessárias,</w:t>
      </w:r>
      <w:r>
        <w:rPr>
          <w:rFonts w:eastAsia="Arial" w:cs="Arial"/>
          <w:spacing w:val="1"/>
          <w:sz w:val="24"/>
          <w:szCs w:val="24"/>
        </w:rPr>
        <w:t xml:space="preserve"> </w:t>
      </w:r>
      <w:r>
        <w:rPr>
          <w:rFonts w:eastAsia="Arial" w:cs="Arial"/>
          <w:sz w:val="24"/>
          <w:szCs w:val="24"/>
        </w:rPr>
        <w:t xml:space="preserve">numeradas</w:t>
      </w:r>
      <w:r>
        <w:rPr>
          <w:rFonts w:eastAsia="Arial" w:cs="Arial"/>
          <w:spacing w:val="1"/>
          <w:sz w:val="24"/>
          <w:szCs w:val="24"/>
        </w:rPr>
        <w:t xml:space="preserve"> </w:t>
      </w:r>
      <w:r>
        <w:rPr>
          <w:rFonts w:eastAsia="Arial" w:cs="Arial"/>
          <w:sz w:val="24"/>
          <w:szCs w:val="24"/>
        </w:rPr>
        <w:t xml:space="preserve">em</w:t>
      </w:r>
      <w:r>
        <w:rPr>
          <w:rFonts w:eastAsia="Arial" w:cs="Arial"/>
          <w:spacing w:val="1"/>
          <w:sz w:val="24"/>
          <w:szCs w:val="24"/>
        </w:rPr>
        <w:t xml:space="preserve"> </w:t>
      </w:r>
      <w:r>
        <w:rPr>
          <w:rFonts w:eastAsia="Arial" w:cs="Arial"/>
          <w:sz w:val="24"/>
          <w:szCs w:val="24"/>
        </w:rPr>
        <w:t xml:space="preserve">sequência</w:t>
      </w:r>
      <w:r>
        <w:rPr>
          <w:rFonts w:eastAsia="Arial" w:cs="Arial"/>
          <w:spacing w:val="-3"/>
          <w:sz w:val="24"/>
          <w:szCs w:val="24"/>
        </w:rPr>
        <w:t xml:space="preserve"> </w:t>
      </w:r>
      <w:r>
        <w:rPr>
          <w:rFonts w:eastAsia="Arial" w:cs="Arial"/>
          <w:sz w:val="24"/>
          <w:szCs w:val="24"/>
        </w:rPr>
        <w:t xml:space="preserve">e assinadas</w:t>
      </w:r>
      <w:r>
        <w:rPr>
          <w:rFonts w:eastAsia="Arial" w:cs="Arial"/>
          <w:spacing w:val="-3"/>
          <w:sz w:val="24"/>
          <w:szCs w:val="24"/>
        </w:rPr>
        <w:t xml:space="preserve"> </w:t>
      </w:r>
      <w:r>
        <w:rPr>
          <w:rFonts w:eastAsia="Arial" w:cs="Arial"/>
          <w:sz w:val="24"/>
          <w:szCs w:val="24"/>
        </w:rPr>
        <w:t xml:space="preserve">pela</w:t>
      </w:r>
      <w:r>
        <w:rPr>
          <w:rFonts w:eastAsia="Arial" w:cs="Arial"/>
          <w:spacing w:val="-2"/>
          <w:sz w:val="24"/>
          <w:szCs w:val="24"/>
        </w:rPr>
        <w:t xml:space="preserve"> </w:t>
      </w:r>
      <w:r>
        <w:rPr>
          <w:rFonts w:eastAsia="Arial" w:cs="Arial"/>
          <w:sz w:val="24"/>
          <w:szCs w:val="24"/>
        </w:rPr>
        <w:t xml:space="preserve">autoridade</w:t>
      </w:r>
      <w:r>
        <w:rPr>
          <w:rFonts w:eastAsia="Arial" w:cs="Arial"/>
          <w:spacing w:val="-1"/>
          <w:sz w:val="24"/>
          <w:szCs w:val="24"/>
        </w:rPr>
        <w:t xml:space="preserve"> </w:t>
      </w:r>
      <w:r>
        <w:rPr>
          <w:rFonts w:eastAsia="Arial" w:cs="Arial"/>
          <w:sz w:val="24"/>
          <w:szCs w:val="24"/>
        </w:rPr>
        <w:t xml:space="preserve">competente;</w:t>
      </w:r>
      <w:r>
        <w:rPr>
          <w:rFonts w:cs="Arial"/>
          <w:sz w:val="24"/>
          <w:szCs w:val="24"/>
        </w:rPr>
      </w:r>
    </w:p>
    <w:p>
      <w:pPr>
        <w:pStyle w:val="995"/>
        <w:pBdr/>
        <w:spacing/>
        <w:ind/>
        <w:rPr>
          <w:rFonts w:cs="Arial"/>
          <w:sz w:val="24"/>
          <w:szCs w:val="24"/>
        </w:rPr>
      </w:pPr>
      <w:r>
        <w:rPr>
          <w:rFonts w:cs="Arial"/>
          <w:sz w:val="24"/>
          <w:szCs w:val="24"/>
        </w:rPr>
      </w:r>
      <w:r>
        <w:rPr>
          <w:rFonts w:cs="Arial"/>
          <w:sz w:val="24"/>
          <w:szCs w:val="24"/>
        </w:rPr>
      </w:r>
    </w:p>
    <w:p>
      <w:pPr>
        <w:pStyle w:val="995"/>
        <w:widowControl w:val="false"/>
        <w:pBdr/>
        <w:tabs>
          <w:tab w:val="left" w:leader="none" w:pos="1583"/>
        </w:tabs>
        <w:spacing w:before="240" w:line="276" w:lineRule="auto"/>
        <w:ind w:left="390"/>
        <w:rPr>
          <w:rFonts w:cs="Arial"/>
          <w:sz w:val="24"/>
          <w:szCs w:val="24"/>
        </w:rPr>
      </w:pPr>
      <w:r>
        <w:rPr>
          <w:rFonts w:eastAsia="Arial" w:cs="Arial"/>
          <w:sz w:val="24"/>
          <w:szCs w:val="24"/>
        </w:rPr>
        <w:t xml:space="preserve">f) exigir o imediato afastamento e substituição de qualquer empregado ou preposto que</w:t>
      </w:r>
      <w:r>
        <w:rPr>
          <w:rFonts w:eastAsia="Arial" w:cs="Arial"/>
          <w:spacing w:val="-64"/>
          <w:sz w:val="24"/>
          <w:szCs w:val="24"/>
        </w:rPr>
        <w:t xml:space="preserve">              </w:t>
      </w:r>
      <w:r>
        <w:rPr>
          <w:rFonts w:eastAsia="Arial" w:cs="Arial"/>
          <w:sz w:val="24"/>
          <w:szCs w:val="24"/>
        </w:rPr>
        <w:t xml:space="preserve">não mereça confiança no trato dos serviços ou que atrapalhe a fiscalização, ou, ainda,</w:t>
      </w:r>
      <w:r>
        <w:rPr>
          <w:rFonts w:eastAsia="Arial" w:cs="Arial"/>
          <w:spacing w:val="1"/>
          <w:sz w:val="24"/>
          <w:szCs w:val="24"/>
        </w:rPr>
        <w:t xml:space="preserve"> </w:t>
      </w:r>
      <w:r>
        <w:rPr>
          <w:rFonts w:eastAsia="Arial" w:cs="Arial"/>
          <w:sz w:val="24"/>
          <w:szCs w:val="24"/>
        </w:rPr>
        <w:t xml:space="preserve">que adote postura inconveniente ou incompatível com o exercício das funções que lhe</w:t>
      </w:r>
      <w:r>
        <w:rPr>
          <w:rFonts w:eastAsia="Arial" w:cs="Arial"/>
          <w:spacing w:val="1"/>
          <w:sz w:val="24"/>
          <w:szCs w:val="24"/>
        </w:rPr>
        <w:t xml:space="preserve"> </w:t>
      </w:r>
      <w:r>
        <w:rPr>
          <w:rFonts w:eastAsia="Arial" w:cs="Arial"/>
          <w:sz w:val="24"/>
          <w:szCs w:val="24"/>
        </w:rPr>
        <w:t xml:space="preserve">foram</w:t>
      </w:r>
      <w:r>
        <w:rPr>
          <w:rFonts w:eastAsia="Arial" w:cs="Arial"/>
          <w:spacing w:val="-1"/>
          <w:sz w:val="24"/>
          <w:szCs w:val="24"/>
        </w:rPr>
        <w:t xml:space="preserve"> </w:t>
      </w:r>
      <w:r>
        <w:rPr>
          <w:rFonts w:eastAsia="Arial" w:cs="Arial"/>
          <w:sz w:val="24"/>
          <w:szCs w:val="24"/>
        </w:rPr>
        <w:t xml:space="preserve">atribuídas;</w:t>
      </w:r>
      <w:r>
        <w:rPr>
          <w:rFonts w:cs="Arial"/>
          <w:sz w:val="24"/>
          <w:szCs w:val="24"/>
        </w:rPr>
      </w:r>
    </w:p>
    <w:p>
      <w:pPr>
        <w:pStyle w:val="995"/>
        <w:widowControl w:val="false"/>
        <w:pBdr/>
        <w:tabs>
          <w:tab w:val="left" w:leader="none" w:pos="1583"/>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583"/>
        </w:tabs>
        <w:spacing w:before="240" w:line="276" w:lineRule="auto"/>
        <w:ind w:left="390"/>
        <w:rPr>
          <w:rFonts w:cs="Arial"/>
          <w:sz w:val="24"/>
          <w:szCs w:val="24"/>
        </w:rPr>
      </w:pPr>
      <w:r>
        <w:rPr>
          <w:rFonts w:eastAsia="Arial" w:cs="Arial"/>
          <w:sz w:val="24"/>
          <w:szCs w:val="24"/>
        </w:rPr>
        <w:t xml:space="preserve">g) rejeitar, no todo ou em parte, serviço ou fornecimento executado em desacordo com</w:t>
      </w:r>
      <w:r>
        <w:rPr>
          <w:rFonts w:eastAsia="Arial" w:cs="Arial"/>
          <w:spacing w:val="1"/>
          <w:sz w:val="24"/>
          <w:szCs w:val="24"/>
        </w:rPr>
        <w:t xml:space="preserve"> </w:t>
      </w:r>
      <w:r>
        <w:rPr>
          <w:rFonts w:eastAsia="Arial" w:cs="Arial"/>
          <w:sz w:val="24"/>
          <w:szCs w:val="24"/>
        </w:rPr>
        <w:t xml:space="preserve">o</w:t>
      </w:r>
      <w:r>
        <w:rPr>
          <w:rFonts w:eastAsia="Arial" w:cs="Arial"/>
          <w:spacing w:val="-1"/>
          <w:sz w:val="24"/>
          <w:szCs w:val="24"/>
        </w:rPr>
        <w:t xml:space="preserve"> </w:t>
      </w:r>
      <w:r>
        <w:rPr>
          <w:rFonts w:eastAsia="Arial" w:cs="Arial"/>
          <w:sz w:val="24"/>
          <w:szCs w:val="24"/>
        </w:rPr>
        <w:t xml:space="preserve">Contrato</w:t>
      </w:r>
      <w:r>
        <w:rPr>
          <w:rFonts w:eastAsia="Arial" w:cs="Arial"/>
          <w:spacing w:val="-1"/>
          <w:sz w:val="24"/>
          <w:szCs w:val="24"/>
        </w:rPr>
        <w:t xml:space="preserve"> </w:t>
      </w:r>
      <w:r>
        <w:rPr>
          <w:rFonts w:eastAsia="Arial" w:cs="Arial"/>
          <w:sz w:val="24"/>
          <w:szCs w:val="24"/>
        </w:rPr>
        <w:t xml:space="preserve">a ser</w:t>
      </w:r>
      <w:r>
        <w:rPr>
          <w:rFonts w:eastAsia="Arial" w:cs="Arial"/>
          <w:spacing w:val="-3"/>
          <w:sz w:val="24"/>
          <w:szCs w:val="24"/>
        </w:rPr>
        <w:t xml:space="preserve"> </w:t>
      </w:r>
      <w:r>
        <w:rPr>
          <w:rFonts w:eastAsia="Arial" w:cs="Arial"/>
          <w:sz w:val="24"/>
          <w:szCs w:val="24"/>
        </w:rPr>
        <w:t xml:space="preserve">firmado;</w:t>
      </w:r>
      <w:r>
        <w:rPr>
          <w:rFonts w:cs="Arial"/>
          <w:sz w:val="24"/>
          <w:szCs w:val="24"/>
        </w:rPr>
      </w:r>
    </w:p>
    <w:p>
      <w:pPr>
        <w:pStyle w:val="995"/>
        <w:widowControl w:val="false"/>
        <w:pBdr/>
        <w:tabs>
          <w:tab w:val="left" w:leader="none" w:pos="1583"/>
        </w:tabs>
        <w:spacing w:before="240" w:line="276" w:lineRule="auto"/>
        <w:ind w:left="390"/>
        <w:rPr>
          <w:rFonts w:cs="Arial"/>
          <w:sz w:val="24"/>
          <w:szCs w:val="24"/>
        </w:rPr>
      </w:pPr>
      <w:r>
        <w:rPr>
          <w:rFonts w:cs="Arial"/>
          <w:sz w:val="24"/>
          <w:szCs w:val="24"/>
        </w:rPr>
      </w:r>
      <w:r>
        <w:rPr>
          <w:rFonts w:cs="Arial"/>
          <w:sz w:val="24"/>
          <w:szCs w:val="24"/>
        </w:rPr>
      </w:r>
    </w:p>
    <w:p>
      <w:pPr>
        <w:pStyle w:val="995"/>
        <w:widowControl w:val="false"/>
        <w:pBdr/>
        <w:tabs>
          <w:tab w:val="left" w:leader="none" w:pos="1583"/>
        </w:tabs>
        <w:spacing w:before="240" w:line="276" w:lineRule="auto"/>
        <w:ind w:left="390"/>
        <w:rPr>
          <w:rFonts w:cs="Arial"/>
          <w:sz w:val="24"/>
          <w:szCs w:val="24"/>
        </w:rPr>
      </w:pPr>
      <w:r>
        <w:rPr>
          <w:rFonts w:eastAsia="Arial" w:cs="Arial"/>
          <w:sz w:val="24"/>
          <w:szCs w:val="24"/>
        </w:rPr>
        <w:t xml:space="preserve">h) designar</w:t>
      </w:r>
      <w:r>
        <w:rPr>
          <w:rFonts w:eastAsia="Arial" w:cs="Arial"/>
          <w:spacing w:val="-3"/>
          <w:sz w:val="24"/>
          <w:szCs w:val="24"/>
        </w:rPr>
        <w:t xml:space="preserve"> </w:t>
      </w:r>
      <w:r>
        <w:rPr>
          <w:rFonts w:eastAsia="Arial" w:cs="Arial"/>
          <w:sz w:val="24"/>
          <w:szCs w:val="24"/>
        </w:rPr>
        <w:t xml:space="preserve">empregado</w:t>
      </w:r>
      <w:r>
        <w:rPr>
          <w:rFonts w:eastAsia="Arial" w:cs="Arial"/>
          <w:spacing w:val="-2"/>
          <w:sz w:val="24"/>
          <w:szCs w:val="24"/>
        </w:rPr>
        <w:t xml:space="preserve"> </w:t>
      </w:r>
      <w:r>
        <w:rPr>
          <w:rFonts w:eastAsia="Arial" w:cs="Arial"/>
          <w:sz w:val="24"/>
          <w:szCs w:val="24"/>
        </w:rPr>
        <w:t xml:space="preserve">para</w:t>
      </w:r>
      <w:r>
        <w:rPr>
          <w:rFonts w:eastAsia="Arial" w:cs="Arial"/>
          <w:spacing w:val="-6"/>
          <w:sz w:val="24"/>
          <w:szCs w:val="24"/>
        </w:rPr>
        <w:t xml:space="preserve"> </w:t>
      </w:r>
      <w:r>
        <w:rPr>
          <w:rFonts w:eastAsia="Arial" w:cs="Arial"/>
          <w:sz w:val="24"/>
          <w:szCs w:val="24"/>
        </w:rPr>
        <w:t xml:space="preserve">acompanhar</w:t>
      </w:r>
      <w:r>
        <w:rPr>
          <w:rFonts w:eastAsia="Arial" w:cs="Arial"/>
          <w:spacing w:val="-2"/>
          <w:sz w:val="24"/>
          <w:szCs w:val="24"/>
        </w:rPr>
        <w:t xml:space="preserve"> </w:t>
      </w:r>
      <w:r>
        <w:rPr>
          <w:rFonts w:eastAsia="Arial" w:cs="Arial"/>
          <w:sz w:val="24"/>
          <w:szCs w:val="24"/>
        </w:rPr>
        <w:t xml:space="preserve">a</w:t>
      </w:r>
      <w:r>
        <w:rPr>
          <w:rFonts w:eastAsia="Arial" w:cs="Arial"/>
          <w:spacing w:val="-7"/>
          <w:sz w:val="24"/>
          <w:szCs w:val="24"/>
        </w:rPr>
        <w:t xml:space="preserve"> </w:t>
      </w:r>
      <w:r>
        <w:rPr>
          <w:rFonts w:eastAsia="Arial" w:cs="Arial"/>
          <w:sz w:val="24"/>
          <w:szCs w:val="24"/>
        </w:rPr>
        <w:t xml:space="preserve">execução</w:t>
      </w:r>
      <w:r>
        <w:rPr>
          <w:rFonts w:eastAsia="Arial" w:cs="Arial"/>
          <w:spacing w:val="-2"/>
          <w:sz w:val="24"/>
          <w:szCs w:val="24"/>
        </w:rPr>
        <w:t xml:space="preserve"> </w:t>
      </w:r>
      <w:r>
        <w:rPr>
          <w:rFonts w:eastAsia="Arial" w:cs="Arial"/>
          <w:sz w:val="24"/>
          <w:szCs w:val="24"/>
        </w:rPr>
        <w:t xml:space="preserve">do</w:t>
      </w:r>
      <w:r>
        <w:rPr>
          <w:rFonts w:eastAsia="Arial" w:cs="Arial"/>
          <w:spacing w:val="-3"/>
          <w:sz w:val="24"/>
          <w:szCs w:val="24"/>
        </w:rPr>
        <w:t xml:space="preserve"> </w:t>
      </w:r>
      <w:r>
        <w:rPr>
          <w:rFonts w:eastAsia="Arial" w:cs="Arial"/>
          <w:sz w:val="24"/>
          <w:szCs w:val="24"/>
        </w:rPr>
        <w:t xml:space="preserve">Contrato.</w:t>
      </w:r>
      <w:r>
        <w:rPr>
          <w:rFonts w:cs="Arial"/>
          <w:sz w:val="24"/>
          <w:szCs w:val="24"/>
        </w:rPr>
      </w:r>
    </w:p>
    <w:p>
      <w:pPr>
        <w:widowControl w:val="false"/>
        <w:pBdr/>
        <w:tabs>
          <w:tab w:val="left" w:leader="none" w:pos="1583"/>
        </w:tabs>
        <w:spacing w:line="360" w:lineRule="auto"/>
        <w:ind/>
        <w:rPr>
          <w:rFonts w:cs="Arial"/>
          <w:sz w:val="24"/>
          <w:szCs w:val="24"/>
        </w:rPr>
      </w:pPr>
      <w:r>
        <w:rPr>
          <w:rFonts w:cs="Arial"/>
          <w:sz w:val="24"/>
          <w:szCs w:val="24"/>
        </w:rPr>
      </w:r>
      <w:r>
        <w:rPr>
          <w:rFonts w:cs="Arial"/>
          <w:sz w:val="24"/>
          <w:szCs w:val="24"/>
        </w:rPr>
      </w:r>
    </w:p>
    <w:p>
      <w:pPr>
        <w:pStyle w:val="995"/>
        <w:widowControl w:val="false"/>
        <w:numPr>
          <w:ilvl w:val="0"/>
          <w:numId w:val="43"/>
        </w:numPr>
        <w:pBdr/>
        <w:tabs>
          <w:tab w:val="left" w:leader="none" w:pos="1583"/>
        </w:tabs>
        <w:spacing w:line="360" w:lineRule="auto"/>
        <w:ind/>
        <w:rPr>
          <w:rFonts w:cs="Arial"/>
          <w:sz w:val="24"/>
          <w:szCs w:val="24"/>
        </w:rPr>
      </w:pPr>
      <w:r>
        <w:rPr>
          <w:rFonts w:eastAsia="Arial" w:cs="Arial"/>
          <w:b/>
          <w:sz w:val="24"/>
          <w:szCs w:val="24"/>
        </w:rPr>
        <w:t xml:space="preserve">EXECUÇÃO DO OBJETO</w:t>
      </w:r>
      <w:r>
        <w:rPr>
          <w:rFonts w:eastAsia="Arial" w:cs="Arial"/>
          <w:sz w:val="24"/>
          <w:szCs w:val="24"/>
        </w:rPr>
        <w:t xml:space="preserve"> (</w:t>
      </w:r>
      <w:r>
        <w:rPr>
          <w:rFonts w:eastAsia="Arial" w:cs="Arial"/>
          <w:color w:val="00b050"/>
          <w:sz w:val="24"/>
          <w:szCs w:val="24"/>
        </w:rPr>
        <w:t xml:space="preserve">Art. 6º, XXIII, “e” da Lei 14.133/21)</w:t>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O serviço é enquadrado como continuado, tendo em vista que a interrupção possa comprometer a continuidade das atividades da Administração e sendo sua vigência anual, porém, de acordo com a necessidade e vantajosidade a </w:t>
      </w:r>
      <w:r>
        <w:rPr>
          <w:rFonts w:eastAsia="Arial" w:cs="Arial"/>
          <w:color w:val="ff0000"/>
          <w:sz w:val="24"/>
          <w:szCs w:val="24"/>
        </w:rPr>
        <w:t xml:space="preserve">contratação poderá estender-se por mais de um exercício financeiro e continuamente</w:t>
      </w:r>
      <w:r>
        <w:rPr>
          <w:rFonts w:eastAsia="Arial" w:cs="Arial"/>
          <w:sz w:val="24"/>
          <w:szCs w:val="24"/>
        </w:rPr>
        <w:t xml:space="preserve">, para cumprimento das atividades essenciais.</w:t>
      </w:r>
      <w:r>
        <w:rPr>
          <w:rFonts w:cs="Arial"/>
          <w:sz w:val="24"/>
          <w:szCs w:val="24"/>
        </w:rPr>
      </w:r>
    </w:p>
    <w:p>
      <w:pPr>
        <w:pStyle w:val="969"/>
        <w:pBdr/>
        <w:spacing w:before="2"/>
        <w:ind/>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Deverão observar as disposições contidas no Termo de Referência, bem como as normas expedidas sobre o assunto pela ABNT (Associação Brasileira de Normas Técnicas).</w:t>
      </w:r>
      <w:r>
        <w:rPr>
          <w:rFonts w:cs="Arial"/>
          <w:sz w:val="24"/>
          <w:szCs w:val="24"/>
        </w:rPr>
      </w:r>
    </w:p>
    <w:p>
      <w:pPr>
        <w:pStyle w:val="969"/>
        <w:pBdr/>
        <w:spacing w:before="2"/>
        <w:ind/>
        <w:rPr>
          <w:rFonts w:cs="Arial"/>
          <w:sz w:val="24"/>
          <w:szCs w:val="24"/>
        </w:rPr>
      </w:pPr>
      <w:r>
        <w:rPr>
          <w:rFonts w:eastAsia="Arial" w:cs="Arial"/>
          <w:sz w:val="24"/>
          <w:szCs w:val="24"/>
        </w:rPr>
        <w:t xml:space="preserve"> </w:t>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O serviço objeto desta contratação é </w:t>
      </w:r>
      <w:r>
        <w:rPr>
          <w:rFonts w:eastAsia="Arial" w:cs="Arial"/>
          <w:sz w:val="24"/>
          <w:szCs w:val="24"/>
        </w:rPr>
        <w:t xml:space="preserve">caracterizados</w:t>
      </w:r>
      <w:r>
        <w:rPr>
          <w:rFonts w:eastAsia="Arial" w:cs="Arial"/>
          <w:sz w:val="24"/>
          <w:szCs w:val="24"/>
        </w:rPr>
        <w:t xml:space="preserve"> como comum, conforme prevê inciso XIII, do art. 6º da Lei14. 133, de 2021, pois, seus padrões de desempenho e qualidade foram objetivamente definidos neste instrumento, por meio de especificações usuais de mercado.</w:t>
      </w:r>
      <w:r>
        <w:rPr>
          <w:rFonts w:cs="Arial"/>
          <w:sz w:val="24"/>
          <w:szCs w:val="24"/>
        </w:rPr>
      </w:r>
    </w:p>
    <w:p>
      <w:pPr>
        <w:pStyle w:val="969"/>
        <w:pBdr/>
        <w:spacing w:before="2"/>
        <w:ind/>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 A presente contratação tem por</w:t>
      </w:r>
      <w:r>
        <w:rPr>
          <w:rFonts w:eastAsia="Arial" w:cs="Arial"/>
          <w:sz w:val="24"/>
          <w:szCs w:val="24"/>
        </w:rPr>
        <w:t xml:space="preserve"> objeto atender a demanda apresentada que consiste na contratação de empresa especializada nos serviços técnico automotivo (manutenção preventiva e corretiva com fornecimento e aplicação de peças, equipamentos) e serviços de guincho ou reboque de veículos.</w:t>
      </w:r>
      <w:r>
        <w:rPr>
          <w:rFonts w:cs="Arial"/>
          <w:sz w:val="24"/>
          <w:szCs w:val="24"/>
        </w:rPr>
      </w:r>
    </w:p>
    <w:p>
      <w:pPr>
        <w:pStyle w:val="969"/>
        <w:pBdr/>
        <w:spacing w:before="2"/>
        <w:ind/>
        <w:rPr>
          <w:rFonts w:cs="Arial"/>
          <w:sz w:val="24"/>
          <w:szCs w:val="24"/>
        </w:rPr>
      </w:pPr>
      <w:r>
        <w:rPr>
          <w:rFonts w:eastAsia="Arial" w:cs="Arial"/>
          <w:sz w:val="24"/>
          <w:szCs w:val="24"/>
        </w:rPr>
        <w:t xml:space="preserve"> </w:t>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Para a </w:t>
      </w:r>
      <w:r>
        <w:rPr>
          <w:rFonts w:eastAsia="Arial" w:cs="Arial"/>
          <w:sz w:val="24"/>
          <w:szCs w:val="24"/>
        </w:rPr>
        <w:t xml:space="preserve">prestação dos serviços pretendidos os eventuais interessados deverão comprovar que atuam em ramo de atividade compatível com o objeto da licitação, bem como apresentar todos os documentos a título habilitação, nos termos do art. 62, da Lei nº 14.133/2021. </w:t>
      </w:r>
      <w:r>
        <w:rPr>
          <w:rFonts w:cs="Arial"/>
          <w:sz w:val="24"/>
          <w:szCs w:val="24"/>
        </w:rPr>
      </w:r>
    </w:p>
    <w:p>
      <w:pPr>
        <w:pStyle w:val="995"/>
        <w:pBdr/>
        <w:spacing/>
        <w:ind w:left="0"/>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A licitante interessada não é obrigada a fornecer proposta para todos os lotes, porém é obrigatório para todos os itens de um lote (prestação de serviço + fornecimento de peças), no caso dos lotes que possuam dois itens. </w:t>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Na hipótese de instalação inadequada de peça, componente ou acessório, a Contratada deverá providenciar a imediata regularização, </w:t>
      </w:r>
      <w:r>
        <w:rPr>
          <w:rFonts w:eastAsia="Arial" w:cs="Arial"/>
          <w:sz w:val="24"/>
          <w:szCs w:val="24"/>
        </w:rPr>
        <w:t xml:space="preserve">sem quaisquer ônus para o Contratante. As peças e acessórios deverão ser novos, de primeiro uso, originais ou recomendadas pelo fabricante, com garantia de fábrica/montadora e os serviços prestados deverão ter garantia expressa no orçamento da Contratada. </w:t>
      </w:r>
      <w:r>
        <w:rPr>
          <w:rFonts w:cs="Arial"/>
          <w:sz w:val="24"/>
          <w:szCs w:val="24"/>
        </w:rPr>
      </w:r>
    </w:p>
    <w:p>
      <w:pPr>
        <w:pStyle w:val="969"/>
        <w:pBdr/>
        <w:spacing w:before="2"/>
        <w:ind/>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Após a conclusão dos serviços prestados, a proponente deverá emitir Nota Fiscal/fatura, encaminhando-a posteriormente à Secretaria Municipal de Educação responsável para conferência e assinatura pelo responsável.</w:t>
      </w:r>
      <w:r>
        <w:rPr>
          <w:rFonts w:cs="Arial"/>
          <w:sz w:val="24"/>
          <w:szCs w:val="24"/>
        </w:rPr>
      </w:r>
    </w:p>
    <w:p>
      <w:pPr>
        <w:pStyle w:val="969"/>
        <w:pBdr/>
        <w:spacing w:before="2"/>
        <w:ind/>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A empresa vencedora responderá civil e criminalmente por quaisquer danos materiais ou pessoais ocasionados, à administração e/ou terceiros, por seus empregados credenciados, nos locais de trabalho. </w:t>
      </w:r>
      <w:r>
        <w:rPr>
          <w:rFonts w:cs="Arial"/>
          <w:sz w:val="24"/>
          <w:szCs w:val="24"/>
        </w:rPr>
      </w:r>
    </w:p>
    <w:p>
      <w:pPr>
        <w:pStyle w:val="969"/>
        <w:pBdr/>
        <w:spacing w:before="2"/>
        <w:ind w:right="729"/>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É vedada a empresa vencedora transferir a outrem, no todo ou em parte, o objeto da Ata de Registro de Preços, sem prévia e expressa anuência/autorização da Administração. </w:t>
      </w:r>
      <w:r>
        <w:rPr>
          <w:rFonts w:cs="Arial"/>
          <w:sz w:val="24"/>
          <w:szCs w:val="24"/>
        </w:rPr>
      </w:r>
    </w:p>
    <w:p>
      <w:pPr>
        <w:pStyle w:val="969"/>
        <w:pBdr/>
        <w:spacing w:before="2"/>
        <w:ind/>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Todos os serviços prestados pela vencedora deverão atender às exigências de qualidade, </w:t>
      </w:r>
      <w:r>
        <w:rPr>
          <w:rFonts w:eastAsia="Arial" w:cs="Arial"/>
          <w:sz w:val="24"/>
          <w:szCs w:val="24"/>
        </w:rPr>
        <w:t xml:space="preserve">observados os padrões e normas baixadas pelos órgãos competentes de controle de qualidade, atentando-se a proponente, principalmente para as prescrições contidas no art. 39, VIII, da Lei 8.078/90 (Código de Defesa do Consumidor).</w:t>
      </w:r>
      <w:r>
        <w:rPr>
          <w:rFonts w:cs="Arial"/>
          <w:sz w:val="24"/>
          <w:szCs w:val="24"/>
        </w:rPr>
      </w:r>
    </w:p>
    <w:p>
      <w:pPr>
        <w:pStyle w:val="969"/>
        <w:pBdr/>
        <w:spacing w:before="2"/>
        <w:ind/>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É de interesse da Administração a contratação de empresa que detenha oficina de manutenção localizada até uma distância viária de 50 (cinquenta) quilômetros da sede Prefeitura Municipal de Rio das </w:t>
      </w:r>
      <w:r>
        <w:rPr>
          <w:rFonts w:eastAsia="Arial" w:cs="Arial"/>
          <w:sz w:val="24"/>
          <w:szCs w:val="24"/>
        </w:rPr>
        <w:t xml:space="preserve">Flôres</w:t>
      </w:r>
      <w:r>
        <w:rPr>
          <w:rFonts w:eastAsia="Arial" w:cs="Arial"/>
          <w:sz w:val="24"/>
          <w:szCs w:val="24"/>
        </w:rPr>
        <w:t xml:space="preserve">, a CONTRATADA se responsabiliza pelo deslocamento da frota até o local onde será efetuada a manutenção. </w:t>
      </w:r>
      <w:r>
        <w:rPr>
          <w:rFonts w:cs="Arial"/>
          <w:sz w:val="24"/>
          <w:szCs w:val="24"/>
        </w:rPr>
      </w:r>
    </w:p>
    <w:p>
      <w:pPr>
        <w:pStyle w:val="969"/>
        <w:widowControl w:val="false"/>
        <w:pBdr/>
        <w:spacing w:before="2"/>
        <w:ind/>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A exigência referente à localização se faz necessária tendo em vista a necessidade de obtenção da proposta mais vantajosa para esta Secretaria, pois, se a distância entre a sede da Prefeitura e a Contratada for maior que a determinada, a vanta</w:t>
      </w:r>
      <w:r>
        <w:rPr>
          <w:rFonts w:eastAsia="Arial" w:cs="Arial"/>
          <w:sz w:val="24"/>
          <w:szCs w:val="24"/>
        </w:rPr>
        <w:t xml:space="preserve">gem do “menor preço/desconto” ficará prejudicada em razão do aumento do custo com o deslocamento da frota. Considerando também que a demora na remoção dos veículos até as localidades mais distantes contribuirá para possíveis interrupções no serviço de tran</w:t>
      </w:r>
      <w:r>
        <w:rPr>
          <w:rFonts w:eastAsia="Arial" w:cs="Arial"/>
          <w:sz w:val="24"/>
          <w:szCs w:val="24"/>
        </w:rPr>
        <w:t xml:space="preserve">sporte escolar. Pretende-se, assim, agilizar os serviços a serem executados, bem como facilitar a fiscalização in loco e o acompanhamento dos serviços prestados, visando, portanto, o cumprimento dos princípios da economicidade, eficiência e razoabilidade. </w:t>
      </w:r>
      <w:r>
        <w:rPr>
          <w:rFonts w:cs="Arial"/>
          <w:sz w:val="24"/>
          <w:szCs w:val="24"/>
        </w:rPr>
      </w:r>
    </w:p>
    <w:p>
      <w:pPr>
        <w:pStyle w:val="969"/>
        <w:pBdr/>
        <w:spacing w:before="2"/>
        <w:ind/>
        <w:rPr>
          <w:rFonts w:cs="Arial"/>
          <w:sz w:val="24"/>
          <w:szCs w:val="24"/>
        </w:rPr>
      </w:pPr>
      <w:r>
        <w:rPr>
          <w:rFonts w:cs="Arial"/>
          <w:sz w:val="24"/>
          <w:szCs w:val="24"/>
        </w:rPr>
      </w:r>
      <w:r>
        <w:rPr>
          <w:rFonts w:cs="Arial"/>
          <w:sz w:val="24"/>
          <w:szCs w:val="24"/>
        </w:rPr>
      </w:r>
    </w:p>
    <w:p>
      <w:pPr>
        <w:pStyle w:val="969"/>
        <w:widowControl w:val="false"/>
        <w:pBdr/>
        <w:spacing w:before="2"/>
        <w:ind/>
        <w:rPr>
          <w:rFonts w:cs="Arial"/>
          <w:sz w:val="24"/>
          <w:szCs w:val="24"/>
        </w:rPr>
      </w:pPr>
      <w:r>
        <w:rPr>
          <w:rFonts w:eastAsia="Arial" w:cs="Arial"/>
          <w:sz w:val="24"/>
          <w:szCs w:val="24"/>
        </w:rPr>
        <w:t xml:space="preserve">Os critérios de sustentabilidade são aqueles previstos nas especificações do objeto e/ou obrigações da contratada como requisito previsto em lei especial. </w:t>
      </w:r>
      <w:r>
        <w:rPr>
          <w:rFonts w:cs="Arial"/>
          <w:sz w:val="24"/>
          <w:szCs w:val="24"/>
        </w:rPr>
      </w:r>
    </w:p>
    <w:p>
      <w:pPr>
        <w:pStyle w:val="969"/>
        <w:widowControl w:val="false"/>
        <w:pBdr/>
        <w:spacing w:before="2"/>
        <w:ind w:left="426"/>
        <w:rPr>
          <w:rFonts w:cs="Arial"/>
          <w:sz w:val="24"/>
          <w:szCs w:val="24"/>
        </w:rPr>
      </w:pPr>
      <w:r>
        <w:rPr>
          <w:rFonts w:cs="Arial"/>
          <w:sz w:val="24"/>
          <w:szCs w:val="24"/>
        </w:rPr>
      </w:r>
      <w:r>
        <w:rPr>
          <w:rFonts w:cs="Arial"/>
          <w:sz w:val="24"/>
          <w:szCs w:val="24"/>
        </w:rPr>
      </w:r>
    </w:p>
    <w:p>
      <w:pPr>
        <w:pBdr/>
        <w:spacing w:line="276" w:lineRule="auto"/>
        <w:ind/>
        <w:rPr>
          <w:rFonts w:cs="Arial"/>
          <w:b/>
          <w:sz w:val="24"/>
          <w:szCs w:val="24"/>
        </w:rPr>
      </w:pPr>
      <w:r>
        <w:rPr>
          <w:rFonts w:eastAsia="Arial" w:cs="Arial"/>
          <w:b/>
          <w:sz w:val="24"/>
          <w:szCs w:val="24"/>
        </w:rPr>
        <w:t xml:space="preserve">7.1 – Forma e prazo de entrega</w:t>
      </w:r>
      <w:r>
        <w:rPr>
          <w:rFonts w:cs="Arial"/>
          <w:b/>
          <w:sz w:val="24"/>
          <w:szCs w:val="24"/>
        </w:rPr>
      </w:r>
    </w:p>
    <w:p>
      <w:pPr>
        <w:pBdr/>
        <w:spacing w:line="276" w:lineRule="auto"/>
        <w:ind w:left="-11"/>
        <w:rPr>
          <w:rFonts w:cs="Arial"/>
          <w:b/>
          <w:sz w:val="24"/>
          <w:szCs w:val="24"/>
          <w:u w:val="single"/>
        </w:rPr>
      </w:pPr>
      <w:r>
        <w:rPr>
          <w:rFonts w:cs="Arial"/>
          <w:b/>
          <w:sz w:val="24"/>
          <w:szCs w:val="24"/>
          <w:u w:val="single"/>
        </w:rPr>
      </w:r>
      <w:r>
        <w:rPr>
          <w:rFonts w:cs="Arial"/>
          <w:b/>
          <w:sz w:val="24"/>
          <w:szCs w:val="24"/>
          <w:u w:val="single"/>
        </w:rPr>
      </w:r>
    </w:p>
    <w:p>
      <w:pPr>
        <w:pBdr/>
        <w:spacing w:line="276" w:lineRule="auto"/>
        <w:ind/>
        <w:rPr>
          <w:rFonts w:cs="Arial"/>
          <w:sz w:val="24"/>
          <w:szCs w:val="24"/>
          <w:highlight w:val="white"/>
        </w:rPr>
      </w:pPr>
      <w:r>
        <w:rPr>
          <w:rFonts w:eastAsia="Arial" w:cs="Arial"/>
          <w:sz w:val="24"/>
          <w:szCs w:val="24"/>
          <w:highlight w:val="white"/>
        </w:rPr>
        <w:t xml:space="preserve">A prestação de serviço será efetuada a partir da aprovação do orçamento prévio que deverá ser enviado a Secretaria Demandante pela contratada. Após aprovação, o </w:t>
      </w:r>
      <w:r>
        <w:rPr>
          <w:rFonts w:eastAsia="Arial" w:cs="Arial"/>
          <w:b/>
          <w:bCs/>
          <w:sz w:val="24"/>
          <w:szCs w:val="24"/>
          <w:highlight w:val="white"/>
        </w:rPr>
        <w:t xml:space="preserve">ÓRGÃO CONTRATANTE</w:t>
      </w:r>
      <w:r>
        <w:rPr>
          <w:rFonts w:eastAsia="Arial" w:cs="Arial"/>
          <w:sz w:val="24"/>
          <w:szCs w:val="24"/>
          <w:highlight w:val="white"/>
        </w:rPr>
        <w:t xml:space="preserve"> emitirá a nota de empenho e</w:t>
      </w:r>
      <w:r>
        <w:rPr>
          <w:rFonts w:eastAsia="Arial" w:cs="Arial"/>
          <w:bCs/>
          <w:sz w:val="24"/>
          <w:szCs w:val="24"/>
          <w:highlight w:val="white"/>
        </w:rPr>
        <w:t xml:space="preserve"> a ordem de serviço</w:t>
      </w:r>
      <w:r>
        <w:rPr>
          <w:rFonts w:eastAsia="Arial" w:cs="Arial"/>
          <w:sz w:val="24"/>
          <w:szCs w:val="24"/>
          <w:highlight w:val="white"/>
        </w:rPr>
        <w:t xml:space="preserve">.</w:t>
      </w:r>
      <w:r>
        <w:rPr>
          <w:rFonts w:cs="Arial"/>
          <w:sz w:val="24"/>
          <w:szCs w:val="24"/>
          <w:highlight w:val="white"/>
        </w:rPr>
      </w:r>
    </w:p>
    <w:p>
      <w:pPr>
        <w:pStyle w:val="995"/>
        <w:widowControl w:val="false"/>
        <w:pBdr/>
        <w:tabs>
          <w:tab w:val="left" w:leader="none" w:pos="851"/>
          <w:tab w:val="left" w:leader="none" w:pos="1418"/>
        </w:tabs>
        <w:spacing w:before="240" w:line="276" w:lineRule="auto"/>
        <w:ind w:left="0"/>
        <w:contextualSpacing w:val="false"/>
        <w:rPr>
          <w:rFonts w:cs="Arial"/>
          <w:sz w:val="24"/>
          <w:szCs w:val="24"/>
          <w:highlight w:val="white"/>
        </w:rPr>
      </w:pPr>
      <w:r>
        <w:rPr>
          <w:rFonts w:eastAsia="Arial" w:cs="Arial"/>
          <w:sz w:val="24"/>
          <w:szCs w:val="24"/>
          <w:highlight w:val="white"/>
        </w:rPr>
        <w:t xml:space="preserve">O orçamento prévio deverá ser fornecido no prazo máximo de 24h contados a partir do momento que o veículo esteja sob responsabilidade da contratada. O orçamento deverá conter</w:t>
      </w:r>
      <w:r>
        <w:rPr>
          <w:rFonts w:eastAsia="Arial" w:cs="Arial"/>
          <w:sz w:val="24"/>
          <w:szCs w:val="24"/>
          <w:highlight w:val="white"/>
        </w:rPr>
        <w:t xml:space="preserve"> as peças a serem substituídas e quantidade de horas que serão utilizadas para realização dos serviços, com o desconto proposto pela contratada no momento do certame, juntamente com a Tabela Oficial de Preços de Peças e Acessórios Novos e Genuínos, emitida</w:t>
      </w:r>
      <w:r>
        <w:rPr>
          <w:rFonts w:eastAsia="Arial" w:cs="Arial"/>
          <w:spacing w:val="1"/>
          <w:sz w:val="24"/>
          <w:szCs w:val="24"/>
          <w:highlight w:val="white"/>
        </w:rPr>
        <w:t xml:space="preserve"> </w:t>
      </w:r>
      <w:r>
        <w:rPr>
          <w:rFonts w:eastAsia="Arial" w:cs="Arial"/>
          <w:sz w:val="24"/>
          <w:szCs w:val="24"/>
          <w:highlight w:val="white"/>
        </w:rPr>
        <w:t xml:space="preserve">pelos:</w:t>
      </w:r>
      <w:r>
        <w:rPr>
          <w:rFonts w:eastAsia="Arial" w:cs="Arial"/>
          <w:spacing w:val="1"/>
          <w:sz w:val="24"/>
          <w:szCs w:val="24"/>
          <w:highlight w:val="white"/>
        </w:rPr>
        <w:t xml:space="preserve"> </w:t>
      </w:r>
      <w:r>
        <w:rPr>
          <w:rFonts w:eastAsia="Arial" w:cs="Arial"/>
          <w:sz w:val="24"/>
          <w:szCs w:val="24"/>
          <w:highlight w:val="white"/>
        </w:rPr>
        <w:t xml:space="preserve">fabricantes</w:t>
      </w:r>
      <w:r>
        <w:rPr>
          <w:rFonts w:eastAsia="Arial" w:cs="Arial"/>
          <w:spacing w:val="1"/>
          <w:sz w:val="24"/>
          <w:szCs w:val="24"/>
          <w:highlight w:val="white"/>
        </w:rPr>
        <w:t xml:space="preserve"> </w:t>
      </w:r>
      <w:r>
        <w:rPr>
          <w:rFonts w:eastAsia="Arial" w:cs="Arial"/>
          <w:sz w:val="24"/>
          <w:szCs w:val="24"/>
          <w:highlight w:val="white"/>
        </w:rPr>
        <w:t xml:space="preserve">dos</w:t>
      </w:r>
      <w:r>
        <w:rPr>
          <w:rFonts w:eastAsia="Arial" w:cs="Arial"/>
          <w:spacing w:val="1"/>
          <w:sz w:val="24"/>
          <w:szCs w:val="24"/>
          <w:highlight w:val="white"/>
        </w:rPr>
        <w:t xml:space="preserve"> </w:t>
      </w:r>
      <w:r>
        <w:rPr>
          <w:rFonts w:eastAsia="Arial" w:cs="Arial"/>
          <w:sz w:val="24"/>
          <w:szCs w:val="24"/>
          <w:highlight w:val="white"/>
        </w:rPr>
        <w:t xml:space="preserve">equipamentos</w:t>
      </w:r>
      <w:r>
        <w:rPr>
          <w:rFonts w:eastAsia="Arial" w:cs="Arial"/>
          <w:spacing w:val="1"/>
          <w:sz w:val="24"/>
          <w:szCs w:val="24"/>
          <w:highlight w:val="white"/>
        </w:rPr>
        <w:t xml:space="preserve"> </w:t>
      </w:r>
      <w:r>
        <w:rPr>
          <w:rFonts w:eastAsia="Arial" w:cs="Arial"/>
          <w:sz w:val="24"/>
          <w:szCs w:val="24"/>
          <w:highlight w:val="white"/>
        </w:rPr>
        <w:t xml:space="preserve">constantes</w:t>
      </w:r>
      <w:r>
        <w:rPr>
          <w:rFonts w:eastAsia="Arial" w:cs="Arial"/>
          <w:spacing w:val="1"/>
          <w:sz w:val="24"/>
          <w:szCs w:val="24"/>
          <w:highlight w:val="white"/>
        </w:rPr>
        <w:t xml:space="preserve"> </w:t>
      </w:r>
      <w:r>
        <w:rPr>
          <w:rFonts w:eastAsia="Arial" w:cs="Arial"/>
          <w:sz w:val="24"/>
          <w:szCs w:val="24"/>
          <w:highlight w:val="white"/>
        </w:rPr>
        <w:t xml:space="preserve">do</w:t>
      </w:r>
      <w:r>
        <w:rPr>
          <w:rFonts w:eastAsia="Arial" w:cs="Arial"/>
          <w:spacing w:val="1"/>
          <w:sz w:val="24"/>
          <w:szCs w:val="24"/>
          <w:highlight w:val="white"/>
        </w:rPr>
        <w:t xml:space="preserve"> </w:t>
      </w:r>
      <w:r>
        <w:rPr>
          <w:rFonts w:eastAsia="Arial" w:cs="Arial"/>
          <w:sz w:val="24"/>
          <w:szCs w:val="24"/>
          <w:highlight w:val="white"/>
        </w:rPr>
        <w:t xml:space="preserve">presente</w:t>
      </w:r>
      <w:r>
        <w:rPr>
          <w:rFonts w:eastAsia="Arial" w:cs="Arial"/>
          <w:spacing w:val="1"/>
          <w:sz w:val="24"/>
          <w:szCs w:val="24"/>
          <w:highlight w:val="white"/>
        </w:rPr>
        <w:t xml:space="preserve"> </w:t>
      </w:r>
      <w:r>
        <w:rPr>
          <w:rFonts w:eastAsia="Arial" w:cs="Arial"/>
          <w:sz w:val="24"/>
          <w:szCs w:val="24"/>
          <w:highlight w:val="white"/>
        </w:rPr>
        <w:t xml:space="preserve">Termo</w:t>
      </w:r>
      <w:r>
        <w:rPr>
          <w:rFonts w:eastAsia="Arial" w:cs="Arial"/>
          <w:spacing w:val="1"/>
          <w:sz w:val="24"/>
          <w:szCs w:val="24"/>
          <w:highlight w:val="white"/>
        </w:rPr>
        <w:t xml:space="preserve"> </w:t>
      </w:r>
      <w:r>
        <w:rPr>
          <w:rFonts w:eastAsia="Arial" w:cs="Arial"/>
          <w:sz w:val="24"/>
          <w:szCs w:val="24"/>
          <w:highlight w:val="white"/>
        </w:rPr>
        <w:t xml:space="preserve">de</w:t>
      </w:r>
      <w:r>
        <w:rPr>
          <w:rFonts w:eastAsia="Arial" w:cs="Arial"/>
          <w:spacing w:val="1"/>
          <w:sz w:val="24"/>
          <w:szCs w:val="24"/>
          <w:highlight w:val="white"/>
        </w:rPr>
        <w:t xml:space="preserve"> </w:t>
      </w:r>
      <w:r>
        <w:rPr>
          <w:rFonts w:eastAsia="Arial" w:cs="Arial"/>
          <w:sz w:val="24"/>
          <w:szCs w:val="24"/>
          <w:highlight w:val="white"/>
        </w:rPr>
        <w:t xml:space="preserve">Referência, Concessionária e/ou Catálogo de Preços Sistema </w:t>
      </w:r>
      <w:r>
        <w:rPr>
          <w:rFonts w:eastAsia="Arial" w:cs="Arial"/>
          <w:b/>
          <w:sz w:val="24"/>
          <w:szCs w:val="24"/>
          <w:highlight w:val="white"/>
        </w:rPr>
        <w:t xml:space="preserve">AUDATEX</w:t>
      </w:r>
      <w:r>
        <w:rPr>
          <w:rFonts w:eastAsia="Arial" w:cs="Arial"/>
          <w:sz w:val="24"/>
          <w:szCs w:val="24"/>
          <w:highlight w:val="white"/>
        </w:rPr>
        <w:t xml:space="preserve"> para verificar se os preços estão de acordo com os praticados no mercado. </w:t>
      </w:r>
      <w:r>
        <w:rPr>
          <w:rFonts w:cs="Arial"/>
          <w:sz w:val="24"/>
          <w:szCs w:val="24"/>
          <w:highlight w:val="white"/>
        </w:rPr>
      </w:r>
    </w:p>
    <w:p>
      <w:pPr>
        <w:pStyle w:val="995"/>
        <w:widowControl w:val="false"/>
        <w:pBdr/>
        <w:tabs>
          <w:tab w:val="left" w:leader="none" w:pos="851"/>
          <w:tab w:val="left" w:leader="none" w:pos="1418"/>
        </w:tabs>
        <w:spacing w:before="240" w:line="276" w:lineRule="auto"/>
        <w:ind w:left="0"/>
        <w:contextualSpacing w:val="false"/>
        <w:rPr>
          <w:rFonts w:cs="Arial"/>
          <w:sz w:val="24"/>
          <w:szCs w:val="24"/>
          <w:highlight w:val="white"/>
        </w:rPr>
      </w:pPr>
      <w:r>
        <w:rPr>
          <w:rFonts w:eastAsia="Arial" w:cs="Arial"/>
          <w:sz w:val="24"/>
          <w:szCs w:val="24"/>
          <w:highlight w:val="white"/>
        </w:rPr>
        <w:t xml:space="preserve">Os serviços serão executados com estrita observância da proposta da licitante</w:t>
      </w:r>
      <w:r>
        <w:rPr>
          <w:rFonts w:eastAsia="Arial" w:cs="Arial"/>
          <w:spacing w:val="1"/>
          <w:sz w:val="24"/>
          <w:szCs w:val="24"/>
          <w:highlight w:val="white"/>
        </w:rPr>
        <w:t xml:space="preserve"> </w:t>
      </w:r>
      <w:r>
        <w:rPr>
          <w:rFonts w:eastAsia="Arial" w:cs="Arial"/>
          <w:sz w:val="24"/>
          <w:szCs w:val="24"/>
          <w:highlight w:val="white"/>
        </w:rPr>
        <w:t xml:space="preserve">vencedora, baseados na quantidade de horas técnicas e nos valores constantes da</w:t>
      </w:r>
      <w:r>
        <w:rPr>
          <w:rFonts w:eastAsia="Arial" w:cs="Arial"/>
          <w:spacing w:val="1"/>
          <w:sz w:val="24"/>
          <w:szCs w:val="24"/>
          <w:highlight w:val="white"/>
        </w:rPr>
        <w:t xml:space="preserve"> </w:t>
      </w:r>
      <w:r>
        <w:rPr>
          <w:rFonts w:eastAsia="Arial" w:cs="Arial"/>
          <w:sz w:val="24"/>
          <w:szCs w:val="24"/>
          <w:highlight w:val="white"/>
        </w:rPr>
        <w:t xml:space="preserve">tabela (Anexo 2), depois de aplicados os descontos ofertados. A tabela Oficial de Preços de Peças e Acessórios</w:t>
      </w:r>
      <w:r>
        <w:rPr>
          <w:rFonts w:eastAsia="Arial" w:cs="Arial"/>
          <w:spacing w:val="1"/>
          <w:sz w:val="24"/>
          <w:szCs w:val="24"/>
          <w:highlight w:val="white"/>
        </w:rPr>
        <w:t xml:space="preserve"> </w:t>
      </w:r>
      <w:r>
        <w:rPr>
          <w:rFonts w:eastAsia="Arial" w:cs="Arial"/>
          <w:sz w:val="24"/>
          <w:szCs w:val="24"/>
          <w:highlight w:val="white"/>
        </w:rPr>
        <w:t xml:space="preserve">Novos e Genuínos, emitida</w:t>
      </w:r>
      <w:r>
        <w:rPr>
          <w:rFonts w:eastAsia="Arial" w:cs="Arial"/>
          <w:spacing w:val="1"/>
          <w:sz w:val="24"/>
          <w:szCs w:val="24"/>
          <w:highlight w:val="white"/>
        </w:rPr>
        <w:t xml:space="preserve"> </w:t>
      </w:r>
      <w:r>
        <w:rPr>
          <w:rFonts w:eastAsia="Arial" w:cs="Arial"/>
          <w:sz w:val="24"/>
          <w:szCs w:val="24"/>
          <w:highlight w:val="white"/>
        </w:rPr>
        <w:t xml:space="preserve">pelos:</w:t>
      </w:r>
      <w:r>
        <w:rPr>
          <w:rFonts w:eastAsia="Arial" w:cs="Arial"/>
          <w:spacing w:val="1"/>
          <w:sz w:val="24"/>
          <w:szCs w:val="24"/>
          <w:highlight w:val="white"/>
        </w:rPr>
        <w:t xml:space="preserve"> </w:t>
      </w:r>
      <w:r>
        <w:rPr>
          <w:rFonts w:eastAsia="Arial" w:cs="Arial"/>
          <w:sz w:val="24"/>
          <w:szCs w:val="24"/>
          <w:highlight w:val="white"/>
        </w:rPr>
        <w:t xml:space="preserve">fabricantes</w:t>
      </w:r>
      <w:r>
        <w:rPr>
          <w:rFonts w:eastAsia="Arial" w:cs="Arial"/>
          <w:spacing w:val="1"/>
          <w:sz w:val="24"/>
          <w:szCs w:val="24"/>
          <w:highlight w:val="white"/>
        </w:rPr>
        <w:t xml:space="preserve"> </w:t>
      </w:r>
      <w:r>
        <w:rPr>
          <w:rFonts w:eastAsia="Arial" w:cs="Arial"/>
          <w:sz w:val="24"/>
          <w:szCs w:val="24"/>
          <w:highlight w:val="white"/>
        </w:rPr>
        <w:t xml:space="preserve">dos</w:t>
      </w:r>
      <w:r>
        <w:rPr>
          <w:rFonts w:eastAsia="Arial" w:cs="Arial"/>
          <w:spacing w:val="1"/>
          <w:sz w:val="24"/>
          <w:szCs w:val="24"/>
          <w:highlight w:val="white"/>
        </w:rPr>
        <w:t xml:space="preserve"> </w:t>
      </w:r>
      <w:r>
        <w:rPr>
          <w:rFonts w:eastAsia="Arial" w:cs="Arial"/>
          <w:sz w:val="24"/>
          <w:szCs w:val="24"/>
          <w:highlight w:val="white"/>
        </w:rPr>
        <w:t xml:space="preserve">equipamentos</w:t>
      </w:r>
      <w:r>
        <w:rPr>
          <w:rFonts w:eastAsia="Arial" w:cs="Arial"/>
          <w:spacing w:val="1"/>
          <w:sz w:val="24"/>
          <w:szCs w:val="24"/>
          <w:highlight w:val="white"/>
        </w:rPr>
        <w:t xml:space="preserve"> </w:t>
      </w:r>
      <w:r>
        <w:rPr>
          <w:rFonts w:eastAsia="Arial" w:cs="Arial"/>
          <w:sz w:val="24"/>
          <w:szCs w:val="24"/>
          <w:highlight w:val="white"/>
        </w:rPr>
        <w:t xml:space="preserve">constantes</w:t>
      </w:r>
      <w:r>
        <w:rPr>
          <w:rFonts w:eastAsia="Arial" w:cs="Arial"/>
          <w:spacing w:val="1"/>
          <w:sz w:val="24"/>
          <w:szCs w:val="24"/>
          <w:highlight w:val="white"/>
        </w:rPr>
        <w:t xml:space="preserve"> </w:t>
      </w:r>
      <w:r>
        <w:rPr>
          <w:rFonts w:eastAsia="Arial" w:cs="Arial"/>
          <w:sz w:val="24"/>
          <w:szCs w:val="24"/>
          <w:highlight w:val="white"/>
        </w:rPr>
        <w:t xml:space="preserve">do</w:t>
      </w:r>
      <w:r>
        <w:rPr>
          <w:rFonts w:eastAsia="Arial" w:cs="Arial"/>
          <w:spacing w:val="1"/>
          <w:sz w:val="24"/>
          <w:szCs w:val="24"/>
          <w:highlight w:val="white"/>
        </w:rPr>
        <w:t xml:space="preserve"> </w:t>
      </w:r>
      <w:r>
        <w:rPr>
          <w:rFonts w:eastAsia="Arial" w:cs="Arial"/>
          <w:sz w:val="24"/>
          <w:szCs w:val="24"/>
          <w:highlight w:val="white"/>
        </w:rPr>
        <w:t xml:space="preserve">presente</w:t>
      </w:r>
      <w:r>
        <w:rPr>
          <w:rFonts w:eastAsia="Arial" w:cs="Arial"/>
          <w:spacing w:val="1"/>
          <w:sz w:val="24"/>
          <w:szCs w:val="24"/>
          <w:highlight w:val="white"/>
        </w:rPr>
        <w:t xml:space="preserve"> </w:t>
      </w:r>
      <w:r>
        <w:rPr>
          <w:rFonts w:eastAsia="Arial" w:cs="Arial"/>
          <w:sz w:val="24"/>
          <w:szCs w:val="24"/>
          <w:highlight w:val="white"/>
        </w:rPr>
        <w:t xml:space="preserve">Termo</w:t>
      </w:r>
      <w:r>
        <w:rPr>
          <w:rFonts w:eastAsia="Arial" w:cs="Arial"/>
          <w:spacing w:val="1"/>
          <w:sz w:val="24"/>
          <w:szCs w:val="24"/>
          <w:highlight w:val="white"/>
        </w:rPr>
        <w:t xml:space="preserve"> </w:t>
      </w:r>
      <w:r>
        <w:rPr>
          <w:rFonts w:eastAsia="Arial" w:cs="Arial"/>
          <w:sz w:val="24"/>
          <w:szCs w:val="24"/>
          <w:highlight w:val="white"/>
        </w:rPr>
        <w:t xml:space="preserve">de</w:t>
      </w:r>
      <w:r>
        <w:rPr>
          <w:rFonts w:eastAsia="Arial" w:cs="Arial"/>
          <w:spacing w:val="1"/>
          <w:sz w:val="24"/>
          <w:szCs w:val="24"/>
          <w:highlight w:val="white"/>
        </w:rPr>
        <w:t xml:space="preserve"> </w:t>
      </w:r>
      <w:r>
        <w:rPr>
          <w:rFonts w:eastAsia="Arial" w:cs="Arial"/>
          <w:sz w:val="24"/>
          <w:szCs w:val="24"/>
          <w:highlight w:val="white"/>
        </w:rPr>
        <w:t xml:space="preserve">Referência, Concessionária e/ou Catálogo de Preços Sistema </w:t>
      </w:r>
      <w:r>
        <w:rPr>
          <w:rFonts w:eastAsia="Arial" w:cs="Arial"/>
          <w:b/>
          <w:sz w:val="24"/>
          <w:szCs w:val="24"/>
          <w:highlight w:val="white"/>
        </w:rPr>
        <w:t xml:space="preserve">AUDATEX</w:t>
      </w:r>
      <w:r>
        <w:rPr>
          <w:rFonts w:eastAsia="Arial" w:cs="Arial"/>
          <w:sz w:val="24"/>
          <w:szCs w:val="24"/>
          <w:highlight w:val="white"/>
        </w:rPr>
        <w:t xml:space="preserve">, deverá</w:t>
      </w:r>
      <w:r>
        <w:rPr>
          <w:rFonts w:eastAsia="Arial" w:cs="Arial"/>
          <w:spacing w:val="1"/>
          <w:sz w:val="24"/>
          <w:szCs w:val="24"/>
          <w:highlight w:val="white"/>
        </w:rPr>
        <w:t xml:space="preserve"> </w:t>
      </w:r>
      <w:r>
        <w:rPr>
          <w:rFonts w:eastAsia="Arial" w:cs="Arial"/>
          <w:sz w:val="24"/>
          <w:szCs w:val="24"/>
          <w:highlight w:val="white"/>
        </w:rPr>
        <w:t xml:space="preserve">ser</w:t>
      </w:r>
      <w:r>
        <w:rPr>
          <w:rFonts w:eastAsia="Arial" w:cs="Arial"/>
          <w:spacing w:val="1"/>
          <w:sz w:val="24"/>
          <w:szCs w:val="24"/>
          <w:highlight w:val="white"/>
        </w:rPr>
        <w:t xml:space="preserve"> </w:t>
      </w:r>
      <w:r>
        <w:rPr>
          <w:rFonts w:eastAsia="Arial" w:cs="Arial"/>
          <w:sz w:val="24"/>
          <w:szCs w:val="24"/>
          <w:highlight w:val="white"/>
        </w:rPr>
        <w:t xml:space="preserve">fornecida</w:t>
      </w:r>
      <w:r>
        <w:rPr>
          <w:rFonts w:eastAsia="Arial" w:cs="Arial"/>
          <w:spacing w:val="1"/>
          <w:sz w:val="24"/>
          <w:szCs w:val="24"/>
          <w:highlight w:val="white"/>
        </w:rPr>
        <w:t xml:space="preserve"> </w:t>
      </w:r>
      <w:r>
        <w:rPr>
          <w:rFonts w:eastAsia="Arial" w:cs="Arial"/>
          <w:sz w:val="24"/>
          <w:szCs w:val="24"/>
          <w:highlight w:val="white"/>
        </w:rPr>
        <w:t xml:space="preserve">à</w:t>
      </w:r>
      <w:r>
        <w:rPr>
          <w:rFonts w:eastAsia="Arial" w:cs="Arial"/>
          <w:spacing w:val="1"/>
          <w:sz w:val="24"/>
          <w:szCs w:val="24"/>
          <w:highlight w:val="white"/>
        </w:rPr>
        <w:t xml:space="preserve"> </w:t>
      </w:r>
      <w:r>
        <w:rPr>
          <w:rFonts w:eastAsia="Arial" w:cs="Arial"/>
          <w:sz w:val="24"/>
          <w:szCs w:val="24"/>
          <w:highlight w:val="white"/>
        </w:rPr>
        <w:t xml:space="preserve">cada Secretaria Demandante,</w:t>
      </w:r>
      <w:r>
        <w:rPr>
          <w:rFonts w:eastAsia="Arial" w:cs="Arial"/>
          <w:spacing w:val="1"/>
          <w:sz w:val="24"/>
          <w:szCs w:val="24"/>
          <w:highlight w:val="white"/>
        </w:rPr>
        <w:t xml:space="preserve"> </w:t>
      </w:r>
      <w:r>
        <w:rPr>
          <w:rFonts w:eastAsia="Arial" w:cs="Arial"/>
          <w:sz w:val="24"/>
          <w:szCs w:val="24"/>
          <w:highlight w:val="white"/>
        </w:rPr>
        <w:t xml:space="preserve">pela</w:t>
      </w:r>
      <w:r>
        <w:rPr>
          <w:rFonts w:eastAsia="Arial" w:cs="Arial"/>
          <w:spacing w:val="1"/>
          <w:sz w:val="24"/>
          <w:szCs w:val="24"/>
          <w:highlight w:val="white"/>
        </w:rPr>
        <w:t xml:space="preserve"> </w:t>
      </w:r>
      <w:r>
        <w:rPr>
          <w:rFonts w:eastAsia="Arial" w:cs="Arial"/>
          <w:sz w:val="24"/>
          <w:szCs w:val="24"/>
          <w:highlight w:val="white"/>
        </w:rPr>
        <w:t xml:space="preserve">Contratada,</w:t>
      </w:r>
      <w:r>
        <w:rPr>
          <w:rFonts w:eastAsia="Arial" w:cs="Arial"/>
          <w:spacing w:val="1"/>
          <w:sz w:val="24"/>
          <w:szCs w:val="24"/>
          <w:highlight w:val="white"/>
        </w:rPr>
        <w:t xml:space="preserve"> também </w:t>
      </w:r>
      <w:r>
        <w:rPr>
          <w:rFonts w:eastAsia="Arial" w:cs="Arial"/>
          <w:sz w:val="24"/>
          <w:szCs w:val="24"/>
          <w:highlight w:val="white"/>
        </w:rPr>
        <w:t xml:space="preserve">no</w:t>
      </w:r>
      <w:r>
        <w:rPr>
          <w:rFonts w:eastAsia="Arial" w:cs="Arial"/>
          <w:spacing w:val="1"/>
          <w:sz w:val="24"/>
          <w:szCs w:val="24"/>
          <w:highlight w:val="white"/>
        </w:rPr>
        <w:t xml:space="preserve"> </w:t>
      </w:r>
      <w:r>
        <w:rPr>
          <w:rFonts w:eastAsia="Arial" w:cs="Arial"/>
          <w:sz w:val="24"/>
          <w:szCs w:val="24"/>
          <w:highlight w:val="white"/>
        </w:rPr>
        <w:t xml:space="preserve">ato</w:t>
      </w:r>
      <w:r>
        <w:rPr>
          <w:rFonts w:eastAsia="Arial" w:cs="Arial"/>
          <w:spacing w:val="1"/>
          <w:sz w:val="24"/>
          <w:szCs w:val="24"/>
          <w:highlight w:val="white"/>
        </w:rPr>
        <w:t xml:space="preserve"> </w:t>
      </w:r>
      <w:r>
        <w:rPr>
          <w:rFonts w:eastAsia="Arial" w:cs="Arial"/>
          <w:sz w:val="24"/>
          <w:szCs w:val="24"/>
          <w:highlight w:val="white"/>
        </w:rPr>
        <w:t xml:space="preserve">da </w:t>
      </w:r>
      <w:r>
        <w:rPr>
          <w:rFonts w:eastAsia="Arial" w:cs="Arial"/>
          <w:spacing w:val="-64"/>
          <w:sz w:val="24"/>
          <w:szCs w:val="24"/>
          <w:highlight w:val="white"/>
        </w:rPr>
        <w:t xml:space="preserve"> </w:t>
      </w:r>
      <w:r>
        <w:rPr>
          <w:rFonts w:eastAsia="Arial" w:cs="Arial"/>
          <w:sz w:val="24"/>
          <w:szCs w:val="24"/>
          <w:highlight w:val="white"/>
        </w:rPr>
        <w:t xml:space="preserve">entrega</w:t>
      </w:r>
      <w:r>
        <w:rPr>
          <w:rFonts w:eastAsia="Arial" w:cs="Arial"/>
          <w:sz w:val="24"/>
          <w:szCs w:val="24"/>
          <w:highlight w:val="white"/>
        </w:rPr>
        <w:t xml:space="preserve"> da nota fiscal ou equivalente. </w:t>
      </w:r>
      <w:r>
        <w:rPr>
          <w:rFonts w:cs="Arial"/>
          <w:sz w:val="24"/>
          <w:szCs w:val="24"/>
          <w:highlight w:val="white"/>
        </w:rPr>
      </w:r>
    </w:p>
    <w:p>
      <w:pPr>
        <w:pStyle w:val="995"/>
        <w:widowControl w:val="false"/>
        <w:pBdr/>
        <w:tabs>
          <w:tab w:val="left" w:leader="none" w:pos="851"/>
          <w:tab w:val="left" w:leader="none" w:pos="1418"/>
        </w:tabs>
        <w:spacing w:before="240" w:line="276" w:lineRule="auto"/>
        <w:ind w:left="0"/>
        <w:contextualSpacing w:val="false"/>
        <w:rPr>
          <w:rFonts w:cs="Arial"/>
          <w:sz w:val="24"/>
          <w:szCs w:val="24"/>
          <w:highlight w:val="white"/>
        </w:rPr>
      </w:pPr>
      <w:r>
        <w:rPr>
          <w:rFonts w:eastAsia="Arial" w:cs="Arial"/>
          <w:sz w:val="24"/>
          <w:szCs w:val="24"/>
          <w:highlight w:val="white"/>
        </w:rPr>
        <w:t xml:space="preserve">A Licitante Vencedora deverá, após toda e qualquer manutenção, seja corretiva</w:t>
      </w:r>
      <w:r>
        <w:rPr>
          <w:rFonts w:eastAsia="Arial" w:cs="Arial"/>
          <w:spacing w:val="1"/>
          <w:sz w:val="24"/>
          <w:szCs w:val="24"/>
          <w:highlight w:val="white"/>
        </w:rPr>
        <w:t xml:space="preserve"> </w:t>
      </w:r>
      <w:r>
        <w:rPr>
          <w:rFonts w:eastAsia="Arial" w:cs="Arial"/>
          <w:sz w:val="24"/>
          <w:szCs w:val="24"/>
          <w:highlight w:val="white"/>
        </w:rPr>
        <w:t xml:space="preserve">ou</w:t>
      </w:r>
      <w:r>
        <w:rPr>
          <w:rFonts w:eastAsia="Arial" w:cs="Arial"/>
          <w:spacing w:val="1"/>
          <w:sz w:val="24"/>
          <w:szCs w:val="24"/>
          <w:highlight w:val="white"/>
        </w:rPr>
        <w:t xml:space="preserve"> </w:t>
      </w:r>
      <w:r>
        <w:rPr>
          <w:rFonts w:eastAsia="Arial" w:cs="Arial"/>
          <w:sz w:val="24"/>
          <w:szCs w:val="24"/>
          <w:highlight w:val="white"/>
        </w:rPr>
        <w:t xml:space="preserve">preventiva,</w:t>
      </w:r>
      <w:r>
        <w:rPr>
          <w:rFonts w:eastAsia="Arial" w:cs="Arial"/>
          <w:spacing w:val="1"/>
          <w:sz w:val="24"/>
          <w:szCs w:val="24"/>
          <w:highlight w:val="white"/>
        </w:rPr>
        <w:t xml:space="preserve"> </w:t>
      </w:r>
      <w:r>
        <w:rPr>
          <w:rFonts w:eastAsia="Arial" w:cs="Arial"/>
          <w:sz w:val="24"/>
          <w:szCs w:val="24"/>
          <w:highlight w:val="white"/>
        </w:rPr>
        <w:t xml:space="preserve">encaminhar</w:t>
      </w:r>
      <w:r>
        <w:rPr>
          <w:rFonts w:eastAsia="Arial" w:cs="Arial"/>
          <w:spacing w:val="1"/>
          <w:sz w:val="24"/>
          <w:szCs w:val="24"/>
          <w:highlight w:val="white"/>
        </w:rPr>
        <w:t xml:space="preserve"> </w:t>
      </w:r>
      <w:r>
        <w:rPr>
          <w:rFonts w:eastAsia="Arial" w:cs="Arial"/>
          <w:sz w:val="24"/>
          <w:szCs w:val="24"/>
          <w:highlight w:val="white"/>
        </w:rPr>
        <w:t xml:space="preserve">à</w:t>
      </w:r>
      <w:r>
        <w:rPr>
          <w:rFonts w:eastAsia="Arial" w:cs="Arial"/>
          <w:spacing w:val="1"/>
          <w:sz w:val="24"/>
          <w:szCs w:val="24"/>
          <w:highlight w:val="white"/>
        </w:rPr>
        <w:t xml:space="preserve"> </w:t>
      </w:r>
      <w:r>
        <w:rPr>
          <w:rFonts w:eastAsia="Arial" w:cs="Arial"/>
          <w:sz w:val="24"/>
          <w:szCs w:val="24"/>
          <w:highlight w:val="white"/>
        </w:rPr>
        <w:t xml:space="preserve">Secretaria Demandante,</w:t>
      </w:r>
      <w:r>
        <w:rPr>
          <w:rFonts w:eastAsia="Arial" w:cs="Arial"/>
          <w:spacing w:val="1"/>
          <w:sz w:val="24"/>
          <w:szCs w:val="24"/>
          <w:highlight w:val="white"/>
        </w:rPr>
        <w:t xml:space="preserve"> </w:t>
      </w:r>
      <w:r>
        <w:rPr>
          <w:rFonts w:eastAsia="Arial" w:cs="Arial"/>
          <w:sz w:val="24"/>
          <w:szCs w:val="24"/>
          <w:highlight w:val="white"/>
        </w:rPr>
        <w:t xml:space="preserve">no prazo</w:t>
      </w:r>
      <w:r>
        <w:rPr>
          <w:rFonts w:eastAsia="Arial" w:cs="Arial"/>
          <w:spacing w:val="1"/>
          <w:sz w:val="24"/>
          <w:szCs w:val="24"/>
          <w:highlight w:val="white"/>
        </w:rPr>
        <w:t xml:space="preserve"> </w:t>
      </w:r>
      <w:r>
        <w:rPr>
          <w:rFonts w:eastAsia="Arial" w:cs="Arial"/>
          <w:sz w:val="24"/>
          <w:szCs w:val="24"/>
          <w:highlight w:val="white"/>
        </w:rPr>
        <w:t xml:space="preserve">máximo de</w:t>
      </w:r>
      <w:r>
        <w:rPr>
          <w:rFonts w:eastAsia="Arial" w:cs="Arial"/>
          <w:spacing w:val="1"/>
          <w:sz w:val="24"/>
          <w:szCs w:val="24"/>
          <w:highlight w:val="white"/>
        </w:rPr>
        <w:t xml:space="preserve"> </w:t>
      </w:r>
      <w:r>
        <w:rPr>
          <w:rFonts w:eastAsia="Arial" w:cs="Arial"/>
          <w:sz w:val="24"/>
          <w:szCs w:val="24"/>
          <w:highlight w:val="white"/>
        </w:rPr>
        <w:t xml:space="preserve">48</w:t>
      </w:r>
      <w:r>
        <w:rPr>
          <w:rFonts w:eastAsia="Arial" w:cs="Arial"/>
          <w:spacing w:val="1"/>
          <w:sz w:val="24"/>
          <w:szCs w:val="24"/>
          <w:highlight w:val="white"/>
        </w:rPr>
        <w:t xml:space="preserve"> </w:t>
      </w:r>
      <w:r>
        <w:rPr>
          <w:rFonts w:eastAsia="Arial" w:cs="Arial"/>
          <w:sz w:val="24"/>
          <w:szCs w:val="24"/>
          <w:highlight w:val="white"/>
        </w:rPr>
        <w:t xml:space="preserve">(quarenta</w:t>
      </w:r>
      <w:r>
        <w:rPr>
          <w:rFonts w:eastAsia="Arial" w:cs="Arial"/>
          <w:spacing w:val="1"/>
          <w:sz w:val="24"/>
          <w:szCs w:val="24"/>
          <w:highlight w:val="white"/>
        </w:rPr>
        <w:t xml:space="preserve"> </w:t>
      </w:r>
      <w:r>
        <w:rPr>
          <w:rFonts w:eastAsia="Arial" w:cs="Arial"/>
          <w:sz w:val="24"/>
          <w:szCs w:val="24"/>
          <w:highlight w:val="white"/>
        </w:rPr>
        <w:t xml:space="preserve">e</w:t>
      </w:r>
      <w:r>
        <w:rPr>
          <w:rFonts w:eastAsia="Arial" w:cs="Arial"/>
          <w:spacing w:val="1"/>
          <w:sz w:val="24"/>
          <w:szCs w:val="24"/>
          <w:highlight w:val="white"/>
        </w:rPr>
        <w:t xml:space="preserve"> </w:t>
      </w:r>
      <w:r>
        <w:rPr>
          <w:rFonts w:eastAsia="Arial" w:cs="Arial"/>
          <w:sz w:val="24"/>
          <w:szCs w:val="24"/>
          <w:highlight w:val="white"/>
        </w:rPr>
        <w:t xml:space="preserve">oito)</w:t>
      </w:r>
      <w:r>
        <w:rPr>
          <w:rFonts w:eastAsia="Arial" w:cs="Arial"/>
          <w:spacing w:val="1"/>
          <w:sz w:val="24"/>
          <w:szCs w:val="24"/>
          <w:highlight w:val="white"/>
        </w:rPr>
        <w:t xml:space="preserve"> </w:t>
      </w:r>
      <w:r>
        <w:rPr>
          <w:rFonts w:eastAsia="Arial" w:cs="Arial"/>
          <w:sz w:val="24"/>
          <w:szCs w:val="24"/>
          <w:highlight w:val="white"/>
        </w:rPr>
        <w:t xml:space="preserve">horas,</w:t>
      </w:r>
      <w:r>
        <w:rPr>
          <w:rFonts w:eastAsia="Arial" w:cs="Arial"/>
          <w:spacing w:val="1"/>
          <w:sz w:val="24"/>
          <w:szCs w:val="24"/>
          <w:highlight w:val="white"/>
        </w:rPr>
        <w:t xml:space="preserve"> </w:t>
      </w:r>
      <w:r>
        <w:rPr>
          <w:rFonts w:eastAsia="Arial" w:cs="Arial"/>
          <w:sz w:val="24"/>
          <w:szCs w:val="24"/>
          <w:highlight w:val="white"/>
        </w:rPr>
        <w:t xml:space="preserve">relatório</w:t>
      </w:r>
      <w:r>
        <w:rPr>
          <w:rFonts w:eastAsia="Arial" w:cs="Arial"/>
          <w:spacing w:val="1"/>
          <w:sz w:val="24"/>
          <w:szCs w:val="24"/>
          <w:highlight w:val="white"/>
        </w:rPr>
        <w:t xml:space="preserve"> </w:t>
      </w:r>
      <w:r>
        <w:rPr>
          <w:rFonts w:eastAsia="Arial" w:cs="Arial"/>
          <w:sz w:val="24"/>
          <w:szCs w:val="24"/>
          <w:highlight w:val="white"/>
        </w:rPr>
        <w:t xml:space="preserve">de</w:t>
      </w:r>
      <w:r>
        <w:rPr>
          <w:rFonts w:eastAsia="Arial" w:cs="Arial"/>
          <w:spacing w:val="1"/>
          <w:sz w:val="24"/>
          <w:szCs w:val="24"/>
          <w:highlight w:val="white"/>
        </w:rPr>
        <w:t xml:space="preserve"> </w:t>
      </w:r>
      <w:r>
        <w:rPr>
          <w:rFonts w:eastAsia="Arial" w:cs="Arial"/>
          <w:sz w:val="24"/>
          <w:szCs w:val="24"/>
          <w:highlight w:val="white"/>
        </w:rPr>
        <w:t xml:space="preserve">Assistência</w:t>
      </w:r>
      <w:r>
        <w:rPr>
          <w:rFonts w:eastAsia="Arial" w:cs="Arial"/>
          <w:spacing w:val="1"/>
          <w:sz w:val="24"/>
          <w:szCs w:val="24"/>
          <w:highlight w:val="white"/>
        </w:rPr>
        <w:t xml:space="preserve"> </w:t>
      </w:r>
      <w:r>
        <w:rPr>
          <w:rFonts w:eastAsia="Arial" w:cs="Arial"/>
          <w:sz w:val="24"/>
          <w:szCs w:val="24"/>
          <w:highlight w:val="white"/>
        </w:rPr>
        <w:t xml:space="preserve">Técnica,</w:t>
      </w:r>
      <w:r>
        <w:rPr>
          <w:rFonts w:eastAsia="Arial" w:cs="Arial"/>
          <w:spacing w:val="1"/>
          <w:sz w:val="24"/>
          <w:szCs w:val="24"/>
          <w:highlight w:val="white"/>
        </w:rPr>
        <w:t xml:space="preserve"> </w:t>
      </w:r>
      <w:r>
        <w:rPr>
          <w:rFonts w:eastAsia="Arial" w:cs="Arial"/>
          <w:sz w:val="24"/>
          <w:szCs w:val="24"/>
          <w:highlight w:val="white"/>
        </w:rPr>
        <w:t xml:space="preserve">contendo</w:t>
      </w:r>
      <w:r>
        <w:rPr>
          <w:rFonts w:eastAsia="Arial" w:cs="Arial"/>
          <w:spacing w:val="1"/>
          <w:sz w:val="24"/>
          <w:szCs w:val="24"/>
          <w:highlight w:val="white"/>
        </w:rPr>
        <w:t xml:space="preserve"> </w:t>
      </w:r>
      <w:r>
        <w:rPr>
          <w:rFonts w:eastAsia="Arial" w:cs="Arial"/>
          <w:sz w:val="24"/>
          <w:szCs w:val="24"/>
          <w:highlight w:val="white"/>
        </w:rPr>
        <w:t xml:space="preserve">termos</w:t>
      </w:r>
      <w:r>
        <w:rPr>
          <w:rFonts w:eastAsia="Arial" w:cs="Arial"/>
          <w:spacing w:val="1"/>
          <w:sz w:val="24"/>
          <w:szCs w:val="24"/>
          <w:highlight w:val="white"/>
        </w:rPr>
        <w:t xml:space="preserve"> </w:t>
      </w:r>
      <w:r>
        <w:rPr>
          <w:rFonts w:eastAsia="Arial" w:cs="Arial"/>
          <w:sz w:val="24"/>
          <w:szCs w:val="24"/>
          <w:highlight w:val="white"/>
        </w:rPr>
        <w:t xml:space="preserve">de</w:t>
      </w:r>
      <w:r>
        <w:rPr>
          <w:rFonts w:eastAsia="Arial" w:cs="Arial"/>
          <w:spacing w:val="1"/>
          <w:sz w:val="24"/>
          <w:szCs w:val="24"/>
          <w:highlight w:val="white"/>
        </w:rPr>
        <w:t xml:space="preserve"> </w:t>
      </w:r>
      <w:r>
        <w:rPr>
          <w:rFonts w:eastAsia="Arial" w:cs="Arial"/>
          <w:sz w:val="24"/>
          <w:szCs w:val="24"/>
          <w:highlight w:val="white"/>
        </w:rPr>
        <w:t xml:space="preserve">abertura e encerramento, onde serão anotados os dados relevantes, discriminando</w:t>
      </w:r>
      <w:r>
        <w:rPr>
          <w:rFonts w:eastAsia="Arial" w:cs="Arial"/>
          <w:spacing w:val="1"/>
          <w:sz w:val="24"/>
          <w:szCs w:val="24"/>
          <w:highlight w:val="white"/>
        </w:rPr>
        <w:t xml:space="preserve"> </w:t>
      </w:r>
      <w:r>
        <w:rPr>
          <w:rFonts w:eastAsia="Arial" w:cs="Arial"/>
          <w:sz w:val="24"/>
          <w:szCs w:val="24"/>
          <w:highlight w:val="white"/>
        </w:rPr>
        <w:t xml:space="preserve">todos</w:t>
      </w:r>
      <w:r>
        <w:rPr>
          <w:rFonts w:eastAsia="Arial" w:cs="Arial"/>
          <w:spacing w:val="1"/>
          <w:sz w:val="24"/>
          <w:szCs w:val="24"/>
          <w:highlight w:val="white"/>
        </w:rPr>
        <w:t xml:space="preserve"> </w:t>
      </w:r>
      <w:r>
        <w:rPr>
          <w:rFonts w:eastAsia="Arial" w:cs="Arial"/>
          <w:sz w:val="24"/>
          <w:szCs w:val="24"/>
          <w:highlight w:val="white"/>
        </w:rPr>
        <w:t xml:space="preserve">os</w:t>
      </w:r>
      <w:r>
        <w:rPr>
          <w:rFonts w:eastAsia="Arial" w:cs="Arial"/>
          <w:spacing w:val="1"/>
          <w:sz w:val="24"/>
          <w:szCs w:val="24"/>
          <w:highlight w:val="white"/>
        </w:rPr>
        <w:t xml:space="preserve"> </w:t>
      </w:r>
      <w:r>
        <w:rPr>
          <w:rFonts w:eastAsia="Arial" w:cs="Arial"/>
          <w:sz w:val="24"/>
          <w:szCs w:val="24"/>
          <w:highlight w:val="white"/>
        </w:rPr>
        <w:t xml:space="preserve">itens</w:t>
      </w:r>
      <w:r>
        <w:rPr>
          <w:rFonts w:eastAsia="Arial" w:cs="Arial"/>
          <w:spacing w:val="1"/>
          <w:sz w:val="24"/>
          <w:szCs w:val="24"/>
          <w:highlight w:val="white"/>
        </w:rPr>
        <w:t xml:space="preserve"> </w:t>
      </w:r>
      <w:r>
        <w:rPr>
          <w:rFonts w:eastAsia="Arial" w:cs="Arial"/>
          <w:sz w:val="24"/>
          <w:szCs w:val="24"/>
          <w:highlight w:val="white"/>
        </w:rPr>
        <w:t xml:space="preserve">revisados,</w:t>
      </w:r>
      <w:r>
        <w:rPr>
          <w:rFonts w:eastAsia="Arial" w:cs="Arial"/>
          <w:spacing w:val="1"/>
          <w:sz w:val="24"/>
          <w:szCs w:val="24"/>
          <w:highlight w:val="white"/>
        </w:rPr>
        <w:t xml:space="preserve"> </w:t>
      </w:r>
      <w:r>
        <w:rPr>
          <w:rFonts w:eastAsia="Arial" w:cs="Arial"/>
          <w:sz w:val="24"/>
          <w:szCs w:val="24"/>
          <w:highlight w:val="white"/>
        </w:rPr>
        <w:t xml:space="preserve">consertados</w:t>
      </w:r>
      <w:r>
        <w:rPr>
          <w:rFonts w:eastAsia="Arial" w:cs="Arial"/>
          <w:spacing w:val="1"/>
          <w:sz w:val="24"/>
          <w:szCs w:val="24"/>
          <w:highlight w:val="white"/>
        </w:rPr>
        <w:t xml:space="preserve"> </w:t>
      </w:r>
      <w:r>
        <w:rPr>
          <w:rFonts w:eastAsia="Arial" w:cs="Arial"/>
          <w:sz w:val="24"/>
          <w:szCs w:val="24"/>
          <w:highlight w:val="white"/>
        </w:rPr>
        <w:t xml:space="preserve">e</w:t>
      </w:r>
      <w:r>
        <w:rPr>
          <w:rFonts w:eastAsia="Arial" w:cs="Arial"/>
          <w:spacing w:val="1"/>
          <w:sz w:val="24"/>
          <w:szCs w:val="24"/>
          <w:highlight w:val="white"/>
        </w:rPr>
        <w:t xml:space="preserve"> </w:t>
      </w:r>
      <w:r>
        <w:rPr>
          <w:rFonts w:eastAsia="Arial" w:cs="Arial"/>
          <w:sz w:val="24"/>
          <w:szCs w:val="24"/>
          <w:highlight w:val="white"/>
        </w:rPr>
        <w:t xml:space="preserve">substituídos,</w:t>
      </w:r>
      <w:r>
        <w:rPr>
          <w:rFonts w:eastAsia="Arial" w:cs="Arial"/>
          <w:spacing w:val="1"/>
          <w:sz w:val="24"/>
          <w:szCs w:val="24"/>
          <w:highlight w:val="white"/>
        </w:rPr>
        <w:t xml:space="preserve"> </w:t>
      </w:r>
      <w:r>
        <w:rPr>
          <w:rFonts w:eastAsia="Arial" w:cs="Arial"/>
          <w:sz w:val="24"/>
          <w:szCs w:val="24"/>
          <w:highlight w:val="white"/>
        </w:rPr>
        <w:t xml:space="preserve">e,</w:t>
      </w:r>
      <w:r>
        <w:rPr>
          <w:rFonts w:eastAsia="Arial" w:cs="Arial"/>
          <w:spacing w:val="1"/>
          <w:sz w:val="24"/>
          <w:szCs w:val="24"/>
          <w:highlight w:val="white"/>
        </w:rPr>
        <w:t xml:space="preserve"> </w:t>
      </w:r>
      <w:r>
        <w:rPr>
          <w:rFonts w:eastAsia="Arial" w:cs="Arial"/>
          <w:sz w:val="24"/>
          <w:szCs w:val="24"/>
          <w:highlight w:val="white"/>
        </w:rPr>
        <w:t xml:space="preserve">quando</w:t>
      </w:r>
      <w:r>
        <w:rPr>
          <w:rFonts w:eastAsia="Arial" w:cs="Arial"/>
          <w:spacing w:val="1"/>
          <w:sz w:val="24"/>
          <w:szCs w:val="24"/>
          <w:highlight w:val="white"/>
        </w:rPr>
        <w:t xml:space="preserve"> </w:t>
      </w:r>
      <w:r>
        <w:rPr>
          <w:rFonts w:eastAsia="Arial" w:cs="Arial"/>
          <w:sz w:val="24"/>
          <w:szCs w:val="24"/>
          <w:highlight w:val="white"/>
        </w:rPr>
        <w:t xml:space="preserve">se</w:t>
      </w:r>
      <w:r>
        <w:rPr>
          <w:rFonts w:eastAsia="Arial" w:cs="Arial"/>
          <w:spacing w:val="1"/>
          <w:sz w:val="24"/>
          <w:szCs w:val="24"/>
          <w:highlight w:val="white"/>
        </w:rPr>
        <w:t xml:space="preserve"> </w:t>
      </w:r>
      <w:r>
        <w:rPr>
          <w:rFonts w:eastAsia="Arial" w:cs="Arial"/>
          <w:sz w:val="24"/>
          <w:szCs w:val="24"/>
          <w:highlight w:val="white"/>
        </w:rPr>
        <w:t xml:space="preserve">tratar</w:t>
      </w:r>
      <w:r>
        <w:rPr>
          <w:rFonts w:eastAsia="Arial" w:cs="Arial"/>
          <w:spacing w:val="1"/>
          <w:sz w:val="24"/>
          <w:szCs w:val="24"/>
          <w:highlight w:val="white"/>
        </w:rPr>
        <w:t xml:space="preserve"> </w:t>
      </w:r>
      <w:r>
        <w:rPr>
          <w:rFonts w:eastAsia="Arial" w:cs="Arial"/>
          <w:sz w:val="24"/>
          <w:szCs w:val="24"/>
          <w:highlight w:val="white"/>
        </w:rPr>
        <w:t xml:space="preserve">de</w:t>
      </w:r>
      <w:r>
        <w:rPr>
          <w:rFonts w:eastAsia="Arial" w:cs="Arial"/>
          <w:spacing w:val="1"/>
          <w:sz w:val="24"/>
          <w:szCs w:val="24"/>
          <w:highlight w:val="white"/>
        </w:rPr>
        <w:t xml:space="preserve"> </w:t>
      </w:r>
      <w:r>
        <w:rPr>
          <w:rFonts w:eastAsia="Arial" w:cs="Arial"/>
          <w:sz w:val="24"/>
          <w:szCs w:val="24"/>
          <w:highlight w:val="white"/>
        </w:rPr>
        <w:t xml:space="preserve">manutenção corretiva, incluir no relatório o início do atendimento do veículo que</w:t>
      </w:r>
      <w:r>
        <w:rPr>
          <w:rFonts w:eastAsia="Arial" w:cs="Arial"/>
          <w:spacing w:val="1"/>
          <w:sz w:val="24"/>
          <w:szCs w:val="24"/>
          <w:highlight w:val="white"/>
        </w:rPr>
        <w:t xml:space="preserve"> </w:t>
      </w:r>
      <w:r>
        <w:rPr>
          <w:rFonts w:eastAsia="Arial" w:cs="Arial"/>
          <w:sz w:val="24"/>
          <w:szCs w:val="24"/>
          <w:highlight w:val="white"/>
        </w:rPr>
        <w:t xml:space="preserve">apresentou defeito.</w:t>
      </w:r>
      <w:r>
        <w:rPr>
          <w:rFonts w:cs="Arial"/>
          <w:sz w:val="24"/>
          <w:szCs w:val="24"/>
          <w:highlight w:val="white"/>
        </w:rPr>
      </w:r>
    </w:p>
    <w:p>
      <w:pPr>
        <w:pStyle w:val="995"/>
        <w:widowControl w:val="false"/>
        <w:pBdr/>
        <w:tabs>
          <w:tab w:val="left" w:leader="none" w:pos="851"/>
          <w:tab w:val="left" w:leader="none" w:pos="1418"/>
        </w:tabs>
        <w:spacing w:before="240" w:line="276" w:lineRule="auto"/>
        <w:ind w:left="0"/>
        <w:contextualSpacing w:val="false"/>
        <w:rPr>
          <w:rFonts w:cs="Arial"/>
          <w:sz w:val="24"/>
          <w:szCs w:val="24"/>
          <w:highlight w:val="white"/>
        </w:rPr>
      </w:pPr>
      <w:r>
        <w:rPr>
          <w:rFonts w:eastAsia="Arial" w:cs="Arial"/>
          <w:sz w:val="24"/>
          <w:szCs w:val="24"/>
          <w:highlight w:val="white"/>
        </w:rPr>
        <w:t xml:space="preserve">A Licitante vencedora somente poderá subcontratar a prestação dos serviços</w:t>
      </w:r>
      <w:r>
        <w:rPr>
          <w:rFonts w:eastAsia="Arial" w:cs="Arial"/>
          <w:spacing w:val="1"/>
          <w:sz w:val="24"/>
          <w:szCs w:val="24"/>
          <w:highlight w:val="white"/>
        </w:rPr>
        <w:t xml:space="preserve"> </w:t>
      </w:r>
      <w:r>
        <w:rPr>
          <w:rFonts w:eastAsia="Arial" w:cs="Arial"/>
          <w:sz w:val="24"/>
          <w:szCs w:val="24"/>
          <w:highlight w:val="white"/>
        </w:rPr>
        <w:t xml:space="preserve">que</w:t>
      </w:r>
      <w:r>
        <w:rPr>
          <w:rFonts w:eastAsia="Arial" w:cs="Arial"/>
          <w:spacing w:val="1"/>
          <w:sz w:val="24"/>
          <w:szCs w:val="24"/>
          <w:highlight w:val="white"/>
        </w:rPr>
        <w:t xml:space="preserve"> </w:t>
      </w:r>
      <w:r>
        <w:rPr>
          <w:rFonts w:eastAsia="Arial" w:cs="Arial"/>
          <w:sz w:val="24"/>
          <w:szCs w:val="24"/>
          <w:highlight w:val="white"/>
        </w:rPr>
        <w:t xml:space="preserve">comprovadamente</w:t>
      </w:r>
      <w:r>
        <w:rPr>
          <w:rFonts w:eastAsia="Arial" w:cs="Arial"/>
          <w:spacing w:val="1"/>
          <w:sz w:val="24"/>
          <w:szCs w:val="24"/>
          <w:highlight w:val="white"/>
        </w:rPr>
        <w:t xml:space="preserve"> </w:t>
      </w:r>
      <w:r>
        <w:rPr>
          <w:rFonts w:eastAsia="Arial" w:cs="Arial"/>
          <w:sz w:val="24"/>
          <w:szCs w:val="24"/>
          <w:highlight w:val="white"/>
        </w:rPr>
        <w:t xml:space="preserve">não</w:t>
      </w:r>
      <w:r>
        <w:rPr>
          <w:rFonts w:eastAsia="Arial" w:cs="Arial"/>
          <w:spacing w:val="1"/>
          <w:sz w:val="24"/>
          <w:szCs w:val="24"/>
          <w:highlight w:val="white"/>
        </w:rPr>
        <w:t xml:space="preserve"> </w:t>
      </w:r>
      <w:r>
        <w:rPr>
          <w:rFonts w:eastAsia="Arial" w:cs="Arial"/>
          <w:sz w:val="24"/>
          <w:szCs w:val="24"/>
          <w:highlight w:val="white"/>
        </w:rPr>
        <w:t xml:space="preserve">possa</w:t>
      </w:r>
      <w:r>
        <w:rPr>
          <w:rFonts w:eastAsia="Arial" w:cs="Arial"/>
          <w:spacing w:val="1"/>
          <w:sz w:val="24"/>
          <w:szCs w:val="24"/>
          <w:highlight w:val="white"/>
        </w:rPr>
        <w:t xml:space="preserve"> </w:t>
      </w:r>
      <w:r>
        <w:rPr>
          <w:rFonts w:eastAsia="Arial" w:cs="Arial"/>
          <w:sz w:val="24"/>
          <w:szCs w:val="24"/>
          <w:highlight w:val="white"/>
        </w:rPr>
        <w:t xml:space="preserve">executar,</w:t>
      </w:r>
      <w:r>
        <w:rPr>
          <w:rFonts w:eastAsia="Arial" w:cs="Arial"/>
          <w:spacing w:val="1"/>
          <w:sz w:val="24"/>
          <w:szCs w:val="24"/>
          <w:highlight w:val="white"/>
        </w:rPr>
        <w:t xml:space="preserve"> </w:t>
      </w:r>
      <w:r>
        <w:rPr>
          <w:rFonts w:eastAsia="Arial" w:cs="Arial"/>
          <w:sz w:val="24"/>
          <w:szCs w:val="24"/>
          <w:highlight w:val="white"/>
        </w:rPr>
        <w:t xml:space="preserve">mediante</w:t>
      </w:r>
      <w:r>
        <w:rPr>
          <w:rFonts w:eastAsia="Arial" w:cs="Arial"/>
          <w:spacing w:val="1"/>
          <w:sz w:val="24"/>
          <w:szCs w:val="24"/>
          <w:highlight w:val="white"/>
        </w:rPr>
        <w:t xml:space="preserve"> </w:t>
      </w:r>
      <w:r>
        <w:rPr>
          <w:rFonts w:eastAsia="Arial" w:cs="Arial"/>
          <w:sz w:val="24"/>
          <w:szCs w:val="24"/>
          <w:highlight w:val="white"/>
        </w:rPr>
        <w:t xml:space="preserve">prévia</w:t>
      </w:r>
      <w:r>
        <w:rPr>
          <w:rFonts w:eastAsia="Arial" w:cs="Arial"/>
          <w:spacing w:val="1"/>
          <w:sz w:val="24"/>
          <w:szCs w:val="24"/>
          <w:highlight w:val="white"/>
        </w:rPr>
        <w:t xml:space="preserve"> </w:t>
      </w:r>
      <w:r>
        <w:rPr>
          <w:rFonts w:eastAsia="Arial" w:cs="Arial"/>
          <w:sz w:val="24"/>
          <w:szCs w:val="24"/>
          <w:highlight w:val="white"/>
        </w:rPr>
        <w:t xml:space="preserve">autorização</w:t>
      </w:r>
      <w:r>
        <w:rPr>
          <w:rFonts w:eastAsia="Arial" w:cs="Arial"/>
          <w:spacing w:val="1"/>
          <w:sz w:val="24"/>
          <w:szCs w:val="24"/>
          <w:highlight w:val="white"/>
        </w:rPr>
        <w:t xml:space="preserve"> </w:t>
      </w:r>
      <w:r>
        <w:rPr>
          <w:rFonts w:eastAsia="Arial" w:cs="Arial"/>
          <w:sz w:val="24"/>
          <w:szCs w:val="24"/>
          <w:highlight w:val="white"/>
        </w:rPr>
        <w:t xml:space="preserve">da</w:t>
      </w:r>
      <w:r>
        <w:rPr>
          <w:rFonts w:eastAsia="Arial" w:cs="Arial"/>
          <w:spacing w:val="1"/>
          <w:sz w:val="24"/>
          <w:szCs w:val="24"/>
          <w:highlight w:val="white"/>
        </w:rPr>
        <w:t xml:space="preserve"> </w:t>
      </w:r>
      <w:r>
        <w:rPr>
          <w:rFonts w:eastAsia="Arial" w:cs="Arial"/>
          <w:sz w:val="24"/>
          <w:szCs w:val="24"/>
          <w:highlight w:val="white"/>
        </w:rPr>
        <w:t xml:space="preserve">Secretaria Demandante. Neste caso, a Contratada assumirá total responsabilidade</w:t>
      </w:r>
      <w:r>
        <w:rPr>
          <w:rFonts w:eastAsia="Arial" w:cs="Arial"/>
          <w:spacing w:val="1"/>
          <w:sz w:val="24"/>
          <w:szCs w:val="24"/>
          <w:highlight w:val="white"/>
        </w:rPr>
        <w:t xml:space="preserve"> </w:t>
      </w:r>
      <w:r>
        <w:rPr>
          <w:rFonts w:eastAsia="Arial" w:cs="Arial"/>
          <w:sz w:val="24"/>
          <w:szCs w:val="24"/>
          <w:highlight w:val="white"/>
        </w:rPr>
        <w:t xml:space="preserve">pela</w:t>
      </w:r>
      <w:r>
        <w:rPr>
          <w:rFonts w:eastAsia="Arial" w:cs="Arial"/>
          <w:spacing w:val="-1"/>
          <w:sz w:val="24"/>
          <w:szCs w:val="24"/>
          <w:highlight w:val="white"/>
        </w:rPr>
        <w:t xml:space="preserve"> </w:t>
      </w:r>
      <w:r>
        <w:rPr>
          <w:rFonts w:eastAsia="Arial" w:cs="Arial"/>
          <w:sz w:val="24"/>
          <w:szCs w:val="24"/>
          <w:highlight w:val="white"/>
        </w:rPr>
        <w:t xml:space="preserve">qualidade</w:t>
      </w:r>
      <w:r>
        <w:rPr>
          <w:rFonts w:eastAsia="Arial" w:cs="Arial"/>
          <w:spacing w:val="-2"/>
          <w:sz w:val="24"/>
          <w:szCs w:val="24"/>
          <w:highlight w:val="white"/>
        </w:rPr>
        <w:t xml:space="preserve"> </w:t>
      </w:r>
      <w:r>
        <w:rPr>
          <w:rFonts w:eastAsia="Arial" w:cs="Arial"/>
          <w:sz w:val="24"/>
          <w:szCs w:val="24"/>
          <w:highlight w:val="white"/>
        </w:rPr>
        <w:t xml:space="preserve">dos</w:t>
      </w:r>
      <w:r>
        <w:rPr>
          <w:rFonts w:eastAsia="Arial" w:cs="Arial"/>
          <w:spacing w:val="-3"/>
          <w:sz w:val="24"/>
          <w:szCs w:val="24"/>
          <w:highlight w:val="white"/>
        </w:rPr>
        <w:t xml:space="preserve"> </w:t>
      </w:r>
      <w:r>
        <w:rPr>
          <w:rFonts w:eastAsia="Arial" w:cs="Arial"/>
          <w:sz w:val="24"/>
          <w:szCs w:val="24"/>
          <w:highlight w:val="white"/>
        </w:rPr>
        <w:t xml:space="preserve">serviços prestados.</w:t>
      </w:r>
      <w:r>
        <w:rPr>
          <w:rFonts w:cs="Arial"/>
          <w:sz w:val="24"/>
          <w:szCs w:val="24"/>
          <w:highlight w:val="white"/>
        </w:rPr>
      </w:r>
    </w:p>
    <w:p>
      <w:pPr>
        <w:pStyle w:val="995"/>
        <w:widowControl w:val="false"/>
        <w:pBdr/>
        <w:tabs>
          <w:tab w:val="left" w:leader="none" w:pos="851"/>
          <w:tab w:val="left" w:leader="none" w:pos="1418"/>
        </w:tabs>
        <w:spacing w:before="240" w:line="276" w:lineRule="auto"/>
        <w:ind w:left="0"/>
        <w:contextualSpacing w:val="false"/>
        <w:rPr>
          <w:rFonts w:cs="Arial"/>
          <w:sz w:val="24"/>
          <w:szCs w:val="24"/>
          <w:highlight w:val="white"/>
        </w:rPr>
      </w:pPr>
      <w:r>
        <w:rPr>
          <w:rFonts w:eastAsia="Arial" w:cs="Arial"/>
          <w:sz w:val="24"/>
          <w:szCs w:val="24"/>
          <w:highlight w:val="white"/>
        </w:rPr>
        <w:t xml:space="preserve">Preliminarmente</w:t>
      </w:r>
      <w:r>
        <w:rPr>
          <w:rFonts w:eastAsia="Arial" w:cs="Arial"/>
          <w:spacing w:val="1"/>
          <w:sz w:val="24"/>
          <w:szCs w:val="24"/>
          <w:highlight w:val="white"/>
        </w:rPr>
        <w:t xml:space="preserve"> </w:t>
      </w:r>
      <w:r>
        <w:rPr>
          <w:rFonts w:eastAsia="Arial" w:cs="Arial"/>
          <w:sz w:val="24"/>
          <w:szCs w:val="24"/>
          <w:highlight w:val="white"/>
        </w:rPr>
        <w:t xml:space="preserve">à</w:t>
      </w:r>
      <w:r>
        <w:rPr>
          <w:rFonts w:eastAsia="Arial" w:cs="Arial"/>
          <w:spacing w:val="1"/>
          <w:sz w:val="24"/>
          <w:szCs w:val="24"/>
          <w:highlight w:val="white"/>
        </w:rPr>
        <w:t xml:space="preserve"> </w:t>
      </w:r>
      <w:r>
        <w:rPr>
          <w:rFonts w:eastAsia="Arial" w:cs="Arial"/>
          <w:sz w:val="24"/>
          <w:szCs w:val="24"/>
          <w:highlight w:val="white"/>
        </w:rPr>
        <w:t xml:space="preserve">execução</w:t>
      </w:r>
      <w:r>
        <w:rPr>
          <w:rFonts w:eastAsia="Arial" w:cs="Arial"/>
          <w:spacing w:val="1"/>
          <w:sz w:val="24"/>
          <w:szCs w:val="24"/>
          <w:highlight w:val="white"/>
        </w:rPr>
        <w:t xml:space="preserve"> </w:t>
      </w:r>
      <w:r>
        <w:rPr>
          <w:rFonts w:eastAsia="Arial" w:cs="Arial"/>
          <w:sz w:val="24"/>
          <w:szCs w:val="24"/>
          <w:highlight w:val="white"/>
        </w:rPr>
        <w:t xml:space="preserve">dos</w:t>
      </w:r>
      <w:r>
        <w:rPr>
          <w:rFonts w:eastAsia="Arial" w:cs="Arial"/>
          <w:spacing w:val="1"/>
          <w:sz w:val="24"/>
          <w:szCs w:val="24"/>
          <w:highlight w:val="white"/>
        </w:rPr>
        <w:t xml:space="preserve"> </w:t>
      </w:r>
      <w:r>
        <w:rPr>
          <w:rFonts w:eastAsia="Arial" w:cs="Arial"/>
          <w:sz w:val="24"/>
          <w:szCs w:val="24"/>
          <w:highlight w:val="white"/>
        </w:rPr>
        <w:t xml:space="preserve">serviços</w:t>
      </w:r>
      <w:r>
        <w:rPr>
          <w:rFonts w:eastAsia="Arial" w:cs="Arial"/>
          <w:spacing w:val="1"/>
          <w:sz w:val="24"/>
          <w:szCs w:val="24"/>
          <w:highlight w:val="white"/>
        </w:rPr>
        <w:t xml:space="preserve"> </w:t>
      </w:r>
      <w:r>
        <w:rPr>
          <w:rFonts w:eastAsia="Arial" w:cs="Arial"/>
          <w:sz w:val="24"/>
          <w:szCs w:val="24"/>
          <w:highlight w:val="white"/>
        </w:rPr>
        <w:t xml:space="preserve">que</w:t>
      </w:r>
      <w:r>
        <w:rPr>
          <w:rFonts w:eastAsia="Arial" w:cs="Arial"/>
          <w:spacing w:val="1"/>
          <w:sz w:val="24"/>
          <w:szCs w:val="24"/>
          <w:highlight w:val="white"/>
        </w:rPr>
        <w:t xml:space="preserve"> </w:t>
      </w:r>
      <w:r>
        <w:rPr>
          <w:rFonts w:eastAsia="Arial" w:cs="Arial"/>
          <w:sz w:val="24"/>
          <w:szCs w:val="24"/>
          <w:highlight w:val="white"/>
        </w:rPr>
        <w:t xml:space="preserve">a</w:t>
      </w:r>
      <w:r>
        <w:rPr>
          <w:rFonts w:eastAsia="Arial" w:cs="Arial"/>
          <w:spacing w:val="1"/>
          <w:sz w:val="24"/>
          <w:szCs w:val="24"/>
          <w:highlight w:val="white"/>
        </w:rPr>
        <w:t xml:space="preserve"> </w:t>
      </w:r>
      <w:r>
        <w:rPr>
          <w:rFonts w:eastAsia="Arial" w:cs="Arial"/>
          <w:sz w:val="24"/>
          <w:szCs w:val="24"/>
          <w:highlight w:val="white"/>
        </w:rPr>
        <w:t xml:space="preserve">licitante</w:t>
      </w:r>
      <w:r>
        <w:rPr>
          <w:rFonts w:eastAsia="Arial" w:cs="Arial"/>
          <w:spacing w:val="1"/>
          <w:sz w:val="24"/>
          <w:szCs w:val="24"/>
          <w:highlight w:val="white"/>
        </w:rPr>
        <w:t xml:space="preserve"> </w:t>
      </w:r>
      <w:r>
        <w:rPr>
          <w:rFonts w:eastAsia="Arial" w:cs="Arial"/>
          <w:sz w:val="24"/>
          <w:szCs w:val="24"/>
          <w:highlight w:val="white"/>
        </w:rPr>
        <w:t xml:space="preserve">vencedora</w:t>
      </w:r>
      <w:r>
        <w:rPr>
          <w:rFonts w:eastAsia="Arial" w:cs="Arial"/>
          <w:spacing w:val="1"/>
          <w:sz w:val="24"/>
          <w:szCs w:val="24"/>
          <w:highlight w:val="white"/>
        </w:rPr>
        <w:t xml:space="preserve"> </w:t>
      </w:r>
      <w:r>
        <w:rPr>
          <w:rFonts w:eastAsia="Arial" w:cs="Arial"/>
          <w:sz w:val="24"/>
          <w:szCs w:val="24"/>
          <w:highlight w:val="white"/>
        </w:rPr>
        <w:t xml:space="preserve">comprovadamente não possa executar, deverá esta apresentar pelo menos três</w:t>
      </w:r>
      <w:r>
        <w:rPr>
          <w:rFonts w:eastAsia="Arial" w:cs="Arial"/>
          <w:spacing w:val="1"/>
          <w:sz w:val="24"/>
          <w:szCs w:val="24"/>
          <w:highlight w:val="white"/>
        </w:rPr>
        <w:t xml:space="preserve"> </w:t>
      </w:r>
      <w:r>
        <w:rPr>
          <w:rFonts w:eastAsia="Arial" w:cs="Arial"/>
          <w:sz w:val="24"/>
          <w:szCs w:val="24"/>
          <w:highlight w:val="white"/>
        </w:rPr>
        <w:t xml:space="preserve">orçamentos discriminativos, quantitativos e de preços de empresas do ramo,</w:t>
      </w:r>
      <w:r>
        <w:rPr>
          <w:rFonts w:eastAsia="Arial" w:cs="Arial"/>
          <w:spacing w:val="1"/>
          <w:sz w:val="24"/>
          <w:szCs w:val="24"/>
          <w:highlight w:val="white"/>
        </w:rPr>
        <w:t xml:space="preserve"> </w:t>
      </w:r>
      <w:r>
        <w:rPr>
          <w:rFonts w:eastAsia="Arial" w:cs="Arial"/>
          <w:sz w:val="24"/>
          <w:szCs w:val="24"/>
          <w:highlight w:val="white"/>
        </w:rPr>
        <w:t xml:space="preserve">para</w:t>
      </w:r>
      <w:r>
        <w:rPr>
          <w:rFonts w:eastAsia="Arial" w:cs="Arial"/>
          <w:spacing w:val="-1"/>
          <w:sz w:val="24"/>
          <w:szCs w:val="24"/>
          <w:highlight w:val="white"/>
        </w:rPr>
        <w:t xml:space="preserve"> </w:t>
      </w:r>
      <w:r>
        <w:rPr>
          <w:rFonts w:eastAsia="Arial" w:cs="Arial"/>
          <w:sz w:val="24"/>
          <w:szCs w:val="24"/>
          <w:highlight w:val="white"/>
        </w:rPr>
        <w:t xml:space="preserve">análise</w:t>
      </w:r>
      <w:r>
        <w:rPr>
          <w:rFonts w:eastAsia="Arial" w:cs="Arial"/>
          <w:spacing w:val="-3"/>
          <w:sz w:val="24"/>
          <w:szCs w:val="24"/>
          <w:highlight w:val="white"/>
        </w:rPr>
        <w:t xml:space="preserve"> </w:t>
      </w:r>
      <w:r>
        <w:rPr>
          <w:rFonts w:eastAsia="Arial" w:cs="Arial"/>
          <w:sz w:val="24"/>
          <w:szCs w:val="24"/>
          <w:highlight w:val="white"/>
        </w:rPr>
        <w:t xml:space="preserve">e</w:t>
      </w:r>
      <w:r>
        <w:rPr>
          <w:rFonts w:eastAsia="Arial" w:cs="Arial"/>
          <w:spacing w:val="-1"/>
          <w:sz w:val="24"/>
          <w:szCs w:val="24"/>
          <w:highlight w:val="white"/>
        </w:rPr>
        <w:t xml:space="preserve"> </w:t>
      </w:r>
      <w:r>
        <w:rPr>
          <w:rFonts w:eastAsia="Arial" w:cs="Arial"/>
          <w:sz w:val="24"/>
          <w:szCs w:val="24"/>
          <w:highlight w:val="white"/>
        </w:rPr>
        <w:t xml:space="preserve">aprovação do</w:t>
      </w:r>
      <w:r>
        <w:rPr>
          <w:rFonts w:eastAsia="Arial" w:cs="Arial"/>
          <w:spacing w:val="-1"/>
          <w:sz w:val="24"/>
          <w:szCs w:val="24"/>
          <w:highlight w:val="white"/>
        </w:rPr>
        <w:t xml:space="preserve"> </w:t>
      </w:r>
      <w:r>
        <w:rPr>
          <w:rFonts w:eastAsia="Arial" w:cs="Arial"/>
          <w:sz w:val="24"/>
          <w:szCs w:val="24"/>
          <w:highlight w:val="white"/>
        </w:rPr>
        <w:t xml:space="preserve">representante</w:t>
      </w:r>
      <w:r>
        <w:rPr>
          <w:rFonts w:eastAsia="Arial" w:cs="Arial"/>
          <w:spacing w:val="-1"/>
          <w:sz w:val="24"/>
          <w:szCs w:val="24"/>
          <w:highlight w:val="white"/>
        </w:rPr>
        <w:t xml:space="preserve"> </w:t>
      </w:r>
      <w:r>
        <w:rPr>
          <w:rFonts w:eastAsia="Arial" w:cs="Arial"/>
          <w:sz w:val="24"/>
          <w:szCs w:val="24"/>
          <w:highlight w:val="white"/>
        </w:rPr>
        <w:t xml:space="preserve">da</w:t>
      </w:r>
      <w:r>
        <w:rPr>
          <w:rFonts w:eastAsia="Arial" w:cs="Arial"/>
          <w:spacing w:val="-1"/>
          <w:sz w:val="24"/>
          <w:szCs w:val="24"/>
          <w:highlight w:val="white"/>
        </w:rPr>
        <w:t xml:space="preserve"> </w:t>
      </w:r>
      <w:r>
        <w:rPr>
          <w:rFonts w:eastAsia="Arial" w:cs="Arial"/>
          <w:sz w:val="24"/>
          <w:szCs w:val="24"/>
          <w:highlight w:val="white"/>
        </w:rPr>
        <w:t xml:space="preserve">Secretaria Demandante.</w:t>
      </w:r>
      <w:r>
        <w:rPr>
          <w:rFonts w:cs="Arial"/>
          <w:sz w:val="24"/>
          <w:szCs w:val="24"/>
          <w:highlight w:val="white"/>
        </w:rPr>
      </w:r>
    </w:p>
    <w:p>
      <w:pPr>
        <w:pStyle w:val="995"/>
        <w:widowControl w:val="false"/>
        <w:pBdr/>
        <w:tabs>
          <w:tab w:val="left" w:leader="none" w:pos="851"/>
          <w:tab w:val="left" w:leader="none" w:pos="1418"/>
        </w:tabs>
        <w:spacing w:before="240" w:line="276" w:lineRule="auto"/>
        <w:ind w:left="0"/>
        <w:contextualSpacing w:val="false"/>
        <w:rPr>
          <w:rFonts w:cs="Arial"/>
          <w:sz w:val="24"/>
          <w:szCs w:val="24"/>
          <w:highlight w:val="white"/>
        </w:rPr>
      </w:pPr>
      <w:r>
        <w:rPr>
          <w:rFonts w:eastAsia="Arial" w:cs="Arial"/>
          <w:sz w:val="24"/>
          <w:szCs w:val="24"/>
          <w:highlight w:val="white"/>
        </w:rPr>
        <w:t xml:space="preserve">Quando houver substituição de peças e de acessórios, a Licitante vencedora</w:t>
      </w:r>
      <w:r>
        <w:rPr>
          <w:rFonts w:eastAsia="Arial" w:cs="Arial"/>
          <w:spacing w:val="1"/>
          <w:sz w:val="24"/>
          <w:szCs w:val="24"/>
          <w:highlight w:val="white"/>
        </w:rPr>
        <w:t xml:space="preserve"> </w:t>
      </w:r>
      <w:r>
        <w:rPr>
          <w:rFonts w:eastAsia="Arial" w:cs="Arial"/>
          <w:sz w:val="24"/>
          <w:szCs w:val="24"/>
          <w:highlight w:val="white"/>
        </w:rPr>
        <w:t xml:space="preserve">deverá apresentar, no momento da entrega do veículo, documentos que comprovem </w:t>
      </w:r>
      <w:r>
        <w:rPr>
          <w:rFonts w:eastAsia="Arial" w:cs="Arial"/>
          <w:spacing w:val="-64"/>
          <w:sz w:val="24"/>
          <w:szCs w:val="24"/>
          <w:highlight w:val="white"/>
        </w:rPr>
        <w:t xml:space="preserve">a</w:t>
      </w:r>
      <w:r>
        <w:rPr>
          <w:rFonts w:eastAsia="Arial" w:cs="Arial"/>
          <w:spacing w:val="-1"/>
          <w:sz w:val="24"/>
          <w:szCs w:val="24"/>
          <w:highlight w:val="white"/>
        </w:rPr>
        <w:t xml:space="preserve">  </w:t>
      </w:r>
      <w:r>
        <w:rPr>
          <w:rFonts w:eastAsia="Arial" w:cs="Arial"/>
          <w:sz w:val="24"/>
          <w:szCs w:val="24"/>
          <w:highlight w:val="white"/>
        </w:rPr>
        <w:t xml:space="preserve">procedência</w:t>
      </w:r>
      <w:r>
        <w:rPr>
          <w:rFonts w:eastAsia="Arial" w:cs="Arial"/>
          <w:sz w:val="24"/>
          <w:szCs w:val="24"/>
          <w:highlight w:val="white"/>
        </w:rPr>
        <w:t xml:space="preserve"> das peças</w:t>
      </w:r>
      <w:r>
        <w:rPr>
          <w:rFonts w:eastAsia="Arial" w:cs="Arial"/>
          <w:spacing w:val="-1"/>
          <w:sz w:val="24"/>
          <w:szCs w:val="24"/>
          <w:highlight w:val="white"/>
        </w:rPr>
        <w:t xml:space="preserve"> </w:t>
      </w:r>
      <w:r>
        <w:rPr>
          <w:rFonts w:eastAsia="Arial" w:cs="Arial"/>
          <w:sz w:val="24"/>
          <w:szCs w:val="24"/>
          <w:highlight w:val="white"/>
        </w:rPr>
        <w:t xml:space="preserve">e</w:t>
      </w:r>
      <w:r>
        <w:rPr>
          <w:rFonts w:eastAsia="Arial" w:cs="Arial"/>
          <w:spacing w:val="-1"/>
          <w:sz w:val="24"/>
          <w:szCs w:val="24"/>
          <w:highlight w:val="white"/>
        </w:rPr>
        <w:t xml:space="preserve"> </w:t>
      </w:r>
      <w:r>
        <w:rPr>
          <w:rFonts w:eastAsia="Arial" w:cs="Arial"/>
          <w:sz w:val="24"/>
          <w:szCs w:val="24"/>
          <w:highlight w:val="white"/>
        </w:rPr>
        <w:t xml:space="preserve">dos</w:t>
      </w:r>
      <w:r>
        <w:rPr>
          <w:rFonts w:eastAsia="Arial" w:cs="Arial"/>
          <w:spacing w:val="-2"/>
          <w:sz w:val="24"/>
          <w:szCs w:val="24"/>
          <w:highlight w:val="white"/>
        </w:rPr>
        <w:t xml:space="preserve"> </w:t>
      </w:r>
      <w:r>
        <w:rPr>
          <w:rFonts w:eastAsia="Arial" w:cs="Arial"/>
          <w:sz w:val="24"/>
          <w:szCs w:val="24"/>
          <w:highlight w:val="white"/>
        </w:rPr>
        <w:t xml:space="preserve">acessórios</w:t>
      </w:r>
      <w:r>
        <w:rPr>
          <w:rFonts w:eastAsia="Arial" w:cs="Arial"/>
          <w:spacing w:val="-3"/>
          <w:sz w:val="24"/>
          <w:szCs w:val="24"/>
          <w:highlight w:val="white"/>
        </w:rPr>
        <w:t xml:space="preserve"> </w:t>
      </w:r>
      <w:r>
        <w:rPr>
          <w:rFonts w:eastAsia="Arial" w:cs="Arial"/>
          <w:sz w:val="24"/>
          <w:szCs w:val="24"/>
          <w:highlight w:val="white"/>
        </w:rPr>
        <w:t xml:space="preserve">adquiridos.</w:t>
      </w:r>
      <w:r>
        <w:rPr>
          <w:rFonts w:cs="Arial"/>
          <w:sz w:val="24"/>
          <w:szCs w:val="24"/>
          <w:highlight w:val="white"/>
        </w:rPr>
      </w:r>
    </w:p>
    <w:p>
      <w:pPr>
        <w:pBdr/>
        <w:tabs>
          <w:tab w:val="left" w:leader="none" w:pos="-993"/>
          <w:tab w:val="left" w:leader="none" w:pos="-709"/>
        </w:tabs>
        <w:spacing w:line="276" w:lineRule="auto"/>
        <w:ind/>
        <w:rPr>
          <w:rFonts w:cs="Arial"/>
          <w:sz w:val="24"/>
          <w:szCs w:val="24"/>
          <w:highlight w:val="white"/>
        </w:rPr>
      </w:pPr>
      <w:r>
        <w:rPr>
          <w:rFonts w:cs="Arial"/>
          <w:sz w:val="24"/>
          <w:szCs w:val="24"/>
          <w:highlight w:val="white"/>
        </w:rPr>
      </w:r>
      <w:r>
        <w:rPr>
          <w:rFonts w:cs="Arial"/>
          <w:sz w:val="24"/>
          <w:szCs w:val="24"/>
          <w:highlight w:val="white"/>
        </w:rPr>
      </w:r>
    </w:p>
    <w:p>
      <w:pPr>
        <w:pBdr/>
        <w:spacing w:line="276" w:lineRule="auto"/>
        <w:ind/>
        <w:rPr>
          <w:rFonts w:cs="Arial"/>
          <w:color w:val="000000"/>
          <w:sz w:val="24"/>
          <w:szCs w:val="24"/>
          <w:highlight w:val="white"/>
        </w:rPr>
      </w:pPr>
      <w:r>
        <w:rPr>
          <w:rFonts w:eastAsia="Arial" w:cs="Arial"/>
          <w:color w:val="000000"/>
          <w:sz w:val="24"/>
          <w:szCs w:val="24"/>
          <w:highlight w:val="white"/>
        </w:rPr>
        <w:t xml:space="preserve">Eventual pedido de prorrogação do prazo para entrega do orçamento ou execução do serviço deverá ser encaminhado previamente à Secretaria Municipal de Transportes, por meio do e-mail:</w:t>
      </w:r>
      <w:r>
        <w:rPr>
          <w:rFonts w:eastAsia="Arial" w:cs="Arial"/>
          <w:sz w:val="24"/>
          <w:szCs w:val="24"/>
          <w:highlight w:val="white"/>
        </w:rPr>
        <w:t xml:space="preserve"> </w:t>
      </w:r>
      <w:hyperlink r:id="rId64" w:tooltip="mailto:seceducacao@riodasflores.rj.gov.br" w:history="1">
        <w:r>
          <w:rPr>
            <w:rStyle w:val="953"/>
            <w:rFonts w:eastAsia="Arial" w:cs="Arial"/>
            <w:sz w:val="24"/>
            <w:szCs w:val="24"/>
            <w:highlight w:val="white"/>
          </w:rPr>
          <w:t xml:space="preserve">sectransportesrf@</w:t>
        </w:r>
      </w:hyperlink>
      <w:r>
        <w:rPr>
          <w:rFonts w:eastAsia="Arial" w:cs="Arial"/>
          <w:color w:val="000000"/>
          <w:sz w:val="24"/>
          <w:szCs w:val="24"/>
          <w:highlight w:val="white"/>
        </w:rPr>
        <w:t xml:space="preserve">gmail.com.</w:t>
      </w:r>
      <w:r>
        <w:rPr>
          <w:rFonts w:cs="Arial"/>
          <w:color w:val="000000"/>
          <w:sz w:val="24"/>
          <w:szCs w:val="24"/>
          <w:highlight w:val="white"/>
        </w:rPr>
      </w:r>
    </w:p>
    <w:p>
      <w:pPr>
        <w:pBdr/>
        <w:spacing w:line="276" w:lineRule="auto"/>
        <w:ind/>
        <w:rPr>
          <w:rFonts w:cs="Arial"/>
          <w:b/>
          <w:sz w:val="24"/>
          <w:szCs w:val="24"/>
          <w:highlight w:val="white"/>
        </w:rPr>
      </w:pPr>
      <w:r>
        <w:rPr>
          <w:rFonts w:cs="Arial"/>
          <w:b/>
          <w:sz w:val="24"/>
          <w:szCs w:val="24"/>
          <w:highlight w:val="white"/>
        </w:rPr>
      </w:r>
      <w:r>
        <w:rPr>
          <w:rFonts w:cs="Arial"/>
          <w:b/>
          <w:sz w:val="24"/>
          <w:szCs w:val="24"/>
          <w:highlight w:val="white"/>
        </w:rPr>
      </w:r>
    </w:p>
    <w:p>
      <w:pPr>
        <w:pStyle w:val="896"/>
        <w:pBdr/>
        <w:tabs>
          <w:tab w:val="left" w:leader="none" w:pos="567"/>
        </w:tabs>
        <w:spacing w:line="276" w:lineRule="auto"/>
        <w:ind/>
        <w:jc w:val="both"/>
        <w:rPr>
          <w:rFonts w:ascii="Arial" w:hAnsi="Arial" w:cs="Arial"/>
          <w:sz w:val="24"/>
          <w:szCs w:val="24"/>
        </w:rPr>
      </w:pPr>
      <w:r>
        <w:rPr>
          <w:rFonts w:ascii="Arial" w:hAnsi="Arial" w:eastAsia="Arial" w:cs="Arial"/>
          <w:sz w:val="24"/>
          <w:szCs w:val="24"/>
        </w:rPr>
        <w:t xml:space="preserve">7.2- QUALIFICAÇÃO</w:t>
      </w:r>
      <w:r>
        <w:rPr>
          <w:rFonts w:ascii="Arial" w:hAnsi="Arial" w:eastAsia="Arial" w:cs="Arial"/>
          <w:spacing w:val="-4"/>
          <w:sz w:val="24"/>
          <w:szCs w:val="24"/>
        </w:rPr>
        <w:t xml:space="preserve"> </w:t>
      </w:r>
      <w:r>
        <w:rPr>
          <w:rFonts w:ascii="Arial" w:hAnsi="Arial" w:eastAsia="Arial" w:cs="Arial"/>
          <w:sz w:val="24"/>
          <w:szCs w:val="24"/>
        </w:rPr>
        <w:t xml:space="preserve">TÉCNICA,</w:t>
      </w:r>
      <w:r>
        <w:rPr>
          <w:rFonts w:ascii="Arial" w:hAnsi="Arial" w:eastAsia="Arial" w:cs="Arial"/>
          <w:spacing w:val="-4"/>
          <w:sz w:val="24"/>
          <w:szCs w:val="24"/>
        </w:rPr>
        <w:t xml:space="preserve"> </w:t>
      </w:r>
      <w:r>
        <w:rPr>
          <w:rFonts w:ascii="Arial" w:hAnsi="Arial" w:eastAsia="Arial" w:cs="Arial"/>
          <w:sz w:val="24"/>
          <w:szCs w:val="24"/>
        </w:rPr>
        <w:t xml:space="preserve">INSTALAÇÕES</w:t>
      </w:r>
      <w:r>
        <w:rPr>
          <w:rFonts w:ascii="Arial" w:hAnsi="Arial" w:eastAsia="Arial" w:cs="Arial"/>
          <w:spacing w:val="-3"/>
          <w:sz w:val="24"/>
          <w:szCs w:val="24"/>
        </w:rPr>
        <w:t xml:space="preserve"> </w:t>
      </w:r>
      <w:r>
        <w:rPr>
          <w:rFonts w:ascii="Arial" w:hAnsi="Arial" w:eastAsia="Arial" w:cs="Arial"/>
          <w:sz w:val="24"/>
          <w:szCs w:val="24"/>
        </w:rPr>
        <w:t xml:space="preserve">E</w:t>
      </w:r>
      <w:r>
        <w:rPr>
          <w:rFonts w:ascii="Arial" w:hAnsi="Arial" w:eastAsia="Arial" w:cs="Arial"/>
          <w:spacing w:val="-5"/>
          <w:sz w:val="24"/>
          <w:szCs w:val="24"/>
        </w:rPr>
        <w:t xml:space="preserve"> </w:t>
      </w:r>
      <w:r>
        <w:rPr>
          <w:rFonts w:ascii="Arial" w:hAnsi="Arial" w:eastAsia="Arial" w:cs="Arial"/>
          <w:sz w:val="24"/>
          <w:szCs w:val="24"/>
        </w:rPr>
        <w:t xml:space="preserve">EQUIPAMENTOS</w:t>
      </w:r>
      <w:r>
        <w:rPr>
          <w:rFonts w:ascii="Arial" w:hAnsi="Arial" w:cs="Arial"/>
          <w:sz w:val="24"/>
          <w:szCs w:val="24"/>
        </w:rPr>
      </w:r>
    </w:p>
    <w:p>
      <w:pPr>
        <w:pBdr/>
        <w:spacing w:line="276" w:lineRule="auto"/>
        <w:ind/>
        <w:rPr>
          <w:rFonts w:cs="Arial"/>
          <w:sz w:val="24"/>
          <w:szCs w:val="24"/>
        </w:rPr>
      </w:pPr>
      <w:r>
        <w:rPr>
          <w:rFonts w:cs="Arial"/>
          <w:sz w:val="24"/>
          <w:szCs w:val="24"/>
        </w:rPr>
      </w:r>
      <w:r>
        <w:rPr>
          <w:rFonts w:cs="Arial"/>
          <w:sz w:val="24"/>
          <w:szCs w:val="24"/>
        </w:rPr>
      </w:r>
    </w:p>
    <w:p>
      <w:pPr>
        <w:pStyle w:val="896"/>
        <w:pBdr/>
        <w:tabs>
          <w:tab w:val="left" w:leader="none" w:pos="567"/>
        </w:tabs>
        <w:spacing w:line="276" w:lineRule="auto"/>
        <w:ind/>
        <w:jc w:val="both"/>
        <w:rPr>
          <w:rFonts w:ascii="Arial" w:hAnsi="Arial" w:cs="Arial"/>
          <w:b w:val="0"/>
          <w:sz w:val="24"/>
          <w:szCs w:val="24"/>
        </w:rPr>
      </w:pPr>
      <w:r>
        <w:rPr>
          <w:rFonts w:ascii="Arial" w:hAnsi="Arial" w:eastAsia="Arial" w:cs="Arial"/>
          <w:b w:val="0"/>
          <w:sz w:val="24"/>
          <w:szCs w:val="24"/>
        </w:rPr>
        <w:t xml:space="preserve">Considerando</w:t>
      </w:r>
      <w:r>
        <w:rPr>
          <w:rFonts w:ascii="Arial" w:hAnsi="Arial" w:eastAsia="Arial" w:cs="Arial"/>
          <w:b w:val="0"/>
          <w:spacing w:val="1"/>
          <w:sz w:val="24"/>
          <w:szCs w:val="24"/>
        </w:rPr>
        <w:t xml:space="preserve"> </w:t>
      </w:r>
      <w:r>
        <w:rPr>
          <w:rFonts w:ascii="Arial" w:hAnsi="Arial" w:eastAsia="Arial" w:cs="Arial"/>
          <w:b w:val="0"/>
          <w:sz w:val="24"/>
          <w:szCs w:val="24"/>
        </w:rPr>
        <w:t xml:space="preserve">que</w:t>
      </w:r>
      <w:r>
        <w:rPr>
          <w:rFonts w:ascii="Arial" w:hAnsi="Arial" w:eastAsia="Arial" w:cs="Arial"/>
          <w:b w:val="0"/>
          <w:spacing w:val="1"/>
          <w:sz w:val="24"/>
          <w:szCs w:val="24"/>
        </w:rPr>
        <w:t xml:space="preserve"> </w:t>
      </w:r>
      <w:r>
        <w:rPr>
          <w:rFonts w:ascii="Arial" w:hAnsi="Arial" w:eastAsia="Arial" w:cs="Arial"/>
          <w:b w:val="0"/>
          <w:sz w:val="24"/>
          <w:szCs w:val="24"/>
        </w:rPr>
        <w:t xml:space="preserve">a</w:t>
      </w:r>
      <w:r>
        <w:rPr>
          <w:rFonts w:ascii="Arial" w:hAnsi="Arial" w:eastAsia="Arial" w:cs="Arial"/>
          <w:b w:val="0"/>
          <w:spacing w:val="1"/>
          <w:sz w:val="24"/>
          <w:szCs w:val="24"/>
        </w:rPr>
        <w:t xml:space="preserve"> </w:t>
      </w:r>
      <w:r>
        <w:rPr>
          <w:rFonts w:ascii="Arial" w:hAnsi="Arial" w:eastAsia="Arial" w:cs="Arial"/>
          <w:b w:val="0"/>
          <w:sz w:val="24"/>
          <w:szCs w:val="24"/>
        </w:rPr>
        <w:t xml:space="preserve">prestação</w:t>
      </w:r>
      <w:r>
        <w:rPr>
          <w:rFonts w:ascii="Arial" w:hAnsi="Arial" w:eastAsia="Arial" w:cs="Arial"/>
          <w:b w:val="0"/>
          <w:spacing w:val="1"/>
          <w:sz w:val="24"/>
          <w:szCs w:val="24"/>
        </w:rPr>
        <w:t xml:space="preserve"> </w:t>
      </w:r>
      <w:r>
        <w:rPr>
          <w:rFonts w:ascii="Arial" w:hAnsi="Arial" w:eastAsia="Arial" w:cs="Arial"/>
          <w:b w:val="0"/>
          <w:sz w:val="24"/>
          <w:szCs w:val="24"/>
        </w:rPr>
        <w:t xml:space="preserve">de</w:t>
      </w:r>
      <w:r>
        <w:rPr>
          <w:rFonts w:ascii="Arial" w:hAnsi="Arial" w:eastAsia="Arial" w:cs="Arial"/>
          <w:b w:val="0"/>
          <w:spacing w:val="1"/>
          <w:sz w:val="24"/>
          <w:szCs w:val="24"/>
        </w:rPr>
        <w:t xml:space="preserve"> </w:t>
      </w:r>
      <w:r>
        <w:rPr>
          <w:rFonts w:ascii="Arial" w:hAnsi="Arial" w:eastAsia="Arial" w:cs="Arial"/>
          <w:b w:val="0"/>
          <w:sz w:val="24"/>
          <w:szCs w:val="24"/>
        </w:rPr>
        <w:t xml:space="preserve">serviços</w:t>
      </w:r>
      <w:r>
        <w:rPr>
          <w:rFonts w:ascii="Arial" w:hAnsi="Arial" w:eastAsia="Arial" w:cs="Arial"/>
          <w:b w:val="0"/>
          <w:spacing w:val="1"/>
          <w:sz w:val="24"/>
          <w:szCs w:val="24"/>
        </w:rPr>
        <w:t xml:space="preserve"> </w:t>
      </w:r>
      <w:r>
        <w:rPr>
          <w:rFonts w:ascii="Arial" w:hAnsi="Arial" w:eastAsia="Arial" w:cs="Arial"/>
          <w:b w:val="0"/>
          <w:sz w:val="24"/>
          <w:szCs w:val="24"/>
        </w:rPr>
        <w:t xml:space="preserve">de</w:t>
      </w:r>
      <w:r>
        <w:rPr>
          <w:rFonts w:ascii="Arial" w:hAnsi="Arial" w:eastAsia="Arial" w:cs="Arial"/>
          <w:b w:val="0"/>
          <w:spacing w:val="1"/>
          <w:sz w:val="24"/>
          <w:szCs w:val="24"/>
        </w:rPr>
        <w:t xml:space="preserve"> </w:t>
      </w:r>
      <w:r>
        <w:rPr>
          <w:rFonts w:ascii="Arial" w:hAnsi="Arial" w:eastAsia="Arial" w:cs="Arial"/>
          <w:b w:val="0"/>
          <w:sz w:val="24"/>
          <w:szCs w:val="24"/>
        </w:rPr>
        <w:t xml:space="preserve">manutenção</w:t>
      </w:r>
      <w:r>
        <w:rPr>
          <w:rFonts w:ascii="Arial" w:hAnsi="Arial" w:eastAsia="Arial" w:cs="Arial"/>
          <w:b w:val="0"/>
          <w:spacing w:val="1"/>
          <w:sz w:val="24"/>
          <w:szCs w:val="24"/>
        </w:rPr>
        <w:t xml:space="preserve"> </w:t>
      </w:r>
      <w:r>
        <w:rPr>
          <w:rFonts w:ascii="Arial" w:hAnsi="Arial" w:eastAsia="Arial" w:cs="Arial"/>
          <w:b w:val="0"/>
          <w:sz w:val="24"/>
          <w:szCs w:val="24"/>
        </w:rPr>
        <w:t xml:space="preserve">de</w:t>
      </w:r>
      <w:r>
        <w:rPr>
          <w:rFonts w:ascii="Arial" w:hAnsi="Arial" w:eastAsia="Arial" w:cs="Arial"/>
          <w:b w:val="0"/>
          <w:spacing w:val="1"/>
          <w:sz w:val="24"/>
          <w:szCs w:val="24"/>
        </w:rPr>
        <w:t xml:space="preserve"> veículos </w:t>
      </w:r>
      <w:r>
        <w:rPr>
          <w:rFonts w:ascii="Arial" w:hAnsi="Arial" w:eastAsia="Arial" w:cs="Arial"/>
          <w:b w:val="0"/>
          <w:sz w:val="24"/>
          <w:szCs w:val="24"/>
        </w:rPr>
        <w:t xml:space="preserve">é uma atividade que utiliza de </w:t>
      </w:r>
      <w:r>
        <w:rPr>
          <w:rFonts w:ascii="Arial" w:hAnsi="Arial" w:eastAsia="Arial" w:cs="Arial"/>
          <w:b w:val="0"/>
          <w:sz w:val="24"/>
          <w:szCs w:val="24"/>
        </w:rPr>
        <w:t xml:space="preserve">ferramentas</w:t>
      </w:r>
      <w:r>
        <w:rPr>
          <w:rFonts w:ascii="Arial" w:hAnsi="Arial" w:eastAsia="Arial" w:cs="Arial"/>
          <w:b w:val="0"/>
          <w:spacing w:val="-64"/>
          <w:sz w:val="24"/>
          <w:szCs w:val="24"/>
        </w:rPr>
        <w:t xml:space="preserve">  </w:t>
      </w:r>
      <w:r>
        <w:rPr>
          <w:rFonts w:ascii="Arial" w:hAnsi="Arial" w:eastAsia="Arial" w:cs="Arial"/>
          <w:b w:val="0"/>
          <w:sz w:val="24"/>
          <w:szCs w:val="24"/>
        </w:rPr>
        <w:t xml:space="preserve">diversas</w:t>
      </w:r>
      <w:r>
        <w:rPr>
          <w:rFonts w:ascii="Arial" w:hAnsi="Arial" w:eastAsia="Arial" w:cs="Arial"/>
          <w:b w:val="0"/>
          <w:sz w:val="24"/>
          <w:szCs w:val="24"/>
        </w:rPr>
        <w:t xml:space="preserve">, aparelhos computadorizados, devido ao fato </w:t>
      </w:r>
      <w:r>
        <w:rPr>
          <w:rFonts w:ascii="Arial" w:hAnsi="Arial" w:eastAsia="Arial" w:cs="Arial"/>
          <w:b w:val="0"/>
          <w:sz w:val="24"/>
          <w:szCs w:val="24"/>
        </w:rPr>
        <w:t xml:space="preserve">dos</w:t>
      </w:r>
      <w:r>
        <w:rPr>
          <w:rFonts w:ascii="Arial" w:hAnsi="Arial" w:eastAsia="Arial" w:cs="Arial"/>
          <w:b w:val="0"/>
          <w:sz w:val="24"/>
          <w:szCs w:val="24"/>
        </w:rPr>
        <w:t xml:space="preserve"> veículos possuírem</w:t>
      </w:r>
      <w:r>
        <w:rPr>
          <w:rFonts w:ascii="Arial" w:hAnsi="Arial" w:eastAsia="Arial" w:cs="Arial"/>
          <w:b w:val="0"/>
          <w:spacing w:val="1"/>
          <w:sz w:val="24"/>
          <w:szCs w:val="24"/>
        </w:rPr>
        <w:t xml:space="preserve"> </w:t>
      </w:r>
      <w:r>
        <w:rPr>
          <w:rFonts w:ascii="Arial" w:hAnsi="Arial" w:eastAsia="Arial" w:cs="Arial"/>
          <w:b w:val="0"/>
          <w:sz w:val="24"/>
          <w:szCs w:val="24"/>
        </w:rPr>
        <w:t xml:space="preserve">componentes eletroeletrônicos que necessitam de monitoramento e diag</w:t>
      </w:r>
      <w:r>
        <w:rPr>
          <w:rFonts w:ascii="Arial" w:hAnsi="Arial" w:eastAsia="Arial" w:cs="Arial"/>
          <w:b w:val="0"/>
          <w:sz w:val="24"/>
          <w:szCs w:val="24"/>
        </w:rPr>
        <w:t xml:space="preserve">nósticos</w:t>
      </w:r>
      <w:r>
        <w:rPr>
          <w:rFonts w:ascii="Arial" w:hAnsi="Arial" w:eastAsia="Arial" w:cs="Arial"/>
          <w:b w:val="0"/>
          <w:spacing w:val="1"/>
          <w:sz w:val="24"/>
          <w:szCs w:val="24"/>
        </w:rPr>
        <w:t xml:space="preserve"> </w:t>
      </w:r>
      <w:r>
        <w:rPr>
          <w:rFonts w:ascii="Arial" w:hAnsi="Arial" w:eastAsia="Arial" w:cs="Arial"/>
          <w:b w:val="0"/>
          <w:sz w:val="24"/>
          <w:szCs w:val="24"/>
        </w:rPr>
        <w:t xml:space="preserve">precisos,</w:t>
      </w:r>
      <w:r>
        <w:rPr>
          <w:rFonts w:ascii="Arial" w:hAnsi="Arial" w:eastAsia="Arial" w:cs="Arial"/>
          <w:b w:val="0"/>
          <w:spacing w:val="1"/>
          <w:sz w:val="24"/>
          <w:szCs w:val="24"/>
        </w:rPr>
        <w:t xml:space="preserve"> </w:t>
      </w:r>
      <w:r>
        <w:rPr>
          <w:rFonts w:ascii="Arial" w:hAnsi="Arial" w:eastAsia="Arial" w:cs="Arial"/>
          <w:b w:val="0"/>
          <w:sz w:val="24"/>
          <w:szCs w:val="24"/>
        </w:rPr>
        <w:t xml:space="preserve">a</w:t>
      </w:r>
      <w:r>
        <w:rPr>
          <w:rFonts w:ascii="Arial" w:hAnsi="Arial" w:eastAsia="Arial" w:cs="Arial"/>
          <w:b w:val="0"/>
          <w:spacing w:val="1"/>
          <w:sz w:val="24"/>
          <w:szCs w:val="24"/>
        </w:rPr>
        <w:t xml:space="preserve"> </w:t>
      </w:r>
      <w:r>
        <w:rPr>
          <w:rFonts w:ascii="Arial" w:hAnsi="Arial" w:eastAsia="Arial" w:cs="Arial"/>
          <w:b w:val="0"/>
          <w:sz w:val="24"/>
          <w:szCs w:val="24"/>
        </w:rPr>
        <w:t xml:space="preserve">Contratada</w:t>
      </w:r>
      <w:r>
        <w:rPr>
          <w:rFonts w:ascii="Arial" w:hAnsi="Arial" w:eastAsia="Arial" w:cs="Arial"/>
          <w:b w:val="0"/>
          <w:spacing w:val="1"/>
          <w:sz w:val="24"/>
          <w:szCs w:val="24"/>
        </w:rPr>
        <w:t xml:space="preserve"> </w:t>
      </w:r>
      <w:r>
        <w:rPr>
          <w:rFonts w:ascii="Arial" w:hAnsi="Arial" w:eastAsia="Arial" w:cs="Arial"/>
          <w:b w:val="0"/>
          <w:sz w:val="24"/>
          <w:szCs w:val="24"/>
        </w:rPr>
        <w:t xml:space="preserve">deve</w:t>
      </w:r>
      <w:r>
        <w:rPr>
          <w:rFonts w:ascii="Arial" w:hAnsi="Arial" w:eastAsia="Arial" w:cs="Arial"/>
          <w:b w:val="0"/>
          <w:spacing w:val="1"/>
          <w:sz w:val="24"/>
          <w:szCs w:val="24"/>
        </w:rPr>
        <w:t xml:space="preserve"> </w:t>
      </w:r>
      <w:r>
        <w:rPr>
          <w:rFonts w:ascii="Arial" w:hAnsi="Arial" w:eastAsia="Arial" w:cs="Arial"/>
          <w:b w:val="0"/>
          <w:sz w:val="24"/>
          <w:szCs w:val="24"/>
        </w:rPr>
        <w:t xml:space="preserve">dispor</w:t>
      </w:r>
      <w:r>
        <w:rPr>
          <w:rFonts w:ascii="Arial" w:hAnsi="Arial" w:eastAsia="Arial" w:cs="Arial"/>
          <w:b w:val="0"/>
          <w:spacing w:val="1"/>
          <w:sz w:val="24"/>
          <w:szCs w:val="24"/>
        </w:rPr>
        <w:t xml:space="preserve"> </w:t>
      </w:r>
      <w:r>
        <w:rPr>
          <w:rFonts w:ascii="Arial" w:hAnsi="Arial" w:eastAsia="Arial" w:cs="Arial"/>
          <w:b w:val="0"/>
          <w:sz w:val="24"/>
          <w:szCs w:val="24"/>
        </w:rPr>
        <w:t xml:space="preserve">de</w:t>
      </w:r>
      <w:r>
        <w:rPr>
          <w:rFonts w:ascii="Arial" w:hAnsi="Arial" w:eastAsia="Arial" w:cs="Arial"/>
          <w:b w:val="0"/>
          <w:spacing w:val="1"/>
          <w:sz w:val="24"/>
          <w:szCs w:val="24"/>
        </w:rPr>
        <w:t xml:space="preserve"> </w:t>
      </w:r>
      <w:r>
        <w:rPr>
          <w:rFonts w:ascii="Arial" w:hAnsi="Arial" w:eastAsia="Arial" w:cs="Arial"/>
          <w:b w:val="0"/>
          <w:sz w:val="24"/>
          <w:szCs w:val="24"/>
        </w:rPr>
        <w:t xml:space="preserve">uma</w:t>
      </w:r>
      <w:r>
        <w:rPr>
          <w:rFonts w:ascii="Arial" w:hAnsi="Arial" w:eastAsia="Arial" w:cs="Arial"/>
          <w:b w:val="0"/>
          <w:spacing w:val="1"/>
          <w:sz w:val="24"/>
          <w:szCs w:val="24"/>
        </w:rPr>
        <w:t xml:space="preserve"> </w:t>
      </w:r>
      <w:r>
        <w:rPr>
          <w:rFonts w:ascii="Arial" w:hAnsi="Arial" w:eastAsia="Arial" w:cs="Arial"/>
          <w:b w:val="0"/>
          <w:sz w:val="24"/>
          <w:szCs w:val="24"/>
        </w:rPr>
        <w:t xml:space="preserve">estrutura</w:t>
      </w:r>
      <w:r>
        <w:rPr>
          <w:rFonts w:ascii="Arial" w:hAnsi="Arial" w:eastAsia="Arial" w:cs="Arial"/>
          <w:b w:val="0"/>
          <w:spacing w:val="1"/>
          <w:sz w:val="24"/>
          <w:szCs w:val="24"/>
        </w:rPr>
        <w:t xml:space="preserve"> </w:t>
      </w:r>
      <w:r>
        <w:rPr>
          <w:rFonts w:ascii="Arial" w:hAnsi="Arial" w:eastAsia="Arial" w:cs="Arial"/>
          <w:b w:val="0"/>
          <w:sz w:val="24"/>
          <w:szCs w:val="24"/>
        </w:rPr>
        <w:t xml:space="preserve">mínima</w:t>
      </w:r>
      <w:r>
        <w:rPr>
          <w:rFonts w:ascii="Arial" w:hAnsi="Arial" w:eastAsia="Arial" w:cs="Arial"/>
          <w:b w:val="0"/>
          <w:spacing w:val="1"/>
          <w:sz w:val="24"/>
          <w:szCs w:val="24"/>
        </w:rPr>
        <w:t xml:space="preserve"> </w:t>
      </w:r>
      <w:r>
        <w:rPr>
          <w:rFonts w:ascii="Arial" w:hAnsi="Arial" w:eastAsia="Arial" w:cs="Arial"/>
          <w:b w:val="0"/>
          <w:sz w:val="24"/>
          <w:szCs w:val="24"/>
        </w:rPr>
        <w:t xml:space="preserve">composta</w:t>
      </w:r>
      <w:r>
        <w:rPr>
          <w:rFonts w:ascii="Arial" w:hAnsi="Arial" w:eastAsia="Arial" w:cs="Arial"/>
          <w:b w:val="0"/>
          <w:spacing w:val="1"/>
          <w:sz w:val="24"/>
          <w:szCs w:val="24"/>
        </w:rPr>
        <w:t xml:space="preserve"> </w:t>
      </w:r>
      <w:r>
        <w:rPr>
          <w:rFonts w:ascii="Arial" w:hAnsi="Arial" w:eastAsia="Arial" w:cs="Arial"/>
          <w:b w:val="0"/>
          <w:sz w:val="24"/>
          <w:szCs w:val="24"/>
        </w:rPr>
        <w:t xml:space="preserve">de:</w:t>
      </w:r>
      <w:r>
        <w:rPr>
          <w:rFonts w:ascii="Arial" w:hAnsi="Arial" w:eastAsia="Arial" w:cs="Arial"/>
          <w:b w:val="0"/>
          <w:spacing w:val="1"/>
          <w:sz w:val="24"/>
          <w:szCs w:val="24"/>
        </w:rPr>
        <w:t xml:space="preserve"> </w:t>
      </w:r>
      <w:r>
        <w:rPr>
          <w:rFonts w:ascii="Arial" w:hAnsi="Arial" w:eastAsia="Arial" w:cs="Arial"/>
          <w:b w:val="0"/>
          <w:sz w:val="24"/>
          <w:szCs w:val="24"/>
        </w:rPr>
        <w:t xml:space="preserve">instalações físicas</w:t>
      </w:r>
      <w:r>
        <w:rPr>
          <w:rFonts w:ascii="Arial" w:hAnsi="Arial" w:eastAsia="Arial" w:cs="Arial"/>
          <w:b w:val="0"/>
          <w:spacing w:val="1"/>
          <w:sz w:val="24"/>
          <w:szCs w:val="24"/>
        </w:rPr>
        <w:t xml:space="preserve"> </w:t>
      </w:r>
      <w:r>
        <w:rPr>
          <w:rFonts w:ascii="Arial" w:hAnsi="Arial" w:eastAsia="Arial" w:cs="Arial"/>
          <w:b w:val="0"/>
          <w:sz w:val="24"/>
          <w:szCs w:val="24"/>
        </w:rPr>
        <w:t xml:space="preserve">adequadas, aparato</w:t>
      </w:r>
      <w:r>
        <w:rPr>
          <w:rFonts w:ascii="Arial" w:hAnsi="Arial" w:eastAsia="Arial" w:cs="Arial"/>
          <w:b w:val="0"/>
          <w:spacing w:val="1"/>
          <w:sz w:val="24"/>
          <w:szCs w:val="24"/>
        </w:rPr>
        <w:t xml:space="preserve"> </w:t>
      </w:r>
      <w:r>
        <w:rPr>
          <w:rFonts w:ascii="Arial" w:hAnsi="Arial" w:eastAsia="Arial" w:cs="Arial"/>
          <w:b w:val="0"/>
          <w:sz w:val="24"/>
          <w:szCs w:val="24"/>
        </w:rPr>
        <w:t xml:space="preserve">tecnológico</w:t>
      </w:r>
      <w:r>
        <w:rPr>
          <w:rFonts w:ascii="Arial" w:hAnsi="Arial" w:eastAsia="Arial" w:cs="Arial"/>
          <w:b w:val="0"/>
          <w:spacing w:val="1"/>
          <w:sz w:val="24"/>
          <w:szCs w:val="24"/>
        </w:rPr>
        <w:t xml:space="preserve"> </w:t>
      </w:r>
      <w:r>
        <w:rPr>
          <w:rFonts w:ascii="Arial" w:hAnsi="Arial" w:eastAsia="Arial" w:cs="Arial"/>
          <w:b w:val="0"/>
          <w:sz w:val="24"/>
          <w:szCs w:val="24"/>
        </w:rPr>
        <w:t xml:space="preserve">traduzido</w:t>
      </w:r>
      <w:r>
        <w:rPr>
          <w:rFonts w:ascii="Arial" w:hAnsi="Arial" w:eastAsia="Arial" w:cs="Arial"/>
          <w:b w:val="0"/>
          <w:spacing w:val="1"/>
          <w:sz w:val="24"/>
          <w:szCs w:val="24"/>
        </w:rPr>
        <w:t xml:space="preserve"> </w:t>
      </w:r>
      <w:r>
        <w:rPr>
          <w:rFonts w:ascii="Arial" w:hAnsi="Arial" w:eastAsia="Arial" w:cs="Arial"/>
          <w:b w:val="0"/>
          <w:sz w:val="24"/>
          <w:szCs w:val="24"/>
        </w:rPr>
        <w:t xml:space="preserve">em</w:t>
      </w:r>
      <w:r>
        <w:rPr>
          <w:rFonts w:ascii="Arial" w:hAnsi="Arial" w:eastAsia="Arial" w:cs="Arial"/>
          <w:b w:val="0"/>
          <w:spacing w:val="1"/>
          <w:sz w:val="24"/>
          <w:szCs w:val="24"/>
        </w:rPr>
        <w:t xml:space="preserve"> </w:t>
      </w:r>
      <w:r>
        <w:rPr>
          <w:rFonts w:ascii="Arial" w:hAnsi="Arial" w:eastAsia="Arial" w:cs="Arial"/>
          <w:b w:val="0"/>
          <w:sz w:val="24"/>
          <w:szCs w:val="24"/>
        </w:rPr>
        <w:t xml:space="preserve">equipamentos</w:t>
      </w:r>
      <w:r>
        <w:rPr>
          <w:rFonts w:ascii="Arial" w:hAnsi="Arial" w:eastAsia="Arial" w:cs="Arial"/>
          <w:b w:val="0"/>
          <w:spacing w:val="1"/>
          <w:sz w:val="24"/>
          <w:szCs w:val="24"/>
        </w:rPr>
        <w:t xml:space="preserve"> </w:t>
      </w:r>
      <w:r>
        <w:rPr>
          <w:rFonts w:ascii="Arial" w:hAnsi="Arial" w:eastAsia="Arial" w:cs="Arial"/>
          <w:b w:val="0"/>
          <w:sz w:val="24"/>
          <w:szCs w:val="24"/>
        </w:rPr>
        <w:t xml:space="preserve">eletroeletrônicos</w:t>
      </w:r>
      <w:r>
        <w:rPr>
          <w:rFonts w:ascii="Arial" w:hAnsi="Arial" w:eastAsia="Arial" w:cs="Arial"/>
          <w:b w:val="0"/>
          <w:spacing w:val="-4"/>
          <w:sz w:val="24"/>
          <w:szCs w:val="24"/>
        </w:rPr>
        <w:t xml:space="preserve"> </w:t>
      </w:r>
      <w:r>
        <w:rPr>
          <w:rFonts w:ascii="Arial" w:hAnsi="Arial" w:eastAsia="Arial" w:cs="Arial"/>
          <w:b w:val="0"/>
          <w:sz w:val="24"/>
          <w:szCs w:val="24"/>
        </w:rPr>
        <w:t xml:space="preserve">apropriados</w:t>
      </w:r>
      <w:r>
        <w:rPr>
          <w:rFonts w:ascii="Arial" w:hAnsi="Arial" w:eastAsia="Arial" w:cs="Arial"/>
          <w:b w:val="0"/>
          <w:spacing w:val="-2"/>
          <w:sz w:val="24"/>
          <w:szCs w:val="24"/>
        </w:rPr>
        <w:t xml:space="preserve"> </w:t>
      </w:r>
      <w:r>
        <w:rPr>
          <w:rFonts w:ascii="Arial" w:hAnsi="Arial" w:eastAsia="Arial" w:cs="Arial"/>
          <w:b w:val="0"/>
          <w:sz w:val="24"/>
          <w:szCs w:val="24"/>
        </w:rPr>
        <w:t xml:space="preserve">e</w:t>
      </w:r>
      <w:r>
        <w:rPr>
          <w:rFonts w:ascii="Arial" w:hAnsi="Arial" w:eastAsia="Arial" w:cs="Arial"/>
          <w:b w:val="0"/>
          <w:spacing w:val="-3"/>
          <w:sz w:val="24"/>
          <w:szCs w:val="24"/>
        </w:rPr>
        <w:t xml:space="preserve"> </w:t>
      </w:r>
      <w:r>
        <w:rPr>
          <w:rFonts w:ascii="Arial" w:hAnsi="Arial" w:eastAsia="Arial" w:cs="Arial"/>
          <w:b w:val="0"/>
          <w:sz w:val="24"/>
          <w:szCs w:val="24"/>
        </w:rPr>
        <w:t xml:space="preserve">mão de obra</w:t>
      </w:r>
      <w:r>
        <w:rPr>
          <w:rFonts w:ascii="Arial" w:hAnsi="Arial" w:eastAsia="Arial" w:cs="Arial"/>
          <w:b w:val="0"/>
          <w:spacing w:val="-4"/>
          <w:sz w:val="24"/>
          <w:szCs w:val="24"/>
        </w:rPr>
        <w:t xml:space="preserve"> </w:t>
      </w:r>
      <w:r>
        <w:rPr>
          <w:rFonts w:ascii="Arial" w:hAnsi="Arial" w:eastAsia="Arial" w:cs="Arial"/>
          <w:b w:val="0"/>
          <w:sz w:val="24"/>
          <w:szCs w:val="24"/>
        </w:rPr>
        <w:t xml:space="preserve">especializada</w:t>
      </w:r>
      <w:r>
        <w:rPr>
          <w:rFonts w:ascii="Arial" w:hAnsi="Arial" w:eastAsia="Arial" w:cs="Arial"/>
          <w:b w:val="0"/>
          <w:spacing w:val="-4"/>
          <w:sz w:val="24"/>
          <w:szCs w:val="24"/>
        </w:rPr>
        <w:t xml:space="preserve"> </w:t>
      </w:r>
      <w:r>
        <w:rPr>
          <w:rFonts w:ascii="Arial" w:hAnsi="Arial" w:eastAsia="Arial" w:cs="Arial"/>
          <w:b w:val="0"/>
          <w:sz w:val="24"/>
          <w:szCs w:val="24"/>
        </w:rPr>
        <w:t xml:space="preserve">em</w:t>
      </w:r>
      <w:r>
        <w:rPr>
          <w:rFonts w:ascii="Arial" w:hAnsi="Arial" w:eastAsia="Arial" w:cs="Arial"/>
          <w:b w:val="0"/>
          <w:spacing w:val="-2"/>
          <w:sz w:val="24"/>
          <w:szCs w:val="24"/>
        </w:rPr>
        <w:t xml:space="preserve"> </w:t>
      </w:r>
      <w:r>
        <w:rPr>
          <w:rFonts w:ascii="Arial" w:hAnsi="Arial" w:eastAsia="Arial" w:cs="Arial"/>
          <w:b w:val="0"/>
          <w:sz w:val="24"/>
          <w:szCs w:val="24"/>
        </w:rPr>
        <w:t xml:space="preserve">mecânica</w:t>
      </w:r>
      <w:r>
        <w:rPr>
          <w:rFonts w:ascii="Arial" w:hAnsi="Arial" w:eastAsia="Arial" w:cs="Arial"/>
          <w:b w:val="0"/>
          <w:spacing w:val="-4"/>
          <w:sz w:val="24"/>
          <w:szCs w:val="24"/>
        </w:rPr>
        <w:t xml:space="preserve"> </w:t>
      </w:r>
      <w:r>
        <w:rPr>
          <w:rFonts w:ascii="Arial" w:hAnsi="Arial" w:eastAsia="Arial" w:cs="Arial"/>
          <w:b w:val="0"/>
          <w:sz w:val="24"/>
          <w:szCs w:val="24"/>
        </w:rPr>
        <w:t xml:space="preserve">em</w:t>
      </w:r>
      <w:r>
        <w:rPr>
          <w:rFonts w:ascii="Arial" w:hAnsi="Arial" w:eastAsia="Arial" w:cs="Arial"/>
          <w:b w:val="0"/>
          <w:spacing w:val="-1"/>
          <w:sz w:val="24"/>
          <w:szCs w:val="24"/>
        </w:rPr>
        <w:t xml:space="preserve"> </w:t>
      </w:r>
      <w:r>
        <w:rPr>
          <w:rFonts w:ascii="Arial" w:hAnsi="Arial" w:eastAsia="Arial" w:cs="Arial"/>
          <w:b w:val="0"/>
          <w:sz w:val="24"/>
          <w:szCs w:val="24"/>
        </w:rPr>
        <w:t xml:space="preserve">geral.</w:t>
      </w:r>
      <w:r>
        <w:rPr>
          <w:rFonts w:ascii="Arial" w:hAnsi="Arial" w:cs="Arial"/>
          <w:b w:val="0"/>
          <w:sz w:val="24"/>
          <w:szCs w:val="24"/>
        </w:rPr>
      </w:r>
    </w:p>
    <w:p>
      <w:pPr>
        <w:pStyle w:val="896"/>
        <w:pBdr/>
        <w:tabs>
          <w:tab w:val="left" w:leader="none" w:pos="567"/>
        </w:tabs>
        <w:spacing w:line="276" w:lineRule="auto"/>
        <w:ind/>
        <w:jc w:val="both"/>
        <w:rPr>
          <w:rFonts w:ascii="Arial" w:hAnsi="Arial" w:cs="Arial"/>
          <w:b w:val="0"/>
          <w:sz w:val="24"/>
          <w:szCs w:val="24"/>
        </w:rPr>
      </w:pPr>
      <w:r>
        <w:rPr>
          <w:rFonts w:ascii="Arial" w:hAnsi="Arial" w:eastAsia="Arial" w:cs="Arial"/>
          <w:b w:val="0"/>
          <w:sz w:val="24"/>
          <w:szCs w:val="24"/>
        </w:rPr>
        <w:t xml:space="preserve">A Contratada deve possuir oficina bem estruturada, situada no raio máximo de 20 (vinte) km dos locais onde estão localizados os equipamentos, e ainda:</w:t>
      </w:r>
      <w:r>
        <w:rPr>
          <w:rFonts w:ascii="Arial" w:hAnsi="Arial" w:cs="Arial"/>
          <w:b w:val="0"/>
          <w:sz w:val="24"/>
          <w:szCs w:val="24"/>
        </w:rPr>
      </w:r>
    </w:p>
    <w:p>
      <w:pPr>
        <w:pStyle w:val="896"/>
        <w:numPr>
          <w:ilvl w:val="0"/>
          <w:numId w:val="44"/>
        </w:numPr>
        <w:pBdr/>
        <w:tabs>
          <w:tab w:val="left" w:leader="none" w:pos="567"/>
        </w:tabs>
        <w:spacing w:before="240" w:line="276" w:lineRule="auto"/>
        <w:ind w:firstLine="0" w:left="0"/>
        <w:jc w:val="both"/>
        <w:rPr>
          <w:rFonts w:ascii="Arial" w:hAnsi="Arial" w:cs="Arial"/>
          <w:b w:val="0"/>
          <w:sz w:val="24"/>
          <w:szCs w:val="24"/>
        </w:rPr>
      </w:pPr>
      <w:r>
        <w:rPr>
          <w:rFonts w:ascii="Arial" w:hAnsi="Arial" w:eastAsia="Arial" w:cs="Arial"/>
          <w:b w:val="0"/>
          <w:sz w:val="24"/>
          <w:szCs w:val="24"/>
        </w:rPr>
        <w:t xml:space="preserve">possuir área útil disponível para receber, com segurança, simultaneamente, de no mínimo 03 (três) veículos para manutenção; </w:t>
      </w:r>
      <w:r>
        <w:rPr>
          <w:rFonts w:ascii="Arial" w:hAnsi="Arial" w:cs="Arial"/>
          <w:b w:val="0"/>
          <w:sz w:val="24"/>
          <w:szCs w:val="24"/>
        </w:rPr>
      </w:r>
    </w:p>
    <w:p>
      <w:pPr>
        <w:pStyle w:val="896"/>
        <w:numPr>
          <w:ilvl w:val="0"/>
          <w:numId w:val="44"/>
        </w:numPr>
        <w:pBdr/>
        <w:tabs>
          <w:tab w:val="left" w:leader="none" w:pos="567"/>
        </w:tabs>
        <w:spacing w:before="240" w:line="276" w:lineRule="auto"/>
        <w:ind w:firstLine="0" w:left="0"/>
        <w:jc w:val="both"/>
        <w:rPr>
          <w:rFonts w:ascii="Arial" w:hAnsi="Arial" w:cs="Arial"/>
          <w:b w:val="0"/>
          <w:sz w:val="24"/>
          <w:szCs w:val="24"/>
        </w:rPr>
      </w:pPr>
      <w:r>
        <w:rPr>
          <w:rFonts w:ascii="Arial" w:hAnsi="Arial" w:eastAsia="Arial" w:cs="Arial"/>
          <w:b w:val="0"/>
          <w:sz w:val="24"/>
          <w:szCs w:val="24"/>
        </w:rPr>
        <w:t xml:space="preserve">possuir</w:t>
      </w:r>
      <w:r>
        <w:rPr>
          <w:rFonts w:ascii="Arial" w:hAnsi="Arial" w:eastAsia="Arial" w:cs="Arial"/>
          <w:b w:val="0"/>
          <w:spacing w:val="1"/>
          <w:sz w:val="24"/>
          <w:szCs w:val="24"/>
        </w:rPr>
        <w:t xml:space="preserve"> </w:t>
      </w:r>
      <w:r>
        <w:rPr>
          <w:rFonts w:ascii="Arial" w:hAnsi="Arial" w:eastAsia="Arial" w:cs="Arial"/>
          <w:b w:val="0"/>
          <w:sz w:val="24"/>
          <w:szCs w:val="24"/>
        </w:rPr>
        <w:t xml:space="preserve">os</w:t>
      </w:r>
      <w:r>
        <w:rPr>
          <w:rFonts w:ascii="Arial" w:hAnsi="Arial" w:eastAsia="Arial" w:cs="Arial"/>
          <w:b w:val="0"/>
          <w:spacing w:val="1"/>
          <w:sz w:val="24"/>
          <w:szCs w:val="24"/>
        </w:rPr>
        <w:t xml:space="preserve"> </w:t>
      </w:r>
      <w:r>
        <w:rPr>
          <w:rFonts w:ascii="Arial" w:hAnsi="Arial" w:eastAsia="Arial" w:cs="Arial"/>
          <w:b w:val="0"/>
          <w:sz w:val="24"/>
          <w:szCs w:val="24"/>
        </w:rPr>
        <w:t xml:space="preserve">recursos</w:t>
      </w:r>
      <w:r>
        <w:rPr>
          <w:rFonts w:ascii="Arial" w:hAnsi="Arial" w:eastAsia="Arial" w:cs="Arial"/>
          <w:b w:val="0"/>
          <w:spacing w:val="1"/>
          <w:sz w:val="24"/>
          <w:szCs w:val="24"/>
        </w:rPr>
        <w:t xml:space="preserve"> </w:t>
      </w:r>
      <w:r>
        <w:rPr>
          <w:rFonts w:ascii="Arial" w:hAnsi="Arial" w:eastAsia="Arial" w:cs="Arial"/>
          <w:b w:val="0"/>
          <w:sz w:val="24"/>
          <w:szCs w:val="24"/>
        </w:rPr>
        <w:t xml:space="preserve">essenciais</w:t>
      </w:r>
      <w:r>
        <w:rPr>
          <w:rFonts w:ascii="Arial" w:hAnsi="Arial" w:eastAsia="Arial" w:cs="Arial"/>
          <w:b w:val="0"/>
          <w:spacing w:val="1"/>
          <w:sz w:val="24"/>
          <w:szCs w:val="24"/>
        </w:rPr>
        <w:t xml:space="preserve"> </w:t>
      </w:r>
      <w:r>
        <w:rPr>
          <w:rFonts w:ascii="Arial" w:hAnsi="Arial" w:eastAsia="Arial" w:cs="Arial"/>
          <w:b w:val="0"/>
          <w:sz w:val="24"/>
          <w:szCs w:val="24"/>
        </w:rPr>
        <w:t xml:space="preserve">para</w:t>
      </w:r>
      <w:r>
        <w:rPr>
          <w:rFonts w:ascii="Arial" w:hAnsi="Arial" w:eastAsia="Arial" w:cs="Arial"/>
          <w:b w:val="0"/>
          <w:spacing w:val="1"/>
          <w:sz w:val="24"/>
          <w:szCs w:val="24"/>
        </w:rPr>
        <w:t xml:space="preserve"> </w:t>
      </w:r>
      <w:r>
        <w:rPr>
          <w:rFonts w:ascii="Arial" w:hAnsi="Arial" w:eastAsia="Arial" w:cs="Arial"/>
          <w:b w:val="0"/>
          <w:sz w:val="24"/>
          <w:szCs w:val="24"/>
        </w:rPr>
        <w:t xml:space="preserve">que</w:t>
      </w:r>
      <w:r>
        <w:rPr>
          <w:rFonts w:ascii="Arial" w:hAnsi="Arial" w:eastAsia="Arial" w:cs="Arial"/>
          <w:b w:val="0"/>
          <w:spacing w:val="1"/>
          <w:sz w:val="24"/>
          <w:szCs w:val="24"/>
        </w:rPr>
        <w:t xml:space="preserve"> </w:t>
      </w:r>
      <w:r>
        <w:rPr>
          <w:rFonts w:ascii="Arial" w:hAnsi="Arial" w:eastAsia="Arial" w:cs="Arial"/>
          <w:b w:val="0"/>
          <w:sz w:val="24"/>
          <w:szCs w:val="24"/>
        </w:rPr>
        <w:t xml:space="preserve">os</w:t>
      </w:r>
      <w:r>
        <w:rPr>
          <w:rFonts w:ascii="Arial" w:hAnsi="Arial" w:eastAsia="Arial" w:cs="Arial"/>
          <w:b w:val="0"/>
          <w:spacing w:val="1"/>
          <w:sz w:val="24"/>
          <w:szCs w:val="24"/>
        </w:rPr>
        <w:t xml:space="preserve"> </w:t>
      </w:r>
      <w:r>
        <w:rPr>
          <w:rFonts w:ascii="Arial" w:hAnsi="Arial" w:eastAsia="Arial" w:cs="Arial"/>
          <w:b w:val="0"/>
          <w:sz w:val="24"/>
          <w:szCs w:val="24"/>
        </w:rPr>
        <w:t xml:space="preserve">serviços</w:t>
      </w:r>
      <w:r>
        <w:rPr>
          <w:rFonts w:ascii="Arial" w:hAnsi="Arial" w:eastAsia="Arial" w:cs="Arial"/>
          <w:b w:val="0"/>
          <w:spacing w:val="1"/>
          <w:sz w:val="24"/>
          <w:szCs w:val="24"/>
        </w:rPr>
        <w:t xml:space="preserve"> </w:t>
      </w:r>
      <w:r>
        <w:rPr>
          <w:rFonts w:ascii="Arial" w:hAnsi="Arial" w:eastAsia="Arial" w:cs="Arial"/>
          <w:b w:val="0"/>
          <w:sz w:val="24"/>
          <w:szCs w:val="24"/>
        </w:rPr>
        <w:t xml:space="preserve">prestados</w:t>
      </w:r>
      <w:r>
        <w:rPr>
          <w:rFonts w:ascii="Arial" w:hAnsi="Arial" w:eastAsia="Arial" w:cs="Arial"/>
          <w:b w:val="0"/>
          <w:spacing w:val="1"/>
          <w:sz w:val="24"/>
          <w:szCs w:val="24"/>
        </w:rPr>
        <w:t xml:space="preserve"> </w:t>
      </w:r>
      <w:r>
        <w:rPr>
          <w:rFonts w:ascii="Arial" w:hAnsi="Arial" w:eastAsia="Arial" w:cs="Arial"/>
          <w:b w:val="0"/>
          <w:sz w:val="24"/>
          <w:szCs w:val="24"/>
        </w:rPr>
        <w:t xml:space="preserve">tenham</w:t>
      </w:r>
      <w:r>
        <w:rPr>
          <w:rFonts w:ascii="Arial" w:hAnsi="Arial" w:eastAsia="Arial" w:cs="Arial"/>
          <w:b w:val="0"/>
          <w:spacing w:val="1"/>
          <w:sz w:val="24"/>
          <w:szCs w:val="24"/>
        </w:rPr>
        <w:t xml:space="preserve"> </w:t>
      </w:r>
      <w:r>
        <w:rPr>
          <w:rFonts w:ascii="Arial" w:hAnsi="Arial" w:eastAsia="Arial" w:cs="Arial"/>
          <w:b w:val="0"/>
          <w:sz w:val="24"/>
          <w:szCs w:val="24"/>
        </w:rPr>
        <w:t xml:space="preserve">a</w:t>
      </w:r>
      <w:r>
        <w:rPr>
          <w:rFonts w:ascii="Arial" w:hAnsi="Arial" w:eastAsia="Arial" w:cs="Arial"/>
          <w:b w:val="0"/>
          <w:spacing w:val="1"/>
          <w:sz w:val="24"/>
          <w:szCs w:val="24"/>
        </w:rPr>
        <w:t xml:space="preserve"> </w:t>
      </w:r>
      <w:r>
        <w:rPr>
          <w:rFonts w:ascii="Arial" w:hAnsi="Arial" w:eastAsia="Arial" w:cs="Arial"/>
          <w:b w:val="0"/>
          <w:sz w:val="24"/>
          <w:szCs w:val="24"/>
        </w:rPr>
        <w:t xml:space="preserve">técnica/qualidade/presteza</w:t>
      </w:r>
      <w:r>
        <w:rPr>
          <w:rFonts w:ascii="Arial" w:hAnsi="Arial" w:eastAsia="Arial" w:cs="Arial"/>
          <w:b w:val="0"/>
          <w:spacing w:val="1"/>
          <w:sz w:val="24"/>
          <w:szCs w:val="24"/>
        </w:rPr>
        <w:t xml:space="preserve"> </w:t>
      </w:r>
      <w:r>
        <w:rPr>
          <w:rFonts w:ascii="Arial" w:hAnsi="Arial" w:eastAsia="Arial" w:cs="Arial"/>
          <w:b w:val="0"/>
          <w:sz w:val="24"/>
          <w:szCs w:val="24"/>
        </w:rPr>
        <w:t xml:space="preserve">exigida</w:t>
      </w:r>
      <w:r>
        <w:rPr>
          <w:rFonts w:ascii="Arial" w:hAnsi="Arial" w:eastAsia="Arial" w:cs="Arial"/>
          <w:b w:val="0"/>
          <w:spacing w:val="1"/>
          <w:sz w:val="24"/>
          <w:szCs w:val="24"/>
        </w:rPr>
        <w:t xml:space="preserve"> </w:t>
      </w:r>
      <w:r>
        <w:rPr>
          <w:rFonts w:ascii="Arial" w:hAnsi="Arial" w:eastAsia="Arial" w:cs="Arial"/>
          <w:b w:val="0"/>
          <w:sz w:val="24"/>
          <w:szCs w:val="24"/>
        </w:rPr>
        <w:t xml:space="preserve">para</w:t>
      </w:r>
      <w:r>
        <w:rPr>
          <w:rFonts w:ascii="Arial" w:hAnsi="Arial" w:eastAsia="Arial" w:cs="Arial"/>
          <w:b w:val="0"/>
          <w:spacing w:val="1"/>
          <w:sz w:val="24"/>
          <w:szCs w:val="24"/>
        </w:rPr>
        <w:t xml:space="preserve"> </w:t>
      </w:r>
      <w:r>
        <w:rPr>
          <w:rFonts w:ascii="Arial" w:hAnsi="Arial" w:eastAsia="Arial" w:cs="Arial"/>
          <w:b w:val="0"/>
          <w:sz w:val="24"/>
          <w:szCs w:val="24"/>
        </w:rPr>
        <w:t xml:space="preserve">os</w:t>
      </w:r>
      <w:r>
        <w:rPr>
          <w:rFonts w:ascii="Arial" w:hAnsi="Arial" w:eastAsia="Arial" w:cs="Arial"/>
          <w:b w:val="0"/>
          <w:spacing w:val="1"/>
          <w:sz w:val="24"/>
          <w:szCs w:val="24"/>
        </w:rPr>
        <w:t xml:space="preserve"> </w:t>
      </w:r>
      <w:r>
        <w:rPr>
          <w:rFonts w:ascii="Arial" w:hAnsi="Arial" w:eastAsia="Arial" w:cs="Arial"/>
          <w:b w:val="0"/>
          <w:sz w:val="24"/>
          <w:szCs w:val="24"/>
        </w:rPr>
        <w:t xml:space="preserve">padrões</w:t>
      </w:r>
      <w:r>
        <w:rPr>
          <w:rFonts w:ascii="Arial" w:hAnsi="Arial" w:eastAsia="Arial" w:cs="Arial"/>
          <w:b w:val="0"/>
          <w:spacing w:val="1"/>
          <w:sz w:val="24"/>
          <w:szCs w:val="24"/>
        </w:rPr>
        <w:t xml:space="preserve"> </w:t>
      </w:r>
      <w:r>
        <w:rPr>
          <w:rFonts w:ascii="Arial" w:hAnsi="Arial" w:eastAsia="Arial" w:cs="Arial"/>
          <w:b w:val="0"/>
          <w:sz w:val="24"/>
          <w:szCs w:val="24"/>
        </w:rPr>
        <w:t xml:space="preserve">do</w:t>
      </w:r>
      <w:r>
        <w:rPr>
          <w:rFonts w:ascii="Arial" w:hAnsi="Arial" w:eastAsia="Arial" w:cs="Arial"/>
          <w:b w:val="0"/>
          <w:spacing w:val="67"/>
          <w:sz w:val="24"/>
          <w:szCs w:val="24"/>
        </w:rPr>
        <w:t xml:space="preserve"> </w:t>
      </w:r>
      <w:r>
        <w:rPr>
          <w:rFonts w:ascii="Arial" w:hAnsi="Arial" w:eastAsia="Arial" w:cs="Arial"/>
          <w:b w:val="0"/>
          <w:sz w:val="24"/>
          <w:szCs w:val="24"/>
        </w:rPr>
        <w:t xml:space="preserve">fabricante</w:t>
      </w:r>
      <w:r>
        <w:rPr>
          <w:rFonts w:ascii="Arial" w:hAnsi="Arial" w:eastAsia="Arial" w:cs="Arial"/>
          <w:b w:val="0"/>
          <w:spacing w:val="67"/>
          <w:sz w:val="24"/>
          <w:szCs w:val="24"/>
        </w:rPr>
        <w:t xml:space="preserve"> </w:t>
      </w:r>
      <w:r>
        <w:rPr>
          <w:rFonts w:ascii="Arial" w:hAnsi="Arial" w:eastAsia="Arial" w:cs="Arial"/>
          <w:b w:val="0"/>
          <w:sz w:val="24"/>
          <w:szCs w:val="24"/>
        </w:rPr>
        <w:t xml:space="preserve">dos veículos,</w:t>
      </w:r>
      <w:r>
        <w:rPr>
          <w:rFonts w:ascii="Arial" w:hAnsi="Arial" w:eastAsia="Arial" w:cs="Arial"/>
          <w:b w:val="0"/>
          <w:spacing w:val="24"/>
          <w:sz w:val="24"/>
          <w:szCs w:val="24"/>
        </w:rPr>
        <w:t xml:space="preserve"> </w:t>
      </w:r>
      <w:r>
        <w:rPr>
          <w:rFonts w:ascii="Arial" w:hAnsi="Arial" w:eastAsia="Arial" w:cs="Arial"/>
          <w:b w:val="0"/>
          <w:sz w:val="24"/>
          <w:szCs w:val="24"/>
        </w:rPr>
        <w:t xml:space="preserve">tais</w:t>
      </w:r>
      <w:r>
        <w:rPr>
          <w:rFonts w:ascii="Arial" w:hAnsi="Arial" w:eastAsia="Arial" w:cs="Arial"/>
          <w:b w:val="0"/>
          <w:spacing w:val="15"/>
          <w:sz w:val="24"/>
          <w:szCs w:val="24"/>
        </w:rPr>
        <w:t xml:space="preserve"> </w:t>
      </w:r>
      <w:r>
        <w:rPr>
          <w:rFonts w:ascii="Arial" w:hAnsi="Arial" w:eastAsia="Arial" w:cs="Arial"/>
          <w:b w:val="0"/>
          <w:sz w:val="24"/>
          <w:szCs w:val="24"/>
        </w:rPr>
        <w:t xml:space="preserve">como:</w:t>
      </w:r>
      <w:r>
        <w:rPr>
          <w:rFonts w:ascii="Arial" w:hAnsi="Arial" w:cs="Arial"/>
          <w:b w:val="0"/>
          <w:sz w:val="24"/>
          <w:szCs w:val="24"/>
        </w:rPr>
      </w:r>
    </w:p>
    <w:p>
      <w:pPr>
        <w:pStyle w:val="896"/>
        <w:pBdr/>
        <w:tabs>
          <w:tab w:val="left" w:leader="none" w:pos="567"/>
        </w:tabs>
        <w:spacing w:before="240" w:line="276" w:lineRule="auto"/>
        <w:ind/>
        <w:jc w:val="both"/>
        <w:rPr>
          <w:rFonts w:ascii="Arial" w:hAnsi="Arial" w:cs="Arial"/>
          <w:b w:val="0"/>
          <w:sz w:val="24"/>
          <w:szCs w:val="24"/>
        </w:rPr>
      </w:pPr>
      <w:r>
        <w:rPr>
          <w:rFonts w:ascii="Arial" w:hAnsi="Arial" w:eastAsia="Arial" w:cs="Arial"/>
          <w:b w:val="0"/>
          <w:sz w:val="24"/>
          <w:szCs w:val="24"/>
        </w:rPr>
        <w:t xml:space="preserve">b1) pessoal</w:t>
      </w:r>
      <w:r>
        <w:rPr>
          <w:rFonts w:ascii="Arial" w:hAnsi="Arial" w:eastAsia="Arial" w:cs="Arial"/>
          <w:b w:val="0"/>
          <w:spacing w:val="1"/>
          <w:sz w:val="24"/>
          <w:szCs w:val="24"/>
        </w:rPr>
        <w:t xml:space="preserve"> </w:t>
      </w:r>
      <w:r>
        <w:rPr>
          <w:rFonts w:ascii="Arial" w:hAnsi="Arial" w:eastAsia="Arial" w:cs="Arial"/>
          <w:b w:val="0"/>
          <w:sz w:val="24"/>
          <w:szCs w:val="24"/>
        </w:rPr>
        <w:t xml:space="preserve">treinado</w:t>
      </w:r>
      <w:r>
        <w:rPr>
          <w:rFonts w:ascii="Arial" w:hAnsi="Arial" w:eastAsia="Arial" w:cs="Arial"/>
          <w:b w:val="0"/>
          <w:spacing w:val="1"/>
          <w:sz w:val="24"/>
          <w:szCs w:val="24"/>
        </w:rPr>
        <w:t xml:space="preserve"> </w:t>
      </w:r>
      <w:r>
        <w:rPr>
          <w:rFonts w:ascii="Arial" w:hAnsi="Arial" w:eastAsia="Arial" w:cs="Arial"/>
          <w:b w:val="0"/>
          <w:sz w:val="24"/>
          <w:szCs w:val="24"/>
        </w:rPr>
        <w:t xml:space="preserve">para executar</w:t>
      </w:r>
      <w:r>
        <w:rPr>
          <w:rFonts w:ascii="Arial" w:hAnsi="Arial" w:eastAsia="Arial" w:cs="Arial"/>
          <w:b w:val="0"/>
          <w:spacing w:val="1"/>
          <w:sz w:val="24"/>
          <w:szCs w:val="24"/>
        </w:rPr>
        <w:t xml:space="preserve"> </w:t>
      </w:r>
      <w:r>
        <w:rPr>
          <w:rFonts w:ascii="Arial" w:hAnsi="Arial" w:eastAsia="Arial" w:cs="Arial"/>
          <w:b w:val="0"/>
          <w:sz w:val="24"/>
          <w:szCs w:val="24"/>
        </w:rPr>
        <w:t xml:space="preserve">os</w:t>
      </w:r>
      <w:r>
        <w:rPr>
          <w:rFonts w:ascii="Arial" w:hAnsi="Arial" w:eastAsia="Arial" w:cs="Arial"/>
          <w:b w:val="0"/>
          <w:spacing w:val="1"/>
          <w:sz w:val="24"/>
          <w:szCs w:val="24"/>
        </w:rPr>
        <w:t xml:space="preserve"> </w:t>
      </w:r>
      <w:r>
        <w:rPr>
          <w:rFonts w:ascii="Arial" w:hAnsi="Arial" w:eastAsia="Arial" w:cs="Arial"/>
          <w:b w:val="0"/>
          <w:sz w:val="24"/>
          <w:szCs w:val="24"/>
        </w:rPr>
        <w:t xml:space="preserve">serviços</w:t>
      </w:r>
      <w:r>
        <w:rPr>
          <w:rFonts w:ascii="Arial" w:hAnsi="Arial" w:eastAsia="Arial" w:cs="Arial"/>
          <w:b w:val="0"/>
          <w:spacing w:val="1"/>
          <w:sz w:val="24"/>
          <w:szCs w:val="24"/>
        </w:rPr>
        <w:t xml:space="preserve"> </w:t>
      </w:r>
      <w:r>
        <w:rPr>
          <w:rFonts w:ascii="Arial" w:hAnsi="Arial" w:eastAsia="Arial" w:cs="Arial"/>
          <w:b w:val="0"/>
          <w:sz w:val="24"/>
          <w:szCs w:val="24"/>
        </w:rPr>
        <w:t xml:space="preserve">nos</w:t>
      </w:r>
      <w:r>
        <w:rPr>
          <w:rFonts w:ascii="Arial" w:hAnsi="Arial" w:eastAsia="Arial" w:cs="Arial"/>
          <w:b w:val="0"/>
          <w:spacing w:val="1"/>
          <w:sz w:val="24"/>
          <w:szCs w:val="24"/>
        </w:rPr>
        <w:t xml:space="preserve"> </w:t>
      </w:r>
      <w:r>
        <w:rPr>
          <w:rFonts w:ascii="Arial" w:hAnsi="Arial" w:eastAsia="Arial" w:cs="Arial"/>
          <w:b w:val="0"/>
          <w:sz w:val="24"/>
          <w:szCs w:val="24"/>
        </w:rPr>
        <w:t xml:space="preserve">veículos</w:t>
      </w:r>
      <w:r>
        <w:rPr>
          <w:rFonts w:ascii="Arial" w:hAnsi="Arial" w:eastAsia="Arial" w:cs="Arial"/>
          <w:b w:val="0"/>
          <w:spacing w:val="1"/>
          <w:sz w:val="24"/>
          <w:szCs w:val="24"/>
        </w:rPr>
        <w:t xml:space="preserve"> </w:t>
      </w:r>
      <w:r>
        <w:rPr>
          <w:rFonts w:ascii="Arial" w:hAnsi="Arial" w:eastAsia="Arial" w:cs="Arial"/>
          <w:b w:val="0"/>
          <w:sz w:val="24"/>
          <w:szCs w:val="24"/>
        </w:rPr>
        <w:t xml:space="preserve">de cada </w:t>
      </w:r>
      <w:r>
        <w:rPr>
          <w:rFonts w:ascii="Arial" w:hAnsi="Arial" w:eastAsia="Arial" w:cs="Arial"/>
          <w:b w:val="0"/>
          <w:sz w:val="24"/>
          <w:szCs w:val="24"/>
        </w:rPr>
        <w:t xml:space="preserve">marca</w:t>
      </w:r>
      <w:r>
        <w:rPr>
          <w:rFonts w:ascii="Arial" w:hAnsi="Arial" w:eastAsia="Arial" w:cs="Arial"/>
          <w:b w:val="0"/>
          <w:spacing w:val="-64"/>
          <w:sz w:val="24"/>
          <w:szCs w:val="24"/>
        </w:rPr>
        <w:t xml:space="preserve"> </w:t>
      </w:r>
      <w:r>
        <w:rPr>
          <w:rFonts w:ascii="Arial" w:hAnsi="Arial" w:eastAsia="Arial" w:cs="Arial"/>
          <w:b w:val="0"/>
          <w:sz w:val="24"/>
          <w:szCs w:val="24"/>
        </w:rPr>
        <w:t xml:space="preserve"> </w:t>
      </w:r>
      <w:r>
        <w:rPr>
          <w:rFonts w:ascii="Arial" w:hAnsi="Arial" w:eastAsia="Arial" w:cs="Arial"/>
          <w:b w:val="0"/>
          <w:sz w:val="24"/>
          <w:szCs w:val="24"/>
        </w:rPr>
        <w:t xml:space="preserve">específ</w:t>
      </w:r>
      <w:r>
        <w:rPr>
          <w:rFonts w:ascii="Arial" w:hAnsi="Arial" w:eastAsia="Arial" w:cs="Arial"/>
          <w:b w:val="0"/>
          <w:spacing w:val="-46"/>
          <w:sz w:val="24"/>
          <w:szCs w:val="24"/>
        </w:rPr>
        <w:t xml:space="preserve"> </w:t>
      </w:r>
      <w:r>
        <w:rPr>
          <w:rFonts w:ascii="Arial" w:hAnsi="Arial" w:eastAsia="Arial" w:cs="Arial"/>
          <w:b w:val="0"/>
          <w:sz w:val="24"/>
          <w:szCs w:val="24"/>
        </w:rPr>
        <w:t xml:space="preserve">ica</w:t>
      </w:r>
      <w:r>
        <w:rPr>
          <w:rFonts w:ascii="Arial" w:hAnsi="Arial" w:eastAsia="Arial" w:cs="Arial"/>
          <w:b w:val="0"/>
          <w:sz w:val="24"/>
          <w:szCs w:val="24"/>
        </w:rPr>
        <w:t xml:space="preserve">;</w:t>
      </w:r>
      <w:r>
        <w:rPr>
          <w:rFonts w:ascii="Arial" w:hAnsi="Arial" w:cs="Arial"/>
          <w:b w:val="0"/>
          <w:sz w:val="24"/>
          <w:szCs w:val="24"/>
        </w:rPr>
      </w:r>
    </w:p>
    <w:p>
      <w:pPr>
        <w:pStyle w:val="896"/>
        <w:pBdr/>
        <w:tabs>
          <w:tab w:val="left" w:leader="none" w:pos="567"/>
        </w:tabs>
        <w:spacing w:before="240" w:line="276" w:lineRule="auto"/>
        <w:ind/>
        <w:jc w:val="both"/>
        <w:rPr>
          <w:rFonts w:ascii="Arial" w:hAnsi="Arial" w:cs="Arial"/>
          <w:b w:val="0"/>
          <w:sz w:val="24"/>
          <w:szCs w:val="24"/>
        </w:rPr>
      </w:pPr>
      <w:r>
        <w:rPr>
          <w:rFonts w:ascii="Arial" w:hAnsi="Arial" w:eastAsia="Arial" w:cs="Arial"/>
          <w:b w:val="0"/>
          <w:sz w:val="24"/>
          <w:szCs w:val="24"/>
        </w:rPr>
        <w:t xml:space="preserve">b2) 01</w:t>
      </w:r>
      <w:r>
        <w:rPr>
          <w:rFonts w:ascii="Arial" w:hAnsi="Arial" w:eastAsia="Arial" w:cs="Arial"/>
          <w:b w:val="0"/>
          <w:spacing w:val="46"/>
          <w:sz w:val="24"/>
          <w:szCs w:val="24"/>
        </w:rPr>
        <w:t xml:space="preserve"> </w:t>
      </w:r>
      <w:r>
        <w:rPr>
          <w:rFonts w:ascii="Arial" w:hAnsi="Arial" w:eastAsia="Arial" w:cs="Arial"/>
          <w:b w:val="0"/>
          <w:sz w:val="24"/>
          <w:szCs w:val="24"/>
        </w:rPr>
        <w:t xml:space="preserve">(uma)</w:t>
      </w:r>
      <w:r>
        <w:rPr>
          <w:rFonts w:ascii="Arial" w:hAnsi="Arial" w:eastAsia="Arial" w:cs="Arial"/>
          <w:b w:val="0"/>
          <w:spacing w:val="26"/>
          <w:sz w:val="24"/>
          <w:szCs w:val="24"/>
        </w:rPr>
        <w:t xml:space="preserve"> </w:t>
      </w:r>
      <w:r>
        <w:rPr>
          <w:rFonts w:ascii="Arial" w:hAnsi="Arial" w:eastAsia="Arial" w:cs="Arial"/>
          <w:b w:val="0"/>
          <w:sz w:val="24"/>
          <w:szCs w:val="24"/>
        </w:rPr>
        <w:t xml:space="preserve">máquina</w:t>
      </w:r>
      <w:r>
        <w:rPr>
          <w:rFonts w:ascii="Arial" w:hAnsi="Arial" w:eastAsia="Arial" w:cs="Arial"/>
          <w:b w:val="0"/>
          <w:spacing w:val="19"/>
          <w:sz w:val="24"/>
          <w:szCs w:val="24"/>
        </w:rPr>
        <w:t xml:space="preserve"> </w:t>
      </w:r>
      <w:r>
        <w:rPr>
          <w:rFonts w:ascii="Arial" w:hAnsi="Arial" w:eastAsia="Arial" w:cs="Arial"/>
          <w:b w:val="0"/>
          <w:sz w:val="24"/>
          <w:szCs w:val="24"/>
        </w:rPr>
        <w:t xml:space="preserve">de</w:t>
      </w:r>
      <w:r>
        <w:rPr>
          <w:rFonts w:ascii="Arial" w:hAnsi="Arial" w:eastAsia="Arial" w:cs="Arial"/>
          <w:b w:val="0"/>
          <w:spacing w:val="20"/>
          <w:sz w:val="24"/>
          <w:szCs w:val="24"/>
        </w:rPr>
        <w:t xml:space="preserve"> </w:t>
      </w:r>
      <w:r>
        <w:rPr>
          <w:rFonts w:ascii="Arial" w:hAnsi="Arial" w:eastAsia="Arial" w:cs="Arial"/>
          <w:b w:val="0"/>
          <w:sz w:val="24"/>
          <w:szCs w:val="24"/>
        </w:rPr>
        <w:t xml:space="preserve">limpeza</w:t>
      </w:r>
      <w:r>
        <w:rPr>
          <w:rFonts w:ascii="Arial" w:hAnsi="Arial" w:eastAsia="Arial" w:cs="Arial"/>
          <w:b w:val="0"/>
          <w:spacing w:val="19"/>
          <w:sz w:val="24"/>
          <w:szCs w:val="24"/>
        </w:rPr>
        <w:t xml:space="preserve"> </w:t>
      </w:r>
      <w:r>
        <w:rPr>
          <w:rFonts w:ascii="Arial" w:hAnsi="Arial" w:eastAsia="Arial" w:cs="Arial"/>
          <w:b w:val="0"/>
          <w:sz w:val="24"/>
          <w:szCs w:val="24"/>
        </w:rPr>
        <w:t xml:space="preserve">do</w:t>
      </w:r>
      <w:r>
        <w:rPr>
          <w:rFonts w:ascii="Arial" w:hAnsi="Arial" w:eastAsia="Arial" w:cs="Arial"/>
          <w:b w:val="0"/>
          <w:spacing w:val="33"/>
          <w:sz w:val="24"/>
          <w:szCs w:val="24"/>
        </w:rPr>
        <w:t xml:space="preserve"> </w:t>
      </w:r>
      <w:r>
        <w:rPr>
          <w:rFonts w:ascii="Arial" w:hAnsi="Arial" w:eastAsia="Arial" w:cs="Arial"/>
          <w:b w:val="0"/>
          <w:sz w:val="24"/>
          <w:szCs w:val="24"/>
        </w:rPr>
        <w:t xml:space="preserve">sistema</w:t>
      </w:r>
      <w:r>
        <w:rPr>
          <w:rFonts w:ascii="Arial" w:hAnsi="Arial" w:eastAsia="Arial" w:cs="Arial"/>
          <w:b w:val="0"/>
          <w:spacing w:val="20"/>
          <w:sz w:val="24"/>
          <w:szCs w:val="24"/>
        </w:rPr>
        <w:t xml:space="preserve"> </w:t>
      </w:r>
      <w:r>
        <w:rPr>
          <w:rFonts w:ascii="Arial" w:hAnsi="Arial" w:eastAsia="Arial" w:cs="Arial"/>
          <w:b w:val="0"/>
          <w:sz w:val="24"/>
          <w:szCs w:val="24"/>
        </w:rPr>
        <w:t xml:space="preserve">de</w:t>
      </w:r>
      <w:r>
        <w:rPr>
          <w:rFonts w:ascii="Arial" w:hAnsi="Arial" w:eastAsia="Arial" w:cs="Arial"/>
          <w:b w:val="0"/>
          <w:spacing w:val="21"/>
          <w:sz w:val="24"/>
          <w:szCs w:val="24"/>
        </w:rPr>
        <w:t xml:space="preserve"> </w:t>
      </w:r>
      <w:r>
        <w:rPr>
          <w:rFonts w:ascii="Arial" w:hAnsi="Arial" w:eastAsia="Arial" w:cs="Arial"/>
          <w:b w:val="0"/>
          <w:sz w:val="24"/>
          <w:szCs w:val="24"/>
        </w:rPr>
        <w:t xml:space="preserve">arrefecimento/radiador;</w:t>
      </w:r>
      <w:r>
        <w:rPr>
          <w:rFonts w:ascii="Arial" w:hAnsi="Arial" w:cs="Arial"/>
          <w:b w:val="0"/>
          <w:sz w:val="24"/>
          <w:szCs w:val="24"/>
        </w:rPr>
      </w:r>
    </w:p>
    <w:p>
      <w:pPr>
        <w:pStyle w:val="896"/>
        <w:pBdr/>
        <w:tabs>
          <w:tab w:val="left" w:leader="none" w:pos="567"/>
        </w:tabs>
        <w:spacing w:before="240" w:line="276" w:lineRule="auto"/>
        <w:ind/>
        <w:jc w:val="both"/>
        <w:rPr>
          <w:rFonts w:ascii="Arial" w:hAnsi="Arial" w:cs="Arial"/>
          <w:b w:val="0"/>
          <w:sz w:val="24"/>
          <w:szCs w:val="24"/>
        </w:rPr>
      </w:pPr>
      <w:r>
        <w:rPr>
          <w:rFonts w:ascii="Arial" w:hAnsi="Arial" w:eastAsia="Arial" w:cs="Arial"/>
          <w:b w:val="0"/>
          <w:sz w:val="24"/>
          <w:szCs w:val="24"/>
        </w:rPr>
        <w:t xml:space="preserve">b3) 01</w:t>
      </w:r>
      <w:r>
        <w:rPr>
          <w:rFonts w:ascii="Arial" w:hAnsi="Arial" w:eastAsia="Arial" w:cs="Arial"/>
          <w:b w:val="0"/>
          <w:spacing w:val="39"/>
          <w:sz w:val="24"/>
          <w:szCs w:val="24"/>
        </w:rPr>
        <w:t xml:space="preserve"> </w:t>
      </w:r>
      <w:r>
        <w:rPr>
          <w:rFonts w:ascii="Arial" w:hAnsi="Arial" w:eastAsia="Arial" w:cs="Arial"/>
          <w:b w:val="0"/>
          <w:sz w:val="24"/>
          <w:szCs w:val="24"/>
        </w:rPr>
        <w:t xml:space="preserve">(um)</w:t>
      </w:r>
      <w:r>
        <w:rPr>
          <w:rFonts w:ascii="Arial" w:hAnsi="Arial" w:eastAsia="Arial" w:cs="Arial"/>
          <w:b w:val="0"/>
          <w:spacing w:val="20"/>
          <w:sz w:val="24"/>
          <w:szCs w:val="24"/>
        </w:rPr>
        <w:t xml:space="preserve"> </w:t>
      </w:r>
      <w:r>
        <w:rPr>
          <w:rFonts w:ascii="Arial" w:hAnsi="Arial" w:eastAsia="Arial" w:cs="Arial"/>
          <w:b w:val="0"/>
          <w:sz w:val="24"/>
          <w:szCs w:val="24"/>
        </w:rPr>
        <w:t xml:space="preserve">carregador</w:t>
      </w:r>
      <w:r>
        <w:rPr>
          <w:rFonts w:ascii="Arial" w:hAnsi="Arial" w:eastAsia="Arial" w:cs="Arial"/>
          <w:b w:val="0"/>
          <w:spacing w:val="26"/>
          <w:sz w:val="24"/>
          <w:szCs w:val="24"/>
        </w:rPr>
        <w:t xml:space="preserve"> </w:t>
      </w:r>
      <w:r>
        <w:rPr>
          <w:rFonts w:ascii="Arial" w:hAnsi="Arial" w:eastAsia="Arial" w:cs="Arial"/>
          <w:b w:val="0"/>
          <w:sz w:val="24"/>
          <w:szCs w:val="24"/>
        </w:rPr>
        <w:t xml:space="preserve">de</w:t>
      </w:r>
      <w:r>
        <w:rPr>
          <w:rFonts w:ascii="Arial" w:hAnsi="Arial" w:eastAsia="Arial" w:cs="Arial"/>
          <w:b w:val="0"/>
          <w:spacing w:val="14"/>
          <w:sz w:val="24"/>
          <w:szCs w:val="24"/>
        </w:rPr>
        <w:t xml:space="preserve"> </w:t>
      </w:r>
      <w:r>
        <w:rPr>
          <w:rFonts w:ascii="Arial" w:hAnsi="Arial" w:eastAsia="Arial" w:cs="Arial"/>
          <w:b w:val="0"/>
          <w:sz w:val="24"/>
          <w:szCs w:val="24"/>
        </w:rPr>
        <w:t xml:space="preserve">baterias;</w:t>
      </w:r>
      <w:r>
        <w:rPr>
          <w:rFonts w:ascii="Arial" w:hAnsi="Arial" w:cs="Arial"/>
          <w:b w:val="0"/>
          <w:sz w:val="24"/>
          <w:szCs w:val="24"/>
        </w:rPr>
      </w:r>
    </w:p>
    <w:p>
      <w:pPr>
        <w:pStyle w:val="896"/>
        <w:pBdr/>
        <w:tabs>
          <w:tab w:val="left" w:leader="none" w:pos="567"/>
        </w:tabs>
        <w:spacing w:before="240" w:line="276" w:lineRule="auto"/>
        <w:ind/>
        <w:jc w:val="both"/>
        <w:rPr>
          <w:rFonts w:ascii="Arial" w:hAnsi="Arial" w:cs="Arial"/>
          <w:b w:val="0"/>
          <w:sz w:val="24"/>
          <w:szCs w:val="24"/>
        </w:rPr>
      </w:pPr>
      <w:r>
        <w:rPr>
          <w:rFonts w:ascii="Arial" w:hAnsi="Arial" w:eastAsia="Arial" w:cs="Arial"/>
          <w:b w:val="0"/>
          <w:sz w:val="24"/>
          <w:szCs w:val="24"/>
        </w:rPr>
        <w:t xml:space="preserve">b4) 01</w:t>
      </w:r>
      <w:r>
        <w:rPr>
          <w:rFonts w:ascii="Arial" w:hAnsi="Arial" w:eastAsia="Arial" w:cs="Arial"/>
          <w:b w:val="0"/>
          <w:spacing w:val="39"/>
          <w:sz w:val="24"/>
          <w:szCs w:val="24"/>
        </w:rPr>
        <w:t xml:space="preserve"> </w:t>
      </w:r>
      <w:r>
        <w:rPr>
          <w:rFonts w:ascii="Arial" w:hAnsi="Arial" w:eastAsia="Arial" w:cs="Arial"/>
          <w:b w:val="0"/>
          <w:sz w:val="24"/>
          <w:szCs w:val="24"/>
        </w:rPr>
        <w:t xml:space="preserve">(um)</w:t>
      </w:r>
      <w:r>
        <w:rPr>
          <w:rFonts w:ascii="Arial" w:hAnsi="Arial" w:eastAsia="Arial" w:cs="Arial"/>
          <w:b w:val="0"/>
          <w:spacing w:val="21"/>
          <w:sz w:val="24"/>
          <w:szCs w:val="24"/>
        </w:rPr>
        <w:t xml:space="preserve"> </w:t>
      </w:r>
      <w:r>
        <w:rPr>
          <w:rFonts w:ascii="Arial" w:hAnsi="Arial" w:eastAsia="Arial" w:cs="Arial"/>
          <w:b w:val="0"/>
          <w:sz w:val="24"/>
          <w:szCs w:val="24"/>
        </w:rPr>
        <w:t xml:space="preserve">teste</w:t>
      </w:r>
      <w:r>
        <w:rPr>
          <w:rFonts w:ascii="Arial" w:hAnsi="Arial" w:eastAsia="Arial" w:cs="Arial"/>
          <w:b w:val="0"/>
          <w:spacing w:val="14"/>
          <w:sz w:val="24"/>
          <w:szCs w:val="24"/>
        </w:rPr>
        <w:t xml:space="preserve"> </w:t>
      </w:r>
      <w:r>
        <w:rPr>
          <w:rFonts w:ascii="Arial" w:hAnsi="Arial" w:eastAsia="Arial" w:cs="Arial"/>
          <w:b w:val="0"/>
          <w:sz w:val="24"/>
          <w:szCs w:val="24"/>
        </w:rPr>
        <w:t xml:space="preserve">para</w:t>
      </w:r>
      <w:r>
        <w:rPr>
          <w:rFonts w:ascii="Arial" w:hAnsi="Arial" w:eastAsia="Arial" w:cs="Arial"/>
          <w:b w:val="0"/>
          <w:spacing w:val="14"/>
          <w:sz w:val="24"/>
          <w:szCs w:val="24"/>
        </w:rPr>
        <w:t xml:space="preserve"> </w:t>
      </w:r>
      <w:r>
        <w:rPr>
          <w:rFonts w:ascii="Arial" w:hAnsi="Arial" w:eastAsia="Arial" w:cs="Arial"/>
          <w:b w:val="0"/>
          <w:sz w:val="24"/>
          <w:szCs w:val="24"/>
        </w:rPr>
        <w:t xml:space="preserve">análise</w:t>
      </w:r>
      <w:r>
        <w:rPr>
          <w:rFonts w:ascii="Arial" w:hAnsi="Arial" w:eastAsia="Arial" w:cs="Arial"/>
          <w:b w:val="0"/>
          <w:spacing w:val="14"/>
          <w:sz w:val="24"/>
          <w:szCs w:val="24"/>
        </w:rPr>
        <w:t xml:space="preserve"> </w:t>
      </w:r>
      <w:r>
        <w:rPr>
          <w:rFonts w:ascii="Arial" w:hAnsi="Arial" w:eastAsia="Arial" w:cs="Arial"/>
          <w:b w:val="0"/>
          <w:sz w:val="24"/>
          <w:szCs w:val="24"/>
        </w:rPr>
        <w:t xml:space="preserve">de</w:t>
      </w:r>
      <w:r>
        <w:rPr>
          <w:rFonts w:ascii="Arial" w:hAnsi="Arial" w:eastAsia="Arial" w:cs="Arial"/>
          <w:b w:val="0"/>
          <w:spacing w:val="13"/>
          <w:sz w:val="24"/>
          <w:szCs w:val="24"/>
        </w:rPr>
        <w:t xml:space="preserve"> </w:t>
      </w:r>
      <w:r>
        <w:rPr>
          <w:rFonts w:ascii="Arial" w:hAnsi="Arial" w:eastAsia="Arial" w:cs="Arial"/>
          <w:b w:val="0"/>
          <w:sz w:val="24"/>
          <w:szCs w:val="24"/>
        </w:rPr>
        <w:t xml:space="preserve">baterias;</w:t>
      </w:r>
      <w:r>
        <w:rPr>
          <w:rFonts w:ascii="Arial" w:hAnsi="Arial" w:cs="Arial"/>
          <w:b w:val="0"/>
          <w:sz w:val="24"/>
          <w:szCs w:val="24"/>
        </w:rPr>
      </w:r>
    </w:p>
    <w:p>
      <w:pPr>
        <w:pStyle w:val="896"/>
        <w:pBdr/>
        <w:tabs>
          <w:tab w:val="left" w:leader="none" w:pos="567"/>
        </w:tabs>
        <w:spacing w:before="240" w:line="276" w:lineRule="auto"/>
        <w:ind w:right="-284"/>
        <w:jc w:val="both"/>
        <w:rPr>
          <w:rFonts w:ascii="Arial" w:hAnsi="Arial" w:cs="Arial"/>
          <w:b w:val="0"/>
          <w:sz w:val="24"/>
          <w:szCs w:val="24"/>
        </w:rPr>
      </w:pPr>
      <w:r>
        <w:rPr>
          <w:rFonts w:ascii="Arial" w:hAnsi="Arial" w:eastAsia="Arial" w:cs="Arial"/>
          <w:b w:val="0"/>
          <w:sz w:val="24"/>
          <w:szCs w:val="24"/>
        </w:rPr>
        <w:t xml:space="preserve">b5) equipamentos para serviços de suspensão: prensa </w:t>
      </w:r>
      <w:r>
        <w:rPr>
          <w:rFonts w:ascii="Arial" w:hAnsi="Arial" w:eastAsia="Arial" w:cs="Arial"/>
          <w:b w:val="0"/>
          <w:sz w:val="24"/>
          <w:szCs w:val="24"/>
        </w:rPr>
        <w:t xml:space="preserve">hidráulica, </w:t>
      </w:r>
      <w:r>
        <w:rPr>
          <w:rFonts w:ascii="Arial" w:hAnsi="Arial" w:eastAsia="Arial" w:cs="Arial"/>
          <w:b w:val="0"/>
          <w:spacing w:val="-64"/>
          <w:sz w:val="24"/>
          <w:szCs w:val="24"/>
        </w:rPr>
        <w:t xml:space="preserve">  </w:t>
      </w:r>
      <w:r>
        <w:rPr>
          <w:rFonts w:ascii="Arial" w:hAnsi="Arial" w:eastAsia="Arial" w:cs="Arial"/>
          <w:b w:val="0"/>
          <w:spacing w:val="-64"/>
          <w:sz w:val="24"/>
          <w:szCs w:val="24"/>
        </w:rPr>
        <w:t xml:space="preserve">  </w:t>
      </w:r>
      <w:r>
        <w:rPr>
          <w:rFonts w:ascii="Arial" w:hAnsi="Arial" w:eastAsia="Arial" w:cs="Arial"/>
          <w:b w:val="0"/>
          <w:sz w:val="24"/>
          <w:szCs w:val="24"/>
        </w:rPr>
        <w:t xml:space="preserve">torquímetro</w:t>
      </w:r>
      <w:r>
        <w:rPr>
          <w:rFonts w:ascii="Arial" w:hAnsi="Arial" w:eastAsia="Arial" w:cs="Arial"/>
          <w:b w:val="0"/>
          <w:spacing w:val="16"/>
          <w:sz w:val="24"/>
          <w:szCs w:val="24"/>
        </w:rPr>
        <w:t xml:space="preserve"> </w:t>
      </w:r>
      <w:r>
        <w:rPr>
          <w:rFonts w:ascii="Arial" w:hAnsi="Arial" w:eastAsia="Arial" w:cs="Arial"/>
          <w:b w:val="0"/>
          <w:sz w:val="24"/>
          <w:szCs w:val="24"/>
        </w:rPr>
        <w:t xml:space="preserve">e</w:t>
      </w:r>
      <w:r>
        <w:rPr>
          <w:rFonts w:ascii="Arial" w:hAnsi="Arial" w:eastAsia="Arial" w:cs="Arial"/>
          <w:b w:val="0"/>
          <w:spacing w:val="7"/>
          <w:sz w:val="24"/>
          <w:szCs w:val="24"/>
        </w:rPr>
        <w:t xml:space="preserve"> </w:t>
      </w:r>
      <w:r>
        <w:rPr>
          <w:rFonts w:ascii="Arial" w:hAnsi="Arial" w:eastAsia="Arial" w:cs="Arial"/>
          <w:b w:val="0"/>
          <w:sz w:val="24"/>
          <w:szCs w:val="24"/>
        </w:rPr>
        <w:t xml:space="preserve">parquímetro;</w:t>
      </w:r>
      <w:r>
        <w:rPr>
          <w:rFonts w:ascii="Arial" w:hAnsi="Arial" w:cs="Arial"/>
          <w:b w:val="0"/>
          <w:sz w:val="24"/>
          <w:szCs w:val="24"/>
        </w:rPr>
      </w:r>
    </w:p>
    <w:p>
      <w:pPr>
        <w:pStyle w:val="896"/>
        <w:pBdr/>
        <w:tabs>
          <w:tab w:val="left" w:leader="none" w:pos="567"/>
        </w:tabs>
        <w:spacing w:line="276" w:lineRule="auto"/>
        <w:ind/>
        <w:jc w:val="both"/>
        <w:rPr>
          <w:rFonts w:ascii="Arial" w:hAnsi="Arial" w:cs="Arial"/>
          <w:sz w:val="24"/>
          <w:szCs w:val="24"/>
        </w:rPr>
      </w:pPr>
      <w:r>
        <w:rPr>
          <w:rFonts w:ascii="Arial" w:hAnsi="Arial" w:eastAsia="Arial" w:cs="Arial"/>
          <w:b w:val="0"/>
          <w:sz w:val="24"/>
          <w:szCs w:val="24"/>
        </w:rPr>
        <w:t xml:space="preserve">b6) Demais </w:t>
      </w:r>
      <w:r>
        <w:rPr>
          <w:rFonts w:ascii="Arial" w:hAnsi="Arial" w:eastAsia="Arial" w:cs="Arial"/>
          <w:b w:val="0"/>
          <w:sz w:val="24"/>
          <w:szCs w:val="24"/>
        </w:rPr>
        <w:t xml:space="preserve">ferramentas, acessórios</w:t>
      </w:r>
      <w:r>
        <w:rPr>
          <w:rFonts w:ascii="Arial" w:hAnsi="Arial" w:eastAsia="Arial" w:cs="Arial"/>
          <w:b w:val="0"/>
          <w:spacing w:val="61"/>
          <w:sz w:val="24"/>
          <w:szCs w:val="24"/>
        </w:rPr>
        <w:t xml:space="preserve"> </w:t>
      </w:r>
      <w:r>
        <w:rPr>
          <w:rFonts w:ascii="Arial" w:hAnsi="Arial" w:eastAsia="Arial" w:cs="Arial"/>
          <w:b w:val="0"/>
          <w:sz w:val="24"/>
          <w:szCs w:val="24"/>
        </w:rPr>
        <w:t xml:space="preserve">e</w:t>
      </w:r>
      <w:r>
        <w:rPr>
          <w:rFonts w:ascii="Arial" w:hAnsi="Arial" w:eastAsia="Arial" w:cs="Arial"/>
          <w:b w:val="0"/>
          <w:spacing w:val="55"/>
          <w:sz w:val="24"/>
          <w:szCs w:val="24"/>
        </w:rPr>
        <w:t xml:space="preserve"> </w:t>
      </w:r>
      <w:r>
        <w:rPr>
          <w:rFonts w:ascii="Arial" w:hAnsi="Arial" w:eastAsia="Arial" w:cs="Arial"/>
          <w:b w:val="0"/>
          <w:sz w:val="24"/>
          <w:szCs w:val="24"/>
        </w:rPr>
        <w:t xml:space="preserve">equipamentos</w:t>
      </w:r>
      <w:r>
        <w:rPr>
          <w:rFonts w:ascii="Arial" w:hAnsi="Arial" w:eastAsia="Arial" w:cs="Arial"/>
          <w:b w:val="0"/>
          <w:spacing w:val="60"/>
          <w:sz w:val="24"/>
          <w:szCs w:val="24"/>
        </w:rPr>
        <w:t xml:space="preserve"> </w:t>
      </w:r>
      <w:r>
        <w:rPr>
          <w:rFonts w:ascii="Arial" w:hAnsi="Arial" w:eastAsia="Arial" w:cs="Arial"/>
          <w:b w:val="0"/>
          <w:sz w:val="24"/>
          <w:szCs w:val="24"/>
        </w:rPr>
        <w:t xml:space="preserve">adequadas</w:t>
      </w:r>
      <w:r>
        <w:rPr>
          <w:rFonts w:ascii="Arial" w:hAnsi="Arial" w:eastAsia="Arial" w:cs="Arial"/>
          <w:b w:val="0"/>
          <w:spacing w:val="58"/>
          <w:sz w:val="24"/>
          <w:szCs w:val="24"/>
        </w:rPr>
        <w:t xml:space="preserve"> </w:t>
      </w:r>
      <w:r>
        <w:rPr>
          <w:rFonts w:ascii="Arial" w:hAnsi="Arial" w:eastAsia="Arial" w:cs="Arial"/>
          <w:b w:val="0"/>
          <w:sz w:val="24"/>
          <w:szCs w:val="24"/>
        </w:rPr>
        <w:t xml:space="preserve">para</w:t>
      </w:r>
      <w:r>
        <w:rPr>
          <w:rFonts w:ascii="Arial" w:hAnsi="Arial" w:eastAsia="Arial" w:cs="Arial"/>
          <w:b w:val="0"/>
          <w:spacing w:val="55"/>
          <w:sz w:val="24"/>
          <w:szCs w:val="24"/>
        </w:rPr>
        <w:t xml:space="preserve"> </w:t>
      </w:r>
      <w:r>
        <w:rPr>
          <w:rFonts w:ascii="Arial" w:hAnsi="Arial" w:eastAsia="Arial" w:cs="Arial"/>
          <w:b w:val="0"/>
          <w:sz w:val="24"/>
          <w:szCs w:val="24"/>
        </w:rPr>
        <w:t xml:space="preserve">a</w:t>
      </w:r>
      <w:r>
        <w:rPr>
          <w:rFonts w:ascii="Arial" w:hAnsi="Arial" w:eastAsia="Arial" w:cs="Arial"/>
          <w:b w:val="0"/>
          <w:spacing w:val="-64"/>
          <w:sz w:val="24"/>
          <w:szCs w:val="24"/>
        </w:rPr>
        <w:t xml:space="preserve">              </w:t>
      </w:r>
      <w:r>
        <w:rPr>
          <w:rFonts w:ascii="Arial" w:hAnsi="Arial" w:eastAsia="Arial" w:cs="Arial"/>
          <w:b w:val="0"/>
          <w:sz w:val="24"/>
          <w:szCs w:val="24"/>
        </w:rPr>
        <w:t xml:space="preserve">realização</w:t>
      </w:r>
      <w:r>
        <w:rPr>
          <w:rFonts w:ascii="Arial" w:hAnsi="Arial" w:eastAsia="Arial" w:cs="Arial"/>
          <w:b w:val="0"/>
          <w:spacing w:val="19"/>
          <w:sz w:val="24"/>
          <w:szCs w:val="24"/>
        </w:rPr>
        <w:t xml:space="preserve"> </w:t>
      </w:r>
      <w:r>
        <w:rPr>
          <w:rFonts w:ascii="Arial" w:hAnsi="Arial" w:eastAsia="Arial" w:cs="Arial"/>
          <w:b w:val="0"/>
          <w:sz w:val="24"/>
          <w:szCs w:val="24"/>
        </w:rPr>
        <w:t xml:space="preserve">dos</w:t>
      </w:r>
      <w:r>
        <w:rPr>
          <w:rFonts w:ascii="Arial" w:hAnsi="Arial" w:eastAsia="Arial" w:cs="Arial"/>
          <w:b w:val="0"/>
          <w:spacing w:val="15"/>
          <w:sz w:val="24"/>
          <w:szCs w:val="24"/>
        </w:rPr>
        <w:t xml:space="preserve"> </w:t>
      </w:r>
      <w:r>
        <w:rPr>
          <w:rFonts w:ascii="Arial" w:hAnsi="Arial" w:eastAsia="Arial" w:cs="Arial"/>
          <w:b w:val="0"/>
          <w:sz w:val="24"/>
          <w:szCs w:val="24"/>
        </w:rPr>
        <w:t xml:space="preserve">reparos</w:t>
      </w:r>
      <w:r>
        <w:rPr>
          <w:rFonts w:ascii="Arial" w:hAnsi="Arial" w:eastAsia="Arial" w:cs="Arial"/>
          <w:b w:val="0"/>
          <w:spacing w:val="14"/>
          <w:sz w:val="24"/>
          <w:szCs w:val="24"/>
        </w:rPr>
        <w:t xml:space="preserve"> </w:t>
      </w:r>
      <w:r>
        <w:rPr>
          <w:rFonts w:ascii="Arial" w:hAnsi="Arial" w:eastAsia="Arial" w:cs="Arial"/>
          <w:b w:val="0"/>
          <w:sz w:val="24"/>
          <w:szCs w:val="24"/>
        </w:rPr>
        <w:t xml:space="preserve">nos</w:t>
      </w:r>
      <w:r>
        <w:rPr>
          <w:rFonts w:ascii="Arial" w:hAnsi="Arial" w:eastAsia="Arial" w:cs="Arial"/>
          <w:b w:val="0"/>
          <w:spacing w:val="15"/>
          <w:sz w:val="24"/>
          <w:szCs w:val="24"/>
        </w:rPr>
        <w:t xml:space="preserve"> </w:t>
      </w:r>
      <w:r>
        <w:rPr>
          <w:rFonts w:ascii="Arial" w:hAnsi="Arial" w:eastAsia="Arial" w:cs="Arial"/>
          <w:b w:val="0"/>
          <w:sz w:val="24"/>
          <w:szCs w:val="24"/>
        </w:rPr>
        <w:t xml:space="preserve">veículos</w:t>
      </w:r>
      <w:r>
        <w:rPr>
          <w:rFonts w:ascii="Arial" w:hAnsi="Arial" w:eastAsia="Arial" w:cs="Arial"/>
          <w:b w:val="0"/>
          <w:spacing w:val="14"/>
          <w:sz w:val="24"/>
          <w:szCs w:val="24"/>
        </w:rPr>
        <w:t xml:space="preserve"> </w:t>
      </w:r>
      <w:r>
        <w:rPr>
          <w:rFonts w:ascii="Arial" w:hAnsi="Arial" w:eastAsia="Arial" w:cs="Arial"/>
          <w:b w:val="0"/>
          <w:sz w:val="24"/>
          <w:szCs w:val="24"/>
        </w:rPr>
        <w:t xml:space="preserve">com</w:t>
      </w:r>
      <w:r>
        <w:rPr>
          <w:rFonts w:ascii="Arial" w:hAnsi="Arial" w:eastAsia="Arial" w:cs="Arial"/>
          <w:b w:val="0"/>
          <w:spacing w:val="23"/>
          <w:sz w:val="24"/>
          <w:szCs w:val="24"/>
        </w:rPr>
        <w:t xml:space="preserve"> </w:t>
      </w:r>
      <w:r>
        <w:rPr>
          <w:rFonts w:ascii="Arial" w:hAnsi="Arial" w:eastAsia="Arial" w:cs="Arial"/>
          <w:b w:val="0"/>
          <w:sz w:val="24"/>
          <w:szCs w:val="24"/>
        </w:rPr>
        <w:t xml:space="preserve">qualidade,</w:t>
      </w:r>
      <w:r>
        <w:rPr>
          <w:rFonts w:ascii="Arial" w:hAnsi="Arial" w:eastAsia="Arial" w:cs="Arial"/>
          <w:b w:val="0"/>
          <w:spacing w:val="27"/>
          <w:sz w:val="24"/>
          <w:szCs w:val="24"/>
        </w:rPr>
        <w:t xml:space="preserve"> </w:t>
      </w:r>
      <w:r>
        <w:rPr>
          <w:rFonts w:ascii="Arial" w:hAnsi="Arial" w:eastAsia="Arial" w:cs="Arial"/>
          <w:b w:val="0"/>
          <w:sz w:val="24"/>
          <w:szCs w:val="24"/>
        </w:rPr>
        <w:t xml:space="preserve">segurança</w:t>
      </w:r>
      <w:r>
        <w:rPr>
          <w:rFonts w:ascii="Arial" w:hAnsi="Arial" w:eastAsia="Arial" w:cs="Arial"/>
          <w:b w:val="0"/>
          <w:spacing w:val="10"/>
          <w:sz w:val="24"/>
          <w:szCs w:val="24"/>
        </w:rPr>
        <w:t xml:space="preserve"> </w:t>
      </w:r>
      <w:r>
        <w:rPr>
          <w:rFonts w:ascii="Arial" w:hAnsi="Arial" w:eastAsia="Arial" w:cs="Arial"/>
          <w:b w:val="0"/>
          <w:sz w:val="24"/>
          <w:szCs w:val="24"/>
        </w:rPr>
        <w:t xml:space="preserve">e</w:t>
      </w:r>
      <w:r>
        <w:rPr>
          <w:rFonts w:ascii="Arial" w:hAnsi="Arial" w:eastAsia="Arial" w:cs="Arial"/>
          <w:b w:val="0"/>
          <w:spacing w:val="10"/>
          <w:sz w:val="24"/>
          <w:szCs w:val="24"/>
        </w:rPr>
        <w:t xml:space="preserve"> </w:t>
      </w:r>
      <w:r>
        <w:rPr>
          <w:rFonts w:ascii="Arial" w:hAnsi="Arial" w:eastAsia="Arial" w:cs="Arial"/>
          <w:b w:val="0"/>
          <w:sz w:val="24"/>
          <w:szCs w:val="24"/>
        </w:rPr>
        <w:t xml:space="preserve">precisão.</w:t>
      </w:r>
      <w:r>
        <w:rPr>
          <w:rFonts w:ascii="Arial" w:hAnsi="Arial" w:cs="Arial"/>
          <w:sz w:val="24"/>
          <w:szCs w:val="24"/>
        </w:rPr>
      </w:r>
    </w:p>
    <w:p>
      <w:pPr>
        <w:pStyle w:val="969"/>
        <w:pBdr/>
        <w:tabs>
          <w:tab w:val="left" w:leader="none" w:pos="567"/>
        </w:tabs>
        <w:spacing w:before="240" w:line="276" w:lineRule="auto"/>
        <w:ind/>
        <w:rPr>
          <w:rFonts w:cs="Arial"/>
          <w:sz w:val="24"/>
          <w:szCs w:val="24"/>
        </w:rPr>
      </w:pPr>
      <w:r>
        <w:rPr>
          <w:rFonts w:eastAsia="Arial" w:cs="Arial"/>
          <w:sz w:val="24"/>
          <w:szCs w:val="24"/>
        </w:rPr>
        <w:t xml:space="preserve">Serviços</w:t>
      </w:r>
      <w:r>
        <w:rPr>
          <w:rFonts w:eastAsia="Arial" w:cs="Arial"/>
          <w:spacing w:val="1"/>
          <w:sz w:val="24"/>
          <w:szCs w:val="24"/>
        </w:rPr>
        <w:t xml:space="preserve"> </w:t>
      </w:r>
      <w:r>
        <w:rPr>
          <w:rFonts w:eastAsia="Arial" w:cs="Arial"/>
          <w:sz w:val="24"/>
          <w:szCs w:val="24"/>
        </w:rPr>
        <w:t xml:space="preserve">como</w:t>
      </w:r>
      <w:r>
        <w:rPr>
          <w:rFonts w:eastAsia="Arial" w:cs="Arial"/>
          <w:spacing w:val="1"/>
          <w:sz w:val="24"/>
          <w:szCs w:val="24"/>
        </w:rPr>
        <w:t xml:space="preserve"> </w:t>
      </w:r>
      <w:r>
        <w:rPr>
          <w:rFonts w:eastAsia="Arial" w:cs="Arial"/>
          <w:sz w:val="24"/>
          <w:szCs w:val="24"/>
        </w:rPr>
        <w:t xml:space="preserve">borracharia,</w:t>
      </w:r>
      <w:r>
        <w:rPr>
          <w:rFonts w:eastAsia="Arial" w:cs="Arial"/>
          <w:spacing w:val="1"/>
          <w:sz w:val="24"/>
          <w:szCs w:val="24"/>
        </w:rPr>
        <w:t xml:space="preserve"> </w:t>
      </w:r>
      <w:r>
        <w:rPr>
          <w:rFonts w:eastAsia="Arial" w:cs="Arial"/>
          <w:sz w:val="24"/>
          <w:szCs w:val="24"/>
        </w:rPr>
        <w:t xml:space="preserve">alinhamento/balanceamento,</w:t>
      </w:r>
      <w:r>
        <w:rPr>
          <w:rFonts w:eastAsia="Arial" w:cs="Arial"/>
          <w:spacing w:val="1"/>
          <w:sz w:val="24"/>
          <w:szCs w:val="24"/>
        </w:rPr>
        <w:t xml:space="preserve"> </w:t>
      </w:r>
      <w:r>
        <w:rPr>
          <w:rFonts w:eastAsia="Arial" w:cs="Arial"/>
          <w:sz w:val="24"/>
          <w:szCs w:val="24"/>
        </w:rPr>
        <w:t xml:space="preserve">lanternagem/pintura,</w:t>
      </w:r>
      <w:r>
        <w:rPr>
          <w:rFonts w:eastAsia="Arial" w:cs="Arial"/>
          <w:spacing w:val="1"/>
          <w:sz w:val="24"/>
          <w:szCs w:val="24"/>
        </w:rPr>
        <w:t xml:space="preserve"> </w:t>
      </w:r>
      <w:r>
        <w:rPr>
          <w:rFonts w:eastAsia="Arial" w:cs="Arial"/>
          <w:sz w:val="24"/>
          <w:szCs w:val="24"/>
        </w:rPr>
        <w:t xml:space="preserve">tornearia, molas, capotaria, funilaria, retífica de motores, poderão ser subcontratados,</w:t>
      </w:r>
      <w:r>
        <w:rPr>
          <w:rFonts w:eastAsia="Arial" w:cs="Arial"/>
          <w:spacing w:val="1"/>
          <w:sz w:val="24"/>
          <w:szCs w:val="24"/>
        </w:rPr>
        <w:t xml:space="preserve"> </w:t>
      </w:r>
      <w:r>
        <w:rPr>
          <w:rFonts w:eastAsia="Arial" w:cs="Arial"/>
          <w:sz w:val="24"/>
          <w:szCs w:val="24"/>
        </w:rPr>
        <w:t xml:space="preserve">sendo</w:t>
      </w:r>
      <w:r>
        <w:rPr>
          <w:rFonts w:eastAsia="Arial" w:cs="Arial"/>
          <w:spacing w:val="1"/>
          <w:sz w:val="24"/>
          <w:szCs w:val="24"/>
        </w:rPr>
        <w:t xml:space="preserve"> </w:t>
      </w:r>
      <w:r>
        <w:rPr>
          <w:rFonts w:eastAsia="Arial" w:cs="Arial"/>
          <w:sz w:val="24"/>
          <w:szCs w:val="24"/>
        </w:rPr>
        <w:t xml:space="preserve">de</w:t>
      </w:r>
      <w:r>
        <w:rPr>
          <w:rFonts w:eastAsia="Arial" w:cs="Arial"/>
          <w:spacing w:val="1"/>
          <w:sz w:val="24"/>
          <w:szCs w:val="24"/>
        </w:rPr>
        <w:t xml:space="preserve"> </w:t>
      </w:r>
      <w:r>
        <w:rPr>
          <w:rFonts w:eastAsia="Arial" w:cs="Arial"/>
          <w:sz w:val="24"/>
          <w:szCs w:val="24"/>
        </w:rPr>
        <w:t xml:space="preserve">inteira</w:t>
      </w:r>
      <w:r>
        <w:rPr>
          <w:rFonts w:eastAsia="Arial" w:cs="Arial"/>
          <w:spacing w:val="1"/>
          <w:sz w:val="24"/>
          <w:szCs w:val="24"/>
        </w:rPr>
        <w:t xml:space="preserve"> </w:t>
      </w:r>
      <w:r>
        <w:rPr>
          <w:rFonts w:eastAsia="Arial" w:cs="Arial"/>
          <w:sz w:val="24"/>
          <w:szCs w:val="24"/>
        </w:rPr>
        <w:t xml:space="preserve">responsabilidade</w:t>
      </w:r>
      <w:r>
        <w:rPr>
          <w:rFonts w:eastAsia="Arial" w:cs="Arial"/>
          <w:spacing w:val="1"/>
          <w:sz w:val="24"/>
          <w:szCs w:val="24"/>
        </w:rPr>
        <w:t xml:space="preserve"> </w:t>
      </w:r>
      <w:r>
        <w:rPr>
          <w:rFonts w:eastAsia="Arial" w:cs="Arial"/>
          <w:sz w:val="24"/>
          <w:szCs w:val="24"/>
        </w:rPr>
        <w:t xml:space="preserve">da</w:t>
      </w:r>
      <w:r>
        <w:rPr>
          <w:rFonts w:eastAsia="Arial" w:cs="Arial"/>
          <w:spacing w:val="1"/>
          <w:sz w:val="24"/>
          <w:szCs w:val="24"/>
        </w:rPr>
        <w:t xml:space="preserve"> </w:t>
      </w:r>
      <w:r>
        <w:rPr>
          <w:rFonts w:eastAsia="Arial" w:cs="Arial"/>
          <w:sz w:val="24"/>
          <w:szCs w:val="24"/>
        </w:rPr>
        <w:t xml:space="preserve">Contratada</w:t>
      </w:r>
      <w:r>
        <w:rPr>
          <w:rFonts w:eastAsia="Arial" w:cs="Arial"/>
          <w:spacing w:val="1"/>
          <w:sz w:val="24"/>
          <w:szCs w:val="24"/>
        </w:rPr>
        <w:t xml:space="preserve"> </w:t>
      </w:r>
      <w:r>
        <w:rPr>
          <w:rFonts w:eastAsia="Arial" w:cs="Arial"/>
          <w:sz w:val="24"/>
          <w:szCs w:val="24"/>
        </w:rPr>
        <w:t xml:space="preserve">qualquer</w:t>
      </w:r>
      <w:r>
        <w:rPr>
          <w:rFonts w:eastAsia="Arial" w:cs="Arial"/>
          <w:spacing w:val="1"/>
          <w:sz w:val="24"/>
          <w:szCs w:val="24"/>
        </w:rPr>
        <w:t xml:space="preserve"> </w:t>
      </w:r>
      <w:r>
        <w:rPr>
          <w:rFonts w:eastAsia="Arial" w:cs="Arial"/>
          <w:sz w:val="24"/>
          <w:szCs w:val="24"/>
        </w:rPr>
        <w:t xml:space="preserve">falha</w:t>
      </w:r>
      <w:r>
        <w:rPr>
          <w:rFonts w:eastAsia="Arial" w:cs="Arial"/>
          <w:spacing w:val="1"/>
          <w:sz w:val="24"/>
          <w:szCs w:val="24"/>
        </w:rPr>
        <w:t xml:space="preserve"> </w:t>
      </w:r>
      <w:r>
        <w:rPr>
          <w:rFonts w:eastAsia="Arial" w:cs="Arial"/>
          <w:sz w:val="24"/>
          <w:szCs w:val="24"/>
        </w:rPr>
        <w:t xml:space="preserve">na</w:t>
      </w:r>
      <w:r>
        <w:rPr>
          <w:rFonts w:eastAsia="Arial" w:cs="Arial"/>
          <w:spacing w:val="1"/>
          <w:sz w:val="24"/>
          <w:szCs w:val="24"/>
        </w:rPr>
        <w:t xml:space="preserve"> </w:t>
      </w:r>
      <w:r>
        <w:rPr>
          <w:rFonts w:eastAsia="Arial" w:cs="Arial"/>
          <w:sz w:val="24"/>
          <w:szCs w:val="24"/>
        </w:rPr>
        <w:t xml:space="preserve">execução</w:t>
      </w:r>
      <w:r>
        <w:rPr>
          <w:rFonts w:eastAsia="Arial" w:cs="Arial"/>
          <w:spacing w:val="1"/>
          <w:sz w:val="24"/>
          <w:szCs w:val="24"/>
        </w:rPr>
        <w:t xml:space="preserve"> </w:t>
      </w:r>
      <w:r>
        <w:rPr>
          <w:rFonts w:eastAsia="Arial" w:cs="Arial"/>
          <w:sz w:val="24"/>
          <w:szCs w:val="24"/>
        </w:rPr>
        <w:t xml:space="preserve">dos</w:t>
      </w:r>
      <w:r>
        <w:rPr>
          <w:rFonts w:eastAsia="Arial" w:cs="Arial"/>
          <w:spacing w:val="-64"/>
          <w:sz w:val="24"/>
          <w:szCs w:val="24"/>
        </w:rPr>
        <w:t xml:space="preserve">                                                                                                                    </w:t>
      </w:r>
      <w:r>
        <w:rPr>
          <w:rFonts w:eastAsia="Arial" w:cs="Arial"/>
          <w:sz w:val="24"/>
          <w:szCs w:val="24"/>
        </w:rPr>
        <w:t xml:space="preserve">serviços ou por emprego de peças inadequadas, bem</w:t>
      </w:r>
      <w:r>
        <w:rPr>
          <w:rFonts w:eastAsia="Arial" w:cs="Arial"/>
          <w:spacing w:val="1"/>
          <w:sz w:val="24"/>
          <w:szCs w:val="24"/>
        </w:rPr>
        <w:t xml:space="preserve"> </w:t>
      </w:r>
      <w:r>
        <w:rPr>
          <w:rFonts w:eastAsia="Arial" w:cs="Arial"/>
          <w:sz w:val="24"/>
          <w:szCs w:val="24"/>
        </w:rPr>
        <w:t xml:space="preserve">como deverá responsabilizar-se</w:t>
      </w:r>
      <w:r>
        <w:rPr>
          <w:rFonts w:eastAsia="Arial" w:cs="Arial"/>
          <w:spacing w:val="1"/>
          <w:sz w:val="24"/>
          <w:szCs w:val="24"/>
        </w:rPr>
        <w:t xml:space="preserve"> </w:t>
      </w:r>
      <w:r>
        <w:rPr>
          <w:rFonts w:eastAsia="Arial" w:cs="Arial"/>
          <w:sz w:val="24"/>
          <w:szCs w:val="24"/>
        </w:rPr>
        <w:t xml:space="preserve">pelo transporte e pela retirada/devolução em perfeitas condições de funcionamento. A</w:t>
      </w:r>
      <w:r>
        <w:rPr>
          <w:rFonts w:eastAsia="Arial" w:cs="Arial"/>
          <w:spacing w:val="1"/>
          <w:sz w:val="24"/>
          <w:szCs w:val="24"/>
        </w:rPr>
        <w:t xml:space="preserve"> </w:t>
      </w:r>
      <w:r>
        <w:rPr>
          <w:rFonts w:eastAsia="Arial" w:cs="Arial"/>
          <w:sz w:val="24"/>
          <w:szCs w:val="24"/>
        </w:rPr>
        <w:t xml:space="preserve">subcontratação</w:t>
      </w:r>
      <w:r>
        <w:rPr>
          <w:rFonts w:eastAsia="Arial" w:cs="Arial"/>
          <w:spacing w:val="-3"/>
          <w:sz w:val="24"/>
          <w:szCs w:val="24"/>
        </w:rPr>
        <w:t xml:space="preserve"> </w:t>
      </w:r>
      <w:r>
        <w:rPr>
          <w:rFonts w:eastAsia="Arial" w:cs="Arial"/>
          <w:sz w:val="24"/>
          <w:szCs w:val="24"/>
        </w:rPr>
        <w:t xml:space="preserve">deverá</w:t>
      </w:r>
      <w:r>
        <w:rPr>
          <w:rFonts w:eastAsia="Arial" w:cs="Arial"/>
          <w:spacing w:val="-3"/>
          <w:sz w:val="24"/>
          <w:szCs w:val="24"/>
        </w:rPr>
        <w:t xml:space="preserve"> </w:t>
      </w:r>
      <w:r>
        <w:rPr>
          <w:rFonts w:eastAsia="Arial" w:cs="Arial"/>
          <w:sz w:val="24"/>
          <w:szCs w:val="24"/>
        </w:rPr>
        <w:t xml:space="preserve">ser</w:t>
      </w:r>
      <w:r>
        <w:rPr>
          <w:rFonts w:eastAsia="Arial" w:cs="Arial"/>
          <w:spacing w:val="-1"/>
          <w:sz w:val="24"/>
          <w:szCs w:val="24"/>
        </w:rPr>
        <w:t xml:space="preserve"> </w:t>
      </w:r>
      <w:r>
        <w:rPr>
          <w:rFonts w:eastAsia="Arial" w:cs="Arial"/>
          <w:sz w:val="24"/>
          <w:szCs w:val="24"/>
        </w:rPr>
        <w:t xml:space="preserve">previamente</w:t>
      </w:r>
      <w:r>
        <w:rPr>
          <w:rFonts w:eastAsia="Arial" w:cs="Arial"/>
          <w:spacing w:val="-1"/>
          <w:sz w:val="24"/>
          <w:szCs w:val="24"/>
        </w:rPr>
        <w:t xml:space="preserve"> </w:t>
      </w:r>
      <w:r>
        <w:rPr>
          <w:rFonts w:eastAsia="Arial" w:cs="Arial"/>
          <w:sz w:val="24"/>
          <w:szCs w:val="24"/>
        </w:rPr>
        <w:t xml:space="preserve">autorizada</w:t>
      </w:r>
      <w:r>
        <w:rPr>
          <w:rFonts w:eastAsia="Arial" w:cs="Arial"/>
          <w:spacing w:val="-1"/>
          <w:sz w:val="24"/>
          <w:szCs w:val="24"/>
        </w:rPr>
        <w:t xml:space="preserve"> </w:t>
      </w:r>
      <w:r>
        <w:rPr>
          <w:rFonts w:eastAsia="Arial" w:cs="Arial"/>
          <w:sz w:val="24"/>
          <w:szCs w:val="24"/>
        </w:rPr>
        <w:t xml:space="preserve">pela</w:t>
      </w:r>
      <w:r>
        <w:rPr>
          <w:rFonts w:eastAsia="Arial" w:cs="Arial"/>
          <w:spacing w:val="-3"/>
          <w:sz w:val="24"/>
          <w:szCs w:val="24"/>
        </w:rPr>
        <w:t xml:space="preserve"> </w:t>
      </w:r>
      <w:r>
        <w:rPr>
          <w:rFonts w:eastAsia="Arial" w:cs="Arial"/>
          <w:sz w:val="24"/>
          <w:szCs w:val="24"/>
        </w:rPr>
        <w:t xml:space="preserve">Secretaria de Educação.</w:t>
      </w:r>
      <w:r>
        <w:rPr>
          <w:rFonts w:cs="Arial"/>
          <w:sz w:val="24"/>
          <w:szCs w:val="24"/>
        </w:rPr>
      </w:r>
    </w:p>
    <w:p>
      <w:pPr>
        <w:pStyle w:val="969"/>
        <w:pBdr/>
        <w:tabs>
          <w:tab w:val="left" w:leader="none" w:pos="567"/>
        </w:tabs>
        <w:spacing w:before="240" w:line="276" w:lineRule="auto"/>
        <w:ind/>
        <w:rPr>
          <w:rFonts w:cs="Arial"/>
          <w:b/>
          <w:sz w:val="24"/>
          <w:szCs w:val="24"/>
        </w:rPr>
      </w:pPr>
      <w:r>
        <w:rPr>
          <w:rFonts w:eastAsia="Arial" w:cs="Arial"/>
          <w:b/>
          <w:sz w:val="24"/>
          <w:szCs w:val="24"/>
        </w:rPr>
        <w:t xml:space="preserve">7.3 – FORNECIMENTO DAS PEÇAS, MATERIAIS E ACESSÓRIOS</w:t>
      </w:r>
      <w:r>
        <w:rPr>
          <w:rFonts w:cs="Arial"/>
          <w:b/>
          <w:sz w:val="24"/>
          <w:szCs w:val="24"/>
        </w:rPr>
      </w:r>
    </w:p>
    <w:p>
      <w:pPr>
        <w:pStyle w:val="969"/>
        <w:pBdr/>
        <w:tabs>
          <w:tab w:val="left" w:leader="none" w:pos="567"/>
        </w:tabs>
        <w:spacing w:before="240" w:line="276" w:lineRule="auto"/>
        <w:ind/>
        <w:rPr>
          <w:rFonts w:cs="Arial"/>
          <w:sz w:val="24"/>
          <w:szCs w:val="24"/>
        </w:rPr>
      </w:pPr>
      <w:r>
        <w:rPr>
          <w:rFonts w:eastAsia="Arial" w:cs="Arial"/>
          <w:sz w:val="24"/>
          <w:szCs w:val="24"/>
        </w:rPr>
        <w:t xml:space="preserve">A Empresa contratada deverá fornecer exclusivamente peças, acessórios, materiais e</w:t>
      </w:r>
      <w:r>
        <w:rPr>
          <w:rFonts w:eastAsia="Arial" w:cs="Arial"/>
          <w:sz w:val="24"/>
          <w:szCs w:val="24"/>
        </w:rPr>
        <w:t xml:space="preserve"> lubrificantes genuínos e originais, obedecendo a recomendação do fabricante de cada equipamento. Entende-se por originais e genuínos, aqueles de primeira linha de fabricação, que não sejam recondicionados, remanufaturados, reciclados ou de segunda linha. </w:t>
      </w:r>
      <w:r>
        <w:rPr>
          <w:rFonts w:cs="Arial"/>
          <w:sz w:val="24"/>
          <w:szCs w:val="24"/>
        </w:rPr>
      </w:r>
    </w:p>
    <w:p>
      <w:pPr>
        <w:pStyle w:val="969"/>
        <w:pBdr/>
        <w:tabs>
          <w:tab w:val="left" w:leader="none" w:pos="567"/>
        </w:tabs>
        <w:spacing w:before="240" w:line="276" w:lineRule="auto"/>
        <w:ind/>
        <w:rPr>
          <w:rFonts w:cs="Arial"/>
          <w:sz w:val="24"/>
          <w:szCs w:val="24"/>
        </w:rPr>
      </w:pPr>
      <w:r>
        <w:rPr>
          <w:rFonts w:eastAsia="Arial" w:cs="Arial"/>
          <w:sz w:val="24"/>
          <w:szCs w:val="24"/>
        </w:rPr>
        <w:t xml:space="preserve">A Contratada deverá encami</w:t>
      </w:r>
      <w:r>
        <w:rPr>
          <w:rFonts w:eastAsia="Arial" w:cs="Arial"/>
          <w:sz w:val="24"/>
          <w:szCs w:val="24"/>
        </w:rPr>
        <w:t xml:space="preserve">nhar à Secretaria Demandante, juntamente com a nota fiscal das peças substituídas, a comprovação do valor das peças na tabela oficial de preços do fabricante de cada máquina, demonstrando, assim, a aplicação do percentual de desconto ofertado na licitação.</w:t>
      </w:r>
      <w:r>
        <w:rPr>
          <w:rFonts w:cs="Arial"/>
          <w:sz w:val="24"/>
          <w:szCs w:val="24"/>
        </w:rPr>
      </w:r>
    </w:p>
    <w:p>
      <w:pPr>
        <w:pStyle w:val="969"/>
        <w:pBdr/>
        <w:tabs>
          <w:tab w:val="left" w:leader="none" w:pos="567"/>
        </w:tabs>
        <w:spacing w:before="240" w:line="276" w:lineRule="auto"/>
        <w:ind/>
        <w:rPr>
          <w:rFonts w:cs="Arial"/>
          <w:sz w:val="24"/>
          <w:szCs w:val="24"/>
        </w:rPr>
      </w:pPr>
      <w:r>
        <w:rPr>
          <w:rFonts w:eastAsia="Arial" w:cs="Arial"/>
          <w:sz w:val="24"/>
          <w:szCs w:val="24"/>
        </w:rPr>
        <w:t xml:space="preserve">A Contrat</w:t>
      </w:r>
      <w:r>
        <w:rPr>
          <w:rFonts w:eastAsia="Arial" w:cs="Arial"/>
          <w:sz w:val="24"/>
          <w:szCs w:val="24"/>
        </w:rPr>
        <w:t xml:space="preserve">ada encaminhará, no prazo máximo de 48 (quarenta e oito) horas, contado a partir do recebimento dos veículos, prévio orçamento dos serviços, peças e acessórios a serem substituídos à Secretaria Demandante, juntamente da Tabela Oficial de Preços de Peças e </w:t>
      </w:r>
      <w:r>
        <w:rPr>
          <w:rFonts w:eastAsia="Arial" w:cs="Arial"/>
          <w:sz w:val="24"/>
          <w:szCs w:val="24"/>
        </w:rPr>
        <w:t xml:space="preserve">Acessórios Novos e Genuínos fornecido pela montadora, concessionaria ou Tabela/Catálogo de preços sistema AUDATEX. Para devida análise e autorização, onde deverá ser informado o prazo para conclusão dos serviços. </w:t>
      </w:r>
      <w:r>
        <w:rPr>
          <w:rFonts w:cs="Arial"/>
          <w:sz w:val="24"/>
          <w:szCs w:val="24"/>
        </w:rPr>
      </w:r>
    </w:p>
    <w:p>
      <w:pPr>
        <w:pStyle w:val="998"/>
        <w:pBdr/>
        <w:spacing w:after="0" w:line="276" w:lineRule="auto"/>
        <w:ind/>
        <w:rPr>
          <w:rFonts w:cs="Arial"/>
          <w:sz w:val="24"/>
          <w:szCs w:val="24"/>
        </w:rPr>
      </w:pPr>
      <w:r>
        <w:rPr>
          <w:rFonts w:cs="Arial"/>
          <w:sz w:val="24"/>
          <w:szCs w:val="24"/>
        </w:rPr>
      </w:r>
      <w:r>
        <w:rPr>
          <w:rFonts w:cs="Arial"/>
          <w:sz w:val="24"/>
          <w:szCs w:val="24"/>
        </w:rPr>
      </w:r>
    </w:p>
    <w:p>
      <w:pPr>
        <w:pBdr/>
        <w:tabs>
          <w:tab w:val="num" w:leader="none" w:pos="720"/>
        </w:tabs>
        <w:spacing w:line="276" w:lineRule="auto"/>
        <w:ind/>
        <w:rPr>
          <w:rFonts w:cs="Arial"/>
          <w:b/>
          <w:sz w:val="24"/>
          <w:szCs w:val="24"/>
        </w:rPr>
      </w:pPr>
      <w:r>
        <w:rPr>
          <w:rFonts w:eastAsia="Arial" w:cs="Arial"/>
          <w:b/>
          <w:sz w:val="24"/>
          <w:szCs w:val="24"/>
        </w:rPr>
        <w:t xml:space="preserve">7.4 - Garantia e Assistência técnica</w:t>
      </w:r>
      <w:r>
        <w:rPr>
          <w:rFonts w:cs="Arial"/>
          <w:b/>
          <w:sz w:val="24"/>
          <w:szCs w:val="24"/>
        </w:rPr>
      </w:r>
    </w:p>
    <w:p>
      <w:pPr>
        <w:pStyle w:val="969"/>
        <w:pBdr/>
        <w:tabs>
          <w:tab w:val="left" w:leader="none" w:pos="567"/>
        </w:tabs>
        <w:spacing w:before="240" w:line="276" w:lineRule="auto"/>
        <w:ind/>
        <w:rPr>
          <w:rFonts w:cs="Arial"/>
          <w:sz w:val="24"/>
          <w:szCs w:val="24"/>
        </w:rPr>
      </w:pPr>
      <w:r>
        <w:rPr>
          <w:rFonts w:eastAsia="Arial" w:cs="Arial"/>
          <w:sz w:val="24"/>
          <w:szCs w:val="24"/>
        </w:rPr>
        <w:t xml:space="preserve">Será exigida, no mínimo, a garantia oferecida pelo fabricante das peças</w:t>
      </w:r>
      <w:r>
        <w:rPr>
          <w:rFonts w:eastAsia="Arial" w:cs="Arial"/>
          <w:spacing w:val="1"/>
          <w:sz w:val="24"/>
          <w:szCs w:val="24"/>
        </w:rPr>
        <w:t xml:space="preserve"> </w:t>
      </w:r>
      <w:r>
        <w:rPr>
          <w:rFonts w:eastAsia="Arial" w:cs="Arial"/>
          <w:sz w:val="24"/>
          <w:szCs w:val="24"/>
        </w:rPr>
        <w:t xml:space="preserve">e</w:t>
      </w:r>
      <w:r>
        <w:rPr>
          <w:rFonts w:eastAsia="Arial" w:cs="Arial"/>
          <w:spacing w:val="1"/>
          <w:sz w:val="24"/>
          <w:szCs w:val="24"/>
        </w:rPr>
        <w:t xml:space="preserve"> </w:t>
      </w:r>
      <w:r>
        <w:rPr>
          <w:rFonts w:eastAsia="Arial" w:cs="Arial"/>
          <w:sz w:val="24"/>
          <w:szCs w:val="24"/>
        </w:rPr>
        <w:t xml:space="preserve">acessórios, contada a partir da data do recebimento dos veículos pela Secretaria Demandante,</w:t>
      </w:r>
      <w:r>
        <w:rPr>
          <w:rFonts w:eastAsia="Arial" w:cs="Arial"/>
          <w:spacing w:val="15"/>
          <w:sz w:val="24"/>
          <w:szCs w:val="24"/>
        </w:rPr>
        <w:t xml:space="preserve"> </w:t>
      </w:r>
      <w:r>
        <w:rPr>
          <w:rFonts w:eastAsia="Arial" w:cs="Arial"/>
          <w:sz w:val="24"/>
          <w:szCs w:val="24"/>
        </w:rPr>
        <w:t xml:space="preserve">no</w:t>
      </w:r>
      <w:r>
        <w:rPr>
          <w:rFonts w:eastAsia="Arial" w:cs="Arial"/>
          <w:spacing w:val="19"/>
          <w:sz w:val="24"/>
          <w:szCs w:val="24"/>
        </w:rPr>
        <w:t xml:space="preserve"> </w:t>
      </w:r>
      <w:r>
        <w:rPr>
          <w:rFonts w:eastAsia="Arial" w:cs="Arial"/>
          <w:sz w:val="24"/>
          <w:szCs w:val="24"/>
        </w:rPr>
        <w:t xml:space="preserve">que</w:t>
      </w:r>
      <w:r>
        <w:rPr>
          <w:rFonts w:eastAsia="Arial" w:cs="Arial"/>
          <w:spacing w:val="16"/>
          <w:sz w:val="24"/>
          <w:szCs w:val="24"/>
        </w:rPr>
        <w:t xml:space="preserve"> </w:t>
      </w:r>
      <w:r>
        <w:rPr>
          <w:rFonts w:eastAsia="Arial" w:cs="Arial"/>
          <w:sz w:val="24"/>
          <w:szCs w:val="24"/>
        </w:rPr>
        <w:t xml:space="preserve">diz</w:t>
      </w:r>
      <w:r>
        <w:rPr>
          <w:rFonts w:eastAsia="Arial" w:cs="Arial"/>
          <w:spacing w:val="15"/>
          <w:sz w:val="24"/>
          <w:szCs w:val="24"/>
        </w:rPr>
        <w:t xml:space="preserve"> </w:t>
      </w:r>
      <w:r>
        <w:rPr>
          <w:rFonts w:eastAsia="Arial" w:cs="Arial"/>
          <w:sz w:val="24"/>
          <w:szCs w:val="24"/>
        </w:rPr>
        <w:t xml:space="preserve">respeito</w:t>
      </w:r>
      <w:r>
        <w:rPr>
          <w:rFonts w:eastAsia="Arial" w:cs="Arial"/>
          <w:spacing w:val="18"/>
          <w:sz w:val="24"/>
          <w:szCs w:val="24"/>
        </w:rPr>
        <w:t xml:space="preserve"> </w:t>
      </w:r>
      <w:r>
        <w:rPr>
          <w:rFonts w:eastAsia="Arial" w:cs="Arial"/>
          <w:sz w:val="24"/>
          <w:szCs w:val="24"/>
        </w:rPr>
        <w:t xml:space="preserve">a</w:t>
      </w:r>
      <w:r>
        <w:rPr>
          <w:rFonts w:eastAsia="Arial" w:cs="Arial"/>
          <w:spacing w:val="19"/>
          <w:sz w:val="24"/>
          <w:szCs w:val="24"/>
        </w:rPr>
        <w:t xml:space="preserve"> </w:t>
      </w:r>
      <w:r>
        <w:rPr>
          <w:rFonts w:eastAsia="Arial" w:cs="Arial"/>
          <w:sz w:val="24"/>
          <w:szCs w:val="24"/>
        </w:rPr>
        <w:t xml:space="preserve">quaisquer</w:t>
      </w:r>
      <w:r>
        <w:rPr>
          <w:rFonts w:eastAsia="Arial" w:cs="Arial"/>
          <w:spacing w:val="16"/>
          <w:sz w:val="24"/>
          <w:szCs w:val="24"/>
        </w:rPr>
        <w:t xml:space="preserve"> </w:t>
      </w:r>
      <w:r>
        <w:rPr>
          <w:rFonts w:eastAsia="Arial" w:cs="Arial"/>
          <w:sz w:val="24"/>
          <w:szCs w:val="24"/>
        </w:rPr>
        <w:t xml:space="preserve">vícios</w:t>
      </w:r>
      <w:r>
        <w:rPr>
          <w:rFonts w:eastAsia="Arial" w:cs="Arial"/>
          <w:spacing w:val="18"/>
          <w:sz w:val="24"/>
          <w:szCs w:val="24"/>
        </w:rPr>
        <w:t xml:space="preserve"> </w:t>
      </w:r>
      <w:r>
        <w:rPr>
          <w:rFonts w:eastAsia="Arial" w:cs="Arial"/>
          <w:sz w:val="24"/>
          <w:szCs w:val="24"/>
        </w:rPr>
        <w:t xml:space="preserve">que</w:t>
      </w:r>
      <w:r>
        <w:rPr>
          <w:rFonts w:eastAsia="Arial" w:cs="Arial"/>
          <w:spacing w:val="18"/>
          <w:sz w:val="24"/>
          <w:szCs w:val="24"/>
        </w:rPr>
        <w:t xml:space="preserve"> </w:t>
      </w:r>
      <w:r>
        <w:rPr>
          <w:rFonts w:eastAsia="Arial" w:cs="Arial"/>
          <w:sz w:val="24"/>
          <w:szCs w:val="24"/>
        </w:rPr>
        <w:t xml:space="preserve">venham</w:t>
      </w:r>
      <w:r>
        <w:rPr>
          <w:rFonts w:eastAsia="Arial" w:cs="Arial"/>
          <w:spacing w:val="19"/>
          <w:sz w:val="24"/>
          <w:szCs w:val="24"/>
        </w:rPr>
        <w:t xml:space="preserve"> </w:t>
      </w:r>
      <w:r>
        <w:rPr>
          <w:rFonts w:eastAsia="Arial" w:cs="Arial"/>
          <w:sz w:val="24"/>
          <w:szCs w:val="24"/>
        </w:rPr>
        <w:t xml:space="preserve">a</w:t>
      </w:r>
      <w:r>
        <w:rPr>
          <w:rFonts w:eastAsia="Arial" w:cs="Arial"/>
          <w:spacing w:val="18"/>
          <w:sz w:val="24"/>
          <w:szCs w:val="24"/>
        </w:rPr>
        <w:t xml:space="preserve"> </w:t>
      </w:r>
      <w:r>
        <w:rPr>
          <w:rFonts w:eastAsia="Arial" w:cs="Arial"/>
          <w:sz w:val="24"/>
          <w:szCs w:val="24"/>
        </w:rPr>
        <w:t xml:space="preserve">surgir</w:t>
      </w:r>
      <w:r>
        <w:rPr>
          <w:rFonts w:eastAsia="Arial" w:cs="Arial"/>
          <w:spacing w:val="17"/>
          <w:sz w:val="24"/>
          <w:szCs w:val="24"/>
        </w:rPr>
        <w:t xml:space="preserve"> </w:t>
      </w:r>
      <w:r>
        <w:rPr>
          <w:rFonts w:eastAsia="Arial" w:cs="Arial"/>
          <w:sz w:val="24"/>
          <w:szCs w:val="24"/>
        </w:rPr>
        <w:t xml:space="preserve">quando </w:t>
      </w:r>
      <w:r>
        <w:rPr>
          <w:rFonts w:eastAsia="Arial" w:cs="Arial"/>
          <w:spacing w:val="-65"/>
          <w:sz w:val="24"/>
          <w:szCs w:val="24"/>
        </w:rPr>
        <w:t xml:space="preserve"> </w:t>
      </w:r>
      <w:r>
        <w:rPr>
          <w:rFonts w:eastAsia="Arial" w:cs="Arial"/>
          <w:sz w:val="24"/>
          <w:szCs w:val="24"/>
        </w:rPr>
        <w:t xml:space="preserve">do</w:t>
      </w:r>
      <w:r>
        <w:rPr>
          <w:rFonts w:eastAsia="Arial" w:cs="Arial"/>
          <w:sz w:val="24"/>
          <w:szCs w:val="24"/>
        </w:rPr>
        <w:t xml:space="preserve"> uso adequado do produto. Esta garantia não poderá ser inferior a 90 (noventa)</w:t>
      </w:r>
      <w:r>
        <w:rPr>
          <w:rFonts w:eastAsia="Arial" w:cs="Arial"/>
          <w:spacing w:val="1"/>
          <w:sz w:val="24"/>
          <w:szCs w:val="24"/>
        </w:rPr>
        <w:t xml:space="preserve"> </w:t>
      </w:r>
      <w:r>
        <w:rPr>
          <w:rFonts w:eastAsia="Arial" w:cs="Arial"/>
          <w:sz w:val="24"/>
          <w:szCs w:val="24"/>
        </w:rPr>
        <w:t xml:space="preserve">dias. Os serviços executados deverão ser garantidos contra defeito de montagem e</w:t>
      </w:r>
      <w:r>
        <w:rPr>
          <w:rFonts w:eastAsia="Arial" w:cs="Arial"/>
          <w:spacing w:val="1"/>
          <w:sz w:val="24"/>
          <w:szCs w:val="24"/>
        </w:rPr>
        <w:t xml:space="preserve"> </w:t>
      </w:r>
      <w:r>
        <w:rPr>
          <w:rFonts w:eastAsia="Arial" w:cs="Arial"/>
          <w:sz w:val="24"/>
          <w:szCs w:val="24"/>
        </w:rPr>
        <w:t xml:space="preserve">instalação pelo período mínimo de 90 (noventa) dias, contados a partir da data do</w:t>
      </w:r>
      <w:r>
        <w:rPr>
          <w:rFonts w:eastAsia="Arial" w:cs="Arial"/>
          <w:spacing w:val="1"/>
          <w:sz w:val="24"/>
          <w:szCs w:val="24"/>
        </w:rPr>
        <w:t xml:space="preserve"> </w:t>
      </w:r>
      <w:r>
        <w:rPr>
          <w:rFonts w:eastAsia="Arial" w:cs="Arial"/>
          <w:sz w:val="24"/>
          <w:szCs w:val="24"/>
        </w:rPr>
        <w:t xml:space="preserve">recebimento</w:t>
      </w:r>
      <w:r>
        <w:rPr>
          <w:rFonts w:eastAsia="Arial" w:cs="Arial"/>
          <w:spacing w:val="-1"/>
          <w:sz w:val="24"/>
          <w:szCs w:val="24"/>
        </w:rPr>
        <w:t xml:space="preserve"> </w:t>
      </w:r>
      <w:r>
        <w:rPr>
          <w:rFonts w:eastAsia="Arial" w:cs="Arial"/>
          <w:sz w:val="24"/>
          <w:szCs w:val="24"/>
        </w:rPr>
        <w:t xml:space="preserve">dos </w:t>
      </w:r>
      <w:r>
        <w:rPr>
          <w:rFonts w:eastAsia="Arial" w:cs="Arial"/>
          <w:sz w:val="24"/>
          <w:szCs w:val="24"/>
        </w:rPr>
        <w:t xml:space="preserve">veículos  pelas</w:t>
      </w:r>
      <w:r>
        <w:rPr>
          <w:rFonts w:eastAsia="Arial" w:cs="Arial"/>
          <w:spacing w:val="-1"/>
          <w:sz w:val="24"/>
          <w:szCs w:val="24"/>
        </w:rPr>
        <w:t xml:space="preserve"> </w:t>
      </w:r>
      <w:r>
        <w:rPr>
          <w:rFonts w:eastAsia="Arial" w:cs="Arial"/>
          <w:sz w:val="24"/>
          <w:szCs w:val="24"/>
        </w:rPr>
        <w:t xml:space="preserve">Secretarias Demandantes. A garantia das peças e serviços deverá ser cumprida, mesmo após o término</w:t>
      </w:r>
      <w:r>
        <w:rPr>
          <w:rFonts w:eastAsia="Arial" w:cs="Arial"/>
          <w:spacing w:val="1"/>
          <w:sz w:val="24"/>
          <w:szCs w:val="24"/>
        </w:rPr>
        <w:t xml:space="preserve"> </w:t>
      </w:r>
      <w:r>
        <w:rPr>
          <w:rFonts w:eastAsia="Arial" w:cs="Arial"/>
          <w:sz w:val="24"/>
          <w:szCs w:val="24"/>
        </w:rPr>
        <w:t xml:space="preserve">ou</w:t>
      </w:r>
      <w:r>
        <w:rPr>
          <w:rFonts w:eastAsia="Arial" w:cs="Arial"/>
          <w:spacing w:val="-1"/>
          <w:sz w:val="24"/>
          <w:szCs w:val="24"/>
        </w:rPr>
        <w:t xml:space="preserve"> </w:t>
      </w:r>
      <w:r>
        <w:rPr>
          <w:rFonts w:eastAsia="Arial" w:cs="Arial"/>
          <w:sz w:val="24"/>
          <w:szCs w:val="24"/>
        </w:rPr>
        <w:t xml:space="preserve">rescisão do contrato.</w:t>
      </w:r>
      <w:r>
        <w:rPr>
          <w:rFonts w:cs="Arial"/>
          <w:sz w:val="24"/>
          <w:szCs w:val="24"/>
        </w:rPr>
      </w:r>
    </w:p>
    <w:p>
      <w:pPr>
        <w:pBdr/>
        <w:spacing w:line="276" w:lineRule="auto"/>
        <w:ind/>
        <w:rPr>
          <w:rFonts w:cs="Arial"/>
          <w:bCs/>
          <w:sz w:val="24"/>
          <w:szCs w:val="24"/>
        </w:rPr>
      </w:pPr>
      <w:r>
        <w:rPr>
          <w:rFonts w:cs="Arial"/>
          <w:bCs/>
          <w:sz w:val="24"/>
          <w:szCs w:val="24"/>
        </w:rPr>
      </w:r>
      <w:r>
        <w:rPr>
          <w:rFonts w:cs="Arial"/>
          <w:bCs/>
          <w:sz w:val="24"/>
          <w:szCs w:val="24"/>
        </w:rPr>
      </w:r>
    </w:p>
    <w:p>
      <w:pPr>
        <w:pBdr/>
        <w:tabs>
          <w:tab w:val="num" w:leader="none" w:pos="720"/>
        </w:tabs>
        <w:spacing w:line="276" w:lineRule="auto"/>
        <w:ind/>
        <w:rPr>
          <w:rFonts w:cs="Arial"/>
          <w:b/>
          <w:sz w:val="24"/>
          <w:szCs w:val="24"/>
        </w:rPr>
      </w:pPr>
      <w:r>
        <w:rPr>
          <w:rFonts w:eastAsia="Arial" w:cs="Arial"/>
          <w:b/>
          <w:sz w:val="24"/>
          <w:szCs w:val="24"/>
        </w:rPr>
        <w:t xml:space="preserve">7.5 - Prazo de validade</w:t>
      </w:r>
      <w:r>
        <w:rPr>
          <w:rFonts w:cs="Arial"/>
          <w:b/>
          <w:sz w:val="24"/>
          <w:szCs w:val="24"/>
        </w:rPr>
      </w:r>
    </w:p>
    <w:p>
      <w:pPr>
        <w:pBdr/>
        <w:tabs>
          <w:tab w:val="num" w:leader="none" w:pos="720"/>
        </w:tabs>
        <w:spacing w:line="276" w:lineRule="auto"/>
        <w:ind/>
        <w:rPr>
          <w:rFonts w:cs="Arial"/>
          <w:sz w:val="24"/>
          <w:szCs w:val="24"/>
        </w:rPr>
      </w:pPr>
      <w:r>
        <w:rPr>
          <w:rFonts w:eastAsia="Arial" w:cs="Arial"/>
          <w:sz w:val="24"/>
          <w:szCs w:val="24"/>
        </w:rPr>
        <w:t xml:space="preserve">No ato da entrega, o prazo de validade do(s) produto(s) deverá ser igual ou superior a 80% (oitenta por cento) do prazo total constante na(s) embalagem(</w:t>
      </w:r>
      <w:r>
        <w:rPr>
          <w:rFonts w:eastAsia="Arial" w:cs="Arial"/>
          <w:sz w:val="24"/>
          <w:szCs w:val="24"/>
        </w:rPr>
        <w:t xml:space="preserve">ns</w:t>
      </w:r>
      <w:r>
        <w:rPr>
          <w:rFonts w:eastAsia="Arial" w:cs="Arial"/>
          <w:sz w:val="24"/>
          <w:szCs w:val="24"/>
        </w:rPr>
        <w:t xml:space="preserve">) para não afetar a segurança.</w:t>
      </w:r>
      <w:r>
        <w:rPr>
          <w:rFonts w:cs="Arial"/>
          <w:sz w:val="24"/>
          <w:szCs w:val="24"/>
        </w:rPr>
      </w:r>
    </w:p>
    <w:p>
      <w:pPr>
        <w:pBdr/>
        <w:spacing w:line="276" w:lineRule="auto"/>
        <w:ind/>
        <w:rPr>
          <w:rFonts w:cs="Arial"/>
          <w:sz w:val="24"/>
          <w:szCs w:val="24"/>
        </w:rPr>
      </w:pPr>
      <w:r>
        <w:rPr>
          <w:rFonts w:cs="Arial"/>
          <w:sz w:val="24"/>
          <w:szCs w:val="24"/>
        </w:rPr>
      </w:r>
      <w:r>
        <w:rPr>
          <w:rFonts w:cs="Arial"/>
          <w:sz w:val="24"/>
          <w:szCs w:val="24"/>
        </w:rPr>
      </w:r>
    </w:p>
    <w:p>
      <w:pPr>
        <w:pBdr/>
        <w:tabs>
          <w:tab w:val="num" w:leader="none" w:pos="720"/>
          <w:tab w:val="left" w:leader="none" w:pos="5687"/>
        </w:tabs>
        <w:spacing w:line="276" w:lineRule="auto"/>
        <w:ind/>
        <w:rPr>
          <w:rFonts w:cs="Arial"/>
          <w:b/>
          <w:sz w:val="24"/>
          <w:szCs w:val="24"/>
        </w:rPr>
      </w:pPr>
      <w:r>
        <w:rPr>
          <w:rFonts w:eastAsia="Arial" w:cs="Arial"/>
          <w:b/>
          <w:sz w:val="24"/>
          <w:szCs w:val="24"/>
        </w:rPr>
        <w:t xml:space="preserve">7.6 - Exigência de ensaio ou certificação</w:t>
      </w:r>
      <w:r>
        <w:rPr>
          <w:rFonts w:eastAsia="Arial" w:cs="Arial"/>
          <w:b/>
          <w:sz w:val="24"/>
          <w:szCs w:val="24"/>
        </w:rPr>
        <w:tab/>
      </w:r>
      <w:r>
        <w:rPr>
          <w:rFonts w:cs="Arial"/>
          <w:b/>
          <w:sz w:val="24"/>
          <w:szCs w:val="24"/>
        </w:rPr>
      </w:r>
    </w:p>
    <w:p>
      <w:pPr>
        <w:pBdr/>
        <w:spacing w:line="276" w:lineRule="auto"/>
        <w:ind/>
        <w:rPr>
          <w:rFonts w:cs="Arial"/>
          <w:i/>
          <w:sz w:val="24"/>
          <w:szCs w:val="24"/>
        </w:rPr>
      </w:pPr>
      <w:r>
        <w:rPr>
          <w:rFonts w:eastAsia="Arial" w:cs="Arial"/>
          <w:sz w:val="24"/>
          <w:szCs w:val="24"/>
        </w:rPr>
        <w:t xml:space="preserve">Os serviços realizados deverão seguir as normas atualizadas da </w:t>
      </w:r>
      <w:r>
        <w:rPr>
          <w:rFonts w:eastAsia="Arial" w:cs="Arial"/>
          <w:color w:val="000000"/>
          <w:sz w:val="24"/>
          <w:szCs w:val="24"/>
        </w:rPr>
        <w:t xml:space="preserve">ABNT, atendendo</w:t>
      </w:r>
      <w:r>
        <w:rPr>
          <w:rFonts w:eastAsia="Arial" w:cs="Arial"/>
          <w:sz w:val="24"/>
          <w:szCs w:val="24"/>
        </w:rPr>
        <w:t xml:space="preserve"> as Leis Federais, Estaduais e Municipais vigentes, referentes ao objeto deste Termo de Referência, devendo a contratada executar os mesmos de acordo com a orientação e fiscalização do </w:t>
      </w:r>
      <w:r>
        <w:rPr>
          <w:rFonts w:eastAsia="Arial" w:cs="Arial"/>
          <w:b/>
          <w:sz w:val="24"/>
          <w:szCs w:val="24"/>
        </w:rPr>
        <w:t xml:space="preserve">ÓRGÃO CONTRATANTE</w:t>
      </w:r>
      <w:r>
        <w:rPr>
          <w:rFonts w:eastAsia="Arial" w:cs="Arial"/>
          <w:sz w:val="24"/>
          <w:szCs w:val="24"/>
        </w:rPr>
        <w:t xml:space="preserve">.</w:t>
      </w:r>
      <w:r>
        <w:rPr>
          <w:rFonts w:cs="Arial"/>
          <w:i/>
          <w:sz w:val="24"/>
          <w:szCs w:val="24"/>
        </w:rPr>
      </w:r>
    </w:p>
    <w:p>
      <w:pPr>
        <w:pStyle w:val="969"/>
        <w:pBdr/>
        <w:spacing w:before="2"/>
        <w:ind w:right="729"/>
        <w:rPr>
          <w:rFonts w:cs="Arial"/>
          <w:sz w:val="24"/>
          <w:szCs w:val="24"/>
          <w:highlight w:val="yellow"/>
        </w:rPr>
      </w:pPr>
      <w:r>
        <w:rPr>
          <w:rFonts w:cs="Arial"/>
          <w:sz w:val="24"/>
          <w:szCs w:val="24"/>
          <w:highlight w:val="yellow"/>
        </w:rPr>
      </w:r>
      <w:r>
        <w:rPr>
          <w:rFonts w:cs="Arial"/>
          <w:sz w:val="24"/>
          <w:szCs w:val="24"/>
          <w:highlight w:val="yellow"/>
        </w:rPr>
      </w:r>
    </w:p>
    <w:p>
      <w:pPr>
        <w:pStyle w:val="995"/>
        <w:widowControl w:val="false"/>
        <w:numPr>
          <w:ilvl w:val="0"/>
          <w:numId w:val="43"/>
        </w:numPr>
        <w:pBdr/>
        <w:tabs>
          <w:tab w:val="left" w:leader="none" w:pos="1583"/>
        </w:tabs>
        <w:spacing w:line="360" w:lineRule="auto"/>
        <w:ind/>
        <w:rPr>
          <w:rFonts w:cs="Arial"/>
          <w:sz w:val="24"/>
          <w:szCs w:val="24"/>
        </w:rPr>
      </w:pPr>
      <w:r>
        <w:rPr>
          <w:rFonts w:eastAsia="Arial" w:cs="Arial"/>
          <w:b/>
          <w:sz w:val="24"/>
          <w:szCs w:val="24"/>
        </w:rPr>
        <w:t xml:space="preserve">ACOMPANHAMENTO E FISCALIZAÇÃO DA ENTREGA </w:t>
      </w:r>
      <w:r>
        <w:rPr>
          <w:rFonts w:eastAsia="Arial" w:cs="Arial"/>
          <w:sz w:val="24"/>
          <w:szCs w:val="24"/>
        </w:rPr>
        <w:t xml:space="preserve">(</w:t>
      </w:r>
      <w:r>
        <w:rPr>
          <w:rFonts w:eastAsia="Arial" w:cs="Arial"/>
          <w:color w:val="00b050"/>
          <w:sz w:val="24"/>
          <w:szCs w:val="24"/>
        </w:rPr>
        <w:t xml:space="preserve">Art. 6º, XXIII, “f” da Lei 14.133/21)</w:t>
      </w:r>
      <w:r>
        <w:rPr>
          <w:rFonts w:cs="Arial"/>
          <w:sz w:val="24"/>
          <w:szCs w:val="24"/>
        </w:rPr>
      </w:r>
    </w:p>
    <w:p>
      <w:pPr>
        <w:pStyle w:val="995"/>
        <w:widowControl w:val="false"/>
        <w:numPr>
          <w:ilvl w:val="1"/>
          <w:numId w:val="47"/>
        </w:numPr>
        <w:pBdr/>
        <w:tabs>
          <w:tab w:val="left" w:leader="none" w:pos="1583"/>
        </w:tabs>
        <w:spacing w:line="360" w:lineRule="auto"/>
        <w:ind/>
        <w:rPr>
          <w:rFonts w:cs="Arial"/>
          <w:sz w:val="24"/>
          <w:szCs w:val="24"/>
        </w:rPr>
      </w:pPr>
      <w:r>
        <w:rPr>
          <w:rFonts w:eastAsia="Arial" w:cs="Arial"/>
          <w:color w:val="000000"/>
          <w:sz w:val="24"/>
          <w:szCs w:val="24"/>
        </w:rPr>
        <w:t xml:space="preserve">A Secretaria solicitante indicará para atuarem como gestor e fiscal do contrato:</w:t>
      </w:r>
      <w:r>
        <w:rPr>
          <w:rFonts w:cs="Arial"/>
          <w:sz w:val="24"/>
          <w:szCs w:val="24"/>
        </w:rPr>
      </w:r>
    </w:p>
    <w:tbl>
      <w:tblPr>
        <w:tblInd w:w="-241" w:type="dxa"/>
        <w:tblW w:w="9753" w:type="dxa"/>
        <w:tblCellMar>
          <w:left w:w="55" w:type="dxa"/>
          <w:top w:w="55" w:type="dxa"/>
          <w:right w:w="55" w:type="dxa"/>
          <w:bottom w:w="55" w:type="dxa"/>
        </w:tblCellMar>
        <w:tblBorders/>
        <w:tblLayout w:type="fixed"/>
        <w:tblLook w:val="04A0" w:firstRow="1" w:lastRow="0" w:firstColumn="1" w:lastColumn="0" w:noHBand="0" w:noVBand="1"/>
      </w:tblPr>
      <w:tblGrid>
        <w:gridCol w:w="2048"/>
        <w:gridCol w:w="3869"/>
        <w:gridCol w:w="3836"/>
      </w:tblGrid>
      <w:tr>
        <w:trPr>
          <w:trHeight w:val="253"/>
        </w:trPr>
        <w:tc>
          <w:tcPr>
            <w:tcBorders>
              <w:top w:val="single" w:color="000000" w:sz="4" w:space="0"/>
              <w:left w:val="single" w:color="000000" w:sz="4" w:space="0"/>
            </w:tcBorders>
            <w:tcW w:w="2049" w:type="dxa"/>
            <w:textDirection w:val="lrTb"/>
            <w:noWrap w:val="false"/>
          </w:tcPr>
          <w:p>
            <w:pPr>
              <w:pStyle w:val="1172"/>
              <w:pBdr/>
              <w:spacing/>
              <w:ind/>
              <w:jc w:val="center"/>
              <w:rPr>
                <w:rFonts w:ascii="Arial" w:hAnsi="Arial" w:cs="Arial"/>
                <w:b/>
              </w:rPr>
            </w:pPr>
            <w:r>
              <w:rPr>
                <w:rFonts w:ascii="Arial" w:hAnsi="Arial" w:eastAsia="Arial" w:cs="Arial"/>
                <w:b/>
              </w:rPr>
              <w:t xml:space="preserve">Secretarias</w:t>
            </w:r>
            <w:r>
              <w:rPr>
                <w:rFonts w:ascii="Arial" w:hAnsi="Arial" w:cs="Arial"/>
                <w:b/>
              </w:rPr>
            </w:r>
          </w:p>
        </w:tc>
        <w:tc>
          <w:tcPr>
            <w:tcBorders>
              <w:top w:val="single" w:color="000000" w:sz="4" w:space="0"/>
              <w:left w:val="single" w:color="000000" w:sz="4" w:space="0"/>
            </w:tcBorders>
            <w:tcW w:w="3869" w:type="dxa"/>
            <w:textDirection w:val="lrTb"/>
            <w:noWrap w:val="false"/>
          </w:tcPr>
          <w:p>
            <w:pPr>
              <w:pStyle w:val="1172"/>
              <w:pBdr/>
              <w:spacing/>
              <w:ind/>
              <w:jc w:val="center"/>
              <w:rPr>
                <w:rFonts w:ascii="Arial" w:hAnsi="Arial" w:cs="Arial"/>
                <w:b/>
              </w:rPr>
            </w:pPr>
            <w:r>
              <w:rPr>
                <w:rFonts w:ascii="Arial" w:hAnsi="Arial" w:eastAsia="Arial" w:cs="Arial"/>
                <w:b/>
              </w:rPr>
              <w:t xml:space="preserve">Gestor do Contrato</w:t>
            </w:r>
            <w:r>
              <w:rPr>
                <w:rFonts w:ascii="Arial" w:hAnsi="Arial" w:cs="Arial"/>
                <w:b/>
              </w:rPr>
            </w:r>
          </w:p>
        </w:tc>
        <w:tc>
          <w:tcPr>
            <w:tcBorders>
              <w:top w:val="single" w:color="000000" w:sz="4" w:space="0"/>
              <w:left w:val="single" w:color="000000" w:sz="4" w:space="0"/>
              <w:right w:val="single" w:color="000000" w:sz="4" w:space="0"/>
            </w:tcBorders>
            <w:tcW w:w="3836" w:type="dxa"/>
            <w:textDirection w:val="lrTb"/>
            <w:noWrap w:val="false"/>
          </w:tcPr>
          <w:p>
            <w:pPr>
              <w:pStyle w:val="1172"/>
              <w:pBdr/>
              <w:spacing/>
              <w:ind/>
              <w:jc w:val="center"/>
              <w:rPr>
                <w:rFonts w:ascii="Arial" w:hAnsi="Arial" w:cs="Arial"/>
                <w:b/>
              </w:rPr>
            </w:pPr>
            <w:r>
              <w:rPr>
                <w:rFonts w:ascii="Arial" w:hAnsi="Arial" w:eastAsia="Arial" w:cs="Arial"/>
                <w:b/>
              </w:rPr>
              <w:t xml:space="preserve">Fiscal do Contrato</w:t>
            </w:r>
            <w:r>
              <w:rPr>
                <w:rFonts w:ascii="Arial" w:hAnsi="Arial" w:cs="Arial"/>
                <w:b/>
              </w:rPr>
            </w:r>
          </w:p>
        </w:tc>
      </w:tr>
      <w:tr>
        <w:trPr>
          <w:trHeight w:val="253"/>
        </w:trPr>
        <w:tc>
          <w:tcPr>
            <w:tcBorders>
              <w:left w:val="single" w:color="000000" w:sz="4" w:space="0"/>
            </w:tcBorders>
            <w:tcW w:w="2049" w:type="dxa"/>
            <w:textDirection w:val="lrTb"/>
            <w:noWrap w:val="false"/>
          </w:tcPr>
          <w:p>
            <w:pPr>
              <w:pStyle w:val="1172"/>
              <w:pBdr/>
              <w:spacing/>
              <w:ind/>
              <w:jc w:val="center"/>
              <w:rPr>
                <w:rFonts w:ascii="Arial" w:hAnsi="Arial" w:cs="Arial"/>
              </w:rPr>
            </w:pPr>
            <w:r>
              <w:rPr>
                <w:rFonts w:ascii="Arial" w:hAnsi="Arial" w:eastAsia="Arial" w:cs="Arial"/>
              </w:rPr>
              <w:t xml:space="preserve">Governo</w:t>
            </w:r>
            <w:r>
              <w:rPr>
                <w:rFonts w:ascii="Arial" w:hAnsi="Arial" w:cs="Arial"/>
              </w:rPr>
            </w:r>
          </w:p>
        </w:tc>
        <w:tc>
          <w:tcPr>
            <w:tcBorders>
              <w:left w:val="single" w:color="000000" w:sz="4" w:space="0"/>
            </w:tcBorders>
            <w:tcW w:w="3869" w:type="dxa"/>
            <w:textDirection w:val="lrTb"/>
            <w:noWrap w:val="false"/>
          </w:tcPr>
          <w:p>
            <w:pPr>
              <w:pStyle w:val="1172"/>
              <w:pBdr/>
              <w:spacing/>
              <w:ind/>
              <w:jc w:val="center"/>
              <w:rPr>
                <w:rFonts w:ascii="Arial" w:hAnsi="Arial" w:cs="Arial"/>
              </w:rPr>
            </w:pPr>
            <w:r>
              <w:rPr>
                <w:rFonts w:ascii="Arial" w:hAnsi="Arial" w:eastAsia="Arial" w:cs="Arial"/>
              </w:rPr>
              <w:t xml:space="preserve">Mário </w:t>
            </w:r>
            <w:r>
              <w:rPr>
                <w:rFonts w:ascii="Arial" w:hAnsi="Arial" w:eastAsia="Arial" w:cs="Arial"/>
              </w:rPr>
              <w:t xml:space="preserve">Vasconcellos  Fernandes</w:t>
            </w:r>
            <w:r>
              <w:rPr>
                <w:rFonts w:ascii="Arial" w:hAnsi="Arial" w:cs="Arial"/>
              </w:rPr>
            </w:r>
          </w:p>
        </w:tc>
        <w:tc>
          <w:tcPr>
            <w:tcBorders>
              <w:left w:val="single" w:color="000000" w:sz="4" w:space="0"/>
              <w:right w:val="single" w:color="000000" w:sz="4" w:space="0"/>
            </w:tcBorders>
            <w:tcW w:w="3836" w:type="dxa"/>
            <w:vMerge w:val="restart"/>
            <w:textDirection w:val="lrTb"/>
            <w:noWrap w:val="false"/>
          </w:tcPr>
          <w:p>
            <w:pPr>
              <w:pStyle w:val="1172"/>
              <w:pBdr/>
              <w:spacing/>
              <w:ind/>
              <w:jc w:val="center"/>
              <w:rPr>
                <w:rFonts w:ascii="Arial" w:hAnsi="Arial" w:cs="Arial"/>
              </w:rPr>
            </w:pPr>
            <w:r>
              <w:rPr>
                <w:rFonts w:ascii="Arial" w:hAnsi="Arial" w:eastAsia="Arial" w:cs="Arial"/>
              </w:rPr>
              <w:t xml:space="preserve">Bruno Aquino</w:t>
            </w:r>
            <w:r>
              <w:rPr>
                <w:rFonts w:ascii="Arial" w:hAnsi="Arial" w:cs="Arial"/>
              </w:rPr>
            </w:r>
          </w:p>
          <w:p>
            <w:pPr>
              <w:pStyle w:val="1172"/>
              <w:pBdr/>
              <w:spacing/>
              <w:ind/>
              <w:jc w:val="center"/>
              <w:rPr>
                <w:rFonts w:ascii="Arial" w:hAnsi="Arial" w:cs="Arial"/>
              </w:rPr>
            </w:pPr>
            <w:r>
              <w:rPr>
                <w:rFonts w:ascii="Arial" w:hAnsi="Arial" w:cs="Arial"/>
              </w:rPr>
            </w:r>
            <w:r>
              <w:rPr>
                <w:rFonts w:ascii="Arial" w:hAnsi="Arial" w:cs="Arial"/>
              </w:rPr>
            </w:r>
          </w:p>
          <w:p>
            <w:pPr>
              <w:pStyle w:val="1172"/>
              <w:pBdr/>
              <w:spacing/>
              <w:ind/>
              <w:jc w:val="center"/>
              <w:rPr>
                <w:rFonts w:ascii="Arial" w:hAnsi="Arial" w:cs="Arial"/>
              </w:rPr>
            </w:pPr>
            <w:r>
              <w:rPr>
                <w:rFonts w:ascii="Arial" w:hAnsi="Arial" w:eastAsia="Arial" w:cs="Arial"/>
              </w:rPr>
              <w:t xml:space="preserve">José Justino Arcanjo</w:t>
            </w:r>
            <w:r>
              <w:rPr>
                <w:rFonts w:ascii="Arial" w:hAnsi="Arial" w:cs="Arial"/>
              </w:rPr>
            </w:r>
          </w:p>
          <w:p>
            <w:pPr>
              <w:pStyle w:val="1172"/>
              <w:pBdr/>
              <w:spacing/>
              <w:ind/>
              <w:jc w:val="center"/>
              <w:rPr>
                <w:rFonts w:ascii="Arial" w:hAnsi="Arial" w:cs="Arial"/>
              </w:rPr>
            </w:pPr>
            <w:r>
              <w:rPr>
                <w:rFonts w:ascii="Arial" w:hAnsi="Arial" w:cs="Arial"/>
              </w:rPr>
            </w:r>
            <w:r>
              <w:rPr>
                <w:rFonts w:ascii="Arial" w:hAnsi="Arial" w:cs="Arial"/>
              </w:rPr>
            </w:r>
          </w:p>
          <w:p>
            <w:pPr>
              <w:pStyle w:val="1172"/>
              <w:pBdr/>
              <w:spacing/>
              <w:ind/>
              <w:jc w:val="center"/>
              <w:rPr>
                <w:rFonts w:ascii="Arial" w:hAnsi="Arial" w:cs="Arial"/>
              </w:rPr>
            </w:pPr>
            <w:r>
              <w:rPr>
                <w:rFonts w:ascii="Arial" w:hAnsi="Arial" w:eastAsia="Arial" w:cs="Arial"/>
                <w:highlight w:val="none"/>
              </w:rPr>
              <w:t xml:space="preserve">Marllon de Almeida Pinto</w:t>
            </w:r>
            <w:r>
              <w:rPr>
                <w:rFonts w:ascii="Arial" w:hAnsi="Arial" w:eastAsia="Arial" w:cs="Arial"/>
                <w:highlight w:val="yellow"/>
              </w:rPr>
            </w:r>
            <w:r>
              <w:rPr>
                <w:rFonts w:ascii="Arial" w:hAnsi="Arial" w:cs="Arial"/>
              </w:rPr>
            </w:r>
          </w:p>
          <w:p>
            <w:pPr>
              <w:pStyle w:val="1172"/>
              <w:pBdr/>
              <w:spacing/>
              <w:ind/>
              <w:jc w:val="center"/>
              <w:rPr>
                <w:rFonts w:ascii="Arial" w:hAnsi="Arial" w:cs="Arial"/>
              </w:rPr>
            </w:pPr>
            <w:r>
              <w:rPr>
                <w:rFonts w:ascii="Arial" w:hAnsi="Arial" w:cs="Arial"/>
              </w:rPr>
            </w:r>
            <w:r>
              <w:rPr>
                <w:rFonts w:ascii="Arial" w:hAnsi="Arial" w:cs="Arial"/>
              </w:rPr>
            </w:r>
          </w:p>
          <w:p>
            <w:pPr>
              <w:pStyle w:val="1172"/>
              <w:pBdr/>
              <w:spacing/>
              <w:ind/>
              <w:jc w:val="center"/>
              <w:rPr>
                <w:rFonts w:ascii="Arial" w:hAnsi="Arial" w:cs="Arial"/>
              </w:rPr>
            </w:pPr>
            <w:r>
              <w:rPr>
                <w:rFonts w:ascii="Arial" w:hAnsi="Arial" w:eastAsia="Arial" w:cs="Arial"/>
              </w:rPr>
              <w:t xml:space="preserve">Paulo Afonso Tavares Júnior</w:t>
            </w:r>
            <w:r>
              <w:rPr>
                <w:rFonts w:ascii="Arial" w:hAnsi="Arial" w:cs="Arial"/>
              </w:rPr>
            </w:r>
          </w:p>
          <w:p>
            <w:pPr>
              <w:pStyle w:val="1172"/>
              <w:pBdr/>
              <w:spacing/>
              <w:ind/>
              <w:jc w:val="center"/>
              <w:rPr>
                <w:rFonts w:ascii="Arial" w:hAnsi="Arial" w:cs="Arial"/>
              </w:rPr>
            </w:pPr>
            <w:r>
              <w:rPr>
                <w:rFonts w:ascii="Arial" w:hAnsi="Arial" w:cs="Arial"/>
              </w:rPr>
            </w:r>
            <w:r>
              <w:rPr>
                <w:rFonts w:ascii="Arial" w:hAnsi="Arial" w:cs="Arial"/>
              </w:rPr>
            </w:r>
          </w:p>
          <w:p>
            <w:pPr>
              <w:pStyle w:val="1172"/>
              <w:pBdr/>
              <w:spacing/>
              <w:ind/>
              <w:jc w:val="center"/>
              <w:rPr>
                <w:rFonts w:ascii="Arial" w:hAnsi="Arial" w:cs="Arial"/>
              </w:rPr>
            </w:pPr>
            <w:r>
              <w:rPr>
                <w:rFonts w:ascii="Arial" w:hAnsi="Arial" w:cs="Arial"/>
              </w:rPr>
            </w:r>
            <w:r>
              <w:rPr>
                <w:rFonts w:ascii="Arial" w:hAnsi="Arial" w:cs="Arial"/>
              </w:rPr>
            </w:r>
          </w:p>
        </w:tc>
      </w:tr>
      <w:tr>
        <w:trPr>
          <w:trHeight w:val="253"/>
        </w:trPr>
        <w:tc>
          <w:tcPr>
            <w:tcBorders>
              <w:left w:val="single" w:color="000000" w:sz="4" w:space="0"/>
            </w:tcBorders>
            <w:tcW w:w="2049" w:type="dxa"/>
            <w:textDirection w:val="lrTb"/>
            <w:noWrap w:val="false"/>
          </w:tcPr>
          <w:p>
            <w:pPr>
              <w:pStyle w:val="1172"/>
              <w:pBdr/>
              <w:spacing/>
              <w:ind/>
              <w:jc w:val="center"/>
              <w:rPr>
                <w:rFonts w:ascii="Arial" w:hAnsi="Arial" w:cs="Arial"/>
              </w:rPr>
            </w:pPr>
            <w:r>
              <w:rPr>
                <w:rFonts w:ascii="Arial" w:hAnsi="Arial" w:eastAsia="Arial" w:cs="Arial"/>
              </w:rPr>
              <w:t xml:space="preserve">Agropecuária</w:t>
            </w:r>
            <w:r>
              <w:rPr>
                <w:rFonts w:ascii="Arial" w:hAnsi="Arial" w:cs="Arial"/>
              </w:rPr>
            </w:r>
          </w:p>
        </w:tc>
        <w:tc>
          <w:tcPr>
            <w:tcBorders>
              <w:left w:val="single" w:color="000000" w:sz="4" w:space="0"/>
              <w:right w:val="single" w:color="000000" w:sz="4" w:space="0"/>
            </w:tcBorders>
            <w:tcW w:w="3869" w:type="dxa"/>
            <w:textDirection w:val="lrTb"/>
            <w:noWrap w:val="false"/>
          </w:tcPr>
          <w:p>
            <w:pPr>
              <w:pBdr/>
              <w:spacing/>
              <w:ind/>
              <w:jc w:val="center"/>
              <w:rPr>
                <w:rFonts w:cs="Arial"/>
                <w:sz w:val="24"/>
                <w:szCs w:val="24"/>
              </w:rPr>
            </w:pPr>
            <w:r>
              <w:rPr>
                <w:rFonts w:eastAsia="Arial" w:cs="Arial"/>
                <w:sz w:val="24"/>
                <w:szCs w:val="24"/>
              </w:rPr>
              <w:t xml:space="preserve">Márcio Navarro Machado</w:t>
            </w:r>
            <w:r>
              <w:rPr>
                <w:rFonts w:cs="Arial"/>
                <w:sz w:val="24"/>
                <w:szCs w:val="24"/>
              </w:rPr>
            </w:r>
          </w:p>
        </w:tc>
        <w:tc>
          <w:tcPr>
            <w:tcBorders>
              <w:left w:val="single" w:color="000000" w:sz="4" w:space="0"/>
              <w:right w:val="single" w:color="000000" w:sz="4" w:space="0"/>
            </w:tcBorders>
            <w:tcW w:w="3836" w:type="dxa"/>
            <w:vMerge w:val="continue"/>
            <w:textDirection w:val="lrTb"/>
            <w:noWrap w:val="false"/>
          </w:tcPr>
          <w:p>
            <w:pPr>
              <w:pBdr/>
              <w:spacing/>
              <w:ind/>
              <w:rPr/>
            </w:pPr>
            <w:r/>
            <w:r/>
          </w:p>
        </w:tc>
      </w:tr>
      <w:tr>
        <w:trPr>
          <w:trHeight w:val="253"/>
        </w:trPr>
        <w:tc>
          <w:tcPr>
            <w:tcBorders>
              <w:left w:val="single" w:color="000000" w:sz="4" w:space="0"/>
              <w:bottom w:val="single" w:color="000000" w:sz="4" w:space="0"/>
            </w:tcBorders>
            <w:tcW w:w="2049" w:type="dxa"/>
            <w:textDirection w:val="lrTb"/>
            <w:noWrap w:val="false"/>
          </w:tcPr>
          <w:p>
            <w:pPr>
              <w:pStyle w:val="1172"/>
              <w:pBdr/>
              <w:spacing/>
              <w:ind/>
              <w:jc w:val="center"/>
              <w:rPr>
                <w:rFonts w:ascii="Arial" w:hAnsi="Arial" w:cs="Arial"/>
              </w:rPr>
            </w:pPr>
            <w:r>
              <w:rPr>
                <w:rFonts w:ascii="Arial" w:hAnsi="Arial" w:eastAsia="Arial" w:cs="Arial"/>
              </w:rPr>
              <w:t xml:space="preserve">Assistência Social</w:t>
            </w:r>
            <w:r>
              <w:rPr>
                <w:rFonts w:ascii="Arial" w:hAnsi="Arial" w:cs="Arial"/>
              </w:rPr>
            </w:r>
          </w:p>
        </w:tc>
        <w:tc>
          <w:tcPr>
            <w:tcBorders>
              <w:left w:val="single" w:color="000000" w:sz="4" w:space="0"/>
              <w:bottom w:val="single" w:color="000000" w:sz="4" w:space="0"/>
              <w:right w:val="single" w:color="000000" w:sz="4" w:space="0"/>
            </w:tcBorders>
            <w:tcW w:w="3869" w:type="dxa"/>
            <w:textDirection w:val="lrTb"/>
            <w:noWrap w:val="false"/>
          </w:tcPr>
          <w:p>
            <w:pPr>
              <w:pStyle w:val="1172"/>
              <w:pBdr/>
              <w:spacing/>
              <w:ind/>
              <w:jc w:val="center"/>
              <w:rPr>
                <w:rFonts w:ascii="Arial" w:hAnsi="Arial" w:cs="Arial"/>
              </w:rPr>
            </w:pPr>
            <w:r>
              <w:rPr>
                <w:rFonts w:ascii="Arial" w:hAnsi="Arial" w:eastAsia="Arial" w:cs="Arial"/>
              </w:rPr>
              <w:t xml:space="preserve">João Paulo Resende Cardoso</w:t>
            </w:r>
            <w:r>
              <w:rPr>
                <w:rFonts w:ascii="Arial" w:hAnsi="Arial" w:cs="Arial"/>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cs="Arial"/>
              </w:rPr>
            </w:pPr>
            <w:r>
              <w:rPr>
                <w:rFonts w:ascii="Arial" w:hAnsi="Arial" w:eastAsia="Arial" w:cs="Arial"/>
              </w:rPr>
              <w:t xml:space="preserve">Habitação</w:t>
            </w:r>
            <w:r>
              <w:rPr>
                <w:rFonts w:ascii="Arial" w:hAnsi="Arial" w:cs="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eastAsia="Arial" w:cs="Arial"/>
                <w:sz w:val="24"/>
                <w:szCs w:val="24"/>
              </w:rPr>
              <w:t xml:space="preserve">Bruno Luís Silva de Andrade </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cs="Arial"/>
              </w:rPr>
            </w:pPr>
            <w:r>
              <w:rPr>
                <w:rFonts w:ascii="Arial" w:hAnsi="Arial" w:eastAsia="Arial" w:cs="Arial"/>
              </w:rPr>
              <w:t xml:space="preserve">Obras</w:t>
            </w:r>
            <w:r>
              <w:rPr>
                <w:rFonts w:ascii="Arial" w:hAnsi="Arial" w:cs="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eastAsia="Arial" w:cs="Arial"/>
                <w:sz w:val="24"/>
                <w:szCs w:val="24"/>
              </w:rPr>
              <w:t xml:space="preserve">Marco Antônio de Almeida</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cs="Arial"/>
              </w:rPr>
            </w:pPr>
            <w:r>
              <w:rPr>
                <w:rFonts w:ascii="Arial" w:hAnsi="Arial" w:eastAsia="Arial" w:cs="Arial"/>
              </w:rPr>
              <w:t xml:space="preserve">Planejamento</w:t>
            </w:r>
            <w:r>
              <w:rPr>
                <w:rFonts w:ascii="Arial" w:hAnsi="Arial" w:cs="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eastAsia="Arial" w:cs="Arial"/>
                <w:sz w:val="24"/>
                <w:szCs w:val="24"/>
              </w:rPr>
              <w:t xml:space="preserve">Telma Oliveira de Almeida</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cs="Arial"/>
              </w:rPr>
            </w:pPr>
            <w:r>
              <w:rPr>
                <w:rFonts w:ascii="Arial" w:hAnsi="Arial" w:eastAsia="Arial" w:cs="Arial"/>
              </w:rPr>
              <w:t xml:space="preserve">Saúde</w:t>
            </w:r>
            <w:r>
              <w:rPr>
                <w:rFonts w:ascii="Arial" w:hAnsi="Arial" w:cs="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eastAsia="Arial" w:cs="Arial"/>
                <w:sz w:val="24"/>
                <w:szCs w:val="24"/>
              </w:rPr>
              <w:t xml:space="preserve">Renata Santana de Almeida</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r>
        <w:trPr>
          <w:trHeight w:val="276"/>
        </w:trPr>
        <w:tc>
          <w:tcPr>
            <w:tcBorders>
              <w:left w:val="single" w:color="000000" w:sz="4" w:space="0"/>
              <w:bottom w:val="single" w:color="000000" w:sz="4" w:space="0"/>
            </w:tcBorders>
            <w:tcW w:w="2049" w:type="dxa"/>
            <w:vMerge w:val="restart"/>
            <w:textDirection w:val="lrTb"/>
            <w:noWrap w:val="false"/>
          </w:tcPr>
          <w:p>
            <w:pPr>
              <w:pStyle w:val="1172"/>
              <w:pBdr/>
              <w:spacing/>
              <w:ind/>
              <w:jc w:val="center"/>
              <w:rPr>
                <w:rFonts w:ascii="Arial" w:hAnsi="Arial" w:cs="Arial"/>
              </w:rPr>
            </w:pPr>
            <w:r>
              <w:rPr>
                <w:rFonts w:ascii="Arial" w:hAnsi="Arial" w:eastAsia="Arial" w:cs="Arial"/>
              </w:rPr>
              <w:t xml:space="preserve">Socio</w:t>
            </w:r>
            <w:r>
              <w:rPr>
                <w:rFonts w:ascii="Arial" w:hAnsi="Arial" w:cs="Arial"/>
              </w:rPr>
            </w:r>
          </w:p>
        </w:tc>
        <w:tc>
          <w:tcPr>
            <w:tcBorders>
              <w:left w:val="single" w:color="000000" w:sz="4" w:space="0"/>
              <w:bottom w:val="single" w:color="000000" w:sz="4" w:space="0"/>
              <w:right w:val="single" w:color="000000" w:sz="4" w:space="0"/>
            </w:tcBorders>
            <w:tcW w:w="3869" w:type="dxa"/>
            <w:vMerge w:val="restart"/>
            <w:textDirection w:val="lrTb"/>
            <w:noWrap w:val="false"/>
          </w:tcPr>
          <w:p>
            <w:pPr>
              <w:pBdr/>
              <w:spacing/>
              <w:ind/>
              <w:jc w:val="center"/>
              <w:rPr>
                <w:rFonts w:cs="Arial"/>
                <w:sz w:val="24"/>
                <w:szCs w:val="24"/>
              </w:rPr>
            </w:pPr>
            <w:r>
              <w:rPr>
                <w:rFonts w:eastAsia="Arial" w:cs="Arial"/>
                <w:sz w:val="24"/>
                <w:szCs w:val="24"/>
              </w:rPr>
              <w:t xml:space="preserve">Mauro Victor dos Santos</w:t>
            </w:r>
            <w:r>
              <w:rPr>
                <w:rFonts w:cs="Arial"/>
                <w:sz w:val="24"/>
                <w:szCs w:val="24"/>
              </w:rPr>
            </w:r>
          </w:p>
        </w:tc>
        <w:tc>
          <w:tcPr>
            <w:tcBorders>
              <w:left w:val="single" w:color="000000" w:sz="4" w:space="0"/>
              <w:bottom w:val="single" w:color="000000" w:sz="4" w:space="0"/>
              <w:right w:val="single" w:color="000000" w:sz="4" w:space="0"/>
            </w:tcBorders>
            <w:tcW w:w="3836" w:type="dxa"/>
            <w:vMerge w:val="continue"/>
            <w:textDirection w:val="lrTb"/>
            <w:noWrap w:val="false"/>
          </w:tcPr>
          <w:p>
            <w:pPr>
              <w:pBdr/>
              <w:spacing/>
              <w:ind/>
              <w:rPr/>
            </w:pPr>
            <w:r/>
            <w:r/>
          </w:p>
        </w:tc>
      </w:tr>
    </w:tbl>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360" w:lineRule="auto"/>
        <w:ind/>
        <w:rPr>
          <w:rFonts w:cs="Arial"/>
          <w:color w:val="000000"/>
          <w:sz w:val="24"/>
          <w:szCs w:val="24"/>
        </w:rPr>
      </w:pPr>
      <w:r>
        <w:rPr>
          <w:rFonts w:eastAsia="Arial" w:cs="Arial"/>
          <w:color w:val="000000"/>
          <w:sz w:val="24"/>
          <w:szCs w:val="24"/>
        </w:rPr>
        <w:t xml:space="preserve"> </w:t>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276" w:lineRule="auto"/>
        <w:ind/>
        <w:rPr>
          <w:rFonts w:cs="Arial"/>
          <w:color w:val="000000"/>
          <w:sz w:val="24"/>
          <w:szCs w:val="24"/>
        </w:rPr>
      </w:pPr>
      <w:r>
        <w:rPr>
          <w:rFonts w:eastAsia="Arial" w:cs="Arial"/>
          <w:b/>
          <w:bCs/>
          <w:color w:val="000000"/>
          <w:sz w:val="24"/>
          <w:szCs w:val="24"/>
        </w:rPr>
        <w:t xml:space="preserve">8.2.</w:t>
      </w:r>
      <w:r>
        <w:rPr>
          <w:rFonts w:eastAsia="Arial" w:cs="Arial"/>
          <w:color w:val="000000"/>
          <w:sz w:val="24"/>
          <w:szCs w:val="24"/>
        </w:rPr>
        <w:t xml:space="preserve"> Os mesmos ficarão responsáveis por atestar no documento fiscal correspondente, caso os produtos estejam em desacordo com o solicitado, os mesmos deverão ser substituídos dentro do prazo de fiscalização sem ônus para o órgão solicitante.</w:t>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276" w:lineRule="auto"/>
        <w:ind/>
        <w:rPr>
          <w:rFonts w:cs="Arial"/>
          <w:color w:val="000000"/>
          <w:sz w:val="24"/>
          <w:szCs w:val="24"/>
        </w:rPr>
      </w:pPr>
      <w:r>
        <w:rPr>
          <w:rFonts w:eastAsia="Arial" w:cs="Arial"/>
          <w:b/>
          <w:bCs/>
          <w:color w:val="000000"/>
          <w:sz w:val="24"/>
          <w:szCs w:val="24"/>
        </w:rPr>
        <w:t xml:space="preserve">8.3. </w:t>
      </w:r>
      <w:r>
        <w:rPr>
          <w:rFonts w:eastAsia="Arial" w:cs="Arial"/>
          <w:color w:val="000000"/>
          <w:sz w:val="24"/>
          <w:szCs w:val="24"/>
        </w:rPr>
        <w:t xml:space="preserve">A fiscalização de que trata este item não exclui nem reduz a responsabil</w:t>
      </w:r>
      <w:r>
        <w:rPr>
          <w:rFonts w:eastAsia="Arial" w:cs="Arial"/>
          <w:color w:val="000000"/>
          <w:sz w:val="24"/>
          <w:szCs w:val="24"/>
        </w:rPr>
        <w:t xml:space="preserve">idade da Contratada, inclusive perante terceiros, por qualquer irregularidade, ainda que resultante de imperfeições técnicas ou vícios redibitórios, e, na ocorrência desta, não implica em corresponsabilidade da Administração ou de seus agentes e prepostos.</w:t>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276" w:lineRule="auto"/>
        <w:ind/>
        <w:rPr>
          <w:rFonts w:cs="Arial"/>
          <w:color w:val="000000"/>
          <w:sz w:val="24"/>
          <w:szCs w:val="24"/>
        </w:rPr>
      </w:pPr>
      <w:r>
        <w:rPr>
          <w:rFonts w:eastAsia="Arial" w:cs="Arial"/>
          <w:b/>
          <w:bCs/>
          <w:color w:val="000000"/>
          <w:sz w:val="24"/>
          <w:szCs w:val="24"/>
        </w:rPr>
        <w:t xml:space="preserve">8.4. </w:t>
      </w:r>
      <w:r>
        <w:rPr>
          <w:rFonts w:eastAsia="Arial" w:cs="Arial"/>
          <w:color w:val="000000"/>
          <w:sz w:val="24"/>
          <w:szCs w:val="24"/>
        </w:rPr>
        <w:t xml:space="preserve">O representante da administração anotará em registro próprio todas as ocorrências relacionadas com a execução do contrato</w:t>
      </w:r>
      <w:r>
        <w:rPr>
          <w:rFonts w:eastAsia="Arial" w:cs="Arial"/>
          <w:color w:val="000000"/>
          <w:sz w:val="24"/>
          <w:szCs w:val="24"/>
        </w:rPr>
        <w:t xml:space="preserve">, indicando dia, mês e ano, bem como o nome dos funcionários eventualmente envolvidos, determinando o que for necessário à regularização das falhas ou defeitos observados e encaminhados os apontamentos à autoridade competente para as providências cabíveis.</w:t>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276" w:lineRule="auto"/>
        <w:ind w:left="390"/>
        <w:rPr>
          <w:rFonts w:cs="Arial"/>
          <w:color w:val="000000"/>
          <w:sz w:val="24"/>
          <w:szCs w:val="24"/>
        </w:rPr>
      </w:pPr>
      <w:r>
        <w:rPr>
          <w:rFonts w:cs="Arial"/>
          <w:color w:val="000000"/>
          <w:sz w:val="24"/>
          <w:szCs w:val="24"/>
        </w:rPr>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360" w:lineRule="auto"/>
        <w:ind/>
        <w:rPr>
          <w:rFonts w:cs="Arial"/>
          <w:color w:val="000000"/>
          <w:sz w:val="24"/>
          <w:szCs w:val="24"/>
        </w:rPr>
      </w:pPr>
      <w:r>
        <w:rPr>
          <w:rFonts w:eastAsia="Arial" w:cs="Arial"/>
          <w:b/>
          <w:sz w:val="24"/>
          <w:szCs w:val="24"/>
        </w:rPr>
        <w:t xml:space="preserve">9. CRITÉRIOS DE MEDIÇÃO E DE PAGAMENTO </w:t>
      </w:r>
      <w:r>
        <w:rPr>
          <w:rFonts w:eastAsia="Arial" w:cs="Arial"/>
          <w:color w:val="000000"/>
          <w:sz w:val="24"/>
          <w:szCs w:val="24"/>
        </w:rPr>
        <w:t xml:space="preserve">(</w:t>
      </w:r>
      <w:r>
        <w:rPr>
          <w:rFonts w:eastAsia="Arial" w:cs="Arial"/>
          <w:color w:val="00b050"/>
          <w:sz w:val="24"/>
          <w:szCs w:val="24"/>
        </w:rPr>
        <w:t xml:space="preserve">Art. 6º, XXIII, “g” da Lei 14.133/21)</w:t>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276" w:lineRule="auto"/>
        <w:ind/>
        <w:rPr>
          <w:rFonts w:cs="Arial"/>
          <w:sz w:val="24"/>
          <w:szCs w:val="24"/>
        </w:rPr>
      </w:pPr>
      <w:r>
        <w:rPr>
          <w:rFonts w:eastAsia="Arial" w:cs="Arial"/>
          <w:b/>
          <w:bCs/>
          <w:sz w:val="24"/>
          <w:szCs w:val="24"/>
        </w:rPr>
        <w:t xml:space="preserve">9.1.</w:t>
      </w:r>
      <w:r>
        <w:rPr>
          <w:rFonts w:eastAsia="Arial" w:cs="Arial"/>
          <w:sz w:val="24"/>
          <w:szCs w:val="24"/>
        </w:rPr>
        <w:t xml:space="preserve"> A medição dos serviços de manutenção será realizada com base nos serviços efetivamente executados e devidamente autorizados pela Administração, mediante Ordem de Serviço emitida pelo setor responsável.</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sz w:val="24"/>
          <w:szCs w:val="24"/>
        </w:rPr>
        <w:t xml:space="preserve">A mão de obra será medida pela quantidade de horas efetivamente utilizadas na execução dos serviços (hora/homem), conforme valor contratado.</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sz w:val="24"/>
          <w:szCs w:val="24"/>
        </w:rPr>
        <w:t xml:space="preserve">As peças, componentes e acessórios serão medidos por unidade fornecida e aplicada no veículo, mediante apresentação de orçamento prévio e autorização da Administração.</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sz w:val="24"/>
          <w:szCs w:val="24"/>
        </w:rPr>
        <w:t xml:space="preserve">Para fins de pagamento, a contratada deverá apresentar nota fiscal acompanhada da Ordem de Serviço contendo a identificação do veículo atendido, descrição dos serviços executados, quantidade de horas trabalhadas e relação das peças utilizadas.</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sz w:val="24"/>
          <w:szCs w:val="24"/>
        </w:rPr>
        <w:t xml:space="preserve">Somente serão pagos os serviços e fornecimentos devidamente autorizados e atestados pelo fiscal do contrato.</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ind/>
        <w:rPr>
          <w:rFonts w:cs="Arial"/>
          <w:sz w:val="24"/>
          <w:szCs w:val="24"/>
        </w:rPr>
      </w:pPr>
      <w:r>
        <w:rPr>
          <w:rFonts w:cs="Arial"/>
          <w:sz w:val="24"/>
          <w:szCs w:val="24"/>
        </w:rPr>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0"/>
        </w:tabs>
        <w:spacing/>
        <w:ind/>
        <w:rPr>
          <w:rFonts w:cs="Arial"/>
          <w:sz w:val="24"/>
          <w:szCs w:val="24"/>
        </w:rPr>
      </w:pPr>
      <w:r>
        <w:rPr>
          <w:rFonts w:eastAsia="Arial" w:cs="Arial"/>
          <w:b/>
          <w:bCs/>
          <w:sz w:val="24"/>
          <w:szCs w:val="24"/>
        </w:rPr>
        <w:t xml:space="preserve">9.2.</w:t>
      </w:r>
      <w:r>
        <w:rPr>
          <w:rFonts w:eastAsia="Arial" w:cs="Arial"/>
          <w:sz w:val="24"/>
          <w:szCs w:val="24"/>
        </w:rPr>
        <w:t xml:space="preserve"> Os pagamentos serão efetuados em até 30 (trinta) dias após a entrega e a apresentação das Notas Fiscais do fornecimento, que deverão estar devidamente atestadas em seu verso de acordo com as quantidades de serviço/material efetivamente entregues.</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360" w:lineRule="auto"/>
        <w:ind/>
        <w:rPr>
          <w:rFonts w:cs="Arial"/>
          <w:color w:val="000000"/>
          <w:sz w:val="24"/>
          <w:szCs w:val="24"/>
        </w:rPr>
      </w:pPr>
      <w:r>
        <w:rPr>
          <w:rFonts w:cs="Arial"/>
          <w:color w:val="000000"/>
          <w:sz w:val="24"/>
          <w:szCs w:val="24"/>
        </w:rPr>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360" w:lineRule="auto"/>
        <w:ind/>
        <w:rPr>
          <w:rFonts w:cs="Arial"/>
          <w:color w:val="000000"/>
          <w:sz w:val="24"/>
          <w:szCs w:val="24"/>
        </w:rPr>
      </w:pPr>
      <w:r>
        <w:rPr>
          <w:rFonts w:eastAsia="Arial" w:cs="Arial"/>
          <w:b/>
          <w:sz w:val="24"/>
          <w:szCs w:val="24"/>
        </w:rPr>
        <w:t xml:space="preserve">10. FORMA E CRITÉRIOS DE SELEÇÃO DO FORNECEDOR</w:t>
      </w:r>
      <w:r>
        <w:rPr>
          <w:rFonts w:eastAsia="Arial" w:cs="Arial"/>
          <w:sz w:val="24"/>
          <w:szCs w:val="24"/>
        </w:rPr>
        <w:t xml:space="preserve"> </w:t>
      </w:r>
      <w:r>
        <w:rPr>
          <w:rFonts w:eastAsia="Arial" w:cs="Arial"/>
          <w:color w:val="000000"/>
          <w:sz w:val="24"/>
          <w:szCs w:val="24"/>
        </w:rPr>
        <w:t xml:space="preserve">(</w:t>
      </w:r>
      <w:r>
        <w:rPr>
          <w:rFonts w:eastAsia="Arial" w:cs="Arial"/>
          <w:color w:val="00b050"/>
          <w:sz w:val="24"/>
          <w:szCs w:val="24"/>
        </w:rPr>
        <w:t xml:space="preserve">Art. 6º, XXIII, “h” da Lei 14.133/21)</w:t>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 w:val="center" w:leader="none" w:pos="4678"/>
        </w:tabs>
        <w:spacing w:line="276" w:lineRule="auto"/>
        <w:ind/>
        <w:rPr>
          <w:rFonts w:cs="Arial"/>
          <w:sz w:val="24"/>
          <w:szCs w:val="24"/>
        </w:rPr>
      </w:pPr>
      <w:r>
        <w:rPr>
          <w:rFonts w:eastAsia="Arial" w:cs="Arial"/>
          <w:b/>
          <w:bCs/>
          <w:sz w:val="24"/>
          <w:szCs w:val="24"/>
        </w:rPr>
        <w:t xml:space="preserve">10.1.</w:t>
      </w:r>
      <w:r>
        <w:rPr>
          <w:rFonts w:eastAsia="Arial" w:cs="Arial"/>
          <w:sz w:val="24"/>
          <w:szCs w:val="24"/>
        </w:rPr>
        <w:t xml:space="preserve"> O procedimento será realizado por meio de Pregão na forma Eletrônica, onde para seleção do fornec</w:t>
      </w:r>
      <w:r>
        <w:rPr>
          <w:rFonts w:eastAsia="Arial" w:cs="Arial"/>
          <w:sz w:val="24"/>
          <w:szCs w:val="24"/>
        </w:rPr>
        <w:t xml:space="preserve">edor, o julgamento e a classificação das propostas, será adotado o critério do MAIOR PERCENTUAL DE DESCONTO POR LOTE (sendo mão de obra e peças), observados o prazo máximo de fornecimento, as especificações e parâmetros de qualidade definidos neste edital.</w:t>
      </w:r>
      <w:r>
        <w:rPr>
          <w:rFonts w:eastAsia="Arial" w:cs="Arial"/>
          <w:sz w:val="24"/>
          <w:szCs w:val="24"/>
        </w:rPr>
        <w:tab/>
      </w:r>
      <w:r>
        <w:rPr>
          <w:rFonts w:cs="Arial"/>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360" w:lineRule="auto"/>
        <w:ind/>
        <w:rPr>
          <w:rFonts w:cs="Arial"/>
          <w:color w:val="000000"/>
          <w:sz w:val="24"/>
          <w:szCs w:val="24"/>
        </w:rPr>
      </w:pPr>
      <w:r>
        <w:rPr>
          <w:rFonts w:cs="Arial"/>
          <w:color w:val="000000"/>
          <w:sz w:val="24"/>
          <w:szCs w:val="24"/>
        </w:rPr>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360" w:lineRule="auto"/>
        <w:ind/>
        <w:rPr>
          <w:rFonts w:cs="Arial"/>
          <w:color w:val="000000"/>
          <w:sz w:val="24"/>
          <w:szCs w:val="24"/>
        </w:rPr>
      </w:pPr>
      <w:r>
        <w:rPr>
          <w:rFonts w:eastAsia="Arial" w:cs="Arial"/>
          <w:b/>
          <w:color w:val="000000"/>
          <w:sz w:val="24"/>
          <w:szCs w:val="24"/>
        </w:rPr>
        <w:t xml:space="preserve">11. VALOR ESTIMADO </w:t>
      </w:r>
      <w:r>
        <w:rPr>
          <w:rFonts w:eastAsia="Arial" w:cs="Arial"/>
          <w:color w:val="000000"/>
          <w:sz w:val="24"/>
          <w:szCs w:val="24"/>
        </w:rPr>
        <w:t xml:space="preserve">(</w:t>
      </w:r>
      <w:r>
        <w:rPr>
          <w:rFonts w:eastAsia="Arial" w:cs="Arial"/>
          <w:color w:val="00b050"/>
          <w:sz w:val="24"/>
          <w:szCs w:val="24"/>
        </w:rPr>
        <w:t xml:space="preserve">Art. 6º, XXIII, “i” da Lei 14.133/21)</w:t>
      </w:r>
      <w:r>
        <w:rPr>
          <w:rFonts w:cs="Arial"/>
          <w:color w:val="000000"/>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O valor estimado da contratação foi obtido a partir do levantamento da frota municipal pertencente às diversas Secretarias, considerando o valor de mercado de cada veículo com base na </w:t>
      </w:r>
      <w:r>
        <w:rPr>
          <w:rFonts w:eastAsia="Arial" w:cs="Arial"/>
          <w:b/>
          <w:color w:val="000000"/>
          <w:sz w:val="24"/>
          <w:szCs w:val="24"/>
        </w:rPr>
        <w:t xml:space="preserve">Tabela FIPE</w:t>
      </w:r>
      <w:r>
        <w:rPr>
          <w:rFonts w:eastAsia="Arial" w:cs="Arial"/>
          <w:color w:val="000000"/>
          <w:sz w:val="24"/>
          <w:szCs w:val="24"/>
        </w:rPr>
        <w:t xml:space="preserve"> e na </w:t>
      </w:r>
      <w:r>
        <w:rPr>
          <w:rFonts w:eastAsia="Arial" w:cs="Arial"/>
          <w:b/>
          <w:color w:val="000000"/>
          <w:sz w:val="24"/>
          <w:szCs w:val="24"/>
        </w:rPr>
        <w:t xml:space="preserve">Placa FIPE</w:t>
      </w:r>
      <w:r>
        <w:rPr>
          <w:rFonts w:eastAsia="Arial" w:cs="Arial"/>
          <w:color w:val="000000"/>
          <w:sz w:val="24"/>
          <w:szCs w:val="24"/>
        </w:rPr>
        <w:t xml:space="preserve">, utilizadas como referência para dimensionamento do custo médio de manutenção dos veículos.</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Com base nesses valores, foi estabelecido como parâmetro que até </w:t>
      </w:r>
      <w:r>
        <w:rPr>
          <w:rFonts w:eastAsia="Arial" w:cs="Arial"/>
          <w:b/>
          <w:color w:val="000000"/>
          <w:sz w:val="24"/>
          <w:szCs w:val="24"/>
        </w:rPr>
        <w:t xml:space="preserve">50% (cinquenta por cento) do valor de mercado do veículo</w:t>
      </w:r>
      <w:r>
        <w:rPr>
          <w:rFonts w:eastAsia="Arial" w:cs="Arial"/>
          <w:color w:val="000000"/>
          <w:sz w:val="24"/>
          <w:szCs w:val="24"/>
        </w:rPr>
        <w:t xml:space="preserve"> poderá ser destinado a despesas de manutenção durante o período de </w:t>
      </w:r>
      <w:r>
        <w:rPr>
          <w:rFonts w:eastAsia="Arial" w:cs="Arial"/>
          <w:b/>
          <w:color w:val="000000"/>
          <w:sz w:val="24"/>
          <w:szCs w:val="24"/>
        </w:rPr>
        <w:t xml:space="preserve">12 (doze) meses</w:t>
      </w:r>
      <w:r>
        <w:rPr>
          <w:rFonts w:eastAsia="Arial" w:cs="Arial"/>
          <w:color w:val="000000"/>
          <w:sz w:val="24"/>
          <w:szCs w:val="24"/>
        </w:rPr>
        <w:t xml:space="preserve">. Desse montante estimado, adotou-se como referência a seguinte distribuição média de custos, considerando práticas usuais do setor automotivo:</w:t>
      </w:r>
      <w:r>
        <w:rPr>
          <w:rFonts w:cs="Arial"/>
          <w:sz w:val="24"/>
          <w:szCs w:val="24"/>
        </w:rPr>
      </w:r>
    </w:p>
    <w:p>
      <w:pPr>
        <w:pStyle w:val="995"/>
        <w:numPr>
          <w:ilvl w:val="0"/>
          <w:numId w:val="48"/>
        </w:num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b/>
          <w:color w:val="000000"/>
          <w:sz w:val="24"/>
          <w:szCs w:val="24"/>
        </w:rPr>
        <w:t xml:space="preserve">30% (trinta por cento)</w:t>
      </w:r>
      <w:r>
        <w:rPr>
          <w:rFonts w:eastAsia="Arial" w:cs="Arial"/>
          <w:color w:val="000000"/>
          <w:sz w:val="24"/>
          <w:szCs w:val="24"/>
        </w:rPr>
        <w:t xml:space="preserve"> destinados à </w:t>
      </w:r>
      <w:r>
        <w:rPr>
          <w:rFonts w:eastAsia="Arial" w:cs="Arial"/>
          <w:b/>
          <w:color w:val="000000"/>
          <w:sz w:val="24"/>
          <w:szCs w:val="24"/>
        </w:rPr>
        <w:t xml:space="preserve">mão de obra</w:t>
      </w:r>
      <w:r>
        <w:rPr>
          <w:rFonts w:eastAsia="Arial" w:cs="Arial"/>
          <w:color w:val="000000"/>
          <w:sz w:val="24"/>
          <w:szCs w:val="24"/>
        </w:rPr>
        <w:t xml:space="preserve">;</w:t>
      </w:r>
      <w:r>
        <w:rPr>
          <w:rFonts w:cs="Arial"/>
          <w:sz w:val="24"/>
          <w:szCs w:val="24"/>
        </w:rPr>
      </w:r>
    </w:p>
    <w:p>
      <w:pPr>
        <w:pStyle w:val="995"/>
        <w:numPr>
          <w:ilvl w:val="0"/>
          <w:numId w:val="48"/>
        </w:num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b/>
          <w:color w:val="000000"/>
          <w:sz w:val="24"/>
          <w:szCs w:val="24"/>
        </w:rPr>
        <w:t xml:space="preserve">70% (setenta por cento)</w:t>
      </w:r>
      <w:r>
        <w:rPr>
          <w:rFonts w:eastAsia="Arial" w:cs="Arial"/>
          <w:color w:val="000000"/>
          <w:sz w:val="24"/>
          <w:szCs w:val="24"/>
        </w:rPr>
        <w:t xml:space="preserve"> destinados ao </w:t>
      </w:r>
      <w:r>
        <w:rPr>
          <w:rFonts w:eastAsia="Arial" w:cs="Arial"/>
          <w:b/>
          <w:color w:val="000000"/>
          <w:sz w:val="24"/>
          <w:szCs w:val="24"/>
        </w:rPr>
        <w:t xml:space="preserve">fornecimento de peças e acessórios</w:t>
      </w:r>
      <w:r>
        <w:rPr>
          <w:rFonts w:eastAsia="Arial" w:cs="Arial"/>
          <w:color w:val="000000"/>
          <w:sz w:val="24"/>
          <w:szCs w:val="24"/>
        </w:rPr>
        <w:t xml:space="preserve">.</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A estimativa do valor da </w:t>
      </w:r>
      <w:r>
        <w:rPr>
          <w:rFonts w:eastAsia="Arial" w:cs="Arial"/>
          <w:b/>
          <w:color w:val="000000"/>
          <w:sz w:val="24"/>
          <w:szCs w:val="24"/>
        </w:rPr>
        <w:t xml:space="preserve">hora de mão de obra</w:t>
      </w:r>
      <w:r>
        <w:rPr>
          <w:rFonts w:eastAsia="Arial" w:cs="Arial"/>
          <w:color w:val="000000"/>
          <w:sz w:val="24"/>
          <w:szCs w:val="24"/>
        </w:rPr>
        <w:t xml:space="preserve"> foi definida com base em parâmetros de mercado e valores de referência praticados no setor de reparação automotiva, tomando como base as tabelas e orientações do </w:t>
      </w:r>
      <w:r>
        <w:rPr>
          <w:rFonts w:eastAsia="Arial" w:cs="Arial"/>
          <w:b/>
          <w:color w:val="000000"/>
          <w:sz w:val="24"/>
          <w:szCs w:val="24"/>
        </w:rPr>
        <w:t xml:space="preserve">SINDIREPA</w:t>
      </w:r>
      <w:r>
        <w:rPr>
          <w:rFonts w:eastAsia="Arial" w:cs="Arial"/>
          <w:color w:val="000000"/>
          <w:sz w:val="24"/>
          <w:szCs w:val="24"/>
        </w:rPr>
        <w:t xml:space="preserve">, que apresentam médias de valores de serviços e tempos técnicos de execução.</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A partir da definição do montante estimado destinado à mão de obra, o valor total foi dividido pela média dos valores dos serviços constantes nas tabelas do SINDIREPA, possibilitando a estimativa da </w:t>
      </w:r>
      <w:r>
        <w:rPr>
          <w:rFonts w:eastAsia="Arial" w:cs="Arial"/>
          <w:b/>
          <w:color w:val="000000"/>
          <w:sz w:val="24"/>
          <w:szCs w:val="24"/>
        </w:rPr>
        <w:t xml:space="preserve">quantidade total de horas técnicas necessárias para a manutenção da frota durante a vigência contratual</w:t>
      </w:r>
      <w:r>
        <w:rPr>
          <w:rFonts w:eastAsia="Arial" w:cs="Arial"/>
          <w:color w:val="000000"/>
          <w:sz w:val="24"/>
          <w:szCs w:val="24"/>
        </w:rPr>
        <w:t xml:space="preserve">.</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Para a estimativa das horas por veículo foram considerados, ainda, os seguintes fatores:</w:t>
      </w:r>
      <w:r>
        <w:rPr>
          <w:rFonts w:cs="Arial"/>
          <w:sz w:val="24"/>
          <w:szCs w:val="24"/>
        </w:rPr>
      </w:r>
    </w:p>
    <w:p>
      <w:pPr>
        <w:pStyle w:val="995"/>
        <w:numPr>
          <w:ilvl w:val="0"/>
          <w:numId w:val="49"/>
        </w:num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tipo e categoria do veículo (leve, utilitário, caminhão, máquina etc.);</w:t>
      </w:r>
      <w:r>
        <w:rPr>
          <w:rFonts w:cs="Arial"/>
          <w:sz w:val="24"/>
          <w:szCs w:val="24"/>
        </w:rPr>
      </w:r>
    </w:p>
    <w:p>
      <w:pPr>
        <w:pStyle w:val="995"/>
        <w:numPr>
          <w:ilvl w:val="0"/>
          <w:numId w:val="49"/>
        </w:num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valor de mercado do veículo conforme referência da Tabela FIPE;</w:t>
      </w:r>
      <w:r>
        <w:rPr>
          <w:rFonts w:cs="Arial"/>
          <w:sz w:val="24"/>
          <w:szCs w:val="24"/>
        </w:rPr>
      </w:r>
    </w:p>
    <w:p>
      <w:pPr>
        <w:pStyle w:val="995"/>
        <w:numPr>
          <w:ilvl w:val="0"/>
          <w:numId w:val="49"/>
        </w:num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histórico e média de manutenções realizadas na frota municipal;</w:t>
      </w:r>
      <w:r>
        <w:rPr>
          <w:rFonts w:cs="Arial"/>
          <w:sz w:val="24"/>
          <w:szCs w:val="24"/>
        </w:rPr>
      </w:r>
    </w:p>
    <w:p>
      <w:pPr>
        <w:pStyle w:val="995"/>
        <w:numPr>
          <w:ilvl w:val="0"/>
          <w:numId w:val="49"/>
        </w:num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parâmetros técnicos de tempo de reparo utilizados no setor automotivo.</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 xml:space="preserve">Dessa forma, o valor estimado de manutenção por veículo resulta da multiplicação da </w:t>
      </w:r>
      <w:r>
        <w:rPr>
          <w:rFonts w:eastAsia="Arial" w:cs="Arial"/>
          <w:b/>
          <w:color w:val="000000"/>
          <w:sz w:val="24"/>
          <w:szCs w:val="24"/>
        </w:rPr>
        <w:t xml:space="preserve">quantidade estimada de horas de serviço pelo valor da hora técnica de mão de obra</w:t>
      </w:r>
      <w:r>
        <w:rPr>
          <w:rFonts w:eastAsia="Arial" w:cs="Arial"/>
          <w:color w:val="000000"/>
          <w:sz w:val="24"/>
          <w:szCs w:val="24"/>
        </w:rPr>
        <w:t xml:space="preserve">, acrescido da previsão de custos com peças e acessórios, resultando no valor total estimado utilizado para composição da planilha orçamentária do processo licitatório.</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color w:val="000000"/>
          <w:sz w:val="24"/>
          <w:szCs w:val="24"/>
        </w:rPr>
        <w:tab/>
      </w:r>
      <w:r>
        <w:rPr>
          <w:rFonts w:eastAsia="Arial" w:cs="Arial"/>
          <w:sz w:val="24"/>
          <w:szCs w:val="24"/>
        </w:rPr>
        <w:t xml:space="preserve">Com base na metodologia descrita e na consolidação das in</w:t>
      </w:r>
      <w:r>
        <w:rPr>
          <w:rFonts w:eastAsia="Arial" w:cs="Arial"/>
          <w:sz w:val="24"/>
          <w:szCs w:val="24"/>
        </w:rPr>
        <w:t xml:space="preserve">formações constantes na planilha de relação de veículos de cada Secretaria, as quantidades a serem contratadas foram definidas considerando a necessidade de atendimento das demandas de manutenção da frota municipal durante o período de vigência contratual.</w:t>
      </w:r>
      <w:r>
        <w:rPr>
          <w:rFonts w:cs="Arial"/>
          <w:sz w:val="24"/>
          <w:szCs w:val="24"/>
        </w:rPr>
      </w:r>
    </w:p>
    <w:p>
      <w:pPr>
        <w:pBdr>
          <w:top w:val="none" w:color="000000" w:sz="4" w:space="0"/>
          <w:left w:val="none" w:color="000000" w:sz="4" w:space="0"/>
          <w:bottom w:val="none" w:color="000000" w:sz="4" w:space="0"/>
          <w:right w:val="none" w:color="000000" w:sz="4" w:space="0"/>
        </w:pBdr>
        <w:spacing w:line="276" w:lineRule="auto"/>
        <w:ind/>
        <w:rPr>
          <w:rFonts w:cs="Arial"/>
          <w:b/>
          <w:bCs/>
          <w:color w:val="000000" w:themeColor="text1"/>
          <w:sz w:val="24"/>
          <w:szCs w:val="24"/>
          <w:highlight w:val="white"/>
        </w:rPr>
      </w:pPr>
      <w:r>
        <w:rPr>
          <w:rFonts w:eastAsia="Arial" w:cs="Arial"/>
          <w:color w:val="000000" w:themeColor="text1"/>
          <w:sz w:val="24"/>
          <w:szCs w:val="24"/>
          <w:highlight w:val="white"/>
        </w:rPr>
        <w:t xml:space="preserve">Assim, para estimar o valor </w:t>
      </w:r>
      <w:r>
        <w:rPr>
          <w:rFonts w:eastAsia="Arial" w:cs="Arial"/>
          <w:color w:val="000000" w:themeColor="text1"/>
          <w:sz w:val="24"/>
          <w:szCs w:val="24"/>
          <w:highlight w:val="white"/>
        </w:rPr>
        <w:t xml:space="preserve">total  da</w:t>
      </w:r>
      <w:r>
        <w:rPr>
          <w:rFonts w:eastAsia="Arial" w:cs="Arial"/>
          <w:color w:val="000000" w:themeColor="text1"/>
          <w:sz w:val="24"/>
          <w:szCs w:val="24"/>
          <w:highlight w:val="white"/>
        </w:rPr>
        <w:t xml:space="preserve"> contratação para a prestação dos serviços foi usada a </w:t>
      </w:r>
      <w:r>
        <w:rPr>
          <w:rFonts w:eastAsia="Arial" w:cs="Arial"/>
          <w:b/>
          <w:bCs/>
          <w:color w:val="000000" w:themeColor="text1"/>
          <w:sz w:val="24"/>
          <w:szCs w:val="24"/>
          <w:highlight w:val="white"/>
        </w:rPr>
        <w:t xml:space="preserve">MÉDIA</w:t>
      </w:r>
      <w:r>
        <w:rPr>
          <w:rFonts w:eastAsia="Arial" w:cs="Arial"/>
          <w:color w:val="000000" w:themeColor="text1"/>
          <w:sz w:val="24"/>
          <w:szCs w:val="24"/>
          <w:highlight w:val="white"/>
        </w:rPr>
        <w:t xml:space="preserve">, que corresponde a</w:t>
      </w:r>
      <w:r>
        <w:rPr>
          <w:rFonts w:eastAsia="Arial" w:cs="Arial"/>
          <w:b/>
          <w:bCs/>
          <w:color w:val="000000" w:themeColor="text1"/>
          <w:sz w:val="24"/>
          <w:szCs w:val="24"/>
          <w:highlight w:val="white"/>
        </w:rPr>
        <w:t xml:space="preserve"> R$ </w:t>
      </w:r>
      <w:r>
        <w:rPr>
          <w:rFonts w:ascii="Calibri" w:hAnsi="Calibri" w:eastAsia="Calibri" w:cs="Calibri"/>
          <w:b/>
          <w:color w:val="000000"/>
          <w:sz w:val="28"/>
        </w:rPr>
        <w:t xml:space="preserve">2.460.149,50</w:t>
      </w:r>
      <w:r>
        <w:rPr>
          <w:rFonts w:eastAsia="Arial" w:cs="Arial"/>
          <w:b/>
          <w:bCs/>
          <w:color w:val="000000" w:themeColor="text1"/>
          <w:sz w:val="24"/>
          <w:szCs w:val="24"/>
          <w:highlight w:val="white"/>
        </w:rPr>
        <w:t xml:space="preserve"> (dois milhões, quatrocentos e sessenta mil, cento e quarenta e nove reais e cinquenta centavos).</w:t>
      </w:r>
      <w:r>
        <w:rPr>
          <w:rFonts w:cs="Arial"/>
          <w:b/>
          <w:bCs/>
          <w:color w:val="000000" w:themeColor="text1"/>
          <w:sz w:val="24"/>
          <w:szCs w:val="24"/>
          <w:highlight w:val="white"/>
        </w:rPr>
      </w:r>
    </w:p>
    <w:p>
      <w:pPr>
        <w:pBdr>
          <w:top w:val="none" w:color="000000" w:sz="4" w:space="0"/>
          <w:left w:val="none" w:color="000000" w:sz="4" w:space="0"/>
          <w:bottom w:val="none" w:color="000000" w:sz="4" w:space="0"/>
          <w:right w:val="none" w:color="000000" w:sz="4" w:space="0"/>
        </w:pBdr>
        <w:spacing w:line="276" w:lineRule="auto"/>
        <w:ind/>
        <w:rPr>
          <w:rFonts w:cs="Arial"/>
          <w:sz w:val="24"/>
          <w:szCs w:val="24"/>
        </w:rPr>
      </w:pPr>
      <w:r>
        <w:rPr>
          <w:rFonts w:eastAsia="Arial" w:cs="Arial"/>
          <w:sz w:val="24"/>
          <w:szCs w:val="24"/>
        </w:rPr>
        <w:t xml:space="preserve">A metodologia empregada para a seleção da proposta mais </w:t>
      </w:r>
      <w:r>
        <w:rPr>
          <w:rFonts w:eastAsia="Arial" w:cs="Arial"/>
          <w:sz w:val="24"/>
          <w:szCs w:val="24"/>
        </w:rPr>
        <w:t xml:space="preserve">vantmaior</w:t>
      </w:r>
      <w:r>
        <w:rPr>
          <w:rFonts w:eastAsia="Arial" w:cs="Arial"/>
          <w:sz w:val="24"/>
          <w:szCs w:val="24"/>
        </w:rPr>
        <w:t xml:space="preserve"> percentual de desconto por lote, com base em pesquisa e coleta de preços de mercado junto a fornecedores do ramo, considerando que tal critério melhor representa a realidade dos itens que compõem o objeto da contratação.</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tabs>
          <w:tab w:val="left" w:leader="none" w:pos="1276"/>
        </w:tabs>
        <w:spacing w:line="360" w:lineRule="auto"/>
        <w:ind w:left="765"/>
        <w:rPr>
          <w:rFonts w:cs="Arial"/>
          <w:color w:val="000000"/>
          <w:sz w:val="24"/>
          <w:szCs w:val="24"/>
        </w:rPr>
      </w:pPr>
      <w:r>
        <w:rPr>
          <w:rFonts w:cs="Arial"/>
          <w:color w:val="000000"/>
          <w:sz w:val="24"/>
          <w:szCs w:val="24"/>
        </w:rPr>
      </w:r>
      <w:r>
        <w:rPr>
          <w:rFonts w:cs="Arial"/>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tabs>
          <w:tab w:val="left" w:leader="none" w:pos="284"/>
        </w:tabs>
        <w:spacing w:line="360" w:lineRule="auto"/>
        <w:ind/>
        <w:rPr>
          <w:rFonts w:cs="Arial"/>
          <w:b/>
          <w:color w:val="000000"/>
          <w:sz w:val="24"/>
          <w:szCs w:val="24"/>
        </w:rPr>
      </w:pPr>
      <w:r>
        <w:rPr>
          <w:rFonts w:eastAsia="Arial" w:cs="Arial"/>
          <w:b/>
          <w:color w:val="000000"/>
          <w:sz w:val="24"/>
          <w:szCs w:val="24"/>
        </w:rPr>
        <w:t xml:space="preserve">12. CRÉDITOS ORÇAMENTÁRIOS </w:t>
      </w:r>
      <w:r>
        <w:rPr>
          <w:rFonts w:eastAsia="Arial" w:cs="Arial"/>
          <w:color w:val="000000"/>
          <w:sz w:val="24"/>
          <w:szCs w:val="24"/>
        </w:rPr>
        <w:t xml:space="preserve">(</w:t>
      </w:r>
      <w:r>
        <w:rPr>
          <w:rFonts w:eastAsia="Arial" w:cs="Arial"/>
          <w:color w:val="00b050"/>
          <w:sz w:val="24"/>
          <w:szCs w:val="24"/>
        </w:rPr>
        <w:t xml:space="preserve">Art. 6º, XXIII, “j” da Lei 14.133/21)</w:t>
      </w:r>
      <w:r>
        <w:rPr>
          <w:rFonts w:cs="Arial"/>
          <w:b/>
          <w:color w:val="000000"/>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rPr>
          <w:rFonts w:cs="Arial"/>
          <w:b/>
          <w:color w:val="000000"/>
          <w:sz w:val="24"/>
          <w:szCs w:val="24"/>
        </w:rPr>
      </w:pPr>
      <w:r>
        <w:rPr>
          <w:rFonts w:eastAsia="Arial" w:cs="Arial"/>
          <w:b/>
          <w:bCs/>
          <w:sz w:val="24"/>
          <w:szCs w:val="24"/>
        </w:rPr>
        <w:t xml:space="preserve">12.1.</w:t>
      </w:r>
      <w:r>
        <w:rPr>
          <w:rFonts w:eastAsia="Arial" w:cs="Arial"/>
          <w:sz w:val="24"/>
          <w:szCs w:val="24"/>
        </w:rPr>
        <w:t xml:space="preserve"> As despesas decorrentes desta contratação correrão por conta de cada através da seguinte dotação orçamentária:</w:t>
      </w:r>
      <w:r>
        <w:rPr>
          <w:rFonts w:cs="Arial"/>
          <w:b/>
          <w:color w:val="000000"/>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b/>
          <w:bCs/>
          <w:i/>
          <w:sz w:val="24"/>
          <w:szCs w:val="24"/>
          <w:u w:val="single"/>
        </w:rPr>
      </w:pPr>
      <w:r>
        <w:rPr>
          <w:rFonts w:eastAsia="Arial" w:cs="Arial"/>
          <w:b/>
          <w:bCs/>
          <w:i/>
          <w:iCs/>
          <w:sz w:val="24"/>
          <w:szCs w:val="24"/>
          <w:u w:val="single"/>
        </w:rPr>
        <w:t xml:space="preserve">Secretaria Municipal de Governo</w:t>
      </w:r>
      <w:r>
        <w:rPr>
          <w:rFonts w:cs="Arial"/>
          <w:b/>
          <w:bCs/>
          <w:i/>
          <w:sz w:val="24"/>
          <w:szCs w:val="24"/>
          <w:u w:val="singl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sz w:val="24"/>
          <w:szCs w:val="24"/>
        </w:rPr>
      </w:pPr>
      <w:r>
        <w:rPr>
          <w:rFonts w:eastAsia="Arial" w:cs="Arial"/>
          <w:sz w:val="24"/>
          <w:szCs w:val="24"/>
        </w:rPr>
        <w:t xml:space="preserve">02.002.04.122.2001 – Gestão da Secretaria Municipal de Governo</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0"/>
        <w:rPr>
          <w:rFonts w:cs="Arial"/>
          <w:b/>
          <w:bCs/>
          <w:sz w:val="24"/>
          <w:szCs w:val="24"/>
        </w:rPr>
      </w:pPr>
      <w:r>
        <w:rPr>
          <w:rFonts w:eastAsia="Arial" w:cs="Arial"/>
          <w:sz w:val="24"/>
          <w:szCs w:val="24"/>
        </w:rPr>
        <w:t xml:space="preserve">3.3.90.30.00.00.1.501 - Material de Consumo – </w:t>
      </w:r>
      <w:r>
        <w:rPr>
          <w:rFonts w:eastAsia="Arial" w:cs="Arial"/>
          <w:b/>
          <w:bCs/>
          <w:sz w:val="24"/>
          <w:szCs w:val="24"/>
        </w:rPr>
        <w:t xml:space="preserve">R$ 71.448,00 (Setenta e um mil, quatrocentos e </w:t>
      </w:r>
      <w:r>
        <w:rPr>
          <w:rFonts w:eastAsia="Arial" w:cs="Arial"/>
          <w:b/>
          <w:bCs/>
          <w:sz w:val="24"/>
          <w:szCs w:val="24"/>
        </w:rPr>
        <w:t xml:space="preserve">quarena</w:t>
      </w:r>
      <w:r>
        <w:rPr>
          <w:rFonts w:eastAsia="Arial" w:cs="Arial"/>
          <w:b/>
          <w:bCs/>
          <w:sz w:val="24"/>
          <w:szCs w:val="24"/>
        </w:rPr>
        <w:t xml:space="preserve"> e oito reais).</w:t>
      </w:r>
      <w:r>
        <w:rPr>
          <w:rFonts w:cs="Arial"/>
          <w:b/>
          <w:bCs/>
          <w:sz w:val="24"/>
          <w:szCs w:val="24"/>
        </w:rPr>
      </w:r>
    </w:p>
    <w:p>
      <w:pPr>
        <w:pBdr/>
        <w:tabs>
          <w:tab w:val="left" w:leader="none" w:pos="284"/>
          <w:tab w:val="left" w:leader="none" w:pos="6011"/>
        </w:tabs>
        <w:spacing w:line="276" w:lineRule="auto"/>
        <w:ind/>
        <w:rPr>
          <w:rFonts w:cs="Arial"/>
          <w:b/>
          <w:bCs/>
          <w:sz w:val="24"/>
          <w:szCs w:val="24"/>
        </w:rPr>
      </w:pPr>
      <w:r>
        <w:rPr>
          <w:rFonts w:eastAsia="Arial" w:cs="Arial"/>
          <w:sz w:val="24"/>
          <w:szCs w:val="24"/>
        </w:rPr>
        <w:t xml:space="preserve">3.3.90.39.00.00.1.704 – Outros Serviços de Terceiros – Pessoa Jurídica – </w:t>
      </w:r>
      <w:r>
        <w:rPr>
          <w:rFonts w:eastAsia="Arial" w:cs="Arial"/>
          <w:b/>
          <w:bCs/>
          <w:sz w:val="24"/>
          <w:szCs w:val="24"/>
        </w:rPr>
        <w:t xml:space="preserve">R$ 30.624,20 (Trinta mil, seiscentos e vinte quatro reais e vinte centavos).</w:t>
      </w:r>
      <w:r>
        <w:rPr>
          <w:rFonts w:eastAsia="Arial" w:cs="Arial"/>
          <w:b/>
          <w:bCs/>
          <w:sz w:val="24"/>
          <w:szCs w:val="24"/>
        </w:rPr>
        <w:tab/>
      </w:r>
      <w:r>
        <w:rPr>
          <w:rFonts w:cs="Arial"/>
          <w:b/>
          <w:bCs/>
          <w:sz w:val="24"/>
          <w:szCs w:val="24"/>
        </w:rPr>
      </w:r>
    </w:p>
    <w:p>
      <w:pPr>
        <w:pBdr/>
        <w:tabs>
          <w:tab w:val="left" w:leader="none" w:pos="284"/>
          <w:tab w:val="left" w:leader="none" w:pos="6011"/>
        </w:tabs>
        <w:spacing w:line="276" w:lineRule="auto"/>
        <w:ind/>
        <w:rPr>
          <w:rFonts w:cs="Arial"/>
          <w:b/>
          <w:bCs/>
          <w:sz w:val="24"/>
          <w:szCs w:val="24"/>
        </w:rPr>
      </w:pPr>
      <w:r>
        <w:rPr>
          <w:rFonts w:cs="Arial"/>
          <w:b/>
          <w:bCs/>
          <w:sz w:val="24"/>
          <w:szCs w:val="24"/>
        </w:rPr>
      </w:r>
      <w:r>
        <w:rPr>
          <w:rFonts w:cs="Arial"/>
          <w:b/>
          <w:bCs/>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b/>
          <w:bCs/>
          <w:i/>
          <w:sz w:val="24"/>
          <w:szCs w:val="24"/>
          <w:u w:val="single"/>
        </w:rPr>
      </w:pPr>
      <w:r>
        <w:rPr>
          <w:rFonts w:eastAsia="Arial" w:cs="Arial"/>
          <w:b/>
          <w:bCs/>
          <w:i/>
          <w:iCs/>
          <w:sz w:val="24"/>
          <w:szCs w:val="24"/>
          <w:u w:val="single"/>
        </w:rPr>
        <w:t xml:space="preserve">Secretaria Municipal de Agropecuária</w:t>
      </w:r>
      <w:r>
        <w:rPr>
          <w:rFonts w:cs="Arial"/>
          <w:b/>
          <w:bCs/>
          <w:i/>
          <w:sz w:val="24"/>
          <w:szCs w:val="24"/>
          <w:u w:val="singl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sz w:val="24"/>
          <w:szCs w:val="24"/>
        </w:rPr>
      </w:pPr>
      <w:r>
        <w:rPr>
          <w:rFonts w:eastAsia="Arial" w:cs="Arial"/>
          <w:sz w:val="24"/>
          <w:szCs w:val="24"/>
        </w:rPr>
        <w:t xml:space="preserve">02.006.20.122.2035 – Frota de Veículo - Manutenção</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0"/>
        <w:rPr>
          <w:rFonts w:cs="Arial"/>
          <w:b/>
          <w:bCs/>
          <w:sz w:val="24"/>
          <w:szCs w:val="24"/>
        </w:rPr>
      </w:pPr>
      <w:r>
        <w:rPr>
          <w:rFonts w:eastAsia="Arial" w:cs="Arial"/>
          <w:sz w:val="24"/>
          <w:szCs w:val="24"/>
        </w:rPr>
        <w:t xml:space="preserve">3.3.90.30.00.00.1.501 - Material de Consumo – </w:t>
      </w:r>
      <w:r>
        <w:rPr>
          <w:rFonts w:eastAsia="Arial" w:cs="Arial"/>
          <w:b/>
          <w:bCs/>
          <w:sz w:val="24"/>
          <w:szCs w:val="24"/>
        </w:rPr>
        <w:t xml:space="preserve">R$ 71.448,00 (Setenta e um mil, quatrocentos e </w:t>
      </w:r>
      <w:r>
        <w:rPr>
          <w:rFonts w:eastAsia="Arial" w:cs="Arial"/>
          <w:b/>
          <w:bCs/>
          <w:sz w:val="24"/>
          <w:szCs w:val="24"/>
        </w:rPr>
        <w:t xml:space="preserve">quarena</w:t>
      </w:r>
      <w:r>
        <w:rPr>
          <w:rFonts w:eastAsia="Arial" w:cs="Arial"/>
          <w:b/>
          <w:bCs/>
          <w:sz w:val="24"/>
          <w:szCs w:val="24"/>
        </w:rPr>
        <w:t xml:space="preserve"> e oito reais).</w:t>
      </w:r>
      <w:r>
        <w:rPr>
          <w:rFonts w:cs="Arial"/>
          <w:b/>
          <w:bCs/>
          <w:sz w:val="24"/>
          <w:szCs w:val="24"/>
        </w:rPr>
      </w:r>
    </w:p>
    <w:p>
      <w:pPr>
        <w:pBdr/>
        <w:tabs>
          <w:tab w:val="left" w:leader="none" w:pos="284"/>
        </w:tabs>
        <w:spacing w:line="276" w:lineRule="auto"/>
        <w:ind/>
        <w:rPr>
          <w:rFonts w:cs="Arial"/>
          <w:b/>
          <w:bCs/>
          <w:sz w:val="24"/>
          <w:szCs w:val="24"/>
        </w:rPr>
      </w:pPr>
      <w:r>
        <w:rPr>
          <w:rFonts w:eastAsia="Arial" w:cs="Arial"/>
          <w:sz w:val="24"/>
          <w:szCs w:val="24"/>
        </w:rPr>
        <w:t xml:space="preserve">3.3.90.39.00.00.1.705 – Outros Serviços de Terceiros – Pessoa Jurídica – </w:t>
      </w:r>
      <w:r>
        <w:rPr>
          <w:rFonts w:eastAsia="Arial" w:cs="Arial"/>
          <w:b/>
          <w:bCs/>
          <w:sz w:val="24"/>
          <w:szCs w:val="24"/>
        </w:rPr>
        <w:t xml:space="preserve">R$ 30.624,20 (Trinta mil, seiscentos e vinte quatro reais e vinte centavos).</w:t>
      </w:r>
      <w:r>
        <w:rPr>
          <w:rFonts w:cs="Arial"/>
          <w:b/>
          <w:bCs/>
          <w:sz w:val="24"/>
          <w:szCs w:val="24"/>
        </w:rPr>
      </w:r>
    </w:p>
    <w:p>
      <w:pPr>
        <w:pBdr/>
        <w:tabs>
          <w:tab w:val="left" w:leader="none" w:pos="284"/>
        </w:tabs>
        <w:spacing w:line="276" w:lineRule="auto"/>
        <w:ind/>
        <w:rPr>
          <w:rFonts w:cs="Arial"/>
          <w:b/>
          <w:bCs/>
          <w:sz w:val="24"/>
          <w:szCs w:val="24"/>
        </w:rPr>
      </w:pPr>
      <w:r>
        <w:rPr>
          <w:rFonts w:cs="Arial"/>
          <w:b/>
          <w:bCs/>
          <w:sz w:val="24"/>
          <w:szCs w:val="24"/>
        </w:rPr>
      </w:r>
      <w:r>
        <w:rPr>
          <w:rFonts w:cs="Arial"/>
          <w:b/>
          <w:bCs/>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b/>
          <w:bCs/>
          <w:i/>
          <w:sz w:val="24"/>
          <w:szCs w:val="24"/>
          <w:highlight w:val="white"/>
          <w:u w:val="single"/>
        </w:rPr>
      </w:pPr>
      <w:r>
        <w:rPr>
          <w:rFonts w:eastAsia="Arial" w:cs="Arial"/>
          <w:b/>
          <w:bCs/>
          <w:i/>
          <w:iCs/>
          <w:sz w:val="24"/>
          <w:szCs w:val="24"/>
          <w:highlight w:val="white"/>
          <w:u w:val="single"/>
        </w:rPr>
        <w:t xml:space="preserve">Secretaria Municipal de Obras e Serviços Públicos</w:t>
      </w:r>
      <w:r>
        <w:rPr>
          <w:rFonts w:cs="Arial"/>
          <w:b/>
          <w:bCs/>
          <w:i/>
          <w:sz w:val="24"/>
          <w:szCs w:val="24"/>
          <w:highlight w:val="white"/>
          <w:u w:val="singl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sz w:val="24"/>
          <w:szCs w:val="24"/>
          <w:highlight w:val="white"/>
        </w:rPr>
      </w:pPr>
      <w:r>
        <w:rPr>
          <w:rFonts w:eastAsia="Arial" w:cs="Arial"/>
          <w:sz w:val="24"/>
          <w:szCs w:val="24"/>
          <w:highlight w:val="white"/>
        </w:rPr>
        <w:t xml:space="preserve">02.008.15.452.2049 – Veículos e Máquinas - Conservação</w:t>
      </w:r>
      <w:r>
        <w:rPr>
          <w:rFonts w:cs="Arial"/>
          <w:sz w:val="24"/>
          <w:szCs w:val="24"/>
          <w:highlight w:val="white"/>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0"/>
        <w:rPr>
          <w:rFonts w:cs="Arial"/>
          <w:b/>
          <w:bCs/>
          <w:sz w:val="24"/>
          <w:szCs w:val="24"/>
          <w:highlight w:val="white"/>
        </w:rPr>
      </w:pPr>
      <w:r>
        <w:rPr>
          <w:rFonts w:eastAsia="Arial" w:cs="Arial"/>
          <w:sz w:val="24"/>
          <w:szCs w:val="24"/>
          <w:highlight w:val="white"/>
        </w:rPr>
        <w:t xml:space="preserve">3.3.90.30.00.00.1.704 - Material de Consumo – </w:t>
      </w:r>
      <w:r>
        <w:rPr>
          <w:rFonts w:eastAsia="Arial" w:cs="Arial"/>
          <w:b/>
          <w:bCs/>
          <w:sz w:val="24"/>
          <w:szCs w:val="24"/>
          <w:highlight w:val="white"/>
        </w:rPr>
        <w:t xml:space="preserve">R$ 519.856,11(Quinhentos e dezenove mil, oitocentos e cinquenta e seis reais e onze centavos).</w:t>
      </w:r>
      <w:r>
        <w:rPr>
          <w:rFonts w:cs="Arial"/>
          <w:b/>
          <w:bCs/>
          <w:sz w:val="24"/>
          <w:szCs w:val="24"/>
          <w:highlight w:val="white"/>
        </w:rPr>
      </w:r>
    </w:p>
    <w:p>
      <w:pPr>
        <w:pBdr/>
        <w:tabs>
          <w:tab w:val="left" w:leader="none" w:pos="284"/>
        </w:tabs>
        <w:spacing w:line="276" w:lineRule="auto"/>
        <w:ind/>
        <w:rPr>
          <w:rFonts w:cs="Arial"/>
          <w:b/>
          <w:bCs/>
          <w:sz w:val="24"/>
          <w:szCs w:val="24"/>
        </w:rPr>
      </w:pPr>
      <w:r>
        <w:rPr>
          <w:rFonts w:eastAsia="Arial" w:cs="Arial"/>
          <w:sz w:val="24"/>
          <w:szCs w:val="24"/>
        </w:rPr>
        <w:t xml:space="preserve">3.3.90.39.00.00.1.704 – Outros Serviços de Terceiros – Pessoa Jurídica – </w:t>
      </w:r>
      <w:r>
        <w:rPr>
          <w:rFonts w:eastAsia="Arial" w:cs="Arial"/>
          <w:b/>
          <w:bCs/>
          <w:sz w:val="24"/>
          <w:szCs w:val="24"/>
        </w:rPr>
        <w:t xml:space="preserve">R$ 222.807,75 (Duzentos e vinte dois mil, oitocentos e sete reais e setenta e cinco centavos).</w:t>
      </w:r>
      <w:r>
        <w:rPr>
          <w:rFonts w:cs="Arial"/>
          <w:b/>
          <w:bCs/>
          <w:sz w:val="24"/>
          <w:szCs w:val="24"/>
        </w:rPr>
      </w:r>
    </w:p>
    <w:p>
      <w:pPr>
        <w:pBdr/>
        <w:tabs>
          <w:tab w:val="left" w:leader="none" w:pos="284"/>
        </w:tabs>
        <w:spacing w:line="360" w:lineRule="auto"/>
        <w:ind/>
        <w:rPr>
          <w:rFonts w:cs="Arial"/>
          <w:b/>
          <w:bCs/>
          <w:sz w:val="24"/>
          <w:szCs w:val="24"/>
          <w:highlight w:val="yellow"/>
        </w:rPr>
      </w:pPr>
      <w:r>
        <w:rPr>
          <w:rFonts w:cs="Arial"/>
          <w:b/>
          <w:bCs/>
          <w:sz w:val="24"/>
          <w:szCs w:val="24"/>
          <w:highlight w:val="yellow"/>
        </w:rPr>
      </w:r>
      <w:r>
        <w:rPr>
          <w:rFonts w:cs="Arial"/>
          <w:b/>
          <w:bCs/>
          <w:sz w:val="24"/>
          <w:szCs w:val="24"/>
          <w:highlight w:val="yellow"/>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b/>
          <w:bCs/>
          <w:i/>
          <w:sz w:val="24"/>
          <w:szCs w:val="24"/>
          <w:highlight w:val="white"/>
          <w:u w:val="single"/>
        </w:rPr>
      </w:pPr>
      <w:r>
        <w:rPr>
          <w:rFonts w:eastAsia="Arial" w:cs="Arial"/>
          <w:b/>
          <w:bCs/>
          <w:i/>
          <w:iCs/>
          <w:sz w:val="24"/>
          <w:szCs w:val="24"/>
          <w:highlight w:val="white"/>
          <w:u w:val="single"/>
        </w:rPr>
        <w:t xml:space="preserve">Secretaria Municipal de Planejamento</w:t>
      </w:r>
      <w:r>
        <w:rPr>
          <w:rFonts w:cs="Arial"/>
          <w:b/>
          <w:bCs/>
          <w:i/>
          <w:sz w:val="24"/>
          <w:szCs w:val="24"/>
          <w:highlight w:val="white"/>
          <w:u w:val="singl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sz w:val="24"/>
          <w:szCs w:val="24"/>
          <w:highlight w:val="white"/>
        </w:rPr>
      </w:pPr>
      <w:r>
        <w:rPr>
          <w:rFonts w:eastAsia="Arial" w:cs="Arial"/>
          <w:sz w:val="24"/>
          <w:szCs w:val="24"/>
          <w:highlight w:val="white"/>
        </w:rPr>
        <w:t xml:space="preserve">02.003.04.122.2116 – Frota de Veículo - Manutenção</w:t>
      </w:r>
      <w:r>
        <w:rPr>
          <w:rFonts w:cs="Arial"/>
          <w:sz w:val="24"/>
          <w:szCs w:val="24"/>
          <w:highlight w:val="white"/>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0"/>
        <w:rPr>
          <w:rFonts w:cs="Arial"/>
          <w:b/>
          <w:bCs/>
          <w:sz w:val="24"/>
          <w:szCs w:val="24"/>
          <w:highlight w:val="white"/>
        </w:rPr>
      </w:pPr>
      <w:r>
        <w:rPr>
          <w:rFonts w:eastAsia="Arial" w:cs="Arial"/>
          <w:sz w:val="24"/>
          <w:szCs w:val="24"/>
          <w:highlight w:val="white"/>
        </w:rPr>
        <w:t xml:space="preserve">3.3.90.30.00.00.1.705 - Material de Consumo – </w:t>
      </w:r>
      <w:r>
        <w:rPr>
          <w:rFonts w:eastAsia="Arial" w:cs="Arial"/>
          <w:b/>
          <w:bCs/>
          <w:sz w:val="24"/>
          <w:szCs w:val="24"/>
          <w:highlight w:val="white"/>
        </w:rPr>
        <w:t xml:space="preserve">R$ 414.462,32 (Quatrocentos e quatorze mil, quatrocentos e sessenta e dois reais e trinta dois centavos).</w:t>
      </w:r>
      <w:r>
        <w:rPr>
          <w:rFonts w:cs="Arial"/>
          <w:b/>
          <w:bCs/>
          <w:sz w:val="24"/>
          <w:szCs w:val="24"/>
          <w:highlight w:val="white"/>
        </w:rPr>
      </w:r>
    </w:p>
    <w:p>
      <w:pPr>
        <w:pBdr/>
        <w:tabs>
          <w:tab w:val="left" w:leader="none" w:pos="284"/>
        </w:tabs>
        <w:spacing w:line="276" w:lineRule="auto"/>
        <w:ind/>
        <w:rPr>
          <w:rFonts w:cs="Arial"/>
          <w:b/>
          <w:bCs/>
          <w:sz w:val="24"/>
          <w:szCs w:val="24"/>
        </w:rPr>
      </w:pPr>
      <w:r>
        <w:rPr>
          <w:rFonts w:eastAsia="Arial" w:cs="Arial"/>
          <w:sz w:val="24"/>
          <w:szCs w:val="24"/>
          <w:highlight w:val="white"/>
        </w:rPr>
        <w:t xml:space="preserve">3.3.90.39.00.00.1.705 – Outros Serviços de Terceiros – Pessoa Jurídica – </w:t>
      </w:r>
      <w:r>
        <w:rPr>
          <w:rFonts w:eastAsia="Arial" w:cs="Arial"/>
          <w:b/>
          <w:bCs/>
          <w:sz w:val="24"/>
          <w:szCs w:val="24"/>
          <w:highlight w:val="white"/>
        </w:rPr>
        <w:t xml:space="preserve">R$ 177.607,56 (Cento e setenta e sete mil, seiscentos e sete reais e cinquenta e seis centavos).</w:t>
      </w:r>
      <w:r>
        <w:rPr>
          <w:rFonts w:cs="Arial"/>
          <w:b/>
          <w:bCs/>
          <w:sz w:val="24"/>
          <w:szCs w:val="24"/>
        </w:rPr>
      </w:r>
    </w:p>
    <w:p>
      <w:pPr>
        <w:pBdr/>
        <w:tabs>
          <w:tab w:val="left" w:leader="none" w:pos="284"/>
        </w:tabs>
        <w:spacing w:line="276" w:lineRule="auto"/>
        <w:ind/>
        <w:rPr>
          <w:rFonts w:cs="Arial"/>
          <w:b/>
          <w:bCs/>
          <w:sz w:val="24"/>
          <w:szCs w:val="24"/>
          <w:highlight w:val="white"/>
        </w:rPr>
      </w:pPr>
      <w:r>
        <w:rPr>
          <w:rFonts w:cs="Arial"/>
          <w:b/>
          <w:bCs/>
          <w:sz w:val="24"/>
          <w:szCs w:val="24"/>
          <w:highlight w:val="white"/>
        </w:rPr>
      </w:r>
      <w:r>
        <w:rPr>
          <w:rFonts w:cs="Arial"/>
          <w:b/>
          <w:bCs/>
          <w:sz w:val="24"/>
          <w:szCs w:val="24"/>
          <w:highlight w:val="whit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b/>
          <w:bCs/>
          <w:i/>
          <w:sz w:val="24"/>
          <w:szCs w:val="24"/>
          <w:highlight w:val="white"/>
          <w:u w:val="single"/>
        </w:rPr>
      </w:pPr>
      <w:r>
        <w:rPr>
          <w:rFonts w:eastAsia="Arial" w:cs="Arial"/>
          <w:b/>
          <w:bCs/>
          <w:i/>
          <w:iCs/>
          <w:sz w:val="24"/>
          <w:szCs w:val="24"/>
          <w:highlight w:val="white"/>
          <w:u w:val="single"/>
        </w:rPr>
        <w:t xml:space="preserve">Fundo Municipal de Assistência Social</w:t>
      </w:r>
      <w:r>
        <w:rPr>
          <w:rFonts w:cs="Arial"/>
          <w:b/>
          <w:bCs/>
          <w:i/>
          <w:sz w:val="24"/>
          <w:szCs w:val="24"/>
          <w:highlight w:val="white"/>
          <w:u w:val="singl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sz w:val="24"/>
          <w:szCs w:val="24"/>
          <w:highlight w:val="white"/>
        </w:rPr>
      </w:pPr>
      <w:r>
        <w:rPr>
          <w:rFonts w:eastAsia="Arial" w:cs="Arial"/>
          <w:sz w:val="24"/>
          <w:szCs w:val="24"/>
          <w:highlight w:val="white"/>
        </w:rPr>
        <w:t xml:space="preserve">02.011.08.244.2109 – Frota de Veículo </w:t>
      </w:r>
      <w:r>
        <w:rPr>
          <w:rFonts w:cs="Arial"/>
          <w:sz w:val="24"/>
          <w:szCs w:val="24"/>
          <w:highlight w:val="white"/>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0"/>
        <w:rPr>
          <w:rFonts w:cs="Arial"/>
          <w:b/>
          <w:bCs/>
          <w:sz w:val="24"/>
          <w:szCs w:val="24"/>
          <w:highlight w:val="white"/>
        </w:rPr>
      </w:pPr>
      <w:r>
        <w:rPr>
          <w:rFonts w:eastAsia="Arial" w:cs="Arial"/>
          <w:sz w:val="24"/>
          <w:szCs w:val="24"/>
          <w:highlight w:val="white"/>
        </w:rPr>
        <w:t xml:space="preserve">3.3.90.30.00.00.1.704 - Material de Consumo – </w:t>
      </w:r>
      <w:r>
        <w:rPr>
          <w:rFonts w:eastAsia="Arial" w:cs="Arial"/>
          <w:b/>
          <w:bCs/>
          <w:sz w:val="24"/>
          <w:szCs w:val="24"/>
          <w:highlight w:val="white"/>
        </w:rPr>
        <w:t xml:space="preserve">R$ 123.255,79 (Cento e vinte e três mil, duzentos e cinquenta cinco reais e setenta e nove centavos).</w:t>
      </w:r>
      <w:r>
        <w:rPr>
          <w:rFonts w:cs="Arial"/>
          <w:b/>
          <w:bCs/>
          <w:sz w:val="24"/>
          <w:szCs w:val="24"/>
          <w:highlight w:val="white"/>
        </w:rPr>
      </w:r>
    </w:p>
    <w:p>
      <w:pPr>
        <w:pBdr/>
        <w:tabs>
          <w:tab w:val="left" w:leader="none" w:pos="284"/>
        </w:tabs>
        <w:spacing w:line="276" w:lineRule="auto"/>
        <w:ind/>
        <w:rPr>
          <w:rFonts w:cs="Arial"/>
          <w:b/>
          <w:bCs/>
          <w:sz w:val="24"/>
          <w:szCs w:val="24"/>
        </w:rPr>
      </w:pPr>
      <w:r>
        <w:rPr>
          <w:rFonts w:eastAsia="Arial" w:cs="Arial"/>
          <w:sz w:val="24"/>
          <w:szCs w:val="24"/>
          <w:highlight w:val="white"/>
        </w:rPr>
        <w:t xml:space="preserve">3.3.90.39.00.00.1.704 – Outros Serviços de Terceiros – Pessoa Jurídica – </w:t>
      </w:r>
      <w:r>
        <w:rPr>
          <w:rFonts w:eastAsia="Arial" w:cs="Arial"/>
          <w:b/>
          <w:bCs/>
          <w:sz w:val="24"/>
          <w:szCs w:val="24"/>
          <w:highlight w:val="white"/>
        </w:rPr>
        <w:t xml:space="preserve">R$ 52.828,60 (Cinquenta e dois mil, oitocentos e vinte oito reais e sessenta centavos).</w:t>
      </w:r>
      <w:r>
        <w:rPr>
          <w:rFonts w:cs="Arial"/>
          <w:b/>
          <w:bCs/>
          <w:sz w:val="24"/>
          <w:szCs w:val="24"/>
        </w:rPr>
      </w:r>
    </w:p>
    <w:p>
      <w:pPr>
        <w:pBdr/>
        <w:tabs>
          <w:tab w:val="left" w:leader="none" w:pos="284"/>
        </w:tabs>
        <w:spacing w:line="276" w:lineRule="auto"/>
        <w:ind/>
        <w:rPr>
          <w:rFonts w:cs="Arial"/>
          <w:b/>
          <w:bCs/>
          <w:sz w:val="24"/>
          <w:szCs w:val="24"/>
          <w:highlight w:val="white"/>
        </w:rPr>
      </w:pPr>
      <w:r>
        <w:rPr>
          <w:rFonts w:cs="Arial"/>
          <w:b/>
          <w:bCs/>
          <w:sz w:val="24"/>
          <w:szCs w:val="24"/>
          <w:highlight w:val="white"/>
        </w:rPr>
      </w:r>
      <w:r>
        <w:rPr>
          <w:rFonts w:cs="Arial"/>
          <w:b/>
          <w:bCs/>
          <w:sz w:val="24"/>
          <w:szCs w:val="24"/>
          <w:highlight w:val="whit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b/>
          <w:bCs/>
          <w:i/>
          <w:sz w:val="24"/>
          <w:szCs w:val="24"/>
          <w:highlight w:val="white"/>
          <w:u w:val="single"/>
        </w:rPr>
      </w:pPr>
      <w:r>
        <w:rPr>
          <w:rFonts w:eastAsia="Arial" w:cs="Arial"/>
          <w:b/>
          <w:bCs/>
          <w:i/>
          <w:iCs/>
          <w:sz w:val="24"/>
          <w:szCs w:val="24"/>
          <w:highlight w:val="white"/>
          <w:u w:val="single"/>
        </w:rPr>
        <w:t xml:space="preserve">Fundo Municipal de Saúde</w:t>
      </w:r>
      <w:r>
        <w:rPr>
          <w:rFonts w:cs="Arial"/>
          <w:b/>
          <w:bCs/>
          <w:i/>
          <w:sz w:val="24"/>
          <w:szCs w:val="24"/>
          <w:highlight w:val="white"/>
          <w:u w:val="singl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sz w:val="24"/>
          <w:szCs w:val="24"/>
          <w:highlight w:val="white"/>
        </w:rPr>
      </w:pPr>
      <w:r>
        <w:rPr>
          <w:rFonts w:eastAsia="Arial" w:cs="Arial"/>
          <w:sz w:val="24"/>
          <w:szCs w:val="24"/>
          <w:highlight w:val="white"/>
        </w:rPr>
        <w:t xml:space="preserve">02.010.10.301.2087 – Frota de Veículo </w:t>
      </w:r>
      <w:r>
        <w:rPr>
          <w:rFonts w:cs="Arial"/>
          <w:sz w:val="24"/>
          <w:szCs w:val="24"/>
          <w:highlight w:val="white"/>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0"/>
        <w:rPr>
          <w:rFonts w:cs="Arial"/>
          <w:b/>
          <w:bCs/>
          <w:sz w:val="24"/>
          <w:szCs w:val="24"/>
          <w:highlight w:val="white"/>
        </w:rPr>
      </w:pPr>
      <w:r>
        <w:rPr>
          <w:rFonts w:eastAsia="Arial" w:cs="Arial"/>
          <w:sz w:val="24"/>
          <w:szCs w:val="24"/>
          <w:highlight w:val="white"/>
        </w:rPr>
        <w:t xml:space="preserve">3.3.90.30.00.00.1.635 - Material de Consumo – </w:t>
      </w:r>
      <w:r>
        <w:rPr>
          <w:rFonts w:eastAsia="Arial" w:cs="Arial"/>
          <w:b/>
          <w:bCs/>
          <w:sz w:val="24"/>
          <w:szCs w:val="24"/>
          <w:highlight w:val="white"/>
        </w:rPr>
        <w:t xml:space="preserve">R$ 451.964,53 (Quatrocentos e cinquenta e um mil, novecentos e sessenta e quatro reais e cinquenta e três centavos).</w:t>
      </w:r>
      <w:r>
        <w:rPr>
          <w:rFonts w:cs="Arial"/>
          <w:b/>
          <w:bCs/>
          <w:sz w:val="24"/>
          <w:szCs w:val="24"/>
          <w:highlight w:val="white"/>
        </w:rPr>
      </w:r>
    </w:p>
    <w:p>
      <w:pPr>
        <w:pBdr/>
        <w:tabs>
          <w:tab w:val="left" w:leader="none" w:pos="284"/>
        </w:tabs>
        <w:spacing w:line="276" w:lineRule="auto"/>
        <w:ind/>
        <w:rPr>
          <w:rFonts w:cs="Arial"/>
          <w:b/>
          <w:bCs/>
          <w:sz w:val="24"/>
          <w:szCs w:val="24"/>
          <w:highlight w:val="white"/>
        </w:rPr>
      </w:pPr>
      <w:r>
        <w:rPr>
          <w:rFonts w:eastAsia="Arial" w:cs="Arial"/>
          <w:sz w:val="24"/>
          <w:szCs w:val="24"/>
          <w:highlight w:val="white"/>
        </w:rPr>
        <w:t xml:space="preserve">3.3.90.39.00.00.1.635 – Outros Serviços de Terceiros – Pessoa Jurídica – </w:t>
      </w:r>
      <w:r>
        <w:rPr>
          <w:rFonts w:eastAsia="Arial" w:cs="Arial"/>
          <w:b/>
          <w:bCs/>
          <w:sz w:val="24"/>
          <w:szCs w:val="24"/>
          <w:highlight w:val="white"/>
        </w:rPr>
        <w:t xml:space="preserve">R$ 193.711,06 (Cento e noventa e três mil, setecentos e onze reais e seis centavos).</w:t>
      </w:r>
      <w:r>
        <w:rPr>
          <w:rFonts w:cs="Arial"/>
          <w:b/>
          <w:bCs/>
          <w:sz w:val="24"/>
          <w:szCs w:val="24"/>
          <w:highlight w:val="white"/>
        </w:rPr>
      </w:r>
    </w:p>
    <w:p>
      <w:pPr>
        <w:pBdr/>
        <w:tabs>
          <w:tab w:val="left" w:leader="none" w:pos="284"/>
        </w:tabs>
        <w:spacing w:line="360" w:lineRule="auto"/>
        <w:ind/>
        <w:rPr>
          <w:rFonts w:cs="Arial"/>
          <w:b/>
          <w:bCs/>
          <w:sz w:val="24"/>
          <w:szCs w:val="24"/>
        </w:rPr>
      </w:pPr>
      <w:r>
        <w:rPr>
          <w:rFonts w:cs="Arial"/>
          <w:b/>
          <w:bCs/>
          <w:sz w:val="24"/>
          <w:szCs w:val="24"/>
        </w:rPr>
      </w:r>
      <w:r>
        <w:rPr>
          <w:rFonts w:cs="Arial"/>
          <w:b/>
          <w:bCs/>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b/>
          <w:bCs/>
          <w:i/>
          <w:sz w:val="24"/>
          <w:szCs w:val="24"/>
          <w:u w:val="single"/>
        </w:rPr>
      </w:pPr>
      <w:r>
        <w:rPr>
          <w:rFonts w:eastAsia="Arial" w:cs="Arial"/>
          <w:b/>
          <w:bCs/>
          <w:i/>
          <w:iCs/>
          <w:sz w:val="24"/>
          <w:szCs w:val="24"/>
          <w:u w:val="single"/>
        </w:rPr>
        <w:t xml:space="preserve">Fundo Municipal Socioambiental</w:t>
      </w:r>
      <w:r>
        <w:rPr>
          <w:rFonts w:cs="Arial"/>
          <w:b/>
          <w:bCs/>
          <w:i/>
          <w:sz w:val="24"/>
          <w:szCs w:val="24"/>
          <w:u w:val="singl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sz w:val="24"/>
          <w:szCs w:val="24"/>
        </w:rPr>
      </w:pPr>
      <w:r>
        <w:rPr>
          <w:rFonts w:eastAsia="Arial" w:cs="Arial"/>
          <w:sz w:val="24"/>
          <w:szCs w:val="24"/>
        </w:rPr>
        <w:t xml:space="preserve">02.011.08.244.2073 – Frota de Veículos </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0"/>
        <w:rPr>
          <w:rFonts w:cs="Arial"/>
          <w:b/>
          <w:bCs/>
          <w:sz w:val="24"/>
          <w:szCs w:val="24"/>
        </w:rPr>
      </w:pPr>
      <w:r>
        <w:rPr>
          <w:rFonts w:eastAsia="Arial" w:cs="Arial"/>
          <w:sz w:val="24"/>
          <w:szCs w:val="24"/>
        </w:rPr>
        <w:t xml:space="preserve">3.3.90.30.00.00.1.704 - Material de Consumo – </w:t>
      </w:r>
      <w:r>
        <w:rPr>
          <w:rFonts w:eastAsia="Arial" w:cs="Arial"/>
          <w:b/>
          <w:bCs/>
          <w:sz w:val="24"/>
          <w:szCs w:val="24"/>
        </w:rPr>
        <w:t xml:space="preserve">R$ 17.862,00 (Dezessete mil, oitocentos e sessenta e dois reais)</w:t>
      </w:r>
      <w:r>
        <w:rPr>
          <w:rFonts w:cs="Arial"/>
          <w:b/>
          <w:bCs/>
          <w:sz w:val="24"/>
          <w:szCs w:val="24"/>
        </w:rPr>
      </w:r>
    </w:p>
    <w:p>
      <w:pPr>
        <w:pBdr/>
        <w:tabs>
          <w:tab w:val="left" w:leader="none" w:pos="284"/>
        </w:tabs>
        <w:spacing w:line="276" w:lineRule="auto"/>
        <w:ind/>
        <w:rPr>
          <w:rFonts w:cs="Arial"/>
          <w:b/>
          <w:bCs/>
          <w:sz w:val="24"/>
          <w:szCs w:val="24"/>
        </w:rPr>
      </w:pPr>
      <w:r>
        <w:rPr>
          <w:rFonts w:eastAsia="Arial" w:cs="Arial"/>
          <w:sz w:val="24"/>
          <w:szCs w:val="24"/>
        </w:rPr>
        <w:t xml:space="preserve">3.3.90.39.00.00.1.704 – Outros Serviços de Terceiros – Pessoa Jurídica – </w:t>
      </w:r>
      <w:r>
        <w:rPr>
          <w:rFonts w:eastAsia="Arial" w:cs="Arial"/>
          <w:b/>
          <w:bCs/>
          <w:sz w:val="24"/>
          <w:szCs w:val="24"/>
        </w:rPr>
        <w:t xml:space="preserve">R$ 7.656,05 (Sete mil, seiscentos e cinquenta e seis reais)</w:t>
      </w:r>
      <w:r>
        <w:rPr>
          <w:rFonts w:cs="Arial"/>
          <w:b/>
          <w:bCs/>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b/>
          <w:bCs/>
          <w:i/>
          <w:sz w:val="24"/>
          <w:szCs w:val="24"/>
          <w:u w:val="single"/>
        </w:rPr>
      </w:pPr>
      <w:r>
        <w:rPr>
          <w:rFonts w:eastAsia="Arial" w:cs="Arial"/>
          <w:b/>
          <w:bCs/>
          <w:i/>
          <w:iCs/>
          <w:sz w:val="24"/>
          <w:szCs w:val="24"/>
          <w:u w:val="single"/>
        </w:rPr>
        <w:t xml:space="preserve">Fundo Municipal de Habitação e Urbanismo de Interesse Social</w:t>
      </w:r>
      <w:r>
        <w:rPr>
          <w:rFonts w:cs="Arial"/>
          <w:b/>
          <w:bCs/>
          <w:i/>
          <w:sz w:val="24"/>
          <w:szCs w:val="24"/>
          <w:u w:val="single"/>
        </w:rPr>
      </w:r>
    </w:p>
    <w:p>
      <w:pPr>
        <w:pStyle w:val="995"/>
        <w:pBdr>
          <w:top w:val="none" w:color="000000" w:sz="4" w:space="0"/>
          <w:left w:val="none" w:color="000000" w:sz="4" w:space="0"/>
          <w:bottom w:val="none" w:color="000000" w:sz="4" w:space="0"/>
          <w:right w:val="none" w:color="000000" w:sz="4" w:space="0"/>
          <w:between w:val="none" w:color="000000" w:sz="4" w:space="0"/>
        </w:pBdr>
        <w:spacing w:before="240" w:line="276" w:lineRule="auto"/>
        <w:ind w:left="0"/>
        <w:rPr>
          <w:rFonts w:cs="Arial"/>
          <w:sz w:val="24"/>
          <w:szCs w:val="24"/>
        </w:rPr>
      </w:pPr>
      <w:r>
        <w:rPr>
          <w:rFonts w:eastAsia="Arial" w:cs="Arial"/>
          <w:sz w:val="24"/>
          <w:szCs w:val="24"/>
        </w:rPr>
        <w:t xml:space="preserve">02.014.16.482.2063 – Gestão do Fundo Municipal de Habitação e Urbanismo de Interesse Social</w:t>
      </w:r>
      <w:r>
        <w:rPr>
          <w:rFonts w:cs="Arial"/>
          <w:sz w:val="24"/>
          <w:szCs w:val="24"/>
        </w:rPr>
      </w:r>
    </w:p>
    <w:p>
      <w:pPr>
        <w:pStyle w:val="995"/>
        <w:pBdr>
          <w:top w:val="none" w:color="000000" w:sz="4" w:space="0"/>
          <w:left w:val="none" w:color="000000" w:sz="4" w:space="0"/>
          <w:bottom w:val="none" w:color="000000" w:sz="4" w:space="0"/>
          <w:right w:val="none" w:color="000000" w:sz="4" w:space="0"/>
          <w:between w:val="none" w:color="000000" w:sz="4" w:space="0"/>
        </w:pBdr>
        <w:spacing w:line="276" w:lineRule="auto"/>
        <w:ind w:left="0"/>
        <w:rPr>
          <w:rFonts w:cs="Arial"/>
          <w:b/>
          <w:bCs/>
          <w:sz w:val="24"/>
          <w:szCs w:val="24"/>
        </w:rPr>
      </w:pPr>
      <w:r>
        <w:rPr>
          <w:rFonts w:eastAsia="Arial" w:cs="Arial"/>
          <w:sz w:val="24"/>
          <w:szCs w:val="24"/>
        </w:rPr>
        <w:t xml:space="preserve">3.3.90.30.00.00.1.500 - Material de Consumo –</w:t>
      </w:r>
      <w:r>
        <w:rPr>
          <w:rFonts w:eastAsia="Arial" w:cs="Arial"/>
          <w:b/>
          <w:bCs/>
          <w:sz w:val="24"/>
          <w:szCs w:val="24"/>
        </w:rPr>
        <w:t xml:space="preserve"> R$ 51.807,79 (Cinquenta e um mil, oitocentos e sete reais e setenta e nove centavos).</w:t>
      </w:r>
      <w:r>
        <w:rPr>
          <w:rFonts w:cs="Arial"/>
          <w:b/>
          <w:bCs/>
          <w:sz w:val="24"/>
          <w:szCs w:val="24"/>
        </w:rPr>
      </w:r>
    </w:p>
    <w:p>
      <w:pPr>
        <w:pBdr/>
        <w:tabs>
          <w:tab w:val="left" w:leader="none" w:pos="284"/>
        </w:tabs>
        <w:spacing w:line="276" w:lineRule="auto"/>
        <w:ind/>
        <w:rPr>
          <w:rFonts w:cs="Arial"/>
          <w:b/>
          <w:bCs/>
          <w:sz w:val="24"/>
          <w:szCs w:val="24"/>
        </w:rPr>
      </w:pPr>
      <w:r>
        <w:rPr>
          <w:rFonts w:eastAsia="Arial" w:cs="Arial"/>
          <w:sz w:val="24"/>
          <w:szCs w:val="24"/>
        </w:rPr>
        <w:t xml:space="preserve">3.3.90.39.00.00.1.500 – Outros Serviços de Terceiros – Pessoa Jurídica – </w:t>
      </w:r>
      <w:r>
        <w:rPr>
          <w:rFonts w:eastAsia="Arial" w:cs="Arial"/>
          <w:b/>
          <w:bCs/>
          <w:sz w:val="24"/>
          <w:szCs w:val="24"/>
        </w:rPr>
        <w:t xml:space="preserve">R$ 22.204,40 (Vinte e dois mil, duzentos e quatro reais e quarenta centavos).</w:t>
      </w:r>
      <w:r>
        <w:rPr>
          <w:rFonts w:cs="Arial"/>
          <w:b/>
          <w:bCs/>
          <w:sz w:val="24"/>
          <w:szCs w:val="24"/>
        </w:rPr>
      </w:r>
    </w:p>
    <w:p>
      <w:pPr>
        <w:pBdr/>
        <w:tabs>
          <w:tab w:val="left" w:leader="none" w:pos="284"/>
        </w:tabs>
        <w:spacing w:line="360" w:lineRule="auto"/>
        <w:ind/>
        <w:rPr>
          <w:rFonts w:cs="Arial"/>
          <w:b/>
          <w:bCs/>
          <w:sz w:val="24"/>
          <w:szCs w:val="24"/>
        </w:rPr>
      </w:pPr>
      <w:r>
        <w:rPr>
          <w:rFonts w:cs="Arial"/>
          <w:b/>
          <w:bCs/>
          <w:sz w:val="24"/>
          <w:szCs w:val="24"/>
        </w:rPr>
      </w:r>
      <w:r>
        <w:rPr>
          <w:rFonts w:cs="Arial"/>
          <w:b/>
          <w:bCs/>
          <w:sz w:val="24"/>
          <w:szCs w:val="24"/>
        </w:rPr>
      </w:r>
    </w:p>
    <w:p>
      <w:pPr>
        <w:pBdr/>
        <w:tabs>
          <w:tab w:val="left" w:leader="none" w:pos="426"/>
        </w:tabs>
        <w:spacing w:line="360" w:lineRule="auto"/>
        <w:ind/>
        <w:rPr>
          <w:rFonts w:cs="Arial"/>
          <w:b/>
          <w:sz w:val="24"/>
          <w:szCs w:val="24"/>
        </w:rPr>
      </w:pPr>
      <w:r>
        <w:rPr>
          <w:rFonts w:eastAsia="Arial" w:cs="Arial"/>
          <w:b/>
          <w:sz w:val="24"/>
          <w:szCs w:val="24"/>
        </w:rPr>
        <w:t xml:space="preserve">13. DISPOSIÇÕES GERAIS</w:t>
      </w:r>
      <w:r>
        <w:rPr>
          <w:rFonts w:cs="Arial"/>
          <w:b/>
          <w:sz w:val="24"/>
          <w:szCs w:val="24"/>
        </w:rPr>
      </w:r>
    </w:p>
    <w:p>
      <w:pPr>
        <w:pBdr/>
        <w:tabs>
          <w:tab w:val="left" w:leader="none" w:pos="426"/>
        </w:tabs>
        <w:spacing w:line="360" w:lineRule="auto"/>
        <w:ind/>
        <w:rPr>
          <w:rFonts w:cs="Arial"/>
          <w:b/>
          <w:sz w:val="24"/>
          <w:szCs w:val="24"/>
        </w:rPr>
      </w:pPr>
      <w:r>
        <w:rPr>
          <w:rFonts w:eastAsia="Arial" w:cs="Arial"/>
          <w:b/>
          <w:bCs/>
          <w:sz w:val="24"/>
          <w:szCs w:val="24"/>
        </w:rPr>
        <w:t xml:space="preserve">13.1.</w:t>
      </w:r>
      <w:r>
        <w:rPr>
          <w:rFonts w:eastAsia="Arial" w:cs="Arial"/>
          <w:sz w:val="24"/>
          <w:szCs w:val="24"/>
        </w:rPr>
        <w:t xml:space="preserve"> A contratação do objeto deverá ser precedida de análise prévia, fundamentada na Lei Federal nº 14.133/2021 c/c Decreto Federal nº 11.871/2023 e Decreto Municipal nº 278/2023.</w:t>
      </w:r>
      <w:r>
        <w:rPr>
          <w:rFonts w:cs="Arial"/>
          <w:b/>
          <w:sz w:val="24"/>
          <w:szCs w:val="24"/>
        </w:rPr>
      </w:r>
    </w:p>
    <w:p>
      <w:pPr>
        <w:pBdr/>
        <w:tabs>
          <w:tab w:val="left" w:leader="none" w:pos="426"/>
        </w:tabs>
        <w:spacing w:line="360" w:lineRule="auto"/>
        <w:ind/>
        <w:rPr>
          <w:rFonts w:cs="Arial"/>
          <w:b/>
          <w:sz w:val="24"/>
          <w:szCs w:val="24"/>
        </w:rPr>
      </w:pPr>
      <w:r>
        <w:rPr>
          <w:rFonts w:eastAsia="Arial" w:cs="Arial"/>
          <w:b/>
          <w:bCs/>
          <w:sz w:val="24"/>
          <w:szCs w:val="24"/>
        </w:rPr>
        <w:t xml:space="preserve">13.2.</w:t>
      </w:r>
      <w:r>
        <w:rPr>
          <w:rFonts w:eastAsia="Arial" w:cs="Arial"/>
          <w:sz w:val="24"/>
          <w:szCs w:val="24"/>
        </w:rPr>
        <w:t xml:space="preserve"> Ratificam-se os orçamentos constantes deste Processo Administrativo, que compõem a média de preços a ser utilizada para contratação do presente objeto.</w:t>
      </w:r>
      <w:r>
        <w:rPr>
          <w:rFonts w:cs="Arial"/>
          <w:b/>
          <w:sz w:val="24"/>
          <w:szCs w:val="24"/>
        </w:rPr>
      </w:r>
    </w:p>
    <w:p>
      <w:pPr>
        <w:pBdr/>
        <w:tabs>
          <w:tab w:val="left" w:leader="none" w:pos="426"/>
        </w:tabs>
        <w:spacing w:line="360" w:lineRule="auto"/>
        <w:ind/>
        <w:rPr>
          <w:rFonts w:cs="Arial"/>
          <w:sz w:val="24"/>
          <w:szCs w:val="24"/>
        </w:rPr>
      </w:pPr>
      <w:r>
        <w:rPr>
          <w:rFonts w:eastAsia="Arial" w:cs="Arial"/>
          <w:b/>
          <w:bCs/>
          <w:sz w:val="24"/>
          <w:szCs w:val="24"/>
        </w:rPr>
        <w:t xml:space="preserve">13.3.</w:t>
      </w:r>
      <w:r>
        <w:rPr>
          <w:rFonts w:eastAsia="Arial" w:cs="Arial"/>
          <w:sz w:val="24"/>
          <w:szCs w:val="24"/>
        </w:rPr>
        <w:t xml:space="preserve"> Justifico que os valores orçados são os praticados no mercado;</w:t>
      </w:r>
      <w:r>
        <w:rPr>
          <w:rFonts w:cs="Arial"/>
          <w:sz w:val="24"/>
          <w:szCs w:val="24"/>
        </w:rPr>
      </w:r>
    </w:p>
    <w:p>
      <w:pPr>
        <w:pBdr/>
        <w:tabs>
          <w:tab w:val="left" w:leader="none" w:pos="426"/>
        </w:tabs>
        <w:spacing w:line="360" w:lineRule="auto"/>
        <w:ind/>
        <w:rPr>
          <w:rFonts w:cs="Arial"/>
          <w:sz w:val="24"/>
          <w:szCs w:val="24"/>
        </w:rPr>
      </w:pPr>
      <w:r>
        <w:rPr>
          <w:rFonts w:eastAsia="Arial" w:cs="Arial"/>
          <w:b/>
          <w:bCs/>
          <w:sz w:val="24"/>
          <w:szCs w:val="24"/>
        </w:rPr>
        <w:t xml:space="preserve">13.4. </w:t>
      </w:r>
      <w:r>
        <w:rPr>
          <w:rFonts w:eastAsia="Arial" w:cs="Arial"/>
          <w:sz w:val="24"/>
          <w:szCs w:val="24"/>
        </w:rPr>
        <w:t xml:space="preserve">Autorizo a realização do procedimento licitatório.     </w:t>
      </w:r>
      <w:r>
        <w:rPr>
          <w:rFonts w:cs="Arial"/>
          <w:sz w:val="24"/>
          <w:szCs w:val="24"/>
        </w:rPr>
      </w:r>
    </w:p>
    <w:p>
      <w:pPr>
        <w:pBdr/>
        <w:tabs>
          <w:tab w:val="left" w:leader="none" w:pos="426"/>
        </w:tabs>
        <w:spacing w:line="360" w:lineRule="auto"/>
        <w:ind/>
        <w:jc w:val="right"/>
        <w:rPr>
          <w:rFonts w:cs="Arial"/>
          <w:b/>
          <w:bCs/>
          <w:sz w:val="24"/>
          <w:szCs w:val="24"/>
        </w:rPr>
      </w:pPr>
      <w:r>
        <w:rPr>
          <w:rFonts w:eastAsia="Arial" w:cs="Arial"/>
          <w:sz w:val="24"/>
          <w:szCs w:val="24"/>
        </w:rPr>
        <w:t xml:space="preserve">                                                                                                                                                                 Rio das </w:t>
      </w:r>
      <w:r>
        <w:rPr>
          <w:rFonts w:eastAsia="Arial" w:cs="Arial"/>
          <w:sz w:val="24"/>
          <w:szCs w:val="24"/>
        </w:rPr>
        <w:t xml:space="preserve">Flôres</w:t>
      </w:r>
      <w:r>
        <w:rPr>
          <w:rFonts w:eastAsia="Arial" w:cs="Arial"/>
          <w:sz w:val="24"/>
          <w:szCs w:val="24"/>
        </w:rPr>
        <w:t xml:space="preserve">, 10 de março de 2026.</w:t>
      </w:r>
      <w:r>
        <w:rPr>
          <w:rFonts w:cs="Arial"/>
          <w:b/>
          <w:bCs/>
          <w:sz w:val="24"/>
          <w:szCs w:val="24"/>
        </w:rPr>
      </w:r>
    </w:p>
    <w:p>
      <w:pPr>
        <w:pBdr/>
        <w:spacing w:line="360" w:lineRule="auto"/>
        <w:ind/>
        <w:jc w:val="center"/>
        <w:rPr>
          <w:rFonts w:cs="Arial"/>
          <w:sz w:val="24"/>
          <w:szCs w:val="24"/>
        </w:rPr>
      </w:pPr>
      <w:r>
        <w:rPr>
          <w:rFonts w:cs="Arial"/>
          <w:sz w:val="24"/>
          <w:szCs w:val="24"/>
        </w:rPr>
      </w:r>
      <w:r>
        <w:rPr>
          <w:rFonts w:cs="Arial"/>
          <w:sz w:val="24"/>
          <w:szCs w:val="24"/>
        </w:rPr>
      </w:r>
    </w:p>
    <w:p>
      <w:pPr>
        <w:pBdr/>
        <w:spacing w:line="360" w:lineRule="auto"/>
        <w:ind/>
        <w:jc w:val="center"/>
        <w:rPr>
          <w:rFonts w:cs="Arial"/>
          <w:sz w:val="24"/>
          <w:szCs w:val="24"/>
        </w:rPr>
      </w:pPr>
      <w:r>
        <w:rPr>
          <w:rFonts w:cs="Arial"/>
          <w:sz w:val="24"/>
          <w:szCs w:val="24"/>
        </w:rPr>
      </w:r>
      <w:r>
        <w:rPr>
          <w:rFonts w:cs="Arial"/>
          <w:sz w:val="24"/>
          <w:szCs w:val="24"/>
        </w:rPr>
      </w:r>
    </w:p>
    <w:p>
      <w:pPr>
        <w:pBdr/>
        <w:spacing w:line="360" w:lineRule="auto"/>
        <w:ind/>
        <w:jc w:val="center"/>
        <w:rPr>
          <w:rFonts w:cs="Arial"/>
          <w:sz w:val="24"/>
          <w:szCs w:val="24"/>
        </w:rPr>
      </w:pPr>
      <w:r>
        <w:rPr>
          <w:rFonts w:cs="Arial"/>
          <w:sz w:val="24"/>
          <w:szCs w:val="24"/>
        </w:rPr>
      </w:r>
      <w:r>
        <w:rPr>
          <w:rFonts w:cs="Arial"/>
          <w:sz w:val="24"/>
          <w:szCs w:val="24"/>
        </w:rPr>
      </w:r>
    </w:p>
    <w:p>
      <w:pPr>
        <w:pBdr/>
        <w:spacing/>
        <w:ind/>
        <w:jc w:val="center"/>
        <w:rPr>
          <w:rFonts w:cs="Arial"/>
          <w:b/>
          <w:sz w:val="24"/>
          <w:szCs w:val="24"/>
        </w:rPr>
      </w:pPr>
      <w:r>
        <w:rPr>
          <w:rFonts w:eastAsia="Arial" w:cs="Arial"/>
          <w:b/>
          <w:sz w:val="24"/>
          <w:szCs w:val="24"/>
        </w:rPr>
        <w:t xml:space="preserve">Mário Vasconcellos Fernandes</w:t>
      </w:r>
      <w:r>
        <w:rPr>
          <w:rFonts w:cs="Arial"/>
          <w:b/>
          <w:sz w:val="24"/>
          <w:szCs w:val="24"/>
        </w:rPr>
      </w:r>
    </w:p>
    <w:p>
      <w:pPr>
        <w:pBdr/>
        <w:spacing/>
        <w:ind/>
        <w:jc w:val="center"/>
        <w:rPr>
          <w:rFonts w:cs="Arial"/>
          <w:b/>
          <w:sz w:val="24"/>
          <w:szCs w:val="24"/>
        </w:rPr>
      </w:pPr>
      <w:r>
        <w:rPr>
          <w:rFonts w:eastAsia="Arial" w:cs="Arial"/>
          <w:b/>
          <w:sz w:val="24"/>
          <w:szCs w:val="24"/>
        </w:rPr>
        <w:t xml:space="preserve">Secretária Municipal de Governo</w:t>
      </w:r>
      <w:r>
        <w:rPr>
          <w:rFonts w:cs="Arial"/>
          <w:b/>
          <w:sz w:val="24"/>
          <w:szCs w:val="24"/>
        </w:rPr>
      </w:r>
    </w:p>
    <w:p>
      <w:pPr>
        <w:pBdr/>
        <w:spacing/>
        <w:ind/>
        <w:jc w:val="center"/>
        <w:rPr>
          <w:rFonts w:cs="Arial"/>
          <w:b/>
          <w:bCs/>
          <w:sz w:val="24"/>
          <w:szCs w:val="24"/>
        </w:rPr>
      </w:pPr>
      <w:r>
        <w:rPr>
          <w:rFonts w:cs="Arial"/>
          <w:b/>
          <w:bCs/>
          <w:sz w:val="24"/>
          <w:szCs w:val="24"/>
        </w:rPr>
      </w:r>
      <w:r>
        <w:rPr>
          <w:rFonts w:cs="Arial"/>
          <w:b/>
          <w:bCs/>
          <w:sz w:val="24"/>
          <w:szCs w:val="24"/>
        </w:rPr>
      </w:r>
    </w:p>
    <w:p>
      <w:pPr>
        <w:pBdr/>
        <w:spacing/>
        <w:ind/>
        <w:jc w:val="center"/>
        <w:rPr>
          <w:rFonts w:cs="Arial"/>
          <w:b/>
          <w:bCs/>
          <w:sz w:val="24"/>
          <w:szCs w:val="24"/>
        </w:rPr>
      </w:pPr>
      <w:r>
        <w:rPr>
          <w:rFonts w:eastAsia="Arial" w:cs="Arial"/>
          <w:b/>
          <w:bCs/>
          <w:sz w:val="24"/>
          <w:szCs w:val="24"/>
        </w:rPr>
        <w:t xml:space="preserve">Márcio Navarro Machado</w:t>
      </w:r>
      <w:r>
        <w:rPr>
          <w:rFonts w:cs="Arial"/>
          <w:b/>
          <w:bCs/>
          <w:sz w:val="24"/>
          <w:szCs w:val="24"/>
        </w:rPr>
      </w:r>
    </w:p>
    <w:p>
      <w:pPr>
        <w:pBdr/>
        <w:spacing/>
        <w:ind/>
        <w:jc w:val="center"/>
        <w:rPr>
          <w:rFonts w:cs="Arial"/>
          <w:b/>
          <w:sz w:val="24"/>
          <w:szCs w:val="24"/>
        </w:rPr>
      </w:pPr>
      <w:r>
        <w:rPr>
          <w:rFonts w:eastAsia="Arial" w:cs="Arial"/>
          <w:b/>
          <w:sz w:val="24"/>
          <w:szCs w:val="24"/>
        </w:rPr>
        <w:t xml:space="preserve">Secretaria Municipal de Agropecuária</w:t>
      </w:r>
      <w:r>
        <w:rPr>
          <w:rFonts w:cs="Arial"/>
          <w:b/>
          <w:sz w:val="24"/>
          <w:szCs w:val="24"/>
        </w:rPr>
      </w:r>
    </w:p>
    <w:p>
      <w:pPr>
        <w:pBdr/>
        <w:spacing w:line="360" w:lineRule="auto"/>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rPr>
      </w:pPr>
      <w:r>
        <w:rPr>
          <w:rFonts w:eastAsia="Arial" w:cs="Arial"/>
          <w:b/>
          <w:sz w:val="24"/>
          <w:szCs w:val="24"/>
        </w:rPr>
        <w:t xml:space="preserve">João Paulo Resende Cardoso</w:t>
      </w:r>
      <w:r>
        <w:rPr>
          <w:rFonts w:cs="Arial"/>
          <w:b/>
          <w:sz w:val="24"/>
          <w:szCs w:val="24"/>
        </w:rPr>
      </w:r>
    </w:p>
    <w:p>
      <w:pPr>
        <w:pBdr/>
        <w:spacing/>
        <w:ind/>
        <w:jc w:val="center"/>
        <w:rPr>
          <w:rFonts w:cs="Arial"/>
          <w:b/>
          <w:sz w:val="24"/>
          <w:szCs w:val="24"/>
        </w:rPr>
      </w:pPr>
      <w:r>
        <w:rPr>
          <w:rFonts w:eastAsia="Arial" w:cs="Arial"/>
          <w:b/>
          <w:sz w:val="24"/>
          <w:szCs w:val="24"/>
        </w:rPr>
        <w:t xml:space="preserve">Fundo Municipal de Assistência Social</w:t>
      </w:r>
      <w:r>
        <w:rPr>
          <w:rFonts w:cs="Arial"/>
          <w:b/>
          <w:sz w:val="24"/>
          <w:szCs w:val="24"/>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rPr>
      </w:pPr>
      <w:r>
        <w:rPr>
          <w:rFonts w:eastAsia="Arial" w:cs="Arial"/>
          <w:b/>
          <w:sz w:val="24"/>
          <w:szCs w:val="24"/>
        </w:rPr>
        <w:t xml:space="preserve">Bruno Luís Silva de Andrade </w:t>
      </w:r>
      <w:r>
        <w:rPr>
          <w:rFonts w:cs="Arial"/>
          <w:b/>
          <w:sz w:val="24"/>
          <w:szCs w:val="24"/>
        </w:rPr>
      </w:r>
    </w:p>
    <w:p>
      <w:pPr>
        <w:pBdr/>
        <w:spacing/>
        <w:ind/>
        <w:jc w:val="center"/>
        <w:rPr>
          <w:rFonts w:cs="Arial"/>
          <w:b/>
          <w:sz w:val="24"/>
          <w:szCs w:val="24"/>
        </w:rPr>
      </w:pPr>
      <w:r>
        <w:rPr>
          <w:rFonts w:eastAsia="Arial" w:cs="Arial"/>
          <w:b/>
          <w:sz w:val="24"/>
          <w:szCs w:val="24"/>
        </w:rPr>
        <w:t xml:space="preserve">Fundo Municipal de Habitação</w:t>
      </w:r>
      <w:r>
        <w:rPr>
          <w:rFonts w:cs="Arial"/>
          <w:b/>
          <w:sz w:val="24"/>
          <w:szCs w:val="24"/>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rPr>
      </w:pPr>
      <w:r>
        <w:rPr>
          <w:rFonts w:eastAsia="Arial" w:cs="Arial"/>
          <w:b/>
          <w:sz w:val="24"/>
          <w:szCs w:val="24"/>
        </w:rPr>
        <w:t xml:space="preserve">Marco Antônio de Almeida</w:t>
      </w:r>
      <w:r>
        <w:rPr>
          <w:rFonts w:cs="Arial"/>
          <w:b/>
          <w:sz w:val="24"/>
          <w:szCs w:val="24"/>
        </w:rPr>
      </w:r>
    </w:p>
    <w:p>
      <w:pPr>
        <w:pBdr/>
        <w:spacing/>
        <w:ind/>
        <w:jc w:val="center"/>
        <w:rPr>
          <w:rFonts w:cs="Arial"/>
          <w:b/>
          <w:sz w:val="24"/>
          <w:szCs w:val="24"/>
        </w:rPr>
      </w:pPr>
      <w:r>
        <w:rPr>
          <w:rFonts w:eastAsia="Arial" w:cs="Arial"/>
          <w:b/>
          <w:sz w:val="24"/>
          <w:szCs w:val="24"/>
        </w:rPr>
        <w:t xml:space="preserve">Secretaria Municipal de Obras e Serviços Públicos</w:t>
      </w:r>
      <w:r>
        <w:rPr>
          <w:rFonts w:cs="Arial"/>
          <w:b/>
          <w:sz w:val="24"/>
          <w:szCs w:val="24"/>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highlight w:val="yellow"/>
        </w:rPr>
      </w:pPr>
      <w:r>
        <w:rPr>
          <w:rFonts w:eastAsia="Arial" w:cs="Arial"/>
          <w:b/>
          <w:sz w:val="24"/>
          <w:szCs w:val="24"/>
          <w:highlight w:val="none"/>
        </w:rPr>
        <w:t xml:space="preserve">Lucas Lasneaux Dutra</w:t>
      </w:r>
      <w:r>
        <w:rPr>
          <w:rFonts w:eastAsia="Arial" w:cs="Arial"/>
          <w:b/>
          <w:sz w:val="24"/>
          <w:szCs w:val="24"/>
          <w:highlight w:val="yellow"/>
        </w:rPr>
      </w:r>
      <w:r>
        <w:rPr>
          <w:rFonts w:cs="Arial"/>
          <w:b/>
          <w:sz w:val="24"/>
          <w:szCs w:val="24"/>
          <w:highlight w:val="yellow"/>
        </w:rPr>
      </w:r>
    </w:p>
    <w:p>
      <w:pPr>
        <w:pBdr/>
        <w:spacing/>
        <w:ind/>
        <w:jc w:val="center"/>
        <w:rPr>
          <w:rFonts w:cs="Arial"/>
          <w:b/>
          <w:sz w:val="24"/>
          <w:szCs w:val="24"/>
          <w:highlight w:val="none"/>
        </w:rPr>
      </w:pPr>
      <w:r>
        <w:rPr>
          <w:rFonts w:eastAsia="Arial" w:cs="Arial"/>
          <w:b/>
          <w:sz w:val="24"/>
          <w:szCs w:val="24"/>
          <w:highlight w:val="none"/>
        </w:rPr>
        <w:t xml:space="preserve">Secretario Municipal de Planejamento</w:t>
      </w:r>
      <w:r>
        <w:rPr>
          <w:rFonts w:cs="Arial"/>
          <w:b/>
          <w:sz w:val="24"/>
          <w:szCs w:val="24"/>
          <w:highlight w:val="none"/>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rPr>
      </w:pPr>
      <w:r>
        <w:rPr>
          <w:rFonts w:eastAsia="Arial" w:cs="Arial"/>
          <w:b/>
          <w:sz w:val="24"/>
          <w:szCs w:val="24"/>
        </w:rPr>
        <w:t xml:space="preserve">Renata Santana de Almeida</w:t>
      </w:r>
      <w:r>
        <w:rPr>
          <w:rFonts w:cs="Arial"/>
          <w:b/>
          <w:sz w:val="24"/>
          <w:szCs w:val="24"/>
        </w:rPr>
      </w:r>
    </w:p>
    <w:p>
      <w:pPr>
        <w:pBdr/>
        <w:spacing/>
        <w:ind/>
        <w:jc w:val="center"/>
        <w:rPr>
          <w:rFonts w:cs="Arial"/>
          <w:b/>
          <w:sz w:val="24"/>
          <w:szCs w:val="24"/>
        </w:rPr>
      </w:pPr>
      <w:r>
        <w:rPr>
          <w:rFonts w:eastAsia="Arial" w:cs="Arial"/>
          <w:b/>
          <w:sz w:val="24"/>
          <w:szCs w:val="24"/>
        </w:rPr>
        <w:t xml:space="preserve">Fundo Municipal de Saúde</w:t>
      </w:r>
      <w:r>
        <w:rPr>
          <w:rFonts w:cs="Arial"/>
          <w:b/>
          <w:sz w:val="24"/>
          <w:szCs w:val="24"/>
        </w:rPr>
      </w:r>
    </w:p>
    <w:p>
      <w:pPr>
        <w:pBdr/>
        <w:spacing/>
        <w:ind/>
        <w:jc w:val="center"/>
        <w:rPr>
          <w:rFonts w:cs="Arial"/>
          <w:b/>
          <w:sz w:val="24"/>
          <w:szCs w:val="24"/>
        </w:rPr>
      </w:pPr>
      <w:r>
        <w:rPr>
          <w:rFonts w:cs="Arial"/>
          <w:b/>
          <w:sz w:val="24"/>
          <w:szCs w:val="24"/>
        </w:rPr>
      </w:r>
      <w:r>
        <w:rPr>
          <w:rFonts w:cs="Arial"/>
          <w:b/>
          <w:sz w:val="24"/>
          <w:szCs w:val="24"/>
        </w:rPr>
      </w:r>
    </w:p>
    <w:p>
      <w:pPr>
        <w:pBdr/>
        <w:spacing/>
        <w:ind/>
        <w:jc w:val="center"/>
        <w:rPr>
          <w:rFonts w:cs="Arial"/>
          <w:b/>
          <w:sz w:val="24"/>
          <w:szCs w:val="24"/>
        </w:rPr>
      </w:pPr>
      <w:r>
        <w:rPr>
          <w:rFonts w:eastAsia="Arial" w:cs="Arial"/>
          <w:b/>
          <w:sz w:val="24"/>
          <w:szCs w:val="24"/>
        </w:rPr>
        <w:t xml:space="preserve">Mauro Victor dos Santos</w:t>
      </w:r>
      <w:r>
        <w:rPr>
          <w:rFonts w:cs="Arial"/>
          <w:b/>
          <w:sz w:val="24"/>
          <w:szCs w:val="24"/>
        </w:rPr>
      </w:r>
    </w:p>
    <w:p>
      <w:pPr>
        <w:pBdr/>
        <w:spacing/>
        <w:ind/>
        <w:jc w:val="center"/>
        <w:rPr>
          <w:rFonts w:cs="Arial"/>
          <w:b/>
          <w:sz w:val="24"/>
          <w:szCs w:val="24"/>
        </w:rPr>
      </w:pPr>
      <w:r>
        <w:rPr>
          <w:rFonts w:eastAsia="Arial" w:cs="Arial"/>
          <w:b/>
          <w:sz w:val="24"/>
          <w:szCs w:val="24"/>
        </w:rPr>
        <w:t xml:space="preserve">Fundo Municipal Socioambiental</w:t>
      </w:r>
      <w:bookmarkEnd w:id="4"/>
      <w:r/>
      <w:r>
        <w:rPr>
          <w:rFonts w:cs="Arial"/>
          <w:b/>
          <w:sz w:val="24"/>
          <w:szCs w:val="24"/>
        </w:rPr>
      </w:r>
    </w:p>
    <w:p>
      <w:pPr>
        <w:pStyle w:val="994"/>
        <w:pBdr/>
        <w:spacing w:after="0" w:before="0"/>
        <w:ind/>
        <w:rPr>
          <w:rFonts w:ascii="Arial" w:hAnsi="Arial"/>
          <w:sz w:val="24"/>
          <w:szCs w:val="24"/>
          <w:u w:val="none"/>
        </w:rPr>
      </w:pPr>
      <w:r>
        <w:rPr>
          <w:rFonts w:ascii="Arial" w:hAnsi="Arial"/>
          <w:sz w:val="24"/>
          <w:szCs w:val="24"/>
          <w:u w:val="none"/>
        </w:rPr>
      </w:r>
      <w:r>
        <w:rPr>
          <w:rFonts w:ascii="Arial" w:hAnsi="Arial"/>
          <w:sz w:val="24"/>
          <w:szCs w:val="24"/>
          <w:u w:val="none"/>
        </w:rPr>
      </w:r>
    </w:p>
    <w:p>
      <w:pPr>
        <w:pStyle w:val="994"/>
        <w:pBdr/>
        <w:spacing w:after="0" w:before="0"/>
        <w:ind/>
        <w:rPr>
          <w:rFonts w:ascii="Arial" w:hAnsi="Arial"/>
          <w:sz w:val="24"/>
          <w:szCs w:val="24"/>
          <w:u w:val="none"/>
        </w:rPr>
      </w:pPr>
      <w:r>
        <w:rPr>
          <w:rFonts w:ascii="Arial" w:hAnsi="Arial"/>
          <w:sz w:val="24"/>
          <w:szCs w:val="24"/>
          <w:u w:val="none"/>
        </w:rPr>
      </w:r>
      <w:r>
        <w:rPr>
          <w:rFonts w:ascii="Arial" w:hAnsi="Arial"/>
          <w:sz w:val="24"/>
          <w:szCs w:val="24"/>
          <w:u w:val="none"/>
        </w:rPr>
      </w:r>
    </w:p>
    <w:p>
      <w:pPr>
        <w:pStyle w:val="994"/>
        <w:pBdr/>
        <w:spacing w:after="0" w:before="0"/>
        <w:ind/>
        <w:rPr>
          <w:rFonts w:ascii="Arial" w:hAnsi="Arial"/>
          <w:sz w:val="24"/>
          <w:szCs w:val="24"/>
          <w:u w:val="none"/>
        </w:rPr>
      </w:pPr>
      <w:r>
        <w:rPr>
          <w:rFonts w:ascii="Arial" w:hAnsi="Arial"/>
          <w:sz w:val="24"/>
          <w:szCs w:val="24"/>
          <w:u w:val="none"/>
        </w:rPr>
      </w:r>
      <w:r>
        <w:rPr>
          <w:rFonts w:ascii="Arial" w:hAnsi="Arial"/>
          <w:sz w:val="24"/>
          <w:szCs w:val="24"/>
          <w:u w:val="none"/>
        </w:rPr>
      </w:r>
    </w:p>
    <w:p>
      <w:pPr>
        <w:pBdr/>
        <w:spacing w:after="480" w:line="280" w:lineRule="atLeast"/>
        <w:ind/>
        <w:jc w:val="center"/>
        <w:rPr>
          <w:b/>
          <w:bCs/>
          <w:sz w:val="24"/>
          <w:szCs w:val="24"/>
        </w:rPr>
      </w:pPr>
      <w:r>
        <w:rPr>
          <w:b/>
          <w:bCs/>
          <w:sz w:val="24"/>
          <w:szCs w:val="24"/>
        </w:rPr>
        <w:t xml:space="preserve">ANEXO III - MODELO DE DECLARAÇÃO UNIFICADA</w:t>
      </w:r>
      <w:r>
        <w:rPr>
          <w:b/>
          <w:bCs/>
          <w:sz w:val="24"/>
          <w:szCs w:val="24"/>
        </w:rPr>
      </w:r>
    </w:p>
    <w:p>
      <w:pPr>
        <w:pBdr/>
        <w:spacing w:after="0" w:before="0" w:line="280" w:lineRule="atLeast"/>
        <w:ind/>
        <w:rPr>
          <w:b/>
          <w:sz w:val="24"/>
          <w:szCs w:val="24"/>
        </w:rPr>
      </w:pPr>
      <w:r>
        <w:rPr>
          <w:b/>
          <w:sz w:val="24"/>
          <w:szCs w:val="24"/>
        </w:rPr>
        <w:t xml:space="preserve">Processo Administrativo nº 1939/2026.</w:t>
      </w:r>
      <w:r>
        <w:rPr>
          <w:b/>
          <w:sz w:val="24"/>
          <w:szCs w:val="24"/>
        </w:rPr>
      </w:r>
    </w:p>
    <w:p>
      <w:pPr>
        <w:pBdr/>
        <w:spacing w:after="0" w:before="0" w:line="280" w:lineRule="atLeast"/>
        <w:ind/>
        <w:rPr>
          <w:sz w:val="24"/>
          <w:szCs w:val="24"/>
        </w:rPr>
      </w:pPr>
      <w:r>
        <w:rPr>
          <w:b/>
          <w:sz w:val="24"/>
          <w:szCs w:val="24"/>
        </w:rPr>
        <w:t xml:space="preserve">Pregão Eletrônico nº 002/2026.</w:t>
      </w:r>
      <w:r>
        <w:rPr>
          <w:sz w:val="24"/>
          <w:szCs w:val="24"/>
        </w:rPr>
      </w:r>
    </w:p>
    <w:p>
      <w:pPr>
        <w:pBdr/>
        <w:spacing w:after="0" w:before="0" w:line="280" w:lineRule="atLeast"/>
        <w:ind/>
        <w:rPr>
          <w:sz w:val="24"/>
          <w:szCs w:val="24"/>
        </w:rPr>
      </w:pPr>
      <w:r>
        <w:rPr>
          <w:sz w:val="24"/>
          <w:szCs w:val="24"/>
        </w:rPr>
        <w:t xml:space="preserve">Rua Cel. Eurico de Castro, nº 14 – Centro, Rio das </w:t>
      </w:r>
      <w:r>
        <w:rPr>
          <w:sz w:val="24"/>
          <w:szCs w:val="24"/>
        </w:rPr>
        <w:t xml:space="preserve">Flôres</w:t>
      </w:r>
      <w:r>
        <w:rPr>
          <w:sz w:val="24"/>
          <w:szCs w:val="24"/>
        </w:rPr>
        <w:t xml:space="preserve"> – RJ. </w:t>
      </w:r>
      <w:r>
        <w:rPr>
          <w:sz w:val="24"/>
          <w:szCs w:val="24"/>
        </w:rPr>
      </w:r>
    </w:p>
    <w:p>
      <w:pPr>
        <w:pStyle w:val="969"/>
        <w:pBdr/>
        <w:spacing w:before="146"/>
        <w:ind w:right="34"/>
        <w:jc w:val="center"/>
        <w:rPr>
          <w:sz w:val="24"/>
          <w:szCs w:val="24"/>
        </w:rPr>
      </w:pPr>
      <w:r>
        <w:rPr>
          <w:sz w:val="24"/>
          <w:szCs w:val="24"/>
        </w:rPr>
      </w:r>
      <w:r>
        <w:rPr>
          <w:sz w:val="24"/>
          <w:szCs w:val="24"/>
        </w:rPr>
      </w:r>
    </w:p>
    <w:p>
      <w:pPr>
        <w:pStyle w:val="969"/>
        <w:pBdr/>
        <w:spacing w:before="146"/>
        <w:ind w:right="34"/>
        <w:jc w:val="center"/>
        <w:rPr>
          <w:sz w:val="24"/>
          <w:szCs w:val="24"/>
        </w:rPr>
      </w:pPr>
      <w:r>
        <w:rPr>
          <w:sz w:val="24"/>
          <w:szCs w:val="24"/>
        </w:rPr>
        <w:t xml:space="preserve"> (Papel</w:t>
      </w:r>
      <w:r>
        <w:rPr>
          <w:spacing w:val="-2"/>
          <w:sz w:val="24"/>
          <w:szCs w:val="24"/>
        </w:rPr>
        <w:t xml:space="preserve"> </w:t>
      </w:r>
      <w:r>
        <w:rPr>
          <w:sz w:val="24"/>
          <w:szCs w:val="24"/>
        </w:rPr>
        <w:t xml:space="preserve">timbrado</w:t>
      </w:r>
      <w:r>
        <w:rPr>
          <w:spacing w:val="-4"/>
          <w:sz w:val="24"/>
          <w:szCs w:val="24"/>
        </w:rPr>
        <w:t xml:space="preserve"> </w:t>
      </w:r>
      <w:r>
        <w:rPr>
          <w:sz w:val="24"/>
          <w:szCs w:val="24"/>
        </w:rPr>
        <w:t xml:space="preserve">da</w:t>
      </w:r>
      <w:r>
        <w:rPr>
          <w:spacing w:val="-2"/>
          <w:sz w:val="24"/>
          <w:szCs w:val="24"/>
        </w:rPr>
        <w:t xml:space="preserve"> </w:t>
      </w:r>
      <w:r>
        <w:rPr>
          <w:sz w:val="24"/>
          <w:szCs w:val="24"/>
        </w:rPr>
        <w:t xml:space="preserve">empresa,</w:t>
      </w:r>
      <w:r>
        <w:rPr>
          <w:spacing w:val="-4"/>
          <w:sz w:val="24"/>
          <w:szCs w:val="24"/>
        </w:rPr>
        <w:t xml:space="preserve"> </w:t>
      </w:r>
      <w:r>
        <w:rPr>
          <w:sz w:val="24"/>
          <w:szCs w:val="24"/>
        </w:rPr>
        <w:t xml:space="preserve">dispensado</w:t>
      </w:r>
      <w:r>
        <w:rPr>
          <w:spacing w:val="-3"/>
          <w:sz w:val="24"/>
          <w:szCs w:val="24"/>
        </w:rPr>
        <w:t xml:space="preserve"> </w:t>
      </w:r>
      <w:r>
        <w:rPr>
          <w:sz w:val="24"/>
          <w:szCs w:val="24"/>
        </w:rPr>
        <w:t xml:space="preserve">em</w:t>
      </w:r>
      <w:r>
        <w:rPr>
          <w:spacing w:val="-4"/>
          <w:sz w:val="24"/>
          <w:szCs w:val="24"/>
        </w:rPr>
        <w:t xml:space="preserve"> </w:t>
      </w:r>
      <w:r>
        <w:rPr>
          <w:sz w:val="24"/>
          <w:szCs w:val="24"/>
        </w:rPr>
        <w:t xml:space="preserve">caso</w:t>
      </w:r>
      <w:r>
        <w:rPr>
          <w:spacing w:val="-4"/>
          <w:sz w:val="24"/>
          <w:szCs w:val="24"/>
        </w:rPr>
        <w:t xml:space="preserve"> </w:t>
      </w:r>
      <w:r>
        <w:rPr>
          <w:sz w:val="24"/>
          <w:szCs w:val="24"/>
        </w:rPr>
        <w:t xml:space="preserve">de</w:t>
      </w:r>
      <w:r>
        <w:rPr>
          <w:spacing w:val="-4"/>
          <w:sz w:val="24"/>
          <w:szCs w:val="24"/>
        </w:rPr>
        <w:t xml:space="preserve"> </w:t>
      </w:r>
      <w:r>
        <w:rPr>
          <w:sz w:val="24"/>
          <w:szCs w:val="24"/>
        </w:rPr>
        <w:t xml:space="preserve">carimbo</w:t>
      </w:r>
      <w:r>
        <w:rPr>
          <w:spacing w:val="-3"/>
          <w:sz w:val="24"/>
          <w:szCs w:val="24"/>
        </w:rPr>
        <w:t xml:space="preserve"> </w:t>
      </w:r>
      <w:r>
        <w:rPr>
          <w:sz w:val="24"/>
          <w:szCs w:val="24"/>
        </w:rPr>
        <w:t xml:space="preserve">com</w:t>
      </w:r>
      <w:r>
        <w:rPr>
          <w:spacing w:val="-3"/>
          <w:sz w:val="24"/>
          <w:szCs w:val="24"/>
        </w:rPr>
        <w:t xml:space="preserve"> </w:t>
      </w:r>
      <w:r>
        <w:rPr>
          <w:sz w:val="24"/>
          <w:szCs w:val="24"/>
        </w:rPr>
        <w:t xml:space="preserve">CNPJ)</w:t>
      </w:r>
      <w:r>
        <w:rPr>
          <w:sz w:val="24"/>
          <w:szCs w:val="24"/>
        </w:rPr>
      </w:r>
    </w:p>
    <w:p>
      <w:pPr>
        <w:pStyle w:val="969"/>
        <w:pBdr/>
        <w:tabs>
          <w:tab w:val="left" w:leader="none" w:pos="534"/>
          <w:tab w:val="left" w:leader="none" w:pos="1873"/>
          <w:tab w:val="left" w:leader="none" w:pos="5600"/>
          <w:tab w:val="left" w:leader="none" w:pos="6034"/>
          <w:tab w:val="left" w:leader="none" w:pos="7270"/>
          <w:tab w:val="left" w:leader="none" w:pos="7944"/>
        </w:tabs>
        <w:spacing w:before="101"/>
        <w:ind w:right="690"/>
        <w:rPr>
          <w:sz w:val="24"/>
          <w:szCs w:val="24"/>
        </w:rPr>
      </w:pPr>
      <w:r>
        <w:rPr>
          <w:sz w:val="24"/>
          <w:szCs w:val="24"/>
        </w:rPr>
      </w:r>
      <w:r>
        <w:rPr>
          <w:sz w:val="24"/>
          <w:szCs w:val="24"/>
        </w:rPr>
      </w:r>
    </w:p>
    <w:p>
      <w:pPr>
        <w:pStyle w:val="969"/>
        <w:pBdr/>
        <w:tabs>
          <w:tab w:val="left" w:leader="none" w:pos="534"/>
          <w:tab w:val="left" w:leader="none" w:pos="1873"/>
          <w:tab w:val="left" w:leader="none" w:pos="5600"/>
          <w:tab w:val="left" w:leader="none" w:pos="6034"/>
          <w:tab w:val="left" w:leader="none" w:pos="7270"/>
          <w:tab w:val="left" w:leader="none" w:pos="7944"/>
          <w:tab w:val="left" w:leader="none" w:pos="9072"/>
        </w:tabs>
        <w:spacing w:before="101"/>
        <w:ind w:right="141"/>
        <w:rPr>
          <w:sz w:val="24"/>
          <w:szCs w:val="24"/>
        </w:rPr>
      </w:pPr>
      <w:r>
        <w:rPr>
          <w:sz w:val="24"/>
          <w:szCs w:val="24"/>
        </w:rPr>
        <w:t xml:space="preserve">A empresa</w:t>
      </w:r>
      <w:r>
        <w:rPr>
          <w:sz w:val="24"/>
          <w:szCs w:val="24"/>
          <w:u w:val="single"/>
        </w:rPr>
        <w:t xml:space="preserve"> ____</w:t>
      </w:r>
      <w:r>
        <w:rPr>
          <w:sz w:val="24"/>
          <w:szCs w:val="24"/>
          <w:u w:val="single"/>
        </w:rPr>
        <w:t xml:space="preserve">_</w:t>
      </w:r>
      <w:r>
        <w:rPr>
          <w:sz w:val="24"/>
          <w:szCs w:val="24"/>
        </w:rPr>
        <w:t xml:space="preserve">,sediada</w:t>
      </w:r>
      <w:r>
        <w:rPr>
          <w:sz w:val="24"/>
          <w:szCs w:val="24"/>
        </w:rPr>
        <w:t xml:space="preserve"> na Rua</w:t>
      </w:r>
      <w:r>
        <w:rPr>
          <w:sz w:val="24"/>
          <w:szCs w:val="24"/>
          <w:u w:val="single"/>
        </w:rPr>
        <w:t xml:space="preserve"> _______</w:t>
      </w:r>
      <w:r>
        <w:rPr>
          <w:sz w:val="24"/>
          <w:szCs w:val="24"/>
          <w:u w:val="single"/>
        </w:rPr>
        <w:tab/>
      </w:r>
      <w:r>
        <w:rPr>
          <w:sz w:val="24"/>
          <w:szCs w:val="24"/>
        </w:rPr>
        <w:t xml:space="preserve">,</w:t>
      </w:r>
      <w:r>
        <w:rPr>
          <w:spacing w:val="65"/>
          <w:sz w:val="24"/>
          <w:szCs w:val="24"/>
        </w:rPr>
        <w:t xml:space="preserve"> </w:t>
      </w:r>
      <w:r>
        <w:rPr>
          <w:sz w:val="24"/>
          <w:szCs w:val="24"/>
        </w:rPr>
        <w:t xml:space="preserve">nº</w:t>
      </w:r>
      <w:r>
        <w:rPr>
          <w:sz w:val="24"/>
          <w:szCs w:val="24"/>
          <w:u w:val="single"/>
        </w:rPr>
        <w:tab/>
      </w:r>
      <w:r>
        <w:rPr>
          <w:sz w:val="24"/>
          <w:szCs w:val="24"/>
        </w:rPr>
        <w:t xml:space="preserve">,</w:t>
      </w:r>
      <w:r>
        <w:rPr>
          <w:spacing w:val="63"/>
          <w:sz w:val="24"/>
          <w:szCs w:val="24"/>
        </w:rPr>
        <w:t xml:space="preserve"> </w:t>
      </w:r>
      <w:r>
        <w:rPr>
          <w:sz w:val="24"/>
          <w:szCs w:val="24"/>
        </w:rPr>
        <w:t xml:space="preserve">Bairro</w:t>
      </w:r>
      <w:r>
        <w:rPr>
          <w:sz w:val="24"/>
          <w:szCs w:val="24"/>
          <w:u w:val="single"/>
        </w:rPr>
        <w:tab/>
        <w:t xml:space="preserve">____</w:t>
      </w:r>
      <w:r>
        <w:rPr>
          <w:sz w:val="24"/>
          <w:szCs w:val="24"/>
          <w:u w:val="single"/>
        </w:rPr>
        <w:t xml:space="preserve">_</w:t>
      </w:r>
      <w:r>
        <w:rPr>
          <w:sz w:val="24"/>
          <w:szCs w:val="24"/>
        </w:rPr>
        <w:t xml:space="preserve">,na</w:t>
      </w:r>
      <w:r>
        <w:rPr>
          <w:spacing w:val="65"/>
          <w:sz w:val="24"/>
          <w:szCs w:val="24"/>
        </w:rPr>
        <w:t xml:space="preserve"> </w:t>
      </w:r>
      <w:r>
        <w:rPr>
          <w:sz w:val="24"/>
          <w:szCs w:val="24"/>
        </w:rPr>
        <w:t xml:space="preserve">cidade de</w:t>
      </w:r>
      <w:r>
        <w:rPr>
          <w:sz w:val="24"/>
          <w:szCs w:val="24"/>
          <w:u w:val="single"/>
        </w:rPr>
        <w:t xml:space="preserve"> ___</w:t>
      </w:r>
      <w:r>
        <w:rPr>
          <w:sz w:val="24"/>
          <w:szCs w:val="24"/>
          <w:u w:val="single"/>
        </w:rPr>
        <w:tab/>
      </w:r>
      <w:r>
        <w:rPr>
          <w:spacing w:val="-11"/>
          <w:sz w:val="24"/>
          <w:szCs w:val="24"/>
        </w:rPr>
        <w:t xml:space="preserve"> /</w:t>
      </w:r>
      <w:r>
        <w:rPr>
          <w:sz w:val="24"/>
          <w:szCs w:val="24"/>
          <w:u w:val="single"/>
        </w:rPr>
        <w:t xml:space="preserve"> </w:t>
      </w:r>
      <w:r>
        <w:rPr>
          <w:sz w:val="24"/>
          <w:szCs w:val="24"/>
          <w:u w:val="single"/>
        </w:rPr>
        <w:t xml:space="preserve"> </w:t>
      </w:r>
      <w:r>
        <w:rPr>
          <w:spacing w:val="1"/>
          <w:sz w:val="24"/>
          <w:szCs w:val="24"/>
          <w:u w:val="single"/>
        </w:rPr>
        <w:t xml:space="preserve"> </w:t>
      </w:r>
      <w:r>
        <w:rPr>
          <w:sz w:val="24"/>
          <w:szCs w:val="24"/>
        </w:rPr>
        <w:t xml:space="preserve">,</w:t>
      </w:r>
      <w:r>
        <w:rPr>
          <w:sz w:val="24"/>
          <w:szCs w:val="24"/>
        </w:rPr>
        <w:t xml:space="preserve"> inscrita no Cadastro N</w:t>
      </w:r>
      <w:r>
        <w:rPr>
          <w:sz w:val="24"/>
          <w:szCs w:val="24"/>
        </w:rPr>
      </w:r>
    </w:p>
    <w:p>
      <w:pPr>
        <w:pStyle w:val="969"/>
        <w:pBdr/>
        <w:tabs>
          <w:tab w:val="left" w:leader="none" w:pos="534"/>
          <w:tab w:val="left" w:leader="none" w:pos="1873"/>
          <w:tab w:val="left" w:leader="none" w:pos="5600"/>
          <w:tab w:val="left" w:leader="none" w:pos="6034"/>
          <w:tab w:val="left" w:leader="none" w:pos="7270"/>
          <w:tab w:val="left" w:leader="none" w:pos="7944"/>
          <w:tab w:val="left" w:leader="none" w:pos="9072"/>
        </w:tabs>
        <w:spacing w:before="101"/>
        <w:ind w:right="141"/>
        <w:rPr>
          <w:sz w:val="24"/>
          <w:szCs w:val="24"/>
        </w:rPr>
      </w:pPr>
      <w:r>
        <w:rPr>
          <w:sz w:val="24"/>
          <w:szCs w:val="24"/>
        </w:rPr>
        <w:t xml:space="preserve">acional de Pessoas</w:t>
      </w:r>
      <w:r>
        <w:rPr>
          <w:spacing w:val="1"/>
          <w:sz w:val="24"/>
          <w:szCs w:val="24"/>
        </w:rPr>
        <w:t xml:space="preserve"> </w:t>
      </w:r>
      <w:r>
        <w:rPr>
          <w:sz w:val="24"/>
          <w:szCs w:val="24"/>
        </w:rPr>
        <w:t xml:space="preserve">Jurídicas</w:t>
      </w:r>
      <w:r>
        <w:rPr>
          <w:spacing w:val="15"/>
          <w:sz w:val="24"/>
          <w:szCs w:val="24"/>
        </w:rPr>
        <w:t xml:space="preserve"> </w:t>
      </w:r>
      <w:r>
        <w:rPr>
          <w:sz w:val="24"/>
          <w:szCs w:val="24"/>
        </w:rPr>
        <w:t xml:space="preserve">(CNPJ)</w:t>
      </w:r>
      <w:r>
        <w:rPr>
          <w:spacing w:val="15"/>
          <w:sz w:val="24"/>
          <w:szCs w:val="24"/>
        </w:rPr>
        <w:t xml:space="preserve"> </w:t>
      </w:r>
      <w:r>
        <w:rPr>
          <w:sz w:val="24"/>
          <w:szCs w:val="24"/>
        </w:rPr>
        <w:t xml:space="preserve">sob</w:t>
      </w:r>
      <w:r>
        <w:rPr>
          <w:spacing w:val="18"/>
          <w:sz w:val="24"/>
          <w:szCs w:val="24"/>
        </w:rPr>
        <w:t xml:space="preserve"> </w:t>
      </w:r>
      <w:r>
        <w:rPr>
          <w:sz w:val="24"/>
          <w:szCs w:val="24"/>
        </w:rPr>
        <w:t xml:space="preserve">o</w:t>
      </w:r>
      <w:r>
        <w:rPr>
          <w:spacing w:val="15"/>
          <w:sz w:val="24"/>
          <w:szCs w:val="24"/>
        </w:rPr>
        <w:t xml:space="preserve"> </w:t>
      </w:r>
      <w:r>
        <w:rPr>
          <w:sz w:val="24"/>
          <w:szCs w:val="24"/>
        </w:rPr>
        <w:t xml:space="preserve">nº</w:t>
      </w:r>
      <w:r>
        <w:rPr>
          <w:sz w:val="24"/>
          <w:szCs w:val="24"/>
          <w:u w:val="single"/>
        </w:rPr>
        <w:tab/>
      </w:r>
      <w:r>
        <w:rPr>
          <w:sz w:val="24"/>
          <w:szCs w:val="24"/>
          <w:u w:val="single"/>
        </w:rPr>
        <w:tab/>
      </w:r>
      <w:r>
        <w:rPr>
          <w:sz w:val="24"/>
          <w:szCs w:val="24"/>
          <w:u w:val="single"/>
        </w:rPr>
        <w:tab/>
      </w:r>
      <w:r>
        <w:rPr>
          <w:sz w:val="24"/>
          <w:szCs w:val="24"/>
        </w:rPr>
        <w:t xml:space="preserve">,</w:t>
      </w:r>
      <w:r>
        <w:rPr>
          <w:spacing w:val="13"/>
          <w:sz w:val="24"/>
          <w:szCs w:val="24"/>
        </w:rPr>
        <w:t xml:space="preserve"> </w:t>
      </w:r>
      <w:r>
        <w:rPr>
          <w:sz w:val="24"/>
          <w:szCs w:val="24"/>
        </w:rPr>
        <w:t xml:space="preserve">por</w:t>
      </w:r>
      <w:r>
        <w:rPr>
          <w:spacing w:val="15"/>
          <w:sz w:val="24"/>
          <w:szCs w:val="24"/>
        </w:rPr>
        <w:t xml:space="preserve"> </w:t>
      </w:r>
      <w:r>
        <w:rPr>
          <w:sz w:val="24"/>
          <w:szCs w:val="24"/>
        </w:rPr>
        <w:t xml:space="preserve">seu</w:t>
      </w:r>
      <w:r>
        <w:rPr>
          <w:spacing w:val="15"/>
          <w:sz w:val="24"/>
          <w:szCs w:val="24"/>
        </w:rPr>
        <w:t xml:space="preserve"> </w:t>
      </w:r>
      <w:r>
        <w:rPr>
          <w:sz w:val="24"/>
          <w:szCs w:val="24"/>
        </w:rPr>
        <w:t xml:space="preserve">representante</w:t>
      </w:r>
      <w:r>
        <w:rPr>
          <w:spacing w:val="14"/>
          <w:sz w:val="24"/>
          <w:szCs w:val="24"/>
        </w:rPr>
        <w:t xml:space="preserve"> </w:t>
      </w:r>
      <w:r>
        <w:rPr>
          <w:sz w:val="24"/>
          <w:szCs w:val="24"/>
        </w:rPr>
        <w:t xml:space="preserve">legal,</w:t>
      </w:r>
      <w:r>
        <w:rPr>
          <w:spacing w:val="16"/>
          <w:sz w:val="24"/>
          <w:szCs w:val="24"/>
        </w:rPr>
        <w:t xml:space="preserve"> </w:t>
      </w:r>
      <w:r>
        <w:rPr>
          <w:sz w:val="24"/>
          <w:szCs w:val="24"/>
        </w:rPr>
        <w:t xml:space="preserve">o(</w:t>
      </w:r>
      <w:r>
        <w:rPr>
          <w:sz w:val="24"/>
          <w:szCs w:val="24"/>
        </w:rPr>
        <w:t xml:space="preserve">a) </w:t>
      </w:r>
      <w:r>
        <w:rPr>
          <w:spacing w:val="-59"/>
          <w:sz w:val="24"/>
          <w:szCs w:val="24"/>
        </w:rPr>
        <w:t xml:space="preserve">  </w:t>
      </w:r>
      <w:r>
        <w:rPr>
          <w:sz w:val="24"/>
          <w:szCs w:val="24"/>
        </w:rPr>
        <w:t xml:space="preserve">Sr</w:t>
      </w:r>
      <w:r>
        <w:rPr>
          <w:sz w:val="24"/>
          <w:szCs w:val="24"/>
        </w:rPr>
        <w:t xml:space="preserve">(a).</w:t>
      </w:r>
      <w:r>
        <w:rPr>
          <w:sz w:val="24"/>
          <w:szCs w:val="24"/>
          <w:u w:val="single"/>
        </w:rPr>
        <w:tab/>
        <w:t xml:space="preserve">____________</w:t>
      </w:r>
      <w:r>
        <w:rPr>
          <w:sz w:val="24"/>
          <w:szCs w:val="24"/>
          <w:u w:val="single"/>
        </w:rPr>
        <w:tab/>
      </w:r>
      <w:r>
        <w:rPr>
          <w:sz w:val="24"/>
          <w:szCs w:val="24"/>
        </w:rPr>
        <w:t xml:space="preserve">,</w:t>
      </w:r>
      <w:r>
        <w:rPr>
          <w:spacing w:val="107"/>
          <w:sz w:val="24"/>
          <w:szCs w:val="24"/>
        </w:rPr>
        <w:t xml:space="preserve"> </w:t>
      </w:r>
      <w:r>
        <w:rPr>
          <w:sz w:val="24"/>
          <w:szCs w:val="24"/>
        </w:rPr>
        <w:t xml:space="preserve">portador(a)</w:t>
      </w:r>
      <w:r>
        <w:rPr>
          <w:spacing w:val="110"/>
          <w:sz w:val="24"/>
          <w:szCs w:val="24"/>
        </w:rPr>
        <w:t xml:space="preserve"> </w:t>
      </w:r>
      <w:r>
        <w:rPr>
          <w:sz w:val="24"/>
          <w:szCs w:val="24"/>
        </w:rPr>
        <w:t xml:space="preserve">da</w:t>
      </w:r>
      <w:r>
        <w:rPr>
          <w:spacing w:val="110"/>
          <w:sz w:val="24"/>
          <w:szCs w:val="24"/>
        </w:rPr>
        <w:t xml:space="preserve"> </w:t>
      </w:r>
      <w:r>
        <w:rPr>
          <w:sz w:val="24"/>
          <w:szCs w:val="24"/>
        </w:rPr>
        <w:t xml:space="preserve">Carteira</w:t>
      </w:r>
      <w:r>
        <w:rPr>
          <w:spacing w:val="110"/>
          <w:sz w:val="24"/>
          <w:szCs w:val="24"/>
        </w:rPr>
        <w:t xml:space="preserve"> </w:t>
      </w:r>
      <w:r>
        <w:rPr>
          <w:sz w:val="24"/>
          <w:szCs w:val="24"/>
        </w:rPr>
        <w:t xml:space="preserve">de</w:t>
      </w:r>
      <w:r>
        <w:rPr>
          <w:spacing w:val="108"/>
          <w:sz w:val="24"/>
          <w:szCs w:val="24"/>
        </w:rPr>
        <w:t xml:space="preserve"> </w:t>
      </w:r>
      <w:r>
        <w:rPr>
          <w:sz w:val="24"/>
          <w:szCs w:val="24"/>
        </w:rPr>
        <w:t xml:space="preserve">Identidade</w:t>
      </w:r>
      <w:r>
        <w:rPr>
          <w:spacing w:val="110"/>
          <w:sz w:val="24"/>
          <w:szCs w:val="24"/>
        </w:rPr>
        <w:t xml:space="preserve"> </w:t>
      </w:r>
      <w:r>
        <w:rPr>
          <w:sz w:val="24"/>
          <w:szCs w:val="24"/>
        </w:rPr>
        <w:t xml:space="preserve">nº</w:t>
      </w:r>
      <w:r>
        <w:rPr>
          <w:sz w:val="24"/>
          <w:szCs w:val="24"/>
          <w:u w:val="single"/>
        </w:rPr>
        <w:t xml:space="preserve"> </w:t>
      </w:r>
      <w:r>
        <w:rPr>
          <w:sz w:val="24"/>
          <w:szCs w:val="24"/>
          <w:u w:val="single"/>
        </w:rPr>
        <w:tab/>
      </w:r>
      <w:r>
        <w:rPr>
          <w:sz w:val="24"/>
          <w:szCs w:val="24"/>
        </w:rPr>
        <w:t xml:space="preserve">expedida pelo</w:t>
      </w:r>
      <w:r>
        <w:rPr>
          <w:spacing w:val="-1"/>
          <w:sz w:val="24"/>
          <w:szCs w:val="24"/>
        </w:rPr>
        <w:t xml:space="preserve">__________ </w:t>
      </w:r>
      <w:r>
        <w:rPr>
          <w:sz w:val="24"/>
          <w:szCs w:val="24"/>
        </w:rPr>
        <w:t xml:space="preserve">e</w:t>
      </w:r>
      <w:r>
        <w:rPr>
          <w:spacing w:val="-1"/>
          <w:sz w:val="24"/>
          <w:szCs w:val="24"/>
        </w:rPr>
        <w:t xml:space="preserve"> </w:t>
      </w:r>
      <w:r>
        <w:rPr>
          <w:sz w:val="24"/>
          <w:szCs w:val="24"/>
        </w:rPr>
        <w:t xml:space="preserve">do CPF</w:t>
      </w:r>
      <w:r>
        <w:rPr>
          <w:spacing w:val="-1"/>
          <w:sz w:val="24"/>
          <w:szCs w:val="24"/>
        </w:rPr>
        <w:t xml:space="preserve"> </w:t>
      </w:r>
      <w:r>
        <w:rPr>
          <w:sz w:val="24"/>
          <w:szCs w:val="24"/>
        </w:rPr>
        <w:t xml:space="preserve">nº</w:t>
      </w:r>
      <w:r>
        <w:rPr>
          <w:sz w:val="24"/>
          <w:szCs w:val="24"/>
          <w:u w:val="single"/>
        </w:rPr>
        <w:tab/>
      </w:r>
      <w:r>
        <w:rPr>
          <w:sz w:val="24"/>
          <w:szCs w:val="24"/>
        </w:rPr>
        <w:t xml:space="preserve">,</w:t>
      </w:r>
      <w:r>
        <w:rPr>
          <w:spacing w:val="-4"/>
          <w:sz w:val="24"/>
          <w:szCs w:val="24"/>
        </w:rPr>
        <w:t xml:space="preserve"> </w:t>
      </w:r>
      <w:r>
        <w:rPr>
          <w:b/>
          <w:sz w:val="24"/>
          <w:szCs w:val="24"/>
        </w:rPr>
        <w:t xml:space="preserve">DECLARA</w:t>
      </w:r>
      <w:r>
        <w:rPr>
          <w:sz w:val="24"/>
          <w:szCs w:val="24"/>
        </w:rPr>
        <w:t xml:space="preserve">:</w:t>
      </w:r>
      <w:r>
        <w:rPr>
          <w:sz w:val="24"/>
          <w:szCs w:val="24"/>
        </w:rPr>
      </w:r>
    </w:p>
    <w:p>
      <w:pPr>
        <w:pStyle w:val="969"/>
        <w:pBdr/>
        <w:tabs>
          <w:tab w:val="left" w:leader="none" w:pos="534"/>
          <w:tab w:val="left" w:leader="none" w:pos="1873"/>
          <w:tab w:val="left" w:leader="none" w:pos="5600"/>
          <w:tab w:val="left" w:leader="none" w:pos="6034"/>
          <w:tab w:val="left" w:leader="none" w:pos="7270"/>
          <w:tab w:val="left" w:leader="none" w:pos="7944"/>
        </w:tabs>
        <w:spacing w:before="101"/>
        <w:ind w:right="690"/>
        <w:rPr>
          <w:sz w:val="24"/>
          <w:szCs w:val="24"/>
        </w:rPr>
      </w:pPr>
      <w:r>
        <w:rPr>
          <w:sz w:val="24"/>
          <w:szCs w:val="24"/>
        </w:rPr>
        <w:t xml:space="preserve"> </w:t>
      </w:r>
      <w:r>
        <w:rPr>
          <w:sz w:val="24"/>
          <w:szCs w:val="24"/>
        </w:rPr>
      </w:r>
    </w:p>
    <w:p>
      <w:pPr>
        <w:pStyle w:val="995"/>
        <w:widowControl w:val="false"/>
        <w:numPr>
          <w:ilvl w:val="0"/>
          <w:numId w:val="3"/>
        </w:numPr>
        <w:pBdr/>
        <w:tabs>
          <w:tab w:val="left" w:leader="none" w:pos="284"/>
          <w:tab w:val="left" w:leader="none" w:pos="795"/>
        </w:tabs>
        <w:spacing w:after="0" w:before="0"/>
        <w:ind w:firstLine="0" w:left="0"/>
        <w:contextualSpacing w:val="false"/>
        <w:rPr>
          <w:sz w:val="24"/>
          <w:szCs w:val="24"/>
        </w:rPr>
      </w:pPr>
      <w:r>
        <w:rPr>
          <w:sz w:val="24"/>
          <w:szCs w:val="24"/>
        </w:rPr>
        <w:t xml:space="preserve">- </w:t>
      </w:r>
      <w:r>
        <w:rPr>
          <w:sz w:val="24"/>
          <w:szCs w:val="24"/>
        </w:rPr>
        <w:t xml:space="preserve">está</w:t>
      </w:r>
      <w:r>
        <w:rPr>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w:t>
      </w:r>
      <w:r>
        <w:rPr>
          <w:sz w:val="24"/>
          <w:szCs w:val="24"/>
        </w:rPr>
        <w:t xml:space="preserve">is trabalhistas, nas normas infralegais, nas convenções coletivas de trabalho e nos termos de ajustamento de conduta vigentes na data de sua entrega em definitivo e que cumpre plenamente os requisitos de habilitação definidos no instrumento convocatório;  </w:t>
      </w:r>
      <w:r>
        <w:rPr>
          <w:sz w:val="24"/>
          <w:szCs w:val="24"/>
        </w:rPr>
      </w:r>
    </w:p>
    <w:p>
      <w:pPr>
        <w:pStyle w:val="995"/>
        <w:widowControl w:val="false"/>
        <w:pBdr/>
        <w:tabs>
          <w:tab w:val="left" w:leader="none" w:pos="284"/>
          <w:tab w:val="left" w:leader="none" w:pos="795"/>
        </w:tabs>
        <w:spacing w:after="0" w:before="0"/>
        <w:ind w:left="0"/>
        <w:contextualSpacing w:val="false"/>
        <w:rPr>
          <w:sz w:val="24"/>
          <w:szCs w:val="24"/>
        </w:rPr>
      </w:pPr>
      <w:r>
        <w:rPr>
          <w:sz w:val="24"/>
          <w:szCs w:val="24"/>
        </w:rPr>
      </w:r>
      <w:r>
        <w:rPr>
          <w:sz w:val="24"/>
          <w:szCs w:val="24"/>
        </w:rPr>
      </w:r>
    </w:p>
    <w:p>
      <w:pPr>
        <w:pStyle w:val="995"/>
        <w:widowControl w:val="false"/>
        <w:numPr>
          <w:ilvl w:val="0"/>
          <w:numId w:val="3"/>
        </w:numPr>
        <w:pBdr/>
        <w:tabs>
          <w:tab w:val="left" w:leader="none" w:pos="284"/>
          <w:tab w:val="left" w:leader="none" w:pos="795"/>
        </w:tabs>
        <w:spacing w:after="0" w:before="0"/>
        <w:ind w:firstLine="0" w:left="0"/>
        <w:contextualSpacing w:val="false"/>
        <w:rPr>
          <w:sz w:val="24"/>
          <w:szCs w:val="24"/>
        </w:rPr>
      </w:pPr>
      <w:r>
        <w:rPr>
          <w:sz w:val="24"/>
          <w:szCs w:val="24"/>
        </w:rPr>
        <w:t xml:space="preserve">- </w:t>
      </w:r>
      <w:r>
        <w:rPr>
          <w:sz w:val="24"/>
          <w:szCs w:val="24"/>
        </w:rPr>
        <w:t xml:space="preserve">sob</w:t>
      </w:r>
      <w:r>
        <w:rPr>
          <w:sz w:val="24"/>
          <w:szCs w:val="24"/>
        </w:rPr>
        <w:t xml:space="preserve"> as penas da lei, que os preços cotados incluem </w:t>
      </w:r>
      <w:r>
        <w:rPr>
          <w:b/>
          <w:sz w:val="24"/>
          <w:szCs w:val="24"/>
        </w:rPr>
        <w:t xml:space="preserve">todos os custos e despesas</w:t>
      </w:r>
      <w:r>
        <w:rPr>
          <w:sz w:val="24"/>
          <w:szCs w:val="24"/>
        </w:rPr>
        <w:t xml:space="preserve"> necessárias ao cumprimento integral das obrigações decorrentes desta licitação;</w:t>
      </w:r>
      <w:r>
        <w:rPr>
          <w:sz w:val="24"/>
          <w:szCs w:val="24"/>
        </w:rPr>
      </w:r>
    </w:p>
    <w:p>
      <w:pPr>
        <w:pStyle w:val="995"/>
        <w:widowControl w:val="false"/>
        <w:pBdr/>
        <w:tabs>
          <w:tab w:val="left" w:leader="none" w:pos="284"/>
          <w:tab w:val="left" w:leader="none" w:pos="795"/>
        </w:tabs>
        <w:spacing w:after="0" w:before="0"/>
        <w:ind w:left="0"/>
        <w:contextualSpacing w:val="false"/>
        <w:rPr>
          <w:sz w:val="24"/>
          <w:szCs w:val="24"/>
        </w:rPr>
      </w:pPr>
      <w:r>
        <w:rPr>
          <w:sz w:val="24"/>
          <w:szCs w:val="24"/>
        </w:rPr>
      </w:r>
      <w:r>
        <w:rPr>
          <w:sz w:val="24"/>
          <w:szCs w:val="24"/>
        </w:rPr>
      </w:r>
    </w:p>
    <w:p>
      <w:pPr>
        <w:pStyle w:val="995"/>
        <w:widowControl w:val="false"/>
        <w:numPr>
          <w:ilvl w:val="0"/>
          <w:numId w:val="3"/>
        </w:numPr>
        <w:pBdr/>
        <w:tabs>
          <w:tab w:val="left" w:leader="none" w:pos="284"/>
          <w:tab w:val="left" w:leader="none" w:pos="795"/>
        </w:tabs>
        <w:spacing w:after="0" w:before="0"/>
        <w:ind w:firstLine="0" w:left="0"/>
        <w:contextualSpacing w:val="false"/>
        <w:rPr>
          <w:sz w:val="24"/>
          <w:szCs w:val="24"/>
        </w:rPr>
      </w:pPr>
      <w:r>
        <w:rPr>
          <w:sz w:val="24"/>
          <w:szCs w:val="24"/>
        </w:rPr>
        <w:t xml:space="preserve">- </w:t>
      </w:r>
      <w:r>
        <w:rPr>
          <w:sz w:val="24"/>
          <w:szCs w:val="24"/>
        </w:rPr>
        <w:t xml:space="preserve">que</w:t>
      </w:r>
      <w:r>
        <w:rPr>
          <w:sz w:val="24"/>
          <w:szCs w:val="24"/>
        </w:rPr>
        <w:t xml:space="preserve">, por ser de seu conhecimento, </w:t>
      </w:r>
      <w:r>
        <w:rPr>
          <w:b/>
          <w:sz w:val="24"/>
          <w:szCs w:val="24"/>
        </w:rPr>
        <w:t xml:space="preserve">atende e se submete a todas as cláusulas e condições do Edital e Anexos</w:t>
      </w:r>
      <w:r>
        <w:rPr>
          <w:sz w:val="24"/>
          <w:szCs w:val="24"/>
        </w:rPr>
        <w:t xml:space="preserve">, relativos </w:t>
      </w:r>
      <w:r>
        <w:rPr>
          <w:sz w:val="24"/>
          <w:szCs w:val="24"/>
        </w:rPr>
        <w:t xml:space="preserve">a</w:t>
      </w:r>
      <w:r>
        <w:rPr>
          <w:sz w:val="24"/>
          <w:szCs w:val="24"/>
        </w:rPr>
        <w:t xml:space="preserve"> licitação supra, bem como às disposições da Lei Federal nº</w:t>
      </w:r>
      <w:r>
        <w:rPr>
          <w:sz w:val="24"/>
          <w:szCs w:val="24"/>
        </w:rPr>
        <w:t xml:space="preserve"> 14.133/2021 Lei Complementar nº 123/2006, com a redação que lhe atribuiu a Lei Complementar 147/2014 e Decretos nº 56.475/2015 e, e demais normas complementares que disciplinam o certame e que integrarão o ajuste correspondente, no que lhe for pertinente;</w:t>
      </w:r>
      <w:r>
        <w:rPr>
          <w:sz w:val="24"/>
          <w:szCs w:val="24"/>
        </w:rPr>
      </w:r>
    </w:p>
    <w:p>
      <w:pPr>
        <w:pStyle w:val="995"/>
        <w:widowControl w:val="false"/>
        <w:pBdr/>
        <w:tabs>
          <w:tab w:val="left" w:leader="none" w:pos="284"/>
          <w:tab w:val="left" w:leader="none" w:pos="795"/>
        </w:tabs>
        <w:spacing w:after="0" w:before="0"/>
        <w:ind w:left="0"/>
        <w:contextualSpacing w:val="false"/>
        <w:rPr>
          <w:sz w:val="24"/>
          <w:szCs w:val="24"/>
        </w:rPr>
      </w:pPr>
      <w:r>
        <w:rPr>
          <w:sz w:val="24"/>
          <w:szCs w:val="24"/>
        </w:rPr>
      </w:r>
      <w:r>
        <w:rPr>
          <w:sz w:val="24"/>
          <w:szCs w:val="24"/>
        </w:rPr>
      </w:r>
    </w:p>
    <w:p>
      <w:pPr>
        <w:pStyle w:val="995"/>
        <w:widowControl w:val="false"/>
        <w:numPr>
          <w:ilvl w:val="0"/>
          <w:numId w:val="3"/>
        </w:numPr>
        <w:pBdr/>
        <w:tabs>
          <w:tab w:val="left" w:leader="none" w:pos="284"/>
          <w:tab w:val="left" w:leader="none" w:pos="795"/>
        </w:tabs>
        <w:spacing w:after="0" w:before="0"/>
        <w:ind w:firstLine="0" w:left="0"/>
        <w:contextualSpacing w:val="false"/>
        <w:rPr>
          <w:sz w:val="24"/>
          <w:szCs w:val="24"/>
        </w:rPr>
      </w:pPr>
      <w:r>
        <w:rPr>
          <w:sz w:val="24"/>
          <w:szCs w:val="24"/>
        </w:rPr>
        <w:t xml:space="preserve">- </w:t>
      </w:r>
      <w:r>
        <w:rPr>
          <w:sz w:val="24"/>
          <w:szCs w:val="24"/>
        </w:rPr>
        <w:t xml:space="preserve">sob</w:t>
      </w:r>
      <w:r>
        <w:rPr>
          <w:sz w:val="24"/>
          <w:szCs w:val="24"/>
        </w:rPr>
        <w:t xml:space="preserve"> as penas da lei, que tem condições de fornecer a quantidade estabelecida no prazo assinalado, independentemente dos demais compromissos de fornecimento porventura existentes, bem como que </w:t>
      </w:r>
      <w:r>
        <w:rPr>
          <w:b/>
          <w:sz w:val="24"/>
          <w:szCs w:val="24"/>
        </w:rPr>
        <w:t xml:space="preserve">fornecerá o material de acordo com as especificações técnicas (Anexo I do Edital)</w:t>
      </w:r>
      <w:r>
        <w:rPr>
          <w:sz w:val="24"/>
          <w:szCs w:val="24"/>
        </w:rPr>
        <w:t xml:space="preserve">, respeitando as condições de embalagens, prazos de validade, requisitos específicos, enfim todas as especificações;</w:t>
      </w:r>
      <w:r>
        <w:rPr>
          <w:sz w:val="24"/>
          <w:szCs w:val="24"/>
        </w:rPr>
      </w:r>
    </w:p>
    <w:p>
      <w:pPr>
        <w:pStyle w:val="995"/>
        <w:widowControl w:val="false"/>
        <w:pBdr/>
        <w:tabs>
          <w:tab w:val="left" w:leader="none" w:pos="284"/>
          <w:tab w:val="left" w:leader="none" w:pos="795"/>
        </w:tabs>
        <w:spacing w:after="0" w:before="0"/>
        <w:ind w:left="0"/>
        <w:contextualSpacing w:val="false"/>
        <w:rPr>
          <w:sz w:val="24"/>
          <w:szCs w:val="24"/>
        </w:rPr>
      </w:pPr>
      <w:r>
        <w:rPr>
          <w:sz w:val="24"/>
          <w:szCs w:val="24"/>
        </w:rPr>
      </w:r>
      <w:r>
        <w:rPr>
          <w:sz w:val="24"/>
          <w:szCs w:val="24"/>
        </w:rPr>
      </w:r>
    </w:p>
    <w:p>
      <w:pPr>
        <w:pStyle w:val="995"/>
        <w:widowControl w:val="false"/>
        <w:numPr>
          <w:ilvl w:val="0"/>
          <w:numId w:val="3"/>
        </w:numPr>
        <w:pBdr/>
        <w:tabs>
          <w:tab w:val="left" w:leader="none" w:pos="284"/>
          <w:tab w:val="left" w:leader="none" w:pos="795"/>
        </w:tabs>
        <w:spacing w:after="0" w:before="0"/>
        <w:ind w:firstLine="0" w:left="0"/>
        <w:contextualSpacing w:val="false"/>
        <w:rPr>
          <w:sz w:val="24"/>
          <w:szCs w:val="24"/>
        </w:rPr>
      </w:pPr>
      <w:r>
        <w:rPr>
          <w:sz w:val="24"/>
          <w:szCs w:val="24"/>
        </w:rPr>
        <w:t xml:space="preserve">- </w:t>
      </w:r>
      <w:r>
        <w:rPr>
          <w:sz w:val="24"/>
          <w:szCs w:val="24"/>
        </w:rPr>
        <w:t xml:space="preserve">até</w:t>
      </w:r>
      <w:r>
        <w:rPr>
          <w:sz w:val="24"/>
          <w:szCs w:val="24"/>
        </w:rPr>
        <w:t xml:space="preserve"> </w:t>
      </w:r>
      <w:r>
        <w:rPr>
          <w:sz w:val="24"/>
          <w:szCs w:val="24"/>
        </w:rPr>
        <w:t xml:space="preserve">a presente data </w:t>
      </w:r>
      <w:r>
        <w:rPr>
          <w:b/>
          <w:sz w:val="24"/>
          <w:szCs w:val="24"/>
        </w:rPr>
        <w:t xml:space="preserve">INEXISTEM</w:t>
      </w:r>
      <w:r>
        <w:rPr>
          <w:b/>
          <w:sz w:val="24"/>
          <w:szCs w:val="24"/>
        </w:rPr>
        <w:t xml:space="preserve"> FATOS SUPERVENIENTES</w:t>
      </w:r>
      <w:r>
        <w:rPr>
          <w:sz w:val="24"/>
          <w:szCs w:val="24"/>
        </w:rPr>
        <w:t xml:space="preserve"> impeditivos para habilitação</w:t>
      </w:r>
      <w:r>
        <w:rPr>
          <w:spacing w:val="1"/>
          <w:sz w:val="24"/>
          <w:szCs w:val="24"/>
        </w:rPr>
        <w:t xml:space="preserve"> </w:t>
      </w:r>
      <w:r>
        <w:rPr>
          <w:sz w:val="24"/>
          <w:szCs w:val="24"/>
        </w:rPr>
        <w:t xml:space="preserve">no presente processo licitatório, estando ciente da obrigatoriedade de declarar</w:t>
      </w:r>
      <w:r>
        <w:rPr>
          <w:spacing w:val="1"/>
          <w:sz w:val="24"/>
          <w:szCs w:val="24"/>
        </w:rPr>
        <w:t xml:space="preserve"> </w:t>
      </w:r>
      <w:r>
        <w:rPr>
          <w:sz w:val="24"/>
          <w:szCs w:val="24"/>
        </w:rPr>
        <w:t xml:space="preserve">ocorrências</w:t>
      </w:r>
      <w:r>
        <w:rPr>
          <w:spacing w:val="-1"/>
          <w:sz w:val="24"/>
          <w:szCs w:val="24"/>
        </w:rPr>
        <w:t xml:space="preserve"> </w:t>
      </w:r>
      <w:r>
        <w:rPr>
          <w:sz w:val="24"/>
          <w:szCs w:val="24"/>
        </w:rPr>
        <w:t xml:space="preserve">posteriores;</w:t>
      </w:r>
      <w:r>
        <w:rPr>
          <w:sz w:val="24"/>
          <w:szCs w:val="24"/>
        </w:rPr>
      </w:r>
    </w:p>
    <w:p>
      <w:pPr>
        <w:pStyle w:val="995"/>
        <w:widowControl w:val="false"/>
        <w:pBdr/>
        <w:tabs>
          <w:tab w:val="left" w:leader="none" w:pos="795"/>
        </w:tabs>
        <w:spacing w:after="0" w:before="0"/>
        <w:ind w:left="0"/>
        <w:contextualSpacing w:val="false"/>
        <w:rPr>
          <w:sz w:val="24"/>
          <w:szCs w:val="24"/>
        </w:rPr>
      </w:pPr>
      <w:r>
        <w:rPr>
          <w:sz w:val="24"/>
          <w:szCs w:val="24"/>
        </w:rPr>
      </w:r>
      <w:r>
        <w:rPr>
          <w:sz w:val="24"/>
          <w:szCs w:val="24"/>
        </w:rPr>
      </w:r>
    </w:p>
    <w:p>
      <w:pPr>
        <w:pStyle w:val="995"/>
        <w:widowControl w:val="false"/>
        <w:numPr>
          <w:ilvl w:val="0"/>
          <w:numId w:val="3"/>
        </w:numPr>
        <w:pBdr/>
        <w:tabs>
          <w:tab w:val="left" w:leader="none" w:pos="284"/>
          <w:tab w:val="left" w:leader="none" w:pos="855"/>
        </w:tabs>
        <w:spacing w:after="0" w:before="0"/>
        <w:ind w:firstLine="0" w:left="0"/>
        <w:contextualSpacing w:val="false"/>
        <w:rPr>
          <w:sz w:val="24"/>
          <w:szCs w:val="24"/>
        </w:rPr>
      </w:pPr>
      <w:r>
        <w:rPr>
          <w:sz w:val="24"/>
          <w:szCs w:val="24"/>
        </w:rPr>
        <w:t xml:space="preserve">- </w:t>
      </w:r>
      <w:r>
        <w:rPr>
          <w:b/>
          <w:sz w:val="24"/>
          <w:szCs w:val="24"/>
        </w:rPr>
        <w:t xml:space="preserve">não</w:t>
      </w:r>
      <w:r>
        <w:rPr>
          <w:b/>
          <w:sz w:val="24"/>
          <w:szCs w:val="24"/>
        </w:rPr>
        <w:t xml:space="preserve"> FOI DECLARADA INIDÔNEA</w:t>
      </w:r>
      <w:r>
        <w:rPr>
          <w:sz w:val="24"/>
          <w:szCs w:val="24"/>
        </w:rPr>
        <w:t xml:space="preserve"> por nenhum órgão público de qualquer esfera de</w:t>
      </w:r>
      <w:r>
        <w:rPr>
          <w:spacing w:val="1"/>
          <w:sz w:val="24"/>
          <w:szCs w:val="24"/>
        </w:rPr>
        <w:t xml:space="preserve"> </w:t>
      </w:r>
      <w:r>
        <w:rPr>
          <w:sz w:val="24"/>
          <w:szCs w:val="24"/>
        </w:rPr>
        <w:t xml:space="preserve">governo,</w:t>
      </w:r>
      <w:r>
        <w:rPr>
          <w:spacing w:val="-3"/>
          <w:sz w:val="24"/>
          <w:szCs w:val="24"/>
        </w:rPr>
        <w:t xml:space="preserve"> </w:t>
      </w:r>
      <w:r>
        <w:rPr>
          <w:sz w:val="24"/>
          <w:szCs w:val="24"/>
        </w:rPr>
        <w:t xml:space="preserve">estando</w:t>
      </w:r>
      <w:r>
        <w:rPr>
          <w:spacing w:val="-2"/>
          <w:sz w:val="24"/>
          <w:szCs w:val="24"/>
        </w:rPr>
        <w:t xml:space="preserve"> </w:t>
      </w:r>
      <w:r>
        <w:rPr>
          <w:sz w:val="24"/>
          <w:szCs w:val="24"/>
        </w:rPr>
        <w:t xml:space="preserve">apta a</w:t>
      </w:r>
      <w:r>
        <w:rPr>
          <w:spacing w:val="-2"/>
          <w:sz w:val="24"/>
          <w:szCs w:val="24"/>
        </w:rPr>
        <w:t xml:space="preserve"> </w:t>
      </w:r>
      <w:r>
        <w:rPr>
          <w:sz w:val="24"/>
          <w:szCs w:val="24"/>
        </w:rPr>
        <w:t xml:space="preserve">contratar</w:t>
      </w:r>
      <w:r>
        <w:rPr>
          <w:spacing w:val="-3"/>
          <w:sz w:val="24"/>
          <w:szCs w:val="24"/>
        </w:rPr>
        <w:t xml:space="preserve"> </w:t>
      </w:r>
      <w:r>
        <w:rPr>
          <w:sz w:val="24"/>
          <w:szCs w:val="24"/>
        </w:rPr>
        <w:t xml:space="preserve">com o</w:t>
      </w:r>
      <w:r>
        <w:rPr>
          <w:spacing w:val="-2"/>
          <w:sz w:val="24"/>
          <w:szCs w:val="24"/>
        </w:rPr>
        <w:t xml:space="preserve"> </w:t>
      </w:r>
      <w:r>
        <w:rPr>
          <w:sz w:val="24"/>
          <w:szCs w:val="24"/>
        </w:rPr>
        <w:t xml:space="preserve">poder</w:t>
      </w:r>
      <w:r>
        <w:rPr>
          <w:spacing w:val="-1"/>
          <w:sz w:val="24"/>
          <w:szCs w:val="24"/>
        </w:rPr>
        <w:t xml:space="preserve"> </w:t>
      </w:r>
      <w:r>
        <w:rPr>
          <w:sz w:val="24"/>
          <w:szCs w:val="24"/>
        </w:rPr>
        <w:t xml:space="preserve">público;</w:t>
      </w:r>
      <w:r>
        <w:rPr>
          <w:sz w:val="24"/>
          <w:szCs w:val="24"/>
        </w:rPr>
      </w:r>
    </w:p>
    <w:p>
      <w:pPr>
        <w:pStyle w:val="995"/>
        <w:pBdr/>
        <w:spacing/>
        <w:ind w:left="0"/>
        <w:rPr>
          <w:sz w:val="24"/>
          <w:szCs w:val="24"/>
        </w:rPr>
      </w:pPr>
      <w:r>
        <w:rPr>
          <w:sz w:val="24"/>
          <w:szCs w:val="24"/>
        </w:rPr>
      </w:r>
      <w:r>
        <w:rPr>
          <w:sz w:val="24"/>
          <w:szCs w:val="24"/>
        </w:rPr>
      </w:r>
    </w:p>
    <w:p>
      <w:pPr>
        <w:pStyle w:val="995"/>
        <w:widowControl w:val="false"/>
        <w:numPr>
          <w:ilvl w:val="0"/>
          <w:numId w:val="3"/>
        </w:numPr>
        <w:pBdr/>
        <w:tabs>
          <w:tab w:val="left" w:leader="none" w:pos="284"/>
          <w:tab w:val="left" w:leader="none" w:pos="881"/>
        </w:tabs>
        <w:spacing w:after="0" w:before="0"/>
        <w:ind w:firstLine="0" w:left="0"/>
        <w:contextualSpacing w:val="false"/>
        <w:rPr>
          <w:sz w:val="24"/>
          <w:szCs w:val="24"/>
        </w:rPr>
      </w:pPr>
      <w:r>
        <w:rPr>
          <w:sz w:val="24"/>
          <w:szCs w:val="24"/>
        </w:rPr>
        <w:t xml:space="preserve">- Para cumprimento do disposto no inciso XXXIII do art. 7º da Constituição Federal,</w:t>
      </w:r>
      <w:r>
        <w:rPr>
          <w:spacing w:val="1"/>
          <w:sz w:val="24"/>
          <w:szCs w:val="24"/>
        </w:rPr>
        <w:t xml:space="preserve"> </w:t>
      </w:r>
      <w:r>
        <w:rPr>
          <w:b/>
          <w:sz w:val="24"/>
          <w:szCs w:val="24"/>
        </w:rPr>
        <w:t xml:space="preserve">NÃO</w:t>
      </w:r>
      <w:r>
        <w:rPr>
          <w:b/>
          <w:spacing w:val="1"/>
          <w:sz w:val="24"/>
          <w:szCs w:val="24"/>
        </w:rPr>
        <w:t xml:space="preserve"> </w:t>
      </w:r>
      <w:r>
        <w:rPr>
          <w:b/>
          <w:sz w:val="24"/>
          <w:szCs w:val="24"/>
        </w:rPr>
        <w:t xml:space="preserve">EMPREGAMOS</w:t>
      </w:r>
      <w:r>
        <w:rPr>
          <w:b/>
          <w:spacing w:val="1"/>
          <w:sz w:val="24"/>
          <w:szCs w:val="24"/>
        </w:rPr>
        <w:t xml:space="preserve"> </w:t>
      </w:r>
      <w:r>
        <w:rPr>
          <w:b/>
          <w:sz w:val="24"/>
          <w:szCs w:val="24"/>
        </w:rPr>
        <w:t xml:space="preserve">MENORES</w:t>
      </w:r>
      <w:r>
        <w:rPr>
          <w:b/>
          <w:spacing w:val="1"/>
          <w:sz w:val="24"/>
          <w:szCs w:val="24"/>
        </w:rPr>
        <w:t xml:space="preserve"> </w:t>
      </w:r>
      <w:r>
        <w:rPr>
          <w:b/>
          <w:sz w:val="24"/>
          <w:szCs w:val="24"/>
        </w:rPr>
        <w:t xml:space="preserve">DE</w:t>
      </w:r>
      <w:r>
        <w:rPr>
          <w:b/>
          <w:spacing w:val="1"/>
          <w:sz w:val="24"/>
          <w:szCs w:val="24"/>
        </w:rPr>
        <w:t xml:space="preserve"> </w:t>
      </w:r>
      <w:r>
        <w:rPr>
          <w:b/>
          <w:sz w:val="24"/>
          <w:szCs w:val="24"/>
        </w:rPr>
        <w:t xml:space="preserve">DEZOITO</w:t>
      </w:r>
      <w:r>
        <w:rPr>
          <w:b/>
          <w:spacing w:val="1"/>
          <w:sz w:val="24"/>
          <w:szCs w:val="24"/>
        </w:rPr>
        <w:t xml:space="preserve"> </w:t>
      </w:r>
      <w:r>
        <w:rPr>
          <w:b/>
          <w:sz w:val="24"/>
          <w:szCs w:val="24"/>
        </w:rPr>
        <w:t xml:space="preserve">ANOS</w:t>
      </w:r>
      <w:r>
        <w:rPr>
          <w:b/>
          <w:spacing w:val="1"/>
          <w:sz w:val="24"/>
          <w:szCs w:val="24"/>
        </w:rPr>
        <w:t xml:space="preserve"> </w:t>
      </w:r>
      <w:r>
        <w:rPr>
          <w:b/>
          <w:sz w:val="24"/>
          <w:szCs w:val="24"/>
        </w:rPr>
        <w:t xml:space="preserve">EM</w:t>
      </w:r>
      <w:r>
        <w:rPr>
          <w:b/>
          <w:spacing w:val="1"/>
          <w:sz w:val="24"/>
          <w:szCs w:val="24"/>
        </w:rPr>
        <w:t xml:space="preserve"> </w:t>
      </w:r>
      <w:r>
        <w:rPr>
          <w:b/>
          <w:sz w:val="24"/>
          <w:szCs w:val="24"/>
        </w:rPr>
        <w:t xml:space="preserve">TRABALHO</w:t>
      </w:r>
      <w:r>
        <w:rPr>
          <w:b/>
          <w:spacing w:val="1"/>
          <w:sz w:val="24"/>
          <w:szCs w:val="24"/>
        </w:rPr>
        <w:t xml:space="preserve"> </w:t>
      </w:r>
      <w:r>
        <w:rPr>
          <w:b/>
          <w:sz w:val="24"/>
          <w:szCs w:val="24"/>
        </w:rPr>
        <w:t xml:space="preserve">NOTURNO</w:t>
      </w:r>
      <w:r>
        <w:rPr>
          <w:sz w:val="24"/>
          <w:szCs w:val="24"/>
        </w:rPr>
        <w:t xml:space="preserve">,</w:t>
      </w:r>
      <w:r>
        <w:rPr>
          <w:spacing w:val="1"/>
          <w:sz w:val="24"/>
          <w:szCs w:val="24"/>
        </w:rPr>
        <w:t xml:space="preserve"> </w:t>
      </w:r>
      <w:r>
        <w:rPr>
          <w:b/>
          <w:sz w:val="24"/>
          <w:szCs w:val="24"/>
        </w:rPr>
        <w:t xml:space="preserve">PERIGOSO</w:t>
      </w:r>
      <w:r>
        <w:rPr>
          <w:b/>
          <w:spacing w:val="1"/>
          <w:sz w:val="24"/>
          <w:szCs w:val="24"/>
        </w:rPr>
        <w:t xml:space="preserve"> </w:t>
      </w:r>
      <w:r>
        <w:rPr>
          <w:b/>
          <w:sz w:val="24"/>
          <w:szCs w:val="24"/>
        </w:rPr>
        <w:t xml:space="preserve">OU</w:t>
      </w:r>
      <w:r>
        <w:rPr>
          <w:b/>
          <w:spacing w:val="1"/>
          <w:sz w:val="24"/>
          <w:szCs w:val="24"/>
        </w:rPr>
        <w:t xml:space="preserve"> </w:t>
      </w:r>
      <w:r>
        <w:rPr>
          <w:b/>
          <w:sz w:val="24"/>
          <w:szCs w:val="24"/>
        </w:rPr>
        <w:t xml:space="preserve">INSALUBRE</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NEM</w:t>
      </w:r>
      <w:r>
        <w:rPr>
          <w:spacing w:val="1"/>
          <w:sz w:val="24"/>
          <w:szCs w:val="24"/>
        </w:rPr>
        <w:t xml:space="preserve"> </w:t>
      </w:r>
      <w:r>
        <w:rPr>
          <w:b/>
          <w:sz w:val="24"/>
          <w:szCs w:val="24"/>
        </w:rPr>
        <w:t xml:space="preserve">MENORES</w:t>
      </w:r>
      <w:r>
        <w:rPr>
          <w:b/>
          <w:spacing w:val="1"/>
          <w:sz w:val="24"/>
          <w:szCs w:val="24"/>
        </w:rPr>
        <w:t xml:space="preserve"> </w:t>
      </w:r>
      <w:r>
        <w:rPr>
          <w:b/>
          <w:sz w:val="24"/>
          <w:szCs w:val="24"/>
        </w:rPr>
        <w:t xml:space="preserve">DE</w:t>
      </w:r>
      <w:r>
        <w:rPr>
          <w:b/>
          <w:spacing w:val="1"/>
          <w:sz w:val="24"/>
          <w:szCs w:val="24"/>
        </w:rPr>
        <w:t xml:space="preserve"> </w:t>
      </w:r>
      <w:r>
        <w:rPr>
          <w:b/>
          <w:sz w:val="24"/>
          <w:szCs w:val="24"/>
        </w:rPr>
        <w:t xml:space="preserve">DEZESSEIS</w:t>
      </w:r>
      <w:r>
        <w:rPr>
          <w:b/>
          <w:spacing w:val="1"/>
          <w:sz w:val="24"/>
          <w:szCs w:val="24"/>
        </w:rPr>
        <w:t xml:space="preserve"> </w:t>
      </w:r>
      <w:r>
        <w:rPr>
          <w:b/>
          <w:sz w:val="24"/>
          <w:szCs w:val="24"/>
        </w:rPr>
        <w:t xml:space="preserve">ANOS,</w:t>
      </w:r>
      <w:r>
        <w:rPr>
          <w:b/>
          <w:spacing w:val="1"/>
          <w:sz w:val="24"/>
          <w:szCs w:val="24"/>
        </w:rPr>
        <w:t xml:space="preserve"> </w:t>
      </w:r>
      <w:r>
        <w:rPr>
          <w:b/>
          <w:sz w:val="24"/>
          <w:szCs w:val="24"/>
        </w:rPr>
        <w:t xml:space="preserve">EM</w:t>
      </w:r>
      <w:r>
        <w:rPr>
          <w:b/>
          <w:spacing w:val="1"/>
          <w:sz w:val="24"/>
          <w:szCs w:val="24"/>
        </w:rPr>
        <w:t xml:space="preserve"> </w:t>
      </w:r>
      <w:r>
        <w:rPr>
          <w:b/>
          <w:sz w:val="24"/>
          <w:szCs w:val="24"/>
        </w:rPr>
        <w:t xml:space="preserve">QUALQUER</w:t>
      </w:r>
      <w:r>
        <w:rPr>
          <w:b/>
          <w:spacing w:val="1"/>
          <w:sz w:val="24"/>
          <w:szCs w:val="24"/>
        </w:rPr>
        <w:t xml:space="preserve"> </w:t>
      </w:r>
      <w:r>
        <w:rPr>
          <w:b/>
          <w:sz w:val="24"/>
          <w:szCs w:val="24"/>
        </w:rPr>
        <w:t xml:space="preserve">TRABALHO,</w:t>
      </w:r>
      <w:r>
        <w:rPr>
          <w:b/>
          <w:spacing w:val="1"/>
          <w:sz w:val="24"/>
          <w:szCs w:val="24"/>
        </w:rPr>
        <w:t xml:space="preserve"> </w:t>
      </w:r>
      <w:r>
        <w:rPr>
          <w:b/>
          <w:sz w:val="24"/>
          <w:szCs w:val="24"/>
        </w:rPr>
        <w:t xml:space="preserve">SALVO</w:t>
      </w:r>
      <w:r>
        <w:rPr>
          <w:b/>
          <w:spacing w:val="1"/>
          <w:sz w:val="24"/>
          <w:szCs w:val="24"/>
        </w:rPr>
        <w:t xml:space="preserve"> </w:t>
      </w:r>
      <w:r>
        <w:rPr>
          <w:b/>
          <w:sz w:val="24"/>
          <w:szCs w:val="24"/>
        </w:rPr>
        <w:t xml:space="preserve">NA</w:t>
      </w:r>
      <w:r>
        <w:rPr>
          <w:b/>
          <w:spacing w:val="1"/>
          <w:sz w:val="24"/>
          <w:szCs w:val="24"/>
        </w:rPr>
        <w:t xml:space="preserve"> </w:t>
      </w:r>
      <w:r>
        <w:rPr>
          <w:b/>
          <w:sz w:val="24"/>
          <w:szCs w:val="24"/>
        </w:rPr>
        <w:t xml:space="preserve">CONDIÇÃO DE APRENDIZ</w:t>
      </w:r>
      <w:r>
        <w:rPr>
          <w:sz w:val="24"/>
          <w:szCs w:val="24"/>
        </w:rPr>
        <w:t xml:space="preserve">, a partir dos quatorze anos de idade,</w:t>
      </w:r>
      <w:r>
        <w:rPr>
          <w:spacing w:val="-4"/>
          <w:sz w:val="24"/>
          <w:szCs w:val="24"/>
        </w:rPr>
        <w:t xml:space="preserve"> </w:t>
      </w:r>
      <w:r>
        <w:rPr>
          <w:sz w:val="24"/>
          <w:szCs w:val="24"/>
        </w:rPr>
        <w:t xml:space="preserve">acrescida</w:t>
      </w:r>
      <w:r>
        <w:rPr>
          <w:spacing w:val="-1"/>
          <w:sz w:val="24"/>
          <w:szCs w:val="24"/>
        </w:rPr>
        <w:t xml:space="preserve"> </w:t>
      </w:r>
      <w:r>
        <w:rPr>
          <w:sz w:val="24"/>
          <w:szCs w:val="24"/>
        </w:rPr>
        <w:t xml:space="preserve">pela</w:t>
      </w:r>
      <w:r>
        <w:rPr>
          <w:spacing w:val="-4"/>
          <w:sz w:val="24"/>
          <w:szCs w:val="24"/>
        </w:rPr>
        <w:t xml:space="preserve"> </w:t>
      </w:r>
      <w:r>
        <w:rPr>
          <w:sz w:val="24"/>
          <w:szCs w:val="24"/>
        </w:rPr>
        <w:t xml:space="preserve">Lei</w:t>
      </w:r>
      <w:r>
        <w:rPr>
          <w:spacing w:val="-1"/>
          <w:sz w:val="24"/>
          <w:szCs w:val="24"/>
        </w:rPr>
        <w:t xml:space="preserve"> </w:t>
      </w:r>
      <w:r>
        <w:rPr>
          <w:sz w:val="24"/>
          <w:szCs w:val="24"/>
        </w:rPr>
        <w:t xml:space="preserve">nº</w:t>
      </w:r>
      <w:r>
        <w:rPr>
          <w:spacing w:val="-3"/>
          <w:sz w:val="24"/>
          <w:szCs w:val="24"/>
        </w:rPr>
        <w:t xml:space="preserve"> </w:t>
      </w:r>
      <w:r>
        <w:rPr>
          <w:sz w:val="24"/>
          <w:szCs w:val="24"/>
        </w:rPr>
        <w:t xml:space="preserve">9.854/99;</w:t>
      </w:r>
      <w:r>
        <w:rPr>
          <w:sz w:val="24"/>
          <w:szCs w:val="24"/>
        </w:rPr>
      </w:r>
    </w:p>
    <w:p>
      <w:pPr>
        <w:pStyle w:val="995"/>
        <w:pBdr/>
        <w:spacing/>
        <w:ind w:left="0"/>
        <w:rPr>
          <w:sz w:val="24"/>
          <w:szCs w:val="24"/>
        </w:rPr>
      </w:pPr>
      <w:r>
        <w:rPr>
          <w:sz w:val="24"/>
          <w:szCs w:val="24"/>
        </w:rPr>
      </w:r>
      <w:r>
        <w:rPr>
          <w:sz w:val="24"/>
          <w:szCs w:val="24"/>
        </w:rPr>
      </w:r>
    </w:p>
    <w:p>
      <w:pPr>
        <w:pStyle w:val="995"/>
        <w:widowControl w:val="false"/>
        <w:numPr>
          <w:ilvl w:val="0"/>
          <w:numId w:val="3"/>
        </w:numPr>
        <w:pBdr/>
        <w:tabs>
          <w:tab w:val="left" w:leader="none" w:pos="284"/>
          <w:tab w:val="left" w:leader="none" w:pos="426"/>
          <w:tab w:val="left" w:leader="none" w:pos="1092"/>
        </w:tabs>
        <w:spacing w:after="0" w:before="21"/>
        <w:ind w:firstLine="0" w:left="0"/>
        <w:contextualSpacing w:val="false"/>
        <w:rPr>
          <w:sz w:val="24"/>
          <w:szCs w:val="24"/>
        </w:rPr>
      </w:pPr>
      <w:r>
        <w:rPr>
          <w:sz w:val="24"/>
          <w:szCs w:val="24"/>
        </w:rPr>
        <w:t xml:space="preserve">-</w:t>
      </w:r>
      <w:r>
        <w:rPr>
          <w:spacing w:val="1"/>
          <w:sz w:val="24"/>
          <w:szCs w:val="24"/>
        </w:rPr>
        <w:t xml:space="preserve"> </w:t>
      </w:r>
      <w:r>
        <w:rPr>
          <w:sz w:val="24"/>
          <w:szCs w:val="24"/>
        </w:rPr>
        <w:t xml:space="preserve">comprometo-me</w:t>
      </w:r>
      <w:r>
        <w:rPr>
          <w:spacing w:val="1"/>
          <w:sz w:val="24"/>
          <w:szCs w:val="24"/>
        </w:rPr>
        <w:t xml:space="preserve"> </w:t>
      </w:r>
      <w:r>
        <w:rPr>
          <w:sz w:val="24"/>
          <w:szCs w:val="24"/>
        </w:rPr>
        <w:t xml:space="preserve">a</w:t>
      </w:r>
      <w:r>
        <w:rPr>
          <w:spacing w:val="1"/>
          <w:sz w:val="24"/>
          <w:szCs w:val="24"/>
        </w:rPr>
        <w:t xml:space="preserve"> </w:t>
      </w:r>
      <w:r>
        <w:rPr>
          <w:b/>
          <w:sz w:val="24"/>
          <w:szCs w:val="24"/>
        </w:rPr>
        <w:t xml:space="preserve">manter</w:t>
      </w:r>
      <w:r>
        <w:rPr>
          <w:spacing w:val="1"/>
          <w:sz w:val="24"/>
          <w:szCs w:val="24"/>
        </w:rPr>
        <w:t xml:space="preserve"> </w:t>
      </w:r>
      <w:r>
        <w:rPr>
          <w:sz w:val="24"/>
          <w:szCs w:val="24"/>
        </w:rPr>
        <w:t xml:space="preserve">durante</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execução</w:t>
      </w:r>
      <w:r>
        <w:rPr>
          <w:spacing w:val="1"/>
          <w:sz w:val="24"/>
          <w:szCs w:val="24"/>
        </w:rPr>
        <w:t xml:space="preserve"> </w:t>
      </w:r>
      <w:r>
        <w:rPr>
          <w:sz w:val="24"/>
          <w:szCs w:val="24"/>
        </w:rPr>
        <w:t xml:space="preserve">da ATA DE REGISTRO DE PREÇOS,</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compatibilidade</w:t>
      </w:r>
      <w:r>
        <w:rPr>
          <w:spacing w:val="13"/>
          <w:sz w:val="24"/>
          <w:szCs w:val="24"/>
        </w:rPr>
        <w:t xml:space="preserve"> </w:t>
      </w:r>
      <w:r>
        <w:rPr>
          <w:sz w:val="24"/>
          <w:szCs w:val="24"/>
        </w:rPr>
        <w:t xml:space="preserve">com</w:t>
      </w:r>
      <w:r>
        <w:rPr>
          <w:spacing w:val="9"/>
          <w:sz w:val="24"/>
          <w:szCs w:val="24"/>
        </w:rPr>
        <w:t xml:space="preserve"> </w:t>
      </w:r>
      <w:r>
        <w:rPr>
          <w:sz w:val="24"/>
          <w:szCs w:val="24"/>
        </w:rPr>
        <w:t xml:space="preserve">as</w:t>
      </w:r>
      <w:r>
        <w:rPr>
          <w:spacing w:val="14"/>
          <w:sz w:val="24"/>
          <w:szCs w:val="24"/>
        </w:rPr>
        <w:t xml:space="preserve"> </w:t>
      </w:r>
      <w:r>
        <w:rPr>
          <w:sz w:val="24"/>
          <w:szCs w:val="24"/>
        </w:rPr>
        <w:t xml:space="preserve">obrigações</w:t>
      </w:r>
      <w:r>
        <w:rPr>
          <w:spacing w:val="11"/>
          <w:sz w:val="24"/>
          <w:szCs w:val="24"/>
        </w:rPr>
        <w:t xml:space="preserve"> </w:t>
      </w:r>
      <w:r>
        <w:rPr>
          <w:sz w:val="24"/>
          <w:szCs w:val="24"/>
        </w:rPr>
        <w:t xml:space="preserve">assumidas,</w:t>
      </w:r>
      <w:r>
        <w:rPr>
          <w:spacing w:val="11"/>
          <w:sz w:val="24"/>
          <w:szCs w:val="24"/>
        </w:rPr>
        <w:t xml:space="preserve"> </w:t>
      </w:r>
      <w:r>
        <w:rPr>
          <w:b/>
          <w:sz w:val="24"/>
          <w:szCs w:val="24"/>
        </w:rPr>
        <w:t xml:space="preserve">TODAS</w:t>
      </w:r>
      <w:r>
        <w:rPr>
          <w:b/>
          <w:spacing w:val="12"/>
          <w:sz w:val="24"/>
          <w:szCs w:val="24"/>
        </w:rPr>
        <w:t xml:space="preserve"> </w:t>
      </w:r>
      <w:r>
        <w:rPr>
          <w:b/>
          <w:sz w:val="24"/>
          <w:szCs w:val="24"/>
        </w:rPr>
        <w:t xml:space="preserve">AS</w:t>
      </w:r>
      <w:r>
        <w:rPr>
          <w:b/>
          <w:spacing w:val="11"/>
          <w:sz w:val="24"/>
          <w:szCs w:val="24"/>
        </w:rPr>
        <w:t xml:space="preserve"> </w:t>
      </w:r>
      <w:r>
        <w:rPr>
          <w:b/>
          <w:sz w:val="24"/>
          <w:szCs w:val="24"/>
        </w:rPr>
        <w:t xml:space="preserve">CONDIÇÕES</w:t>
      </w:r>
      <w:r>
        <w:rPr>
          <w:b/>
          <w:spacing w:val="13"/>
          <w:sz w:val="24"/>
          <w:szCs w:val="24"/>
        </w:rPr>
        <w:t xml:space="preserve"> </w:t>
      </w:r>
      <w:r>
        <w:rPr>
          <w:b/>
          <w:sz w:val="24"/>
          <w:szCs w:val="24"/>
        </w:rPr>
        <w:t xml:space="preserve">DE</w:t>
      </w:r>
      <w:r>
        <w:rPr>
          <w:b/>
          <w:spacing w:val="14"/>
          <w:sz w:val="24"/>
          <w:szCs w:val="24"/>
        </w:rPr>
        <w:t xml:space="preserve"> </w:t>
      </w:r>
      <w:r>
        <w:rPr>
          <w:b/>
          <w:sz w:val="24"/>
          <w:szCs w:val="24"/>
        </w:rPr>
        <w:t xml:space="preserve">HABILITAÇÃO </w:t>
      </w:r>
      <w:r>
        <w:rPr>
          <w:b/>
          <w:spacing w:val="-59"/>
          <w:sz w:val="24"/>
          <w:szCs w:val="24"/>
        </w:rPr>
        <w:t xml:space="preserve"> </w:t>
      </w:r>
      <w:r>
        <w:rPr>
          <w:b/>
          <w:sz w:val="24"/>
          <w:szCs w:val="24"/>
        </w:rPr>
        <w:t xml:space="preserve">E</w:t>
      </w:r>
      <w:r>
        <w:rPr>
          <w:b/>
          <w:spacing w:val="-2"/>
          <w:sz w:val="24"/>
          <w:szCs w:val="24"/>
        </w:rPr>
        <w:t xml:space="preserve"> </w:t>
      </w:r>
      <w:r>
        <w:rPr>
          <w:b/>
          <w:sz w:val="24"/>
          <w:szCs w:val="24"/>
        </w:rPr>
        <w:t xml:space="preserve">QUALIFICAÇÃO</w:t>
      </w:r>
      <w:r>
        <w:rPr>
          <w:spacing w:val="-2"/>
          <w:sz w:val="24"/>
          <w:szCs w:val="24"/>
        </w:rPr>
        <w:t xml:space="preserve"> </w:t>
      </w:r>
      <w:r>
        <w:rPr>
          <w:sz w:val="24"/>
          <w:szCs w:val="24"/>
        </w:rPr>
        <w:t xml:space="preserve">exigidas</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licitação;</w:t>
      </w:r>
      <w:r>
        <w:rPr>
          <w:sz w:val="24"/>
          <w:szCs w:val="24"/>
        </w:rPr>
      </w:r>
    </w:p>
    <w:p>
      <w:pPr>
        <w:pStyle w:val="995"/>
        <w:widowControl w:val="false"/>
        <w:pBdr/>
        <w:tabs>
          <w:tab w:val="left" w:leader="none" w:pos="1092"/>
        </w:tabs>
        <w:spacing w:before="21"/>
        <w:ind w:left="0"/>
        <w:contextualSpacing w:val="false"/>
        <w:rPr>
          <w:sz w:val="24"/>
          <w:szCs w:val="24"/>
        </w:rPr>
      </w:pPr>
      <w:r>
        <w:rPr>
          <w:sz w:val="24"/>
          <w:szCs w:val="24"/>
        </w:rPr>
      </w:r>
      <w:r>
        <w:rPr>
          <w:sz w:val="24"/>
          <w:szCs w:val="24"/>
        </w:rPr>
      </w:r>
    </w:p>
    <w:p>
      <w:pPr>
        <w:pStyle w:val="995"/>
        <w:widowControl w:val="false"/>
        <w:pBdr/>
        <w:tabs>
          <w:tab w:val="left" w:leader="none" w:pos="1092"/>
        </w:tabs>
        <w:spacing w:before="21"/>
        <w:ind w:left="0"/>
        <w:contextualSpacing w:val="false"/>
        <w:rPr>
          <w:sz w:val="24"/>
          <w:szCs w:val="24"/>
        </w:rPr>
      </w:pPr>
      <w:r>
        <w:rPr>
          <w:b/>
          <w:sz w:val="24"/>
          <w:szCs w:val="24"/>
        </w:rPr>
        <w:t xml:space="preserve">IX</w:t>
      </w:r>
      <w:r>
        <w:rPr>
          <w:sz w:val="24"/>
          <w:szCs w:val="24"/>
        </w:rPr>
        <w:t xml:space="preserve"> - </w:t>
      </w:r>
      <w:r>
        <w:rPr>
          <w:b/>
          <w:sz w:val="24"/>
          <w:szCs w:val="24"/>
        </w:rPr>
        <w:t xml:space="preserve">não</w:t>
      </w:r>
      <w:r>
        <w:rPr>
          <w:b/>
          <w:sz w:val="24"/>
          <w:szCs w:val="24"/>
        </w:rPr>
        <w:t xml:space="preserve"> POSSUÍMOS POSSUO </w:t>
      </w:r>
      <w:r>
        <w:rPr>
          <w:rFonts w:eastAsiaTheme="minorHAnsi"/>
          <w:b/>
          <w:sz w:val="24"/>
          <w:szCs w:val="24"/>
          <w:lang w:eastAsia="en-US"/>
        </w:rPr>
        <w:t xml:space="preserve">MATRIMÔNIO OU PARENTESCO, A FIM OU CONSANGUÍNEO, ATÉ O SEGUNDO GRAU, OU POR ADOÇÃO</w:t>
      </w:r>
      <w:r>
        <w:rPr>
          <w:sz w:val="24"/>
          <w:szCs w:val="24"/>
        </w:rPr>
        <w:t xml:space="preserve">, com o </w:t>
      </w:r>
      <w:r>
        <w:rPr>
          <w:rFonts w:eastAsiaTheme="minorHAnsi"/>
          <w:sz w:val="24"/>
          <w:szCs w:val="24"/>
          <w:lang w:eastAsia="en-US"/>
        </w:rPr>
        <w:t xml:space="preserve">Prefeito, o Vice-Prefeito, os Vereadores e os Servidores Municipais de Rio das </w:t>
      </w:r>
      <w:r>
        <w:rPr>
          <w:rFonts w:eastAsiaTheme="minorHAnsi"/>
          <w:sz w:val="24"/>
          <w:szCs w:val="24"/>
          <w:lang w:eastAsia="en-US"/>
        </w:rPr>
        <w:t xml:space="preserve">Flôres</w:t>
      </w:r>
      <w:r>
        <w:rPr>
          <w:rFonts w:eastAsiaTheme="minorHAnsi"/>
          <w:sz w:val="24"/>
          <w:szCs w:val="24"/>
          <w:lang w:eastAsia="en-US"/>
        </w:rPr>
        <w:t xml:space="preserve">, bem como as pessoas ligadas a qualquer deles, em conformidade com o art. 104, Lei Orgânica do Município de Rio das </w:t>
      </w:r>
      <w:r>
        <w:rPr>
          <w:rFonts w:eastAsiaTheme="minorHAnsi"/>
          <w:sz w:val="24"/>
          <w:szCs w:val="24"/>
          <w:lang w:eastAsia="en-US"/>
        </w:rPr>
        <w:t xml:space="preserve">Flôres</w:t>
      </w:r>
      <w:r>
        <w:rPr>
          <w:rFonts w:eastAsiaTheme="minorHAnsi"/>
          <w:sz w:val="24"/>
          <w:szCs w:val="24"/>
          <w:lang w:eastAsia="en-US"/>
        </w:rPr>
        <w:t xml:space="preserve">, </w:t>
      </w:r>
      <w:r>
        <w:rPr>
          <w:sz w:val="24"/>
          <w:szCs w:val="24"/>
        </w:rPr>
        <w:t xml:space="preserve">no presente proc</w:t>
      </w:r>
      <w:r>
        <w:rPr>
          <w:sz w:val="24"/>
          <w:szCs w:val="24"/>
        </w:rPr>
        <w:t xml:space="preserve">esso licitatório, estando ciente da obrigatoriedade de declarar ocorrências posteriores. Declara, ademais, que não possui em seu quadro societário servidor público da ativa, ou empregado de empresa pública, ou de sociedade mista, com esse órgão celebrante;</w:t>
      </w:r>
      <w:r>
        <w:rPr>
          <w:sz w:val="24"/>
          <w:szCs w:val="24"/>
        </w:rPr>
      </w:r>
    </w:p>
    <w:p>
      <w:pPr>
        <w:pStyle w:val="995"/>
        <w:widowControl w:val="false"/>
        <w:pBdr/>
        <w:tabs>
          <w:tab w:val="left" w:leader="none" w:pos="1092"/>
        </w:tabs>
        <w:spacing w:after="0" w:before="0"/>
        <w:ind w:left="0"/>
        <w:contextualSpacing w:val="false"/>
        <w:rPr>
          <w:sz w:val="24"/>
          <w:szCs w:val="24"/>
        </w:rPr>
      </w:pPr>
      <w:r>
        <w:rPr>
          <w:sz w:val="24"/>
          <w:szCs w:val="24"/>
        </w:rPr>
      </w:r>
      <w:r>
        <w:rPr>
          <w:sz w:val="24"/>
          <w:szCs w:val="24"/>
        </w:rPr>
      </w:r>
    </w:p>
    <w:p>
      <w:pPr>
        <w:pStyle w:val="995"/>
        <w:widowControl w:val="false"/>
        <w:pBdr/>
        <w:tabs>
          <w:tab w:val="left" w:leader="none" w:pos="1092"/>
        </w:tabs>
        <w:spacing w:before="21"/>
        <w:ind w:left="0"/>
        <w:contextualSpacing w:val="false"/>
        <w:rPr>
          <w:bCs/>
          <w:sz w:val="24"/>
          <w:szCs w:val="24"/>
        </w:rPr>
      </w:pPr>
      <w:r>
        <w:rPr>
          <w:b/>
          <w:sz w:val="24"/>
          <w:szCs w:val="24"/>
        </w:rPr>
        <w:t xml:space="preserve">X</w:t>
      </w:r>
      <w:r>
        <w:rPr>
          <w:sz w:val="24"/>
          <w:szCs w:val="24"/>
        </w:rPr>
        <w:t xml:space="preserve"> - </w:t>
      </w:r>
      <w:r>
        <w:rPr>
          <w:b/>
          <w:bCs/>
          <w:sz w:val="24"/>
          <w:szCs w:val="24"/>
        </w:rPr>
        <w:t xml:space="preserve">não</w:t>
      </w:r>
      <w:r>
        <w:rPr>
          <w:b/>
          <w:bCs/>
          <w:sz w:val="24"/>
          <w:szCs w:val="24"/>
        </w:rPr>
        <w:t xml:space="preserve"> POSSUÍMOS, EM NOSSA CADEIA PRODUTIVA, EMPREGADOS EXECUTANDO TRABALHO DEGRADANTE OU FORÇADO</w:t>
      </w:r>
      <w:r>
        <w:rPr>
          <w:bCs/>
          <w:sz w:val="24"/>
          <w:szCs w:val="24"/>
        </w:rPr>
        <w:t xml:space="preserve">, observando o disposto nos incisos III e IV do art. 1º e no inciso III do art. 5º da Constituição Federal;</w:t>
      </w:r>
      <w:r>
        <w:rPr>
          <w:bCs/>
          <w:sz w:val="24"/>
          <w:szCs w:val="24"/>
        </w:rPr>
      </w:r>
    </w:p>
    <w:p>
      <w:pPr>
        <w:pStyle w:val="995"/>
        <w:widowControl w:val="false"/>
        <w:pBdr/>
        <w:tabs>
          <w:tab w:val="left" w:leader="none" w:pos="1092"/>
        </w:tabs>
        <w:spacing w:after="0" w:before="0"/>
        <w:ind w:left="0"/>
        <w:contextualSpacing w:val="false"/>
        <w:rPr>
          <w:sz w:val="24"/>
          <w:szCs w:val="24"/>
        </w:rPr>
      </w:pPr>
      <w:r>
        <w:rPr>
          <w:sz w:val="24"/>
          <w:szCs w:val="24"/>
        </w:rPr>
      </w:r>
      <w:r>
        <w:rPr>
          <w:sz w:val="24"/>
          <w:szCs w:val="24"/>
        </w:rPr>
      </w:r>
    </w:p>
    <w:p>
      <w:pPr>
        <w:pStyle w:val="995"/>
        <w:widowControl w:val="false"/>
        <w:pBdr/>
        <w:tabs>
          <w:tab w:val="left" w:leader="none" w:pos="1092"/>
        </w:tabs>
        <w:spacing w:before="21"/>
        <w:ind w:left="0"/>
        <w:contextualSpacing w:val="false"/>
        <w:rPr>
          <w:sz w:val="24"/>
          <w:szCs w:val="24"/>
          <w:lang w:eastAsia="en-US"/>
        </w:rPr>
      </w:pPr>
      <w:r>
        <w:rPr>
          <w:b/>
          <w:sz w:val="24"/>
          <w:szCs w:val="24"/>
        </w:rPr>
        <w:t xml:space="preserve">XI</w:t>
      </w:r>
      <w:r>
        <w:rPr>
          <w:sz w:val="24"/>
          <w:szCs w:val="24"/>
        </w:rPr>
        <w:t xml:space="preserve"> - </w:t>
      </w:r>
      <w:r>
        <w:rPr>
          <w:b/>
          <w:sz w:val="24"/>
          <w:szCs w:val="24"/>
        </w:rPr>
        <w:t xml:space="preserve">cumpro O ART. 93 DA LEI FEDERAL Nº 8.213/91 </w:t>
      </w:r>
      <w:r>
        <w:rPr>
          <w:b/>
          <w:sz w:val="24"/>
          <w:szCs w:val="24"/>
          <w:lang w:eastAsia="en-US"/>
        </w:rPr>
        <w:t xml:space="preserve">QUE PREVÊ A PROIBIÇÃO DE QUALQUER ATO DISCRIMINATÓRIO NO TOCANTE A SALÁRIO OU CRITÉRIO DE ADMISSÃO DO EMPREGO EM VIRTUDE DE PORTAR DEFICIÊNCIA</w:t>
      </w:r>
      <w:r>
        <w:rPr>
          <w:sz w:val="24"/>
          <w:szCs w:val="24"/>
          <w:lang w:eastAsia="en-US"/>
        </w:rPr>
        <w:t xml:space="preserve">, e, ainda, a empresa (licitante) com 100 (cem) ou mais empregados está obrigada a preencher de 2</w:t>
      </w:r>
      <w:r>
        <w:rPr>
          <w:sz w:val="24"/>
          <w:szCs w:val="24"/>
          <w:lang w:eastAsia="en-US"/>
        </w:rPr>
        <w:t xml:space="preserve">%(</w:t>
      </w:r>
      <w:r>
        <w:rPr>
          <w:sz w:val="24"/>
          <w:szCs w:val="24"/>
          <w:lang w:eastAsia="en-US"/>
        </w:rPr>
        <w:t xml:space="preserve">dois porcento) a 5</w:t>
      </w:r>
      <w:r>
        <w:rPr>
          <w:sz w:val="24"/>
          <w:szCs w:val="24"/>
          <w:lang w:eastAsia="en-US"/>
        </w:rPr>
        <w:t xml:space="preserve">%(</w:t>
      </w:r>
      <w:r>
        <w:rPr>
          <w:sz w:val="24"/>
          <w:szCs w:val="24"/>
          <w:lang w:eastAsia="en-US"/>
        </w:rPr>
        <w:t xml:space="preserve">cinco por cento) dos seus cargos com beneficiários reabilitados ou pessoas portadoras de deficiência, habilitadas;</w:t>
      </w:r>
      <w:r>
        <w:rPr>
          <w:sz w:val="24"/>
          <w:szCs w:val="24"/>
          <w:lang w:eastAsia="en-US"/>
        </w:rPr>
      </w:r>
    </w:p>
    <w:p>
      <w:pPr>
        <w:pStyle w:val="995"/>
        <w:widowControl w:val="false"/>
        <w:pBdr/>
        <w:tabs>
          <w:tab w:val="left" w:leader="none" w:pos="1092"/>
        </w:tabs>
        <w:spacing w:before="21"/>
        <w:ind w:left="0"/>
        <w:contextualSpacing w:val="false"/>
        <w:rPr>
          <w:sz w:val="24"/>
          <w:szCs w:val="24"/>
          <w:lang w:eastAsia="en-US"/>
        </w:rPr>
      </w:pPr>
      <w:r>
        <w:rPr>
          <w:b/>
          <w:sz w:val="24"/>
          <w:szCs w:val="24"/>
        </w:rPr>
        <w:t xml:space="preserve">XII- </w:t>
      </w:r>
      <w:r>
        <w:rPr>
          <w:sz w:val="24"/>
          <w:szCs w:val="24"/>
        </w:rPr>
        <w:t xml:space="preserve">cumpre as exigências de reserva de cargos para pessoa com deficiência e para reabilitado da Previdência Social, previstas em lei e em outras normas específicas</w:t>
      </w:r>
      <w:r>
        <w:rPr>
          <w:sz w:val="24"/>
          <w:szCs w:val="24"/>
          <w:lang w:eastAsia="en-US"/>
        </w:rPr>
      </w:r>
    </w:p>
    <w:p>
      <w:pPr>
        <w:pStyle w:val="995"/>
        <w:widowControl w:val="false"/>
        <w:pBdr/>
        <w:tabs>
          <w:tab w:val="left" w:leader="none" w:pos="1092"/>
        </w:tabs>
        <w:spacing w:after="0" w:before="0"/>
        <w:ind w:left="0"/>
        <w:contextualSpacing w:val="false"/>
        <w:rPr>
          <w:sz w:val="24"/>
          <w:szCs w:val="24"/>
          <w:lang w:eastAsia="en-US"/>
        </w:rPr>
      </w:pPr>
      <w:r>
        <w:rPr>
          <w:sz w:val="24"/>
          <w:szCs w:val="24"/>
          <w:lang w:eastAsia="en-US"/>
        </w:rPr>
      </w:r>
      <w:r>
        <w:rPr>
          <w:sz w:val="24"/>
          <w:szCs w:val="24"/>
          <w:lang w:eastAsia="en-US"/>
        </w:rPr>
      </w:r>
    </w:p>
    <w:p>
      <w:pPr>
        <w:pStyle w:val="995"/>
        <w:widowControl w:val="false"/>
        <w:pBdr/>
        <w:tabs>
          <w:tab w:val="left" w:leader="none" w:pos="1092"/>
        </w:tabs>
        <w:spacing w:before="21"/>
        <w:ind w:left="0"/>
        <w:contextualSpacing w:val="false"/>
        <w:rPr>
          <w:sz w:val="24"/>
          <w:szCs w:val="24"/>
          <w:lang w:eastAsia="en-US"/>
        </w:rPr>
      </w:pPr>
      <w:r>
        <w:rPr>
          <w:b/>
          <w:sz w:val="24"/>
          <w:szCs w:val="24"/>
        </w:rPr>
        <w:t xml:space="preserve">XIII-</w:t>
      </w:r>
      <w:r>
        <w:rPr>
          <w:sz w:val="24"/>
          <w:szCs w:val="24"/>
        </w:rPr>
        <w:t xml:space="preserve"> sob as sanções administrativas cabíveis, inclusive as criminais, e sob as penas da lei, que </w:t>
      </w:r>
      <w:r>
        <w:rPr>
          <w:b/>
          <w:sz w:val="24"/>
          <w:szCs w:val="24"/>
        </w:rPr>
        <w:t xml:space="preserve">TODA DOCUMENTAÇÃO ANEXADA AO SISTEMA SÃO AUTÊNTICAS</w:t>
      </w:r>
      <w:r>
        <w:rPr>
          <w:sz w:val="24"/>
          <w:szCs w:val="24"/>
        </w:rPr>
        <w:t xml:space="preserve">, igualmente sendo expressão da verdade a informação por mim prestada, estou ciente que esta declaração estará sujeita as penalidades da Lei, conforme dispõe o art. 299 do Código Penal Brasileiro, que prevê o crime de falsidade ideológica;</w:t>
      </w:r>
      <w:r>
        <w:rPr>
          <w:sz w:val="24"/>
          <w:szCs w:val="24"/>
          <w:lang w:eastAsia="en-US"/>
        </w:rPr>
      </w:r>
    </w:p>
    <w:p>
      <w:pPr>
        <w:pStyle w:val="995"/>
        <w:widowControl w:val="false"/>
        <w:pBdr/>
        <w:tabs>
          <w:tab w:val="left" w:leader="none" w:pos="1092"/>
        </w:tabs>
        <w:spacing w:after="0" w:before="0"/>
        <w:ind w:left="0"/>
        <w:contextualSpacing w:val="false"/>
        <w:rPr>
          <w:sz w:val="24"/>
          <w:szCs w:val="24"/>
          <w:lang w:eastAsia="en-US"/>
        </w:rPr>
      </w:pPr>
      <w:r>
        <w:rPr>
          <w:sz w:val="24"/>
          <w:szCs w:val="24"/>
          <w:lang w:eastAsia="en-US"/>
        </w:rPr>
      </w:r>
      <w:r>
        <w:rPr>
          <w:sz w:val="24"/>
          <w:szCs w:val="24"/>
          <w:lang w:eastAsia="en-US"/>
        </w:rPr>
      </w:r>
    </w:p>
    <w:p>
      <w:pPr>
        <w:pStyle w:val="995"/>
        <w:widowControl w:val="false"/>
        <w:pBdr/>
        <w:tabs>
          <w:tab w:val="left" w:leader="none" w:pos="1092"/>
        </w:tabs>
        <w:spacing w:before="21"/>
        <w:ind w:left="0"/>
        <w:contextualSpacing w:val="false"/>
        <w:rPr>
          <w:sz w:val="24"/>
          <w:szCs w:val="24"/>
        </w:rPr>
      </w:pPr>
      <w:r>
        <w:rPr>
          <w:b/>
          <w:sz w:val="24"/>
          <w:szCs w:val="24"/>
        </w:rPr>
        <w:t xml:space="preserve">XIV -</w:t>
      </w:r>
      <w:r>
        <w:rPr>
          <w:sz w:val="24"/>
          <w:szCs w:val="24"/>
        </w:rPr>
        <w:t xml:space="preserve"> sob as penas da Lei federal nº 6.938/1981, na qualidade de proponente do procedimento licitatório, sob a modalidade Pregão Eletrônico, instaurado pelo Processo Administrativo, que </w:t>
      </w:r>
      <w:r>
        <w:rPr>
          <w:b/>
          <w:sz w:val="24"/>
          <w:szCs w:val="24"/>
        </w:rPr>
        <w:t xml:space="preserve">ATENDEMOS AOS CRITÉRIOS DE QUALIDADE AMBIENTAL E SUSTENTABILIDADE SOCIOAMBIENTAL, RESPEITANDO AS NORMAS DE PROTEÇÃO DO MEIO AMBIENTE</w:t>
      </w:r>
      <w:r>
        <w:rPr>
          <w:sz w:val="24"/>
          <w:szCs w:val="24"/>
        </w:rPr>
        <w:t xml:space="preserve">;</w:t>
      </w:r>
      <w:r>
        <w:rPr>
          <w:sz w:val="24"/>
          <w:szCs w:val="24"/>
        </w:rPr>
      </w:r>
    </w:p>
    <w:p>
      <w:pPr>
        <w:pStyle w:val="995"/>
        <w:widowControl w:val="false"/>
        <w:pBdr/>
        <w:tabs>
          <w:tab w:val="left" w:leader="none" w:pos="1092"/>
        </w:tabs>
        <w:spacing w:after="0" w:before="0"/>
        <w:ind w:left="0"/>
        <w:contextualSpacing w:val="false"/>
        <w:rPr>
          <w:sz w:val="24"/>
          <w:szCs w:val="24"/>
        </w:rPr>
      </w:pPr>
      <w:r>
        <w:rPr>
          <w:sz w:val="24"/>
          <w:szCs w:val="24"/>
        </w:rPr>
      </w:r>
      <w:r>
        <w:rPr>
          <w:sz w:val="24"/>
          <w:szCs w:val="24"/>
        </w:rPr>
      </w:r>
    </w:p>
    <w:p>
      <w:pPr>
        <w:pStyle w:val="995"/>
        <w:widowControl w:val="false"/>
        <w:pBdr/>
        <w:tabs>
          <w:tab w:val="left" w:leader="none" w:pos="1092"/>
        </w:tabs>
        <w:spacing w:before="21"/>
        <w:ind w:left="0"/>
        <w:contextualSpacing w:val="false"/>
        <w:rPr>
          <w:sz w:val="24"/>
          <w:szCs w:val="24"/>
        </w:rPr>
      </w:pPr>
      <w:r>
        <w:rPr>
          <w:b/>
          <w:sz w:val="24"/>
          <w:szCs w:val="24"/>
          <w:lang w:eastAsia="en-US"/>
        </w:rPr>
        <w:t xml:space="preserve">XV -</w:t>
      </w:r>
      <w:r>
        <w:rPr>
          <w:sz w:val="24"/>
          <w:szCs w:val="24"/>
          <w:lang w:eastAsia="en-US"/>
        </w:rPr>
        <w:t xml:space="preserve"> e</w:t>
      </w:r>
      <w:r>
        <w:rPr>
          <w:sz w:val="24"/>
          <w:szCs w:val="24"/>
        </w:rPr>
        <w:t xml:space="preserve">stou ciente da obrigatoriedade da apresentação das declarações e</w:t>
      </w:r>
      <w:r>
        <w:rPr>
          <w:sz w:val="24"/>
          <w:szCs w:val="24"/>
        </w:rPr>
        <w:t xml:space="preserve"> certidões pertinentes dos órgãos competentes quando solicitadas como requisito para habilitação e da obrigatoriedade do cumprimento integral ao que estabelece o art. 6º e seus incisos, da Instrução Normativa nº 01, de 19 de janeiro de 2010, do Ministério </w:t>
      </w:r>
      <w:r>
        <w:rPr>
          <w:sz w:val="24"/>
          <w:szCs w:val="24"/>
        </w:rPr>
        <w:t xml:space="preserve">do</w:t>
      </w:r>
      <w:r>
        <w:rPr>
          <w:sz w:val="24"/>
          <w:szCs w:val="24"/>
        </w:rPr>
        <w:t xml:space="preserve"> Educação, Orçamento e Gestão – MPOG e Decreto nº 7.746 de 5 de junho de 2012, que estabelece critérios, práticas e diretrizes para a </w:t>
      </w:r>
      <w:r>
        <w:rPr>
          <w:b/>
          <w:sz w:val="24"/>
          <w:szCs w:val="24"/>
        </w:rPr>
        <w:t xml:space="preserve">promoção do desenvolvimento nacional sustentável</w:t>
      </w:r>
      <w:r>
        <w:rPr>
          <w:sz w:val="24"/>
          <w:szCs w:val="24"/>
        </w:rPr>
        <w:t xml:space="preserve">;</w:t>
      </w:r>
      <w:r>
        <w:rPr>
          <w:sz w:val="24"/>
          <w:szCs w:val="24"/>
        </w:rPr>
      </w:r>
    </w:p>
    <w:p>
      <w:pPr>
        <w:pStyle w:val="995"/>
        <w:widowControl w:val="false"/>
        <w:pBdr/>
        <w:tabs>
          <w:tab w:val="left" w:leader="none" w:pos="1092"/>
        </w:tabs>
        <w:spacing w:after="0" w:before="0"/>
        <w:ind w:left="0"/>
        <w:contextualSpacing w:val="false"/>
        <w:rPr>
          <w:sz w:val="24"/>
          <w:szCs w:val="24"/>
        </w:rPr>
      </w:pPr>
      <w:r>
        <w:rPr>
          <w:sz w:val="24"/>
          <w:szCs w:val="24"/>
        </w:rPr>
      </w:r>
      <w:r>
        <w:rPr>
          <w:sz w:val="24"/>
          <w:szCs w:val="24"/>
        </w:rPr>
      </w:r>
    </w:p>
    <w:p>
      <w:pPr>
        <w:pStyle w:val="995"/>
        <w:widowControl w:val="false"/>
        <w:pBdr/>
        <w:tabs>
          <w:tab w:val="left" w:leader="none" w:pos="1092"/>
        </w:tabs>
        <w:spacing w:before="21"/>
        <w:ind w:left="0"/>
        <w:contextualSpacing w:val="false"/>
        <w:rPr>
          <w:sz w:val="24"/>
          <w:szCs w:val="24"/>
          <w:lang w:eastAsia="en-US"/>
        </w:rPr>
      </w:pPr>
      <w:r>
        <w:rPr>
          <w:b/>
          <w:sz w:val="24"/>
          <w:szCs w:val="24"/>
        </w:rPr>
        <w:t xml:space="preserve">XVI -</w:t>
      </w:r>
      <w:r>
        <w:rPr>
          <w:sz w:val="24"/>
          <w:szCs w:val="24"/>
        </w:rPr>
        <w:t xml:space="preserve"> estou ciente da obrigatoriedade da apresentação do registro no </w:t>
      </w:r>
      <w:r>
        <w:rPr>
          <w:b/>
          <w:sz w:val="24"/>
          <w:szCs w:val="24"/>
        </w:rPr>
        <w:t xml:space="preserve">CADASTRO TÉCNICO FEDERAL DE ATIVIDADES POTENCIALMENTE POLUIDORAS OU UTILIZADORAS DE RECURSOS AMBIENTAIS</w:t>
      </w:r>
      <w:r>
        <w:rPr>
          <w:sz w:val="24"/>
          <w:szCs w:val="24"/>
        </w:rPr>
        <w:t xml:space="preserve"> caso minha empresa exerça uma das atividades constantes no Anexo II da Instrução Normativa nº 31, de 03 de dezembro de 2009, do IBAMA;</w:t>
      </w:r>
      <w:r>
        <w:rPr>
          <w:sz w:val="24"/>
          <w:szCs w:val="24"/>
          <w:lang w:eastAsia="en-US"/>
        </w:rPr>
      </w:r>
    </w:p>
    <w:p>
      <w:pPr>
        <w:pStyle w:val="995"/>
        <w:widowControl w:val="false"/>
        <w:pBdr/>
        <w:tabs>
          <w:tab w:val="left" w:leader="none" w:pos="1092"/>
        </w:tabs>
        <w:spacing w:after="0" w:before="0"/>
        <w:ind w:left="0"/>
        <w:contextualSpacing w:val="false"/>
        <w:rPr>
          <w:b/>
          <w:sz w:val="24"/>
          <w:szCs w:val="24"/>
          <w:lang w:eastAsia="en-US"/>
        </w:rPr>
      </w:pPr>
      <w:r>
        <w:rPr>
          <w:b/>
          <w:sz w:val="24"/>
          <w:szCs w:val="24"/>
          <w:lang w:eastAsia="en-US"/>
        </w:rPr>
      </w:r>
      <w:r>
        <w:rPr>
          <w:b/>
          <w:sz w:val="24"/>
          <w:szCs w:val="24"/>
          <w:lang w:eastAsia="en-US"/>
        </w:rPr>
      </w:r>
    </w:p>
    <w:p>
      <w:pPr>
        <w:pBdr/>
        <w:spacing w:before="101"/>
        <w:ind/>
        <w:rPr>
          <w:b/>
          <w:color w:val="000000" w:themeColor="text1"/>
          <w:sz w:val="24"/>
          <w:szCs w:val="24"/>
        </w:rPr>
      </w:pPr>
      <w:r>
        <w:rPr>
          <w:b/>
          <w:color w:val="000000" w:themeColor="text1"/>
          <w:sz w:val="24"/>
          <w:szCs w:val="24"/>
        </w:rPr>
        <w:t xml:space="preserve">XVII – </w:t>
      </w:r>
      <w:r>
        <w:rPr>
          <w:color w:val="000000" w:themeColor="text1"/>
          <w:sz w:val="24"/>
          <w:szCs w:val="24"/>
        </w:rPr>
        <w:t xml:space="preserve">que </w:t>
      </w:r>
      <w:r>
        <w:rPr>
          <w:rFonts w:cs="Arial"/>
          <w:color w:val="000000" w:themeColor="text1"/>
          <w:sz w:val="24"/>
          <w:szCs w:val="24"/>
        </w:rPr>
        <w:t xml:space="preserve">nos 5 (cinco) anos anteriores à divulgaç</w:t>
      </w:r>
      <w:r>
        <w:rPr>
          <w:rFonts w:cs="Arial"/>
          <w:color w:val="000000" w:themeColor="text1"/>
          <w:sz w:val="24"/>
          <w:szCs w:val="24"/>
        </w:rPr>
        <w:t xml:space="preserve">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b/>
          <w:color w:val="000000" w:themeColor="text1"/>
          <w:sz w:val="24"/>
          <w:szCs w:val="24"/>
        </w:rPr>
        <w:t xml:space="preserve">  </w:t>
      </w:r>
      <w:r>
        <w:rPr>
          <w:b/>
          <w:color w:val="000000" w:themeColor="text1"/>
          <w:sz w:val="24"/>
          <w:szCs w:val="24"/>
        </w:rPr>
      </w:r>
    </w:p>
    <w:p>
      <w:pPr>
        <w:pBdr/>
        <w:spacing w:before="101"/>
        <w:ind/>
        <w:rPr>
          <w:b/>
          <w:sz w:val="24"/>
          <w:szCs w:val="24"/>
          <w:u w:val="single"/>
        </w:rPr>
      </w:pPr>
      <w:r>
        <w:rPr>
          <w:b/>
          <w:sz w:val="24"/>
          <w:szCs w:val="24"/>
          <w:u w:val="single"/>
        </w:rPr>
      </w:r>
      <w:r>
        <w:rPr>
          <w:b/>
          <w:sz w:val="24"/>
          <w:szCs w:val="24"/>
          <w:u w:val="single"/>
        </w:rPr>
      </w:r>
    </w:p>
    <w:p>
      <w:pPr>
        <w:pBdr/>
        <w:spacing w:before="101"/>
        <w:ind/>
        <w:rPr>
          <w:sz w:val="24"/>
          <w:szCs w:val="24"/>
        </w:rPr>
      </w:pPr>
      <w:r>
        <w:rPr>
          <w:b/>
          <w:sz w:val="24"/>
          <w:szCs w:val="24"/>
          <w:u w:val="single"/>
        </w:rPr>
        <w:t xml:space="preserve">XVIII - se</w:t>
      </w:r>
      <w:r>
        <w:rPr>
          <w:sz w:val="24"/>
          <w:szCs w:val="24"/>
          <w:u w:val="single"/>
        </w:rPr>
        <w:t xml:space="preserve"> </w:t>
      </w:r>
      <w:r>
        <w:rPr>
          <w:b/>
          <w:sz w:val="24"/>
          <w:szCs w:val="24"/>
          <w:u w:val="single"/>
        </w:rPr>
        <w:t xml:space="preserve">ENQUADRA NA</w:t>
      </w:r>
      <w:r>
        <w:rPr>
          <w:b/>
          <w:spacing w:val="1"/>
          <w:sz w:val="24"/>
          <w:szCs w:val="24"/>
          <w:u w:val="single"/>
        </w:rPr>
        <w:t xml:space="preserve"> </w:t>
      </w:r>
      <w:r>
        <w:rPr>
          <w:b/>
          <w:sz w:val="24"/>
          <w:szCs w:val="24"/>
          <w:u w:val="single"/>
        </w:rPr>
        <w:t xml:space="preserve">SITUAÇÃO DE MICROEMPRESA, EMPRESA DE PEQUENO PORTE OU COOPERATIVA, NOS TERMOS</w:t>
      </w:r>
      <w:r>
        <w:rPr>
          <w:b/>
          <w:spacing w:val="1"/>
          <w:sz w:val="24"/>
          <w:szCs w:val="24"/>
          <w:u w:val="single"/>
        </w:rPr>
        <w:t xml:space="preserve"> </w:t>
      </w:r>
      <w:r>
        <w:rPr>
          <w:b/>
          <w:sz w:val="24"/>
          <w:szCs w:val="24"/>
          <w:u w:val="single"/>
        </w:rPr>
        <w:t xml:space="preserve">DA LEI COMPLEMENTAR Nº 123/06, ALTERADA PELA LEI COMPLEMENTAR Nº 147/14</w:t>
      </w:r>
      <w:r>
        <w:rPr>
          <w:sz w:val="24"/>
          <w:szCs w:val="24"/>
        </w:rPr>
        <w:t xml:space="preserve">, sob as penas do artigo 299 do Código Penal bem</w:t>
      </w:r>
      <w:r>
        <w:rPr>
          <w:spacing w:val="1"/>
          <w:sz w:val="24"/>
          <w:szCs w:val="24"/>
        </w:rPr>
        <w:t xml:space="preserve"> </w:t>
      </w:r>
      <w:r>
        <w:rPr>
          <w:sz w:val="24"/>
          <w:szCs w:val="24"/>
        </w:rPr>
        <w:t xml:space="preserve">assim que inexistem fatos supervenientes que conduzam ao seu </w:t>
      </w:r>
      <w:r>
        <w:rPr>
          <w:sz w:val="24"/>
          <w:szCs w:val="24"/>
        </w:rPr>
        <w:t xml:space="preserve">desenquadramento </w:t>
      </w:r>
      <w:r>
        <w:rPr>
          <w:spacing w:val="-58"/>
          <w:sz w:val="24"/>
          <w:szCs w:val="24"/>
        </w:rPr>
        <w:t xml:space="preserve"> </w:t>
      </w:r>
      <w:r>
        <w:rPr>
          <w:sz w:val="24"/>
          <w:szCs w:val="24"/>
        </w:rPr>
        <w:t xml:space="preserve">desta</w:t>
      </w:r>
      <w:r>
        <w:rPr>
          <w:spacing w:val="-3"/>
          <w:sz w:val="24"/>
          <w:szCs w:val="24"/>
        </w:rPr>
        <w:t xml:space="preserve"> </w:t>
      </w:r>
      <w:r>
        <w:rPr>
          <w:sz w:val="24"/>
          <w:szCs w:val="24"/>
        </w:rPr>
        <w:t xml:space="preserve">situação.</w:t>
      </w:r>
      <w:r>
        <w:rPr>
          <w:sz w:val="24"/>
          <w:szCs w:val="24"/>
        </w:rPr>
      </w:r>
    </w:p>
    <w:p>
      <w:pPr>
        <w:pStyle w:val="995"/>
        <w:widowControl w:val="false"/>
        <w:pBdr/>
        <w:tabs>
          <w:tab w:val="left" w:leader="none" w:pos="1092"/>
        </w:tabs>
        <w:spacing w:before="21"/>
        <w:ind w:left="0"/>
        <w:contextualSpacing w:val="false"/>
        <w:rPr>
          <w:sz w:val="24"/>
          <w:szCs w:val="24"/>
          <w:lang w:eastAsia="en-US"/>
        </w:rPr>
      </w:pPr>
      <w:r>
        <w:rPr>
          <w:b/>
          <w:sz w:val="24"/>
          <w:szCs w:val="24"/>
        </w:rPr>
        <w:t xml:space="preserve">NOTA:</w:t>
      </w:r>
      <w:r>
        <w:rPr>
          <w:sz w:val="24"/>
          <w:szCs w:val="24"/>
        </w:rPr>
        <w:t xml:space="preserve"> </w:t>
      </w:r>
      <w:r>
        <w:rPr>
          <w:b/>
          <w:sz w:val="24"/>
          <w:szCs w:val="24"/>
          <w:u w:val="single"/>
        </w:rPr>
        <w:t xml:space="preserve">Manter o item XVII, caso se enquadre na situação de microempresa, empresa de</w:t>
      </w:r>
      <w:r>
        <w:rPr>
          <w:b/>
          <w:spacing w:val="1"/>
          <w:sz w:val="24"/>
          <w:szCs w:val="24"/>
        </w:rPr>
        <w:t xml:space="preserve"> </w:t>
      </w:r>
      <w:r>
        <w:rPr>
          <w:b/>
          <w:sz w:val="24"/>
          <w:szCs w:val="24"/>
          <w:u w:val="single"/>
        </w:rPr>
        <w:t xml:space="preserve">pequeno</w:t>
      </w:r>
      <w:r>
        <w:rPr>
          <w:b/>
          <w:spacing w:val="-3"/>
          <w:sz w:val="24"/>
          <w:szCs w:val="24"/>
          <w:u w:val="single"/>
        </w:rPr>
        <w:t xml:space="preserve"> </w:t>
      </w:r>
      <w:r>
        <w:rPr>
          <w:b/>
          <w:sz w:val="24"/>
          <w:szCs w:val="24"/>
          <w:u w:val="single"/>
        </w:rPr>
        <w:t xml:space="preserve">porte</w:t>
      </w:r>
      <w:r>
        <w:rPr>
          <w:b/>
          <w:spacing w:val="-1"/>
          <w:sz w:val="24"/>
          <w:szCs w:val="24"/>
          <w:u w:val="single"/>
        </w:rPr>
        <w:t xml:space="preserve"> </w:t>
      </w:r>
      <w:r>
        <w:rPr>
          <w:b/>
          <w:sz w:val="24"/>
          <w:szCs w:val="24"/>
          <w:u w:val="single"/>
        </w:rPr>
        <w:t xml:space="preserve">ou</w:t>
      </w:r>
      <w:r>
        <w:rPr>
          <w:b/>
          <w:spacing w:val="-2"/>
          <w:sz w:val="24"/>
          <w:szCs w:val="24"/>
          <w:u w:val="single"/>
        </w:rPr>
        <w:t xml:space="preserve"> </w:t>
      </w:r>
      <w:r>
        <w:rPr>
          <w:b/>
          <w:sz w:val="24"/>
          <w:szCs w:val="24"/>
          <w:u w:val="single"/>
        </w:rPr>
        <w:t xml:space="preserve">cooperativa.</w:t>
      </w:r>
      <w:r>
        <w:rPr>
          <w:sz w:val="24"/>
          <w:szCs w:val="24"/>
          <w:lang w:eastAsia="en-US"/>
        </w:rPr>
      </w:r>
    </w:p>
    <w:p>
      <w:pPr>
        <w:pStyle w:val="995"/>
        <w:widowControl w:val="false"/>
        <w:pBdr/>
        <w:tabs>
          <w:tab w:val="left" w:leader="none" w:pos="1092"/>
        </w:tabs>
        <w:spacing w:before="21"/>
        <w:ind w:right="111" w:left="0"/>
        <w:contextualSpacing w:val="false"/>
        <w:rPr>
          <w:sz w:val="24"/>
          <w:szCs w:val="24"/>
        </w:rPr>
      </w:pPr>
      <w:r>
        <w:rPr>
          <w:sz w:val="24"/>
          <w:szCs w:val="24"/>
        </w:rPr>
        <w:t xml:space="preserve">Por ser expressão da verdade, firmamos o presente,</w:t>
      </w:r>
      <w:r>
        <w:rPr>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t xml:space="preserve">Rio das </w:t>
      </w:r>
      <w:r>
        <w:rPr>
          <w:sz w:val="24"/>
          <w:szCs w:val="24"/>
        </w:rPr>
        <w:t xml:space="preserve">Flôres</w:t>
      </w:r>
      <w:r>
        <w:rPr>
          <w:sz w:val="24"/>
          <w:szCs w:val="24"/>
        </w:rPr>
        <w:t xml:space="preserve">/RJ, </w:t>
      </w:r>
      <w:r>
        <w:rPr>
          <w:sz w:val="24"/>
          <w:szCs w:val="24"/>
        </w:rPr>
        <w:t xml:space="preserve">.....</w:t>
      </w:r>
      <w:r>
        <w:rPr>
          <w:sz w:val="24"/>
          <w:szCs w:val="24"/>
        </w:rPr>
        <w:t xml:space="preserve">de..........de 2026.</w:t>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t xml:space="preserve">Assinatura do Representante Legal</w:t>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Style w:val="969"/>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p>
    <w:p>
      <w:pPr>
        <w:pBdr/>
        <w:spacing/>
        <w:ind/>
        <w:jc w:val="center"/>
        <w:outlineLvl w:val="0"/>
        <w:rPr>
          <w:rFonts w:eastAsia="Arial Unicode MS"/>
          <w:b/>
          <w:sz w:val="24"/>
          <w:szCs w:val="24"/>
        </w:rPr>
      </w:pPr>
      <w:r>
        <w:rPr>
          <w:rFonts w:eastAsia="Arial Unicode MS"/>
          <w:b/>
          <w:sz w:val="24"/>
          <w:szCs w:val="24"/>
        </w:rPr>
        <w:t xml:space="preserve">ANEXO IV – MINUTA DE ATA DE REGISTRO DE PREÇO</w:t>
      </w:r>
      <w:r>
        <w:rPr>
          <w:rFonts w:eastAsia="Arial Unicode MS"/>
          <w:b/>
          <w:sz w:val="24"/>
          <w:szCs w:val="24"/>
        </w:rPr>
      </w:r>
    </w:p>
    <w:p>
      <w:pPr>
        <w:pBdr/>
        <w:spacing/>
        <w:ind/>
        <w:jc w:val="center"/>
        <w:outlineLvl w:val="0"/>
        <w:rPr>
          <w:rFonts w:eastAsia="Arial Unicode MS"/>
          <w:b/>
          <w:sz w:val="24"/>
          <w:szCs w:val="24"/>
        </w:rPr>
      </w:pPr>
      <w:r>
        <w:rPr>
          <w:rFonts w:eastAsia="Arial Unicode MS"/>
          <w:b/>
          <w:sz w:val="24"/>
          <w:szCs w:val="24"/>
        </w:rPr>
      </w:r>
      <w:r>
        <w:rPr>
          <w:rFonts w:eastAsia="Arial Unicode MS"/>
          <w:b/>
          <w:sz w:val="24"/>
          <w:szCs w:val="24"/>
        </w:rPr>
      </w:r>
    </w:p>
    <w:p>
      <w:pPr>
        <w:pBdr/>
        <w:spacing w:line="360" w:lineRule="auto"/>
        <w:ind/>
        <w:jc w:val="center"/>
        <w:rPr>
          <w:sz w:val="24"/>
          <w:szCs w:val="24"/>
        </w:rPr>
      </w:pPr>
      <w:r>
        <w:rPr>
          <w:b/>
          <w:sz w:val="24"/>
          <w:szCs w:val="24"/>
        </w:rPr>
        <w:t xml:space="preserve">ATA DE REGISTRO DE PREÇOS</w:t>
      </w:r>
      <w:r>
        <w:rPr>
          <w:sz w:val="24"/>
          <w:szCs w:val="24"/>
        </w:rPr>
      </w:r>
    </w:p>
    <w:p>
      <w:pPr>
        <w:widowControl w:val="false"/>
        <w:pBdr/>
        <w:spacing w:line="360" w:lineRule="auto"/>
        <w:ind w:right="-15"/>
        <w:jc w:val="center"/>
        <w:rPr>
          <w:sz w:val="24"/>
          <w:szCs w:val="24"/>
        </w:rPr>
      </w:pPr>
      <w:r>
        <w:rPr>
          <w:sz w:val="24"/>
          <w:szCs w:val="24"/>
        </w:rPr>
        <w:t xml:space="preserve">PREFEITURA MUNICIPAL DE RIO DAS FLÔRES</w:t>
      </w:r>
      <w:r>
        <w:rPr>
          <w:sz w:val="24"/>
          <w:szCs w:val="24"/>
        </w:rPr>
      </w:r>
    </w:p>
    <w:p>
      <w:pPr>
        <w:widowControl w:val="false"/>
        <w:pBdr/>
        <w:spacing w:line="360" w:lineRule="auto"/>
        <w:ind w:right="-30"/>
        <w:jc w:val="center"/>
        <w:rPr>
          <w:sz w:val="24"/>
          <w:szCs w:val="24"/>
        </w:rPr>
      </w:pPr>
      <w:r>
        <w:rPr>
          <w:sz w:val="24"/>
          <w:szCs w:val="24"/>
        </w:rPr>
        <w:t xml:space="preserve">ATA DE REGISTRO DE PREÇOS </w:t>
      </w:r>
      <w:r>
        <w:rPr>
          <w:sz w:val="24"/>
          <w:szCs w:val="24"/>
        </w:rPr>
      </w:r>
    </w:p>
    <w:p>
      <w:pPr>
        <w:widowControl w:val="false"/>
        <w:pBdr/>
        <w:spacing w:line="360" w:lineRule="auto"/>
        <w:ind w:right="-30"/>
        <w:jc w:val="center"/>
        <w:rPr>
          <w:sz w:val="24"/>
          <w:szCs w:val="24"/>
        </w:rPr>
      </w:pPr>
      <w:r>
        <w:rPr>
          <w:sz w:val="24"/>
          <w:szCs w:val="24"/>
        </w:rPr>
        <w:t xml:space="preserve">N.º .........</w:t>
      </w:r>
      <w:r>
        <w:rPr>
          <w:sz w:val="24"/>
          <w:szCs w:val="24"/>
        </w:rPr>
      </w:r>
    </w:p>
    <w:p>
      <w:pPr>
        <w:widowControl w:val="false"/>
        <w:pBdr/>
        <w:tabs>
          <w:tab w:val="center" w:leader="none" w:pos="4779"/>
          <w:tab w:val="right" w:leader="none" w:pos="9198"/>
        </w:tabs>
        <w:spacing w:line="276" w:lineRule="auto"/>
        <w:ind w:right="-28" w:firstLine="1418"/>
        <w:rPr>
          <w:sz w:val="24"/>
          <w:szCs w:val="24"/>
        </w:rPr>
      </w:pPr>
      <w:r>
        <w:rPr>
          <w:sz w:val="24"/>
          <w:szCs w:val="24"/>
        </w:rPr>
        <w:t xml:space="preserve">O PREFEITURA MUNICIPAL DE RIO DAS FLÔRES), com sede na Rua Cel. Eurico, 14 - Centro, na cidade de Rio das </w:t>
      </w:r>
      <w:r>
        <w:rPr>
          <w:sz w:val="24"/>
          <w:szCs w:val="24"/>
        </w:rPr>
        <w:t xml:space="preserve">Flôres</w:t>
      </w:r>
      <w:r>
        <w:rPr>
          <w:sz w:val="24"/>
          <w:szCs w:val="24"/>
        </w:rPr>
        <w:t xml:space="preserve">/RJ, inscrito(a) no CNPJ/MF sob o nº 29.179.454/0001-53, neste ato representado pelo(a) Secretário(a) Municipal de </w:t>
      </w:r>
      <w:r>
        <w:rPr>
          <w:sz w:val="24"/>
          <w:szCs w:val="24"/>
        </w:rPr>
        <w:t xml:space="preserve">..............................., nomeado pela Portari</w:t>
      </w:r>
      <w:r>
        <w:rPr>
          <w:color w:val="000000" w:themeColor="text1"/>
          <w:sz w:val="24"/>
          <w:szCs w:val="24"/>
        </w:rPr>
        <w:t xml:space="preserve">a nº ................de ........... de ................ de 2026, publicada no Boletim Municipal </w:t>
      </w:r>
      <w:r>
        <w:rPr>
          <w:color w:val="000000" w:themeColor="text1"/>
          <w:sz w:val="26"/>
          <w:szCs w:val="26"/>
        </w:rPr>
        <w:t xml:space="preserve">nº1032 de</w:t>
      </w:r>
      <w:r>
        <w:rPr>
          <w:color w:val="000000" w:themeColor="text1"/>
          <w:sz w:val="24"/>
          <w:szCs w:val="24"/>
        </w:rPr>
        <w:t xml:space="preserve"> 02 de janeiro de 2026, portador da matrícula funcional nº .........,</w:t>
      </w:r>
      <w:r>
        <w:rPr>
          <w:color w:val="000000" w:themeColor="text1"/>
          <w:sz w:val="24"/>
          <w:szCs w:val="24"/>
        </w:rPr>
        <w:t xml:space="preserve"> considerando o julgamento da licitaçã</w:t>
      </w:r>
      <w:r>
        <w:rPr>
          <w:sz w:val="24"/>
          <w:szCs w:val="24"/>
        </w:rPr>
        <w:t xml:space="preserve">o na modalidade de pregão, na forma eletrônica, para REGISTRO DE PREÇOS nº </w:t>
      </w:r>
      <w:r>
        <w:rPr>
          <w:sz w:val="24"/>
          <w:szCs w:val="24"/>
        </w:rPr>
        <w:t xml:space="preserve">......./202..., publicada no ...... de ...../...../202....., processo administrativo n.º 1939/2026, RESOLVE registrar os preços da(s)  empresa(s) indicada(s) e qualificada(s) nesta ATA, de acordo com a classificação por ela(s) alcançada(s) e na(s)  quantid</w:t>
      </w:r>
      <w:r>
        <w:rPr>
          <w:sz w:val="24"/>
          <w:szCs w:val="24"/>
        </w:rPr>
        <w:t xml:space="preserve">ade(s)  cotada(s), atendendo as condições previstas no Edital de licitação, sujeitando-se as partes às normas constantes na Lei nº 14.133, de 1º de abril de 2021, no Decreto n.º 11.462, de 31 de março de 2023, e em conformidade com as disposições a seguir:</w:t>
      </w:r>
      <w:r>
        <w:rPr>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DO OBJETO</w:t>
      </w:r>
      <w:r/>
    </w:p>
    <w:p>
      <w:pPr>
        <w:pBdr>
          <w:top w:val="none" w:color="000000" w:sz="4" w:space="0"/>
          <w:left w:val="none" w:color="000000" w:sz="4" w:space="0"/>
          <w:bottom w:val="none" w:color="000000" w:sz="4" w:space="0"/>
          <w:right w:val="none" w:color="000000" w:sz="4" w:space="0"/>
          <w:between w:val="none" w:color="000000" w:sz="4" w:space="0"/>
        </w:pBdr>
        <w:spacing/>
        <w:ind w:firstLine="425"/>
        <w:rPr>
          <w:b/>
          <w:bCs/>
          <w:sz w:val="24"/>
          <w:szCs w:val="24"/>
        </w:rPr>
      </w:pPr>
      <w:r>
        <w:rPr>
          <w:rFonts w:eastAsia="Arial"/>
          <w:color w:val="000000"/>
          <w:sz w:val="24"/>
          <w:szCs w:val="24"/>
        </w:rPr>
        <w:t xml:space="preserve">A presente Ata tem por objeto o registro de preços para</w:t>
      </w:r>
      <w:r>
        <w:rPr>
          <w:rFonts w:eastAsia="Arial"/>
          <w:b/>
          <w:bCs/>
          <w:color w:val="000000"/>
          <w:sz w:val="24"/>
          <w:szCs w:val="24"/>
        </w:rPr>
        <w:t xml:space="preserve"> </w:t>
      </w:r>
      <w:r>
        <w:rPr>
          <w:rFonts w:cs="Arial"/>
          <w:b/>
          <w:bCs/>
          <w:sz w:val="24"/>
          <w:szCs w:val="24"/>
        </w:rPr>
        <w:t xml:space="preserve">futura e eventual contratação de empresa especializada em manutenção preventiva e corretiva da frota de veículos pertencentes a Prefeitura Municipal de Rio das </w:t>
      </w:r>
      <w:r>
        <w:rPr>
          <w:rFonts w:cs="Arial"/>
          <w:b/>
          <w:bCs/>
          <w:sz w:val="24"/>
          <w:szCs w:val="24"/>
        </w:rPr>
        <w:t xml:space="preserve">Flôres</w:t>
      </w:r>
      <w:r>
        <w:rPr>
          <w:rFonts w:cs="Arial"/>
          <w:b/>
          <w:bCs/>
          <w:sz w:val="24"/>
          <w:szCs w:val="24"/>
        </w:rPr>
        <w:t xml:space="preserve"> (Fundos/Secretarias Municipais</w:t>
      </w:r>
      <w:r>
        <w:rPr>
          <w:rFonts w:cs="Arial"/>
          <w:b/>
          <w:bCs/>
          <w:sz w:val="24"/>
          <w:szCs w:val="24"/>
        </w:rPr>
        <w:t xml:space="preserve">) ,</w:t>
      </w:r>
      <w:r>
        <w:rPr>
          <w:rFonts w:cs="Arial"/>
          <w:b/>
          <w:bCs/>
          <w:sz w:val="24"/>
          <w:szCs w:val="24"/>
        </w:rPr>
        <w:t xml:space="preserve"> movidos a Diesel/Gasolina, com mão de obra (hora/homem) e aplicação e fornecimento de peças e acessórios, através de Pregão Eletrônico, por meio de Registro de Preços pelo período de 12(doze) meses</w:t>
      </w:r>
      <w:r>
        <w:rPr>
          <w:b/>
          <w:bCs/>
          <w:sz w:val="24"/>
          <w:szCs w:val="24"/>
        </w:rPr>
        <w:t xml:space="preserve">.</w:t>
      </w:r>
      <w:r>
        <w:rPr>
          <w:b/>
          <w:bCs/>
          <w:sz w:val="24"/>
          <w:szCs w:val="24"/>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firstLine="425" w:left="-709"/>
        <w:rPr>
          <w:color w:val="000000"/>
        </w:rPr>
      </w:pPr>
      <w:r>
        <w:rPr>
          <w:color w:val="000000"/>
        </w:rPr>
      </w:r>
      <w:r>
        <w:rPr>
          <w:color w:val="000000"/>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 Especificado no item .......... do .......... Termo de Referência, anexo do edital de Licitação nº 002/2026, que é parte integrante desta Ata, assim como as propostas cujos preços tenham sido registrados, independentemente de transcrição.</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DOS PREÇOS, ESPECIFICAÇÕES E QUANTITATIVOS</w:t>
      </w: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preço registrado, as especificações do objeto, as quantidades mínimas e máximas de cada item, fornecedor(es) e as demais condições ofertadas na(s) proposta(s) são as que seguem: </w:t>
      </w:r>
      <w:r>
        <w:rPr>
          <w:rFonts w:eastAsia="Arial"/>
          <w:color w:val="000000"/>
          <w:sz w:val="24"/>
          <w:szCs w:val="24"/>
        </w:rPr>
      </w:r>
    </w:p>
    <w:p>
      <w:pPr>
        <w:pBdr/>
        <w:spacing w:line="276" w:lineRule="auto"/>
        <w:ind w:left="360"/>
        <w:rPr>
          <w:rFonts w:eastAsia="Arial"/>
          <w:color w:val="000000"/>
          <w:sz w:val="24"/>
          <w:szCs w:val="24"/>
        </w:rPr>
      </w:pPr>
      <w:r>
        <w:rPr>
          <w:rFonts w:eastAsia="Arial"/>
          <w:color w:val="000000"/>
          <w:sz w:val="24"/>
          <w:szCs w:val="24"/>
        </w:rPr>
      </w:r>
      <w:r>
        <w:rPr>
          <w:rFonts w:eastAsia="Arial"/>
          <w:color w:val="000000"/>
          <w:sz w:val="24"/>
          <w:szCs w:val="24"/>
        </w:rPr>
      </w:r>
    </w:p>
    <w:tbl>
      <w:tblPr>
        <w:tblStyle w:val="1173"/>
        <w:tblInd w:w="141" w:type="dxa"/>
        <w:tblW w:w="9072" w:type="dxa"/>
        <w:tblBorders/>
        <w:tblLayout w:type="fixed"/>
        <w:tblLook w:val="0400" w:firstRow="0" w:lastRow="0" w:firstColumn="0" w:lastColumn="0" w:noHBand="0" w:noVBand="1"/>
      </w:tblPr>
      <w:tblGrid>
        <w:gridCol w:w="714"/>
        <w:gridCol w:w="2718"/>
        <w:gridCol w:w="567"/>
        <w:gridCol w:w="991"/>
        <w:gridCol w:w="1134"/>
        <w:gridCol w:w="1418"/>
        <w:gridCol w:w="1530"/>
      </w:tblGrid>
      <w:tr>
        <w:trPr/>
        <w:tc>
          <w:tcPr>
            <w:gridSpan w:val="7"/>
            <w:shd w:val="clear" w:color="ffffff" w:fill="d9d9d9"/>
            <w:tcBorders>
              <w:top w:val="single" w:color="000000" w:sz="4" w:space="0"/>
              <w:left w:val="single" w:color="000000" w:sz="4" w:space="0"/>
              <w:bottom w:val="single" w:color="000000" w:sz="4" w:space="0"/>
              <w:right w:val="single" w:color="000000" w:sz="4" w:space="0"/>
            </w:tcBorders>
            <w:tcW w:w="9071" w:type="dxa"/>
            <w:textDirection w:val="lrTb"/>
            <w:noWrap w:val="false"/>
          </w:tcPr>
          <w:p>
            <w:pPr>
              <w:pBdr/>
              <w:spacing/>
              <w:ind w:right="-852"/>
              <w:rPr/>
            </w:pPr>
            <w:r>
              <w:rPr>
                <w:b/>
              </w:rPr>
              <w:t xml:space="preserve">Fornecedor</w:t>
            </w:r>
            <w:r>
              <w:rPr>
                <w:b/>
              </w:rPr>
              <w:t xml:space="preserve">:</w:t>
            </w:r>
            <w:r/>
          </w:p>
        </w:tc>
      </w:tr>
      <w:tr>
        <w:trPr>
          <w:trHeight w:val="13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Bdr/>
              <w:spacing/>
              <w:ind w:right="-852"/>
              <w:jc w:val="left"/>
              <w:rPr/>
            </w:pPr>
            <w:r>
              <w:t xml:space="preserve">Item</w:t>
            </w:r>
            <w:r/>
          </w:p>
        </w:tc>
        <w:tc>
          <w:tcPr>
            <w:tcBorders>
              <w:top w:val="single" w:color="000000" w:sz="4" w:space="0"/>
              <w:left w:val="single" w:color="000000" w:sz="4" w:space="0"/>
              <w:bottom w:val="single" w:color="000000" w:sz="4" w:space="0"/>
              <w:right w:val="single" w:color="000000" w:sz="4" w:space="0"/>
            </w:tcBorders>
            <w:tcW w:w="2718" w:type="dxa"/>
            <w:vAlign w:val="center"/>
            <w:textDirection w:val="lrTb"/>
            <w:noWrap w:val="false"/>
          </w:tcPr>
          <w:p>
            <w:pPr>
              <w:pBdr/>
              <w:spacing/>
              <w:ind w:right="-852"/>
              <w:jc w:val="left"/>
              <w:rPr/>
            </w:pPr>
            <w:r>
              <w:t xml:space="preserve">         </w:t>
            </w:r>
            <w:r>
              <w:t xml:space="preserve">Especificação</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spacing/>
              <w:ind w:right="-852"/>
              <w:jc w:val="left"/>
              <w:rPr/>
            </w:pPr>
            <w:r>
              <w:t xml:space="preserve">UN.</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Bdr/>
              <w:spacing/>
              <w:ind w:right="-852"/>
              <w:jc w:val="left"/>
              <w:rPr/>
            </w:pPr>
            <w:r>
              <w:t xml:space="preserve">    Marca</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Bdr/>
              <w:spacing/>
              <w:ind w:right="-852"/>
              <w:jc w:val="left"/>
              <w:rPr/>
            </w:pPr>
            <w:r>
              <w:t xml:space="preserve">Quantidade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Bdr/>
              <w:spacing/>
              <w:ind w:right="-852"/>
              <w:jc w:val="left"/>
              <w:rPr/>
            </w:pPr>
            <w:r>
              <w:t xml:space="preserve">Preço</w:t>
            </w:r>
            <w:r>
              <w:t xml:space="preserve"> </w:t>
            </w:r>
            <w:r>
              <w:t xml:space="preserve">Unitário</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Bdr/>
              <w:spacing w:after="0" w:before="0"/>
              <w:ind w:right="-852"/>
              <w:jc w:val="left"/>
              <w:rPr/>
            </w:pPr>
            <w:r>
              <w:t xml:space="preserve">Preço</w:t>
            </w:r>
            <w:r>
              <w:t xml:space="preserve"> Total</w:t>
            </w:r>
            <w:r/>
          </w:p>
        </w:tc>
      </w:tr>
      <w:tr>
        <w:trPr>
          <w:trHeight w:val="13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Bdr/>
              <w:spacing/>
              <w:ind w:right="-852"/>
              <w:jc w:val="left"/>
              <w:rPr/>
            </w:pPr>
            <w:r/>
            <w:r/>
          </w:p>
        </w:tc>
        <w:tc>
          <w:tcPr>
            <w:tcBorders>
              <w:top w:val="single" w:color="000000" w:sz="4" w:space="0"/>
              <w:left w:val="single" w:color="000000" w:sz="4" w:space="0"/>
              <w:bottom w:val="single" w:color="000000" w:sz="4" w:space="0"/>
              <w:right w:val="single" w:color="000000" w:sz="4" w:space="0"/>
            </w:tcBorders>
            <w:tcW w:w="2718" w:type="dxa"/>
            <w:vAlign w:val="center"/>
            <w:textDirection w:val="lrTb"/>
            <w:noWrap w:val="false"/>
          </w:tcPr>
          <w:p>
            <w:pPr>
              <w:pBdr/>
              <w:spacing w:after="0" w:before="0"/>
              <w:ind/>
              <w:rPr>
                <w:rFonts w:ascii="ArialMT" w:hAnsi="ArialMT" w:eastAsia="ArialMT" w:cs="ArialMT"/>
                <w:sz w:val="16"/>
                <w:szCs w:val="16"/>
              </w:rPr>
            </w:pPr>
            <w:r>
              <w:rPr>
                <w:rFonts w:ascii="ArialMT" w:hAnsi="ArialMT" w:eastAsia="ArialMT" w:cs="ArialMT"/>
                <w:sz w:val="16"/>
                <w:szCs w:val="16"/>
              </w:rPr>
            </w:r>
            <w:r>
              <w:rPr>
                <w:rFonts w:ascii="ArialMT" w:hAnsi="ArialMT" w:eastAsia="ArialMT" w:cs="ArialMT"/>
                <w:sz w:val="16"/>
                <w:szCs w:val="16"/>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spacing/>
              <w:ind w:right="-852"/>
              <w:jc w:val="left"/>
              <w:rPr/>
            </w:p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Bdr/>
              <w:spacing/>
              <w:ind w:right="-852"/>
              <w:jc w:val="left"/>
              <w:rPr/>
            </w:p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Bdr/>
              <w:spacing/>
              <w:ind w:right="-852"/>
              <w:jc w:val="left"/>
              <w:rPr/>
            </w:p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Bdr/>
              <w:spacing/>
              <w:ind w:right="-852"/>
              <w:jc w:val="left"/>
              <w:rPr/>
            </w:p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Bdr/>
              <w:spacing w:after="0" w:before="0"/>
              <w:ind w:right="-852"/>
              <w:jc w:val="left"/>
              <w:rPr/>
            </w:pPr>
            <w:r/>
            <w:r/>
          </w:p>
        </w:tc>
      </w:tr>
    </w:tbl>
    <w:p>
      <w:pPr>
        <w:pBdr/>
        <w:spacing w:line="276" w:lineRule="auto"/>
        <w:ind/>
        <w:rPr>
          <w:rFonts w:eastAsia="Arial"/>
          <w:color w:val="000000"/>
          <w:sz w:val="24"/>
          <w:szCs w:val="24"/>
        </w:rPr>
      </w:pPr>
      <w:r>
        <w:rPr>
          <w:rFonts w:eastAsia="Arial"/>
          <w:color w:val="000000"/>
          <w:sz w:val="24"/>
          <w:szCs w:val="24"/>
        </w:rPr>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A listagem do cadastro de reserva referente ao presente registro de preços consta como anexo a esta Ata.</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ÓRGÃO(S) GERENCIADOR </w:t>
      </w:r>
      <w:r>
        <w:rPr>
          <w:rFonts w:eastAsia="Arial"/>
          <w:b/>
          <w:color w:val="000000"/>
          <w:sz w:val="24"/>
          <w:szCs w:val="24"/>
          <w:u w:val="single"/>
        </w:rPr>
        <w:t xml:space="preserve">E  PARTICIPANTE</w:t>
      </w:r>
      <w:r>
        <w:rPr>
          <w:rFonts w:eastAsia="Arial"/>
          <w:b/>
          <w:color w:val="000000"/>
          <w:sz w:val="24"/>
          <w:szCs w:val="24"/>
          <w:u w:val="single"/>
        </w:rPr>
        <w:t xml:space="preserve">(S)</w:t>
      </w: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órgão gerenciador será a PREFEITURA MUNICIPAL DE RIO DAS FLÔRES/RJ</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DA ADESÃO À ATA DE REGISTRO DE PREÇOS </w:t>
      </w:r>
      <w:r>
        <w:rPr>
          <w:rFonts w:eastAsia="Arial"/>
          <w:b/>
          <w:i/>
          <w:color w:val="000000"/>
          <w:sz w:val="24"/>
          <w:szCs w:val="24"/>
          <w:u w:val="single"/>
        </w:rPr>
        <w:t xml:space="preserve">(item obrigatório)</w:t>
      </w:r>
      <w:r/>
    </w:p>
    <w:p>
      <w:pPr>
        <w:keepNext w:val="true"/>
        <w:keepLines w:val="true"/>
        <w:numPr>
          <w:ilvl w:val="1"/>
          <w:numId w:val="54"/>
        </w:numPr>
        <w:pBdr/>
        <w:tabs>
          <w:tab w:val="left" w:leader="none" w:pos="0"/>
          <w:tab w:val="left" w:leader="none" w:pos="142"/>
        </w:tabs>
        <w:spacing w:after="288" w:before="288" w:line="312" w:lineRule="auto"/>
        <w:ind w:left="426"/>
        <w:rPr>
          <w:rFonts w:eastAsia="Arial"/>
          <w:b/>
          <w:color w:val="000000"/>
          <w:sz w:val="24"/>
          <w:szCs w:val="24"/>
        </w:rPr>
      </w:pPr>
      <w:r>
        <w:rPr>
          <w:rFonts w:eastAsia="Arial"/>
          <w:color w:val="000000"/>
          <w:sz w:val="24"/>
          <w:szCs w:val="24"/>
        </w:rPr>
        <w:t xml:space="preserve">Durante a vigênci</w:t>
      </w:r>
      <w:r>
        <w:rPr>
          <w:rFonts w:eastAsia="Arial"/>
          <w:color w:val="000000"/>
          <w:sz w:val="24"/>
          <w:szCs w:val="24"/>
        </w:rPr>
        <w:t xml:space="preserve">a da ata, os órgãos e as entidades da Administração Pública federal, estadual, distrital e municipal que não participaram do procedimento de IRP poderão aderir à ata de registro de preços na condição de não participantes, observados os seguintes requisitos</w:t>
      </w:r>
      <w:r>
        <w:rPr>
          <w:rFonts w:eastAsia="Arial"/>
          <w:b/>
          <w:color w:val="000000"/>
          <w:sz w:val="24"/>
          <w:szCs w:val="24"/>
        </w:rPr>
        <w:t xml:space="preserve">:</w:t>
      </w:r>
      <w:r>
        <w:rPr>
          <w:rFonts w:eastAsia="Arial"/>
          <w:b/>
          <w:color w:val="000000"/>
          <w:sz w:val="24"/>
          <w:szCs w:val="24"/>
        </w:rPr>
      </w:r>
    </w:p>
    <w:p>
      <w:pPr>
        <w:numPr>
          <w:ilvl w:val="2"/>
          <w:numId w:val="54"/>
        </w:numPr>
        <w:pBdr/>
        <w:spacing w:line="276" w:lineRule="auto"/>
        <w:ind w:left="993"/>
        <w:rPr>
          <w:rFonts w:eastAsia="Arial"/>
          <w:color w:val="000000"/>
          <w:sz w:val="24"/>
          <w:szCs w:val="24"/>
        </w:rPr>
      </w:pPr>
      <w:r>
        <w:rPr>
          <w:rFonts w:eastAsia="Arial"/>
          <w:color w:val="000000"/>
          <w:sz w:val="24"/>
          <w:szCs w:val="24"/>
        </w:rPr>
        <w:t xml:space="preserve">apresentação de justificativa da vantagem da adesão, inclusive em situações de provável desabastecimento ou descontinuidade de serviço público;</w:t>
      </w:r>
      <w:r>
        <w:rPr>
          <w:rFonts w:eastAsia="Arial"/>
          <w:color w:val="000000"/>
          <w:sz w:val="24"/>
          <w:szCs w:val="24"/>
        </w:rPr>
      </w:r>
    </w:p>
    <w:p>
      <w:pPr>
        <w:numPr>
          <w:ilvl w:val="2"/>
          <w:numId w:val="54"/>
        </w:numPr>
        <w:pBdr/>
        <w:spacing w:line="276" w:lineRule="auto"/>
        <w:ind w:left="993"/>
        <w:rPr>
          <w:rFonts w:eastAsia="Arial"/>
          <w:color w:val="000000"/>
          <w:sz w:val="24"/>
          <w:szCs w:val="24"/>
        </w:rPr>
      </w:pPr>
      <w:r/>
      <w:bookmarkStart w:id="86" w:name="_heading=h.haapch"/>
      <w:r/>
      <w:bookmarkEnd w:id="86"/>
      <w:r>
        <w:rPr>
          <w:rFonts w:eastAsia="Arial"/>
          <w:color w:val="000000"/>
          <w:sz w:val="24"/>
          <w:szCs w:val="24"/>
        </w:rPr>
        <w:t xml:space="preserve">demonstração de que os valores registrados estão compatíveis com os valores praticados pelo mercado na forma do art. 23 da Lei nº 14.133, de 2021; e</w:t>
      </w:r>
      <w:r>
        <w:rPr>
          <w:rFonts w:eastAsia="Arial"/>
          <w:color w:val="000000"/>
          <w:sz w:val="24"/>
          <w:szCs w:val="24"/>
        </w:rPr>
      </w:r>
    </w:p>
    <w:p>
      <w:pPr>
        <w:numPr>
          <w:ilvl w:val="2"/>
          <w:numId w:val="54"/>
        </w:numPr>
        <w:pBdr/>
        <w:spacing w:line="276" w:lineRule="auto"/>
        <w:ind w:left="993"/>
        <w:rPr>
          <w:rFonts w:eastAsia="Arial"/>
          <w:color w:val="000000"/>
          <w:sz w:val="24"/>
          <w:szCs w:val="24"/>
        </w:rPr>
      </w:pPr>
      <w:r>
        <w:rPr>
          <w:rFonts w:eastAsia="Arial"/>
          <w:color w:val="000000"/>
          <w:sz w:val="24"/>
          <w:szCs w:val="24"/>
        </w:rPr>
        <w:t xml:space="preserve">consulta e aceitação prévias do órgão ou da entidade gerenciadora e do fornecedor.</w:t>
      </w:r>
      <w:r>
        <w:rPr>
          <w:rFonts w:eastAsia="Arial"/>
          <w:color w:val="000000"/>
          <w:sz w:val="24"/>
          <w:szCs w:val="24"/>
        </w:rPr>
      </w:r>
    </w:p>
    <w:p>
      <w:pPr>
        <w:numPr>
          <w:ilvl w:val="1"/>
          <w:numId w:val="54"/>
        </w:numPr>
        <w:pBdr/>
        <w:spacing w:line="276" w:lineRule="auto"/>
        <w:ind w:left="567"/>
        <w:rPr>
          <w:rFonts w:eastAsia="Arial"/>
          <w:color w:val="000000"/>
          <w:sz w:val="24"/>
          <w:szCs w:val="24"/>
        </w:rPr>
      </w:pPr>
      <w:r>
        <w:rPr>
          <w:rFonts w:eastAsia="Arial"/>
          <w:color w:val="000000"/>
          <w:sz w:val="24"/>
          <w:szCs w:val="24"/>
        </w:rPr>
        <w:t xml:space="preserve">A autorização do órgão ou entidade gerenciadora apenas será realizada após a aceitação da adesão pelo fornecedor.</w:t>
      </w:r>
      <w:r>
        <w:rPr>
          <w:rFonts w:eastAsia="Arial"/>
          <w:color w:val="000000"/>
          <w:sz w:val="24"/>
          <w:szCs w:val="24"/>
        </w:rPr>
      </w:r>
    </w:p>
    <w:p>
      <w:pPr>
        <w:numPr>
          <w:ilvl w:val="2"/>
          <w:numId w:val="54"/>
        </w:numPr>
        <w:pBdr/>
        <w:spacing w:line="276" w:lineRule="auto"/>
        <w:ind w:firstLine="0" w:left="567"/>
        <w:rPr>
          <w:rFonts w:eastAsia="Arial"/>
          <w:color w:val="000000"/>
          <w:sz w:val="24"/>
          <w:szCs w:val="24"/>
        </w:rPr>
      </w:pPr>
      <w:r>
        <w:rPr>
          <w:rFonts w:eastAsia="Arial"/>
          <w:color w:val="000000"/>
          <w:sz w:val="24"/>
          <w:szCs w:val="24"/>
        </w:rPr>
        <w:t xml:space="preserve">O órgão ou entidade gerenciadora poderá rejeitar adesões caso elas possam acarretar prejuízo à execução de seus próprios contratos ou à sua capacidade de gerenciamento.</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 Após a autorização do órgão ou da entidade gerenciadora, o órgão ou entidade não participante deverá efetivar a aquisição ou a contratação solicitada em até noventa dias, observado o prazo de vigência da ata.</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 O prazo de que trata o subitem anterior, relativo à ef</w:t>
      </w:r>
      <w:r>
        <w:rPr>
          <w:rFonts w:eastAsia="Arial"/>
          <w:color w:val="000000"/>
          <w:sz w:val="24"/>
          <w:szCs w:val="24"/>
        </w:rPr>
        <w:t xml:space="preserve">etivação da contratação, poderá ser prorrogado excepcionalmente, mediante solicitação do órgão ou da entidade não participante aceita pelo órgão ou pela entidade gerenciadora, desde que respeitado o limite temporal de vigência da ata de registro de preços.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órgão ou a entidade poderá aderir a item da ata de registro de preços da qual seja integrante, na qualidade de não participante, para aqueles itens para os quais não tenha quantitativo registrado, observados os requisitos do item 4.1.</w:t>
      </w:r>
      <w:r>
        <w:rPr>
          <w:rFonts w:eastAsia="Arial"/>
          <w:color w:val="000000"/>
          <w:sz w:val="24"/>
          <w:szCs w:val="24"/>
        </w:rPr>
      </w:r>
    </w:p>
    <w:p>
      <w:pPr>
        <w:pBdr/>
        <w:spacing w:before="240" w:line="276" w:lineRule="auto"/>
        <w:ind/>
        <w:rPr>
          <w:rFonts w:eastAsia="Arial"/>
          <w:b/>
          <w:color w:val="000000"/>
          <w:sz w:val="24"/>
          <w:szCs w:val="24"/>
        </w:rPr>
      </w:pPr>
      <w:r>
        <w:rPr>
          <w:rFonts w:eastAsia="Arial"/>
          <w:b/>
          <w:color w:val="000000"/>
          <w:sz w:val="24"/>
          <w:szCs w:val="24"/>
        </w:rPr>
      </w:r>
      <w:r>
        <w:rPr>
          <w:rFonts w:eastAsia="Arial"/>
          <w:b/>
          <w:color w:val="000000"/>
          <w:sz w:val="24"/>
          <w:szCs w:val="24"/>
        </w:rPr>
      </w:r>
    </w:p>
    <w:p>
      <w:pPr>
        <w:pBdr/>
        <w:spacing w:before="240" w:line="276" w:lineRule="auto"/>
        <w:ind/>
        <w:rPr>
          <w:rFonts w:eastAsia="Arial"/>
          <w:b/>
          <w:color w:val="000000"/>
          <w:sz w:val="24"/>
          <w:szCs w:val="24"/>
        </w:rPr>
      </w:pPr>
      <w:r>
        <w:rPr>
          <w:rFonts w:eastAsia="Arial"/>
          <w:b/>
          <w:color w:val="000000"/>
          <w:sz w:val="24"/>
          <w:szCs w:val="24"/>
        </w:rPr>
        <w:t xml:space="preserve">Dos limites para as adesões</w:t>
      </w:r>
      <w:r>
        <w:rPr>
          <w:rFonts w:eastAsia="Arial"/>
          <w:b/>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As aquisições ou contratações adicionais não poderão exceder, por órgão ou entidade, a cinquenta por cento dos quantitativos dos itens do instrumento convocatório registrado na ata de registro de preços para o gerenciador e para os participantes.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quantitativo decorrente das adesões não po</w:t>
      </w:r>
      <w:r>
        <w:rPr>
          <w:rFonts w:eastAsia="Arial"/>
          <w:color w:val="000000"/>
          <w:sz w:val="24"/>
          <w:szCs w:val="24"/>
        </w:rPr>
        <w:t xml:space="preserve">derá exceder, na totalidade, ao dobro do quantitativo de cada item registrado na ata de registro de preços para o gerenciador e os participantes, independentemente do número de órgãos ou entidades não participantes que aderirem à ata de registro de preços.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Para aquisição emergencial de medicament</w:t>
      </w:r>
      <w:r>
        <w:rPr>
          <w:rFonts w:eastAsia="Arial"/>
          <w:color w:val="000000"/>
          <w:sz w:val="24"/>
          <w:szCs w:val="24"/>
        </w:rPr>
        <w:t xml:space="preserve">os e material de consumo médico-hospitalar por órgãos e entidades da Administração Pública federal, estadual, distrital e municipal, a adesão à ata de registro de preços gerenciada pelo Ministério da Saúde não estará sujeita ao limite previsto no item 4.6.</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A adesão à ata de registro de preços por órgãos e entidades da Administração Pública estadual, distrital e municipal poderá ser exigida para fins de transferências voluntárias, não ficando sujeita</w:t>
      </w:r>
      <w:r>
        <w:rPr>
          <w:rFonts w:eastAsia="Arial"/>
          <w:color w:val="000000"/>
          <w:sz w:val="24"/>
          <w:szCs w:val="24"/>
        </w:rPr>
        <w:t xml:space="preserve"> ao limite de que trata o item 4.7, desde que seja destinada à execução descentralizada de programa ou projeto federal e comprovada a compatibilidade dos preços registrados com os valores praticados no mercado na forma do art. 23 da Lei nº 14.133, de 2021.</w:t>
      </w:r>
      <w:r>
        <w:rPr>
          <w:rFonts w:eastAsia="Arial"/>
          <w:color w:val="000000"/>
          <w:sz w:val="24"/>
          <w:szCs w:val="24"/>
        </w:rPr>
      </w:r>
    </w:p>
    <w:p>
      <w:pPr>
        <w:pBdr/>
        <w:spacing w:before="240" w:line="276" w:lineRule="auto"/>
        <w:ind/>
        <w:rPr>
          <w:rFonts w:eastAsia="Arial"/>
          <w:b/>
          <w:bCs/>
          <w:color w:val="ff0000"/>
          <w:sz w:val="24"/>
          <w:szCs w:val="24"/>
        </w:rPr>
      </w:pPr>
      <w:r>
        <w:rPr>
          <w:rFonts w:eastAsia="Arial"/>
          <w:b/>
          <w:color w:val="ff0000"/>
          <w:sz w:val="24"/>
          <w:szCs w:val="24"/>
        </w:rPr>
        <w:t xml:space="preserve">4.10. Não há vedação a acréscimo de quantitativos</w:t>
      </w:r>
      <w:r>
        <w:rPr>
          <w:rFonts w:eastAsia="Arial"/>
          <w:b/>
          <w:bCs/>
          <w:color w:val="ff0000"/>
          <w:sz w:val="24"/>
          <w:szCs w:val="24"/>
        </w:rPr>
      </w:r>
    </w:p>
    <w:p>
      <w:pPr>
        <w:pBdr/>
        <w:tabs>
          <w:tab w:val="left" w:leader="none" w:pos="1409"/>
        </w:tabs>
        <w:spacing w:line="276" w:lineRule="auto"/>
        <w:ind/>
        <w:jc w:val="left"/>
        <w:rPr>
          <w:rFonts w:eastAsia="Arial"/>
          <w:color w:val="ff0000"/>
          <w:sz w:val="24"/>
          <w:szCs w:val="24"/>
        </w:rPr>
      </w:pPr>
      <w:r>
        <w:rPr>
          <w:rFonts w:eastAsia="Arial"/>
          <w:color w:val="ff0000"/>
          <w:sz w:val="24"/>
          <w:szCs w:val="24"/>
        </w:rPr>
        <w:tab/>
      </w:r>
      <w:r>
        <w:rPr>
          <w:rFonts w:eastAsia="Arial"/>
          <w:color w:val="ff0000"/>
          <w:sz w:val="24"/>
          <w:szCs w:val="24"/>
        </w:rPr>
      </w:r>
    </w:p>
    <w:p>
      <w:pPr>
        <w:pBdr/>
        <w:tabs>
          <w:tab w:val="left" w:leader="none" w:pos="850"/>
        </w:tabs>
        <w:spacing w:line="276" w:lineRule="auto"/>
        <w:ind w:left="390"/>
        <w:rPr>
          <w:rFonts w:eastAsia="Arial"/>
          <w:color w:val="ff0000"/>
          <w:sz w:val="24"/>
          <w:szCs w:val="24"/>
        </w:rPr>
      </w:pPr>
      <w:r>
        <w:rPr>
          <w:rFonts w:eastAsia="Arial"/>
          <w:b/>
          <w:bCs/>
          <w:color w:val="ff0000"/>
          <w:sz w:val="24"/>
          <w:szCs w:val="24"/>
        </w:rPr>
        <w:t xml:space="preserve">4.10.1.</w:t>
      </w:r>
      <w:r>
        <w:rPr>
          <w:rFonts w:eastAsia="Arial"/>
          <w:color w:val="ff0000"/>
          <w:sz w:val="24"/>
          <w:szCs w:val="24"/>
        </w:rPr>
        <w:t xml:space="preserve"> </w:t>
      </w:r>
      <w:r>
        <w:rPr>
          <w:color w:val="ff0000"/>
          <w:sz w:val="24"/>
          <w:szCs w:val="24"/>
        </w:rPr>
        <w:t xml:space="preserve">Em caso de prorrogação, a Administração poderá proceder ao estorno dos quantitativos durante a vigência in</w:t>
      </w:r>
      <w:r>
        <w:rPr>
          <w:color w:val="ff0000"/>
          <w:sz w:val="24"/>
          <w:szCs w:val="24"/>
        </w:rPr>
        <w:t xml:space="preserve">icial, promovendo o ajuste do saldo remanescente conforme a necessidade administrativa e disponibilidade orçamentária, sem que tal medida gere direito à indenização ao fornecedor registrado, tendo em vista o caráter estimativo dos quantitativos registrados</w:t>
      </w:r>
      <w:r>
        <w:rPr>
          <w:rFonts w:eastAsia="Arial"/>
          <w:color w:val="ff0000"/>
          <w:sz w:val="24"/>
          <w:szCs w:val="24"/>
        </w:rPr>
        <w:t xml:space="preserve">.</w:t>
      </w:r>
      <w:r>
        <w:rPr>
          <w:rFonts w:eastAsia="Arial"/>
          <w:color w:val="ff0000"/>
          <w:sz w:val="24"/>
          <w:szCs w:val="24"/>
        </w:rPr>
      </w:r>
    </w:p>
    <w:p>
      <w:pPr>
        <w:pBdr/>
        <w:spacing w:line="276" w:lineRule="auto"/>
        <w:ind w:left="360"/>
        <w:rPr>
          <w:rFonts w:eastAsia="Arial"/>
          <w:color w:val="000000"/>
          <w:sz w:val="20"/>
          <w:szCs w:val="20"/>
        </w:rPr>
      </w:pPr>
      <w:r>
        <w:rPr>
          <w:rFonts w:eastAsia="Arial"/>
          <w:b/>
          <w:bCs/>
          <w:color w:val="ff0000"/>
          <w:sz w:val="24"/>
          <w:szCs w:val="24"/>
        </w:rPr>
        <w:t xml:space="preserve">4.10.1.1.</w:t>
      </w:r>
      <w:r>
        <w:rPr>
          <w:rFonts w:eastAsia="Arial"/>
          <w:color w:val="ff0000"/>
          <w:sz w:val="24"/>
          <w:szCs w:val="24"/>
        </w:rPr>
        <w:t xml:space="preserve"> </w:t>
      </w:r>
      <w:r>
        <w:rPr>
          <w:color w:val="ff0000"/>
          <w:sz w:val="24"/>
          <w:szCs w:val="24"/>
        </w:rPr>
        <w:t xml:space="preserve">Considerando o caráter estimativo dos quantitativos registrados em Ata de Registro de Preços, bem como a inexistência de contratação efetivada até o presente momento, e tendo em vista </w:t>
      </w:r>
      <w:r>
        <w:rPr>
          <w:color w:val="ff0000"/>
          <w:sz w:val="24"/>
          <w:szCs w:val="24"/>
        </w:rPr>
        <w:t xml:space="preserve">a alteração superveniente da necessidade administrativa relacionada ao fornecimento do objeto, poderá decidir pelo estorno integral dos quantitativos registrados, sem que tal medida gere direito à indenização ao fornecedor, nos termos da Lei nº 14.133/2021</w:t>
      </w:r>
      <w:r>
        <w:rPr>
          <w:rFonts w:eastAsia="Arial"/>
          <w:color w:val="000000"/>
          <w:sz w:val="24"/>
          <w:szCs w:val="24"/>
        </w:rPr>
        <w:t xml:space="preserve">.</w:t>
      </w:r>
      <w:r>
        <w:rPr>
          <w:rFonts w:eastAsia="Arial"/>
          <w:color w:val="000000"/>
          <w:sz w:val="20"/>
          <w:szCs w:val="20"/>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VALIDADE, FORMALIZAÇÃO DA ATA DE REGISTRO DE PREÇOS E CADASTRO RESERVA</w:t>
      </w:r>
      <w:r/>
    </w:p>
    <w:p>
      <w:pPr>
        <w:numPr>
          <w:ilvl w:val="1"/>
          <w:numId w:val="54"/>
        </w:numPr>
        <w:pBdr/>
        <w:spacing w:line="276" w:lineRule="auto"/>
        <w:ind w:firstLine="0" w:left="0"/>
        <w:rPr>
          <w:rFonts w:eastAsia="Arial"/>
          <w:color w:val="ff0000"/>
          <w:sz w:val="24"/>
          <w:szCs w:val="24"/>
        </w:rPr>
      </w:pPr>
      <w:r>
        <w:rPr>
          <w:rFonts w:eastAsia="Arial"/>
          <w:color w:val="ff0000"/>
          <w:sz w:val="24"/>
          <w:szCs w:val="24"/>
        </w:rPr>
        <w:t xml:space="preserve">A</w:t>
      </w:r>
      <w:r>
        <w:rPr>
          <w:rFonts w:eastAsia="Arial"/>
          <w:color w:val="ff0000"/>
          <w:sz w:val="24"/>
          <w:szCs w:val="24"/>
        </w:rPr>
        <w:t xml:space="preserve"> validade da Ata de Registro de Preços será de 01 (um) ano, contado a partir do primeiro dia útil subsequente à data de divulgação no PNCP, podendo ser prorrogada por igual período, mediante a anuência do fornecedor, desde que comprovado o preço vantajoso.</w:t>
      </w:r>
      <w:r>
        <w:rPr>
          <w:rFonts w:eastAsia="Arial"/>
          <w:color w:val="ff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O contrato decorrente da ata de registro de preços terá sua vigência estabelecida no próprio instrumento contratual e observará no momento da contratação e a cada exercício </w:t>
      </w:r>
      <w:r>
        <w:rPr>
          <w:rFonts w:eastAsia="Arial"/>
          <w:color w:val="000000"/>
          <w:sz w:val="24"/>
          <w:szCs w:val="24"/>
        </w:rPr>
        <w:t xml:space="preserve">financeiro a disponibilidade de créditos orçamentários, bem como a previsão no plano plurianual, quando ultrapassar 01 (um) exercício financeiro.</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Na formalização do contrato ou do instrumento substituto deverá haver a indicação da disponibilidade dos créditos orçamentários respectivos.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A contratação com os fornecedo</w:t>
      </w:r>
      <w:r>
        <w:rPr>
          <w:rFonts w:eastAsia="Arial"/>
          <w:color w:val="000000"/>
          <w:sz w:val="24"/>
          <w:szCs w:val="24"/>
        </w:rPr>
        <w:t xml:space="preserve">res registrados na ata será formalizada pelo órgão ou pela entidade interessada por intermédio de instrumento contratual, emissão de nota de empenho de despesa, autorização de compra ou outro instrumento hábil, conforme o art. 95 da Lei nº 14.133, de 2021.</w:t>
      </w:r>
      <w:r>
        <w:rPr>
          <w:rFonts w:eastAsia="Arial"/>
          <w:color w:val="000000"/>
          <w:sz w:val="24"/>
          <w:szCs w:val="24"/>
        </w:rPr>
      </w:r>
    </w:p>
    <w:p>
      <w:pPr>
        <w:numPr>
          <w:ilvl w:val="2"/>
          <w:numId w:val="54"/>
        </w:numPr>
        <w:pBdr/>
        <w:tabs>
          <w:tab w:val="clear" w:leader="none" w:pos="0"/>
          <w:tab w:val="left" w:leader="none" w:pos="567"/>
          <w:tab w:val="left" w:leader="none" w:pos="709"/>
          <w:tab w:val="left" w:leader="none" w:pos="850"/>
        </w:tabs>
        <w:spacing w:line="276" w:lineRule="auto"/>
        <w:ind w:firstLine="0" w:left="0"/>
        <w:rPr>
          <w:rFonts w:eastAsia="Arial"/>
          <w:color w:val="000000"/>
          <w:sz w:val="24"/>
          <w:szCs w:val="24"/>
        </w:rPr>
      </w:pPr>
      <w:r>
        <w:rPr>
          <w:rFonts w:eastAsia="Arial"/>
          <w:color w:val="000000"/>
          <w:sz w:val="24"/>
          <w:szCs w:val="24"/>
        </w:rPr>
        <w:t xml:space="preserve"> O instrumento contratual de que trata o item 5.2. deverá ser assinado no prazo de validade da ata de registro de preços.</w:t>
      </w:r>
      <w:r>
        <w:rPr>
          <w:rFonts w:eastAsia="Arial"/>
          <w:color w:val="000000"/>
          <w:sz w:val="24"/>
          <w:szCs w:val="24"/>
        </w:rPr>
      </w:r>
    </w:p>
    <w:p>
      <w:pPr>
        <w:numPr>
          <w:ilvl w:val="1"/>
          <w:numId w:val="54"/>
        </w:numPr>
        <w:pBdr/>
        <w:tabs>
          <w:tab w:val="clear" w:leader="none" w:pos="0"/>
          <w:tab w:val="left" w:leader="none" w:pos="567"/>
        </w:tabs>
        <w:spacing w:line="276" w:lineRule="auto"/>
        <w:ind w:firstLine="0" w:left="0"/>
        <w:rPr>
          <w:rFonts w:eastAsia="Arial"/>
          <w:color w:val="000000"/>
          <w:sz w:val="24"/>
          <w:szCs w:val="24"/>
        </w:rPr>
      </w:pPr>
      <w:r>
        <w:rPr>
          <w:rFonts w:eastAsia="Arial"/>
          <w:color w:val="000000"/>
          <w:sz w:val="24"/>
          <w:szCs w:val="24"/>
        </w:rPr>
        <w:t xml:space="preserve">Os contratos decorrentes do sistema de registro de preços poderão ser alterados, observado o art. 124 da Lei nº 14.133, de 2021.</w:t>
      </w:r>
      <w:r>
        <w:rPr>
          <w:rFonts w:eastAsia="Arial"/>
          <w:color w:val="000000"/>
          <w:sz w:val="24"/>
          <w:szCs w:val="24"/>
        </w:rPr>
      </w:r>
    </w:p>
    <w:p>
      <w:pPr>
        <w:numPr>
          <w:ilvl w:val="1"/>
          <w:numId w:val="54"/>
        </w:numPr>
        <w:pBdr/>
        <w:tabs>
          <w:tab w:val="clear" w:leader="none" w:pos="0"/>
          <w:tab w:val="left" w:leader="none" w:pos="567"/>
        </w:tabs>
        <w:spacing w:line="276" w:lineRule="auto"/>
        <w:ind w:firstLine="0" w:left="0"/>
        <w:rPr>
          <w:rFonts w:eastAsia="Arial"/>
          <w:color w:val="000000"/>
          <w:sz w:val="24"/>
          <w:szCs w:val="24"/>
        </w:rPr>
      </w:pPr>
      <w:r>
        <w:rPr>
          <w:rFonts w:eastAsia="Arial"/>
          <w:color w:val="000000"/>
          <w:sz w:val="24"/>
          <w:szCs w:val="24"/>
        </w:rPr>
        <w:t xml:space="preserve">Após a homologação da licitação ou da contratação direta, deverão ser observadas as seguintes condições para formalização da ata de registro de preços:</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Serão registrados na ata os preços e os quantitativos do adjudicatário, devendo ser observada a possibilidade de o licitante oferecer ou não proposta em quantitativo inferior ao máximo previsto </w:t>
      </w:r>
      <w:r>
        <w:rPr>
          <w:rFonts w:eastAsia="Arial"/>
          <w:i/>
          <w:color w:val="000000"/>
          <w:sz w:val="24"/>
          <w:szCs w:val="24"/>
        </w:rPr>
        <w:t xml:space="preserve">no edital </w:t>
      </w:r>
      <w:r>
        <w:rPr>
          <w:rFonts w:eastAsia="Arial"/>
          <w:color w:val="000000"/>
          <w:sz w:val="24"/>
          <w:szCs w:val="24"/>
        </w:rPr>
        <w:t xml:space="preserve">e se obrigar nos limites dela;</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Será incluído na ata, na forma de anexo, o registro dos licitantes ou dos fornecedores que:</w:t>
      </w:r>
      <w:r>
        <w:rPr>
          <w:rFonts w:eastAsia="Arial"/>
          <w:color w:val="000000"/>
          <w:sz w:val="24"/>
          <w:szCs w:val="24"/>
        </w:rPr>
      </w:r>
    </w:p>
    <w:p>
      <w:pPr>
        <w:numPr>
          <w:ilvl w:val="3"/>
          <w:numId w:val="54"/>
        </w:numPr>
        <w:pBdr/>
        <w:tabs>
          <w:tab w:val="clear" w:leader="none" w:pos="0"/>
          <w:tab w:val="left" w:leader="none" w:pos="850"/>
        </w:tabs>
        <w:spacing w:line="276" w:lineRule="auto"/>
        <w:ind w:firstLine="0" w:left="0"/>
        <w:rPr>
          <w:rFonts w:eastAsia="Arial"/>
          <w:color w:val="000000"/>
          <w:sz w:val="24"/>
          <w:szCs w:val="24"/>
        </w:rPr>
      </w:pPr>
      <w:r>
        <w:rPr>
          <w:rFonts w:eastAsia="Arial"/>
          <w:color w:val="000000"/>
          <w:sz w:val="24"/>
          <w:szCs w:val="24"/>
        </w:rPr>
        <w:t xml:space="preserve">Aceitarem cotar os bens, as obras ou os serviços com preços iguais aos do adjudicatário, observada a classificação da licitação; e </w:t>
      </w:r>
      <w:r>
        <w:rPr>
          <w:rFonts w:eastAsia="Arial"/>
          <w:color w:val="000000"/>
          <w:sz w:val="24"/>
          <w:szCs w:val="24"/>
        </w:rPr>
      </w:r>
    </w:p>
    <w:p>
      <w:pPr>
        <w:numPr>
          <w:ilvl w:val="3"/>
          <w:numId w:val="54"/>
        </w:numPr>
        <w:pBdr/>
        <w:tabs>
          <w:tab w:val="clear" w:leader="none" w:pos="0"/>
          <w:tab w:val="left" w:leader="none" w:pos="709"/>
          <w:tab w:val="left" w:leader="none" w:pos="850"/>
        </w:tabs>
        <w:spacing w:line="276" w:lineRule="auto"/>
        <w:ind w:firstLine="0" w:left="0"/>
        <w:rPr>
          <w:rFonts w:eastAsia="Arial"/>
          <w:color w:val="000000"/>
          <w:sz w:val="24"/>
          <w:szCs w:val="24"/>
        </w:rPr>
      </w:pPr>
      <w:r>
        <w:rPr>
          <w:rFonts w:eastAsia="Arial"/>
          <w:color w:val="000000"/>
          <w:sz w:val="24"/>
          <w:szCs w:val="24"/>
        </w:rPr>
        <w:t xml:space="preserve">Mantiverem sua proposta original. </w:t>
      </w:r>
      <w:bookmarkStart w:id="87" w:name="bookmark=id.319y80a"/>
      <w:r/>
      <w:bookmarkEnd w:id="87"/>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Será respeitada, nas contratações, a ordem de classificação dos licitantes ou dos fornecedores registrados na ata.</w:t>
      </w:r>
      <w:r>
        <w:rPr>
          <w:rFonts w:eastAsia="Arial"/>
          <w:color w:val="000000"/>
          <w:sz w:val="24"/>
          <w:szCs w:val="24"/>
        </w:rPr>
      </w:r>
    </w:p>
    <w:p>
      <w:pPr>
        <w:numPr>
          <w:ilvl w:val="1"/>
          <w:numId w:val="54"/>
        </w:numPr>
        <w:pBdr/>
        <w:tabs>
          <w:tab w:val="clear" w:leader="none" w:pos="0"/>
          <w:tab w:val="left" w:leader="none" w:pos="425"/>
        </w:tabs>
        <w:spacing w:line="276" w:lineRule="auto"/>
        <w:ind w:firstLine="0" w:left="0"/>
        <w:rPr>
          <w:rFonts w:eastAsia="Arial"/>
          <w:color w:val="000000"/>
          <w:sz w:val="24"/>
          <w:szCs w:val="24"/>
        </w:rPr>
      </w:pPr>
      <w:r>
        <w:rPr>
          <w:rFonts w:eastAsia="Arial"/>
          <w:color w:val="000000"/>
          <w:sz w:val="24"/>
          <w:szCs w:val="24"/>
        </w:rPr>
        <w:t xml:space="preserve">O registro a que se refere o item 5.4.2</w:t>
      </w:r>
      <w:r>
        <w:rPr>
          <w:rFonts w:eastAsia="Arial"/>
          <w:b/>
          <w:color w:val="000000"/>
          <w:sz w:val="24"/>
          <w:szCs w:val="24"/>
        </w:rPr>
        <w:t xml:space="preserve"> </w:t>
      </w:r>
      <w:r>
        <w:rPr>
          <w:rFonts w:eastAsia="Arial"/>
          <w:color w:val="000000"/>
          <w:sz w:val="24"/>
          <w:szCs w:val="24"/>
        </w:rPr>
        <w:t xml:space="preserve">tem por objetivo a formação de cadastro de reserva para o caso de impossibilidade de atendimento pelo signatário da ata.</w:t>
      </w:r>
      <w:r>
        <w:rPr>
          <w:rFonts w:eastAsia="Arial"/>
          <w:color w:val="000000"/>
          <w:sz w:val="24"/>
          <w:szCs w:val="24"/>
        </w:rPr>
      </w:r>
    </w:p>
    <w:p>
      <w:pPr>
        <w:numPr>
          <w:ilvl w:val="1"/>
          <w:numId w:val="54"/>
        </w:numPr>
        <w:pBdr/>
        <w:tabs>
          <w:tab w:val="clear" w:leader="none" w:pos="0"/>
          <w:tab w:val="left" w:leader="none" w:pos="425"/>
        </w:tabs>
        <w:spacing w:line="276" w:lineRule="auto"/>
        <w:ind w:firstLine="0" w:left="0"/>
        <w:rPr>
          <w:rFonts w:eastAsia="Arial"/>
          <w:color w:val="000000"/>
          <w:sz w:val="24"/>
          <w:szCs w:val="24"/>
        </w:rPr>
      </w:pPr>
      <w:r>
        <w:rPr>
          <w:rFonts w:eastAsia="Arial"/>
          <w:color w:val="000000"/>
          <w:sz w:val="24"/>
          <w:szCs w:val="24"/>
        </w:rPr>
        <w:t xml:space="preserve">Para fins da ordem de classificação, os licitantes ou fornecedores que aceitarem reduzir suas propostas para o preço do adjudicatário antecederão aqueles que mantiverem sua proposta original.</w:t>
      </w:r>
      <w:r>
        <w:rPr>
          <w:rFonts w:eastAsia="Arial"/>
          <w:color w:val="000000"/>
          <w:sz w:val="24"/>
          <w:szCs w:val="24"/>
        </w:rPr>
      </w:r>
    </w:p>
    <w:p>
      <w:pPr>
        <w:numPr>
          <w:ilvl w:val="1"/>
          <w:numId w:val="54"/>
        </w:numPr>
        <w:pBdr/>
        <w:tabs>
          <w:tab w:val="clear" w:leader="none" w:pos="0"/>
          <w:tab w:val="left" w:leader="none" w:pos="567"/>
        </w:tabs>
        <w:spacing w:line="276" w:lineRule="auto"/>
        <w:ind w:firstLine="0" w:left="0"/>
        <w:rPr>
          <w:rFonts w:eastAsia="Arial"/>
          <w:color w:val="000000"/>
          <w:sz w:val="24"/>
          <w:szCs w:val="24"/>
        </w:rPr>
      </w:pPr>
      <w:r>
        <w:rPr>
          <w:rFonts w:eastAsia="Arial"/>
          <w:color w:val="000000"/>
          <w:sz w:val="24"/>
          <w:szCs w:val="24"/>
        </w:rPr>
        <w:t xml:space="preserve">A habilitação dos licitantes que comporão o cadastro de reserva a que se refere o item 5.4.2.2 somente será efetuada quando houver necessidade de contratação dos licitantes remanescentes, nas seguintes hipóteses:</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Quando o licitante vencedor não assinar a ata de registro de preços, no prazo e nas condições estabelecidos </w:t>
      </w:r>
      <w:r>
        <w:rPr>
          <w:rFonts w:eastAsia="Arial"/>
          <w:i/>
          <w:color w:val="000000"/>
          <w:sz w:val="24"/>
          <w:szCs w:val="24"/>
        </w:rPr>
        <w:t xml:space="preserve">no edital;</w:t>
      </w:r>
      <w:r>
        <w:rPr>
          <w:rFonts w:eastAsia="Arial"/>
          <w:color w:val="000000"/>
          <w:sz w:val="24"/>
          <w:szCs w:val="24"/>
        </w:rPr>
        <w:t xml:space="preserve"> e</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Quando houver o cancelamento do registro do licitante ou do registro de preços nas hipóteses previstas no item 9.</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preço registrado com indicação dos licitantes e fornecedores será divulgado no PNCP e ficará disponibilizado durante a vigência da ata de registro de preços.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Após a homologação da licitação ou da contratação direta, o licitante mais bem classificado ou o fornecedor, no caso da contrataç</w:t>
      </w:r>
      <w:r>
        <w:rPr>
          <w:rFonts w:eastAsia="Arial"/>
          <w:color w:val="000000"/>
          <w:sz w:val="24"/>
          <w:szCs w:val="24"/>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O prazo de convocação poderá ser prorrogado 01 (uma) vez, por igual período, mediante solicitação do licitante ou fornecedor convocado, desde que apresentada dentro do prazo, devidamente justificada, e que a justificativa seja aceita pela Administração.</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A ata de registro de preços será assinada por meio de assinatura digital e disponibilizada no Sistema de Registro de Preços.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Quando o convocado não assinar a ata de registro de preços no prazo e nas condições estabelecidos no edital ou no aviso de contratação, e observado o disposto no item Erro: Origem da refer</w:t>
      </w:r>
      <w:r>
        <w:rPr>
          <w:rFonts w:eastAsia="Arial"/>
          <w:color w:val="000000"/>
          <w:sz w:val="24"/>
          <w:szCs w:val="24"/>
        </w:rPr>
        <w:t xml:space="preserve">ência não encontrada, observando o item 5.7 e subitens, fica facultado à Administração convocar os licitantes remanescentes do cadastro de reserva, na ordem de classificação, para fazê-lo em igual prazo e nas condições propostas pelo primeiro classificado.</w:t>
      </w:r>
      <w:r>
        <w:rPr>
          <w:rFonts w:eastAsia="Arial"/>
          <w:color w:val="000000"/>
          <w:sz w:val="24"/>
          <w:szCs w:val="24"/>
        </w:rPr>
      </w:r>
    </w:p>
    <w:p>
      <w:pPr>
        <w:numPr>
          <w:ilvl w:val="1"/>
          <w:numId w:val="54"/>
        </w:numPr>
        <w:pBdr/>
        <w:tabs>
          <w:tab w:val="left" w:leader="none" w:pos="851"/>
        </w:tabs>
        <w:spacing w:line="276" w:lineRule="auto"/>
        <w:ind w:firstLine="0" w:left="0"/>
        <w:rPr>
          <w:rFonts w:eastAsia="Arial"/>
          <w:color w:val="000000"/>
          <w:sz w:val="24"/>
          <w:szCs w:val="24"/>
        </w:rPr>
      </w:pPr>
      <w:r>
        <w:rPr>
          <w:rFonts w:eastAsia="Arial"/>
          <w:color w:val="000000"/>
          <w:sz w:val="24"/>
          <w:szCs w:val="24"/>
        </w:rPr>
        <w:t xml:space="preserve">Na hipótese de nenhum dos licitantes que trata o item 5.4.2.1, aceitar a contratação nos termos do item anterior, a Administração, observados o valor estimado e sua eventual atualização nos termos </w:t>
      </w:r>
      <w:r>
        <w:rPr>
          <w:rFonts w:eastAsia="Arial"/>
          <w:i/>
          <w:color w:val="000000"/>
          <w:sz w:val="24"/>
          <w:szCs w:val="24"/>
        </w:rPr>
        <w:t xml:space="preserve">do edital</w:t>
      </w:r>
      <w:r>
        <w:rPr>
          <w:rFonts w:eastAsia="Arial"/>
          <w:color w:val="000000"/>
          <w:sz w:val="24"/>
          <w:szCs w:val="24"/>
        </w:rPr>
        <w:t xml:space="preserve">, poderá:</w:t>
      </w:r>
      <w:r>
        <w:rPr>
          <w:rFonts w:eastAsia="Arial"/>
          <w:color w:val="000000"/>
          <w:sz w:val="24"/>
          <w:szCs w:val="24"/>
        </w:rPr>
      </w:r>
    </w:p>
    <w:p>
      <w:pPr>
        <w:numPr>
          <w:ilvl w:val="2"/>
          <w:numId w:val="54"/>
        </w:numPr>
        <w:pBdr/>
        <w:tabs>
          <w:tab w:val="left" w:leader="none" w:pos="851"/>
        </w:tabs>
        <w:spacing w:line="276" w:lineRule="auto"/>
        <w:ind w:firstLine="0" w:left="0"/>
        <w:rPr>
          <w:rFonts w:eastAsia="Arial"/>
          <w:color w:val="000000"/>
          <w:sz w:val="24"/>
          <w:szCs w:val="24"/>
        </w:rPr>
      </w:pPr>
      <w:r>
        <w:rPr>
          <w:rFonts w:eastAsia="Arial"/>
          <w:color w:val="000000"/>
          <w:sz w:val="24"/>
          <w:szCs w:val="24"/>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Pr>
          <w:rFonts w:eastAsia="Arial"/>
          <w:color w:val="000000"/>
          <w:sz w:val="24"/>
          <w:szCs w:val="24"/>
        </w:rPr>
      </w:r>
    </w:p>
    <w:p>
      <w:pPr>
        <w:numPr>
          <w:ilvl w:val="2"/>
          <w:numId w:val="54"/>
        </w:numPr>
        <w:pBdr/>
        <w:tabs>
          <w:tab w:val="left" w:leader="none" w:pos="851"/>
        </w:tabs>
        <w:spacing w:line="276" w:lineRule="auto"/>
        <w:ind w:firstLine="0" w:left="0"/>
        <w:rPr>
          <w:rFonts w:eastAsia="Arial"/>
          <w:color w:val="000000"/>
          <w:sz w:val="24"/>
          <w:szCs w:val="24"/>
        </w:rPr>
      </w:pPr>
      <w:r>
        <w:rPr>
          <w:rFonts w:eastAsia="Arial"/>
          <w:color w:val="000000"/>
          <w:sz w:val="24"/>
          <w:szCs w:val="24"/>
        </w:rPr>
        <w:t xml:space="preserve">Adjudicar e firmar o contrato nas condições ofertadas pelos licitantes ou fornecedores remanescentes, atendida a ordem classificatória, quando frustrada a negociação de melhor condição.</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A </w:t>
      </w:r>
      <w:r>
        <w:rPr>
          <w:rFonts w:eastAsia="Arial"/>
          <w:color w:val="000000"/>
          <w:sz w:val="24"/>
          <w:szCs w:val="24"/>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ALTERAÇÃO OU ATUALIZAÇÃO DOS PREÇOS REGISTRADOS</w:t>
      </w: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Em caso de força maior, caso </w:t>
      </w:r>
      <w:r>
        <w:rPr>
          <w:rFonts w:eastAsia="Arial"/>
          <w:color w:val="000000"/>
          <w:sz w:val="24"/>
          <w:szCs w:val="24"/>
        </w:rPr>
        <w:t xml:space="preserve">fortuito ou fato do príncipe ou em decorrência de fatos imprevisíveis ou previsíveis de consequências incalculáveis, que inviabilizem a execução da ata tal como pactuada, nos termos da alínea “d” do inciso II do caput do art. 124 da Lei nº 14.133, de 2021;</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Em caso de criação, alteração ou extinção de quaisquer tributos ou encargos legais ou a superveniência de disposições legais, com comprovada repercussão sobre os preços registrados; </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Na hipótese de previsão no edital ou no aviso de contratação direta de cláusula de reajustamento ou repactuação sobre os preços registrados, nos termos da Lei nº 14.133, de 2021.</w:t>
      </w:r>
      <w:r>
        <w:rPr>
          <w:rFonts w:eastAsia="Arial"/>
          <w:color w:val="000000"/>
          <w:sz w:val="24"/>
          <w:szCs w:val="24"/>
        </w:rPr>
      </w:r>
    </w:p>
    <w:p>
      <w:pPr>
        <w:numPr>
          <w:ilvl w:val="3"/>
          <w:numId w:val="54"/>
        </w:numPr>
        <w:pBdr/>
        <w:spacing w:line="276" w:lineRule="auto"/>
        <w:ind w:firstLine="0" w:left="0"/>
        <w:rPr>
          <w:rFonts w:eastAsia="Arial"/>
          <w:color w:val="000000"/>
          <w:sz w:val="24"/>
          <w:szCs w:val="24"/>
        </w:rPr>
      </w:pPr>
      <w:r>
        <w:rPr>
          <w:rFonts w:eastAsia="Arial"/>
          <w:color w:val="000000"/>
          <w:sz w:val="24"/>
          <w:szCs w:val="24"/>
        </w:rPr>
        <w:t xml:space="preserve">No caso do reajustamento, deverá ser respeitada a contagem da anualidade e o índice previstos para a contratação;  </w:t>
      </w:r>
      <w:r>
        <w:rPr>
          <w:rFonts w:eastAsia="Arial"/>
          <w:color w:val="000000"/>
          <w:sz w:val="24"/>
          <w:szCs w:val="24"/>
        </w:rPr>
      </w:r>
    </w:p>
    <w:p>
      <w:pPr>
        <w:numPr>
          <w:ilvl w:val="3"/>
          <w:numId w:val="54"/>
        </w:numPr>
        <w:pBdr/>
        <w:spacing w:line="276" w:lineRule="auto"/>
        <w:ind w:firstLine="0" w:left="0"/>
        <w:rPr>
          <w:rFonts w:eastAsia="Arial"/>
          <w:color w:val="000000"/>
          <w:sz w:val="24"/>
          <w:szCs w:val="24"/>
        </w:rPr>
      </w:pPr>
      <w:r>
        <w:rPr>
          <w:rFonts w:eastAsia="Arial"/>
          <w:color w:val="000000"/>
          <w:sz w:val="24"/>
          <w:szCs w:val="24"/>
        </w:rPr>
        <w:t xml:space="preserve">No caso da repactuação, poderá ser a pedido do interessado, conforme critérios definidos para a contratação.</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NEGOCIAÇÃO DE PREÇOS REGISTRADOS</w:t>
      </w: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Na hipótese de o preço registrado tornar-se superior ao preço praticado no mercado por motivo superveniente, o órgão ou entidade gerenciadora convocará o fornecedor para negociar a redução do preço registrado.</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Caso não aceite reduzir seu preço aos valores praticados pelo mercado, o fornecedor será liberado do compromisso assumido quanto ao item registrado, sem aplicação de penalidades administrativas.</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Na hipótese prevista no i</w:t>
      </w:r>
      <w:r>
        <w:rPr>
          <w:rFonts w:eastAsia="Arial"/>
          <w:color w:val="000000"/>
          <w:sz w:val="24"/>
          <w:szCs w:val="24"/>
        </w:rPr>
        <w:t xml:space="preserve">tem anterior, o gerenciador convocará os fornecedores do cadastro de reserva, na ordem de classificação, para verificar se aceitam reduzir seus preços aos valores de mercado e não convocará os licitantes ou fornecedores que tiveram seu registro cancelado. </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Se não obtiver êxito nas negociações, o órgão ou entidade gerenciadora procederá ao cancelamento da ata de registro de preços, adotando as medidas cabíveis para obtenção de contratação mais vantajosa.</w:t>
      </w:r>
      <w:bookmarkStart w:id="88" w:name="bookmark=id.1gf8i83"/>
      <w:r/>
      <w:bookmarkEnd w:id="88"/>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Na hipótese de redução do preço registrado, o gerenciador comunicará aos órgãos e</w:t>
      </w:r>
      <w:r>
        <w:rPr>
          <w:rFonts w:eastAsia="Arial"/>
          <w:color w:val="000000"/>
          <w:sz w:val="24"/>
          <w:szCs w:val="24"/>
        </w:rPr>
        <w:t xml:space="preserve"> às entidades que tiverem firmado contratos decorrentes da ata de registro de preços para que avaliem a conveniência e a oportunidade de diligenciarem negociação com vistas à alteração contratual, observado o disposto no art. 124 da Lei nº 14.133, de 2021.</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Na hipótese de o preço de mercado tornar-se superior ao preço registrado </w:t>
      </w:r>
      <w:r>
        <w:rPr>
          <w:rFonts w:eastAsia="Arial"/>
          <w:color w:val="000000"/>
          <w:sz w:val="24"/>
          <w:szCs w:val="24"/>
        </w:rPr>
        <w:t xml:space="preserve">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9" w:name="bookmark=id.40ew0vw"/>
      <w:r/>
      <w:bookmarkEnd w:id="89"/>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Neste caso, o fornecedor encaminhará, juntamente com o pedido de alteração, a documentação comprobatória ou </w:t>
      </w:r>
      <w:r>
        <w:rPr>
          <w:rFonts w:eastAsia="Arial"/>
          <w:color w:val="000000"/>
          <w:sz w:val="24"/>
          <w:szCs w:val="24"/>
        </w:rPr>
        <w:t xml:space="preserve">a</w:t>
      </w:r>
      <w:r>
        <w:rPr>
          <w:rFonts w:eastAsia="Arial"/>
          <w:color w:val="000000"/>
          <w:sz w:val="24"/>
          <w:szCs w:val="24"/>
        </w:rPr>
        <w:t xml:space="preserve"> planilha de custos que demonstre a inviabilidade do preço registrado em relação às condições inicialmente pactuadas.</w:t>
      </w:r>
      <w:bookmarkStart w:id="90" w:name="bookmark=id.2fk6b3p"/>
      <w:r/>
      <w:bookmarkEnd w:id="90"/>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Não hipótese de não comprovação da existência de fato superveniente que inviabilize o preço registrado, o pedido será indeferido </w:t>
      </w:r>
      <w:r>
        <w:rPr>
          <w:rFonts w:eastAsia="Arial"/>
          <w:color w:val="000000"/>
          <w:sz w:val="24"/>
          <w:szCs w:val="24"/>
        </w:rPr>
        <w:t xml:space="preserve">pelo órgão ou entidade gerenciadora e o fornecedor deverá cumprir as obrigações estabelecidas na ata, sob pena de cancelamento do seu registro, nos termos do item 9.1, sem prejuízo das sanções previstas na Lei nº 14.133, de 2021, e na legislação aplicável.</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Na hipótes</w:t>
      </w:r>
      <w:r>
        <w:rPr>
          <w:rFonts w:eastAsia="Arial"/>
          <w:color w:val="000000"/>
          <w:sz w:val="24"/>
          <w:szCs w:val="24"/>
        </w:rPr>
        <w:t xml:space="preserve">e de cancelamento do registro do fornecedor, nos termos do item anterior, o gerenciador convocará os fornecedores do cadastro de reserva, na ordem de classificação, para verificar se aceitam manter seus preços registrados, observado o disposto no item 5.7.</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Se não obtiver êxito nas negociações, o órgão ou entidade gerenciadora procederá ao cancelamento da ata de registro de preços, nos termos do item 9.4, e adotará as medidas cabíveis para a obtenção da contratação mais vantajosa.</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Na hipótese d</w:t>
      </w:r>
      <w:r>
        <w:rPr>
          <w:rFonts w:eastAsia="Arial"/>
          <w:color w:val="000000"/>
          <w:sz w:val="24"/>
          <w:szCs w:val="24"/>
        </w:rPr>
        <w:t xml:space="preserve">e comprovação da majoração do preço de mercado que inviabilize o preço registrado, conforme previsto no item 7.2 e no item 7.2.1, o órgão ou entidade gerenciadora atualizará o preço registrado, de acordo com a realidade dos valores praticados pelo mercado.</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 O órgão ou entidade gerenciadora comunicará aos</w:t>
      </w:r>
      <w:r>
        <w:rPr>
          <w:rFonts w:eastAsia="Arial"/>
          <w:color w:val="000000"/>
          <w:sz w:val="24"/>
          <w:szCs w:val="24"/>
        </w:rPr>
        <w:t xml:space="preserve"> órgãos e às entidades que tiverem firmado contratos decorrentes da ata de registro de preços sobre a efetiva alteração do preço registrado, para que avaliem a necessidade de alteração contratual, observado o disposto no art. 124 da Lei nº 14.133, de 2021.</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REMANEJAMENTO DAS QUANTIDADES REGISTRADAS NA ATA DE REGISTRO DE PREÇOS</w:t>
      </w: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 O remanejamento somente poderá ser feito:</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De órgão ou entidade participante para órgão ou entidade participante; ou</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De órgão ou entidade participante para órgão ou entidade não participante.</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órgão ou entidade gerenciadora que tiver estimado as quantidades que pretende contratar será considerado participante para efeito do remanejamento.</w:t>
      </w:r>
      <w:bookmarkStart w:id="91" w:name="bookmark=id.upglbi"/>
      <w:r/>
      <w:bookmarkEnd w:id="91"/>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Na hipótese de remanejamento de órgão ou entidade participante para órgão ou entidade não participante, serão observados os limites previstos no art. 32 do Decreto nº 11.462, de 2023.</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Competirá ao órgão ou à en</w:t>
      </w:r>
      <w:r>
        <w:rPr>
          <w:rFonts w:eastAsia="Arial"/>
          <w:color w:val="000000"/>
          <w:sz w:val="24"/>
          <w:szCs w:val="24"/>
        </w:rPr>
        <w:t xml:space="preserve">tidade gerenciadora autorizar o remanejamento solicitado, com a redução do quantitativo inicialmente informado pelo órgão ou pela entidade participante, desde que haja prévia anuência do órgão ou da entidade que sofrer redução dos quantitativos informados.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Caso o remanejamento seja feito entre órgãos ou entid</w:t>
      </w:r>
      <w:r>
        <w:rPr>
          <w:rFonts w:eastAsia="Arial"/>
          <w:color w:val="000000"/>
          <w:sz w:val="24"/>
          <w:szCs w:val="24"/>
        </w:rPr>
        <w:t xml:space="preserve">ades dos Estados, do Distrito Federal ou de Municípios distintos, caberá ao fornecedor beneficiário da ata de registro de preços, observadas as condições nela estabelecidas, optar pela aceitação ou não do fornecimento decorrente do remanejamento dos itens.</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Na hipótese da compra </w:t>
      </w:r>
      <w:r>
        <w:rPr>
          <w:rFonts w:eastAsia="Arial"/>
          <w:color w:val="000000"/>
          <w:sz w:val="24"/>
          <w:szCs w:val="24"/>
        </w:rPr>
        <w:t xml:space="preserve">centralizada, não havendo indicação pelo órgão ou pela entidade gerenciadora, dos quantitativos dos participantes da compra centralizada, nos termos do item 8.3, a distribuição das quantidades para a execução descentralizada será por meio do remanejamento.</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CANCELAMENTO DO REGISTRO DO LICITANTE VENCEDOR E DOS PREÇOS REGISTRADOS</w:t>
      </w:r>
      <w:bookmarkStart w:id="92" w:name="bookmark=id.3ep43zb"/>
      <w:r/>
      <w:bookmarkEnd w:id="92"/>
      <w:r/>
      <w:r/>
    </w:p>
    <w:p>
      <w:pPr>
        <w:pBdr/>
        <w:spacing/>
        <w:ind/>
        <w:rPr/>
      </w:pPr>
      <w: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registro do fornecedor será cancelado pelo gerenciador, quando o fornecedor:</w:t>
      </w:r>
      <w:bookmarkStart w:id="93" w:name="bookmark=id.1tuee74"/>
      <w:r/>
      <w:bookmarkEnd w:id="93"/>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Descumprir as condições da ata de registro de preços, sem motivo justificado;</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Não retirar a nota de empenho, ou instrumento equivalente, no prazo estabelecido pela Administração sem justificativa razoável;</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Não aceitar manter seu preço registrado, na hipótese prevista no artigo 27, § 2º, do Decreto nº 11.462, de 2023; ou</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 Sofrer sanção prevista nos incisos III ou IV do caput do art. 156 da Lei nº 14.133, de 2021.</w:t>
      </w:r>
      <w:r>
        <w:rPr>
          <w:rFonts w:eastAsia="Arial"/>
          <w:color w:val="000000"/>
          <w:sz w:val="24"/>
          <w:szCs w:val="24"/>
        </w:rPr>
      </w:r>
    </w:p>
    <w:p>
      <w:pPr>
        <w:numPr>
          <w:ilvl w:val="3"/>
          <w:numId w:val="54"/>
        </w:numPr>
        <w:pBdr/>
        <w:tabs>
          <w:tab w:val="left" w:leader="none" w:pos="709"/>
          <w:tab w:val="left" w:leader="none" w:pos="851"/>
        </w:tabs>
        <w:spacing w:line="276" w:lineRule="auto"/>
        <w:ind w:firstLine="0" w:left="0"/>
        <w:rPr>
          <w:rFonts w:eastAsia="Arial"/>
          <w:color w:val="000000"/>
          <w:sz w:val="24"/>
          <w:szCs w:val="24"/>
        </w:rPr>
      </w:pPr>
      <w:r>
        <w:rPr>
          <w:rFonts w:eastAsia="Arial"/>
          <w:color w:val="000000"/>
          <w:sz w:val="24"/>
          <w:szCs w:val="24"/>
        </w:rPr>
        <w:t xml:space="preserve">Na hipótese de aplicação de sanção prevista nos incisos III ou IV do caput do art. 156 da Lei nº 14.133, de 2021, caso a penalidade aplicada ao fornecedor não ultrapasse o</w:t>
      </w:r>
      <w:r>
        <w:rPr>
          <w:rFonts w:eastAsia="Arial"/>
          <w:color w:val="000000"/>
          <w:sz w:val="24"/>
          <w:szCs w:val="24"/>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 O cancelamento de registros nas hipóteses previstas no item 9.1 será formalizado por despacho do órgão ou da entidade gerenciadora, garantidos os princípios do contraditório e da ampla defesa.</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Na hipótese de cancelamento do registro do fornecedor, o órgão ou a entidade gerenciadora poderá convocar os licitantes que compõem o cadastro de reserva, observada a ordem de classificação.</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cancelamento dos preços registrados poderá ser realizado pelo gerenciador, em determinada ata de registro de preços, total ou parcialmente, nas seguintes hipóteses, desde que devidamente comprovadas e justificadas:</w:t>
      </w:r>
      <w:bookmarkStart w:id="94" w:name="bookmark=id.4du1wux"/>
      <w:r/>
      <w:bookmarkEnd w:id="94"/>
      <w:r>
        <w:rPr>
          <w:rFonts w:eastAsia="Arial"/>
          <w:color w:val="000000"/>
          <w:sz w:val="24"/>
          <w:szCs w:val="24"/>
        </w:rPr>
        <w:t xml:space="preserve"> </w:t>
      </w:r>
      <w:r>
        <w:rPr>
          <w:rFonts w:eastAsia="Arial"/>
          <w:color w:val="000000"/>
          <w:sz w:val="24"/>
          <w:szCs w:val="24"/>
        </w:rPr>
      </w:r>
    </w:p>
    <w:p>
      <w:pPr>
        <w:numPr>
          <w:ilvl w:val="2"/>
          <w:numId w:val="54"/>
        </w:numPr>
        <w:pBdr/>
        <w:tabs>
          <w:tab w:val="left" w:leader="none" w:pos="851"/>
          <w:tab w:val="left" w:leader="none" w:pos="1134"/>
        </w:tabs>
        <w:spacing w:line="276" w:lineRule="auto"/>
        <w:ind w:firstLine="0" w:left="0"/>
        <w:rPr>
          <w:rFonts w:eastAsia="Arial"/>
          <w:color w:val="000000"/>
          <w:sz w:val="24"/>
          <w:szCs w:val="24"/>
        </w:rPr>
      </w:pPr>
      <w:r>
        <w:rPr>
          <w:rFonts w:eastAsia="Arial"/>
          <w:color w:val="000000"/>
          <w:sz w:val="24"/>
          <w:szCs w:val="24"/>
        </w:rPr>
        <w:t xml:space="preserve">Por razão de interesse público;</w:t>
      </w:r>
      <w:r>
        <w:rPr>
          <w:rFonts w:eastAsia="Arial"/>
          <w:color w:val="000000"/>
          <w:sz w:val="24"/>
          <w:szCs w:val="24"/>
        </w:rPr>
      </w:r>
    </w:p>
    <w:p>
      <w:pPr>
        <w:numPr>
          <w:ilvl w:val="2"/>
          <w:numId w:val="54"/>
        </w:numPr>
        <w:pBdr/>
        <w:tabs>
          <w:tab w:val="left" w:leader="none" w:pos="851"/>
          <w:tab w:val="left" w:leader="none" w:pos="1134"/>
        </w:tabs>
        <w:spacing w:line="276" w:lineRule="auto"/>
        <w:ind w:firstLine="0" w:left="0"/>
        <w:rPr>
          <w:rFonts w:eastAsia="Arial"/>
          <w:color w:val="000000"/>
          <w:sz w:val="24"/>
          <w:szCs w:val="24"/>
        </w:rPr>
      </w:pPr>
      <w:r>
        <w:rPr>
          <w:rFonts w:eastAsia="Arial"/>
          <w:color w:val="000000"/>
          <w:sz w:val="24"/>
          <w:szCs w:val="24"/>
        </w:rPr>
        <w:t xml:space="preserve">A pedido do fornecedor, decorrente de caso fortuito ou força maior; ou</w:t>
      </w:r>
      <w:r>
        <w:rPr>
          <w:rFonts w:eastAsia="Arial"/>
          <w:color w:val="000000"/>
          <w:sz w:val="24"/>
          <w:szCs w:val="24"/>
        </w:rPr>
      </w:r>
    </w:p>
    <w:p>
      <w:pPr>
        <w:numPr>
          <w:ilvl w:val="2"/>
          <w:numId w:val="54"/>
        </w:numPr>
        <w:pBdr/>
        <w:tabs>
          <w:tab w:val="left" w:leader="none" w:pos="851"/>
          <w:tab w:val="left" w:leader="none" w:pos="1134"/>
        </w:tabs>
        <w:spacing w:line="276" w:lineRule="auto"/>
        <w:ind w:firstLine="0" w:left="0"/>
        <w:rPr>
          <w:rFonts w:eastAsia="Arial"/>
          <w:color w:val="000000"/>
          <w:sz w:val="24"/>
          <w:szCs w:val="24"/>
        </w:rPr>
      </w:pPr>
      <w:r>
        <w:rPr>
          <w:rFonts w:eastAsia="Arial"/>
          <w:color w:val="000000"/>
          <w:sz w:val="24"/>
          <w:szCs w:val="24"/>
        </w:rPr>
        <w:t xml:space="preserve">Se não houver êxito nas negociações, nas hipóteses em que o preço de mercado </w:t>
      </w:r>
      <w:r>
        <w:rPr>
          <w:rFonts w:eastAsia="Arial"/>
          <w:color w:val="000000"/>
          <w:sz w:val="24"/>
          <w:szCs w:val="24"/>
        </w:rPr>
        <w:t xml:space="preserve">tornar-se</w:t>
      </w:r>
      <w:r>
        <w:rPr>
          <w:rFonts w:eastAsia="Arial"/>
          <w:color w:val="000000"/>
          <w:sz w:val="24"/>
          <w:szCs w:val="24"/>
        </w:rPr>
        <w:t xml:space="preserve"> superior ou inferior ao preço registrado, nos termos dos artigos 26, § 3º e 27, § 4º, ambos do Decreto nº 11.462, de 2023. </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DAS PENALIDADES</w:t>
      </w: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descumprimento da Ata de Registro de Preços ensejará aplicação das penalidades estabelecidas </w:t>
      </w:r>
      <w:r>
        <w:rPr>
          <w:rFonts w:eastAsia="Arial"/>
          <w:i/>
          <w:color w:val="000000"/>
          <w:sz w:val="24"/>
          <w:szCs w:val="24"/>
        </w:rPr>
        <w:t xml:space="preserve">no edital</w:t>
      </w:r>
      <w:r>
        <w:rPr>
          <w:rFonts w:eastAsia="Arial"/>
          <w:color w:val="000000"/>
          <w:sz w:val="24"/>
          <w:szCs w:val="24"/>
        </w:rPr>
        <w:t xml:space="preserve">.</w:t>
      </w:r>
      <w:r>
        <w:rPr>
          <w:rFonts w:eastAsia="Arial"/>
          <w:color w:val="000000"/>
          <w:sz w:val="24"/>
          <w:szCs w:val="24"/>
        </w:rPr>
      </w:r>
    </w:p>
    <w:p>
      <w:pPr>
        <w:numPr>
          <w:ilvl w:val="2"/>
          <w:numId w:val="54"/>
        </w:numPr>
        <w:pBdr/>
        <w:spacing w:line="276" w:lineRule="auto"/>
        <w:ind w:firstLine="0" w:left="0"/>
        <w:rPr>
          <w:rFonts w:eastAsia="Arial"/>
          <w:color w:val="000000"/>
          <w:sz w:val="24"/>
          <w:szCs w:val="24"/>
        </w:rPr>
      </w:pPr>
      <w:r>
        <w:rPr>
          <w:rFonts w:eastAsia="Arial"/>
          <w:color w:val="000000"/>
          <w:sz w:val="24"/>
          <w:szCs w:val="24"/>
        </w:rPr>
        <w:t xml:space="preserve">As sanções também se aplicam aos integrantes do cadastro de reserva no registro de preços que, convocados, não honrarem o compromisso assumido injustificadamente após terem assinado a ata. </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É da competência do gerenciador a aplicação das penalidades decorrentes do descumprimento do pactuado nesta ata de registro de preço (art. 7º, inc. XIV, do Decreto nº 11.46</w:t>
      </w:r>
      <w:r>
        <w:rPr>
          <w:rFonts w:eastAsia="Arial"/>
          <w:color w:val="000000"/>
          <w:sz w:val="24"/>
          <w:szCs w:val="24"/>
        </w:rPr>
        <w:t xml:space="preserve">2, de 2023), exceto nas hipóteses em que o descumprimento disser respeito às contratações dos órgãos ou entidade participante, caso no qual caberá ao respectivo órgão participante a aplicação da penalidade (art. 8º, inc. IX, do Decreto nº 11.462, de 2023).</w:t>
      </w:r>
      <w:r>
        <w:rPr>
          <w:rFonts w:eastAsia="Arial"/>
          <w:color w:val="000000"/>
          <w:sz w:val="24"/>
          <w:szCs w:val="24"/>
        </w:rP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O órgão ou entidade participante deverá comunicar ao órgão gerenciador qualquer das ocorrências previstas no item 9.1, dada a necessidade de instauração de procedimento para cancelamento do registro do fornecedor.</w:t>
      </w:r>
      <w:r>
        <w:rPr>
          <w:rFonts w:eastAsia="Arial"/>
          <w:color w:val="000000"/>
          <w:sz w:val="24"/>
          <w:szCs w:val="24"/>
        </w:rPr>
      </w:r>
    </w:p>
    <w:p>
      <w:pPr>
        <w:keepNext w:val="true"/>
        <w:keepLines w:val="true"/>
        <w:numPr>
          <w:ilvl w:val="0"/>
          <w:numId w:val="54"/>
        </w:numPr>
        <w:pBdr/>
        <w:tabs>
          <w:tab w:val="left" w:leader="none" w:pos="0"/>
          <w:tab w:val="left" w:leader="none" w:pos="142"/>
        </w:tabs>
        <w:spacing w:after="288" w:before="288" w:line="312" w:lineRule="auto"/>
        <w:ind/>
        <w:rPr/>
      </w:pPr>
      <w:r>
        <w:rPr>
          <w:rFonts w:eastAsia="Arial"/>
          <w:b/>
          <w:color w:val="000000"/>
          <w:sz w:val="24"/>
          <w:szCs w:val="24"/>
          <w:u w:val="single"/>
        </w:rPr>
        <w:t xml:space="preserve">CONDIÇÕES GERAIS</w:t>
      </w:r>
      <w:r/>
    </w:p>
    <w:p>
      <w:pPr>
        <w:numPr>
          <w:ilvl w:val="1"/>
          <w:numId w:val="54"/>
        </w:numPr>
        <w:pBdr/>
        <w:spacing w:line="276" w:lineRule="auto"/>
        <w:ind w:firstLine="0" w:left="0"/>
        <w:rPr>
          <w:rFonts w:eastAsia="Arial"/>
          <w:color w:val="000000"/>
          <w:sz w:val="24"/>
          <w:szCs w:val="24"/>
        </w:rPr>
      </w:pPr>
      <w:r>
        <w:rPr>
          <w:rFonts w:eastAsia="Arial"/>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I </w:t>
      </w:r>
      <w:r>
        <w:rPr>
          <w:rFonts w:eastAsia="Arial"/>
          <w:i/>
          <w:color w:val="000000"/>
          <w:sz w:val="24"/>
          <w:szCs w:val="24"/>
        </w:rPr>
        <w:t xml:space="preserve">AO EDITAL</w:t>
      </w:r>
      <w:r>
        <w:rPr>
          <w:rFonts w:eastAsia="Arial"/>
          <w:color w:val="000000"/>
          <w:sz w:val="24"/>
          <w:szCs w:val="24"/>
        </w:rPr>
        <w:t xml:space="preserve">.</w:t>
      </w:r>
      <w:r>
        <w:rPr>
          <w:rFonts w:eastAsia="Arial"/>
          <w:color w:val="000000"/>
          <w:sz w:val="24"/>
          <w:szCs w:val="24"/>
        </w:rPr>
      </w:r>
    </w:p>
    <w:p>
      <w:pPr>
        <w:numPr>
          <w:ilvl w:val="1"/>
          <w:numId w:val="54"/>
        </w:numPr>
        <w:pBdr/>
        <w:spacing w:line="276" w:lineRule="auto"/>
        <w:ind w:firstLine="0" w:left="0"/>
        <w:rPr>
          <w:rFonts w:eastAsia="Arial"/>
          <w:i/>
          <w:color w:val="000000"/>
          <w:sz w:val="24"/>
          <w:szCs w:val="24"/>
        </w:rPr>
      </w:pPr>
      <w:r>
        <w:rPr>
          <w:rFonts w:eastAsia="Arial"/>
          <w:i/>
          <w:color w:val="000000"/>
          <w:sz w:val="24"/>
          <w:szCs w:val="24"/>
        </w:rPr>
        <w:t xml:space="preserve">No caso de adjudicação por preço global de grupo de itens, só será admitida a contratação de parte de itens do grupo se houver prévia pesquisa de mercado e demonstração de sua vantagem para o órgão ou a entidade.</w:t>
      </w:r>
      <w:r>
        <w:rPr>
          <w:rFonts w:eastAsia="Arial"/>
          <w:i/>
          <w:color w:val="000000"/>
          <w:sz w:val="24"/>
          <w:szCs w:val="24"/>
        </w:rPr>
      </w:r>
    </w:p>
    <w:p>
      <w:pPr>
        <w:widowControl w:val="false"/>
        <w:pBdr/>
        <w:spacing w:line="276" w:lineRule="auto"/>
        <w:ind/>
        <w:rPr>
          <w:i/>
          <w:sz w:val="24"/>
          <w:szCs w:val="24"/>
        </w:rPr>
      </w:pPr>
      <w:r>
        <w:rPr>
          <w:sz w:val="24"/>
          <w:szCs w:val="24"/>
        </w:rPr>
        <w:t xml:space="preserve">Para firmeza e validade do pactuado, a presente Ata foi lavrada </w:t>
      </w:r>
      <w:r>
        <w:rPr>
          <w:sz w:val="24"/>
          <w:szCs w:val="24"/>
        </w:rPr>
        <w:t xml:space="preserve">em</w:t>
      </w:r>
      <w:r>
        <w:rPr>
          <w:sz w:val="24"/>
          <w:szCs w:val="24"/>
        </w:rPr>
        <w:t xml:space="preserve"> .... (....) vias de igual teor, que, depois de lida e achada em ordem, vai assinada pelas partes </w:t>
      </w:r>
      <w:r>
        <w:rPr>
          <w:i/>
          <w:sz w:val="24"/>
          <w:szCs w:val="24"/>
        </w:rPr>
        <w:t xml:space="preserve">e encaminhada cópia aos demais órgãos participantes (se houver). </w:t>
      </w:r>
      <w:r>
        <w:rPr>
          <w:i/>
          <w:sz w:val="24"/>
          <w:szCs w:val="24"/>
        </w:rPr>
      </w:r>
    </w:p>
    <w:p>
      <w:pPr>
        <w:widowControl w:val="false"/>
        <w:pBdr/>
        <w:spacing w:line="360" w:lineRule="auto"/>
        <w:ind w:right="-30"/>
        <w:jc w:val="center"/>
        <w:rPr>
          <w:sz w:val="24"/>
          <w:szCs w:val="24"/>
        </w:rPr>
      </w:pPr>
      <w:r>
        <w:rPr>
          <w:sz w:val="24"/>
          <w:szCs w:val="24"/>
        </w:rPr>
      </w:r>
      <w:r>
        <w:rPr>
          <w:sz w:val="24"/>
          <w:szCs w:val="24"/>
        </w:rPr>
      </w:r>
    </w:p>
    <w:p>
      <w:pPr>
        <w:widowControl w:val="false"/>
        <w:pBdr/>
        <w:spacing w:after="0" w:before="0"/>
        <w:ind w:right="-30"/>
        <w:jc w:val="center"/>
        <w:rPr>
          <w:sz w:val="24"/>
          <w:szCs w:val="24"/>
        </w:rPr>
      </w:pPr>
      <w:r>
        <w:rPr>
          <w:sz w:val="24"/>
          <w:szCs w:val="24"/>
        </w:rPr>
        <w:t xml:space="preserve">Local e data</w:t>
      </w:r>
      <w:r>
        <w:rPr>
          <w:sz w:val="24"/>
          <w:szCs w:val="24"/>
        </w:rPr>
      </w:r>
    </w:p>
    <w:p>
      <w:pPr>
        <w:widowControl w:val="false"/>
        <w:pBdr/>
        <w:spacing w:after="0" w:before="0"/>
        <w:ind w:right="-30"/>
        <w:jc w:val="center"/>
        <w:rPr>
          <w:sz w:val="24"/>
          <w:szCs w:val="24"/>
        </w:rPr>
      </w:pPr>
      <w:r>
        <w:rPr>
          <w:sz w:val="24"/>
          <w:szCs w:val="24"/>
        </w:rPr>
        <w:t xml:space="preserve">Assinaturas</w:t>
      </w:r>
      <w:r>
        <w:rPr>
          <w:sz w:val="24"/>
          <w:szCs w:val="24"/>
        </w:rPr>
      </w:r>
    </w:p>
    <w:p>
      <w:pPr>
        <w:widowControl w:val="false"/>
        <w:pBdr/>
        <w:spacing w:line="360" w:lineRule="auto"/>
        <w:ind w:right="-30"/>
        <w:jc w:val="center"/>
        <w:rPr>
          <w:sz w:val="24"/>
          <w:szCs w:val="24"/>
        </w:rPr>
      </w:pPr>
      <w:r>
        <w:rPr>
          <w:sz w:val="24"/>
          <w:szCs w:val="24"/>
        </w:rPr>
      </w:r>
      <w:r>
        <w:rPr>
          <w:sz w:val="24"/>
          <w:szCs w:val="24"/>
        </w:rPr>
      </w:r>
    </w:p>
    <w:p>
      <w:pPr>
        <w:widowControl w:val="false"/>
        <w:pBdr/>
        <w:spacing w:line="360" w:lineRule="auto"/>
        <w:ind w:right="-30"/>
        <w:jc w:val="center"/>
        <w:rPr>
          <w:sz w:val="24"/>
          <w:szCs w:val="24"/>
        </w:rPr>
      </w:pPr>
      <w:r>
        <w:rPr>
          <w:sz w:val="24"/>
          <w:szCs w:val="24"/>
        </w:rPr>
        <w:t xml:space="preserve">Representante legal do órgão gerenciador e representante(s) legal(</w:t>
      </w:r>
      <w:r>
        <w:rPr>
          <w:sz w:val="24"/>
          <w:szCs w:val="24"/>
        </w:rPr>
        <w:t xml:space="preserve">is</w:t>
      </w:r>
      <w:r>
        <w:rPr>
          <w:sz w:val="24"/>
          <w:szCs w:val="24"/>
        </w:rPr>
        <w:t xml:space="preserve">) do(s) fornecedor(s) registrado(s)</w:t>
      </w:r>
      <w:r>
        <w:rPr>
          <w:sz w:val="24"/>
          <w:szCs w:val="24"/>
        </w:rPr>
      </w:r>
    </w:p>
    <w:p>
      <w:pPr>
        <w:widowControl w:val="false"/>
        <w:pBdr/>
        <w:spacing w:line="360" w:lineRule="auto"/>
        <w:ind w:right="-30"/>
        <w:jc w:val="center"/>
        <w:rPr>
          <w:rFonts w:cs="Arial"/>
          <w:sz w:val="24"/>
          <w:szCs w:val="24"/>
        </w:rPr>
      </w:pPr>
      <w:r>
        <w:rPr>
          <w:rFonts w:cs="Arial"/>
          <w:sz w:val="24"/>
          <w:szCs w:val="24"/>
        </w:rPr>
      </w:r>
      <w:r>
        <w:rPr>
          <w:rFonts w:cs="Arial"/>
          <w:sz w:val="24"/>
          <w:szCs w:val="24"/>
        </w:rP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r/>
    </w:p>
    <w:p>
      <w:pPr>
        <w:pBdr/>
        <w:spacing/>
        <w:ind/>
        <w:jc w:val="center"/>
        <w:rPr/>
      </w:pPr>
      <w:r/>
      <w:r/>
      <w:r/>
    </w:p>
    <w:p>
      <w:pPr>
        <w:pBdr/>
        <w:spacing/>
        <w:ind/>
        <w:jc w:val="center"/>
        <w:rPr/>
      </w:pPr>
      <w:r/>
      <w:r/>
    </w:p>
    <w:p>
      <w:pPr>
        <w:pBdr/>
        <w:spacing/>
        <w:ind/>
        <w:jc w:val="center"/>
        <w:rPr/>
      </w:pPr>
      <w:r/>
      <w:r/>
    </w:p>
    <w:p>
      <w:pPr>
        <w:pBdr/>
        <w:spacing/>
        <w:ind/>
        <w:jc w:val="center"/>
        <w:rPr/>
      </w:pPr>
      <w:r/>
      <w:r/>
    </w:p>
    <w:p>
      <w:pPr>
        <w:pBdr/>
        <w:spacing/>
        <w:ind/>
        <w:jc w:val="center"/>
        <w:outlineLvl w:val="0"/>
        <w:rPr>
          <w:rFonts w:eastAsia="Arial Unicode MS"/>
          <w:b/>
          <w:sz w:val="24"/>
          <w:szCs w:val="24"/>
        </w:rPr>
      </w:pPr>
      <w:r>
        <w:rPr>
          <w:rFonts w:eastAsia="Arial Unicode MS"/>
          <w:b/>
          <w:sz w:val="24"/>
          <w:szCs w:val="24"/>
        </w:rPr>
        <w:t xml:space="preserve">ANEXO V – MINUTA DO CADASTRO DE RESERVA</w:t>
      </w:r>
      <w:r>
        <w:rPr>
          <w:rFonts w:eastAsia="Arial Unicode MS"/>
          <w:b/>
          <w:sz w:val="24"/>
          <w:szCs w:val="24"/>
        </w:rPr>
      </w:r>
    </w:p>
    <w:p>
      <w:pPr>
        <w:widowControl w:val="false"/>
        <w:pBdr/>
        <w:spacing w:line="360" w:lineRule="auto"/>
        <w:ind w:right="-30"/>
        <w:jc w:val="center"/>
        <w:rPr>
          <w:rFonts w:cs="Arial"/>
          <w:color w:val="000000"/>
          <w:sz w:val="20"/>
          <w:szCs w:val="20"/>
        </w:rPr>
      </w:pPr>
      <w:r>
        <w:rPr>
          <w:rFonts w:cs="Arial"/>
          <w:color w:val="000000"/>
          <w:sz w:val="20"/>
          <w:szCs w:val="20"/>
        </w:rPr>
      </w:r>
      <w:r>
        <w:rPr>
          <w:rFonts w:cs="Arial"/>
          <w:color w:val="000000"/>
          <w:sz w:val="20"/>
          <w:szCs w:val="20"/>
        </w:rPr>
      </w:r>
    </w:p>
    <w:p>
      <w:pPr>
        <w:widowControl w:val="false"/>
        <w:pBdr/>
        <w:spacing w:line="360" w:lineRule="auto"/>
        <w:ind w:right="-30"/>
        <w:jc w:val="center"/>
        <w:rPr>
          <w:rFonts w:cs="Arial"/>
          <w:color w:val="000000"/>
          <w:sz w:val="20"/>
          <w:szCs w:val="20"/>
        </w:rPr>
      </w:pPr>
      <w:r>
        <w:rPr>
          <w:rFonts w:cs="Arial"/>
          <w:color w:val="000000"/>
          <w:sz w:val="20"/>
          <w:szCs w:val="20"/>
        </w:rPr>
        <w:t xml:space="preserve">Cadastro Reserva</w:t>
      </w:r>
      <w:r>
        <w:rPr>
          <w:rFonts w:cs="Arial"/>
          <w:color w:val="000000"/>
          <w:sz w:val="20"/>
          <w:szCs w:val="20"/>
        </w:rPr>
      </w:r>
    </w:p>
    <w:p>
      <w:pPr>
        <w:widowControl w:val="false"/>
        <w:pBdr/>
        <w:spacing w:line="360" w:lineRule="auto"/>
        <w:ind w:right="-30"/>
        <w:jc w:val="center"/>
        <w:rPr>
          <w:rFonts w:cs="Arial"/>
          <w:color w:val="000000"/>
          <w:sz w:val="20"/>
          <w:szCs w:val="20"/>
        </w:rPr>
      </w:pPr>
      <w:r>
        <w:rPr>
          <w:rFonts w:cs="Arial"/>
          <w:color w:val="000000"/>
          <w:sz w:val="20"/>
          <w:szCs w:val="20"/>
        </w:rPr>
      </w:r>
      <w:r>
        <w:rPr>
          <w:rFonts w:cs="Arial"/>
          <w:color w:val="000000"/>
          <w:sz w:val="20"/>
          <w:szCs w:val="20"/>
        </w:rPr>
      </w:r>
    </w:p>
    <w:p>
      <w:pPr>
        <w:widowControl w:val="false"/>
        <w:pBdr/>
        <w:spacing w:line="360" w:lineRule="auto"/>
        <w:ind w:right="-30"/>
        <w:jc w:val="center"/>
        <w:rPr>
          <w:rFonts w:cs="Arial"/>
          <w:color w:val="000000"/>
          <w:sz w:val="20"/>
          <w:szCs w:val="20"/>
        </w:rPr>
      </w:pPr>
      <w:r>
        <w:rPr>
          <w:rFonts w:cs="Arial"/>
          <w:color w:val="000000"/>
          <w:sz w:val="20"/>
          <w:szCs w:val="20"/>
        </w:rPr>
        <w:t xml:space="preserve">Seguindo a ordem de classificação, segue relação de fornecedores que aceitaram cotar os itens com preços iguais ao adjudicatário:</w:t>
      </w:r>
      <w:r>
        <w:rPr>
          <w:rFonts w:cs="Arial"/>
          <w:color w:val="000000"/>
          <w:sz w:val="20"/>
          <w:szCs w:val="20"/>
        </w:rPr>
      </w:r>
    </w:p>
    <w:p>
      <w:pPr>
        <w:widowControl w:val="false"/>
        <w:pBdr/>
        <w:spacing w:line="360" w:lineRule="auto"/>
        <w:ind w:right="-30"/>
        <w:jc w:val="center"/>
        <w:rPr>
          <w:rFonts w:cs="Arial"/>
          <w:color w:val="000000"/>
          <w:sz w:val="20"/>
          <w:szCs w:val="20"/>
        </w:rPr>
      </w:pPr>
      <w:r>
        <w:rPr>
          <w:rFonts w:cs="Arial"/>
          <w:color w:val="000000"/>
          <w:sz w:val="20"/>
          <w:szCs w:val="20"/>
        </w:rPr>
      </w:r>
      <w:r>
        <w:rPr>
          <w:rFonts w:cs="Arial"/>
          <w:color w:val="000000"/>
          <w:sz w:val="20"/>
          <w:szCs w:val="20"/>
        </w:rPr>
      </w:r>
    </w:p>
    <w:tbl>
      <w:tblPr>
        <w:tblInd w:w="10" w:type="dxa"/>
        <w:tblW w:w="9392" w:type="dxa"/>
        <w:tblCellMar>
          <w:left w:w="10" w:type="dxa"/>
          <w:right w:w="10" w:type="dxa"/>
        </w:tblCellMar>
        <w:tblBorders/>
        <w:tblLayout w:type="fixed"/>
        <w:tblLook w:val="0000" w:firstRow="0" w:lastRow="0" w:firstColumn="0" w:lastColumn="0" w:noHBand="0" w:noVBand="0"/>
      </w:tblPr>
      <w:tblGrid>
        <w:gridCol w:w="497"/>
        <w:gridCol w:w="1333"/>
        <w:gridCol w:w="1253"/>
        <w:gridCol w:w="1541"/>
        <w:gridCol w:w="1121"/>
        <w:gridCol w:w="1121"/>
        <w:gridCol w:w="841"/>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497" w:type="dxa"/>
            <w:vAlign w:val="center"/>
            <w:textDirection w:val="lrTb"/>
            <w:noWrap w:val="false"/>
          </w:tcPr>
          <w:p>
            <w:pPr>
              <w:widowControl w:val="false"/>
              <w:pBdr/>
              <w:spacing w:line="360" w:lineRule="auto"/>
              <w:ind w:right="-30"/>
              <w:jc w:val="center"/>
              <w:rPr>
                <w:rFonts w:cs="Arial"/>
                <w:sz w:val="20"/>
                <w:szCs w:val="20"/>
              </w:rPr>
            </w:pPr>
            <w:r>
              <w:rPr>
                <w:rFonts w:cs="Arial"/>
                <w:sz w:val="20"/>
                <w:szCs w:val="20"/>
              </w:rPr>
              <w:t xml:space="preserve">Item</w:t>
            </w:r>
            <w:r>
              <w:rPr>
                <w:rFonts w:cs="Arial"/>
                <w:sz w:val="20"/>
                <w:szCs w:val="20"/>
              </w:rPr>
            </w:r>
          </w:p>
          <w:p>
            <w:pPr>
              <w:widowControl w:val="false"/>
              <w:pBdr/>
              <w:spacing w:line="360" w:lineRule="auto"/>
              <w:ind w:right="-30"/>
              <w:jc w:val="center"/>
              <w:rPr>
                <w:rFonts w:cs="Arial"/>
                <w:sz w:val="20"/>
                <w:szCs w:val="20"/>
              </w:rPr>
            </w:pPr>
            <w:r>
              <w:rPr>
                <w:rFonts w:cs="Arial"/>
                <w:sz w:val="20"/>
                <w:szCs w:val="20"/>
              </w:rPr>
              <w:t xml:space="preserve">do</w:t>
            </w:r>
            <w:r>
              <w:rPr>
                <w:rFonts w:cs="Arial"/>
                <w:sz w:val="20"/>
                <w:szCs w:val="20"/>
              </w:rPr>
            </w:r>
          </w:p>
          <w:p>
            <w:pPr>
              <w:widowControl w:val="false"/>
              <w:pBdr/>
              <w:spacing w:line="360" w:lineRule="auto"/>
              <w:ind w:right="-30"/>
              <w:jc w:val="center"/>
              <w:rPr>
                <w:rFonts w:cs="Arial"/>
                <w:sz w:val="20"/>
                <w:szCs w:val="20"/>
              </w:rPr>
            </w:pPr>
            <w:r>
              <w:rPr>
                <w:rFonts w:cs="Arial"/>
                <w:sz w:val="20"/>
                <w:szCs w:val="20"/>
              </w:rPr>
              <w:t xml:space="preserve">TR</w:t>
            </w:r>
            <w:r>
              <w:rPr>
                <w:rFonts w:cs="Arial"/>
                <w:sz w:val="20"/>
                <w:szCs w:val="20"/>
              </w:rPr>
            </w:r>
          </w:p>
        </w:tc>
        <w:tc>
          <w:tcPr>
            <w:gridSpan w:val="8"/>
            <w:tcBorders>
              <w:top w:val="single" w:color="000000" w:sz="2" w:space="0"/>
              <w:left w:val="single" w:color="000000" w:sz="2" w:space="0"/>
              <w:bottom w:val="single" w:color="000000" w:sz="2" w:space="0"/>
              <w:right w:val="single" w:color="000000" w:sz="2" w:space="0"/>
            </w:tcBorders>
            <w:tcW w:w="8895" w:type="dxa"/>
            <w:textDirection w:val="lrTb"/>
            <w:noWrap w:val="false"/>
          </w:tcPr>
          <w:p>
            <w:pPr>
              <w:widowControl w:val="false"/>
              <w:pBdr/>
              <w:spacing w:line="360" w:lineRule="auto"/>
              <w:ind w:right="-30"/>
              <w:jc w:val="center"/>
              <w:rPr>
                <w:rFonts w:cs="Arial"/>
                <w:i/>
                <w:color w:val="ff0000"/>
                <w:sz w:val="20"/>
                <w:szCs w:val="20"/>
              </w:rPr>
            </w:pPr>
            <w:r>
              <w:rPr>
                <w:rFonts w:cs="Arial"/>
                <w:sz w:val="20"/>
                <w:szCs w:val="20"/>
              </w:rPr>
              <w:t xml:space="preserve">Fornecedor </w:t>
            </w:r>
            <w:r>
              <w:rPr>
                <w:rFonts w:cs="Arial"/>
                <w:i/>
                <w:color w:val="ff0000"/>
                <w:sz w:val="20"/>
                <w:szCs w:val="20"/>
              </w:rPr>
              <w:t xml:space="preserve">(razão social, CNPJ/MF, endereço, contatos, representante)</w:t>
            </w:r>
            <w:r>
              <w:rPr>
                <w:rFonts w:cs="Arial"/>
                <w:i/>
                <w:color w:val="ff0000"/>
                <w:sz w:val="20"/>
                <w:szCs w:val="20"/>
              </w:rPr>
            </w:r>
          </w:p>
          <w:p>
            <w:pPr>
              <w:widowControl w:val="false"/>
              <w:pBdr/>
              <w:spacing w:line="360" w:lineRule="auto"/>
              <w:ind w:right="-30"/>
              <w:jc w:val="center"/>
              <w:rPr>
                <w:rFonts w:cs="Arial"/>
                <w:sz w:val="20"/>
                <w:szCs w:val="20"/>
              </w:rPr>
            </w:pPr>
            <w:r>
              <w:rPr>
                <w:rFonts w:cs="Arial"/>
                <w:sz w:val="20"/>
                <w:szCs w:val="20"/>
              </w:rPr>
            </w:r>
            <w:r>
              <w:rPr>
                <w:rFonts w:cs="Arial"/>
                <w:sz w:val="20"/>
                <w:szCs w:val="20"/>
              </w:rPr>
            </w:r>
          </w:p>
        </w:tc>
      </w:tr>
      <w:tr>
        <w:trPr>
          <w:trHeight w:val="674"/>
        </w:trPr>
        <w:tc>
          <w:tcPr>
            <w:tcBorders>
              <w:top w:val="none" w:color="000000" w:sz="4" w:space="0"/>
              <w:left w:val="single" w:color="000000" w:sz="2" w:space="0"/>
              <w:bottom w:val="single" w:color="000000" w:sz="2" w:space="0"/>
              <w:right w:val="none" w:color="000000" w:sz="4" w:space="0"/>
            </w:tcBorders>
            <w:tcW w:w="497" w:type="dxa"/>
            <w:vAlign w:val="center"/>
            <w:textDirection w:val="lrTb"/>
            <w:noWrap w:val="false"/>
          </w:tcPr>
          <w:p>
            <w:pPr>
              <w:widowControl w:val="false"/>
              <w:pBdr/>
              <w:spacing w:line="360" w:lineRule="auto"/>
              <w:ind w:right="-30"/>
              <w:jc w:val="center"/>
              <w:rPr>
                <w:rFonts w:cs="Arial"/>
                <w:sz w:val="20"/>
                <w:szCs w:val="20"/>
              </w:rPr>
            </w:pPr>
            <w:r>
              <w:rPr>
                <w:rFonts w:cs="Arial"/>
                <w:sz w:val="20"/>
                <w:szCs w:val="20"/>
              </w:rPr>
              <w:t xml:space="preserve">X</w:t>
            </w:r>
            <w:r>
              <w:rPr>
                <w:rFonts w:cs="Arial"/>
                <w:sz w:val="20"/>
                <w:szCs w:val="20"/>
              </w:rPr>
            </w:r>
          </w:p>
        </w:tc>
        <w:tc>
          <w:tcPr>
            <w:tcBorders>
              <w:top w:val="none" w:color="000000" w:sz="4" w:space="0"/>
              <w:left w:val="single" w:color="000000" w:sz="2" w:space="0"/>
              <w:bottom w:val="single" w:color="000000" w:sz="2" w:space="0"/>
              <w:right w:val="none" w:color="000000" w:sz="4" w:space="0"/>
            </w:tcBorders>
            <w:tcW w:w="1333" w:type="dxa"/>
            <w:textDirection w:val="lrTb"/>
            <w:noWrap w:val="false"/>
          </w:tcPr>
          <w:p>
            <w:pPr>
              <w:widowControl w:val="false"/>
              <w:pBdr/>
              <w:spacing w:line="360" w:lineRule="auto"/>
              <w:ind w:right="-30"/>
              <w:rPr>
                <w:rFonts w:cs="Arial"/>
                <w:sz w:val="20"/>
                <w:szCs w:val="20"/>
              </w:rPr>
            </w:pPr>
            <w:r>
              <w:rPr>
                <w:rFonts w:cs="Arial"/>
                <w:sz w:val="20"/>
                <w:szCs w:val="20"/>
              </w:rPr>
              <w:t xml:space="preserve">Especificação</w:t>
            </w:r>
            <w:r>
              <w:rPr>
                <w:rFonts w:cs="Arial"/>
                <w:sz w:val="20"/>
                <w:szCs w:val="20"/>
              </w:rP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widowControl w:val="false"/>
              <w:pBdr/>
              <w:spacing w:line="360" w:lineRule="auto"/>
              <w:ind w:right="-30"/>
              <w:jc w:val="center"/>
              <w:rPr>
                <w:rFonts w:cs="Arial"/>
                <w:i/>
                <w:iCs/>
                <w:sz w:val="20"/>
                <w:szCs w:val="20"/>
              </w:rPr>
            </w:pPr>
            <w:r>
              <w:rPr>
                <w:rFonts w:cs="Arial"/>
                <w:i/>
                <w:iCs/>
                <w:sz w:val="20"/>
                <w:szCs w:val="20"/>
              </w:rPr>
              <w:t xml:space="preserve">Marca </w:t>
            </w:r>
            <w:r>
              <w:rPr>
                <w:rFonts w:cs="Arial"/>
                <w:i/>
                <w:iCs/>
                <w:sz w:val="20"/>
                <w:szCs w:val="20"/>
              </w:rPr>
            </w:r>
          </w:p>
          <w:p>
            <w:pPr>
              <w:widowControl w:val="false"/>
              <w:pBdr/>
              <w:spacing w:line="360" w:lineRule="auto"/>
              <w:ind w:right="-30"/>
              <w:jc w:val="center"/>
              <w:rPr>
                <w:rFonts w:cs="Arial"/>
                <w:i/>
                <w:iCs/>
                <w:sz w:val="20"/>
                <w:szCs w:val="20"/>
              </w:rPr>
            </w:pPr>
            <w:r>
              <w:rPr>
                <w:rFonts w:cs="Arial"/>
                <w:i/>
                <w:iCs/>
                <w:sz w:val="20"/>
                <w:szCs w:val="20"/>
              </w:rPr>
              <w:t xml:space="preserve">(se exigida no edital)</w:t>
            </w:r>
            <w:r>
              <w:rPr>
                <w:rFonts w:cs="Arial"/>
                <w:i/>
                <w:iCs/>
                <w:sz w:val="20"/>
                <w:szCs w:val="20"/>
              </w:rPr>
            </w:r>
          </w:p>
        </w:tc>
        <w:tc>
          <w:tcPr>
            <w:tcBorders>
              <w:top w:val="none" w:color="000000" w:sz="4" w:space="0"/>
              <w:left w:val="single" w:color="000000" w:sz="2" w:space="0"/>
              <w:bottom w:val="single" w:color="000000" w:sz="2" w:space="0"/>
              <w:right w:val="none" w:color="000000" w:sz="4" w:space="0"/>
            </w:tcBorders>
            <w:tcW w:w="1541" w:type="dxa"/>
            <w:textDirection w:val="lrTb"/>
            <w:noWrap w:val="false"/>
          </w:tcPr>
          <w:p>
            <w:pPr>
              <w:widowControl w:val="false"/>
              <w:pBdr/>
              <w:spacing w:line="360" w:lineRule="auto"/>
              <w:ind w:right="-30"/>
              <w:jc w:val="center"/>
              <w:rPr>
                <w:rFonts w:cs="Arial"/>
                <w:i/>
                <w:iCs/>
                <w:sz w:val="20"/>
                <w:szCs w:val="20"/>
              </w:rPr>
            </w:pPr>
            <w:r>
              <w:rPr>
                <w:rFonts w:cs="Arial"/>
                <w:i/>
                <w:iCs/>
                <w:sz w:val="20"/>
                <w:szCs w:val="20"/>
              </w:rPr>
              <w:t xml:space="preserve">Modelo</w:t>
            </w:r>
            <w:r>
              <w:rPr>
                <w:rFonts w:cs="Arial"/>
                <w:i/>
                <w:iCs/>
                <w:sz w:val="20"/>
                <w:szCs w:val="20"/>
              </w:rPr>
            </w:r>
          </w:p>
          <w:p>
            <w:pPr>
              <w:widowControl w:val="false"/>
              <w:pBdr/>
              <w:spacing w:line="360" w:lineRule="auto"/>
              <w:ind w:right="-30"/>
              <w:jc w:val="center"/>
              <w:rPr>
                <w:rFonts w:cs="Arial"/>
                <w:i/>
                <w:iCs/>
                <w:sz w:val="20"/>
                <w:szCs w:val="20"/>
              </w:rPr>
            </w:pPr>
            <w:r>
              <w:rPr>
                <w:rFonts w:cs="Arial"/>
                <w:i/>
                <w:iCs/>
                <w:sz w:val="20"/>
                <w:szCs w:val="20"/>
              </w:rPr>
              <w:t xml:space="preserve">(se exigido no edital)</w:t>
            </w:r>
            <w:r>
              <w:rPr>
                <w:rFonts w:cs="Arial"/>
                <w:i/>
                <w:iCs/>
                <w:sz w:val="20"/>
                <w:szCs w:val="20"/>
              </w:rPr>
            </w:r>
          </w:p>
        </w:tc>
        <w:tc>
          <w:tcPr>
            <w:tcBorders>
              <w:top w:val="none" w:color="000000" w:sz="4" w:space="0"/>
              <w:left w:val="single" w:color="000000" w:sz="2" w:space="0"/>
              <w:bottom w:val="single" w:color="000000" w:sz="2" w:space="0"/>
              <w:right w:val="none" w:color="000000" w:sz="4" w:space="0"/>
            </w:tcBorders>
            <w:tcW w:w="1121" w:type="dxa"/>
            <w:textDirection w:val="lrTb"/>
            <w:noWrap w:val="false"/>
          </w:tcPr>
          <w:p>
            <w:pPr>
              <w:widowControl w:val="false"/>
              <w:pBdr/>
              <w:spacing w:line="360" w:lineRule="auto"/>
              <w:ind w:right="-30"/>
              <w:jc w:val="center"/>
              <w:rPr>
                <w:rFonts w:cs="Arial"/>
                <w:sz w:val="20"/>
                <w:szCs w:val="20"/>
              </w:rPr>
            </w:pPr>
            <w:r>
              <w:rPr>
                <w:rFonts w:cs="Arial"/>
                <w:sz w:val="20"/>
                <w:szCs w:val="20"/>
              </w:rPr>
              <w:t xml:space="preserve">Unidade</w:t>
            </w:r>
            <w:r>
              <w:rPr>
                <w:rFonts w:cs="Arial"/>
                <w:sz w:val="20"/>
                <w:szCs w:val="20"/>
              </w:rPr>
            </w:r>
          </w:p>
        </w:tc>
        <w:tc>
          <w:tcPr>
            <w:tcBorders>
              <w:top w:val="none" w:color="000000" w:sz="4" w:space="0"/>
              <w:left w:val="single" w:color="000000" w:sz="2" w:space="0"/>
              <w:bottom w:val="single" w:color="000000" w:sz="2" w:space="0"/>
              <w:right w:val="none" w:color="000000" w:sz="4" w:space="0"/>
            </w:tcBorders>
            <w:tcW w:w="1121" w:type="dxa"/>
            <w:textDirection w:val="lrTb"/>
            <w:noWrap w:val="false"/>
          </w:tcPr>
          <w:p>
            <w:pPr>
              <w:widowControl w:val="false"/>
              <w:pBdr/>
              <w:spacing w:line="360" w:lineRule="auto"/>
              <w:ind w:right="-30"/>
              <w:jc w:val="center"/>
              <w:rPr>
                <w:rFonts w:cs="Arial"/>
                <w:sz w:val="20"/>
                <w:szCs w:val="20"/>
              </w:rPr>
            </w:pPr>
            <w:r>
              <w:rPr>
                <w:rFonts w:cs="Arial"/>
                <w:sz w:val="20"/>
                <w:szCs w:val="20"/>
              </w:rPr>
              <w:t xml:space="preserve">QuantidadeMáxima</w:t>
            </w:r>
            <w:r>
              <w:rPr>
                <w:rFonts w:cs="Arial"/>
                <w:sz w:val="20"/>
                <w:szCs w:val="20"/>
              </w:rPr>
            </w:r>
          </w:p>
        </w:tc>
        <w:tc>
          <w:tcPr>
            <w:tcBorders>
              <w:top w:val="none" w:color="000000" w:sz="4" w:space="0"/>
              <w:left w:val="single" w:color="000000" w:sz="2" w:space="0"/>
              <w:bottom w:val="single" w:color="000000" w:sz="2" w:space="0"/>
              <w:right w:val="single" w:color="000000" w:sz="2" w:space="0"/>
            </w:tcBorders>
            <w:tcW w:w="841" w:type="dxa"/>
            <w:textDirection w:val="lrTb"/>
            <w:noWrap w:val="false"/>
          </w:tcPr>
          <w:p>
            <w:pPr>
              <w:widowControl w:val="false"/>
              <w:pBdr/>
              <w:spacing w:line="360" w:lineRule="auto"/>
              <w:ind w:right="-30"/>
              <w:jc w:val="center"/>
              <w:rPr>
                <w:rFonts w:cs="Arial"/>
                <w:sz w:val="20"/>
                <w:szCs w:val="20"/>
              </w:rPr>
            </w:pPr>
            <w:r>
              <w:rPr>
                <w:rFonts w:cs="Arial"/>
                <w:sz w:val="20"/>
                <w:szCs w:val="20"/>
              </w:rPr>
              <w:t xml:space="preserve">Quantidade Mínima</w:t>
            </w:r>
            <w:r>
              <w:rPr>
                <w:rFonts w:cs="Arial"/>
                <w:sz w:val="20"/>
                <w:szCs w:val="20"/>
              </w:rP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widowControl w:val="false"/>
              <w:pBdr/>
              <w:spacing w:line="360" w:lineRule="auto"/>
              <w:ind w:right="-30"/>
              <w:jc w:val="center"/>
              <w:rPr>
                <w:rFonts w:cs="Arial"/>
                <w:sz w:val="20"/>
                <w:szCs w:val="20"/>
              </w:rPr>
            </w:pPr>
            <w:r>
              <w:rPr>
                <w:rFonts w:cs="Arial"/>
                <w:sz w:val="20"/>
                <w:szCs w:val="20"/>
              </w:rPr>
              <w:t xml:space="preserve">Valor Un</w:t>
            </w:r>
            <w:r>
              <w:rPr>
                <w:rFonts w:cs="Arial"/>
                <w:sz w:val="20"/>
                <w:szCs w:val="20"/>
              </w:rP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widowControl w:val="false"/>
              <w:pBdr/>
              <w:spacing w:line="360" w:lineRule="auto"/>
              <w:ind w:right="-30"/>
              <w:jc w:val="center"/>
              <w:rPr>
                <w:rFonts w:cs="Arial"/>
                <w:sz w:val="20"/>
                <w:szCs w:val="20"/>
              </w:rPr>
            </w:pPr>
            <w:r>
              <w:rPr>
                <w:rFonts w:cs="Arial"/>
                <w:i/>
                <w:iCs/>
                <w:sz w:val="20"/>
                <w:szCs w:val="20"/>
              </w:rPr>
              <w:t xml:space="preserve">Prazo garantia ou validade</w:t>
            </w:r>
            <w:r>
              <w:rPr>
                <w:rFonts w:cs="Arial"/>
                <w:sz w:val="20"/>
                <w:szCs w:val="20"/>
              </w:rPr>
            </w:r>
          </w:p>
        </w:tc>
      </w:tr>
      <w:tr>
        <w:trPr>
          <w:trHeight w:val="174"/>
        </w:trPr>
        <w:tc>
          <w:tcPr>
            <w:tcBorders>
              <w:top w:val="none" w:color="000000" w:sz="4" w:space="0"/>
              <w:left w:val="single" w:color="000000" w:sz="2" w:space="0"/>
              <w:bottom w:val="single" w:color="000000" w:sz="2" w:space="0"/>
              <w:right w:val="none" w:color="000000" w:sz="4" w:space="0"/>
            </w:tcBorders>
            <w:tcW w:w="497"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333"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54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12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12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single" w:color="000000" w:sz="2" w:space="0"/>
            </w:tcBorders>
            <w:tcW w:w="84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r>
    </w:tbl>
    <w:p>
      <w:pPr>
        <w:widowControl w:val="false"/>
        <w:pBdr/>
        <w:spacing w:line="360" w:lineRule="auto"/>
        <w:ind w:right="-30"/>
        <w:jc w:val="center"/>
        <w:rPr>
          <w:rFonts w:cs="Arial"/>
          <w:color w:val="000000"/>
          <w:sz w:val="20"/>
          <w:szCs w:val="20"/>
        </w:rPr>
      </w:pPr>
      <w:r>
        <w:rPr>
          <w:rFonts w:cs="Arial"/>
          <w:color w:val="000000"/>
          <w:sz w:val="20"/>
          <w:szCs w:val="20"/>
        </w:rPr>
      </w:r>
      <w:r>
        <w:rPr>
          <w:rFonts w:cs="Arial"/>
          <w:color w:val="000000"/>
          <w:sz w:val="20"/>
          <w:szCs w:val="20"/>
        </w:rPr>
      </w:r>
    </w:p>
    <w:p>
      <w:pPr>
        <w:widowControl w:val="false"/>
        <w:pBdr/>
        <w:spacing w:line="360" w:lineRule="auto"/>
        <w:ind w:right="-30"/>
        <w:jc w:val="center"/>
        <w:rPr>
          <w:rFonts w:cs="Arial"/>
          <w:color w:val="000000"/>
          <w:sz w:val="20"/>
          <w:szCs w:val="20"/>
        </w:rPr>
      </w:pPr>
      <w:r>
        <w:rPr>
          <w:rFonts w:cs="Arial"/>
          <w:color w:val="000000"/>
          <w:sz w:val="20"/>
          <w:szCs w:val="20"/>
        </w:rPr>
      </w:r>
      <w:r>
        <w:rPr>
          <w:rFonts w:cs="Arial"/>
          <w:color w:val="000000"/>
          <w:sz w:val="20"/>
          <w:szCs w:val="20"/>
        </w:rPr>
      </w:r>
    </w:p>
    <w:p>
      <w:pPr>
        <w:widowControl w:val="false"/>
        <w:pBdr/>
        <w:spacing w:line="360" w:lineRule="auto"/>
        <w:ind w:right="-30"/>
        <w:jc w:val="center"/>
        <w:rPr>
          <w:rFonts w:cs="Arial"/>
          <w:color w:val="000000"/>
          <w:sz w:val="20"/>
          <w:szCs w:val="20"/>
        </w:rPr>
      </w:pPr>
      <w:r>
        <w:rPr>
          <w:rFonts w:cs="Arial"/>
          <w:color w:val="000000"/>
          <w:sz w:val="20"/>
          <w:szCs w:val="20"/>
        </w:rPr>
        <w:t xml:space="preserve">Seguindo a ordem de classificação, segue relação de fornecedores que mantiveram sua proposta original:</w:t>
      </w:r>
      <w:r>
        <w:rPr>
          <w:rFonts w:cs="Arial"/>
          <w:color w:val="000000"/>
          <w:sz w:val="20"/>
          <w:szCs w:val="20"/>
        </w:rPr>
      </w:r>
    </w:p>
    <w:p>
      <w:pPr>
        <w:widowControl w:val="false"/>
        <w:pBdr/>
        <w:spacing w:line="360" w:lineRule="auto"/>
        <w:ind w:right="-30"/>
        <w:jc w:val="center"/>
        <w:rPr>
          <w:rFonts w:cs="Arial"/>
          <w:color w:val="000000"/>
          <w:sz w:val="20"/>
          <w:szCs w:val="20"/>
        </w:rPr>
      </w:pPr>
      <w:r>
        <w:rPr>
          <w:rFonts w:cs="Arial"/>
          <w:color w:val="000000"/>
          <w:sz w:val="20"/>
          <w:szCs w:val="20"/>
        </w:rPr>
      </w:r>
      <w:r>
        <w:rPr>
          <w:rFonts w:cs="Arial"/>
          <w:color w:val="000000"/>
          <w:sz w:val="20"/>
          <w:szCs w:val="20"/>
        </w:rPr>
      </w:r>
    </w:p>
    <w:tbl>
      <w:tblPr>
        <w:tblInd w:w="10" w:type="dxa"/>
        <w:tblW w:w="9392" w:type="dxa"/>
        <w:tblCellMar>
          <w:left w:w="10" w:type="dxa"/>
          <w:right w:w="10" w:type="dxa"/>
        </w:tblCellMar>
        <w:tblBorders/>
        <w:tblLayout w:type="fixed"/>
        <w:tblLook w:val="0000" w:firstRow="0" w:lastRow="0" w:firstColumn="0" w:lastColumn="0" w:noHBand="0" w:noVBand="0"/>
      </w:tblPr>
      <w:tblGrid>
        <w:gridCol w:w="696"/>
        <w:gridCol w:w="1134"/>
        <w:gridCol w:w="1253"/>
        <w:gridCol w:w="1541"/>
        <w:gridCol w:w="1121"/>
        <w:gridCol w:w="1121"/>
        <w:gridCol w:w="841"/>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widowControl w:val="false"/>
              <w:pBdr/>
              <w:spacing w:line="360" w:lineRule="auto"/>
              <w:ind w:right="-30"/>
              <w:jc w:val="center"/>
              <w:rPr>
                <w:rFonts w:cs="Arial"/>
                <w:sz w:val="20"/>
                <w:szCs w:val="20"/>
              </w:rPr>
            </w:pPr>
            <w:r>
              <w:rPr>
                <w:rFonts w:cs="Arial"/>
                <w:sz w:val="20"/>
                <w:szCs w:val="20"/>
              </w:rPr>
              <w:t xml:space="preserve">Item</w:t>
            </w:r>
            <w:r>
              <w:rPr>
                <w:rFonts w:cs="Arial"/>
                <w:sz w:val="20"/>
                <w:szCs w:val="20"/>
              </w:rPr>
            </w:r>
          </w:p>
          <w:p>
            <w:pPr>
              <w:widowControl w:val="false"/>
              <w:pBdr/>
              <w:spacing w:line="360" w:lineRule="auto"/>
              <w:ind w:right="-30"/>
              <w:jc w:val="center"/>
              <w:rPr>
                <w:rFonts w:cs="Arial"/>
                <w:sz w:val="20"/>
                <w:szCs w:val="20"/>
              </w:rPr>
            </w:pPr>
            <w:r>
              <w:rPr>
                <w:rFonts w:cs="Arial"/>
                <w:sz w:val="20"/>
                <w:szCs w:val="20"/>
              </w:rPr>
              <w:t xml:space="preserve">do</w:t>
            </w:r>
            <w:r>
              <w:rPr>
                <w:rFonts w:cs="Arial"/>
                <w:sz w:val="20"/>
                <w:szCs w:val="20"/>
              </w:rPr>
            </w:r>
          </w:p>
          <w:p>
            <w:pPr>
              <w:widowControl w:val="false"/>
              <w:pBdr/>
              <w:spacing w:line="360" w:lineRule="auto"/>
              <w:ind w:right="-30"/>
              <w:jc w:val="center"/>
              <w:rPr>
                <w:rFonts w:cs="Arial"/>
                <w:sz w:val="20"/>
                <w:szCs w:val="20"/>
              </w:rPr>
            </w:pPr>
            <w:r>
              <w:rPr>
                <w:rFonts w:cs="Arial"/>
                <w:sz w:val="20"/>
                <w:szCs w:val="20"/>
              </w:rPr>
              <w:t xml:space="preserve">TR</w:t>
            </w:r>
            <w:r>
              <w:rPr>
                <w:rFonts w:cs="Arial"/>
                <w:sz w:val="20"/>
                <w:szCs w:val="20"/>
              </w:rP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widowControl w:val="false"/>
              <w:pBdr/>
              <w:spacing w:line="360" w:lineRule="auto"/>
              <w:ind w:right="-30"/>
              <w:jc w:val="center"/>
              <w:rPr>
                <w:rFonts w:cs="Arial"/>
                <w:i/>
                <w:color w:val="ff0000"/>
                <w:sz w:val="20"/>
                <w:szCs w:val="20"/>
              </w:rPr>
            </w:pPr>
            <w:r>
              <w:rPr>
                <w:rFonts w:cs="Arial"/>
                <w:sz w:val="20"/>
                <w:szCs w:val="20"/>
              </w:rPr>
              <w:t xml:space="preserve">Fornecedor </w:t>
            </w:r>
            <w:r>
              <w:rPr>
                <w:rFonts w:cs="Arial"/>
                <w:i/>
                <w:color w:val="ff0000"/>
                <w:sz w:val="20"/>
                <w:szCs w:val="20"/>
              </w:rPr>
              <w:t xml:space="preserve">(razão social, CNPJ/MF, endereço, contatos, representante)</w:t>
            </w:r>
            <w:r>
              <w:rPr>
                <w:rFonts w:cs="Arial"/>
                <w:i/>
                <w:color w:val="ff0000"/>
                <w:sz w:val="20"/>
                <w:szCs w:val="20"/>
              </w:rPr>
            </w:r>
          </w:p>
          <w:p>
            <w:pPr>
              <w:widowControl w:val="false"/>
              <w:pBdr/>
              <w:spacing w:line="360" w:lineRule="auto"/>
              <w:ind w:right="-30"/>
              <w:jc w:val="center"/>
              <w:rPr>
                <w:rFonts w:cs="Arial"/>
                <w:sz w:val="20"/>
                <w:szCs w:val="20"/>
              </w:rPr>
            </w:pPr>
            <w:r>
              <w:rPr>
                <w:rFonts w:cs="Arial"/>
                <w:sz w:val="20"/>
                <w:szCs w:val="20"/>
              </w:rPr>
            </w:r>
            <w:r>
              <w:rPr>
                <w:rFonts w:cs="Arial"/>
                <w:sz w:val="20"/>
                <w:szCs w:val="20"/>
              </w:rP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widowControl w:val="false"/>
              <w:pBdr/>
              <w:spacing w:line="360" w:lineRule="auto"/>
              <w:ind w:right="-30"/>
              <w:jc w:val="center"/>
              <w:rPr>
                <w:rFonts w:cs="Arial"/>
                <w:sz w:val="20"/>
                <w:szCs w:val="20"/>
              </w:rPr>
            </w:pPr>
            <w:r>
              <w:rPr>
                <w:rFonts w:cs="Arial"/>
                <w:sz w:val="20"/>
                <w:szCs w:val="20"/>
              </w:rPr>
              <w:t xml:space="preserve">X</w:t>
            </w:r>
            <w:r>
              <w:rPr>
                <w:rFonts w:cs="Arial"/>
                <w:sz w:val="20"/>
                <w:szCs w:val="20"/>
              </w:rP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widowControl w:val="false"/>
              <w:pBdr/>
              <w:spacing w:line="360" w:lineRule="auto"/>
              <w:ind w:right="-30"/>
              <w:rPr>
                <w:rFonts w:cs="Arial"/>
                <w:sz w:val="20"/>
                <w:szCs w:val="20"/>
              </w:rPr>
            </w:pPr>
            <w:r>
              <w:rPr>
                <w:rFonts w:cs="Arial"/>
                <w:sz w:val="20"/>
                <w:szCs w:val="20"/>
              </w:rPr>
              <w:t xml:space="preserve">Especificação</w:t>
            </w:r>
            <w:r>
              <w:rPr>
                <w:rFonts w:cs="Arial"/>
                <w:sz w:val="20"/>
                <w:szCs w:val="20"/>
              </w:rP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widowControl w:val="false"/>
              <w:pBdr/>
              <w:spacing w:line="360" w:lineRule="auto"/>
              <w:ind w:right="-30"/>
              <w:jc w:val="center"/>
              <w:rPr>
                <w:rFonts w:cs="Arial"/>
                <w:i/>
                <w:iCs/>
                <w:sz w:val="20"/>
                <w:szCs w:val="20"/>
              </w:rPr>
            </w:pPr>
            <w:r>
              <w:rPr>
                <w:rFonts w:cs="Arial"/>
                <w:i/>
                <w:iCs/>
                <w:sz w:val="20"/>
                <w:szCs w:val="20"/>
              </w:rPr>
              <w:t xml:space="preserve">Marca </w:t>
            </w:r>
            <w:r>
              <w:rPr>
                <w:rFonts w:cs="Arial"/>
                <w:i/>
                <w:iCs/>
                <w:sz w:val="20"/>
                <w:szCs w:val="20"/>
              </w:rPr>
            </w:r>
          </w:p>
          <w:p>
            <w:pPr>
              <w:widowControl w:val="false"/>
              <w:pBdr/>
              <w:spacing w:line="360" w:lineRule="auto"/>
              <w:ind w:right="-30"/>
              <w:jc w:val="center"/>
              <w:rPr>
                <w:rFonts w:cs="Arial"/>
                <w:i/>
                <w:iCs/>
                <w:sz w:val="20"/>
                <w:szCs w:val="20"/>
              </w:rPr>
            </w:pPr>
            <w:r>
              <w:rPr>
                <w:rFonts w:cs="Arial"/>
                <w:i/>
                <w:iCs/>
                <w:sz w:val="20"/>
                <w:szCs w:val="20"/>
              </w:rPr>
              <w:t xml:space="preserve">(se exigida no edital)</w:t>
            </w:r>
            <w:r>
              <w:rPr>
                <w:rFonts w:cs="Arial"/>
                <w:i/>
                <w:iCs/>
                <w:sz w:val="20"/>
                <w:szCs w:val="20"/>
              </w:rPr>
            </w:r>
          </w:p>
        </w:tc>
        <w:tc>
          <w:tcPr>
            <w:tcBorders>
              <w:top w:val="none" w:color="000000" w:sz="4" w:space="0"/>
              <w:left w:val="single" w:color="000000" w:sz="2" w:space="0"/>
              <w:bottom w:val="single" w:color="000000" w:sz="2" w:space="0"/>
              <w:right w:val="none" w:color="000000" w:sz="4" w:space="0"/>
            </w:tcBorders>
            <w:tcW w:w="1541" w:type="dxa"/>
            <w:textDirection w:val="lrTb"/>
            <w:noWrap w:val="false"/>
          </w:tcPr>
          <w:p>
            <w:pPr>
              <w:widowControl w:val="false"/>
              <w:pBdr/>
              <w:spacing w:line="360" w:lineRule="auto"/>
              <w:ind w:right="-30"/>
              <w:jc w:val="center"/>
              <w:rPr>
                <w:rFonts w:cs="Arial"/>
                <w:i/>
                <w:iCs/>
                <w:sz w:val="20"/>
                <w:szCs w:val="20"/>
              </w:rPr>
            </w:pPr>
            <w:r>
              <w:rPr>
                <w:rFonts w:cs="Arial"/>
                <w:i/>
                <w:iCs/>
                <w:sz w:val="20"/>
                <w:szCs w:val="20"/>
              </w:rPr>
              <w:t xml:space="preserve">Modelo</w:t>
            </w:r>
            <w:r>
              <w:rPr>
                <w:rFonts w:cs="Arial"/>
                <w:i/>
                <w:iCs/>
                <w:sz w:val="20"/>
                <w:szCs w:val="20"/>
              </w:rPr>
            </w:r>
          </w:p>
          <w:p>
            <w:pPr>
              <w:widowControl w:val="false"/>
              <w:pBdr/>
              <w:spacing w:line="360" w:lineRule="auto"/>
              <w:ind w:right="-30"/>
              <w:jc w:val="center"/>
              <w:rPr>
                <w:rFonts w:cs="Arial"/>
                <w:i/>
                <w:iCs/>
                <w:sz w:val="20"/>
                <w:szCs w:val="20"/>
              </w:rPr>
            </w:pPr>
            <w:r>
              <w:rPr>
                <w:rFonts w:cs="Arial"/>
                <w:i/>
                <w:iCs/>
                <w:sz w:val="20"/>
                <w:szCs w:val="20"/>
              </w:rPr>
              <w:t xml:space="preserve">(se exigido no edital)</w:t>
            </w:r>
            <w:r>
              <w:rPr>
                <w:rFonts w:cs="Arial"/>
                <w:i/>
                <w:iCs/>
                <w:sz w:val="20"/>
                <w:szCs w:val="20"/>
              </w:rPr>
            </w:r>
          </w:p>
        </w:tc>
        <w:tc>
          <w:tcPr>
            <w:tcBorders>
              <w:top w:val="none" w:color="000000" w:sz="4" w:space="0"/>
              <w:left w:val="single" w:color="000000" w:sz="2" w:space="0"/>
              <w:bottom w:val="single" w:color="000000" w:sz="2" w:space="0"/>
              <w:right w:val="none" w:color="000000" w:sz="4" w:space="0"/>
            </w:tcBorders>
            <w:tcW w:w="1121" w:type="dxa"/>
            <w:textDirection w:val="lrTb"/>
            <w:noWrap w:val="false"/>
          </w:tcPr>
          <w:p>
            <w:pPr>
              <w:widowControl w:val="false"/>
              <w:pBdr/>
              <w:spacing w:line="360" w:lineRule="auto"/>
              <w:ind w:right="-30"/>
              <w:jc w:val="center"/>
              <w:rPr>
                <w:rFonts w:cs="Arial"/>
                <w:sz w:val="20"/>
                <w:szCs w:val="20"/>
              </w:rPr>
            </w:pPr>
            <w:r>
              <w:rPr>
                <w:rFonts w:cs="Arial"/>
                <w:sz w:val="20"/>
                <w:szCs w:val="20"/>
              </w:rPr>
              <w:t xml:space="preserve">Unidade</w:t>
            </w:r>
            <w:r>
              <w:rPr>
                <w:rFonts w:cs="Arial"/>
                <w:sz w:val="20"/>
                <w:szCs w:val="20"/>
              </w:rPr>
            </w:r>
          </w:p>
        </w:tc>
        <w:tc>
          <w:tcPr>
            <w:tcBorders>
              <w:top w:val="none" w:color="000000" w:sz="4" w:space="0"/>
              <w:left w:val="single" w:color="000000" w:sz="2" w:space="0"/>
              <w:bottom w:val="single" w:color="000000" w:sz="2" w:space="0"/>
              <w:right w:val="none" w:color="000000" w:sz="4" w:space="0"/>
            </w:tcBorders>
            <w:tcW w:w="1121" w:type="dxa"/>
            <w:textDirection w:val="lrTb"/>
            <w:noWrap w:val="false"/>
          </w:tcPr>
          <w:p>
            <w:pPr>
              <w:widowControl w:val="false"/>
              <w:pBdr/>
              <w:spacing w:line="360" w:lineRule="auto"/>
              <w:ind w:right="-30"/>
              <w:jc w:val="center"/>
              <w:rPr>
                <w:rFonts w:cs="Arial"/>
                <w:sz w:val="20"/>
                <w:szCs w:val="20"/>
              </w:rPr>
            </w:pPr>
            <w:r>
              <w:rPr>
                <w:rFonts w:cs="Arial"/>
                <w:sz w:val="20"/>
                <w:szCs w:val="20"/>
              </w:rPr>
              <w:t xml:space="preserve">QuantidadeMáxima</w:t>
            </w:r>
            <w:r>
              <w:rPr>
                <w:rFonts w:cs="Arial"/>
                <w:sz w:val="20"/>
                <w:szCs w:val="20"/>
              </w:rPr>
            </w:r>
          </w:p>
        </w:tc>
        <w:tc>
          <w:tcPr>
            <w:tcBorders>
              <w:top w:val="none" w:color="000000" w:sz="4" w:space="0"/>
              <w:left w:val="single" w:color="000000" w:sz="2" w:space="0"/>
              <w:bottom w:val="single" w:color="000000" w:sz="2" w:space="0"/>
              <w:right w:val="single" w:color="000000" w:sz="2" w:space="0"/>
            </w:tcBorders>
            <w:tcW w:w="841" w:type="dxa"/>
            <w:textDirection w:val="lrTb"/>
            <w:noWrap w:val="false"/>
          </w:tcPr>
          <w:p>
            <w:pPr>
              <w:widowControl w:val="false"/>
              <w:pBdr/>
              <w:spacing w:line="360" w:lineRule="auto"/>
              <w:ind w:right="-30"/>
              <w:jc w:val="center"/>
              <w:rPr>
                <w:rFonts w:cs="Arial"/>
                <w:sz w:val="20"/>
                <w:szCs w:val="20"/>
              </w:rPr>
            </w:pPr>
            <w:r>
              <w:rPr>
                <w:rFonts w:cs="Arial"/>
                <w:sz w:val="20"/>
                <w:szCs w:val="20"/>
              </w:rPr>
              <w:t xml:space="preserve">Quantidade Mínima</w:t>
            </w:r>
            <w:r>
              <w:rPr>
                <w:rFonts w:cs="Arial"/>
                <w:sz w:val="20"/>
                <w:szCs w:val="20"/>
              </w:rP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widowControl w:val="false"/>
              <w:pBdr/>
              <w:spacing w:line="360" w:lineRule="auto"/>
              <w:ind w:right="-30"/>
              <w:jc w:val="center"/>
              <w:rPr>
                <w:rFonts w:cs="Arial"/>
                <w:sz w:val="20"/>
                <w:szCs w:val="20"/>
              </w:rPr>
            </w:pPr>
            <w:r>
              <w:rPr>
                <w:rFonts w:cs="Arial"/>
                <w:sz w:val="20"/>
                <w:szCs w:val="20"/>
              </w:rPr>
              <w:t xml:space="preserve">Valor Un</w:t>
            </w:r>
            <w:r>
              <w:rPr>
                <w:rFonts w:cs="Arial"/>
                <w:sz w:val="20"/>
                <w:szCs w:val="20"/>
              </w:rP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widowControl w:val="false"/>
              <w:pBdr/>
              <w:spacing w:line="360" w:lineRule="auto"/>
              <w:ind w:right="-30"/>
              <w:jc w:val="center"/>
              <w:rPr>
                <w:rFonts w:cs="Arial"/>
                <w:sz w:val="20"/>
                <w:szCs w:val="20"/>
              </w:rPr>
            </w:pPr>
            <w:r>
              <w:rPr>
                <w:rFonts w:cs="Arial"/>
                <w:i/>
                <w:iCs/>
                <w:sz w:val="20"/>
                <w:szCs w:val="20"/>
              </w:rPr>
              <w:t xml:space="preserve">Prazo garantia ou validade</w:t>
            </w:r>
            <w:r>
              <w:rPr>
                <w:rFonts w:cs="Arial"/>
                <w:sz w:val="20"/>
                <w:szCs w:val="20"/>
              </w:rP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54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12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112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single" w:color="000000" w:sz="2" w:space="0"/>
            </w:tcBorders>
            <w:tcW w:w="84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widowControl w:val="false"/>
              <w:pBdr/>
              <w:spacing w:line="360" w:lineRule="auto"/>
              <w:ind w:right="-30"/>
              <w:rPr>
                <w:rFonts w:cs="Arial"/>
                <w:sz w:val="20"/>
                <w:szCs w:val="20"/>
              </w:rPr>
            </w:pPr>
            <w:r>
              <w:rPr>
                <w:rFonts w:cs="Arial"/>
                <w:sz w:val="20"/>
                <w:szCs w:val="20"/>
              </w:rPr>
            </w:r>
            <w:r>
              <w:rPr>
                <w:rFonts w:cs="Arial"/>
                <w:sz w:val="20"/>
                <w:szCs w:val="20"/>
              </w:rPr>
            </w:r>
          </w:p>
        </w:tc>
      </w:tr>
    </w:tbl>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outlineLvl w:val="0"/>
        <w:rPr>
          <w:rFonts w:eastAsia="Arial Unicode MS" w:cs="Arial"/>
          <w:b/>
          <w:sz w:val="24"/>
          <w:szCs w:val="24"/>
        </w:rPr>
      </w:pPr>
      <w:r>
        <w:rPr>
          <w:rFonts w:eastAsia="Arial Unicode MS" w:cs="Arial"/>
          <w:b/>
          <w:sz w:val="24"/>
          <w:szCs w:val="24"/>
        </w:rPr>
        <w:t xml:space="preserve">ANEXO VI – MINUTA DO FUTURO CONTRATO</w:t>
      </w:r>
      <w:r>
        <w:rPr>
          <w:rFonts w:eastAsia="Arial Unicode MS" w:cs="Arial"/>
          <w:b/>
          <w:sz w:val="24"/>
          <w:szCs w:val="24"/>
        </w:rPr>
      </w:r>
    </w:p>
    <w:p>
      <w:pPr>
        <w:pBdr/>
        <w:spacing/>
        <w:ind/>
        <w:jc w:val="center"/>
        <w:rPr>
          <w:rFonts w:cs="Arial"/>
          <w:sz w:val="24"/>
          <w:szCs w:val="24"/>
        </w:rPr>
      </w:pPr>
      <w:r>
        <w:rPr>
          <w:rFonts w:cs="Arial"/>
          <w:sz w:val="24"/>
          <w:szCs w:val="24"/>
        </w:rPr>
      </w:r>
      <w:r>
        <w:rPr>
          <w:rFonts w:cs="Arial"/>
          <w:sz w:val="24"/>
          <w:szCs w:val="24"/>
        </w:rPr>
      </w:r>
    </w:p>
    <w:p>
      <w:pPr>
        <w:pBdr/>
        <w:spacing/>
        <w:ind/>
        <w:jc w:val="center"/>
        <w:outlineLvl w:val="0"/>
        <w:rPr>
          <w:rFonts w:eastAsia="Arial Unicode MS" w:cs="Arial"/>
          <w:b/>
          <w:sz w:val="24"/>
          <w:szCs w:val="24"/>
        </w:rPr>
      </w:pPr>
      <w:r>
        <w:rPr>
          <w:rFonts w:eastAsia="Arial Unicode MS" w:cs="Arial"/>
          <w:b/>
          <w:sz w:val="24"/>
          <w:szCs w:val="24"/>
        </w:rPr>
        <w:t xml:space="preserve">CONTRATO Nº 000/2026</w:t>
      </w:r>
      <w:r>
        <w:rPr>
          <w:rFonts w:eastAsia="Arial Unicode MS" w:cs="Arial"/>
          <w:b/>
          <w:sz w:val="24"/>
          <w:szCs w:val="24"/>
        </w:rPr>
      </w:r>
    </w:p>
    <w:p>
      <w:pPr>
        <w:pBdr/>
        <w:spacing/>
        <w:ind/>
        <w:jc w:val="center"/>
        <w:outlineLvl w:val="0"/>
        <w:rPr>
          <w:rFonts w:eastAsia="Arial Unicode MS" w:cs="Arial"/>
          <w:b/>
          <w:sz w:val="24"/>
          <w:szCs w:val="24"/>
        </w:rPr>
      </w:pPr>
      <w:r>
        <w:rPr>
          <w:rFonts w:eastAsia="Arial Unicode MS" w:cs="Arial"/>
          <w:b/>
          <w:sz w:val="24"/>
          <w:szCs w:val="24"/>
        </w:rPr>
      </w:r>
      <w:r>
        <w:rPr>
          <w:rFonts w:eastAsia="Arial Unicode MS" w:cs="Arial"/>
          <w:b/>
          <w:sz w:val="24"/>
          <w:szCs w:val="24"/>
        </w:rPr>
      </w:r>
    </w:p>
    <w:p>
      <w:pPr>
        <w:pBdr/>
        <w:spacing w:after="0" w:before="0"/>
        <w:ind/>
        <w:rPr>
          <w:rFonts w:eastAsia="Arial Unicode MS" w:cs="Arial"/>
          <w:b/>
          <w:sz w:val="24"/>
          <w:szCs w:val="24"/>
        </w:rPr>
      </w:pPr>
      <w:r>
        <w:rPr>
          <w:rFonts w:eastAsia="Arial Unicode MS" w:cs="Arial"/>
          <w:b/>
          <w:sz w:val="24"/>
          <w:szCs w:val="24"/>
        </w:rPr>
        <w:t xml:space="preserve">PROCESSO N º </w:t>
      </w:r>
      <w:r>
        <w:rPr>
          <w:rFonts w:cs="Arial"/>
          <w:b/>
          <w:sz w:val="24"/>
          <w:szCs w:val="24"/>
        </w:rPr>
        <w:t xml:space="preserve">1939/2026</w:t>
      </w:r>
      <w:r>
        <w:rPr>
          <w:rFonts w:eastAsia="Arial Unicode MS" w:cs="Arial"/>
          <w:b/>
          <w:sz w:val="24"/>
          <w:szCs w:val="24"/>
        </w:rPr>
      </w:r>
    </w:p>
    <w:p>
      <w:pPr>
        <w:pBdr/>
        <w:spacing w:after="0" w:before="0"/>
        <w:ind/>
        <w:rPr>
          <w:rStyle w:val="956"/>
          <w:rFonts w:cs="Arial"/>
        </w:rPr>
      </w:pPr>
      <w:r>
        <w:rPr>
          <w:rFonts w:eastAsia="Arial Unicode MS" w:cs="Arial"/>
          <w:b/>
          <w:sz w:val="24"/>
          <w:szCs w:val="24"/>
        </w:rPr>
        <w:t xml:space="preserve">PREGÃO ELETRÔNICO 002/2026</w:t>
      </w:r>
      <w:r>
        <w:rPr>
          <w:rStyle w:val="956"/>
          <w:rFonts w:cs="Arial"/>
        </w:rPr>
      </w:r>
    </w:p>
    <w:p>
      <w:pPr>
        <w:pBdr/>
        <w:spacing/>
        <w:ind w:left="4395"/>
        <w:rPr>
          <w:rFonts w:cs="Arial"/>
          <w:sz w:val="24"/>
          <w:szCs w:val="24"/>
        </w:rPr>
      </w:pPr>
      <w:r>
        <w:rPr>
          <w:rFonts w:cs="Arial"/>
          <w:sz w:val="24"/>
          <w:szCs w:val="24"/>
        </w:rPr>
        <w:t xml:space="preserve">TERMO DE CONTRATO DE QUE ENTRE SI CELEBRAM O MUNICÍPIO DE RIO DAS FLÔRES E A EMPRESA .................................</w:t>
      </w:r>
      <w:r>
        <w:rPr>
          <w:rFonts w:cs="Arial"/>
          <w:sz w:val="24"/>
          <w:szCs w:val="24"/>
        </w:rPr>
      </w:r>
    </w:p>
    <w:p>
      <w:pPr>
        <w:pBdr/>
        <w:spacing/>
        <w:ind/>
        <w:rPr>
          <w:rFonts w:eastAsia="Arial Unicode MS" w:cs="Arial"/>
          <w:sz w:val="24"/>
          <w:szCs w:val="24"/>
        </w:rPr>
      </w:pPr>
      <w:r>
        <w:rPr>
          <w:rFonts w:eastAsia="Arial Unicode MS" w:cs="Arial"/>
          <w:sz w:val="24"/>
          <w:szCs w:val="24"/>
        </w:rPr>
      </w:r>
      <w:r>
        <w:rPr>
          <w:rFonts w:eastAsia="Arial Unicode MS" w:cs="Arial"/>
          <w:sz w:val="24"/>
          <w:szCs w:val="24"/>
        </w:rPr>
      </w:r>
    </w:p>
    <w:p>
      <w:pPr>
        <w:pBdr/>
        <w:spacing w:line="276" w:lineRule="auto"/>
        <w:ind w:firstLine="1418"/>
        <w:rPr>
          <w:sz w:val="24"/>
          <w:szCs w:val="24"/>
        </w:rPr>
      </w:pPr>
      <w:r>
        <w:rPr>
          <w:i/>
          <w:sz w:val="24"/>
          <w:szCs w:val="24"/>
        </w:rPr>
        <w:t xml:space="preserve">PREFEITURA MUNICIPAL DE RIO DAS FLÔRES,</w:t>
      </w:r>
      <w:r>
        <w:rPr>
          <w:sz w:val="24"/>
          <w:szCs w:val="24"/>
        </w:rPr>
        <w:t xml:space="preserve"> por intermédio do Secretaria Municipal de ..............................., com sede na Rua Leoni Ramos - Centro, na cidade de Rio das </w:t>
      </w:r>
      <w:r>
        <w:rPr>
          <w:sz w:val="24"/>
          <w:szCs w:val="24"/>
        </w:rPr>
        <w:t xml:space="preserve">Flôres</w:t>
      </w:r>
      <w:r>
        <w:rPr>
          <w:sz w:val="24"/>
          <w:szCs w:val="24"/>
        </w:rPr>
        <w:t xml:space="preserve">/RJ, inscrito no CNPJ sob o nº 29.179.454/000153, neste ato representado(a) pelos Secretários Municipais de ................ – ..........................., nomeado pela </w:t>
      </w:r>
      <w:r>
        <w:rPr>
          <w:color w:val="ff0000"/>
          <w:sz w:val="24"/>
          <w:szCs w:val="24"/>
        </w:rPr>
        <w:t xml:space="preserve">Portaria nº ....... de ....... de janeiro de 202........</w:t>
      </w:r>
      <w:r>
        <w:rPr>
          <w:sz w:val="24"/>
          <w:szCs w:val="24"/>
        </w:rPr>
        <w:t xml:space="preserve">, </w:t>
      </w:r>
      <w:r>
        <w:rPr>
          <w:color w:val="ff0000"/>
          <w:sz w:val="24"/>
          <w:szCs w:val="24"/>
        </w:rPr>
        <w:t xml:space="preserve">publicada no Boletim Municipal de ........ de janeiro de 202......, portador da matrícula funcional nº .........</w:t>
      </w:r>
      <w:r>
        <w:rPr>
          <w:sz w:val="24"/>
          <w:szCs w:val="24"/>
        </w:rPr>
        <w:t xml:space="preserve">,</w:t>
      </w:r>
      <w:r>
        <w:rPr>
          <w:sz w:val="24"/>
          <w:szCs w:val="24"/>
        </w:rPr>
        <w:t xml:space="preserve"> doravante denominado CONTRATANTE, e o(a) .............................., </w:t>
      </w:r>
      <w:r>
        <w:rPr>
          <w:i/>
          <w:sz w:val="24"/>
          <w:szCs w:val="24"/>
        </w:rPr>
        <w:t xml:space="preserve">inscrito(a) no CNPJ/MF sob o nº ............................, sediado(a) na</w:t>
      </w:r>
      <w:r>
        <w:rPr>
          <w:sz w:val="24"/>
          <w:szCs w:val="24"/>
        </w:rPr>
        <w:t xml:space="preserve"> ..................................., doravante designado CONTRATADO, </w:t>
      </w:r>
      <w:r>
        <w:rPr>
          <w:i/>
          <w:sz w:val="24"/>
          <w:szCs w:val="24"/>
        </w:rPr>
        <w:t xml:space="preserve">neste ato representado(a) por</w:t>
      </w:r>
      <w:r>
        <w:rPr>
          <w:sz w:val="24"/>
          <w:szCs w:val="24"/>
        </w:rPr>
        <w:t xml:space="preserve"> .................................. (nome e função no contratado), </w:t>
      </w:r>
      <w:r>
        <w:rPr>
          <w:i/>
          <w:sz w:val="24"/>
          <w:szCs w:val="24"/>
        </w:rPr>
        <w:t xml:space="preserve">conforme atos constitutivos da empresa </w:t>
      </w:r>
      <w:r>
        <w:rPr>
          <w:b/>
          <w:i/>
          <w:sz w:val="24"/>
          <w:szCs w:val="24"/>
        </w:rPr>
        <w:t xml:space="preserve">OU</w:t>
      </w:r>
      <w:r>
        <w:rPr>
          <w:i/>
          <w:sz w:val="24"/>
          <w:szCs w:val="24"/>
        </w:rPr>
        <w:t xml:space="preserve"> procuração apresentada nos autos, </w:t>
      </w:r>
      <w:r>
        <w:rPr>
          <w:sz w:val="24"/>
          <w:szCs w:val="24"/>
        </w:rPr>
        <w:t xml:space="preserve">tendo em vista o que consta no Processo nº .............................. e em observância às disposições da </w:t>
      </w:r>
      <w:hyperlink r:id="rId65" w:tooltip="http://www.planalto.gov.br/ccivil_03/_ato2019-2022/2021/lei/L14133.htm" w:history="1">
        <w:r>
          <w:rPr>
            <w:color w:val="000000"/>
            <w:sz w:val="24"/>
            <w:szCs w:val="24"/>
            <w:u w:val="single"/>
          </w:rPr>
          <w:t xml:space="preserve">Lei nº 14.133, de 1º de abril de 2021</w:t>
        </w:r>
      </w:hyperlink>
      <w:r>
        <w:rPr>
          <w:sz w:val="24"/>
          <w:szCs w:val="24"/>
        </w:rPr>
        <w:t xml:space="preserve">, e demais legislação aplicável, resolvem celebrar o presente Termo de Contrato, decorrente do PREGÃO ELETRÔNICO n. ..../202.., mediante as cláusulas e condições a seguir enunciadas.</w:t>
      </w:r>
      <w:r>
        <w:rPr>
          <w:sz w:val="24"/>
          <w:szCs w:val="24"/>
        </w:rPr>
      </w:r>
    </w:p>
    <w:p>
      <w:pPr>
        <w:pStyle w:val="1141"/>
        <w:numPr>
          <w:ilvl w:val="0"/>
          <w:numId w:val="31"/>
        </w:numPr>
        <w:pBdr/>
        <w:spacing/>
        <w:ind/>
        <w:rPr>
          <w:color w:val="ffffff" w:themeColor="background1"/>
        </w:rPr>
      </w:pPr>
      <w:r>
        <w:t xml:space="preserve">CLÁUSULA PRIMEIRA – OBJETO (</w:t>
      </w:r>
      <w:hyperlink r:id="rId66" w:tooltip="http://www.planalto.gov.br/ccivil_03/_ato2019-2022/2021/lei/L14133.htm#art92" w:anchor="art92" w:history="1">
        <w:r>
          <w:rPr>
            <w:rStyle w:val="953"/>
          </w:rPr>
          <w:t xml:space="preserve">art. 92, I e II</w:t>
        </w:r>
      </w:hyperlink>
      <w:r>
        <w:t xml:space="preserve">)</w:t>
      </w:r>
      <w:r>
        <w:rPr>
          <w:color w:val="ffffff" w:themeColor="background1"/>
        </w:rPr>
      </w:r>
    </w:p>
    <w:p>
      <w:pPr>
        <w:pStyle w:val="1142"/>
        <w:numPr>
          <w:ilvl w:val="1"/>
          <w:numId w:val="32"/>
        </w:numPr>
        <w:pBdr/>
        <w:tabs>
          <w:tab w:val="clear" w:leader="none" w:pos="0"/>
        </w:tabs>
        <w:spacing/>
        <w:ind w:firstLine="0" w:left="0"/>
        <w:rPr>
          <w:sz w:val="24"/>
          <w:szCs w:val="24"/>
        </w:rPr>
      </w:pPr>
      <w:r>
        <w:rPr>
          <w:sz w:val="24"/>
          <w:szCs w:val="24"/>
        </w:rPr>
        <w:t xml:space="preserve">O objeto do presente instrumento é a escolha da proposta mais vantajosa para futura e eventual contratação de empresa especializada em manutenção preventiva e corretiva da frota de veículos pertencentes a Prefeitura Municipal de Rio das </w:t>
      </w:r>
      <w:r>
        <w:rPr>
          <w:sz w:val="24"/>
          <w:szCs w:val="24"/>
        </w:rPr>
        <w:t xml:space="preserve">Flôres</w:t>
      </w:r>
      <w:r>
        <w:rPr>
          <w:sz w:val="24"/>
          <w:szCs w:val="24"/>
        </w:rPr>
        <w:t xml:space="preserve">(Fundos/Secretarias Municipa</w:t>
      </w:r>
      <w:r>
        <w:rPr>
          <w:sz w:val="24"/>
          <w:szCs w:val="24"/>
        </w:rPr>
        <w:t xml:space="preserve">is) , movidos a Diesel/Gasolina, com mão de obra (hora/homem) e aplicação e fornecimento de peças e acessórios, através de Pregão Eletrônico, por meio de Registro de Preços pelo período de 12(doze) meses, nas condições estabelecidas no Termo de Referência.</w:t>
      </w:r>
      <w:r>
        <w:rPr>
          <w:sz w:val="24"/>
          <w:szCs w:val="24"/>
        </w:rPr>
      </w:r>
    </w:p>
    <w:p>
      <w:pPr>
        <w:pStyle w:val="1142"/>
        <w:numPr>
          <w:ilvl w:val="1"/>
          <w:numId w:val="32"/>
        </w:numPr>
        <w:pBdr/>
        <w:spacing/>
        <w:ind w:firstLine="0" w:left="0"/>
        <w:rPr>
          <w:sz w:val="24"/>
          <w:szCs w:val="24"/>
        </w:rPr>
      </w:pPr>
      <w:r>
        <w:rPr>
          <w:sz w:val="24"/>
          <w:szCs w:val="24"/>
        </w:rPr>
        <w:t xml:space="preserve">Objeto da contratação:</w:t>
      </w:r>
      <w:r>
        <w:rPr>
          <w:sz w:val="24"/>
          <w:szCs w:val="24"/>
        </w:rPr>
      </w:r>
    </w:p>
    <w:tbl>
      <w:tblPr>
        <w:tblStyle w:val="1136"/>
        <w:tblInd w:w="250" w:type="dxa"/>
        <w:tblW w:w="9072" w:type="dxa"/>
        <w:tblBorders/>
        <w:tblLayout w:type="fixed"/>
        <w:tblLook w:val="04A0" w:firstRow="1" w:lastRow="0" w:firstColumn="1" w:lastColumn="0" w:noHBand="0" w:noVBand="1"/>
      </w:tblPr>
      <w:tblGrid>
        <w:gridCol w:w="711"/>
        <w:gridCol w:w="2721"/>
        <w:gridCol w:w="565"/>
        <w:gridCol w:w="993"/>
        <w:gridCol w:w="1134"/>
        <w:gridCol w:w="1418"/>
        <w:gridCol w:w="1530"/>
      </w:tblGrid>
      <w:tr>
        <w:trPr/>
        <w:tc>
          <w:tcPr>
            <w:gridSpan w:val="7"/>
            <w:shd w:val="clear" w:color="auto" w:fill="d9d9d9" w:themeFill="background1" w:themeFillShade="D9"/>
            <w:tcBorders/>
            <w:tcW w:w="9072" w:type="dxa"/>
            <w:textDirection w:val="lrTb"/>
            <w:noWrap w:val="false"/>
          </w:tcPr>
          <w:p>
            <w:pPr>
              <w:pBdr/>
              <w:spacing/>
              <w:ind w:right="-852"/>
              <w:rPr>
                <w:rFonts w:cs="Arial"/>
                <w:sz w:val="20"/>
                <w:szCs w:val="20"/>
              </w:rPr>
            </w:pPr>
            <w:r/>
            <w:bookmarkStart w:id="95" w:name="_Hlk166154037"/>
            <w:r>
              <w:rPr>
                <w:rFonts w:eastAsia="Arial" w:cs="Arial"/>
                <w:b/>
                <w:color w:val="000000"/>
                <w:sz w:val="20"/>
                <w:szCs w:val="20"/>
              </w:rPr>
              <w:t xml:space="preserve">Fornecedor:</w:t>
            </w:r>
            <w:r>
              <w:rPr>
                <w:rFonts w:cs="Arial"/>
                <w:sz w:val="20"/>
                <w:szCs w:val="20"/>
              </w:rPr>
            </w:r>
          </w:p>
        </w:tc>
      </w:tr>
      <w:tr>
        <w:trPr>
          <w:trHeight w:val="133"/>
        </w:trPr>
        <w:tc>
          <w:tcPr>
            <w:tcBorders/>
            <w:tcW w:w="711" w:type="dxa"/>
            <w:vAlign w:val="center"/>
            <w:textDirection w:val="lrTb"/>
            <w:noWrap w:val="false"/>
          </w:tcPr>
          <w:p>
            <w:pPr>
              <w:pBdr/>
              <w:spacing/>
              <w:ind w:right="-852"/>
              <w:jc w:val="left"/>
              <w:rPr>
                <w:rFonts w:cs="Arial"/>
                <w:sz w:val="20"/>
                <w:szCs w:val="20"/>
              </w:rPr>
            </w:pPr>
            <w:r>
              <w:rPr>
                <w:rFonts w:eastAsia="Arial" w:cs="Arial"/>
                <w:color w:val="000000"/>
                <w:sz w:val="20"/>
                <w:szCs w:val="20"/>
              </w:rPr>
              <w:t xml:space="preserve">Item</w:t>
            </w:r>
            <w:r>
              <w:rPr>
                <w:rFonts w:cs="Arial"/>
                <w:sz w:val="20"/>
                <w:szCs w:val="20"/>
              </w:rPr>
            </w:r>
          </w:p>
        </w:tc>
        <w:tc>
          <w:tcPr>
            <w:tcBorders/>
            <w:tcW w:w="2721" w:type="dxa"/>
            <w:vAlign w:val="center"/>
            <w:textDirection w:val="lrTb"/>
            <w:noWrap w:val="false"/>
          </w:tcPr>
          <w:p>
            <w:pPr>
              <w:pBdr/>
              <w:spacing/>
              <w:ind w:right="-852"/>
              <w:jc w:val="left"/>
              <w:rPr>
                <w:rFonts w:cs="Arial"/>
                <w:sz w:val="20"/>
                <w:szCs w:val="20"/>
              </w:rPr>
            </w:pPr>
            <w:r>
              <w:rPr>
                <w:rFonts w:eastAsia="Arial" w:cs="Arial"/>
                <w:color w:val="000000"/>
                <w:sz w:val="20"/>
                <w:szCs w:val="20"/>
              </w:rPr>
              <w:t xml:space="preserve">         Especificação</w:t>
            </w:r>
            <w:r>
              <w:rPr>
                <w:rFonts w:cs="Arial"/>
                <w:sz w:val="20"/>
                <w:szCs w:val="20"/>
              </w:rPr>
            </w:r>
          </w:p>
        </w:tc>
        <w:tc>
          <w:tcPr>
            <w:tcBorders/>
            <w:tcW w:w="565" w:type="dxa"/>
            <w:vAlign w:val="center"/>
            <w:textDirection w:val="lrTb"/>
            <w:noWrap w:val="false"/>
          </w:tcPr>
          <w:p>
            <w:pPr>
              <w:pBdr/>
              <w:spacing/>
              <w:ind w:right="-852"/>
              <w:jc w:val="left"/>
              <w:rPr>
                <w:rFonts w:cs="Arial"/>
                <w:sz w:val="20"/>
                <w:szCs w:val="20"/>
              </w:rPr>
            </w:pPr>
            <w:r>
              <w:rPr>
                <w:rFonts w:eastAsia="Arial" w:cs="Arial"/>
                <w:color w:val="000000"/>
                <w:sz w:val="20"/>
                <w:szCs w:val="20"/>
              </w:rPr>
              <w:t xml:space="preserve">UN.</w:t>
            </w:r>
            <w:r>
              <w:rPr>
                <w:rFonts w:cs="Arial"/>
                <w:sz w:val="20"/>
                <w:szCs w:val="20"/>
              </w:rPr>
            </w:r>
          </w:p>
        </w:tc>
        <w:tc>
          <w:tcPr>
            <w:tcBorders/>
            <w:tcW w:w="993" w:type="dxa"/>
            <w:vAlign w:val="center"/>
            <w:textDirection w:val="lrTb"/>
            <w:noWrap w:val="false"/>
          </w:tcPr>
          <w:p>
            <w:pPr>
              <w:pBdr/>
              <w:spacing/>
              <w:ind w:right="-852"/>
              <w:jc w:val="left"/>
              <w:rPr>
                <w:rFonts w:cs="Arial"/>
                <w:sz w:val="20"/>
                <w:szCs w:val="20"/>
              </w:rPr>
            </w:pPr>
            <w:r>
              <w:rPr>
                <w:rFonts w:eastAsia="Arial" w:cs="Arial"/>
                <w:color w:val="000000"/>
                <w:sz w:val="20"/>
                <w:szCs w:val="20"/>
              </w:rPr>
              <w:t xml:space="preserve">    Marca</w:t>
            </w:r>
            <w:r>
              <w:rPr>
                <w:rFonts w:cs="Arial"/>
                <w:sz w:val="20"/>
                <w:szCs w:val="20"/>
              </w:rPr>
            </w:r>
          </w:p>
        </w:tc>
        <w:tc>
          <w:tcPr>
            <w:tcBorders/>
            <w:tcW w:w="1134" w:type="dxa"/>
            <w:vAlign w:val="center"/>
            <w:textDirection w:val="lrTb"/>
            <w:noWrap w:val="false"/>
          </w:tcPr>
          <w:p>
            <w:pPr>
              <w:pBdr/>
              <w:spacing/>
              <w:ind w:right="-852"/>
              <w:jc w:val="left"/>
              <w:rPr>
                <w:rFonts w:cs="Arial"/>
                <w:sz w:val="20"/>
                <w:szCs w:val="20"/>
              </w:rPr>
            </w:pPr>
            <w:r>
              <w:rPr>
                <w:rFonts w:eastAsia="Arial" w:cs="Arial"/>
                <w:color w:val="000000"/>
                <w:sz w:val="20"/>
                <w:szCs w:val="20"/>
              </w:rPr>
              <w:t xml:space="preserve">Quantidade</w:t>
            </w:r>
            <w:r>
              <w:rPr>
                <w:rFonts w:cs="Arial"/>
                <w:sz w:val="20"/>
                <w:szCs w:val="20"/>
              </w:rPr>
            </w:r>
          </w:p>
        </w:tc>
        <w:tc>
          <w:tcPr>
            <w:tcBorders/>
            <w:tcW w:w="1418" w:type="dxa"/>
            <w:vAlign w:val="center"/>
            <w:textDirection w:val="lrTb"/>
            <w:noWrap w:val="false"/>
          </w:tcPr>
          <w:p>
            <w:pPr>
              <w:pBdr/>
              <w:spacing/>
              <w:ind w:right="-852"/>
              <w:jc w:val="left"/>
              <w:rPr>
                <w:rFonts w:cs="Arial"/>
                <w:sz w:val="20"/>
                <w:szCs w:val="20"/>
              </w:rPr>
            </w:pPr>
            <w:r>
              <w:rPr>
                <w:rFonts w:eastAsia="Arial" w:cs="Arial"/>
                <w:color w:val="000000"/>
                <w:sz w:val="20"/>
                <w:szCs w:val="20"/>
              </w:rPr>
              <w:t xml:space="preserve">Preço Unitário</w:t>
            </w:r>
            <w:r>
              <w:rPr>
                <w:rFonts w:cs="Arial"/>
                <w:sz w:val="20"/>
                <w:szCs w:val="20"/>
              </w:rPr>
            </w:r>
          </w:p>
        </w:tc>
        <w:tc>
          <w:tcPr>
            <w:tcBorders/>
            <w:tcW w:w="1530" w:type="dxa"/>
            <w:vAlign w:val="center"/>
            <w:textDirection w:val="lrTb"/>
            <w:noWrap w:val="false"/>
          </w:tcPr>
          <w:p>
            <w:pPr>
              <w:pBdr/>
              <w:spacing w:after="0" w:before="0"/>
              <w:ind w:right="-852"/>
              <w:jc w:val="left"/>
              <w:rPr>
                <w:rFonts w:cs="Arial"/>
                <w:sz w:val="20"/>
                <w:szCs w:val="20"/>
              </w:rPr>
            </w:pPr>
            <w:r>
              <w:rPr>
                <w:rFonts w:eastAsia="Arial" w:cs="Arial"/>
                <w:color w:val="000000"/>
                <w:sz w:val="20"/>
                <w:szCs w:val="20"/>
              </w:rPr>
              <w:t xml:space="preserve">Preço Total</w:t>
            </w:r>
            <w:r>
              <w:rPr>
                <w:rFonts w:cs="Arial"/>
                <w:sz w:val="20"/>
                <w:szCs w:val="20"/>
              </w:rPr>
            </w:r>
          </w:p>
        </w:tc>
      </w:tr>
      <w:tr>
        <w:trPr>
          <w:trHeight w:val="133"/>
        </w:trPr>
        <w:tc>
          <w:tcPr>
            <w:tcBorders/>
            <w:tcW w:w="711" w:type="dxa"/>
            <w:vAlign w:val="center"/>
            <w:textDirection w:val="lrTb"/>
            <w:noWrap w:val="false"/>
          </w:tcPr>
          <w:p>
            <w:pPr>
              <w:pBdr/>
              <w:spacing/>
              <w:ind w:right="-852"/>
              <w:jc w:val="left"/>
              <w:rPr>
                <w:rFonts w:eastAsia="Arial" w:cs="Arial"/>
                <w:color w:val="000000"/>
                <w:sz w:val="20"/>
                <w:szCs w:val="20"/>
              </w:rPr>
            </w:pPr>
            <w:r>
              <w:rPr>
                <w:rFonts w:eastAsia="Arial" w:cs="Arial"/>
                <w:color w:val="000000"/>
                <w:sz w:val="20"/>
                <w:szCs w:val="20"/>
              </w:rPr>
              <w:t xml:space="preserve">01</w:t>
            </w:r>
            <w:r>
              <w:rPr>
                <w:rFonts w:eastAsia="Arial" w:cs="Arial"/>
                <w:color w:val="000000"/>
                <w:sz w:val="20"/>
                <w:szCs w:val="20"/>
              </w:rPr>
            </w:r>
          </w:p>
        </w:tc>
        <w:tc>
          <w:tcPr>
            <w:tcBorders/>
            <w:tcW w:w="2721" w:type="dxa"/>
            <w:vAlign w:val="center"/>
            <w:textDirection w:val="lrTb"/>
            <w:noWrap w:val="false"/>
          </w:tcPr>
          <w:p>
            <w:pPr>
              <w:pBdr/>
              <w:spacing w:after="0" w:before="0"/>
              <w:ind/>
              <w:rPr>
                <w:rFonts w:ascii="ArialMT" w:hAnsi="ArialMT" w:cs="ArialMT" w:eastAsiaTheme="minorHAnsi"/>
                <w:sz w:val="16"/>
                <w:szCs w:val="16"/>
                <w:lang w:eastAsia="en-US"/>
              </w:rPr>
            </w:pPr>
            <w:r>
              <w:t xml:space="preserve">.</w:t>
            </w:r>
            <w:r>
              <w:rPr>
                <w:rFonts w:ascii="ArialMT" w:hAnsi="ArialMT" w:cs="ArialMT" w:eastAsiaTheme="minorHAnsi"/>
                <w:sz w:val="16"/>
                <w:szCs w:val="16"/>
                <w:lang w:eastAsia="en-US"/>
              </w:rPr>
            </w:r>
          </w:p>
        </w:tc>
        <w:tc>
          <w:tcPr>
            <w:tcBorders/>
            <w:tcW w:w="565" w:type="dxa"/>
            <w:vAlign w:val="center"/>
            <w:textDirection w:val="lrTb"/>
            <w:noWrap w:val="false"/>
          </w:tcPr>
          <w:p>
            <w:pPr>
              <w:pBdr/>
              <w:spacing/>
              <w:ind w:right="-852"/>
              <w:jc w:val="left"/>
              <w:rPr>
                <w:rFonts w:eastAsia="Arial" w:cs="Arial"/>
                <w:color w:val="000000"/>
                <w:sz w:val="20"/>
                <w:szCs w:val="20"/>
              </w:rPr>
            </w:pPr>
            <w:r>
              <w:rPr>
                <w:rFonts w:eastAsia="Arial" w:cs="Arial"/>
                <w:color w:val="000000"/>
                <w:sz w:val="20"/>
                <w:szCs w:val="20"/>
              </w:rPr>
            </w:r>
            <w:r>
              <w:rPr>
                <w:rFonts w:eastAsia="Arial" w:cs="Arial"/>
                <w:color w:val="000000"/>
                <w:sz w:val="20"/>
                <w:szCs w:val="20"/>
              </w:rPr>
            </w:r>
          </w:p>
        </w:tc>
        <w:tc>
          <w:tcPr>
            <w:tcBorders/>
            <w:tcW w:w="993" w:type="dxa"/>
            <w:vAlign w:val="center"/>
            <w:textDirection w:val="lrTb"/>
            <w:noWrap w:val="false"/>
          </w:tcPr>
          <w:p>
            <w:pPr>
              <w:pBdr/>
              <w:spacing/>
              <w:ind w:right="-852"/>
              <w:jc w:val="left"/>
              <w:rPr>
                <w:rFonts w:eastAsia="Arial" w:cs="Arial"/>
                <w:color w:val="000000"/>
                <w:sz w:val="20"/>
                <w:szCs w:val="20"/>
              </w:rPr>
            </w:pPr>
            <w:r>
              <w:rPr>
                <w:rFonts w:eastAsia="Arial" w:cs="Arial"/>
                <w:color w:val="000000"/>
                <w:sz w:val="20"/>
                <w:szCs w:val="20"/>
              </w:rPr>
            </w:r>
            <w:r>
              <w:rPr>
                <w:rFonts w:eastAsia="Arial" w:cs="Arial"/>
                <w:color w:val="000000"/>
                <w:sz w:val="20"/>
                <w:szCs w:val="20"/>
              </w:rPr>
            </w:r>
          </w:p>
        </w:tc>
        <w:tc>
          <w:tcPr>
            <w:tcBorders/>
            <w:tcW w:w="1134" w:type="dxa"/>
            <w:vAlign w:val="center"/>
            <w:textDirection w:val="lrTb"/>
            <w:noWrap w:val="false"/>
          </w:tcPr>
          <w:p>
            <w:pPr>
              <w:pBdr/>
              <w:spacing/>
              <w:ind w:right="-852"/>
              <w:jc w:val="left"/>
              <w:rPr>
                <w:rFonts w:eastAsia="Arial" w:cs="Arial"/>
                <w:color w:val="000000"/>
                <w:sz w:val="20"/>
                <w:szCs w:val="20"/>
              </w:rPr>
            </w:pPr>
            <w:r>
              <w:rPr>
                <w:rFonts w:eastAsia="Arial" w:cs="Arial"/>
                <w:color w:val="000000"/>
                <w:sz w:val="20"/>
                <w:szCs w:val="20"/>
              </w:rPr>
            </w:r>
            <w:bookmarkEnd w:id="95"/>
            <w:r>
              <w:rPr>
                <w:rFonts w:eastAsia="Arial" w:cs="Arial"/>
                <w:color w:val="000000"/>
                <w:sz w:val="20"/>
                <w:szCs w:val="20"/>
              </w:rPr>
            </w:r>
          </w:p>
        </w:tc>
        <w:tc>
          <w:tcPr>
            <w:tcBorders/>
            <w:tcW w:w="1418" w:type="dxa"/>
            <w:vAlign w:val="center"/>
            <w:textDirection w:val="lrTb"/>
            <w:noWrap w:val="false"/>
          </w:tcPr>
          <w:p>
            <w:pPr>
              <w:pBdr/>
              <w:spacing/>
              <w:ind w:right="-852"/>
              <w:jc w:val="left"/>
              <w:rPr>
                <w:rFonts w:eastAsia="Arial" w:cs="Arial"/>
                <w:color w:val="000000"/>
                <w:sz w:val="20"/>
                <w:szCs w:val="20"/>
              </w:rPr>
            </w:pPr>
            <w:r>
              <w:rPr>
                <w:rFonts w:eastAsia="Arial" w:cs="Arial"/>
                <w:color w:val="000000"/>
                <w:sz w:val="20"/>
                <w:szCs w:val="20"/>
              </w:rPr>
            </w:r>
            <w:r>
              <w:rPr>
                <w:rFonts w:eastAsia="Arial" w:cs="Arial"/>
                <w:color w:val="000000"/>
                <w:sz w:val="20"/>
                <w:szCs w:val="20"/>
              </w:rPr>
            </w:r>
          </w:p>
        </w:tc>
        <w:tc>
          <w:tcPr>
            <w:tcBorders/>
            <w:tcW w:w="1530" w:type="dxa"/>
            <w:vAlign w:val="center"/>
            <w:textDirection w:val="lrTb"/>
            <w:noWrap w:val="false"/>
          </w:tcPr>
          <w:p>
            <w:pPr>
              <w:pBdr/>
              <w:spacing w:after="0" w:before="0"/>
              <w:ind w:right="-852"/>
              <w:jc w:val="left"/>
              <w:rPr>
                <w:rFonts w:eastAsia="Arial" w:cs="Arial"/>
                <w:color w:val="000000"/>
                <w:sz w:val="20"/>
                <w:szCs w:val="20"/>
              </w:rPr>
            </w:pPr>
            <w:r>
              <w:rPr>
                <w:rFonts w:eastAsia="Arial" w:cs="Arial"/>
                <w:color w:val="000000"/>
                <w:sz w:val="20"/>
                <w:szCs w:val="20"/>
              </w:rPr>
            </w:r>
            <w:r>
              <w:rPr>
                <w:rFonts w:eastAsia="Arial" w:cs="Arial"/>
                <w:color w:val="000000"/>
                <w:sz w:val="20"/>
                <w:szCs w:val="20"/>
              </w:rPr>
            </w:r>
          </w:p>
        </w:tc>
      </w:tr>
    </w:tbl>
    <w:p>
      <w:pPr>
        <w:pStyle w:val="1142"/>
        <w:numPr>
          <w:ilvl w:val="0"/>
          <w:numId w:val="0"/>
        </w:numPr>
        <w:pBdr/>
        <w:spacing/>
        <w:ind/>
        <w:rPr>
          <w:sz w:val="24"/>
          <w:szCs w:val="24"/>
        </w:rPr>
      </w:pPr>
      <w:r>
        <w:rPr>
          <w:sz w:val="24"/>
          <w:szCs w:val="24"/>
        </w:rPr>
      </w:r>
      <w:r>
        <w:rPr>
          <w:sz w:val="24"/>
          <w:szCs w:val="24"/>
        </w:rPr>
      </w:r>
    </w:p>
    <w:p>
      <w:pPr>
        <w:pStyle w:val="1142"/>
        <w:numPr>
          <w:ilvl w:val="1"/>
          <w:numId w:val="32"/>
        </w:numPr>
        <w:pBdr/>
        <w:spacing/>
        <w:ind w:firstLine="0" w:left="0"/>
        <w:rPr>
          <w:sz w:val="24"/>
          <w:szCs w:val="24"/>
        </w:rPr>
      </w:pPr>
      <w:r>
        <w:rPr>
          <w:sz w:val="24"/>
          <w:szCs w:val="24"/>
        </w:rPr>
        <w:t xml:space="preserve">Vinculam esta contratação, independentemente de transcrição:</w:t>
      </w:r>
      <w:r>
        <w:rPr>
          <w:sz w:val="24"/>
          <w:szCs w:val="24"/>
        </w:rPr>
      </w:r>
    </w:p>
    <w:p>
      <w:pPr>
        <w:pStyle w:val="1143"/>
        <w:numPr>
          <w:ilvl w:val="2"/>
          <w:numId w:val="32"/>
        </w:numPr>
        <w:pBdr/>
        <w:spacing/>
        <w:ind w:firstLine="0" w:left="284"/>
        <w:rPr>
          <w:sz w:val="24"/>
          <w:szCs w:val="24"/>
        </w:rPr>
      </w:pPr>
      <w:r>
        <w:rPr>
          <w:sz w:val="24"/>
          <w:szCs w:val="24"/>
        </w:rPr>
        <w:t xml:space="preserve">O Termo de Referência;</w:t>
      </w:r>
      <w:r>
        <w:rPr>
          <w:sz w:val="24"/>
          <w:szCs w:val="24"/>
        </w:rPr>
      </w:r>
    </w:p>
    <w:p>
      <w:pPr>
        <w:pStyle w:val="1143"/>
        <w:numPr>
          <w:ilvl w:val="2"/>
          <w:numId w:val="32"/>
        </w:numPr>
        <w:pBdr/>
        <w:spacing/>
        <w:ind w:firstLine="0" w:left="284"/>
        <w:rPr>
          <w:sz w:val="24"/>
          <w:szCs w:val="24"/>
        </w:rPr>
      </w:pPr>
      <w:r>
        <w:rPr>
          <w:sz w:val="24"/>
          <w:szCs w:val="24"/>
        </w:rPr>
        <w:t xml:space="preserve">O Edital da Licitação;</w:t>
      </w:r>
      <w:r>
        <w:rPr>
          <w:sz w:val="24"/>
          <w:szCs w:val="24"/>
        </w:rPr>
      </w:r>
    </w:p>
    <w:p>
      <w:pPr>
        <w:pStyle w:val="1143"/>
        <w:numPr>
          <w:ilvl w:val="2"/>
          <w:numId w:val="32"/>
        </w:numPr>
        <w:pBdr/>
        <w:spacing/>
        <w:ind w:firstLine="0" w:left="284"/>
        <w:rPr>
          <w:sz w:val="24"/>
          <w:szCs w:val="24"/>
        </w:rPr>
      </w:pPr>
      <w:r>
        <w:rPr>
          <w:sz w:val="24"/>
          <w:szCs w:val="24"/>
        </w:rPr>
        <w:t xml:space="preserve">A Proposta do contratado;</w:t>
      </w:r>
      <w:r>
        <w:rPr>
          <w:sz w:val="24"/>
          <w:szCs w:val="24"/>
        </w:rPr>
      </w:r>
    </w:p>
    <w:p>
      <w:pPr>
        <w:pStyle w:val="1143"/>
        <w:numPr>
          <w:ilvl w:val="2"/>
          <w:numId w:val="32"/>
        </w:numPr>
        <w:pBdr/>
        <w:spacing/>
        <w:ind w:firstLine="0" w:left="284"/>
        <w:rPr>
          <w:sz w:val="24"/>
          <w:szCs w:val="24"/>
        </w:rPr>
      </w:pPr>
      <w:r>
        <w:rPr>
          <w:sz w:val="24"/>
          <w:szCs w:val="24"/>
        </w:rPr>
        <w:t xml:space="preserve">Eventuais anexos dos documentos supracitados.</w:t>
      </w:r>
      <w:r>
        <w:rPr>
          <w:sz w:val="24"/>
          <w:szCs w:val="24"/>
        </w:rPr>
      </w:r>
    </w:p>
    <w:p>
      <w:pPr>
        <w:pStyle w:val="1141"/>
        <w:numPr>
          <w:ilvl w:val="0"/>
          <w:numId w:val="32"/>
        </w:numPr>
        <w:pBdr/>
        <w:spacing/>
        <w:ind/>
        <w:rPr>
          <w:color w:val="ffffff" w:themeColor="background1"/>
        </w:rPr>
      </w:pPr>
      <w:r>
        <w:t xml:space="preserve">CLÁUSULA SEGUNDA – VIGÊNCIA E PRORROGAÇÃO</w:t>
      </w:r>
      <w:r>
        <w:rPr>
          <w:color w:val="ffffff" w:themeColor="background1"/>
        </w:rPr>
      </w:r>
    </w:p>
    <w:p>
      <w:pPr>
        <w:pStyle w:val="1148"/>
        <w:numPr>
          <w:ilvl w:val="1"/>
          <w:numId w:val="32"/>
        </w:numPr>
        <w:pBdr/>
        <w:spacing/>
        <w:ind w:firstLine="0" w:left="0"/>
        <w:rPr>
          <w:i w:val="0"/>
          <w:sz w:val="24"/>
          <w:szCs w:val="24"/>
        </w:rPr>
      </w:pPr>
      <w:r>
        <w:rPr>
          <w:i w:val="0"/>
          <w:color w:val="auto"/>
          <w:sz w:val="24"/>
          <w:szCs w:val="24"/>
        </w:rPr>
        <w:t xml:space="preserve">O prazo de vigência da contratação é de 12 (doze) meses contados da emissão da Solicitação de Fornecimento (S.F.), prorrogável por até 05 (cinco) anos, na forma dos</w:t>
      </w:r>
      <w:r>
        <w:rPr>
          <w:i w:val="0"/>
          <w:sz w:val="24"/>
          <w:szCs w:val="24"/>
        </w:rPr>
        <w:t xml:space="preserve"> </w:t>
      </w:r>
      <w:hyperlink r:id="rId67" w:tooltip="http://www.planalto.gov.br/ccivil_03/_ato2019-2022/2021/lei/L14133.htm#art106" w:anchor="art106" w:history="1">
        <w:r>
          <w:rPr>
            <w:rStyle w:val="953"/>
            <w:sz w:val="24"/>
            <w:szCs w:val="24"/>
          </w:rPr>
          <w:t xml:space="preserve">artigos 106 e 107 da Lei n° 14.133, de 2021</w:t>
        </w:r>
      </w:hyperlink>
      <w:r>
        <w:rPr>
          <w:i w:val="0"/>
          <w:sz w:val="24"/>
          <w:szCs w:val="24"/>
        </w:rPr>
        <w:t xml:space="preserve">.</w:t>
      </w:r>
      <w:r>
        <w:rPr>
          <w:i w:val="0"/>
          <w:sz w:val="24"/>
          <w:szCs w:val="24"/>
        </w:rPr>
      </w:r>
    </w:p>
    <w:p>
      <w:pPr>
        <w:pStyle w:val="1149"/>
        <w:numPr>
          <w:ilvl w:val="2"/>
          <w:numId w:val="32"/>
        </w:numPr>
        <w:pBdr/>
        <w:spacing/>
        <w:ind w:firstLine="0" w:left="284"/>
        <w:rPr>
          <w:i w:val="0"/>
          <w:color w:val="auto"/>
          <w:sz w:val="24"/>
          <w:szCs w:val="24"/>
        </w:rPr>
      </w:pPr>
      <w:r>
        <w:rPr>
          <w:i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w:t>
      </w:r>
      <w:r>
        <w:rPr>
          <w:i w:val="0"/>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O contratado não tem direito subjetivo à prorrogação contratual.</w:t>
      </w:r>
      <w:r>
        <w:rPr>
          <w:i w:val="0"/>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A prorrogação de contrato deverá ser promovida mediante celebração de termo aditivo.</w:t>
      </w:r>
      <w:r>
        <w:rPr>
          <w:i w:val="0"/>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O contrato não poderá ser prorrogado quando o contratado tiver sido penalizado nas sanções de declaração de inidoneidade ou impedimento de licitar e contratar com poder público, observadas as abrangências de aplicação.</w:t>
      </w:r>
      <w:r>
        <w:rPr>
          <w:i w:val="0"/>
          <w:color w:val="auto"/>
          <w:sz w:val="24"/>
          <w:szCs w:val="24"/>
        </w:rPr>
      </w:r>
    </w:p>
    <w:p>
      <w:pPr>
        <w:pStyle w:val="1141"/>
        <w:numPr>
          <w:ilvl w:val="0"/>
          <w:numId w:val="32"/>
        </w:numPr>
        <w:pBdr/>
        <w:spacing/>
        <w:ind/>
        <w:rPr>
          <w:color w:val="ffffff" w:themeColor="background1"/>
        </w:rPr>
      </w:pPr>
      <w:r>
        <w:t xml:space="preserve">CLÁUSULA TERCEIRA – MODELOS DE EXECUÇÃO E GESTÃO CONTRATUAIS (</w:t>
      </w:r>
      <w:hyperlink r:id="rId68" w:tooltip="http://www.planalto.gov.br/ccivil_03/_ato2019-2022/2021/lei/L14133.htm#art92" w:anchor="art92" w:history="1">
        <w:r>
          <w:rPr>
            <w:rStyle w:val="953"/>
          </w:rPr>
          <w:t xml:space="preserve">art. 92, IV, VII e XVIII)</w:t>
        </w:r>
      </w:hyperlink>
      <w:r/>
      <w:r>
        <w:rPr>
          <w:color w:val="ffffff" w:themeColor="background1"/>
        </w:rPr>
      </w:r>
    </w:p>
    <w:p>
      <w:pPr>
        <w:pStyle w:val="1142"/>
        <w:numPr>
          <w:ilvl w:val="1"/>
          <w:numId w:val="32"/>
        </w:numPr>
        <w:pBdr/>
        <w:spacing/>
        <w:ind w:firstLine="0" w:left="0"/>
        <w:rPr>
          <w:sz w:val="24"/>
          <w:szCs w:val="24"/>
        </w:rPr>
      </w:pPr>
      <w:r>
        <w:rPr>
          <w:sz w:val="24"/>
          <w:szCs w:val="24"/>
        </w:rPr>
        <w:t xml:space="preserve">O regime de execução contratual, os modelos de gestão e de execução, assim como os prazos e condições de conclusão, entrega, observação e recebimento do objeto constam no Termo de Referência, anexo a este Contrato.</w:t>
      </w:r>
      <w:r>
        <w:rPr>
          <w:sz w:val="24"/>
          <w:szCs w:val="24"/>
        </w:rPr>
      </w:r>
    </w:p>
    <w:p>
      <w:pPr>
        <w:pStyle w:val="1141"/>
        <w:numPr>
          <w:ilvl w:val="0"/>
          <w:numId w:val="32"/>
        </w:numPr>
        <w:pBdr/>
        <w:spacing/>
        <w:ind/>
        <w:rPr>
          <w:color w:val="ffffff" w:themeColor="background1"/>
        </w:rPr>
      </w:pPr>
      <w:r>
        <w:t xml:space="preserve">CLÁUSULA QUARTA – SUBCONTRATAÇÃO</w:t>
      </w:r>
      <w:r>
        <w:rPr>
          <w:color w:val="ffffff" w:themeColor="background1"/>
        </w:rPr>
      </w:r>
    </w:p>
    <w:p>
      <w:pPr>
        <w:pStyle w:val="1148"/>
        <w:numPr>
          <w:ilvl w:val="1"/>
          <w:numId w:val="32"/>
        </w:numPr>
        <w:pBdr/>
        <w:spacing/>
        <w:ind w:firstLine="0" w:left="0"/>
        <w:rPr>
          <w:color w:val="auto"/>
          <w:sz w:val="24"/>
          <w:szCs w:val="24"/>
        </w:rPr>
      </w:pPr>
      <w:r>
        <w:rPr>
          <w:color w:val="auto"/>
          <w:sz w:val="24"/>
          <w:szCs w:val="24"/>
        </w:rPr>
        <w:t xml:space="preserve">Não será admitida a subcontratação do objeto contratual.</w:t>
      </w:r>
      <w:r>
        <w:rPr>
          <w:color w:val="auto"/>
          <w:sz w:val="24"/>
          <w:szCs w:val="24"/>
        </w:rPr>
      </w:r>
    </w:p>
    <w:p>
      <w:pPr>
        <w:pStyle w:val="1141"/>
        <w:numPr>
          <w:ilvl w:val="0"/>
          <w:numId w:val="32"/>
        </w:numPr>
        <w:pBdr/>
        <w:spacing/>
        <w:ind/>
        <w:rPr>
          <w:color w:val="ffffff" w:themeColor="background1"/>
        </w:rPr>
      </w:pPr>
      <w:r>
        <w:t xml:space="preserve">CLÁUSULA QUINTA – PREÇO (</w:t>
      </w:r>
      <w:hyperlink r:id="rId69" w:tooltip="http://www.planalto.gov.br/ccivil_03/_ato2019-2022/2021/lei/L14133.htm#art92" w:anchor="art92" w:history="1">
        <w:r>
          <w:rPr>
            <w:rStyle w:val="953"/>
          </w:rPr>
          <w:t xml:space="preserve">art. 92, V)</w:t>
        </w:r>
      </w:hyperlink>
      <w:r/>
      <w:r>
        <w:rPr>
          <w:color w:val="ffffff" w:themeColor="background1"/>
        </w:rPr>
      </w:r>
    </w:p>
    <w:p>
      <w:pPr>
        <w:pStyle w:val="1148"/>
        <w:numPr>
          <w:ilvl w:val="1"/>
          <w:numId w:val="32"/>
        </w:numPr>
        <w:pBdr/>
        <w:spacing/>
        <w:ind w:firstLine="0" w:left="0"/>
        <w:rPr>
          <w:color w:val="auto"/>
          <w:sz w:val="24"/>
          <w:szCs w:val="24"/>
        </w:rPr>
      </w:pPr>
      <w:r>
        <w:rPr>
          <w:color w:val="auto"/>
          <w:sz w:val="24"/>
          <w:szCs w:val="24"/>
        </w:rPr>
        <w:t xml:space="preserve">O valor total da contratação é de R$.......... (.....)</w:t>
      </w:r>
      <w:r>
        <w:rPr>
          <w:color w:val="auto"/>
          <w:sz w:val="24"/>
          <w:szCs w:val="24"/>
        </w:rPr>
      </w:r>
    </w:p>
    <w:p>
      <w:pPr>
        <w:pStyle w:val="1142"/>
        <w:numPr>
          <w:ilvl w:val="1"/>
          <w:numId w:val="32"/>
        </w:numPr>
        <w:pBdr/>
        <w:spacing/>
        <w:ind w:firstLine="0" w:left="0"/>
        <w:rPr>
          <w:sz w:val="24"/>
          <w:szCs w:val="24"/>
        </w:rPr>
      </w:pPr>
      <w:r>
        <w:rPr>
          <w:sz w:val="24"/>
          <w:szCs w:val="24"/>
        </w:rPr>
        <w:t xml:space="preserve">No valor acima estão incluídas todas as despesas ordinárias diretas e indiretas de</w:t>
      </w:r>
      <w:r>
        <w:rPr>
          <w:sz w:val="24"/>
          <w:szCs w:val="24"/>
        </w:rPr>
        <w:t xml:space="preserve">correntes da execução do objeto, inclusive tributos e/ou impostos, encargos sociais, trabalhistas, previdenciários, fiscais e comerciais incidentes, taxa de administração, frete, seguro e outros necessários ao cumprimento integral do objeto da contratação.</w:t>
      </w:r>
      <w:r>
        <w:rPr>
          <w:sz w:val="24"/>
          <w:szCs w:val="24"/>
        </w:rPr>
      </w:r>
    </w:p>
    <w:p>
      <w:pPr>
        <w:pStyle w:val="1148"/>
        <w:numPr>
          <w:ilvl w:val="1"/>
          <w:numId w:val="32"/>
        </w:numPr>
        <w:pBdr/>
        <w:spacing/>
        <w:ind w:firstLine="0" w:left="0"/>
        <w:rPr>
          <w:color w:val="auto"/>
          <w:sz w:val="24"/>
          <w:szCs w:val="24"/>
        </w:rPr>
      </w:pPr>
      <w:r>
        <w:rPr>
          <w:color w:val="auto"/>
          <w:sz w:val="24"/>
          <w:szCs w:val="24"/>
        </w:rPr>
        <w:t xml:space="preserve">O valor acima é meramente estimativo, de forma que os pagamentos devidos ao contratado dependerão dos quantitativos efetivamente fornecidos.</w:t>
      </w:r>
      <w:r>
        <w:rPr>
          <w:color w:val="auto"/>
          <w:sz w:val="24"/>
          <w:szCs w:val="24"/>
        </w:rPr>
      </w:r>
    </w:p>
    <w:p>
      <w:pPr>
        <w:pStyle w:val="1141"/>
        <w:numPr>
          <w:ilvl w:val="0"/>
          <w:numId w:val="32"/>
        </w:numPr>
        <w:pBdr/>
        <w:spacing/>
        <w:ind/>
        <w:rPr>
          <w:color w:val="ffffff" w:themeColor="background1"/>
        </w:rPr>
      </w:pPr>
      <w:r>
        <w:t xml:space="preserve">CLÁUSULA SEXTA - PAGAMENTO (</w:t>
      </w:r>
      <w:hyperlink r:id="rId70" w:tooltip="http://www.planalto.gov.br/ccivil_03/_ato2019-2022/2021/lei/L14133.htm#art92" w:anchor="art92" w:history="1">
        <w:r>
          <w:rPr>
            <w:rStyle w:val="953"/>
          </w:rPr>
          <w:t xml:space="preserve">art. 92, V e VI</w:t>
        </w:r>
      </w:hyperlink>
      <w:r>
        <w:t xml:space="preserve">)</w:t>
      </w:r>
      <w:r>
        <w:rPr>
          <w:color w:val="ffffff" w:themeColor="background1"/>
        </w:rPr>
      </w:r>
    </w:p>
    <w:p>
      <w:pPr>
        <w:pStyle w:val="1142"/>
        <w:numPr>
          <w:ilvl w:val="1"/>
          <w:numId w:val="32"/>
        </w:numPr>
        <w:pBdr/>
        <w:spacing/>
        <w:ind w:firstLine="0" w:left="0"/>
        <w:rPr>
          <w:color w:val="auto"/>
          <w:sz w:val="24"/>
          <w:szCs w:val="24"/>
        </w:rPr>
      </w:pPr>
      <w:r>
        <w:rPr>
          <w:color w:val="auto"/>
          <w:sz w:val="24"/>
          <w:szCs w:val="24"/>
        </w:rPr>
        <w:t xml:space="preserve">O prazo para pagamento </w:t>
      </w:r>
      <w:r>
        <w:rPr>
          <w:color w:val="auto"/>
          <w:sz w:val="24"/>
          <w:szCs w:val="24"/>
          <w:lang w:eastAsia="en-US"/>
        </w:rPr>
        <w:t xml:space="preserve">ao contratado</w:t>
      </w:r>
      <w:r>
        <w:rPr>
          <w:color w:val="auto"/>
          <w:sz w:val="24"/>
          <w:szCs w:val="24"/>
        </w:rPr>
        <w:t xml:space="preserve"> e demais condições a ele referentes encontram-se definidos no Termo de Referência, anexo a este Contrato.</w:t>
      </w:r>
      <w:r>
        <w:rPr>
          <w:color w:val="auto"/>
          <w:sz w:val="24"/>
          <w:szCs w:val="24"/>
        </w:rPr>
      </w:r>
    </w:p>
    <w:p>
      <w:pPr>
        <w:pStyle w:val="1141"/>
        <w:numPr>
          <w:ilvl w:val="0"/>
          <w:numId w:val="32"/>
        </w:numPr>
        <w:pBdr/>
        <w:spacing/>
        <w:ind/>
        <w:rPr>
          <w:color w:val="ffffff" w:themeColor="background1"/>
        </w:rPr>
      </w:pPr>
      <w:r>
        <w:t xml:space="preserve">CLÁUSULA SÉTIMA - REAJUSTE (</w:t>
      </w:r>
      <w:hyperlink r:id="rId71" w:tooltip="http://www.planalto.gov.br/ccivil_03/_ato2019-2022/2021/lei/L14133.htm#art92" w:anchor="art92" w:history="1">
        <w:r>
          <w:rPr>
            <w:rStyle w:val="953"/>
          </w:rPr>
          <w:t xml:space="preserve">art. 92, V)</w:t>
        </w:r>
      </w:hyperlink>
      <w:r/>
      <w:r>
        <w:rPr>
          <w:color w:val="ffffff" w:themeColor="background1"/>
        </w:rPr>
      </w:r>
    </w:p>
    <w:p>
      <w:pPr>
        <w:pStyle w:val="1142"/>
        <w:numPr>
          <w:ilvl w:val="1"/>
          <w:numId w:val="32"/>
        </w:numPr>
        <w:pBdr/>
        <w:spacing/>
        <w:ind w:firstLine="0" w:left="0"/>
        <w:rPr>
          <w:color w:val="auto"/>
          <w:sz w:val="24"/>
          <w:szCs w:val="24"/>
        </w:rPr>
      </w:pPr>
      <w:r>
        <w:rPr>
          <w:sz w:val="24"/>
          <w:szCs w:val="24"/>
        </w:rPr>
        <w:t xml:space="preserve">Durante a vigên</w:t>
      </w:r>
      <w:r>
        <w:rPr>
          <w:color w:val="auto"/>
          <w:sz w:val="24"/>
          <w:szCs w:val="24"/>
        </w:rPr>
        <w:t xml:space="preserve">cia do CONTRATO, os valores serão </w:t>
      </w:r>
      <w:r>
        <w:rPr>
          <w:b/>
          <w:color w:val="auto"/>
          <w:sz w:val="24"/>
          <w:szCs w:val="24"/>
        </w:rPr>
        <w:t xml:space="preserve">fixos e irreajustáveis</w:t>
      </w:r>
      <w:r>
        <w:rPr>
          <w:color w:val="auto"/>
          <w:sz w:val="24"/>
          <w:szCs w:val="24"/>
        </w:rPr>
        <w:t xml:space="preserve">, </w:t>
      </w:r>
      <w:r>
        <w:rPr>
          <w:b/>
          <w:color w:val="auto"/>
          <w:sz w:val="24"/>
          <w:szCs w:val="24"/>
          <w:u w:val="single"/>
        </w:rPr>
        <w:t xml:space="preserve">exceto</w:t>
      </w:r>
      <w:r>
        <w:rPr>
          <w:color w:val="auto"/>
          <w:sz w:val="24"/>
          <w:szCs w:val="24"/>
        </w:rPr>
        <w:t xml:space="preserve"> nas hipóteses, devidamente comprovadas, de ocorrência de situação prevista na </w:t>
      </w:r>
      <w:r>
        <w:rPr>
          <w:b/>
          <w:color w:val="auto"/>
          <w:sz w:val="24"/>
          <w:szCs w:val="24"/>
        </w:rPr>
        <w:t xml:space="preserve">alínea “d” do inciso II do art. 124 da Lei Federal nº 14.133, de 2021</w:t>
      </w:r>
      <w:r>
        <w:rPr>
          <w:color w:val="auto"/>
          <w:sz w:val="24"/>
          <w:szCs w:val="24"/>
        </w:rPr>
        <w:t xml:space="preserve"> ou de redução dos valores praticados no mercado.</w:t>
      </w:r>
      <w:r>
        <w:rPr>
          <w:color w:val="auto"/>
          <w:sz w:val="24"/>
          <w:szCs w:val="24"/>
        </w:rPr>
      </w:r>
    </w:p>
    <w:p>
      <w:pPr>
        <w:pStyle w:val="1142"/>
        <w:numPr>
          <w:ilvl w:val="1"/>
          <w:numId w:val="32"/>
        </w:numPr>
        <w:pBdr/>
        <w:spacing/>
        <w:ind w:firstLine="0" w:left="0"/>
        <w:rPr>
          <w:color w:val="auto"/>
          <w:sz w:val="24"/>
          <w:szCs w:val="24"/>
        </w:rPr>
      </w:pPr>
      <w:r>
        <w:rPr>
          <w:color w:val="auto"/>
          <w:sz w:val="24"/>
          <w:szCs w:val="24"/>
        </w:rPr>
        <w:t xml:space="preserve">No critério de reajuste poderá ser utilizado: índices de variação de preços como o Índice de Preços ao Consumidor (</w:t>
      </w:r>
      <w:r>
        <w:rPr>
          <w:b/>
          <w:color w:val="auto"/>
          <w:sz w:val="24"/>
          <w:szCs w:val="24"/>
        </w:rPr>
        <w:t xml:space="preserve">IPC</w:t>
      </w:r>
      <w:r>
        <w:rPr>
          <w:color w:val="auto"/>
          <w:sz w:val="24"/>
          <w:szCs w:val="24"/>
        </w:rPr>
        <w:t xml:space="preserve">), Índice Geral de Preços do Mercado (</w:t>
      </w:r>
      <w:r>
        <w:rPr>
          <w:b/>
          <w:color w:val="auto"/>
          <w:sz w:val="24"/>
          <w:szCs w:val="24"/>
        </w:rPr>
        <w:t xml:space="preserve">IGP-M</w:t>
      </w:r>
      <w:r>
        <w:rPr>
          <w:color w:val="auto"/>
          <w:sz w:val="24"/>
          <w:szCs w:val="24"/>
        </w:rPr>
        <w:t xml:space="preserve">) ou outro mecanismo de recomposição dos preços pactuados.</w:t>
      </w:r>
      <w:r>
        <w:rPr>
          <w:color w:val="auto"/>
          <w:sz w:val="24"/>
          <w:szCs w:val="24"/>
        </w:rPr>
      </w:r>
    </w:p>
    <w:p>
      <w:pPr>
        <w:pStyle w:val="1142"/>
        <w:numPr>
          <w:ilvl w:val="1"/>
          <w:numId w:val="32"/>
        </w:numPr>
        <w:pBdr/>
        <w:spacing/>
        <w:ind w:firstLine="0" w:left="0"/>
        <w:rPr>
          <w:color w:val="auto"/>
          <w:sz w:val="24"/>
          <w:szCs w:val="24"/>
        </w:rPr>
      </w:pPr>
      <w:r>
        <w:rPr>
          <w:color w:val="auto"/>
          <w:sz w:val="24"/>
          <w:szCs w:val="24"/>
        </w:rPr>
        <w:t xml:space="preserve">Mesmo comprovada a ocorrência de situação prevista na </w:t>
      </w:r>
      <w:r>
        <w:rPr>
          <w:b/>
          <w:color w:val="auto"/>
          <w:sz w:val="24"/>
          <w:szCs w:val="24"/>
        </w:rPr>
        <w:t xml:space="preserve">alínea “d” do inciso II do art. 124 da Lei Federal nº 14.133, de 2021</w:t>
      </w:r>
      <w:r>
        <w:rPr>
          <w:color w:val="auto"/>
          <w:sz w:val="24"/>
          <w:szCs w:val="24"/>
        </w:rPr>
        <w:t xml:space="preserve"> se a Administração julgar conveniente poderá</w:t>
      </w:r>
      <w:r>
        <w:rPr>
          <w:b/>
          <w:color w:val="auto"/>
          <w:sz w:val="24"/>
          <w:szCs w:val="24"/>
        </w:rPr>
        <w:t xml:space="preserve"> optar por cancelar</w:t>
      </w:r>
      <w:r>
        <w:rPr>
          <w:color w:val="auto"/>
          <w:sz w:val="24"/>
          <w:szCs w:val="24"/>
        </w:rPr>
        <w:t xml:space="preserve"> a CONTRATO e iniciar outro processo licitatório;</w:t>
      </w:r>
      <w:r>
        <w:rPr>
          <w:color w:val="auto"/>
          <w:sz w:val="24"/>
          <w:szCs w:val="24"/>
        </w:rPr>
      </w:r>
    </w:p>
    <w:p>
      <w:pPr>
        <w:pStyle w:val="1142"/>
        <w:numPr>
          <w:ilvl w:val="1"/>
          <w:numId w:val="32"/>
        </w:numPr>
        <w:pBdr/>
        <w:spacing/>
        <w:ind w:firstLine="0" w:left="0"/>
        <w:rPr>
          <w:sz w:val="24"/>
          <w:szCs w:val="24"/>
        </w:rPr>
      </w:pPr>
      <w:r>
        <w:rPr>
          <w:color w:val="auto"/>
          <w:sz w:val="24"/>
          <w:szCs w:val="24"/>
        </w:rPr>
        <w:t xml:space="preserve">Quando o valor constante no CONTRATO, por motivo superv</w:t>
      </w:r>
      <w:r>
        <w:rPr>
          <w:sz w:val="24"/>
          <w:szCs w:val="24"/>
        </w:rPr>
        <w:t xml:space="preserve">eniente, tornar-se superior ou inferior ao valor praticado no mercado, o Órgão Gerenciador deverá convocar o fornecedor visando a </w:t>
      </w:r>
      <w:r>
        <w:rPr>
          <w:b/>
          <w:sz w:val="24"/>
          <w:szCs w:val="24"/>
        </w:rPr>
        <w:t xml:space="preserve">negociação para adequação ao praticado pelo mercado</w:t>
      </w:r>
      <w:r>
        <w:rPr>
          <w:sz w:val="24"/>
          <w:szCs w:val="24"/>
        </w:rPr>
        <w:t xml:space="preserve">. Frustrada a negociação, o fornecedor será liberado do compromisso assumido, e convocado(s) outro(s) fornecedor (es) na ordem de classificação instituída na fase de lances do Certame;</w:t>
      </w:r>
      <w:r>
        <w:rPr>
          <w:sz w:val="24"/>
          <w:szCs w:val="24"/>
        </w:rPr>
      </w:r>
    </w:p>
    <w:p>
      <w:pPr>
        <w:pStyle w:val="1142"/>
        <w:numPr>
          <w:ilvl w:val="1"/>
          <w:numId w:val="32"/>
        </w:numPr>
        <w:pBdr/>
        <w:spacing/>
        <w:ind w:firstLine="0" w:left="0"/>
        <w:rPr>
          <w:sz w:val="24"/>
          <w:szCs w:val="24"/>
        </w:rPr>
      </w:pPr>
      <w:r>
        <w:rPr>
          <w:sz w:val="24"/>
          <w:szCs w:val="24"/>
        </w:rPr>
        <w:t xml:space="preserve">O(s) fornecedor (es) fica(m) obrigado(s) a comunicar (em) a </w:t>
      </w:r>
      <w:r>
        <w:rPr>
          <w:b/>
          <w:sz w:val="24"/>
          <w:szCs w:val="24"/>
        </w:rPr>
        <w:t xml:space="preserve">variação de preços</w:t>
      </w:r>
      <w:r>
        <w:rPr>
          <w:sz w:val="24"/>
          <w:szCs w:val="24"/>
        </w:rPr>
        <w:t xml:space="preserve"> quando este se posicionar abaixo do preço de mercado;</w:t>
      </w:r>
      <w:r>
        <w:rPr>
          <w:sz w:val="24"/>
          <w:szCs w:val="24"/>
        </w:rPr>
      </w:r>
    </w:p>
    <w:p>
      <w:pPr>
        <w:pStyle w:val="1142"/>
        <w:numPr>
          <w:ilvl w:val="1"/>
          <w:numId w:val="32"/>
        </w:numPr>
        <w:pBdr/>
        <w:spacing/>
        <w:ind w:firstLine="0" w:left="0"/>
        <w:rPr>
          <w:sz w:val="24"/>
          <w:szCs w:val="24"/>
        </w:rPr>
      </w:pPr>
      <w:r>
        <w:rPr>
          <w:sz w:val="24"/>
          <w:szCs w:val="24"/>
        </w:rPr>
        <w:t xml:space="preserve">Quando o(s) </w:t>
      </w:r>
      <w:r>
        <w:rPr>
          <w:b/>
          <w:sz w:val="24"/>
          <w:szCs w:val="24"/>
        </w:rPr>
        <w:t xml:space="preserve">valor (es) de mercado tornar-se superior (es) ao(s) valor (es) do(s) lance(s) vencedor (es) da licitação</w:t>
      </w:r>
      <w:r>
        <w:rPr>
          <w:sz w:val="24"/>
          <w:szCs w:val="24"/>
        </w:rPr>
        <w:t xml:space="preserve"> e o(s) fornecedor (es), mediante requerimento devidamente comprovado, não puder cumprir o compromisso, o Órgão Gerenciador poderá liberá-lo do com</w:t>
      </w:r>
      <w:r>
        <w:rPr>
          <w:sz w:val="24"/>
          <w:szCs w:val="24"/>
        </w:rPr>
        <w:t xml:space="preserve">promisso assumido, sem aplicação de penalidade, confirmando a veracidade dos motivos por meio de comprovante(s) apresentado(s) e se a comunicação ocorrer antes do pedido de fornecimento, podendo convocar os demais fornecedor (es) na ordem de classificação;</w:t>
      </w:r>
      <w:r>
        <w:rPr>
          <w:sz w:val="24"/>
          <w:szCs w:val="24"/>
        </w:rPr>
      </w:r>
    </w:p>
    <w:p>
      <w:pPr>
        <w:pStyle w:val="1142"/>
        <w:numPr>
          <w:ilvl w:val="1"/>
          <w:numId w:val="32"/>
        </w:numPr>
        <w:pBdr/>
        <w:spacing/>
        <w:ind w:firstLine="0" w:left="0"/>
        <w:rPr>
          <w:sz w:val="24"/>
          <w:szCs w:val="24"/>
        </w:rPr>
      </w:pPr>
      <w:r>
        <w:rPr>
          <w:b/>
          <w:sz w:val="24"/>
          <w:szCs w:val="24"/>
        </w:rPr>
        <w:t xml:space="preserve">Não havendo êxito nas negociações</w:t>
      </w:r>
      <w:r>
        <w:rPr>
          <w:sz w:val="24"/>
          <w:szCs w:val="24"/>
        </w:rPr>
        <w:t xml:space="preserve">, o Órgão Gerenciador procederá à </w:t>
      </w:r>
      <w:r>
        <w:rPr>
          <w:b/>
          <w:sz w:val="24"/>
          <w:szCs w:val="24"/>
        </w:rPr>
        <w:t xml:space="preserve">REVOGAÇÃO </w:t>
      </w:r>
      <w:r>
        <w:rPr>
          <w:sz w:val="24"/>
          <w:szCs w:val="24"/>
        </w:rPr>
        <w:t xml:space="preserve">do item do CONTRATO e adotará as medidas para obter contratação mais vantajosa;</w:t>
      </w:r>
      <w:r>
        <w:rPr>
          <w:sz w:val="24"/>
          <w:szCs w:val="24"/>
        </w:rPr>
      </w:r>
    </w:p>
    <w:p>
      <w:pPr>
        <w:pStyle w:val="1143"/>
        <w:numPr>
          <w:ilvl w:val="2"/>
          <w:numId w:val="32"/>
        </w:numPr>
        <w:pBdr/>
        <w:spacing/>
        <w:ind w:left="426"/>
        <w:rPr>
          <w:sz w:val="24"/>
          <w:szCs w:val="24"/>
        </w:rPr>
      </w:pPr>
      <w:r>
        <w:rPr>
          <w:b/>
          <w:sz w:val="24"/>
          <w:szCs w:val="24"/>
        </w:rPr>
        <w:t xml:space="preserve">O(s) valor (es) revisado(s) será(</w:t>
      </w:r>
      <w:r>
        <w:rPr>
          <w:b/>
          <w:sz w:val="24"/>
          <w:szCs w:val="24"/>
        </w:rPr>
        <w:t xml:space="preserve">ão</w:t>
      </w:r>
      <w:r>
        <w:rPr>
          <w:b/>
          <w:sz w:val="24"/>
          <w:szCs w:val="24"/>
        </w:rPr>
        <w:t xml:space="preserve">) publicado(s)</w:t>
      </w:r>
      <w:r>
        <w:rPr>
          <w:sz w:val="24"/>
          <w:szCs w:val="24"/>
        </w:rPr>
        <w:t xml:space="preserve"> no Informativo Oficial do Município de Rio das Flores.</w:t>
      </w:r>
      <w:r>
        <w:rPr>
          <w:sz w:val="24"/>
          <w:szCs w:val="24"/>
        </w:rPr>
      </w:r>
    </w:p>
    <w:p>
      <w:pPr>
        <w:pStyle w:val="1141"/>
        <w:numPr>
          <w:ilvl w:val="0"/>
          <w:numId w:val="32"/>
        </w:numPr>
        <w:pBdr/>
        <w:spacing/>
        <w:ind/>
        <w:rPr>
          <w:color w:val="ffffff" w:themeColor="background1"/>
        </w:rPr>
      </w:pPr>
      <w:r>
        <w:t xml:space="preserve">CLÁUSULA OITAVA - OBRIGAÇÕES DA CONTRATADA (</w:t>
      </w:r>
      <w:hyperlink r:id="rId72" w:tooltip="http://www.planalto.gov.br/ccivil_03/_ato2019-2022/2021/lei/L14133.htm#art92" w:anchor="art92" w:history="1">
        <w:r>
          <w:rPr>
            <w:rStyle w:val="953"/>
          </w:rPr>
          <w:t xml:space="preserve">art. 92, X, XI e XIV</w:t>
        </w:r>
      </w:hyperlink>
      <w:r>
        <w:t xml:space="preserve">)</w:t>
      </w:r>
      <w:r>
        <w:rPr>
          <w:color w:val="ffffff" w:themeColor="background1"/>
        </w:rPr>
      </w:r>
    </w:p>
    <w:p>
      <w:pPr>
        <w:pStyle w:val="1142"/>
        <w:numPr>
          <w:ilvl w:val="1"/>
          <w:numId w:val="32"/>
        </w:numPr>
        <w:pBdr/>
        <w:spacing/>
        <w:ind w:firstLine="0" w:left="0"/>
        <w:rPr>
          <w:b/>
          <w:bCs/>
          <w:sz w:val="24"/>
          <w:szCs w:val="24"/>
        </w:rPr>
      </w:pPr>
      <w:r>
        <w:rPr>
          <w:sz w:val="24"/>
          <w:szCs w:val="24"/>
        </w:rPr>
        <w:t xml:space="preserve">São obrigações da Contratada:</w:t>
      </w:r>
      <w:r>
        <w:rPr>
          <w:b/>
          <w:bCs/>
          <w:sz w:val="24"/>
          <w:szCs w:val="24"/>
        </w:rPr>
      </w:r>
    </w:p>
    <w:p>
      <w:pPr>
        <w:pStyle w:val="1142"/>
        <w:numPr>
          <w:ilvl w:val="1"/>
          <w:numId w:val="32"/>
        </w:numPr>
        <w:pBdr/>
        <w:spacing/>
        <w:ind w:firstLine="0" w:left="0"/>
        <w:rPr>
          <w:sz w:val="24"/>
          <w:szCs w:val="24"/>
        </w:rPr>
      </w:pPr>
      <w:r>
        <w:rPr>
          <w:sz w:val="24"/>
          <w:szCs w:val="24"/>
        </w:rPr>
        <w:t xml:space="preserve">Exigir o cumprimento de todas as obrigações assumidas pelo Contratado, de acordo com o contrato e seus anexos;</w:t>
      </w:r>
      <w:r>
        <w:rPr>
          <w:sz w:val="24"/>
          <w:szCs w:val="24"/>
        </w:rPr>
      </w:r>
    </w:p>
    <w:p>
      <w:pPr>
        <w:pStyle w:val="1142"/>
        <w:numPr>
          <w:ilvl w:val="1"/>
          <w:numId w:val="32"/>
        </w:numPr>
        <w:pBdr/>
        <w:spacing/>
        <w:ind w:firstLine="0" w:left="0"/>
        <w:rPr>
          <w:sz w:val="24"/>
          <w:szCs w:val="24"/>
        </w:rPr>
      </w:pPr>
      <w:r>
        <w:rPr>
          <w:sz w:val="24"/>
          <w:szCs w:val="24"/>
        </w:rPr>
        <w:t xml:space="preserve">Receber o objeto no prazo e condições estabelecidas no Termo de Referência;</w:t>
      </w:r>
      <w:r>
        <w:rPr>
          <w:sz w:val="24"/>
          <w:szCs w:val="24"/>
        </w:rPr>
      </w:r>
    </w:p>
    <w:p>
      <w:pPr>
        <w:pStyle w:val="1142"/>
        <w:numPr>
          <w:ilvl w:val="1"/>
          <w:numId w:val="32"/>
        </w:numPr>
        <w:pBdr/>
        <w:spacing/>
        <w:ind w:firstLine="0" w:left="0"/>
        <w:rPr>
          <w:sz w:val="24"/>
          <w:szCs w:val="24"/>
        </w:rPr>
      </w:pPr>
      <w:r>
        <w:rPr>
          <w:sz w:val="24"/>
          <w:szCs w:val="24"/>
        </w:rPr>
        <w:t xml:space="preserve">Notificar o Contratado, por escrito, sobre vícios, defeitos ou incorreções verificadas no objeto fornecido, para que seja por ele substituído, reparado ou corrigido, no total ou em parte, às suas expensas;</w:t>
      </w:r>
      <w:r>
        <w:rPr>
          <w:sz w:val="24"/>
          <w:szCs w:val="24"/>
        </w:rPr>
      </w:r>
    </w:p>
    <w:p>
      <w:pPr>
        <w:pStyle w:val="1142"/>
        <w:numPr>
          <w:ilvl w:val="1"/>
          <w:numId w:val="32"/>
        </w:numPr>
        <w:pBdr/>
        <w:spacing/>
        <w:ind w:firstLine="0" w:left="0"/>
        <w:rPr>
          <w:sz w:val="24"/>
          <w:szCs w:val="24"/>
        </w:rPr>
      </w:pPr>
      <w:r>
        <w:rPr>
          <w:sz w:val="24"/>
          <w:szCs w:val="24"/>
        </w:rPr>
        <w:t xml:space="preserve">Acompanhar e fiscalizar a execução do contrato e o cumprimento das obrigações pelo Contratado;</w:t>
      </w:r>
      <w:r>
        <w:rPr>
          <w:sz w:val="24"/>
          <w:szCs w:val="24"/>
        </w:rPr>
      </w:r>
    </w:p>
    <w:p>
      <w:pPr>
        <w:pStyle w:val="1142"/>
        <w:numPr>
          <w:ilvl w:val="1"/>
          <w:numId w:val="32"/>
        </w:numPr>
        <w:pBdr/>
        <w:spacing/>
        <w:ind w:firstLine="0" w:left="0"/>
        <w:rPr>
          <w:sz w:val="24"/>
          <w:szCs w:val="24"/>
        </w:rPr>
      </w:pPr>
      <w:r>
        <w:rPr>
          <w:sz w:val="24"/>
          <w:szCs w:val="24"/>
        </w:rPr>
        <w:t xml:space="preserve">Efetuar o pagamento ao Contratado do valor correspondente ao fornecimento do objeto, no prazo, forma e condições estabelecidos no presente Contrato e no Termo de Referência.</w:t>
      </w:r>
      <w:r>
        <w:rPr>
          <w:sz w:val="24"/>
          <w:szCs w:val="24"/>
        </w:rPr>
      </w:r>
    </w:p>
    <w:p>
      <w:pPr>
        <w:pStyle w:val="1142"/>
        <w:numPr>
          <w:ilvl w:val="1"/>
          <w:numId w:val="32"/>
        </w:numPr>
        <w:pBdr/>
        <w:spacing/>
        <w:ind w:firstLine="0" w:left="0"/>
        <w:rPr>
          <w:sz w:val="24"/>
          <w:szCs w:val="24"/>
        </w:rPr>
      </w:pPr>
      <w:r>
        <w:rPr>
          <w:sz w:val="24"/>
          <w:szCs w:val="24"/>
        </w:rPr>
        <w:t xml:space="preserve">Aplicar ao Contratado as sanções previstas na lei e neste Contrato; </w:t>
      </w:r>
      <w:r>
        <w:rPr>
          <w:sz w:val="24"/>
          <w:szCs w:val="24"/>
        </w:rPr>
      </w:r>
    </w:p>
    <w:p>
      <w:pPr>
        <w:pStyle w:val="1142"/>
        <w:numPr>
          <w:ilvl w:val="1"/>
          <w:numId w:val="32"/>
        </w:numPr>
        <w:pBdr/>
        <w:spacing/>
        <w:ind w:firstLine="0" w:left="0"/>
        <w:rPr>
          <w:sz w:val="24"/>
          <w:szCs w:val="24"/>
        </w:rPr>
      </w:pPr>
      <w:r>
        <w:rPr>
          <w:sz w:val="24"/>
          <w:szCs w:val="24"/>
        </w:rPr>
        <w:t xml:space="preserve">Cientificar o órgão de representação judicial da Advocacia-Geral da União para adoção das medidas cabíveis quando do descumprimento de obrigações pelo Contratado;</w:t>
      </w:r>
      <w:r>
        <w:rPr>
          <w:sz w:val="24"/>
          <w:szCs w:val="24"/>
        </w:rPr>
      </w:r>
    </w:p>
    <w:p>
      <w:pPr>
        <w:pStyle w:val="1142"/>
        <w:numPr>
          <w:ilvl w:val="1"/>
          <w:numId w:val="32"/>
        </w:numPr>
        <w:pBdr/>
        <w:spacing/>
        <w:ind w:firstLine="0" w:left="0"/>
        <w:rPr>
          <w:sz w:val="24"/>
          <w:szCs w:val="24"/>
        </w:rPr>
      </w:pPr>
      <w:r>
        <w:rPr>
          <w:sz w:val="24"/>
          <w:szCs w:val="24"/>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Pr>
          <w:sz w:val="24"/>
          <w:szCs w:val="24"/>
        </w:rPr>
      </w:r>
    </w:p>
    <w:p>
      <w:pPr>
        <w:pStyle w:val="1142"/>
        <w:numPr>
          <w:ilvl w:val="1"/>
          <w:numId w:val="32"/>
        </w:numPr>
        <w:pBdr/>
        <w:spacing/>
        <w:ind w:firstLine="0" w:left="0"/>
        <w:rPr>
          <w:b/>
          <w:bCs/>
          <w:sz w:val="24"/>
          <w:szCs w:val="24"/>
        </w:rPr>
      </w:pPr>
      <w:r>
        <w:rPr>
          <w:sz w:val="24"/>
          <w:szCs w:val="24"/>
        </w:rPr>
        <w:t xml:space="preserve"> A Administração terá o prazo de</w:t>
      </w:r>
      <w:r>
        <w:rPr>
          <w:i/>
          <w:iCs/>
          <w:color w:val="ff0000"/>
          <w:sz w:val="24"/>
          <w:szCs w:val="24"/>
        </w:rPr>
        <w:t xml:space="preserve"> </w:t>
      </w:r>
      <w:r>
        <w:rPr>
          <w:b/>
          <w:iCs/>
          <w:color w:val="auto"/>
          <w:sz w:val="24"/>
          <w:szCs w:val="24"/>
        </w:rPr>
        <w:t xml:space="preserve">30 (trinta) dias</w:t>
      </w:r>
      <w:r>
        <w:rPr>
          <w:sz w:val="24"/>
          <w:szCs w:val="24"/>
        </w:rPr>
        <w:t xml:space="preserve">, a contar da data do protocolo do requerimento para decidir, admitida a prorrogação motivada, por igual período. </w:t>
      </w:r>
      <w:r>
        <w:rPr>
          <w:b/>
          <w:bCs/>
          <w:sz w:val="24"/>
          <w:szCs w:val="24"/>
        </w:rPr>
      </w:r>
    </w:p>
    <w:p>
      <w:pPr>
        <w:pStyle w:val="1142"/>
        <w:numPr>
          <w:ilvl w:val="1"/>
          <w:numId w:val="32"/>
        </w:numPr>
        <w:pBdr/>
        <w:spacing/>
        <w:ind w:firstLine="0" w:left="0"/>
        <w:rPr>
          <w:color w:val="auto"/>
          <w:sz w:val="24"/>
          <w:szCs w:val="24"/>
        </w:rPr>
      </w:pPr>
      <w:r>
        <w:rPr>
          <w:sz w:val="24"/>
          <w:szCs w:val="24"/>
        </w:rPr>
        <w:t xml:space="preserve">Responder e</w:t>
      </w:r>
      <w:r>
        <w:rPr>
          <w:color w:val="auto"/>
          <w:sz w:val="24"/>
          <w:szCs w:val="24"/>
        </w:rPr>
        <w:t xml:space="preserve">ventuais pedidos de reestabelecimento do equilíbrio econômico-financeiro feitos pelo contratado no prazo máximo de </w:t>
      </w:r>
      <w:r>
        <w:rPr>
          <w:b/>
          <w:color w:val="auto"/>
          <w:sz w:val="24"/>
          <w:szCs w:val="24"/>
        </w:rPr>
        <w:t xml:space="preserve">30 (trinta) dias</w:t>
      </w:r>
      <w:r>
        <w:rPr>
          <w:color w:val="auto"/>
          <w:sz w:val="24"/>
          <w:szCs w:val="24"/>
        </w:rPr>
        <w:t xml:space="preserve">.</w:t>
      </w:r>
      <w:r>
        <w:rPr>
          <w:color w:val="auto"/>
          <w:sz w:val="24"/>
          <w:szCs w:val="24"/>
        </w:rPr>
      </w:r>
    </w:p>
    <w:p>
      <w:pPr>
        <w:pStyle w:val="1148"/>
        <w:numPr>
          <w:ilvl w:val="1"/>
          <w:numId w:val="32"/>
        </w:numPr>
        <w:pBdr/>
        <w:spacing/>
        <w:ind w:firstLine="0" w:left="0"/>
        <w:rPr>
          <w:color w:val="auto"/>
          <w:sz w:val="24"/>
          <w:szCs w:val="24"/>
        </w:rPr>
      </w:pPr>
      <w:r>
        <w:rPr>
          <w:color w:val="auto"/>
          <w:sz w:val="24"/>
          <w:szCs w:val="24"/>
        </w:rPr>
        <w:t xml:space="preserve">Notificar os emitentes das garantias quanto ao início de processo administrativo para apuração de descumprimento de cláusulas contratuais.</w:t>
      </w:r>
      <w:r>
        <w:rPr>
          <w:color w:val="auto"/>
          <w:sz w:val="24"/>
          <w:szCs w:val="24"/>
        </w:rPr>
      </w:r>
    </w:p>
    <w:p>
      <w:pPr>
        <w:pStyle w:val="1142"/>
        <w:numPr>
          <w:ilvl w:val="1"/>
          <w:numId w:val="32"/>
        </w:numPr>
        <w:pBdr/>
        <w:spacing/>
        <w:ind w:firstLine="0" w:left="0"/>
        <w:rPr>
          <w:sz w:val="24"/>
          <w:szCs w:val="24"/>
        </w:rPr>
      </w:pPr>
      <w:r>
        <w:rPr>
          <w:color w:val="auto"/>
          <w:sz w:val="24"/>
          <w:szCs w:val="24"/>
        </w:rPr>
        <w:t xml:space="preserve">A Administração não responderá por quaisquer compromis</w:t>
      </w:r>
      <w:r>
        <w:rPr>
          <w:sz w:val="24"/>
          <w:szCs w:val="24"/>
        </w:rPr>
        <w:t xml:space="preserve">sos assumidos pelo Contratado com terceiros, ainda que vinculados à execução do contrato, bem como por qualquer dano causado a terceiros em decorrência de ato do Contratado, de seus empregados, prepostos ou subordinados.</w:t>
      </w:r>
      <w:r>
        <w:rPr>
          <w:sz w:val="24"/>
          <w:szCs w:val="24"/>
        </w:rPr>
      </w:r>
    </w:p>
    <w:p>
      <w:pPr>
        <w:pStyle w:val="1141"/>
        <w:numPr>
          <w:ilvl w:val="0"/>
          <w:numId w:val="32"/>
        </w:numPr>
        <w:pBdr/>
        <w:spacing/>
        <w:ind/>
        <w:rPr>
          <w:color w:val="ffffff" w:themeColor="background1"/>
        </w:rPr>
      </w:pPr>
      <w:r>
        <w:t xml:space="preserve">CLÁUSULA NONA - OBRIGAÇÕES DO CONTRATADO (</w:t>
      </w:r>
      <w:hyperlink r:id="rId73" w:tooltip="http://www.planalto.gov.br/ccivil_03/_ato2019-2022/2021/lei/L14133.htm#art92" w:anchor="art92" w:history="1">
        <w:r>
          <w:rPr>
            <w:rStyle w:val="953"/>
          </w:rPr>
          <w:t xml:space="preserve">art. 92, XIV, XVI e XVII)</w:t>
        </w:r>
      </w:hyperlink>
      <w:r/>
      <w:r>
        <w:rPr>
          <w:color w:val="ffffff" w:themeColor="background1"/>
        </w:rPr>
      </w:r>
    </w:p>
    <w:p>
      <w:pPr>
        <w:pStyle w:val="1142"/>
        <w:numPr>
          <w:ilvl w:val="1"/>
          <w:numId w:val="32"/>
        </w:numPr>
        <w:pBdr/>
        <w:spacing/>
        <w:ind w:firstLine="0" w:left="0"/>
        <w:rPr>
          <w:color w:val="auto"/>
          <w:sz w:val="24"/>
          <w:szCs w:val="24"/>
        </w:rPr>
      </w:pPr>
      <w:r>
        <w:rPr>
          <w:sz w:val="24"/>
          <w:szCs w:val="24"/>
        </w:rPr>
        <w:t xml:space="preserve">O Contratado deve cumprir todas as obrigações constantes deste Contrato e em seus anexos, assumindo como exclusivamente seus os riscos e as despesas decorrentes da boa e per</w:t>
      </w:r>
      <w:r>
        <w:rPr>
          <w:color w:val="auto"/>
          <w:sz w:val="24"/>
          <w:szCs w:val="24"/>
        </w:rPr>
        <w:t xml:space="preserve">feita execução do objeto, observando, ainda, as obrigações a seguir dispostas:</w:t>
      </w:r>
      <w:r>
        <w:rPr>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Entregar o objeto acompanhado do manual do usuário, com uma versão em português, e da relação da rede de assistência técnica autorizada;</w:t>
      </w:r>
      <w:r>
        <w:rPr>
          <w:i w:val="0"/>
          <w:color w:val="auto"/>
          <w:sz w:val="24"/>
          <w:szCs w:val="24"/>
        </w:rPr>
      </w:r>
    </w:p>
    <w:p>
      <w:pPr>
        <w:pStyle w:val="1142"/>
        <w:numPr>
          <w:ilvl w:val="1"/>
          <w:numId w:val="32"/>
        </w:numPr>
        <w:pBdr/>
        <w:spacing/>
        <w:ind w:firstLine="0" w:left="0"/>
        <w:rPr>
          <w:color w:val="000000" w:themeColor="text1"/>
          <w:sz w:val="24"/>
          <w:szCs w:val="24"/>
        </w:rPr>
      </w:pPr>
      <w:r>
        <w:rPr>
          <w:sz w:val="24"/>
          <w:szCs w:val="24"/>
        </w:rPr>
        <w:t xml:space="preserve">Responsabilizar-se pelos vícios e danos decorrentes do objeto, de acordo com o Código de Defesa do Consumidor (</w:t>
      </w:r>
      <w:hyperlink r:id="rId74" w:tooltip="https://www.planalto.gov.br/ccivil_03/leis/l8078compilado.htm" w:history="1">
        <w:r>
          <w:rPr>
            <w:rStyle w:val="953"/>
            <w:sz w:val="24"/>
            <w:szCs w:val="24"/>
          </w:rPr>
          <w:t xml:space="preserve">Lei nº 8.078, de 1990</w:t>
        </w:r>
      </w:hyperlink>
      <w:r>
        <w:rPr>
          <w:sz w:val="24"/>
          <w:szCs w:val="24"/>
        </w:rPr>
        <w:t xml:space="preserve">);</w:t>
      </w:r>
      <w:r>
        <w:rPr>
          <w:color w:val="000000" w:themeColor="text1"/>
          <w:sz w:val="24"/>
          <w:szCs w:val="24"/>
        </w:rPr>
      </w:r>
    </w:p>
    <w:p>
      <w:pPr>
        <w:pStyle w:val="1142"/>
        <w:numPr>
          <w:ilvl w:val="1"/>
          <w:numId w:val="32"/>
        </w:numPr>
        <w:pBdr/>
        <w:spacing/>
        <w:ind w:firstLine="0" w:left="0"/>
        <w:rPr>
          <w:sz w:val="24"/>
          <w:szCs w:val="24"/>
        </w:rPr>
      </w:pPr>
      <w:r>
        <w:rPr>
          <w:sz w:val="24"/>
          <w:szCs w:val="24"/>
        </w:rPr>
        <w:t xml:space="preserve">Comunicar ao contratante, no prazo máximo de 24 (vinte e quatro) horas que antecede a data da entrega, os motivos que impossibilitem o cumprimento do prazo previsto, com a devida comprovação;</w:t>
      </w:r>
      <w:r>
        <w:rPr>
          <w:sz w:val="24"/>
          <w:szCs w:val="24"/>
        </w:rPr>
      </w:r>
    </w:p>
    <w:p>
      <w:pPr>
        <w:pStyle w:val="1142"/>
        <w:numPr>
          <w:ilvl w:val="1"/>
          <w:numId w:val="32"/>
        </w:numPr>
        <w:pBdr/>
        <w:spacing/>
        <w:ind w:firstLine="0" w:left="0"/>
        <w:rPr>
          <w:color w:val="000000" w:themeColor="text1"/>
          <w:sz w:val="24"/>
          <w:szCs w:val="24"/>
        </w:rPr>
      </w:pPr>
      <w:r>
        <w:rPr>
          <w:color w:val="000000" w:themeColor="text1"/>
          <w:sz w:val="24"/>
          <w:szCs w:val="24"/>
        </w:rPr>
        <w:t xml:space="preserve">Atender </w:t>
      </w:r>
      <w:r>
        <w:rPr>
          <w:sz w:val="24"/>
          <w:szCs w:val="24"/>
        </w:rPr>
        <w:t xml:space="preserve">às</w:t>
      </w:r>
      <w:r>
        <w:rPr>
          <w:color w:val="000000" w:themeColor="text1"/>
          <w:sz w:val="24"/>
          <w:szCs w:val="24"/>
        </w:rPr>
        <w:t xml:space="preserve"> determinações regulares emitidas pelo fiscal ou gestor do contrato ou autoridade superior (</w:t>
      </w:r>
      <w:hyperlink r:id="rId75" w:tooltip="http://www.planalto.gov.br/ccivil_03/_ato2019-2022/2021/lei/L14133.htm#art137" w:anchor="art137" w:history="1">
        <w:r>
          <w:rPr>
            <w:rStyle w:val="953"/>
            <w:sz w:val="24"/>
            <w:szCs w:val="24"/>
          </w:rPr>
          <w:t xml:space="preserve">art. 137, II, da Lei n.º 14.133, de 2021</w:t>
        </w:r>
      </w:hyperlink>
      <w:r>
        <w:rPr>
          <w:color w:val="000000" w:themeColor="text1"/>
          <w:sz w:val="24"/>
          <w:szCs w:val="24"/>
        </w:rPr>
        <w:t xml:space="preserve">) e </w:t>
      </w:r>
      <w:r>
        <w:rPr>
          <w:sz w:val="24"/>
          <w:szCs w:val="24"/>
        </w:rPr>
        <w:t xml:space="preserve">prestar todo esclarecimento ou informação por eles solicitados</w:t>
      </w:r>
      <w:r>
        <w:rPr>
          <w:color w:val="000000" w:themeColor="text1"/>
          <w:sz w:val="24"/>
          <w:szCs w:val="24"/>
        </w:rPr>
        <w:t xml:space="preserve">;</w:t>
      </w:r>
      <w:r>
        <w:rPr>
          <w:color w:val="000000" w:themeColor="text1"/>
          <w:sz w:val="24"/>
          <w:szCs w:val="24"/>
        </w:rPr>
      </w:r>
    </w:p>
    <w:p>
      <w:pPr>
        <w:pStyle w:val="1142"/>
        <w:numPr>
          <w:ilvl w:val="1"/>
          <w:numId w:val="32"/>
        </w:numPr>
        <w:pBdr/>
        <w:spacing/>
        <w:ind w:firstLine="0" w:left="0"/>
        <w:rPr>
          <w:sz w:val="24"/>
          <w:szCs w:val="24"/>
        </w:rPr>
      </w:pPr>
      <w:r>
        <w:rPr>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sz w:val="24"/>
          <w:szCs w:val="24"/>
        </w:rPr>
      </w:r>
    </w:p>
    <w:p>
      <w:pPr>
        <w:pStyle w:val="1142"/>
        <w:numPr>
          <w:ilvl w:val="1"/>
          <w:numId w:val="32"/>
        </w:numPr>
        <w:pBdr/>
        <w:spacing/>
        <w:ind w:firstLine="0" w:left="0"/>
        <w:rPr>
          <w:sz w:val="24"/>
          <w:szCs w:val="24"/>
        </w:rPr>
      </w:pPr>
      <w:r>
        <w:rPr>
          <w:sz w:val="24"/>
          <w:szCs w:val="24"/>
        </w:rPr>
        <w:t xml:space="preserve">Responsabilizar-se pelos vícios e danos decorrentes da execução do objeto, bem como por todo e qualquer dano causado à Administração</w:t>
      </w:r>
      <w:r>
        <w:rPr>
          <w:sz w:val="24"/>
          <w:szCs w:val="24"/>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sz w:val="24"/>
          <w:szCs w:val="24"/>
        </w:rPr>
      </w:r>
    </w:p>
    <w:p>
      <w:pPr>
        <w:pStyle w:val="1142"/>
        <w:numPr>
          <w:ilvl w:val="1"/>
          <w:numId w:val="32"/>
        </w:numPr>
        <w:pBdr/>
        <w:spacing/>
        <w:ind w:firstLine="0" w:left="0"/>
        <w:rPr>
          <w:sz w:val="24"/>
          <w:szCs w:val="24"/>
        </w:rPr>
      </w:pPr>
      <w:r>
        <w:rPr>
          <w:sz w:val="24"/>
          <w:szCs w:val="24"/>
        </w:rPr>
        <w:t xml:space="preserve">Quando não for possível a verificação da regularidade no Sistema de Cadastro de Fornecedores –</w:t>
      </w:r>
      <w:r>
        <w:rPr>
          <w:sz w:val="24"/>
          <w:szCs w:val="24"/>
        </w:rPr>
        <w:t xml:space="preserve"> SICAF, o contratado deverá entregar ao setor responsável pela fiscalização do contrato, junto com a Nota Fiscal para fins de pagamento, os seguintes documentos: 1) prova de regularidade relativa à Seguridade Social; 2) certidão conjunta relativa aos tribu</w:t>
      </w:r>
      <w:r>
        <w:rPr>
          <w:sz w:val="24"/>
          <w:szCs w:val="24"/>
        </w:rPr>
        <w:t xml:space="preserve">tos federais e à Dívida Ativa da União; 3) certidões que comprovem a regularidade perante a Fazenda Estadual ou Distrital do domicílio ou sede do contratado; 4) Certidão de Regularidade do FGTS – CRF; e 5) Certidão Negativa de Débitos Trabalhistas – CNDT; </w:t>
      </w:r>
      <w:r>
        <w:rPr>
          <w:sz w:val="24"/>
          <w:szCs w:val="24"/>
        </w:rPr>
      </w:r>
    </w:p>
    <w:p>
      <w:pPr>
        <w:pStyle w:val="1142"/>
        <w:numPr>
          <w:ilvl w:val="1"/>
          <w:numId w:val="32"/>
        </w:numPr>
        <w:pBdr/>
        <w:spacing/>
        <w:ind w:firstLine="0" w:left="0"/>
        <w:rPr>
          <w:sz w:val="24"/>
          <w:szCs w:val="24"/>
        </w:rPr>
      </w:pPr>
      <w:r>
        <w:rPr>
          <w:sz w:val="24"/>
          <w:szCs w:val="24"/>
        </w:rPr>
        <w:t xml:space="preserve">Responsabi</w:t>
      </w:r>
      <w:r>
        <w:rPr>
          <w:sz w:val="24"/>
          <w:szCs w:val="24"/>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sz w:val="24"/>
          <w:szCs w:val="24"/>
        </w:rPr>
      </w:r>
    </w:p>
    <w:p>
      <w:pPr>
        <w:pStyle w:val="1142"/>
        <w:numPr>
          <w:ilvl w:val="1"/>
          <w:numId w:val="32"/>
        </w:numPr>
        <w:pBdr/>
        <w:spacing/>
        <w:ind w:firstLine="0" w:left="0"/>
        <w:rPr>
          <w:sz w:val="24"/>
          <w:szCs w:val="24"/>
        </w:rPr>
      </w:pPr>
      <w:r>
        <w:rPr>
          <w:sz w:val="24"/>
          <w:szCs w:val="24"/>
        </w:rPr>
        <w:t xml:space="preserve">Comunicar ao Fiscal do contrato, no prazo de 24 (vinte e quatro) horas, qualquer ocorrência anormal ou acidente que se verifique no local da execução do objeto contratual.</w:t>
      </w:r>
      <w:r>
        <w:rPr>
          <w:sz w:val="24"/>
          <w:szCs w:val="24"/>
        </w:rPr>
      </w:r>
    </w:p>
    <w:p>
      <w:pPr>
        <w:pStyle w:val="1142"/>
        <w:numPr>
          <w:ilvl w:val="1"/>
          <w:numId w:val="32"/>
        </w:numPr>
        <w:pBdr/>
        <w:spacing/>
        <w:ind w:firstLine="0" w:left="0"/>
        <w:rPr>
          <w:sz w:val="24"/>
          <w:szCs w:val="24"/>
        </w:rPr>
      </w:pPr>
      <w:r>
        <w:rPr>
          <w:sz w:val="24"/>
          <w:szCs w:val="24"/>
        </w:rPr>
        <w:t xml:space="preserve">Paralisar, por determinação do contratante, qualquer atividade que não esteja sendo executada de acordo com a boa técnica ou que ponha em risco a segurança de pessoas ou bens de terceiros.</w:t>
      </w:r>
      <w:r>
        <w:rPr>
          <w:sz w:val="24"/>
          <w:szCs w:val="24"/>
        </w:rPr>
      </w:r>
    </w:p>
    <w:p>
      <w:pPr>
        <w:pStyle w:val="1142"/>
        <w:numPr>
          <w:ilvl w:val="1"/>
          <w:numId w:val="32"/>
        </w:numPr>
        <w:pBdr/>
        <w:spacing/>
        <w:ind w:firstLine="0" w:left="0"/>
        <w:rPr>
          <w:sz w:val="24"/>
          <w:szCs w:val="24"/>
        </w:rPr>
      </w:pPr>
      <w:r>
        <w:rPr>
          <w:sz w:val="24"/>
          <w:szCs w:val="24"/>
        </w:rPr>
        <w:t xml:space="preserve">Manter durante toda a vigência do contrato, em compatibilidade com as obrigações assumidas, todas as condições exigidas para habilitação na licitação; </w:t>
      </w:r>
      <w:r>
        <w:rPr>
          <w:sz w:val="24"/>
          <w:szCs w:val="24"/>
        </w:rPr>
      </w:r>
    </w:p>
    <w:p>
      <w:pPr>
        <w:pStyle w:val="1142"/>
        <w:numPr>
          <w:ilvl w:val="1"/>
          <w:numId w:val="32"/>
        </w:numPr>
        <w:pBdr/>
        <w:spacing/>
        <w:ind w:firstLine="0" w:left="0"/>
        <w:rPr>
          <w:b/>
          <w:bCs/>
          <w:sz w:val="24"/>
          <w:szCs w:val="24"/>
        </w:rPr>
      </w:pPr>
      <w:r>
        <w:rPr>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76" w:tooltip="http://www.planalto.gov.br/ccivil_03/_ato2019-2022/2021/lei/L14133.htm#art116" w:anchor="art116" w:history="1">
        <w:r>
          <w:rPr>
            <w:rStyle w:val="953"/>
            <w:sz w:val="24"/>
            <w:szCs w:val="24"/>
          </w:rPr>
          <w:t xml:space="preserve">art. 116, da Lei n.º 14.133, de 2021</w:t>
        </w:r>
      </w:hyperlink>
      <w:r>
        <w:rPr>
          <w:sz w:val="24"/>
          <w:szCs w:val="24"/>
        </w:rPr>
        <w:t xml:space="preserve">);</w:t>
      </w:r>
      <w:r>
        <w:rPr>
          <w:b/>
          <w:bCs/>
          <w:sz w:val="24"/>
          <w:szCs w:val="24"/>
        </w:rPr>
      </w:r>
    </w:p>
    <w:p>
      <w:pPr>
        <w:pStyle w:val="1142"/>
        <w:numPr>
          <w:ilvl w:val="1"/>
          <w:numId w:val="32"/>
        </w:numPr>
        <w:pBdr/>
        <w:spacing/>
        <w:ind w:firstLine="0" w:left="0"/>
        <w:rPr>
          <w:sz w:val="24"/>
          <w:szCs w:val="24"/>
        </w:rPr>
      </w:pPr>
      <w:r>
        <w:rPr>
          <w:sz w:val="24"/>
          <w:szCs w:val="24"/>
        </w:rPr>
        <w:t xml:space="preserve">Comprovar a reserva de cargos a que se refere a cláusula acima, no prazo fixado pelo fiscal do contrato, com a indicação dos empregados que preencheram as referidas vagas (</w:t>
      </w:r>
      <w:hyperlink r:id="rId77" w:tooltip="http://www.planalto.gov.br/ccivil_03/_ato2019-2022/2021/lei/L14133.htm#art116" w:anchor="art116" w:history="1">
        <w:r>
          <w:rPr>
            <w:rStyle w:val="953"/>
            <w:sz w:val="24"/>
            <w:szCs w:val="24"/>
          </w:rPr>
          <w:t xml:space="preserve">art. 116, parágrafo único, da Lei n.º 14.133, de 2021</w:t>
        </w:r>
      </w:hyperlink>
      <w:r>
        <w:rPr>
          <w:sz w:val="24"/>
          <w:szCs w:val="24"/>
        </w:rPr>
        <w:t xml:space="preserve">);</w:t>
      </w:r>
      <w:r>
        <w:rPr>
          <w:sz w:val="24"/>
          <w:szCs w:val="24"/>
        </w:rPr>
      </w:r>
    </w:p>
    <w:p>
      <w:pPr>
        <w:pStyle w:val="1142"/>
        <w:numPr>
          <w:ilvl w:val="1"/>
          <w:numId w:val="32"/>
        </w:numPr>
        <w:pBdr/>
        <w:spacing/>
        <w:ind w:firstLine="0" w:left="0"/>
        <w:rPr>
          <w:sz w:val="24"/>
          <w:szCs w:val="24"/>
        </w:rPr>
      </w:pPr>
      <w:r>
        <w:rPr>
          <w:sz w:val="24"/>
          <w:szCs w:val="24"/>
        </w:rPr>
        <w:t xml:space="preserve">  Guardar sigilo sobre todas as informações obtidas em decorrência do cumprimento do contrato; </w:t>
      </w:r>
      <w:r>
        <w:rPr>
          <w:sz w:val="24"/>
          <w:szCs w:val="24"/>
        </w:rPr>
      </w:r>
    </w:p>
    <w:p>
      <w:pPr>
        <w:pStyle w:val="1142"/>
        <w:numPr>
          <w:ilvl w:val="1"/>
          <w:numId w:val="32"/>
        </w:numPr>
        <w:pBdr/>
        <w:spacing/>
        <w:ind w:firstLine="0" w:left="0"/>
        <w:rPr>
          <w:sz w:val="24"/>
          <w:szCs w:val="24"/>
        </w:rPr>
      </w:pPr>
      <w:r>
        <w:rPr>
          <w:sz w:val="24"/>
          <w:szCs w:val="24"/>
        </w:rPr>
        <w:t xml:space="preserve">Ar</w:t>
      </w:r>
      <w:r>
        <w:rPr>
          <w:sz w:val="24"/>
          <w:szCs w:val="24"/>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sz w:val="24"/>
          <w:szCs w:val="24"/>
        </w:rPr>
        <w:t xml:space="preserve">seja satisfatório para o atendimento do objeto da contratação, exceto quando ocorrer algum dos eventos arrolados no </w:t>
      </w:r>
      <w:hyperlink r:id="rId78" w:tooltip="http://www.planalto.gov.br/ccivil_03/_ato2019-2022/2021/lei/L14133.htm#art124" w:anchor="art124" w:history="1">
        <w:r>
          <w:rPr>
            <w:rStyle w:val="953"/>
            <w:sz w:val="24"/>
            <w:szCs w:val="24"/>
          </w:rPr>
          <w:t xml:space="preserve">art. 124, II, d, da Lei nº 14.133, de 2021.</w:t>
        </w:r>
      </w:hyperlink>
      <w:r/>
      <w:r>
        <w:rPr>
          <w:sz w:val="24"/>
          <w:szCs w:val="24"/>
        </w:rPr>
      </w:r>
    </w:p>
    <w:p>
      <w:pPr>
        <w:pStyle w:val="1142"/>
        <w:numPr>
          <w:ilvl w:val="1"/>
          <w:numId w:val="32"/>
        </w:numPr>
        <w:pBdr/>
        <w:spacing/>
        <w:ind w:firstLine="0" w:left="0"/>
        <w:rPr>
          <w:sz w:val="24"/>
          <w:szCs w:val="24"/>
        </w:rPr>
      </w:pPr>
      <w:r>
        <w:rPr>
          <w:sz w:val="24"/>
          <w:szCs w:val="24"/>
        </w:rPr>
        <w:t xml:space="preserve">Cumprir, além dos postulados legais vigentes de âmbito federal, estadual ou municipal, as normas de segurança do contratante;</w:t>
      </w:r>
      <w:r>
        <w:rPr>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Alocar os empregados necessários, com habilitação e conhecimento </w:t>
      </w:r>
      <w:r>
        <w:rPr>
          <w:i w:val="0"/>
          <w:color w:val="auto"/>
          <w:sz w:val="24"/>
          <w:szCs w:val="24"/>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r>
        <w:rPr>
          <w:i w:val="0"/>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Orientar e treinar seus empregados sobre os deveres previstos na Lei nº 13.709, de 14 de agosto de 2018, adotando medidas eficazes para proteção de dados pessoais a que tenha acesso por força da execução deste contrato;</w:t>
      </w:r>
      <w:r>
        <w:rPr>
          <w:i w:val="0"/>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Conduzir os trabalhos com estrita observância às normas da legislação pertinente, cumprindo as determinações dos Poderes Públicos, mantendo sempre limpo o local d</w:t>
      </w:r>
      <w:r>
        <w:rPr>
          <w:i w:val="0"/>
          <w:color w:val="auto"/>
          <w:sz w:val="24"/>
          <w:szCs w:val="24"/>
          <w:lang w:eastAsia="en-US"/>
        </w:rPr>
        <w:t xml:space="preserve">e execução do objeto</w:t>
      </w:r>
      <w:r>
        <w:rPr>
          <w:i w:val="0"/>
          <w:color w:val="auto"/>
          <w:sz w:val="24"/>
          <w:szCs w:val="24"/>
        </w:rPr>
        <w:t xml:space="preserve"> e nas melhores condições de segurança, higiene e disciplina.</w:t>
      </w:r>
      <w:r>
        <w:rPr>
          <w:i w:val="0"/>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Submeter previamente, por escrito, ao contratante, para análise e aprovação, quaisquer mudanças nos métodos executivos que fujam às especificações do memorial descritivo ou instrumento congênere.</w:t>
      </w:r>
      <w:r>
        <w:rPr>
          <w:i w:val="0"/>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i w:val="0"/>
          <w:color w:val="auto"/>
          <w:sz w:val="24"/>
          <w:szCs w:val="24"/>
        </w:rPr>
      </w:r>
    </w:p>
    <w:p>
      <w:pPr>
        <w:pStyle w:val="1141"/>
        <w:numPr>
          <w:ilvl w:val="0"/>
          <w:numId w:val="32"/>
        </w:numPr>
        <w:pBdr/>
        <w:spacing/>
        <w:ind/>
        <w:rPr>
          <w:color w:val="ffffff" w:themeColor="background1"/>
        </w:rPr>
      </w:pPr>
      <w:r>
        <w:t xml:space="preserve">CLÁUSULA DÉCIMA– GARANTIA DE EXECUÇÃO (</w:t>
      </w:r>
      <w:hyperlink r:id="rId79" w:tooltip="http://www.planalto.gov.br/ccivil_03/_ato2019-2022/2021/lei/L14133.htm#art92" w:anchor="art92" w:history="1">
        <w:r>
          <w:rPr>
            <w:rStyle w:val="953"/>
          </w:rPr>
          <w:t xml:space="preserve">art. 92, XII</w:t>
        </w:r>
      </w:hyperlink>
      <w:r>
        <w:t xml:space="preserve">)</w:t>
      </w:r>
      <w:r>
        <w:rPr>
          <w:color w:val="ffffff" w:themeColor="background1"/>
        </w:rPr>
      </w:r>
    </w:p>
    <w:p>
      <w:pPr>
        <w:pStyle w:val="1148"/>
        <w:numPr>
          <w:ilvl w:val="1"/>
          <w:numId w:val="32"/>
        </w:numPr>
        <w:pBdr/>
        <w:spacing/>
        <w:ind w:firstLine="0" w:left="0"/>
        <w:rPr>
          <w:i w:val="0"/>
          <w:color w:val="auto"/>
          <w:sz w:val="24"/>
          <w:szCs w:val="24"/>
        </w:rPr>
      </w:pPr>
      <w:r>
        <w:rPr>
          <w:i w:val="0"/>
          <w:color w:val="auto"/>
          <w:sz w:val="24"/>
          <w:szCs w:val="24"/>
        </w:rPr>
        <w:t xml:space="preserve">  Não haverá exigência de garantia contratual da execução.</w:t>
      </w:r>
      <w:r>
        <w:rPr>
          <w:i w:val="0"/>
          <w:color w:val="auto"/>
          <w:sz w:val="24"/>
          <w:szCs w:val="24"/>
        </w:rPr>
      </w:r>
    </w:p>
    <w:p>
      <w:pPr>
        <w:pStyle w:val="1141"/>
        <w:numPr>
          <w:ilvl w:val="0"/>
          <w:numId w:val="32"/>
        </w:numPr>
        <w:pBdr/>
        <w:spacing/>
        <w:ind/>
        <w:rPr>
          <w:color w:val="ffffff" w:themeColor="background1"/>
        </w:rPr>
      </w:pPr>
      <w:r>
        <w:t xml:space="preserve">CLÁUSULA DÉCIMA PRIMEIRA – INFRAÇÕES E SANÇÕES ADMINISTRATIVAS (</w:t>
      </w:r>
      <w:hyperlink r:id="rId80" w:tooltip="http://www.planalto.gov.br/ccivil_03/_ato2019-2022/2021/lei/L14133.htm#art92" w:anchor="art92" w:history="1">
        <w:r>
          <w:rPr>
            <w:rStyle w:val="953"/>
          </w:rPr>
          <w:t xml:space="preserve">art. 92, XIV</w:t>
        </w:r>
      </w:hyperlink>
      <w:r>
        <w:t xml:space="preserve">)</w:t>
      </w:r>
      <w:r>
        <w:rPr>
          <w:color w:val="ffffff" w:themeColor="background1"/>
        </w:rPr>
      </w:r>
    </w:p>
    <w:p>
      <w:pPr>
        <w:pStyle w:val="1142"/>
        <w:numPr>
          <w:ilvl w:val="1"/>
          <w:numId w:val="32"/>
        </w:numPr>
        <w:pBdr/>
        <w:spacing/>
        <w:ind w:firstLine="0" w:left="0"/>
        <w:rPr>
          <w:sz w:val="24"/>
          <w:szCs w:val="24"/>
        </w:rPr>
      </w:pPr>
      <w:r>
        <w:rPr>
          <w:sz w:val="24"/>
          <w:szCs w:val="24"/>
        </w:rPr>
        <w:t xml:space="preserve">Comete infração administrativa, nos termos da </w:t>
      </w:r>
      <w:hyperlink r:id="rId81" w:tooltip="http://www.planalto.gov.br/ccivil_03/_ato2019-2022/2021/lei/L14133.htm" w:history="1">
        <w:r>
          <w:rPr>
            <w:rStyle w:val="953"/>
            <w:sz w:val="24"/>
            <w:szCs w:val="24"/>
          </w:rPr>
          <w:t xml:space="preserve">Lei nº 14.133, de 2021</w:t>
        </w:r>
      </w:hyperlink>
      <w:r>
        <w:rPr>
          <w:sz w:val="24"/>
          <w:szCs w:val="24"/>
        </w:rPr>
        <w:t xml:space="preserve">, o contratado que:</w:t>
      </w:r>
      <w:r>
        <w:rPr>
          <w:sz w:val="24"/>
          <w:szCs w:val="24"/>
        </w:rPr>
      </w:r>
    </w:p>
    <w:p>
      <w:pPr>
        <w:numPr>
          <w:ilvl w:val="2"/>
          <w:numId w:val="28"/>
        </w:numPr>
        <w:pBdr/>
        <w:spacing w:line="276" w:lineRule="auto"/>
        <w:ind w:firstLine="0" w:left="284"/>
        <w:rPr>
          <w:rFonts w:eastAsia="Arial" w:cs="Arial"/>
          <w:sz w:val="24"/>
          <w:szCs w:val="24"/>
        </w:rPr>
      </w:pPr>
      <w:r>
        <w:rPr>
          <w:rFonts w:eastAsia="Arial" w:cs="Arial"/>
          <w:sz w:val="24"/>
          <w:szCs w:val="24"/>
        </w:rPr>
        <w:t xml:space="preserve">der causa à inexecução parcial do contrato;</w:t>
      </w:r>
      <w:r>
        <w:rPr>
          <w:rFonts w:eastAsia="Arial" w:cs="Arial"/>
          <w:sz w:val="24"/>
          <w:szCs w:val="24"/>
        </w:rPr>
      </w:r>
    </w:p>
    <w:p>
      <w:pPr>
        <w:numPr>
          <w:ilvl w:val="2"/>
          <w:numId w:val="28"/>
        </w:numPr>
        <w:pBdr/>
        <w:spacing w:line="276" w:lineRule="auto"/>
        <w:ind w:firstLine="0" w:left="284"/>
        <w:rPr>
          <w:rFonts w:eastAsia="Arial" w:cs="Arial"/>
          <w:sz w:val="24"/>
          <w:szCs w:val="24"/>
        </w:rPr>
      </w:pPr>
      <w:r>
        <w:rPr>
          <w:rFonts w:eastAsia="Arial" w:cs="Arial"/>
          <w:sz w:val="24"/>
          <w:szCs w:val="24"/>
        </w:rPr>
        <w:t xml:space="preserve">der causa à inexecução parcial do contrato que cause grave dano à Administração ou ao funcionamento dos serviços públicos ou ao interesse coletivo;</w:t>
      </w:r>
      <w:r>
        <w:rPr>
          <w:rFonts w:eastAsia="Arial" w:cs="Arial"/>
          <w:sz w:val="24"/>
          <w:szCs w:val="24"/>
        </w:rPr>
      </w:r>
    </w:p>
    <w:p>
      <w:pPr>
        <w:numPr>
          <w:ilvl w:val="2"/>
          <w:numId w:val="28"/>
        </w:numPr>
        <w:pBdr/>
        <w:spacing w:line="276" w:lineRule="auto"/>
        <w:ind w:firstLine="0" w:left="284"/>
        <w:rPr>
          <w:rFonts w:eastAsia="Arial" w:cs="Arial"/>
          <w:sz w:val="24"/>
          <w:szCs w:val="24"/>
        </w:rPr>
      </w:pPr>
      <w:r>
        <w:rPr>
          <w:rFonts w:eastAsia="Arial" w:cs="Arial"/>
          <w:sz w:val="24"/>
          <w:szCs w:val="24"/>
        </w:rPr>
        <w:t xml:space="preserve">der causa à inexecução total do contrato;</w:t>
      </w:r>
      <w:r>
        <w:rPr>
          <w:rFonts w:eastAsia="Arial" w:cs="Arial"/>
          <w:sz w:val="24"/>
          <w:szCs w:val="24"/>
        </w:rPr>
      </w:r>
    </w:p>
    <w:p>
      <w:pPr>
        <w:numPr>
          <w:ilvl w:val="2"/>
          <w:numId w:val="28"/>
        </w:numPr>
        <w:pBdr/>
        <w:spacing w:line="276" w:lineRule="auto"/>
        <w:ind w:firstLine="0" w:left="284"/>
        <w:rPr>
          <w:rFonts w:eastAsia="Arial" w:cs="Arial"/>
          <w:sz w:val="24"/>
          <w:szCs w:val="24"/>
        </w:rPr>
      </w:pPr>
      <w:r>
        <w:rPr>
          <w:rFonts w:eastAsia="Arial" w:cs="Arial"/>
          <w:sz w:val="24"/>
          <w:szCs w:val="24"/>
        </w:rPr>
        <w:t xml:space="preserve">ensejar o retardamento da execução ou da entrega do objeto da contratação sem motivo justificado;</w:t>
      </w:r>
      <w:r>
        <w:rPr>
          <w:rFonts w:eastAsia="Arial" w:cs="Arial"/>
          <w:sz w:val="24"/>
          <w:szCs w:val="24"/>
        </w:rPr>
      </w:r>
    </w:p>
    <w:p>
      <w:pPr>
        <w:numPr>
          <w:ilvl w:val="2"/>
          <w:numId w:val="28"/>
        </w:numPr>
        <w:pBdr/>
        <w:spacing w:line="276" w:lineRule="auto"/>
        <w:ind w:firstLine="0" w:left="284"/>
        <w:rPr>
          <w:rFonts w:eastAsia="Arial" w:cs="Arial"/>
          <w:sz w:val="24"/>
          <w:szCs w:val="24"/>
        </w:rPr>
      </w:pPr>
      <w:r>
        <w:rPr>
          <w:rFonts w:eastAsia="Arial" w:cs="Arial"/>
          <w:sz w:val="24"/>
          <w:szCs w:val="24"/>
        </w:rPr>
        <w:t xml:space="preserve">apresentar documentação falsa ou prestar declaração falsa durante a execução do contrato;</w:t>
      </w:r>
      <w:r>
        <w:rPr>
          <w:rFonts w:eastAsia="Arial" w:cs="Arial"/>
          <w:sz w:val="24"/>
          <w:szCs w:val="24"/>
        </w:rPr>
      </w:r>
    </w:p>
    <w:p>
      <w:pPr>
        <w:numPr>
          <w:ilvl w:val="2"/>
          <w:numId w:val="28"/>
        </w:numPr>
        <w:pBdr/>
        <w:spacing w:line="276" w:lineRule="auto"/>
        <w:ind w:firstLine="0" w:left="284"/>
        <w:rPr>
          <w:rFonts w:eastAsia="Arial" w:cs="Arial"/>
          <w:sz w:val="24"/>
          <w:szCs w:val="24"/>
        </w:rPr>
      </w:pPr>
      <w:r>
        <w:rPr>
          <w:rFonts w:eastAsia="Arial" w:cs="Arial"/>
          <w:sz w:val="24"/>
          <w:szCs w:val="24"/>
        </w:rPr>
        <w:t xml:space="preserve">praticar ato fraudulento na execução do contrato;</w:t>
      </w:r>
      <w:r>
        <w:rPr>
          <w:rFonts w:eastAsia="Arial" w:cs="Arial"/>
          <w:sz w:val="24"/>
          <w:szCs w:val="24"/>
        </w:rPr>
      </w:r>
    </w:p>
    <w:p>
      <w:pPr>
        <w:numPr>
          <w:ilvl w:val="2"/>
          <w:numId w:val="28"/>
        </w:numPr>
        <w:pBdr/>
        <w:spacing w:line="276" w:lineRule="auto"/>
        <w:ind w:firstLine="0" w:left="284"/>
        <w:rPr>
          <w:rFonts w:eastAsia="Arial" w:cs="Arial"/>
          <w:sz w:val="24"/>
          <w:szCs w:val="24"/>
        </w:rPr>
      </w:pPr>
      <w:r>
        <w:rPr>
          <w:rFonts w:eastAsia="Arial" w:cs="Arial"/>
          <w:sz w:val="24"/>
          <w:szCs w:val="24"/>
        </w:rPr>
        <w:t xml:space="preserve">comportar-se de modo inidôneo ou cometer fraude de qualquer natureza;</w:t>
      </w:r>
      <w:r>
        <w:rPr>
          <w:rFonts w:eastAsia="Arial" w:cs="Arial"/>
          <w:sz w:val="24"/>
          <w:szCs w:val="24"/>
        </w:rPr>
      </w:r>
    </w:p>
    <w:p>
      <w:pPr>
        <w:numPr>
          <w:ilvl w:val="2"/>
          <w:numId w:val="28"/>
        </w:numPr>
        <w:pBdr/>
        <w:spacing w:line="276" w:lineRule="auto"/>
        <w:ind w:firstLine="0" w:left="284"/>
        <w:rPr>
          <w:rFonts w:eastAsia="Arial" w:cs="Arial"/>
          <w:sz w:val="24"/>
          <w:szCs w:val="24"/>
        </w:rPr>
      </w:pPr>
      <w:r>
        <w:rPr>
          <w:rFonts w:eastAsia="Arial" w:cs="Arial"/>
          <w:sz w:val="24"/>
          <w:szCs w:val="24"/>
        </w:rPr>
        <w:t xml:space="preserve">praticar ato lesivo previsto no </w:t>
      </w:r>
      <w:hyperlink r:id="rId82" w:tooltip="https://www.planalto.gov.br/ccivil_03/_ato2011-2014/2013/lei/l12846.htm#art5" w:anchor="art5" w:history="1">
        <w:r>
          <w:rPr>
            <w:rStyle w:val="953"/>
            <w:rFonts w:eastAsia="Arial"/>
            <w:sz w:val="24"/>
            <w:szCs w:val="24"/>
          </w:rPr>
          <w:t xml:space="preserve">art. 5º da Lei nº 12.846, de 1º de agosto de 2013</w:t>
        </w:r>
      </w:hyperlink>
      <w:r>
        <w:rPr>
          <w:rFonts w:eastAsia="Arial" w:cs="Arial"/>
          <w:sz w:val="24"/>
          <w:szCs w:val="24"/>
        </w:rPr>
        <w:t xml:space="preserve">.</w:t>
      </w:r>
      <w:r>
        <w:rPr>
          <w:rFonts w:eastAsia="Arial" w:cs="Arial"/>
          <w:sz w:val="24"/>
          <w:szCs w:val="24"/>
        </w:rPr>
      </w:r>
    </w:p>
    <w:p>
      <w:pPr>
        <w:pStyle w:val="1142"/>
        <w:numPr>
          <w:ilvl w:val="1"/>
          <w:numId w:val="32"/>
        </w:numPr>
        <w:pBdr/>
        <w:spacing/>
        <w:ind w:firstLine="0" w:left="0"/>
        <w:rPr>
          <w:sz w:val="24"/>
          <w:szCs w:val="24"/>
        </w:rPr>
      </w:pPr>
      <w:r>
        <w:rPr>
          <w:sz w:val="24"/>
          <w:szCs w:val="24"/>
        </w:rPr>
        <w:t xml:space="preserve">Serão aplicadas ao contratado que incorrer nas infrações acima descritas as seguintes sanções:</w:t>
      </w:r>
      <w:r>
        <w:rPr>
          <w:sz w:val="24"/>
          <w:szCs w:val="24"/>
        </w:rPr>
      </w:r>
    </w:p>
    <w:p>
      <w:pPr>
        <w:pStyle w:val="995"/>
        <w:numPr>
          <w:ilvl w:val="0"/>
          <w:numId w:val="29"/>
        </w:numPr>
        <w:pBdr/>
        <w:spacing w:line="276" w:lineRule="auto"/>
        <w:ind w:firstLine="0" w:left="284"/>
        <w:rPr>
          <w:rFonts w:eastAsia="Arial" w:cs="Arial"/>
          <w:sz w:val="24"/>
          <w:szCs w:val="24"/>
        </w:rPr>
      </w:pPr>
      <w:r>
        <w:rPr>
          <w:rFonts w:eastAsia="Arial" w:cs="Arial"/>
          <w:b/>
          <w:bCs/>
          <w:sz w:val="24"/>
          <w:szCs w:val="24"/>
        </w:rPr>
        <w:t xml:space="preserve">Advertência</w:t>
      </w:r>
      <w:r>
        <w:rPr>
          <w:rFonts w:eastAsia="Arial" w:cs="Arial"/>
          <w:sz w:val="24"/>
          <w:szCs w:val="24"/>
        </w:rPr>
        <w:t xml:space="preserve">, quando o contratado der causa à inexecução parcial do contrato, sempre que não se justificar a imposição de penalidade mais grave (</w:t>
      </w:r>
      <w:hyperlink r:id="rId83" w:tooltip="http://www.planalto.gov.br/ccivil_03/_ato2019-2022/2021/lei/L14133.htm#art156§2" w:anchor="art156§2" w:history="1">
        <w:r>
          <w:rPr>
            <w:rStyle w:val="953"/>
            <w:rFonts w:eastAsia="Arial"/>
            <w:sz w:val="24"/>
            <w:szCs w:val="24"/>
          </w:rPr>
          <w:t xml:space="preserve">art. 156, §2º, da </w:t>
        </w:r>
      </w:hyperlink>
      <w:r>
        <w:rPr>
          <w:rStyle w:val="953"/>
          <w:rFonts w:eastAsia="Arial"/>
          <w:sz w:val="24"/>
          <w:szCs w:val="24"/>
        </w:rPr>
        <w:t xml:space="preserve">Lei nº 14.133, de 2021</w:t>
      </w:r>
      <w:r>
        <w:rPr>
          <w:rFonts w:eastAsia="Arial" w:cs="Arial"/>
          <w:sz w:val="24"/>
          <w:szCs w:val="24"/>
        </w:rPr>
        <w:t xml:space="preserve">);</w:t>
      </w:r>
      <w:r>
        <w:rPr>
          <w:rFonts w:eastAsia="Arial" w:cs="Arial"/>
          <w:sz w:val="24"/>
          <w:szCs w:val="24"/>
        </w:rPr>
      </w:r>
    </w:p>
    <w:p>
      <w:pPr>
        <w:pStyle w:val="995"/>
        <w:numPr>
          <w:ilvl w:val="0"/>
          <w:numId w:val="29"/>
        </w:numPr>
        <w:pBdr/>
        <w:spacing w:line="276" w:lineRule="auto"/>
        <w:ind w:firstLine="0" w:left="284"/>
        <w:rPr>
          <w:rFonts w:eastAsia="Arial" w:cs="Arial"/>
          <w:sz w:val="24"/>
          <w:szCs w:val="24"/>
        </w:rPr>
      </w:pPr>
      <w:r>
        <w:rPr>
          <w:rFonts w:eastAsia="Arial" w:cs="Arial"/>
          <w:b/>
          <w:bCs/>
          <w:sz w:val="24"/>
          <w:szCs w:val="24"/>
        </w:rPr>
        <w:t xml:space="preserve">Impedimento de licitar e contratar</w:t>
      </w:r>
      <w:r>
        <w:rPr>
          <w:rFonts w:eastAsia="Arial" w:cs="Arial"/>
          <w:sz w:val="24"/>
          <w:szCs w:val="24"/>
        </w:rPr>
        <w:t xml:space="preserve">, quando praticadas as condutas descritas nas alíneas “b”, “c” e “d” do subitem acima deste Contrato, sempre que não se justificar a imposição de penalidade mais grave (</w:t>
      </w:r>
      <w:hyperlink r:id="rId84" w:tooltip="http://www.planalto.gov.br/ccivil_03/_ato2019-2022/2021/lei/L14133.htm#art156§4" w:anchor="art156§4" w:history="1">
        <w:r>
          <w:rPr>
            <w:rStyle w:val="953"/>
            <w:rFonts w:eastAsia="Arial"/>
            <w:sz w:val="24"/>
            <w:szCs w:val="24"/>
          </w:rPr>
          <w:t xml:space="preserve">art. 156, § 4º, da Lei nº 14.133, de 2021</w:t>
        </w:r>
      </w:hyperlink>
      <w:r>
        <w:rPr>
          <w:rFonts w:eastAsia="Arial" w:cs="Arial"/>
          <w:sz w:val="24"/>
          <w:szCs w:val="24"/>
        </w:rPr>
        <w:t xml:space="preserve">);</w:t>
      </w:r>
      <w:r>
        <w:rPr>
          <w:rFonts w:eastAsia="Arial" w:cs="Arial"/>
          <w:sz w:val="24"/>
          <w:szCs w:val="24"/>
        </w:rPr>
      </w:r>
    </w:p>
    <w:p>
      <w:pPr>
        <w:pStyle w:val="995"/>
        <w:numPr>
          <w:ilvl w:val="0"/>
          <w:numId w:val="29"/>
        </w:numPr>
        <w:pBdr/>
        <w:spacing w:line="276" w:lineRule="auto"/>
        <w:ind w:firstLine="0" w:left="284"/>
        <w:rPr>
          <w:rFonts w:eastAsia="Arial" w:cs="Arial"/>
          <w:sz w:val="24"/>
          <w:szCs w:val="24"/>
        </w:rPr>
      </w:pPr>
      <w:r>
        <w:rPr>
          <w:rFonts w:eastAsia="Arial" w:cs="Arial"/>
          <w:b/>
          <w:bCs/>
          <w:sz w:val="24"/>
          <w:szCs w:val="24"/>
        </w:rPr>
        <w:t xml:space="preserve">Declaração de inidoneidade para licitar e contratar</w:t>
      </w:r>
      <w:r>
        <w:rPr>
          <w:rFonts w:eastAsia="Arial" w:cs="Arial"/>
          <w:sz w:val="24"/>
          <w:szCs w:val="24"/>
        </w:rPr>
        <w:t xml:space="preserve">, quando praticadas as condutas descritas nas alíneas “e”, “f”, “g” e “h” do subitem acima deste Contrato, bem como nas alíneas “b”, “c” e “d”, que justifiquem a imposição de penalidade mais grave (</w:t>
      </w:r>
      <w:hyperlink r:id="rId85" w:tooltip="http://www.planalto.gov.br/ccivil_03/_ato2019-2022/2021/lei/L14133.htm#art156§5" w:anchor="art156§5" w:history="1">
        <w:r>
          <w:rPr>
            <w:rStyle w:val="953"/>
            <w:rFonts w:eastAsia="Arial"/>
            <w:sz w:val="24"/>
            <w:szCs w:val="24"/>
          </w:rPr>
          <w:t xml:space="preserve">art. 156, §5º, da Lei nº 14.133, de 2021</w:t>
        </w:r>
      </w:hyperlink>
      <w:r>
        <w:rPr>
          <w:rFonts w:eastAsia="Arial" w:cs="Arial"/>
          <w:sz w:val="24"/>
          <w:szCs w:val="24"/>
        </w:rPr>
        <w:t xml:space="preserve">).</w:t>
      </w:r>
      <w:r>
        <w:rPr>
          <w:rFonts w:eastAsia="Arial" w:cs="Arial"/>
          <w:sz w:val="24"/>
          <w:szCs w:val="24"/>
        </w:rPr>
      </w:r>
    </w:p>
    <w:p>
      <w:pPr>
        <w:pStyle w:val="995"/>
        <w:numPr>
          <w:ilvl w:val="0"/>
          <w:numId w:val="29"/>
        </w:numPr>
        <w:pBdr/>
        <w:spacing w:line="276" w:lineRule="auto"/>
        <w:ind w:firstLine="0" w:left="284"/>
        <w:rPr>
          <w:rFonts w:eastAsia="Arial" w:cs="Arial"/>
          <w:sz w:val="24"/>
          <w:szCs w:val="24"/>
        </w:rPr>
      </w:pPr>
      <w:r>
        <w:rPr>
          <w:rFonts w:eastAsia="Arial" w:cs="Arial"/>
          <w:b/>
          <w:bCs/>
          <w:sz w:val="24"/>
          <w:szCs w:val="24"/>
        </w:rPr>
        <w:t xml:space="preserve">Multa:</w:t>
      </w:r>
      <w:r>
        <w:rPr>
          <w:rFonts w:eastAsia="Arial" w:cs="Arial"/>
          <w:sz w:val="24"/>
          <w:szCs w:val="24"/>
        </w:rPr>
      </w:r>
    </w:p>
    <w:p>
      <w:pPr>
        <w:pStyle w:val="995"/>
        <w:numPr>
          <w:ilvl w:val="1"/>
          <w:numId w:val="29"/>
        </w:numPr>
        <w:pBdr/>
        <w:spacing w:line="276" w:lineRule="auto"/>
        <w:ind w:firstLine="0" w:left="567"/>
        <w:rPr>
          <w:rFonts w:eastAsia="Arial" w:cs="Arial"/>
          <w:sz w:val="24"/>
          <w:szCs w:val="24"/>
        </w:rPr>
      </w:pPr>
      <w:r>
        <w:rPr>
          <w:rFonts w:eastAsia="Arial" w:cs="Arial"/>
          <w:sz w:val="24"/>
          <w:szCs w:val="24"/>
        </w:rPr>
        <w:t xml:space="preserve">Moratória de </w:t>
      </w:r>
      <w:r>
        <w:rPr>
          <w:rFonts w:eastAsia="Arial" w:cs="Arial"/>
          <w:b/>
          <w:sz w:val="24"/>
          <w:szCs w:val="24"/>
        </w:rPr>
        <w:t xml:space="preserve">0,5% (meio por cento)</w:t>
      </w:r>
      <w:r>
        <w:rPr>
          <w:rFonts w:eastAsia="Arial" w:cs="Arial"/>
          <w:sz w:val="24"/>
          <w:szCs w:val="24"/>
        </w:rPr>
        <w:t xml:space="preserve"> por dia de atraso injustificado sobre o valor da parcela inadimplida, até o limite de </w:t>
      </w:r>
      <w:r>
        <w:rPr>
          <w:rFonts w:eastAsia="Arial" w:cs="Arial"/>
          <w:b/>
          <w:sz w:val="24"/>
          <w:szCs w:val="24"/>
        </w:rPr>
        <w:t xml:space="preserve">60 (sessenta) dias</w:t>
      </w:r>
      <w:r>
        <w:rPr>
          <w:rFonts w:eastAsia="Arial" w:cs="Arial"/>
          <w:sz w:val="24"/>
          <w:szCs w:val="24"/>
        </w:rPr>
        <w:t xml:space="preserve">;</w:t>
      </w:r>
      <w:r>
        <w:rPr>
          <w:rFonts w:eastAsia="Arial" w:cs="Arial"/>
          <w:sz w:val="24"/>
          <w:szCs w:val="24"/>
        </w:rPr>
      </w:r>
    </w:p>
    <w:p>
      <w:pPr>
        <w:pStyle w:val="995"/>
        <w:numPr>
          <w:ilvl w:val="2"/>
          <w:numId w:val="29"/>
        </w:numPr>
        <w:pBdr/>
        <w:spacing w:line="276" w:lineRule="auto"/>
        <w:ind w:firstLine="0" w:left="851"/>
        <w:rPr>
          <w:rFonts w:eastAsia="Arial" w:cs="Arial"/>
          <w:sz w:val="24"/>
          <w:szCs w:val="24"/>
        </w:rPr>
      </w:pPr>
      <w:r>
        <w:rPr>
          <w:rFonts w:eastAsia="Arial" w:cs="Arial"/>
          <w:i/>
          <w:iCs/>
          <w:sz w:val="24"/>
          <w:szCs w:val="24"/>
        </w:rPr>
        <w:t xml:space="preserve">O atraso superior a </w:t>
      </w:r>
      <w:r>
        <w:rPr>
          <w:rFonts w:eastAsia="Arial" w:cs="Arial"/>
          <w:b/>
          <w:i/>
          <w:iCs/>
          <w:sz w:val="24"/>
          <w:szCs w:val="24"/>
        </w:rPr>
        <w:t xml:space="preserve">60 (sessenta)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r>
        <w:rPr>
          <w:rFonts w:eastAsia="Arial" w:cs="Arial"/>
          <w:sz w:val="24"/>
          <w:szCs w:val="24"/>
        </w:rPr>
      </w:r>
    </w:p>
    <w:p>
      <w:pPr>
        <w:pStyle w:val="995"/>
        <w:numPr>
          <w:ilvl w:val="1"/>
          <w:numId w:val="29"/>
        </w:numPr>
        <w:pBdr/>
        <w:spacing w:line="276" w:lineRule="auto"/>
        <w:ind w:firstLine="0" w:left="567"/>
        <w:rPr>
          <w:rFonts w:eastAsia="Arial" w:cs="Arial"/>
          <w:sz w:val="24"/>
          <w:szCs w:val="24"/>
        </w:rPr>
      </w:pPr>
      <w:r>
        <w:rPr>
          <w:rFonts w:eastAsia="Arial" w:cs="Arial"/>
          <w:sz w:val="24"/>
          <w:szCs w:val="24"/>
        </w:rPr>
        <w:t xml:space="preserve">Compensatória, para as infrações descritas nas alíneas “e” a “h” do subitem 12.1, de </w:t>
      </w:r>
      <w:r>
        <w:rPr>
          <w:rFonts w:eastAsia="Arial" w:cs="Arial"/>
          <w:b/>
          <w:sz w:val="24"/>
          <w:szCs w:val="24"/>
        </w:rPr>
        <w:t xml:space="preserve">9% a 10%</w:t>
      </w:r>
      <w:r>
        <w:rPr>
          <w:rFonts w:eastAsia="Arial" w:cs="Arial"/>
          <w:sz w:val="24"/>
          <w:szCs w:val="24"/>
        </w:rPr>
        <w:t xml:space="preserve"> do valor do Contrato.</w:t>
      </w:r>
      <w:r>
        <w:rPr>
          <w:rFonts w:eastAsia="Arial" w:cs="Arial"/>
          <w:sz w:val="24"/>
          <w:szCs w:val="24"/>
        </w:rPr>
      </w:r>
    </w:p>
    <w:p>
      <w:pPr>
        <w:pStyle w:val="995"/>
        <w:numPr>
          <w:ilvl w:val="1"/>
          <w:numId w:val="29"/>
        </w:numPr>
        <w:pBdr/>
        <w:spacing w:line="276" w:lineRule="auto"/>
        <w:ind w:firstLine="0" w:left="567"/>
        <w:rPr>
          <w:rFonts w:eastAsia="Arial" w:cs="Arial"/>
          <w:sz w:val="24"/>
          <w:szCs w:val="24"/>
        </w:rPr>
      </w:pPr>
      <w:r>
        <w:rPr>
          <w:rFonts w:eastAsia="Arial" w:cs="Arial"/>
          <w:sz w:val="24"/>
          <w:szCs w:val="24"/>
        </w:rPr>
        <w:t xml:space="preserve">Compensatória, para a inexecução total do contrato prevista na alínea “c” do subitem 12.1, de </w:t>
      </w:r>
      <w:r>
        <w:rPr>
          <w:rFonts w:eastAsia="Arial" w:cs="Arial"/>
          <w:b/>
          <w:sz w:val="24"/>
          <w:szCs w:val="24"/>
        </w:rPr>
        <w:t xml:space="preserve">7% a 8% </w:t>
      </w:r>
      <w:r>
        <w:rPr>
          <w:rFonts w:eastAsia="Arial" w:cs="Arial"/>
          <w:sz w:val="24"/>
          <w:szCs w:val="24"/>
        </w:rPr>
        <w:t xml:space="preserve">do valor do Contrato. </w:t>
      </w:r>
      <w:r>
        <w:rPr>
          <w:rFonts w:eastAsia="Arial" w:cs="Arial"/>
          <w:sz w:val="24"/>
          <w:szCs w:val="24"/>
        </w:rPr>
      </w:r>
    </w:p>
    <w:p>
      <w:pPr>
        <w:pStyle w:val="995"/>
        <w:numPr>
          <w:ilvl w:val="1"/>
          <w:numId w:val="29"/>
        </w:numPr>
        <w:pBdr/>
        <w:spacing w:line="276" w:lineRule="auto"/>
        <w:ind w:firstLine="0" w:left="567"/>
        <w:rPr>
          <w:rFonts w:eastAsia="Arial" w:cs="Arial"/>
          <w:sz w:val="24"/>
          <w:szCs w:val="24"/>
        </w:rPr>
      </w:pPr>
      <w:r>
        <w:rPr>
          <w:rFonts w:eastAsia="Arial" w:cs="Arial"/>
          <w:sz w:val="24"/>
          <w:szCs w:val="24"/>
        </w:rPr>
        <w:t xml:space="preserve">Para infração descrita na alínea “b” do subitem 12.1, a multa será de </w:t>
      </w:r>
      <w:r>
        <w:rPr>
          <w:rFonts w:eastAsia="Arial" w:cs="Arial"/>
          <w:b/>
          <w:sz w:val="24"/>
          <w:szCs w:val="24"/>
        </w:rPr>
        <w:t xml:space="preserve">5% a 6%</w:t>
      </w:r>
      <w:r>
        <w:rPr>
          <w:rFonts w:eastAsia="Arial" w:cs="Arial"/>
          <w:sz w:val="24"/>
          <w:szCs w:val="24"/>
        </w:rPr>
        <w:t xml:space="preserve"> do valor do Contrato.</w:t>
      </w:r>
      <w:r>
        <w:rPr>
          <w:rFonts w:eastAsia="Arial" w:cs="Arial"/>
          <w:sz w:val="24"/>
          <w:szCs w:val="24"/>
        </w:rPr>
      </w:r>
    </w:p>
    <w:p>
      <w:pPr>
        <w:pStyle w:val="995"/>
        <w:numPr>
          <w:ilvl w:val="1"/>
          <w:numId w:val="29"/>
        </w:numPr>
        <w:pBdr/>
        <w:spacing w:line="276" w:lineRule="auto"/>
        <w:ind w:firstLine="0" w:left="567"/>
        <w:rPr>
          <w:rFonts w:eastAsia="Arial" w:cs="Arial"/>
          <w:sz w:val="24"/>
          <w:szCs w:val="24"/>
        </w:rPr>
      </w:pPr>
      <w:r>
        <w:rPr>
          <w:rFonts w:eastAsia="Arial" w:cs="Arial"/>
          <w:sz w:val="24"/>
          <w:szCs w:val="24"/>
        </w:rPr>
        <w:t xml:space="preserve">Para infrações descritas na alínea “d” do subitem 12.1, a multa será de </w:t>
      </w:r>
      <w:r>
        <w:rPr>
          <w:rFonts w:eastAsia="Arial" w:cs="Arial"/>
          <w:b/>
          <w:sz w:val="24"/>
          <w:szCs w:val="24"/>
        </w:rPr>
        <w:t xml:space="preserve">3% a 4%</w:t>
      </w:r>
      <w:r>
        <w:rPr>
          <w:rFonts w:eastAsia="Arial" w:cs="Arial"/>
          <w:sz w:val="24"/>
          <w:szCs w:val="24"/>
        </w:rPr>
        <w:t xml:space="preserve"> do valor do Contrato.</w:t>
      </w:r>
      <w:r>
        <w:rPr>
          <w:rFonts w:eastAsia="Arial" w:cs="Arial"/>
          <w:sz w:val="24"/>
          <w:szCs w:val="24"/>
        </w:rPr>
      </w:r>
    </w:p>
    <w:p>
      <w:pPr>
        <w:pStyle w:val="995"/>
        <w:numPr>
          <w:ilvl w:val="1"/>
          <w:numId w:val="29"/>
        </w:numPr>
        <w:pBdr/>
        <w:spacing w:line="276" w:lineRule="auto"/>
        <w:ind w:firstLine="0" w:left="567"/>
        <w:rPr>
          <w:rFonts w:eastAsia="Arial" w:cs="Arial"/>
          <w:sz w:val="24"/>
          <w:szCs w:val="24"/>
        </w:rPr>
      </w:pPr>
      <w:r>
        <w:rPr>
          <w:rFonts w:eastAsia="Arial" w:cs="Arial"/>
          <w:sz w:val="24"/>
          <w:szCs w:val="24"/>
        </w:rPr>
        <w:t xml:space="preserve">Para a infração descrita na alínea “a” do subitem 12.1, a multa será de </w:t>
      </w:r>
      <w:r>
        <w:rPr>
          <w:rFonts w:eastAsia="Arial" w:cs="Arial"/>
          <w:b/>
          <w:sz w:val="24"/>
          <w:szCs w:val="24"/>
        </w:rPr>
        <w:t xml:space="preserve">1% a 2%</w:t>
      </w:r>
      <w:r>
        <w:rPr>
          <w:rFonts w:eastAsia="Arial" w:cs="Arial"/>
          <w:sz w:val="24"/>
          <w:szCs w:val="24"/>
        </w:rPr>
        <w:t xml:space="preserve"> do valor do Contrato, ressalvadas as seguintes infrações:</w:t>
      </w:r>
      <w:r>
        <w:rPr>
          <w:rFonts w:eastAsia="Arial" w:cs="Arial"/>
          <w:sz w:val="24"/>
          <w:szCs w:val="24"/>
        </w:rPr>
      </w:r>
    </w:p>
    <w:p>
      <w:pPr>
        <w:pStyle w:val="1142"/>
        <w:numPr>
          <w:ilvl w:val="1"/>
          <w:numId w:val="32"/>
        </w:numPr>
        <w:pBdr/>
        <w:spacing/>
        <w:ind w:firstLine="0" w:left="0"/>
        <w:rPr>
          <w:sz w:val="24"/>
          <w:szCs w:val="24"/>
        </w:rPr>
      </w:pPr>
      <w:r>
        <w:rPr>
          <w:sz w:val="24"/>
          <w:szCs w:val="24"/>
        </w:rPr>
        <w:t xml:space="preserve">A aplicação das sanções previstas neste Contrato não exclui, em hipótese alguma, a obrigação de reparação integral do dano causado ao Contratante (</w:t>
      </w:r>
      <w:hyperlink r:id="rId86" w:tooltip="http://www.planalto.gov.br/ccivil_03/_ato2019-2022/2021/lei/L14133.htm#art156§9" w:anchor="art156§9" w:history="1">
        <w:r>
          <w:rPr>
            <w:rStyle w:val="953"/>
            <w:sz w:val="24"/>
            <w:szCs w:val="24"/>
          </w:rPr>
          <w:t xml:space="preserve">art. 156, §9º, da Lei nº 14.133, de 2021</w:t>
        </w:r>
      </w:hyperlink>
      <w:r>
        <w:rPr>
          <w:sz w:val="24"/>
          <w:szCs w:val="24"/>
        </w:rPr>
        <w:t xml:space="preserve">)</w:t>
      </w:r>
      <w:r>
        <w:rPr>
          <w:sz w:val="24"/>
          <w:szCs w:val="24"/>
        </w:rPr>
      </w:r>
    </w:p>
    <w:p>
      <w:pPr>
        <w:pStyle w:val="1143"/>
        <w:numPr>
          <w:ilvl w:val="2"/>
          <w:numId w:val="32"/>
        </w:numPr>
        <w:pBdr/>
        <w:spacing/>
        <w:ind w:firstLine="0" w:left="284"/>
        <w:rPr>
          <w:sz w:val="24"/>
          <w:szCs w:val="24"/>
        </w:rPr>
      </w:pPr>
      <w:r>
        <w:rPr>
          <w:sz w:val="24"/>
          <w:szCs w:val="24"/>
        </w:rPr>
        <w:t xml:space="preserve">Todas as sanções previstas neste Contrato poderão ser aplicadas cumulativamente com a multa (</w:t>
      </w:r>
      <w:hyperlink r:id="rId87" w:tooltip="http://www.planalto.gov.br/ccivil_03/_ato2019-2022/2021/lei/L14133.htm#art156§7" w:anchor="art156§7" w:history="1">
        <w:r>
          <w:rPr>
            <w:rStyle w:val="953"/>
            <w:sz w:val="24"/>
            <w:szCs w:val="24"/>
          </w:rPr>
          <w:t xml:space="preserve">art. 156, §7º, da Lei nº 14.133, de 2021</w:t>
        </w:r>
      </w:hyperlink>
      <w:r>
        <w:rPr>
          <w:sz w:val="24"/>
          <w:szCs w:val="24"/>
        </w:rPr>
        <w:t xml:space="preserve">).</w:t>
      </w:r>
      <w:r>
        <w:rPr>
          <w:sz w:val="24"/>
          <w:szCs w:val="24"/>
        </w:rPr>
      </w:r>
    </w:p>
    <w:p>
      <w:pPr>
        <w:pStyle w:val="1143"/>
        <w:numPr>
          <w:ilvl w:val="2"/>
          <w:numId w:val="32"/>
        </w:numPr>
        <w:pBdr/>
        <w:spacing/>
        <w:ind w:firstLine="0" w:left="284"/>
        <w:rPr>
          <w:sz w:val="24"/>
          <w:szCs w:val="24"/>
        </w:rPr>
      </w:pPr>
      <w:r>
        <w:rPr>
          <w:sz w:val="24"/>
          <w:szCs w:val="24"/>
        </w:rPr>
        <w:t xml:space="preserve">Antes da aplicação da multa será facultada a defesa do interessado no prazo de </w:t>
      </w:r>
      <w:r>
        <w:rPr>
          <w:b/>
          <w:sz w:val="24"/>
          <w:szCs w:val="24"/>
        </w:rPr>
        <w:t xml:space="preserve">15 (quinze) dias úteis</w:t>
      </w:r>
      <w:r>
        <w:rPr>
          <w:sz w:val="24"/>
          <w:szCs w:val="24"/>
        </w:rPr>
        <w:t xml:space="preserve">, contado da data de sua intimação (</w:t>
      </w:r>
      <w:hyperlink r:id="rId88" w:tooltip="http://www.planalto.gov.br/ccivil_03/_ato2019-2022/2021/lei/L14133.htm#art157" w:anchor="art157" w:history="1">
        <w:r>
          <w:rPr>
            <w:rStyle w:val="953"/>
            <w:sz w:val="24"/>
            <w:szCs w:val="24"/>
          </w:rPr>
          <w:t xml:space="preserve">art. 157, da Lei nº 14.133, de 2021</w:t>
        </w:r>
      </w:hyperlink>
      <w:r>
        <w:rPr>
          <w:sz w:val="24"/>
          <w:szCs w:val="24"/>
        </w:rPr>
        <w:t xml:space="preserve">)</w:t>
      </w:r>
      <w:r>
        <w:rPr>
          <w:sz w:val="24"/>
          <w:szCs w:val="24"/>
        </w:rPr>
      </w:r>
    </w:p>
    <w:p>
      <w:pPr>
        <w:pStyle w:val="1143"/>
        <w:numPr>
          <w:ilvl w:val="2"/>
          <w:numId w:val="32"/>
        </w:numPr>
        <w:pBdr/>
        <w:spacing/>
        <w:ind w:firstLine="0" w:left="284"/>
        <w:rPr>
          <w:sz w:val="24"/>
          <w:szCs w:val="24"/>
        </w:rPr>
      </w:pPr>
      <w:r>
        <w:rPr>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89" w:tooltip="http://www.planalto.gov.br/ccivil_03/_ato2019-2022/2021/lei/L14133.htm#art156§8" w:anchor="art156§8" w:history="1">
        <w:r>
          <w:rPr>
            <w:rStyle w:val="953"/>
            <w:sz w:val="24"/>
            <w:szCs w:val="24"/>
          </w:rPr>
          <w:t xml:space="preserve">art. 156, §8º, da Lei nº 14.133, de 2021</w:t>
        </w:r>
      </w:hyperlink>
      <w:r>
        <w:rPr>
          <w:sz w:val="24"/>
          <w:szCs w:val="24"/>
        </w:rPr>
        <w:t xml:space="preserve">).</w:t>
      </w:r>
      <w:r>
        <w:rPr>
          <w:sz w:val="24"/>
          <w:szCs w:val="24"/>
        </w:rPr>
      </w:r>
    </w:p>
    <w:p>
      <w:pPr>
        <w:pStyle w:val="1143"/>
        <w:numPr>
          <w:ilvl w:val="2"/>
          <w:numId w:val="32"/>
        </w:numPr>
        <w:pBdr/>
        <w:spacing/>
        <w:ind w:firstLine="0" w:left="284"/>
        <w:rPr>
          <w:sz w:val="24"/>
          <w:szCs w:val="24"/>
        </w:rPr>
      </w:pPr>
      <w:r>
        <w:rPr>
          <w:sz w:val="24"/>
          <w:szCs w:val="24"/>
        </w:rPr>
        <w:t xml:space="preserve">Previamente ao encaminhamento à cobrança judicial, a multa poderá ser recolhida administrativamente no prazo máximo de </w:t>
      </w:r>
      <w:r>
        <w:rPr>
          <w:b/>
          <w:color w:val="auto"/>
          <w:sz w:val="24"/>
          <w:szCs w:val="24"/>
        </w:rPr>
        <w:t xml:space="preserve">30</w:t>
      </w:r>
      <w:r>
        <w:rPr>
          <w:b/>
          <w:i/>
          <w:iCs/>
          <w:color w:val="auto"/>
          <w:sz w:val="24"/>
          <w:szCs w:val="24"/>
        </w:rPr>
        <w:t xml:space="preserve"> </w:t>
      </w:r>
      <w:r>
        <w:rPr>
          <w:b/>
          <w:iCs/>
          <w:color w:val="auto"/>
          <w:sz w:val="24"/>
          <w:szCs w:val="24"/>
        </w:rPr>
        <w:t xml:space="preserve">(trinta)</w:t>
      </w:r>
      <w:r>
        <w:rPr>
          <w:b/>
          <w:i/>
          <w:iCs/>
          <w:color w:val="auto"/>
          <w:sz w:val="24"/>
          <w:szCs w:val="24"/>
        </w:rPr>
        <w:t xml:space="preserve"> </w:t>
      </w:r>
      <w:r>
        <w:rPr>
          <w:b/>
          <w:color w:val="auto"/>
          <w:sz w:val="24"/>
          <w:szCs w:val="24"/>
        </w:rPr>
        <w:t xml:space="preserve">dias</w:t>
      </w:r>
      <w:r>
        <w:rPr>
          <w:sz w:val="24"/>
          <w:szCs w:val="24"/>
        </w:rPr>
        <w:t xml:space="preserve">, a contar da data do recebimento da comunicação enviada pela autoridade competente.</w:t>
      </w:r>
      <w:r>
        <w:rPr>
          <w:sz w:val="24"/>
          <w:szCs w:val="24"/>
        </w:rPr>
      </w:r>
    </w:p>
    <w:p>
      <w:pPr>
        <w:pStyle w:val="1142"/>
        <w:numPr>
          <w:ilvl w:val="1"/>
          <w:numId w:val="32"/>
        </w:numPr>
        <w:pBdr/>
        <w:spacing/>
        <w:ind w:firstLine="0" w:left="0"/>
        <w:rPr>
          <w:sz w:val="24"/>
          <w:szCs w:val="24"/>
        </w:rPr>
      </w:pPr>
      <w:r>
        <w:rPr>
          <w:sz w:val="24"/>
          <w:szCs w:val="24"/>
        </w:rPr>
        <w:t xml:space="preserve">A aplicação das sanções realizar-se-á em processo administrativo que assegure o contraditório e a ampla defesa ao Contratado, observando-se o procedimento previsto no </w:t>
      </w:r>
      <w:r>
        <w:rPr>
          <w:b/>
          <w:bCs/>
          <w:sz w:val="24"/>
          <w:szCs w:val="24"/>
        </w:rPr>
        <w:t xml:space="preserve">caput </w:t>
      </w:r>
      <w:r>
        <w:rPr>
          <w:sz w:val="24"/>
          <w:szCs w:val="24"/>
        </w:rPr>
        <w:t xml:space="preserve">e parágrafos do </w:t>
      </w:r>
      <w:hyperlink r:id="rId90" w:tooltip="http://www.planalto.gov.br/ccivil_03/_ato2019-2022/2021/lei/L14133.htm#art158" w:anchor="art158" w:history="1">
        <w:r>
          <w:rPr>
            <w:rStyle w:val="953"/>
            <w:sz w:val="24"/>
            <w:szCs w:val="24"/>
          </w:rPr>
          <w:t xml:space="preserve">art. 158 da Lei nº 14.133, de 2021</w:t>
        </w:r>
      </w:hyperlink>
      <w:r>
        <w:rPr>
          <w:sz w:val="24"/>
          <w:szCs w:val="24"/>
        </w:rPr>
        <w:t xml:space="preserve">, para as penalidades de impedimento de licitar e contratar e de declaração de inidoneidade para licitar ou contratar.</w:t>
      </w:r>
      <w:r>
        <w:rPr>
          <w:sz w:val="24"/>
          <w:szCs w:val="24"/>
        </w:rPr>
      </w:r>
    </w:p>
    <w:p>
      <w:pPr>
        <w:pStyle w:val="1142"/>
        <w:numPr>
          <w:ilvl w:val="1"/>
          <w:numId w:val="32"/>
        </w:numPr>
        <w:pBdr/>
        <w:spacing/>
        <w:ind w:firstLine="0" w:left="0"/>
        <w:rPr>
          <w:sz w:val="24"/>
          <w:szCs w:val="24"/>
        </w:rPr>
      </w:pPr>
      <w:r>
        <w:rPr>
          <w:sz w:val="24"/>
          <w:szCs w:val="24"/>
        </w:rPr>
        <w:t xml:space="preserve">Na aplicação das sanções serão considerados (</w:t>
      </w:r>
      <w:hyperlink r:id="rId91" w:tooltip="http://www.planalto.gov.br/ccivil_03/_ato2019-2022/2021/lei/L14133.htm#art156§1" w:anchor="art156§1" w:history="1">
        <w:r>
          <w:rPr>
            <w:rStyle w:val="953"/>
            <w:sz w:val="24"/>
            <w:szCs w:val="24"/>
          </w:rPr>
          <w:t xml:space="preserve">art. 156, §1º, da Lei nº 14.133, de 2021</w:t>
        </w:r>
      </w:hyperlink>
      <w:r>
        <w:rPr>
          <w:sz w:val="24"/>
          <w:szCs w:val="24"/>
        </w:rPr>
        <w:t xml:space="preserve">):</w:t>
      </w:r>
      <w:r>
        <w:rPr>
          <w:sz w:val="24"/>
          <w:szCs w:val="24"/>
        </w:rPr>
      </w:r>
    </w:p>
    <w:p>
      <w:pPr>
        <w:numPr>
          <w:ilvl w:val="0"/>
          <w:numId w:val="26"/>
        </w:numPr>
        <w:pBdr/>
        <w:spacing w:line="276" w:lineRule="auto"/>
        <w:ind w:firstLine="0" w:left="284"/>
        <w:contextualSpacing w:val="true"/>
        <w:rPr>
          <w:rFonts w:eastAsia="Arial" w:cs="Arial"/>
          <w:sz w:val="24"/>
          <w:szCs w:val="24"/>
        </w:rPr>
      </w:pPr>
      <w:r>
        <w:rPr>
          <w:rFonts w:eastAsia="Arial" w:cs="Arial"/>
          <w:sz w:val="24"/>
          <w:szCs w:val="24"/>
        </w:rPr>
        <w:t xml:space="preserve">a natureza e a gravidade da infração cometida;</w:t>
      </w:r>
      <w:r>
        <w:rPr>
          <w:rFonts w:eastAsia="Arial" w:cs="Arial"/>
          <w:sz w:val="24"/>
          <w:szCs w:val="24"/>
        </w:rPr>
      </w:r>
    </w:p>
    <w:p>
      <w:pPr>
        <w:numPr>
          <w:ilvl w:val="0"/>
          <w:numId w:val="26"/>
        </w:numPr>
        <w:pBdr/>
        <w:spacing w:line="276" w:lineRule="auto"/>
        <w:ind w:firstLine="0" w:left="284"/>
        <w:contextualSpacing w:val="true"/>
        <w:rPr>
          <w:rFonts w:eastAsia="Arial" w:cs="Arial"/>
          <w:sz w:val="24"/>
          <w:szCs w:val="24"/>
        </w:rPr>
      </w:pPr>
      <w:r>
        <w:rPr>
          <w:rFonts w:eastAsia="Arial" w:cs="Arial"/>
          <w:sz w:val="24"/>
          <w:szCs w:val="24"/>
        </w:rPr>
        <w:t xml:space="preserve">as peculiaridades do caso concreto;</w:t>
      </w:r>
      <w:r>
        <w:rPr>
          <w:rFonts w:eastAsia="Arial" w:cs="Arial"/>
          <w:sz w:val="24"/>
          <w:szCs w:val="24"/>
        </w:rPr>
      </w:r>
    </w:p>
    <w:p>
      <w:pPr>
        <w:numPr>
          <w:ilvl w:val="0"/>
          <w:numId w:val="26"/>
        </w:numPr>
        <w:pBdr/>
        <w:spacing w:line="276" w:lineRule="auto"/>
        <w:ind w:firstLine="0" w:left="284"/>
        <w:contextualSpacing w:val="true"/>
        <w:rPr>
          <w:rFonts w:eastAsia="Arial" w:cs="Arial"/>
          <w:sz w:val="24"/>
          <w:szCs w:val="24"/>
        </w:rPr>
      </w:pPr>
      <w:r>
        <w:rPr>
          <w:rFonts w:eastAsia="Arial" w:cs="Arial"/>
          <w:sz w:val="24"/>
          <w:szCs w:val="24"/>
        </w:rPr>
        <w:t xml:space="preserve">as circunstâncias agravantes ou atenuantes;</w:t>
      </w:r>
      <w:r>
        <w:rPr>
          <w:rFonts w:eastAsia="Arial" w:cs="Arial"/>
          <w:sz w:val="24"/>
          <w:szCs w:val="24"/>
        </w:rPr>
      </w:r>
    </w:p>
    <w:p>
      <w:pPr>
        <w:numPr>
          <w:ilvl w:val="0"/>
          <w:numId w:val="26"/>
        </w:numPr>
        <w:pBdr/>
        <w:spacing w:line="276" w:lineRule="auto"/>
        <w:ind w:firstLine="0" w:left="284"/>
        <w:contextualSpacing w:val="true"/>
        <w:rPr>
          <w:rFonts w:eastAsia="Arial" w:cs="Arial"/>
          <w:sz w:val="24"/>
          <w:szCs w:val="24"/>
        </w:rPr>
      </w:pPr>
      <w:r>
        <w:rPr>
          <w:rFonts w:eastAsia="Arial" w:cs="Arial"/>
          <w:sz w:val="24"/>
          <w:szCs w:val="24"/>
        </w:rPr>
        <w:t xml:space="preserve">os danos que dela provierem para o Contratante;</w:t>
      </w:r>
      <w:r>
        <w:rPr>
          <w:rFonts w:eastAsia="Arial" w:cs="Arial"/>
          <w:sz w:val="24"/>
          <w:szCs w:val="24"/>
        </w:rPr>
      </w:r>
    </w:p>
    <w:p>
      <w:pPr>
        <w:numPr>
          <w:ilvl w:val="0"/>
          <w:numId w:val="26"/>
        </w:numPr>
        <w:pBdr/>
        <w:spacing w:line="276" w:lineRule="auto"/>
        <w:ind w:firstLine="0" w:left="284"/>
        <w:contextualSpacing w:val="true"/>
        <w:rPr>
          <w:rFonts w:eastAsia="Arial" w:cs="Arial"/>
          <w:sz w:val="24"/>
          <w:szCs w:val="24"/>
        </w:rPr>
      </w:pPr>
      <w:r>
        <w:rPr>
          <w:rFonts w:eastAsia="Arial" w:cs="Arial"/>
          <w:sz w:val="24"/>
          <w:szCs w:val="24"/>
        </w:rPr>
        <w:t xml:space="preserve">a implantação ou o aperfeiçoamento de programa de integridade, conforme normas e orientações dos órgãos de controle.</w:t>
      </w:r>
      <w:r>
        <w:rPr>
          <w:rFonts w:eastAsia="Arial" w:cs="Arial"/>
          <w:sz w:val="24"/>
          <w:szCs w:val="24"/>
        </w:rPr>
      </w:r>
    </w:p>
    <w:p>
      <w:pPr>
        <w:pStyle w:val="1142"/>
        <w:numPr>
          <w:ilvl w:val="1"/>
          <w:numId w:val="32"/>
        </w:numPr>
        <w:pBdr/>
        <w:spacing/>
        <w:ind w:firstLine="0" w:left="0"/>
        <w:rPr>
          <w:sz w:val="24"/>
          <w:szCs w:val="24"/>
        </w:rPr>
      </w:pPr>
      <w:r>
        <w:rPr>
          <w:sz w:val="24"/>
          <w:szCs w:val="24"/>
        </w:rPr>
        <w:t xml:space="preserve">Os atos previstos como infrações administrativas na </w:t>
      </w:r>
      <w:hyperlink r:id="rId92" w:tooltip="http://www.planalto.gov.br/ccivil_03/_ato2019-2022/2021/lei/L14133.htm" w:history="1">
        <w:r>
          <w:rPr>
            <w:rStyle w:val="953"/>
            <w:sz w:val="24"/>
            <w:szCs w:val="24"/>
          </w:rPr>
          <w:t xml:space="preserve">Lei nº 14.133, de 2021</w:t>
        </w:r>
      </w:hyperlink>
      <w:r>
        <w:rPr>
          <w:sz w:val="24"/>
          <w:szCs w:val="24"/>
        </w:rPr>
        <w:t xml:space="preserve">, ou em outras leis de licitações e contratos da Administração Pública que também sejam tipificados como atos lesivos na </w:t>
      </w:r>
      <w:hyperlink r:id="rId93" w:tooltip="https://www.planalto.gov.br/ccivil_03/_ato2011-2014/2013/lei/l12846.htm" w:history="1">
        <w:r>
          <w:rPr>
            <w:rStyle w:val="953"/>
            <w:sz w:val="24"/>
            <w:szCs w:val="24"/>
          </w:rPr>
          <w:t xml:space="preserve">Lei nº 12.846, de 2013</w:t>
        </w:r>
      </w:hyperlink>
      <w:r>
        <w:rPr>
          <w:sz w:val="24"/>
          <w:szCs w:val="24"/>
        </w:rPr>
        <w:t xml:space="preserve">, serão apurados e julgados conjuntamente, nos mesmos autos, observados o rito procedimental e autoridade competente definidos na referida Lei (</w:t>
      </w:r>
      <w:hyperlink r:id="rId94" w:tooltip="http://www.planalto.gov.br/ccivil_03/_ato2019-2022/2021/lei/L14133.htm%25art159" w:history="1">
        <w:r>
          <w:rPr>
            <w:rStyle w:val="953"/>
            <w:sz w:val="24"/>
            <w:szCs w:val="24"/>
          </w:rPr>
          <w:t xml:space="preserve">art. 159</w:t>
        </w:r>
      </w:hyperlink>
      <w:r>
        <w:rPr>
          <w:sz w:val="24"/>
          <w:szCs w:val="24"/>
        </w:rPr>
        <w:t xml:space="preserve">).</w:t>
      </w:r>
      <w:r>
        <w:rPr>
          <w:sz w:val="24"/>
          <w:szCs w:val="24"/>
        </w:rPr>
      </w:r>
    </w:p>
    <w:p>
      <w:pPr>
        <w:pStyle w:val="1142"/>
        <w:numPr>
          <w:ilvl w:val="1"/>
          <w:numId w:val="32"/>
        </w:numPr>
        <w:pBdr/>
        <w:spacing/>
        <w:ind w:firstLine="0" w:left="0"/>
        <w:rPr>
          <w:i/>
          <w:iCs/>
          <w:sz w:val="24"/>
          <w:szCs w:val="24"/>
        </w:rPr>
      </w:pPr>
      <w:r>
        <w:rPr>
          <w:sz w:val="24"/>
          <w:szCs w:val="24"/>
        </w:rPr>
        <w:t xml:space="preserve">A personalidade jurídica do Contratado poderá ser desconsiderada sempre que utilizada com abuso do direito para facilitar, e</w:t>
      </w:r>
      <w:r>
        <w:rPr>
          <w:sz w:val="24"/>
          <w:szCs w:val="24"/>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sz w:val="24"/>
          <w:szCs w:val="24"/>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5" w:tooltip="http://www.planalto.gov.br/ccivil_03/_ato2019-2022/2021/lei/L14133.htm#art160" w:anchor="art160" w:history="1">
        <w:r>
          <w:rPr>
            <w:rStyle w:val="953"/>
            <w:sz w:val="24"/>
            <w:szCs w:val="24"/>
          </w:rPr>
          <w:t xml:space="preserve">art. 160, da Lei nº 14.133, de 2021</w:t>
        </w:r>
      </w:hyperlink>
      <w:r>
        <w:rPr>
          <w:sz w:val="24"/>
          <w:szCs w:val="24"/>
        </w:rPr>
        <w:t xml:space="preserve">).</w:t>
      </w:r>
      <w:r>
        <w:rPr>
          <w:i/>
          <w:iCs/>
          <w:sz w:val="24"/>
          <w:szCs w:val="24"/>
        </w:rPr>
      </w:r>
    </w:p>
    <w:p>
      <w:pPr>
        <w:pStyle w:val="1142"/>
        <w:numPr>
          <w:ilvl w:val="1"/>
          <w:numId w:val="32"/>
        </w:numPr>
        <w:pBdr/>
        <w:spacing/>
        <w:ind w:firstLine="0" w:left="0"/>
        <w:rPr>
          <w:i/>
          <w:iCs/>
          <w:sz w:val="24"/>
          <w:szCs w:val="24"/>
        </w:rPr>
      </w:pPr>
      <w:r>
        <w:rPr>
          <w:sz w:val="24"/>
          <w:szCs w:val="24"/>
        </w:rPr>
        <w:t xml:space="preserve"> O Contratante deverá, no prazo máximo de </w:t>
      </w:r>
      <w:r>
        <w:rPr>
          <w:b/>
          <w:sz w:val="24"/>
          <w:szCs w:val="24"/>
        </w:rPr>
        <w:t xml:space="preserve">15 (quinze) dias úteis</w:t>
      </w:r>
      <w:r>
        <w:rPr>
          <w:sz w:val="24"/>
          <w:szCs w:val="24"/>
        </w:rPr>
        <w:t xml:space="preserve">, contado da data de aplicação da sanção, informar e ma</w:t>
      </w:r>
      <w:r>
        <w:rPr>
          <w:color w:val="auto"/>
          <w:sz w:val="24"/>
          <w:szCs w:val="24"/>
        </w:rPr>
        <w:t xml:space="preserve">nter atualizados os dados relativos às sanções por ela aplicadas, para fins de publicidade no Cadastro Nacional de Empresas Inidôneas e Suspensas (</w:t>
      </w:r>
      <w:r>
        <w:rPr>
          <w:color w:val="auto"/>
          <w:sz w:val="24"/>
          <w:szCs w:val="24"/>
        </w:rPr>
        <w:t xml:space="preserve">Ceis</w:t>
      </w:r>
      <w:r>
        <w:rPr>
          <w:color w:val="auto"/>
          <w:sz w:val="24"/>
          <w:szCs w:val="24"/>
        </w:rPr>
        <w:t xml:space="preserve">) e no Cadastro Nacional de Empresas Punidas (</w:t>
      </w:r>
      <w:r>
        <w:rPr>
          <w:color w:val="auto"/>
          <w:sz w:val="24"/>
          <w:szCs w:val="24"/>
        </w:rPr>
        <w:t xml:space="preserve">Cnep</w:t>
      </w:r>
      <w:r>
        <w:rPr>
          <w:color w:val="auto"/>
          <w:sz w:val="24"/>
          <w:szCs w:val="24"/>
        </w:rPr>
        <w:t xml:space="preserve">), instituídos </w:t>
      </w:r>
      <w:r>
        <w:rPr>
          <w:sz w:val="24"/>
          <w:szCs w:val="24"/>
        </w:rPr>
        <w:t xml:space="preserve">no âmbito do Poder Executivo Federal. (</w:t>
      </w:r>
      <w:hyperlink r:id="rId96" w:tooltip="http://www.planalto.gov.br/ccivil_03/_ato2019-2022/2021/lei/L14133.htm#art161" w:anchor="art161" w:history="1">
        <w:r>
          <w:rPr>
            <w:rStyle w:val="953"/>
            <w:sz w:val="24"/>
            <w:szCs w:val="24"/>
          </w:rPr>
          <w:t xml:space="preserve">Art. 161, da Lei nº 14.133, de 2021</w:t>
        </w:r>
      </w:hyperlink>
      <w:r>
        <w:rPr>
          <w:sz w:val="24"/>
          <w:szCs w:val="24"/>
        </w:rPr>
        <w:t xml:space="preserve">).</w:t>
      </w:r>
      <w:r>
        <w:rPr>
          <w:i/>
          <w:iCs/>
          <w:sz w:val="24"/>
          <w:szCs w:val="24"/>
        </w:rPr>
      </w:r>
    </w:p>
    <w:p>
      <w:pPr>
        <w:pStyle w:val="1142"/>
        <w:numPr>
          <w:ilvl w:val="1"/>
          <w:numId w:val="32"/>
        </w:numPr>
        <w:pBdr/>
        <w:spacing/>
        <w:ind w:firstLine="0" w:left="0"/>
        <w:rPr>
          <w:i/>
          <w:iCs/>
          <w:sz w:val="24"/>
          <w:szCs w:val="24"/>
        </w:rPr>
      </w:pPr>
      <w:r>
        <w:rPr>
          <w:sz w:val="24"/>
          <w:szCs w:val="24"/>
        </w:rPr>
        <w:t xml:space="preserve">As sanções de impedimento de licitar e contratar e declaração de inidoneidade para licitar ou contratar são passíveis de reabilitação na forma do </w:t>
      </w:r>
      <w:hyperlink r:id="rId97" w:tooltip="http://www.planalto.gov.br/ccivil_03/_ato2019-2022/2021/lei/L14133.htm#163" w:anchor="163" w:history="1">
        <w:r>
          <w:rPr>
            <w:rStyle w:val="953"/>
            <w:sz w:val="24"/>
            <w:szCs w:val="24"/>
          </w:rPr>
          <w:t xml:space="preserve">art. 163 da Lei nº 14.133/21</w:t>
        </w:r>
      </w:hyperlink>
      <w:r>
        <w:rPr>
          <w:sz w:val="24"/>
          <w:szCs w:val="24"/>
        </w:rPr>
        <w:t xml:space="preserve">.</w:t>
      </w:r>
      <w:r>
        <w:rPr>
          <w:i/>
          <w:iCs/>
          <w:sz w:val="24"/>
          <w:szCs w:val="24"/>
        </w:rPr>
      </w:r>
    </w:p>
    <w:p>
      <w:pPr>
        <w:pStyle w:val="1142"/>
        <w:numPr>
          <w:ilvl w:val="1"/>
          <w:numId w:val="32"/>
        </w:numPr>
        <w:pBdr/>
        <w:spacing/>
        <w:ind w:firstLine="0" w:left="0"/>
        <w:rPr>
          <w:sz w:val="24"/>
          <w:szCs w:val="24"/>
        </w:rPr>
      </w:pPr>
      <w:r>
        <w:rPr>
          <w:sz w:val="24"/>
          <w:szCs w:val="24"/>
        </w:rPr>
        <w:t xml:space="preserve">Os débitos do contratado para com a Administração contratante, resultantes de multa administrativa e/ou indenizações, não inscritos em dív</w:t>
      </w:r>
      <w:r>
        <w:rPr>
          <w:sz w:val="24"/>
          <w:szCs w:val="24"/>
        </w:rPr>
        <w:t xml:space="preserve">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8" w:tooltip="https://www.gov.br/compras/pt-br/acesso-a-informacao/legislacao/instrucoes-normativas/instrucao-normativa-seges-me-no-26-de-13-de-abril-de-2022" w:history="1">
        <w:r>
          <w:rPr>
            <w:rStyle w:val="953"/>
            <w:sz w:val="24"/>
            <w:szCs w:val="24"/>
          </w:rPr>
          <w:t xml:space="preserve">Normativa SEGES/ME nº 26, de 13 de abril de 2022</w:t>
        </w:r>
      </w:hyperlink>
      <w:r>
        <w:rPr>
          <w:sz w:val="24"/>
          <w:szCs w:val="24"/>
        </w:rPr>
        <w:t xml:space="preserve">. </w:t>
      </w:r>
      <w:r>
        <w:rPr>
          <w:sz w:val="24"/>
          <w:szCs w:val="24"/>
        </w:rPr>
      </w:r>
    </w:p>
    <w:p>
      <w:pPr>
        <w:pStyle w:val="1141"/>
        <w:numPr>
          <w:ilvl w:val="0"/>
          <w:numId w:val="32"/>
        </w:numPr>
        <w:pBdr/>
        <w:spacing/>
        <w:ind/>
        <w:rPr/>
      </w:pPr>
      <w:r>
        <w:t xml:space="preserve">CLÁUSULA DÉCIMA SEGUNDA– DA EXTINÇÃO CONTRATUAL (</w:t>
      </w:r>
      <w:hyperlink r:id="rId99" w:tooltip="http://www.planalto.gov.br/ccivil_03/_ato2019-2022/2021/lei/L14133.htm#art92" w:anchor="art92" w:history="1">
        <w:r>
          <w:rPr>
            <w:rStyle w:val="953"/>
            <w:color w:val="auto"/>
          </w:rPr>
          <w:t xml:space="preserve">art. 92, XIX</w:t>
        </w:r>
      </w:hyperlink>
      <w:r>
        <w:t xml:space="preserve">)</w:t>
      </w:r>
      <w:r/>
    </w:p>
    <w:p>
      <w:pPr>
        <w:pStyle w:val="1148"/>
        <w:numPr>
          <w:ilvl w:val="1"/>
          <w:numId w:val="32"/>
        </w:numPr>
        <w:pBdr/>
        <w:spacing/>
        <w:ind w:firstLine="0" w:left="0"/>
        <w:rPr>
          <w:i w:val="0"/>
          <w:color w:val="auto"/>
          <w:sz w:val="24"/>
          <w:szCs w:val="24"/>
        </w:rPr>
      </w:pPr>
      <w:r>
        <w:rPr>
          <w:i w:val="0"/>
          <w:color w:val="auto"/>
          <w:sz w:val="24"/>
          <w:szCs w:val="24"/>
        </w:rPr>
        <w:t xml:space="preserve">O contrato será extinto quando cumpridas as obrigações de ambas as partes, ainda que isso ocorra antes do prazo estipulado para tanto.</w:t>
      </w:r>
      <w:r>
        <w:rPr>
          <w:i w:val="0"/>
          <w:color w:val="auto"/>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Se as obrigações não forem cumpridas no prazo estipulado, a vigência ficará prorrogada até a conclusão do objeto, caso em que deverá a Administração providenciar a readequação do cronograma fixado para o contrato.</w:t>
      </w:r>
      <w:r>
        <w:rPr>
          <w:i w:val="0"/>
          <w:color w:val="auto"/>
          <w:sz w:val="24"/>
          <w:szCs w:val="24"/>
        </w:rPr>
      </w:r>
    </w:p>
    <w:p>
      <w:pPr>
        <w:pStyle w:val="1149"/>
        <w:numPr>
          <w:ilvl w:val="2"/>
          <w:numId w:val="32"/>
        </w:numPr>
        <w:pBdr/>
        <w:spacing/>
        <w:ind w:firstLine="0" w:left="284"/>
        <w:rPr>
          <w:i w:val="0"/>
          <w:color w:val="auto"/>
          <w:sz w:val="24"/>
          <w:szCs w:val="24"/>
        </w:rPr>
      </w:pPr>
      <w:r>
        <w:rPr>
          <w:i w:val="0"/>
          <w:color w:val="auto"/>
          <w:sz w:val="24"/>
          <w:szCs w:val="24"/>
        </w:rPr>
        <w:t xml:space="preserve">Quando a não conclusão do contrato referida no item anterior decorrer de culpa do contratado:</w:t>
      </w:r>
      <w:r>
        <w:rPr>
          <w:i w:val="0"/>
          <w:color w:val="auto"/>
          <w:sz w:val="24"/>
          <w:szCs w:val="24"/>
        </w:rPr>
      </w:r>
    </w:p>
    <w:p>
      <w:pPr>
        <w:pStyle w:val="995"/>
        <w:numPr>
          <w:ilvl w:val="0"/>
          <w:numId w:val="27"/>
        </w:numPr>
        <w:pBdr/>
        <w:spacing w:line="312" w:lineRule="auto"/>
        <w:ind w:firstLine="0" w:left="567"/>
        <w:rPr>
          <w:rFonts w:eastAsia="Arial" w:cs="Arial"/>
          <w:iCs/>
          <w:sz w:val="24"/>
          <w:szCs w:val="24"/>
        </w:rPr>
      </w:pPr>
      <w:r>
        <w:rPr>
          <w:rFonts w:eastAsia="Arial" w:cs="Arial"/>
          <w:iCs/>
          <w:sz w:val="24"/>
          <w:szCs w:val="24"/>
        </w:rPr>
        <w:t xml:space="preserve">ficará ele constituído em mora, sendo-lhe aplicáveis as respectivas sanções administrativas; e  </w:t>
      </w:r>
      <w:r>
        <w:rPr>
          <w:rFonts w:eastAsia="Arial" w:cs="Arial"/>
          <w:iCs/>
          <w:sz w:val="24"/>
          <w:szCs w:val="24"/>
        </w:rPr>
      </w:r>
    </w:p>
    <w:p>
      <w:pPr>
        <w:pStyle w:val="995"/>
        <w:numPr>
          <w:ilvl w:val="0"/>
          <w:numId w:val="27"/>
        </w:numPr>
        <w:pBdr/>
        <w:spacing w:line="312" w:lineRule="auto"/>
        <w:ind w:firstLine="0" w:left="567"/>
        <w:rPr>
          <w:rFonts w:eastAsia="Arial" w:cs="Arial"/>
          <w:iCs/>
          <w:sz w:val="24"/>
          <w:szCs w:val="24"/>
        </w:rPr>
      </w:pPr>
      <w:r>
        <w:rPr>
          <w:rFonts w:eastAsia="Arial" w:cs="Arial"/>
          <w:iCs/>
          <w:sz w:val="24"/>
          <w:szCs w:val="24"/>
        </w:rPr>
        <w:t xml:space="preserve">poderá a Administração optar pela extinção do contrato e, nesse caso, adotará as medidas admitidas em lei para a continuidade da execução contratual.</w:t>
      </w:r>
      <w:r>
        <w:rPr>
          <w:rFonts w:eastAsia="Arial" w:cs="Arial"/>
          <w:iCs/>
          <w:sz w:val="24"/>
          <w:szCs w:val="24"/>
        </w:rPr>
      </w:r>
    </w:p>
    <w:p>
      <w:pPr>
        <w:pStyle w:val="1142"/>
        <w:numPr>
          <w:ilvl w:val="1"/>
          <w:numId w:val="32"/>
        </w:numPr>
        <w:pBdr/>
        <w:spacing/>
        <w:ind w:firstLine="0" w:left="0"/>
        <w:rPr>
          <w:sz w:val="24"/>
          <w:szCs w:val="24"/>
        </w:rPr>
      </w:pPr>
      <w:r>
        <w:rPr>
          <w:sz w:val="24"/>
          <w:szCs w:val="24"/>
        </w:rPr>
        <w:t xml:space="preserve">O contrato poderá ser extinto antes de cumpridas as obrigações nele estipuladas, ou antes do prazo nele fixado, por algum dos motivos previstos no </w:t>
      </w:r>
      <w:hyperlink r:id="rId100" w:tooltip="http://www.planalto.gov.br/ccivil_03/_ato2019-2022/2021/lei/L14133.htm#art137" w:anchor="art137" w:history="1">
        <w:r>
          <w:rPr>
            <w:rStyle w:val="953"/>
            <w:sz w:val="24"/>
            <w:szCs w:val="24"/>
          </w:rPr>
          <w:t xml:space="preserve">artigo 137 da Lei nº 14.133/21</w:t>
        </w:r>
      </w:hyperlink>
      <w:r>
        <w:rPr>
          <w:sz w:val="24"/>
          <w:szCs w:val="24"/>
        </w:rPr>
        <w:t xml:space="preserve">, bem como amigavelmente, </w:t>
      </w:r>
      <w:r>
        <w:rPr>
          <w:color w:val="000000" w:themeColor="text1"/>
          <w:sz w:val="24"/>
          <w:szCs w:val="24"/>
        </w:rPr>
        <w:t xml:space="preserve">assegurados o contraditório e a ampla defesa</w:t>
      </w:r>
      <w:r>
        <w:rPr>
          <w:sz w:val="24"/>
          <w:szCs w:val="24"/>
        </w:rPr>
        <w:t xml:space="preserve">.</w:t>
      </w:r>
      <w:r>
        <w:rPr>
          <w:sz w:val="24"/>
          <w:szCs w:val="24"/>
        </w:rPr>
      </w:r>
    </w:p>
    <w:p>
      <w:pPr>
        <w:pStyle w:val="1143"/>
        <w:numPr>
          <w:ilvl w:val="2"/>
          <w:numId w:val="32"/>
        </w:numPr>
        <w:pBdr/>
        <w:spacing/>
        <w:ind w:firstLine="0" w:left="284"/>
        <w:rPr>
          <w:sz w:val="24"/>
          <w:szCs w:val="24"/>
        </w:rPr>
      </w:pPr>
      <w:r>
        <w:rPr>
          <w:sz w:val="24"/>
          <w:szCs w:val="24"/>
        </w:rPr>
        <w:t xml:space="preserve">Nesta hipótese, aplicam-se também os </w:t>
      </w:r>
      <w:hyperlink r:id="rId101" w:tooltip="http://www.planalto.gov.br/ccivil_03/_ato2019-2022/2021/lei/L14133.htm#art138" w:anchor="art138" w:history="1">
        <w:r>
          <w:rPr>
            <w:rStyle w:val="953"/>
            <w:sz w:val="24"/>
            <w:szCs w:val="24"/>
          </w:rPr>
          <w:t xml:space="preserve">artigos 138 e 139 da mesma Lei</w:t>
        </w:r>
      </w:hyperlink>
      <w:r>
        <w:rPr>
          <w:sz w:val="24"/>
          <w:szCs w:val="24"/>
        </w:rPr>
        <w:t xml:space="preserve">.</w:t>
      </w:r>
      <w:r>
        <w:rPr>
          <w:sz w:val="24"/>
          <w:szCs w:val="24"/>
        </w:rPr>
      </w:r>
    </w:p>
    <w:p>
      <w:pPr>
        <w:pStyle w:val="1143"/>
        <w:numPr>
          <w:ilvl w:val="2"/>
          <w:numId w:val="32"/>
        </w:numPr>
        <w:pBdr/>
        <w:spacing/>
        <w:ind w:firstLine="0" w:left="284"/>
        <w:rPr>
          <w:sz w:val="24"/>
          <w:szCs w:val="24"/>
        </w:rPr>
      </w:pPr>
      <w:r>
        <w:rPr>
          <w:sz w:val="24"/>
          <w:szCs w:val="24"/>
        </w:rPr>
        <w:t xml:space="preserve">A alteração social ou a modificação da finalidade ou da estrutura da empresa não ensejará a extinção se não restringir sua capacidade de concluir o contrato.</w:t>
      </w:r>
      <w:r>
        <w:rPr>
          <w:sz w:val="24"/>
          <w:szCs w:val="24"/>
        </w:rPr>
      </w:r>
    </w:p>
    <w:p>
      <w:pPr>
        <w:pStyle w:val="1144"/>
        <w:numPr>
          <w:ilvl w:val="3"/>
          <w:numId w:val="32"/>
        </w:numPr>
        <w:pBdr/>
        <w:spacing/>
        <w:ind w:firstLine="0" w:left="567"/>
        <w:rPr>
          <w:sz w:val="24"/>
          <w:szCs w:val="24"/>
        </w:rPr>
      </w:pPr>
      <w:r>
        <w:rPr>
          <w:color w:val="000000" w:themeColor="text1"/>
          <w:sz w:val="24"/>
          <w:szCs w:val="24"/>
        </w:rPr>
        <w:t xml:space="preserve">Se a </w:t>
      </w:r>
      <w:r>
        <w:rPr>
          <w:sz w:val="24"/>
          <w:szCs w:val="24"/>
        </w:rPr>
        <w:t xml:space="preserve">operação</w:t>
      </w:r>
      <w:r>
        <w:rPr>
          <w:color w:val="000000" w:themeColor="text1"/>
          <w:sz w:val="24"/>
          <w:szCs w:val="24"/>
        </w:rPr>
        <w:t xml:space="preserve"> </w:t>
      </w:r>
      <w:r>
        <w:rPr>
          <w:sz w:val="24"/>
          <w:szCs w:val="24"/>
        </w:rPr>
        <w:t xml:space="preserve">implicar mudança da pessoa jurídica contratada, deverá ser formalizado termo aditivo para alteração subjetiva.</w:t>
      </w:r>
      <w:r>
        <w:rPr>
          <w:sz w:val="24"/>
          <w:szCs w:val="24"/>
        </w:rPr>
      </w:r>
    </w:p>
    <w:p>
      <w:pPr>
        <w:pStyle w:val="1142"/>
        <w:numPr>
          <w:ilvl w:val="1"/>
          <w:numId w:val="32"/>
        </w:numPr>
        <w:pBdr/>
        <w:spacing/>
        <w:ind w:firstLine="0" w:left="0"/>
        <w:rPr>
          <w:sz w:val="24"/>
          <w:szCs w:val="24"/>
        </w:rPr>
      </w:pPr>
      <w:r>
        <w:rPr>
          <w:sz w:val="24"/>
          <w:szCs w:val="24"/>
        </w:rPr>
        <w:t xml:space="preserve">O termo de extinção, sempre que possível, será precedido:</w:t>
      </w:r>
      <w:r>
        <w:rPr>
          <w:sz w:val="24"/>
          <w:szCs w:val="24"/>
        </w:rPr>
      </w:r>
    </w:p>
    <w:p>
      <w:pPr>
        <w:pStyle w:val="1143"/>
        <w:numPr>
          <w:ilvl w:val="2"/>
          <w:numId w:val="32"/>
        </w:numPr>
        <w:pBdr/>
        <w:spacing/>
        <w:ind w:firstLine="0" w:left="284"/>
        <w:rPr>
          <w:sz w:val="24"/>
          <w:szCs w:val="24"/>
        </w:rPr>
      </w:pPr>
      <w:r>
        <w:rPr>
          <w:sz w:val="24"/>
          <w:szCs w:val="24"/>
        </w:rPr>
        <w:t xml:space="preserve">Balanço dos eventos contratuais já cumpridos ou parcialmente cumpridos;</w:t>
      </w:r>
      <w:r>
        <w:rPr>
          <w:sz w:val="24"/>
          <w:szCs w:val="24"/>
        </w:rPr>
      </w:r>
    </w:p>
    <w:p>
      <w:pPr>
        <w:pStyle w:val="1143"/>
        <w:numPr>
          <w:ilvl w:val="2"/>
          <w:numId w:val="32"/>
        </w:numPr>
        <w:pBdr/>
        <w:spacing/>
        <w:ind w:firstLine="0" w:left="284"/>
        <w:rPr>
          <w:sz w:val="24"/>
          <w:szCs w:val="24"/>
        </w:rPr>
      </w:pPr>
      <w:r>
        <w:rPr>
          <w:sz w:val="24"/>
          <w:szCs w:val="24"/>
        </w:rPr>
        <w:t xml:space="preserve">Relação dos pagamentos já efetuados e ainda devidos;</w:t>
      </w:r>
      <w:r>
        <w:rPr>
          <w:sz w:val="24"/>
          <w:szCs w:val="24"/>
        </w:rPr>
      </w:r>
    </w:p>
    <w:p>
      <w:pPr>
        <w:pStyle w:val="1143"/>
        <w:numPr>
          <w:ilvl w:val="2"/>
          <w:numId w:val="32"/>
        </w:numPr>
        <w:pBdr/>
        <w:spacing/>
        <w:ind w:firstLine="0" w:left="284"/>
        <w:rPr>
          <w:sz w:val="24"/>
          <w:szCs w:val="24"/>
        </w:rPr>
      </w:pPr>
      <w:r>
        <w:rPr>
          <w:sz w:val="24"/>
          <w:szCs w:val="24"/>
        </w:rPr>
        <w:t xml:space="preserve">Indenizações e multas.</w:t>
      </w:r>
      <w:r>
        <w:rPr>
          <w:sz w:val="24"/>
          <w:szCs w:val="24"/>
        </w:rPr>
      </w:r>
    </w:p>
    <w:p>
      <w:pPr>
        <w:pStyle w:val="1142"/>
        <w:numPr>
          <w:ilvl w:val="1"/>
          <w:numId w:val="32"/>
        </w:numPr>
        <w:pBdr/>
        <w:spacing/>
        <w:ind w:firstLine="0" w:left="0"/>
        <w:rPr>
          <w:sz w:val="24"/>
          <w:szCs w:val="24"/>
        </w:rPr>
      </w:pPr>
      <w:r>
        <w:rPr>
          <w:sz w:val="24"/>
          <w:szCs w:val="24"/>
        </w:rPr>
        <w:t xml:space="preserve">A extinção do contrato não configura óbice para o reconhecimento do desequilíbrio econômico-financeiro, hipótese em que será concedida indenização por meio de termo indenizatório (</w:t>
      </w:r>
      <w:hyperlink r:id="rId102" w:tooltip="http://www.planalto.gov.br/ccivil_03/_ato2019-2022/2021/lei/L14133.htm#art131" w:anchor="art131" w:history="1">
        <w:r>
          <w:rPr>
            <w:rStyle w:val="953"/>
            <w:sz w:val="24"/>
            <w:szCs w:val="24"/>
          </w:rPr>
          <w:t xml:space="preserve">art. 131, </w:t>
        </w:r>
      </w:hyperlink>
      <w:r>
        <w:rPr>
          <w:rStyle w:val="953"/>
          <w:sz w:val="24"/>
          <w:szCs w:val="24"/>
        </w:rPr>
        <w:t xml:space="preserve">caput, da Lei n.º 14.133, de 2021</w:t>
      </w:r>
      <w:r>
        <w:rPr>
          <w:sz w:val="24"/>
          <w:szCs w:val="24"/>
        </w:rPr>
        <w:t xml:space="preserve">). </w:t>
      </w:r>
      <w:r>
        <w:rPr>
          <w:sz w:val="24"/>
          <w:szCs w:val="24"/>
        </w:rPr>
      </w:r>
    </w:p>
    <w:p>
      <w:pPr>
        <w:pStyle w:val="1142"/>
        <w:numPr>
          <w:ilvl w:val="1"/>
          <w:numId w:val="32"/>
        </w:numPr>
        <w:pBdr/>
        <w:spacing/>
        <w:ind w:firstLine="0" w:left="0"/>
        <w:rPr>
          <w:sz w:val="24"/>
          <w:szCs w:val="24"/>
        </w:rPr>
      </w:pPr>
      <w:r>
        <w:rPr>
          <w:sz w:val="24"/>
          <w:szCs w:val="24"/>
        </w:rPr>
        <w:t xml:space="preserve">O contrato poderá ser extinto caso se constate que o contratado mantém vínculo de natureza técnica, comercial, econômica, financeira, trabalhista ou civil com dirigente do órgão ou entidade contratante ou com agente público</w:t>
      </w:r>
      <w:r>
        <w:rPr>
          <w:sz w:val="24"/>
          <w:szCs w:val="24"/>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24"/>
          <w:szCs w:val="24"/>
        </w:rPr>
      </w:r>
    </w:p>
    <w:p>
      <w:pPr>
        <w:pStyle w:val="1141"/>
        <w:numPr>
          <w:ilvl w:val="0"/>
          <w:numId w:val="32"/>
        </w:numPr>
        <w:pBdr/>
        <w:spacing/>
        <w:ind/>
        <w:rPr>
          <w:color w:val="ffffff" w:themeColor="background1"/>
        </w:rPr>
      </w:pPr>
      <w:r>
        <w:t xml:space="preserve">CLÁUSULA DÉCIMA TERCEIRA – DOTAÇÃO ORÇAMENTÁRIA (</w:t>
      </w:r>
      <w:hyperlink r:id="rId103" w:tooltip="http://www.planalto.gov.br/ccivil_03/_ato2019-2022/2021/lei/L14133.htm#art92" w:anchor="art92" w:history="1">
        <w:r>
          <w:rPr>
            <w:rStyle w:val="953"/>
          </w:rPr>
          <w:t xml:space="preserve">art. 92, VIII</w:t>
        </w:r>
      </w:hyperlink>
      <w:r>
        <w:t xml:space="preserve">)</w:t>
      </w:r>
      <w:r>
        <w:rPr>
          <w:color w:val="ffffff" w:themeColor="background1"/>
        </w:rPr>
      </w:r>
    </w:p>
    <w:p>
      <w:pPr>
        <w:pStyle w:val="1142"/>
        <w:numPr>
          <w:ilvl w:val="1"/>
          <w:numId w:val="32"/>
        </w:numPr>
        <w:pBdr/>
        <w:spacing/>
        <w:ind w:firstLine="0" w:left="0"/>
        <w:rPr>
          <w:sz w:val="24"/>
          <w:szCs w:val="24"/>
        </w:rPr>
      </w:pPr>
      <w:r>
        <w:rPr>
          <w:sz w:val="24"/>
          <w:szCs w:val="24"/>
        </w:rPr>
        <w:t xml:space="preserve">As despesas decorrentes da presente contratação correrão à conta de recursos específicos consignados no Orçamento Geral da União deste exercício, na dotação abaixo discriminada:</w:t>
      </w:r>
      <w:r>
        <w:rPr>
          <w:sz w:val="24"/>
          <w:szCs w:val="24"/>
        </w:rPr>
      </w:r>
    </w:p>
    <w:p>
      <w:pPr>
        <w:pStyle w:val="1142"/>
        <w:numPr>
          <w:ilvl w:val="0"/>
          <w:numId w:val="0"/>
        </w:numPr>
        <w:pBdr/>
        <w:spacing/>
        <w:ind/>
        <w:rPr>
          <w:sz w:val="24"/>
          <w:szCs w:val="24"/>
        </w:rPr>
      </w:pPr>
      <w:r>
        <w:rPr>
          <w:sz w:val="24"/>
          <w:szCs w:val="24"/>
        </w:rPr>
      </w:r>
      <w:r>
        <w:rPr>
          <w:sz w:val="24"/>
          <w:szCs w:val="24"/>
        </w:rPr>
      </w:r>
    </w:p>
    <w:tbl>
      <w:tblPr>
        <w:tblStyle w:val="1136"/>
        <w:jc w:val="center"/>
        <w:tblW w:w="9531" w:type="dxa"/>
        <w:tblBorders/>
        <w:tblLayout w:type="fixed"/>
        <w:tblLook w:val="04A0" w:firstRow="1" w:lastRow="0" w:firstColumn="1" w:lastColumn="0" w:noHBand="0" w:noVBand="1"/>
      </w:tblPr>
      <w:tblGrid>
        <w:gridCol w:w="3216"/>
        <w:gridCol w:w="6315"/>
      </w:tblGrid>
      <w:tr>
        <w:trPr>
          <w:jc w:val="center"/>
          <w:trHeight w:val="551"/>
        </w:trPr>
        <w:tc>
          <w:tcPr>
            <w:gridSpan w:val="2"/>
            <w:shd w:val="clear" w:color="auto" w:fill="d9d9d9" w:themeFill="background1" w:themeFillShade="D9"/>
            <w:tcBorders/>
            <w:tcW w:w="9530" w:type="dxa"/>
            <w:vAlign w:val="center"/>
            <w:textDirection w:val="lrTb"/>
            <w:noWrap w:val="false"/>
          </w:tcPr>
          <w:p>
            <w:pPr>
              <w:pBdr/>
              <w:spacing/>
              <w:ind/>
              <w:jc w:val="center"/>
              <w:rPr>
                <w:rFonts w:cs="Arial"/>
                <w:b/>
                <w:sz w:val="24"/>
                <w:szCs w:val="24"/>
              </w:rPr>
            </w:pPr>
            <w:r>
              <w:rPr>
                <w:rFonts w:cs="Arial"/>
                <w:b/>
                <w:sz w:val="24"/>
                <w:szCs w:val="24"/>
              </w:rPr>
              <w:t xml:space="preserve">Fundo Municipal de ....................................</w:t>
            </w:r>
            <w:r>
              <w:rPr>
                <w:rFonts w:cs="Arial"/>
                <w:b/>
                <w:sz w:val="24"/>
                <w:szCs w:val="24"/>
              </w:rPr>
            </w:r>
          </w:p>
        </w:tc>
      </w:tr>
      <w:tr>
        <w:trPr>
          <w:jc w:val="center"/>
          <w:trHeight w:val="184"/>
        </w:trPr>
        <w:tc>
          <w:tcPr>
            <w:gridSpan w:val="2"/>
            <w:tcBorders/>
            <w:tcW w:w="9530" w:type="dxa"/>
            <w:textDirection w:val="lrTb"/>
            <w:noWrap w:val="false"/>
          </w:tcPr>
          <w:p>
            <w:pPr>
              <w:pBdr/>
              <w:spacing/>
              <w:ind/>
              <w:rPr>
                <w:rFonts w:cs="Arial"/>
                <w:b/>
                <w:sz w:val="24"/>
                <w:szCs w:val="24"/>
              </w:rPr>
            </w:pPr>
            <w:r>
              <w:rPr>
                <w:rFonts w:cs="Arial"/>
                <w:b/>
                <w:sz w:val="24"/>
                <w:szCs w:val="24"/>
              </w:rPr>
            </w:r>
            <w:r>
              <w:rPr>
                <w:rFonts w:cs="Arial"/>
                <w:b/>
                <w:sz w:val="24"/>
                <w:szCs w:val="24"/>
              </w:rPr>
            </w:r>
          </w:p>
        </w:tc>
      </w:tr>
      <w:tr>
        <w:trPr>
          <w:jc w:val="center"/>
          <w:trHeight w:val="184"/>
        </w:trPr>
        <w:tc>
          <w:tcPr>
            <w:shd w:val="clear" w:color="auto" w:fill="d9d9d9" w:themeFill="background1" w:themeFillShade="D9"/>
            <w:tcBorders/>
            <w:tcW w:w="3216"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p>
        </w:tc>
        <w:tc>
          <w:tcPr>
            <w:shd w:val="clear" w:color="auto" w:fill="d9d9d9" w:themeFill="background1" w:themeFillShade="D9"/>
            <w:tcBorders/>
            <w:tcW w:w="6314"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p>
        </w:tc>
      </w:tr>
      <w:tr>
        <w:trPr>
          <w:jc w:val="center"/>
          <w:trHeight w:val="184"/>
        </w:trPr>
        <w:tc>
          <w:tcPr>
            <w:shd w:val="clear" w:color="auto" w:fill="d9d9d9" w:themeFill="background1" w:themeFillShade="D9"/>
            <w:tcBorders/>
            <w:tcW w:w="3216"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p>
        </w:tc>
        <w:tc>
          <w:tcPr>
            <w:shd w:val="clear" w:color="auto" w:fill="d9d9d9" w:themeFill="background1" w:themeFillShade="D9"/>
            <w:tcBorders/>
            <w:tcW w:w="6314"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p>
        </w:tc>
      </w:tr>
    </w:tbl>
    <w:p>
      <w:pPr>
        <w:pStyle w:val="1142"/>
        <w:numPr>
          <w:ilvl w:val="0"/>
          <w:numId w:val="0"/>
        </w:numPr>
        <w:pBdr/>
        <w:spacing/>
        <w:ind/>
        <w:rPr>
          <w:sz w:val="24"/>
          <w:szCs w:val="24"/>
        </w:rPr>
      </w:pPr>
      <w:r>
        <w:rPr>
          <w:sz w:val="24"/>
          <w:szCs w:val="24"/>
        </w:rPr>
      </w:r>
      <w:r>
        <w:rPr>
          <w:sz w:val="24"/>
          <w:szCs w:val="24"/>
        </w:rPr>
      </w:r>
    </w:p>
    <w:p>
      <w:pPr>
        <w:pStyle w:val="1148"/>
        <w:numPr>
          <w:ilvl w:val="1"/>
          <w:numId w:val="32"/>
        </w:numPr>
        <w:pBdr/>
        <w:spacing/>
        <w:ind w:firstLine="0" w:left="0"/>
        <w:rPr>
          <w:i w:val="0"/>
          <w:color w:val="auto"/>
          <w:sz w:val="24"/>
          <w:szCs w:val="24"/>
        </w:rPr>
      </w:pPr>
      <w:r>
        <w:rPr>
          <w:i w:val="0"/>
          <w:color w:val="auto"/>
          <w:sz w:val="24"/>
          <w:szCs w:val="24"/>
        </w:rPr>
        <w:t xml:space="preserve">A dotação relativa aos exercícios financeiros subsequentes será indicada após aprovação da Lei Orçamentária respectiva e liberação dos créditos correspondentes, mediante apostilamento.</w:t>
      </w:r>
      <w:r>
        <w:rPr>
          <w:i w:val="0"/>
          <w:color w:val="auto"/>
          <w:sz w:val="24"/>
          <w:szCs w:val="24"/>
        </w:rPr>
      </w:r>
    </w:p>
    <w:p>
      <w:pPr>
        <w:pStyle w:val="1141"/>
        <w:numPr>
          <w:ilvl w:val="0"/>
          <w:numId w:val="32"/>
        </w:numPr>
        <w:pBdr/>
        <w:spacing/>
        <w:ind/>
        <w:rPr>
          <w:color w:val="ffffff" w:themeColor="background1"/>
        </w:rPr>
      </w:pPr>
      <w:r>
        <w:t xml:space="preserve">CLÁUSULA DÉCIMA QUARTA – DOS CASOS OMISSOS (</w:t>
      </w:r>
      <w:hyperlink r:id="rId104" w:tooltip="http://www.planalto.gov.br/ccivil_03/_ato2019-2022/2021/lei/L14133.htm#art92" w:anchor="art92" w:history="1">
        <w:r>
          <w:rPr>
            <w:rStyle w:val="953"/>
          </w:rPr>
          <w:t xml:space="preserve">art. 92, III</w:t>
        </w:r>
      </w:hyperlink>
      <w:r>
        <w:t xml:space="preserve">)</w:t>
      </w:r>
      <w:r>
        <w:rPr>
          <w:color w:val="ffffff" w:themeColor="background1"/>
        </w:rPr>
      </w:r>
    </w:p>
    <w:p>
      <w:pPr>
        <w:pStyle w:val="1142"/>
        <w:numPr>
          <w:ilvl w:val="1"/>
          <w:numId w:val="32"/>
        </w:numPr>
        <w:pBdr/>
        <w:spacing/>
        <w:ind w:firstLine="0" w:left="0"/>
        <w:rPr>
          <w:sz w:val="24"/>
          <w:szCs w:val="24"/>
        </w:rPr>
      </w:pPr>
      <w:r>
        <w:rPr>
          <w:sz w:val="24"/>
          <w:szCs w:val="24"/>
        </w:rPr>
        <w:t xml:space="preserve">Os casos omissos serão decididos pelo contratante, segundo as disposições contidas na Lei </w:t>
      </w:r>
      <w:hyperlink r:id="rId105" w:tooltip="http://www.planalto.gov.br/ccivil_03/_ato2019-2022/2021/lei/L14133.htm" w:history="1">
        <w:r>
          <w:rPr>
            <w:rStyle w:val="953"/>
            <w:sz w:val="24"/>
            <w:szCs w:val="24"/>
          </w:rPr>
          <w:t xml:space="preserve">nº 14.133, de 2021</w:t>
        </w:r>
      </w:hyperlink>
      <w:r>
        <w:rPr>
          <w:sz w:val="24"/>
          <w:szCs w:val="24"/>
        </w:rPr>
        <w:t xml:space="preserve">, e demais normas federais aplicáveis e, subsidiariamente, segundo as disposições contidas na </w:t>
      </w:r>
      <w:hyperlink r:id="rId106" w:tooltip="https://www.planalto.gov.br/ccivil_03/leis/l8078compilado.htm" w:history="1">
        <w:r>
          <w:rPr>
            <w:rStyle w:val="953"/>
            <w:sz w:val="24"/>
            <w:szCs w:val="24"/>
          </w:rPr>
          <w:t xml:space="preserve">Lei nº 8.078, de 1990 – Código de Defesa do Consumidor</w:t>
        </w:r>
      </w:hyperlink>
      <w:r>
        <w:rPr>
          <w:sz w:val="24"/>
          <w:szCs w:val="24"/>
        </w:rPr>
        <w:t xml:space="preserve"> – e normas e princípios gerais dos contratos.</w:t>
      </w:r>
      <w:r>
        <w:rPr>
          <w:sz w:val="24"/>
          <w:szCs w:val="24"/>
        </w:rPr>
      </w:r>
    </w:p>
    <w:p>
      <w:pPr>
        <w:pStyle w:val="1141"/>
        <w:numPr>
          <w:ilvl w:val="0"/>
          <w:numId w:val="32"/>
        </w:numPr>
        <w:pBdr/>
        <w:spacing/>
        <w:ind/>
        <w:rPr>
          <w:color w:val="ffffff" w:themeColor="background1"/>
        </w:rPr>
      </w:pPr>
      <w:r>
        <w:t xml:space="preserve">CLÁUSULA DÉCIMA QUINTA – ALTERAÇÕES</w:t>
      </w:r>
      <w:r>
        <w:rPr>
          <w:color w:val="ffffff" w:themeColor="background1"/>
        </w:rPr>
      </w:r>
    </w:p>
    <w:p>
      <w:pPr>
        <w:pStyle w:val="1142"/>
        <w:numPr>
          <w:ilvl w:val="1"/>
          <w:numId w:val="32"/>
        </w:numPr>
        <w:pBdr/>
        <w:spacing/>
        <w:ind w:firstLine="0" w:left="0"/>
        <w:rPr>
          <w:sz w:val="24"/>
          <w:szCs w:val="24"/>
        </w:rPr>
      </w:pPr>
      <w:r>
        <w:rPr>
          <w:sz w:val="24"/>
          <w:szCs w:val="24"/>
        </w:rPr>
        <w:t xml:space="preserve">Eventuais alterações contratuais reger-se-ão pela disciplina dos </w:t>
      </w:r>
      <w:hyperlink r:id="rId107" w:tooltip="http://www.planalto.gov.br/ccivil_03/_ato2019-2022/2021/lei/L14133.htm#art124" w:anchor="art124" w:history="1">
        <w:r>
          <w:rPr>
            <w:rStyle w:val="953"/>
            <w:sz w:val="24"/>
            <w:szCs w:val="24"/>
          </w:rPr>
          <w:t xml:space="preserve">arts</w:t>
        </w:r>
        <w:r>
          <w:rPr>
            <w:rStyle w:val="953"/>
            <w:sz w:val="24"/>
            <w:szCs w:val="24"/>
          </w:rPr>
          <w:t xml:space="preserve">. 124 e seguintes da Lei nº 14.133, de 2021</w:t>
        </w:r>
      </w:hyperlink>
      <w:r>
        <w:rPr>
          <w:sz w:val="24"/>
          <w:szCs w:val="24"/>
        </w:rPr>
        <w:t xml:space="preserve">.</w:t>
      </w:r>
      <w:r>
        <w:rPr>
          <w:sz w:val="24"/>
          <w:szCs w:val="24"/>
        </w:rPr>
      </w:r>
    </w:p>
    <w:p>
      <w:pPr>
        <w:pStyle w:val="1142"/>
        <w:numPr>
          <w:ilvl w:val="1"/>
          <w:numId w:val="32"/>
        </w:numPr>
        <w:pBdr/>
        <w:spacing/>
        <w:ind w:firstLine="0" w:left="0"/>
        <w:rPr>
          <w:sz w:val="24"/>
          <w:szCs w:val="24"/>
        </w:rPr>
      </w:pPr>
      <w:r>
        <w:rPr>
          <w:sz w:val="24"/>
          <w:szCs w:val="24"/>
        </w:rPr>
        <w:t xml:space="preserve">O contratado é obrigado a aceitar, nas mesmas condições contratuais, os acréscimos ou supressões que se fizerem necessários, até o limite de 25% (vinte e cinco por cento) do valor inicial atualizado do contrato.</w:t>
      </w:r>
      <w:r>
        <w:rPr>
          <w:sz w:val="24"/>
          <w:szCs w:val="24"/>
        </w:rPr>
      </w:r>
    </w:p>
    <w:p>
      <w:pPr>
        <w:pStyle w:val="1142"/>
        <w:numPr>
          <w:ilvl w:val="1"/>
          <w:numId w:val="32"/>
        </w:numPr>
        <w:pBdr/>
        <w:spacing/>
        <w:ind w:firstLine="0" w:left="0"/>
        <w:rPr>
          <w:sz w:val="24"/>
          <w:szCs w:val="24"/>
        </w:rPr>
      </w:pPr>
      <w:r>
        <w:rPr>
          <w:sz w:val="24"/>
          <w:szCs w:val="24"/>
        </w:rPr>
        <w:t xml:space="preserve">As alterações contratuais deverão ser promovidas mediante celebração de termo aditivo, submetido à </w:t>
      </w:r>
      <w:r>
        <w:rPr>
          <w:sz w:val="24"/>
          <w:szCs w:val="24"/>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24"/>
          <w:szCs w:val="24"/>
        </w:rPr>
      </w:r>
    </w:p>
    <w:p>
      <w:pPr>
        <w:pStyle w:val="1142"/>
        <w:numPr>
          <w:ilvl w:val="1"/>
          <w:numId w:val="32"/>
        </w:numPr>
        <w:pBdr/>
        <w:spacing/>
        <w:ind w:firstLine="0" w:left="0"/>
        <w:rPr>
          <w:sz w:val="24"/>
          <w:szCs w:val="24"/>
        </w:rPr>
      </w:pPr>
      <w:r>
        <w:rPr>
          <w:sz w:val="24"/>
          <w:szCs w:val="24"/>
        </w:rPr>
        <w:t xml:space="preserve">Registros que não caracterizam alteração do contrato podem ser realizados por simples apostila, dispensada a celebração de termo aditivo, na forma do </w:t>
      </w:r>
      <w:hyperlink r:id="rId108" w:tooltip="http://www.planalto.gov.br/ccivil_03/_ato2019-2022/2021/lei/L14133.htm#art136" w:anchor="art136" w:history="1">
        <w:r>
          <w:rPr>
            <w:rStyle w:val="953"/>
            <w:sz w:val="24"/>
            <w:szCs w:val="24"/>
          </w:rPr>
          <w:t xml:space="preserve">art. 136 da Lei nº 14.133, de 2021</w:t>
        </w:r>
      </w:hyperlink>
      <w:r>
        <w:rPr>
          <w:sz w:val="24"/>
          <w:szCs w:val="24"/>
        </w:rPr>
        <w:t xml:space="preserve">.</w:t>
      </w:r>
      <w:r>
        <w:rPr>
          <w:sz w:val="24"/>
          <w:szCs w:val="24"/>
        </w:rPr>
      </w:r>
    </w:p>
    <w:p>
      <w:pPr>
        <w:pStyle w:val="1141"/>
        <w:numPr>
          <w:ilvl w:val="0"/>
          <w:numId w:val="32"/>
        </w:numPr>
        <w:pBdr/>
        <w:spacing/>
        <w:ind/>
        <w:rPr>
          <w:color w:val="ffffff" w:themeColor="background1"/>
        </w:rPr>
      </w:pPr>
      <w:r>
        <w:t xml:space="preserve">CLÁUSULA DÉCIMA SEXTA – PUBLICAÇÃO</w:t>
      </w:r>
      <w:r>
        <w:rPr>
          <w:color w:val="ffffff" w:themeColor="background1"/>
        </w:rPr>
      </w:r>
    </w:p>
    <w:p>
      <w:pPr>
        <w:pStyle w:val="1142"/>
        <w:numPr>
          <w:ilvl w:val="1"/>
          <w:numId w:val="32"/>
        </w:numPr>
        <w:pBdr/>
        <w:spacing/>
        <w:ind w:firstLine="0" w:left="0"/>
        <w:rPr>
          <w:sz w:val="24"/>
          <w:szCs w:val="24"/>
        </w:rPr>
      </w:pPr>
      <w:r>
        <w:rPr>
          <w:sz w:val="24"/>
          <w:szCs w:val="24"/>
        </w:rPr>
        <w:t xml:space="preserve">Incumbirá ao contratante divulgar o presente instrumento no Portal Nacional de Contratações Públicas (PNCP), na forma prevista no </w:t>
      </w:r>
      <w:hyperlink r:id="rId109" w:tooltip="http://www.planalto.gov.br/ccivil_03/_ato2019-2022/2021/lei/L14133.htm#art94" w:anchor="art94" w:history="1">
        <w:r>
          <w:rPr>
            <w:rStyle w:val="953"/>
            <w:sz w:val="24"/>
            <w:szCs w:val="24"/>
          </w:rPr>
          <w:t xml:space="preserve">art. 94 da Lei 14.133, de 2021</w:t>
        </w:r>
      </w:hyperlink>
      <w:r>
        <w:rPr>
          <w:sz w:val="24"/>
          <w:szCs w:val="24"/>
        </w:rPr>
        <w:t xml:space="preserve">, bem como no respectivo sítio oficial na Internet, em atenção ao art. 91, </w:t>
      </w:r>
      <w:r>
        <w:rPr>
          <w:i/>
          <w:sz w:val="24"/>
          <w:szCs w:val="24"/>
        </w:rPr>
        <w:t xml:space="preserve">caput,</w:t>
      </w:r>
      <w:r>
        <w:rPr>
          <w:sz w:val="24"/>
          <w:szCs w:val="24"/>
        </w:rPr>
        <w:t xml:space="preserve"> da Lei n.º 14.133, de 2021, e ao </w:t>
      </w:r>
      <w:hyperlink r:id="rId110" w:tooltip="https://www.planalto.gov.br/ccivil_03/_ato2011-2014/2011/lei/l12527.htm#art8§2" w:anchor="art8§2" w:history="1">
        <w:r>
          <w:rPr>
            <w:rStyle w:val="953"/>
            <w:sz w:val="24"/>
            <w:szCs w:val="24"/>
          </w:rPr>
          <w:t xml:space="preserve">art. 8º, §2º, da Lei n. 12.527, de 2011</w:t>
        </w:r>
      </w:hyperlink>
      <w:r>
        <w:rPr>
          <w:sz w:val="24"/>
          <w:szCs w:val="24"/>
        </w:rPr>
        <w:t xml:space="preserve">, c/c </w:t>
      </w:r>
      <w:hyperlink r:id="rId111" w:tooltip="https://www.planalto.gov.br/ccivil_03/_ato2011-2014/2012/decreto/d7724.htm#art7§3" w:anchor="art7§3" w:history="1">
        <w:r>
          <w:rPr>
            <w:rStyle w:val="953"/>
            <w:sz w:val="24"/>
            <w:szCs w:val="24"/>
          </w:rPr>
          <w:t xml:space="preserve">art. 7º, §3º, inciso V, do Decreto n. 7.724, de 2012</w:t>
        </w:r>
      </w:hyperlink>
      <w:r>
        <w:rPr>
          <w:rStyle w:val="953"/>
          <w:sz w:val="24"/>
          <w:szCs w:val="24"/>
        </w:rPr>
        <w:t xml:space="preserve"> e</w:t>
      </w:r>
      <w:r>
        <w:rPr>
          <w:sz w:val="24"/>
          <w:szCs w:val="24"/>
        </w:rPr>
        <w:t xml:space="preserve"> no Boletim Oficial do Município de Rio das </w:t>
      </w:r>
      <w:r>
        <w:rPr>
          <w:sz w:val="24"/>
          <w:szCs w:val="24"/>
        </w:rPr>
        <w:t xml:space="preserve">Flôres</w:t>
      </w:r>
      <w:r>
        <w:rPr>
          <w:sz w:val="24"/>
          <w:szCs w:val="24"/>
        </w:rPr>
        <w:t xml:space="preserve">/RJ.</w:t>
      </w:r>
      <w:r>
        <w:rPr>
          <w:sz w:val="24"/>
          <w:szCs w:val="24"/>
        </w:rPr>
      </w:r>
    </w:p>
    <w:p>
      <w:pPr>
        <w:pStyle w:val="1141"/>
        <w:numPr>
          <w:ilvl w:val="0"/>
          <w:numId w:val="32"/>
        </w:numPr>
        <w:pBdr/>
        <w:spacing/>
        <w:ind/>
        <w:rPr>
          <w:color w:val="ffffff" w:themeColor="background1"/>
        </w:rPr>
      </w:pPr>
      <w:r>
        <w:t xml:space="preserve">CLÁUSULA DÉCIMA SÉTIMA– FORO (</w:t>
      </w:r>
      <w:hyperlink r:id="rId112" w:tooltip="http://www.planalto.gov.br/ccivil_03/_ato2019-2022/2021/lei/L14133.htm#art92§1" w:anchor="art92§1" w:history="1">
        <w:r>
          <w:rPr>
            <w:rStyle w:val="953"/>
          </w:rPr>
          <w:t xml:space="preserve">art. 92, §1º</w:t>
        </w:r>
      </w:hyperlink>
      <w:r>
        <w:t xml:space="preserve">)</w:t>
      </w:r>
      <w:r>
        <w:rPr>
          <w:color w:val="ffffff" w:themeColor="background1"/>
        </w:rPr>
      </w:r>
    </w:p>
    <w:p>
      <w:pPr>
        <w:pStyle w:val="1142"/>
        <w:numPr>
          <w:ilvl w:val="1"/>
          <w:numId w:val="32"/>
        </w:numPr>
        <w:pBdr/>
        <w:spacing/>
        <w:ind w:firstLine="0" w:left="0"/>
        <w:rPr>
          <w:sz w:val="24"/>
          <w:szCs w:val="24"/>
        </w:rPr>
      </w:pPr>
      <w:r>
        <w:rPr>
          <w:color w:val="auto"/>
          <w:sz w:val="24"/>
          <w:szCs w:val="24"/>
          <w:lang w:eastAsia="en-US"/>
        </w:rPr>
        <w:t xml:space="preserve">Fica eleito o Foro da Comarca de Rio das </w:t>
      </w:r>
      <w:r>
        <w:rPr>
          <w:color w:val="auto"/>
          <w:sz w:val="24"/>
          <w:szCs w:val="24"/>
          <w:lang w:eastAsia="en-US"/>
        </w:rPr>
        <w:t xml:space="preserve">Flôres</w:t>
      </w:r>
      <w:r>
        <w:rPr>
          <w:color w:val="auto"/>
          <w:sz w:val="24"/>
          <w:szCs w:val="24"/>
          <w:lang w:eastAsia="en-US"/>
        </w:rPr>
        <w:t xml:space="preserve">/RJ</w:t>
      </w:r>
      <w:r>
        <w:rPr>
          <w:sz w:val="24"/>
          <w:szCs w:val="24"/>
        </w:rPr>
        <w:t xml:space="preserve"> para dirimir os litígios que decorrerem da execução deste Termo de Contrato que não puderem ser compostos pela conciliação, conforme </w:t>
      </w:r>
      <w:hyperlink r:id="rId113" w:tooltip="http://www.planalto.gov.br/ccivil_03/_ato2019-2022/2021/lei/L14133.htm#art92§1" w:anchor="art92§1" w:history="1">
        <w:r>
          <w:rPr>
            <w:rStyle w:val="953"/>
            <w:sz w:val="24"/>
            <w:szCs w:val="24"/>
          </w:rPr>
          <w:t xml:space="preserve">art. 92, §1º, da Lei nº 14.133/21</w:t>
        </w:r>
      </w:hyperlink>
      <w:r>
        <w:rPr>
          <w:sz w:val="24"/>
          <w:szCs w:val="24"/>
        </w:rPr>
        <w:t xml:space="preserve">.</w:t>
      </w:r>
      <w:r>
        <w:rPr>
          <w:sz w:val="24"/>
          <w:szCs w:val="24"/>
        </w:rPr>
      </w:r>
    </w:p>
    <w:p>
      <w:pPr>
        <w:pStyle w:val="994"/>
        <w:pBdr/>
        <w:spacing w:after="80"/>
        <w:ind w:right="357"/>
        <w:jc w:val="right"/>
        <w:rPr>
          <w:rFonts w:ascii="Arial" w:hAnsi="Arial"/>
          <w:b w:val="0"/>
          <w:sz w:val="24"/>
          <w:szCs w:val="24"/>
          <w:u w:val="none"/>
        </w:rPr>
      </w:pPr>
      <w:r>
        <w:rPr>
          <w:rFonts w:ascii="Arial" w:hAnsi="Arial"/>
          <w:b w:val="0"/>
          <w:sz w:val="24"/>
          <w:szCs w:val="24"/>
          <w:u w:val="none"/>
        </w:rPr>
        <w:t xml:space="preserve">Rio das </w:t>
      </w:r>
      <w:r>
        <w:rPr>
          <w:rFonts w:ascii="Arial" w:hAnsi="Arial"/>
          <w:b w:val="0"/>
          <w:sz w:val="24"/>
          <w:szCs w:val="24"/>
          <w:u w:val="none"/>
        </w:rPr>
        <w:t xml:space="preserve">Flôres</w:t>
      </w:r>
      <w:r>
        <w:rPr>
          <w:rFonts w:ascii="Arial" w:hAnsi="Arial"/>
          <w:b w:val="0"/>
          <w:sz w:val="24"/>
          <w:szCs w:val="24"/>
          <w:u w:val="none"/>
        </w:rPr>
        <w:t xml:space="preserve">, ........ de .......... de 2026.</w:t>
      </w:r>
      <w:r>
        <w:rPr>
          <w:rFonts w:ascii="Arial" w:hAnsi="Arial"/>
          <w:b w:val="0"/>
          <w:sz w:val="24"/>
          <w:szCs w:val="24"/>
          <w:u w:val="none"/>
        </w:rPr>
      </w:r>
    </w:p>
    <w:p>
      <w:pPr>
        <w:pStyle w:val="1142"/>
        <w:numPr>
          <w:ilvl w:val="0"/>
          <w:numId w:val="0"/>
        </w:numPr>
        <w:pBdr/>
        <w:spacing w:after="288" w:line="312" w:lineRule="auto"/>
        <w:ind w:firstLine="567"/>
        <w:rPr>
          <w:i/>
          <w:iCs/>
          <w:color w:val="auto"/>
          <w:sz w:val="24"/>
          <w:szCs w:val="24"/>
        </w:rPr>
      </w:pPr>
      <w:r>
        <w:rPr>
          <w:i/>
          <w:iCs/>
          <w:color w:val="auto"/>
          <w:sz w:val="24"/>
          <w:szCs w:val="24"/>
        </w:rPr>
      </w:r>
      <w:r>
        <w:rPr>
          <w:i/>
          <w:iCs/>
          <w:color w:val="auto"/>
          <w:sz w:val="24"/>
          <w:szCs w:val="24"/>
        </w:rPr>
      </w:r>
    </w:p>
    <w:p>
      <w:pPr>
        <w:pBdr/>
        <w:spacing w:after="288" w:line="312" w:lineRule="auto"/>
        <w:ind w:firstLine="567"/>
        <w:jc w:val="center"/>
        <w:rPr>
          <w:rFonts w:cs="Arial"/>
          <w:bCs/>
          <w:sz w:val="24"/>
          <w:szCs w:val="24"/>
        </w:rPr>
      </w:pPr>
      <w:r>
        <w:rPr>
          <w:rFonts w:cs="Arial"/>
          <w:bCs/>
          <w:sz w:val="24"/>
          <w:szCs w:val="24"/>
        </w:rPr>
        <w:t xml:space="preserve">Representante legal do CONTRATANTE</w:t>
      </w:r>
      <w:r>
        <w:rPr>
          <w:rFonts w:cs="Arial"/>
          <w:bCs/>
          <w:sz w:val="24"/>
          <w:szCs w:val="24"/>
        </w:rPr>
      </w:r>
    </w:p>
    <w:p>
      <w:pPr>
        <w:pBdr/>
        <w:spacing w:after="288" w:before="0"/>
        <w:ind w:firstLine="567"/>
        <w:jc w:val="center"/>
        <w:rPr>
          <w:rFonts w:cs="Arial"/>
          <w:sz w:val="24"/>
          <w:szCs w:val="24"/>
        </w:rPr>
      </w:pPr>
      <w:r>
        <w:rPr>
          <w:rFonts w:cs="Arial"/>
          <w:bCs/>
          <w:sz w:val="24"/>
          <w:szCs w:val="24"/>
        </w:rPr>
        <w:t xml:space="preserve">Representante</w:t>
      </w:r>
      <w:r>
        <w:rPr>
          <w:rFonts w:cs="Arial"/>
          <w:sz w:val="24"/>
          <w:szCs w:val="24"/>
        </w:rPr>
        <w:t xml:space="preserve"> legal do CONTRATADO</w:t>
      </w:r>
      <w:r>
        <w:rPr>
          <w:rFonts w:cs="Arial"/>
          <w:sz w:val="24"/>
          <w:szCs w:val="24"/>
        </w:rPr>
      </w:r>
    </w:p>
    <w:p>
      <w:pPr>
        <w:pStyle w:val="994"/>
        <w:pBdr/>
        <w:spacing/>
        <w:ind/>
        <w:jc w:val="left"/>
        <w:rPr>
          <w:rFonts w:ascii="Arial" w:hAnsi="Arial"/>
          <w:sz w:val="24"/>
          <w:szCs w:val="24"/>
        </w:rPr>
      </w:pPr>
      <w:r>
        <w:rPr>
          <w:rFonts w:ascii="Arial" w:hAnsi="Arial"/>
          <w:sz w:val="24"/>
          <w:szCs w:val="24"/>
        </w:rPr>
        <w:t xml:space="preserve">TESTEMUNHAS:</w:t>
      </w:r>
      <w:r>
        <w:rPr>
          <w:rFonts w:ascii="Arial" w:hAnsi="Arial"/>
          <w:sz w:val="24"/>
          <w:szCs w:val="24"/>
        </w:rPr>
      </w:r>
    </w:p>
    <w:p>
      <w:pPr>
        <w:pBdr/>
        <w:spacing/>
        <w:ind/>
        <w:jc w:val="left"/>
        <w:rPr>
          <w:sz w:val="24"/>
          <w:szCs w:val="24"/>
        </w:rPr>
      </w:pPr>
      <w:r>
        <w:rPr>
          <w:sz w:val="24"/>
          <w:szCs w:val="24"/>
        </w:rPr>
        <w:t xml:space="preserve">_______________________</w:t>
      </w:r>
      <w:r>
        <w:rPr>
          <w:sz w:val="24"/>
          <w:szCs w:val="24"/>
        </w:rPr>
      </w:r>
    </w:p>
    <w:p>
      <w:pPr>
        <w:pBdr/>
        <w:spacing/>
        <w:ind/>
        <w:jc w:val="left"/>
        <w:rPr>
          <w:sz w:val="24"/>
          <w:szCs w:val="24"/>
        </w:rPr>
      </w:pPr>
      <w:r>
        <w:rPr>
          <w:sz w:val="24"/>
          <w:szCs w:val="24"/>
        </w:rPr>
        <w:t xml:space="preserve">CPF:___________________</w:t>
      </w:r>
      <w:r>
        <w:rPr>
          <w:sz w:val="24"/>
          <w:szCs w:val="24"/>
        </w:rPr>
      </w:r>
    </w:p>
    <w:p>
      <w:pPr>
        <w:pBdr/>
        <w:spacing/>
        <w:ind/>
        <w:jc w:val="left"/>
        <w:rPr>
          <w:sz w:val="24"/>
          <w:szCs w:val="24"/>
        </w:rPr>
      </w:pPr>
      <w:r>
        <w:rPr>
          <w:sz w:val="24"/>
          <w:szCs w:val="24"/>
        </w:rPr>
        <w:t xml:space="preserve">_______________________</w:t>
      </w:r>
      <w:r>
        <w:rPr>
          <w:sz w:val="24"/>
          <w:szCs w:val="24"/>
        </w:rPr>
      </w:r>
    </w:p>
    <w:p>
      <w:pPr>
        <w:pBdr/>
        <w:spacing/>
        <w:ind/>
        <w:rPr/>
      </w:pPr>
      <w:r>
        <w:rPr>
          <w:sz w:val="24"/>
          <w:szCs w:val="24"/>
        </w:rPr>
        <w:t xml:space="preserve">CPF:___________________</w:t>
      </w:r>
      <w:r>
        <w:t xml:space="preserve"> </w:t>
      </w:r>
      <w:r/>
    </w:p>
    <w:p>
      <w:pPr>
        <w:pBdr/>
        <w:spacing w:after="360"/>
        <w:ind w:firstLine="1134"/>
        <w:rPr/>
      </w:pPr>
      <w:r/>
      <w:r/>
    </w:p>
    <w:p>
      <w:pPr>
        <w:pBdr/>
        <w:spacing/>
        <w:ind/>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sectPr>
      <w:headerReference w:type="default" r:id="rId9"/>
      <w:footerReference w:type="default" r:id="rId10"/>
      <w:footnotePr/>
      <w:endnotePr/>
      <w:type w:val="nextPage"/>
      <w:pgSz w:h="16838" w:orient="portrait" w:w="11906"/>
      <w:pgMar w:top="1537" w:right="1134" w:bottom="567" w:left="1135" w:header="567" w:footer="0" w:gutter="0"/>
      <w:pgNumType w:start="14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before="0"/>
        <w:ind/>
        <w:rPr/>
      </w:pPr>
      <w:r>
        <w:separator/>
      </w:r>
      <w:r/>
    </w:p>
  </w:endnote>
  <w:endnote w:type="continuationSeparator" w:id="0">
    <w:p>
      <w:pPr>
        <w:pBdr/>
        <w:spacing w:after="0" w:before="0"/>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MT">
    <w:panose1 w:val="020B0604020202020204"/>
  </w:font>
  <w:font w:name="Wingdings">
    <w:panose1 w:val="05000000000000000000"/>
  </w:font>
  <w:font w:name="Symbol">
    <w:panose1 w:val="05050102010706020507"/>
  </w:font>
  <w:font w:name="Century Gothic">
    <w:panose1 w:val="020B0503020204020204"/>
  </w:font>
  <w:font w:name="Ecofont_Spranq_eco_Sans">
    <w:panose1 w:val="05040102010807070707"/>
  </w:font>
  <w:font w:name="SansSerif">
    <w:panose1 w:val="020B0502040504020204"/>
  </w:font>
  <w:font w:name="Courier New">
    <w:panose1 w:val="02070309020205020404"/>
  </w:font>
  <w:font w:name="Zurich BT">
    <w:panose1 w:val="05040102010807070707"/>
  </w:font>
  <w:font w:name="Calibri">
    <w:panose1 w:val="020F0502020204030204"/>
  </w:font>
  <w:font w:name="MS Mincho">
    <w:panose1 w:val="02020503050405090304"/>
  </w:font>
  <w:font w:name="Tahoma">
    <w:panose1 w:val="020B0604030504040204"/>
  </w:font>
  <w:font w:name="Arial Narrow">
    <w:panose1 w:val="020B0604020202020204"/>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spacing/>
      <w:ind/>
      <w:jc w:val="right"/>
      <w:rPr>
        <w:sz w:val="20"/>
        <w:szCs w:val="20"/>
      </w:rPr>
    </w:pPr>
    <w:r>
      <w:tab/>
    </w:r>
    <w:r>
      <w:rPr>
        <w:sz w:val="20"/>
        <w:szCs w:val="20"/>
      </w:rPr>
    </w:r>
  </w:p>
  <w:p>
    <w:pPr>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ind/>
        <w:rPr/>
      </w:pPr>
      <w:r>
        <w:separator/>
      </w:r>
      <w:r/>
    </w:p>
  </w:footnote>
  <w:footnote w:type="continuationSeparator" w:id="0">
    <w:p>
      <w:pPr>
        <w:pBdr/>
        <w:spacing w:after="0" w:before="0"/>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spacing/>
      <w:ind w:left="-284"/>
      <w:rPr/>
    </w:pPr>
    <w:r>
      <mc:AlternateContent>
        <mc:Choice Requires="wpg">
          <w:drawing>
            <wp:anchor xmlns:wp="http://schemas.openxmlformats.org/drawingml/2006/wordprocessingDrawing" xmlns:wp14="http://schemas.microsoft.com/office/word/2010/wordprocessingDrawing" distT="0" distB="0" distL="0" distR="0" simplePos="0" relativeHeight="96" behindDoc="1" locked="0" layoutInCell="1" allowOverlap="1">
              <wp:simplePos x="0" y="0"/>
              <wp:positionH relativeFrom="column">
                <wp:posOffset>5300345</wp:posOffset>
              </wp:positionH>
              <wp:positionV relativeFrom="paragraph">
                <wp:posOffset>-221520</wp:posOffset>
              </wp:positionV>
              <wp:extent cx="2477135" cy="778415"/>
              <wp:effectExtent l="0" t="0" r="0" b="0"/>
              <wp:wrapNone/>
              <wp:docPr id="1" name="_x005F_x0000_s1025"/>
              <wp:cNvGraphicFramePr/>
              <a:graphic xmlns:a="http://schemas.openxmlformats.org/drawingml/2006/main">
                <a:graphicData uri="http://schemas.microsoft.com/office/word/2010/wordprocessingShape">
                  <wps:wsp>
                    <wps:cNvPr id="0" name=""/>
                    <wps:cNvSpPr/>
                    <wps:spPr bwMode="auto">
                      <a:xfrm>
                        <a:off x="0" y="0"/>
                        <a:ext cx="2477134" cy="778414"/>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010"/>
                            <w:pBdr/>
                            <w:spacing/>
                            <w:ind w:right="-548" w:left="-142"/>
                            <w:rPr>
                              <w:rFonts w:cs="Arial"/>
                              <w:b/>
                              <w:color w:val="000000"/>
                              <w:sz w:val="20"/>
                              <w:szCs w:val="20"/>
                              <w:lang w:val="en-US"/>
                            </w:rPr>
                          </w:pPr>
                          <w:r>
                            <w:rPr>
                              <w:rFonts w:cs="Arial"/>
                              <w:b/>
                              <w:color w:val="000000"/>
                              <w:sz w:val="20"/>
                              <w:szCs w:val="20"/>
                              <w:lang w:val="en-US"/>
                            </w:rPr>
                            <w:t xml:space="preserve">PROC.Nº </w:t>
                          </w:r>
                          <w:r>
                            <w:rPr>
                              <w:rFonts w:cs="Arial"/>
                              <w:b/>
                              <w:color w:val="000000"/>
                              <w:sz w:val="20"/>
                              <w:szCs w:val="20"/>
                              <w:lang w:val="en-US"/>
                            </w:rPr>
                            <w:t xml:space="preserve">1939/2026</w:t>
                          </w:r>
                          <w:r>
                            <w:rPr>
                              <w:rFonts w:cs="Arial"/>
                              <w:b/>
                              <w:color w:val="000000"/>
                              <w:sz w:val="20"/>
                              <w:szCs w:val="20"/>
                              <w:lang w:val="en-US"/>
                            </w:rPr>
                            <w:t xml:space="preserve">   </w:t>
                          </w:r>
                          <w:r>
                            <w:rPr>
                              <w:rFonts w:cs="Arial"/>
                              <w:b/>
                              <w:color w:val="000000"/>
                              <w:sz w:val="20"/>
                              <w:szCs w:val="20"/>
                              <w:lang w:val="en-US"/>
                            </w:rPr>
                          </w:r>
                        </w:p>
                        <w:p>
                          <w:pPr>
                            <w:pStyle w:val="1010"/>
                            <w:pBdr/>
                            <w:spacing/>
                            <w:ind w:right="-548" w:left="-142"/>
                            <w:rPr>
                              <w:rFonts w:cs="Arial"/>
                              <w:b/>
                              <w:color w:val="000000"/>
                              <w:sz w:val="20"/>
                              <w:szCs w:val="20"/>
                              <w:lang w:val="en-US"/>
                            </w:rPr>
                          </w:pPr>
                          <w:r>
                            <w:rPr>
                              <w:rFonts w:cs="Arial"/>
                              <w:b/>
                              <w:color w:val="000000"/>
                              <w:sz w:val="20"/>
                              <w:szCs w:val="20"/>
                              <w:lang w:val="en-US"/>
                            </w:rPr>
                            <w:t xml:space="preserve">FLS. Nº  </w:t>
                          </w:r>
                          <w:r>
                            <w:rPr>
                              <w:rFonts w:cs="Arial"/>
                              <w:b/>
                              <w:color w:val="000000"/>
                              <w:sz w:val="20"/>
                              <w:szCs w:val="20"/>
                              <w:lang w:val="en-US"/>
                            </w:rPr>
                          </w:r>
                        </w:p>
                        <w:p>
                          <w:pPr>
                            <w:pStyle w:val="1010"/>
                            <w:pBdr/>
                            <w:spacing/>
                            <w:ind w:right="-548" w:left="-142"/>
                            <w:rPr>
                              <w:rFonts w:cs="Arial"/>
                              <w:b/>
                              <w:sz w:val="20"/>
                              <w:szCs w:val="20"/>
                              <w:lang w:val="en-US"/>
                            </w:rPr>
                          </w:pPr>
                          <w:r>
                            <w:rPr>
                              <w:rFonts w:cs="Arial"/>
                              <w:b/>
                              <w:color w:val="000000"/>
                              <w:sz w:val="20"/>
                              <w:szCs w:val="20"/>
                              <w:lang w:val="en-US"/>
                            </w:rPr>
                            <w:t xml:space="preserve">RUBRICA</w:t>
                          </w:r>
                          <w:r>
                            <w:rPr>
                              <w:rFonts w:cs="Arial"/>
                              <w:b/>
                              <w:sz w:val="20"/>
                              <w:szCs w:val="20"/>
                              <w:lang w:val="en-US"/>
                            </w:rPr>
                          </w:r>
                        </w:p>
                        <w:p>
                          <w:pPr>
                            <w:pStyle w:val="1010"/>
                            <w:pBdr/>
                            <w:spacing/>
                            <w:ind/>
                            <w:rPr>
                              <w:sz w:val="22"/>
                              <w:szCs w:val="22"/>
                            </w:rPr>
                          </w:pPr>
                          <w:r>
                            <w:rPr>
                              <w:sz w:val="22"/>
                              <w:szCs w:val="22"/>
                            </w:rPr>
                          </w:r>
                          <w:r>
                            <w:rPr>
                              <w:sz w:val="22"/>
                              <w:szCs w:val="22"/>
                            </w:rPr>
                          </w:r>
                        </w:p>
                        <w:p>
                          <w:pPr>
                            <w:pStyle w:val="1010"/>
                            <w:pBdr/>
                            <w:spacing/>
                            <w:ind w:right="-548" w:left="-142"/>
                            <w:rPr>
                              <w:rFonts w:ascii="Arial Narrow" w:hAnsi="Arial Narrow"/>
                              <w:b/>
                              <w:sz w:val="22"/>
                              <w:szCs w:val="22"/>
                              <w:lang w:val="en-US"/>
                            </w:rPr>
                          </w:pPr>
                          <w:r>
                            <w:rPr>
                              <w:rFonts w:ascii="Arial Narrow" w:hAnsi="Arial Narrow"/>
                              <w:b/>
                              <w:sz w:val="22"/>
                              <w:szCs w:val="22"/>
                              <w:lang w:val="en-US"/>
                            </w:rPr>
                          </w:r>
                          <w:r>
                            <w:rPr>
                              <w:rFonts w:ascii="Arial Narrow" w:hAnsi="Arial Narrow"/>
                              <w:b/>
                              <w:sz w:val="22"/>
                              <w:szCs w:val="22"/>
                              <w:lang w:val="en-US"/>
                            </w:rPr>
                          </w:r>
                        </w:p>
                      </w:txbxContent>
                    </wps:txbx>
                    <wps:bodyPr anchor="t" upright="1">
                      <a:noAutofit/>
                    </wps:bodyPr>
                  </wps:wsp>
                </a:graphicData>
              </a:graphic>
            </wp:anchor>
          </w:drawing>
        </mc:Choice>
        <mc:Fallback>
          <w:pict>
            <v:shape id="shape 0" o:spid="_x0000_s0" o:spt="1" type="#_x0000_t1" style="position:absolute;z-index:-96;o:allowoverlap:true;o:allowincell:true;mso-position-horizontal-relative:text;margin-left:417.35pt;mso-position-horizontal:absolute;mso-position-vertical-relative:text;margin-top:-17.44pt;mso-position-vertical:absolute;width:195.05pt;height:61.29pt;mso-wrap-distance-left:0.00pt;mso-wrap-distance-top:0.00pt;mso-wrap-distance-right:0.00pt;mso-wrap-distance-bottom:0.00pt;v-text-anchor:top;visibility:visible;" fillcolor="#FFFFFF" stroked="f" strokeweight="0.00pt">
              <v:textbox inset="0,0,0,0">
                <w:txbxContent>
                  <w:p>
                    <w:pPr>
                      <w:pStyle w:val="1010"/>
                      <w:pBdr/>
                      <w:spacing/>
                      <w:ind w:right="-548" w:left="-142"/>
                      <w:rPr>
                        <w:rFonts w:cs="Arial"/>
                        <w:b/>
                        <w:color w:val="000000"/>
                        <w:sz w:val="20"/>
                        <w:szCs w:val="20"/>
                        <w:lang w:val="en-US"/>
                      </w:rPr>
                    </w:pPr>
                    <w:r>
                      <w:rPr>
                        <w:rFonts w:cs="Arial"/>
                        <w:b/>
                        <w:color w:val="000000"/>
                        <w:sz w:val="20"/>
                        <w:szCs w:val="20"/>
                        <w:lang w:val="en-US"/>
                      </w:rPr>
                      <w:t xml:space="preserve">PROC.Nº </w:t>
                    </w:r>
                    <w:r>
                      <w:rPr>
                        <w:rFonts w:cs="Arial"/>
                        <w:b/>
                        <w:color w:val="000000"/>
                        <w:sz w:val="20"/>
                        <w:szCs w:val="20"/>
                        <w:lang w:val="en-US"/>
                      </w:rPr>
                      <w:t xml:space="preserve">1939/2026</w:t>
                    </w:r>
                    <w:r>
                      <w:rPr>
                        <w:rFonts w:cs="Arial"/>
                        <w:b/>
                        <w:color w:val="000000"/>
                        <w:sz w:val="20"/>
                        <w:szCs w:val="20"/>
                        <w:lang w:val="en-US"/>
                      </w:rPr>
                      <w:t xml:space="preserve">   </w:t>
                    </w:r>
                    <w:r>
                      <w:rPr>
                        <w:rFonts w:cs="Arial"/>
                        <w:b/>
                        <w:color w:val="000000"/>
                        <w:sz w:val="20"/>
                        <w:szCs w:val="20"/>
                        <w:lang w:val="en-US"/>
                      </w:rPr>
                    </w:r>
                  </w:p>
                  <w:p>
                    <w:pPr>
                      <w:pStyle w:val="1010"/>
                      <w:pBdr/>
                      <w:spacing/>
                      <w:ind w:right="-548" w:left="-142"/>
                      <w:rPr>
                        <w:rFonts w:cs="Arial"/>
                        <w:b/>
                        <w:color w:val="000000"/>
                        <w:sz w:val="20"/>
                        <w:szCs w:val="20"/>
                        <w:lang w:val="en-US"/>
                      </w:rPr>
                    </w:pPr>
                    <w:r>
                      <w:rPr>
                        <w:rFonts w:cs="Arial"/>
                        <w:b/>
                        <w:color w:val="000000"/>
                        <w:sz w:val="20"/>
                        <w:szCs w:val="20"/>
                        <w:lang w:val="en-US"/>
                      </w:rPr>
                      <w:t xml:space="preserve">FLS. Nº  </w:t>
                    </w:r>
                    <w:r>
                      <w:rPr>
                        <w:rFonts w:cs="Arial"/>
                        <w:b/>
                        <w:color w:val="000000"/>
                        <w:sz w:val="20"/>
                        <w:szCs w:val="20"/>
                        <w:lang w:val="en-US"/>
                      </w:rPr>
                    </w:r>
                  </w:p>
                  <w:p>
                    <w:pPr>
                      <w:pStyle w:val="1010"/>
                      <w:pBdr/>
                      <w:spacing/>
                      <w:ind w:right="-548" w:left="-142"/>
                      <w:rPr>
                        <w:rFonts w:cs="Arial"/>
                        <w:b/>
                        <w:sz w:val="20"/>
                        <w:szCs w:val="20"/>
                        <w:lang w:val="en-US"/>
                      </w:rPr>
                    </w:pPr>
                    <w:r>
                      <w:rPr>
                        <w:rFonts w:cs="Arial"/>
                        <w:b/>
                        <w:color w:val="000000"/>
                        <w:sz w:val="20"/>
                        <w:szCs w:val="20"/>
                        <w:lang w:val="en-US"/>
                      </w:rPr>
                      <w:t xml:space="preserve">RUBRICA</w:t>
                    </w:r>
                    <w:r>
                      <w:rPr>
                        <w:rFonts w:cs="Arial"/>
                        <w:b/>
                        <w:sz w:val="20"/>
                        <w:szCs w:val="20"/>
                        <w:lang w:val="en-US"/>
                      </w:rPr>
                    </w:r>
                  </w:p>
                  <w:p>
                    <w:pPr>
                      <w:pStyle w:val="1010"/>
                      <w:pBdr/>
                      <w:spacing/>
                      <w:ind/>
                      <w:rPr>
                        <w:sz w:val="22"/>
                        <w:szCs w:val="22"/>
                      </w:rPr>
                    </w:pPr>
                    <w:r>
                      <w:rPr>
                        <w:sz w:val="22"/>
                        <w:szCs w:val="22"/>
                      </w:rPr>
                    </w:r>
                    <w:r>
                      <w:rPr>
                        <w:sz w:val="22"/>
                        <w:szCs w:val="22"/>
                      </w:rPr>
                    </w:r>
                  </w:p>
                  <w:p>
                    <w:pPr>
                      <w:pStyle w:val="1010"/>
                      <w:pBdr/>
                      <w:spacing/>
                      <w:ind w:right="-548" w:left="-142"/>
                      <w:rPr>
                        <w:rFonts w:ascii="Arial Narrow" w:hAnsi="Arial Narrow"/>
                        <w:b/>
                        <w:sz w:val="22"/>
                        <w:szCs w:val="22"/>
                        <w:lang w:val="en-US"/>
                      </w:rPr>
                    </w:pPr>
                    <w:r>
                      <w:rPr>
                        <w:rFonts w:ascii="Arial Narrow" w:hAnsi="Arial Narrow"/>
                        <w:b/>
                        <w:sz w:val="22"/>
                        <w:szCs w:val="22"/>
                        <w:lang w:val="en-US"/>
                      </w:rPr>
                    </w:r>
                    <w:r>
                      <w:rPr>
                        <w:rFonts w:ascii="Arial Narrow" w:hAnsi="Arial Narrow"/>
                        <w:b/>
                        <w:sz w:val="22"/>
                        <w:szCs w:val="22"/>
                        <w:lang w:val="en-US"/>
                      </w:rP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56" behindDoc="0" locked="0" layoutInCell="1" allowOverlap="1">
              <wp:simplePos x="0" y="0"/>
              <wp:positionH relativeFrom="column">
                <wp:posOffset>-150495</wp:posOffset>
              </wp:positionH>
              <wp:positionV relativeFrom="paragraph">
                <wp:posOffset>-298450</wp:posOffset>
              </wp:positionV>
              <wp:extent cx="3400425" cy="1097280"/>
              <wp:effectExtent l="0" t="0" r="0" b="0"/>
              <wp:wrapTight wrapText="bothSides">
                <wp:wrapPolygon edited="1">
                  <wp:start x="1940" y="2477"/>
                  <wp:lineTo x="-3" y="3894"/>
                  <wp:lineTo x="-3" y="9913"/>
                  <wp:lineTo x="568" y="14517"/>
                  <wp:lineTo x="1600" y="16642"/>
                  <wp:lineTo x="1714" y="17351"/>
                  <wp:lineTo x="2626" y="17351"/>
                  <wp:lineTo x="20795" y="15934"/>
                  <wp:lineTo x="20680" y="4247"/>
                  <wp:lineTo x="19540" y="3894"/>
                  <wp:lineTo x="2511" y="2477"/>
                  <wp:lineTo x="1940" y="2477"/>
                </wp:wrapPolygon>
              </wp:wrapTight>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838241" name="Imagem 6"/>
                      <pic:cNvPicPr>
                        <a:picLocks noChangeAspect="1"/>
                      </pic:cNvPicPr>
                      <pic:nvPr/>
                    </pic:nvPicPr>
                    <pic:blipFill rotWithShape="1">
                      <a:blip r:embed="rId1"/>
                      <a:stretch/>
                    </pic:blipFill>
                    <pic:spPr bwMode="auto">
                      <a:xfrm>
                        <a:off x="0" y="0"/>
                        <a:ext cx="3400425" cy="1097280"/>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156;o:allowoverlap:true;o:allowincell:true;mso-position-horizontal-relative:text;margin-left:-11.85pt;mso-position-horizontal:absolute;mso-position-vertical-relative:text;margin-top:-23.50pt;mso-position-vertical:absolute;width:267.75pt;height:86.40pt;mso-wrap-distance-left:9.00pt;mso-wrap-distance-top:0.00pt;mso-wrap-distance-right:9.00pt;mso-wrap-distance-bottom:0.00pt;z-index:1;" wrapcoords="8981 11468 -13 18028 -13 45894 2630 67208 7407 77046 7935 80329 12157 80329 96273 73769 95741 19662 90463 18028 11625 11468 8981 11468" stroked="false">
              <w10:wrap type="tight"/>
              <v:imagedata r:id="rId1" o:title=""/>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90" behindDoc="0" locked="0" layoutInCell="1" allowOverlap="1">
              <wp:simplePos x="0" y="0"/>
              <wp:positionH relativeFrom="column">
                <wp:posOffset>3219450</wp:posOffset>
              </wp:positionH>
              <wp:positionV relativeFrom="paragraph">
                <wp:posOffset>-100330</wp:posOffset>
              </wp:positionV>
              <wp:extent cx="1962150" cy="660400"/>
              <wp:effectExtent l="0" t="0" r="0" b="0"/>
              <wp:wrapTight wrapText="bothSides">
                <wp:wrapPolygon edited="1">
                  <wp:start x="2097" y="622"/>
                  <wp:lineTo x="1" y="5606"/>
                  <wp:lineTo x="1" y="13085"/>
                  <wp:lineTo x="2937" y="19314"/>
                  <wp:lineTo x="3775" y="19314"/>
                  <wp:lineTo x="21390" y="16823"/>
                  <wp:lineTo x="21390" y="4359"/>
                  <wp:lineTo x="18034" y="2491"/>
                  <wp:lineTo x="2937" y="622"/>
                  <wp:lineTo x="2097" y="622"/>
                </wp:wrapPolygon>
              </wp:wrapTight>
              <wp:docPr id="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524268" name="Imagem 11"/>
                      <pic:cNvPicPr>
                        <a:picLocks noChangeAspect="1"/>
                      </pic:cNvPicPr>
                      <pic:nvPr/>
                    </pic:nvPicPr>
                    <pic:blipFill rotWithShape="1">
                      <a:blip r:embed="rId2"/>
                      <a:stretch/>
                    </pic:blipFill>
                    <pic:spPr bwMode="auto">
                      <a:xfrm>
                        <a:off x="0" y="0"/>
                        <a:ext cx="1962149" cy="660399"/>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z-index:290;o:allowoverlap:true;o:allowincell:true;mso-position-horizontal-relative:text;margin-left:253.50pt;mso-position-horizontal:absolute;mso-position-vertical-relative:text;margin-top:-7.90pt;mso-position-vertical:absolute;width:154.50pt;height:52.00pt;mso-wrap-distance-left:9.00pt;mso-wrap-distance-top:0.00pt;mso-wrap-distance-right:9.00pt;mso-wrap-distance-bottom:0.00pt;z-index:1;" wrapcoords="9708 2880 5 25954 5 60579 13597 89417 17477 89417 99028 77884 99028 20181 83491 11532 13597 2880 9708 2880" stroked="false">
              <w10:wrap type="tight"/>
              <v:imagedata r:id="rId2" o:title=""/>
              <o:lock v:ext="edit" rotation="t"/>
            </v:shape>
          </w:pict>
        </mc:Fallback>
      </mc:AlternateContent>
    </w:r>
    <w:r>
      <w:rPr>
        <w:rFonts w:ascii="Arial Narrow" w:hAnsi="Arial Narrow"/>
        <w:b/>
        <w:sz w:val="22"/>
        <w:szCs w:val="22"/>
      </w:rPr>
      <w:t xml:space="preserve"> </w:t>
    </w:r>
    <w:r>
      <w:t xml:space="preserve">  </w:t>
    </w:r>
    <w:r>
      <w:tab/>
    </w:r>
    <w:r/>
  </w:p>
  <w:p>
    <w:pPr>
      <w:pStyle w:val="992"/>
      <w:pBdr/>
      <w:spacing/>
      <w:ind w:left="-284"/>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9B3C5"/>
    <w:lvl w:ilvl="0">
      <w:isLgl w:val="false"/>
      <w:lvlJc w:val="left"/>
      <w:lvlText w:val="%1)"/>
      <w:numFmt w:val="lowerLetter"/>
      <w:pPr>
        <w:pBdr/>
        <w:tabs>
          <w:tab w:val="num" w:leader="none" w:pos="0"/>
        </w:tabs>
        <w:spacing/>
        <w:ind w:hanging="360" w:left="1436"/>
      </w:pPr>
      <w:rPr/>
      <w:start w:val="1"/>
      <w:suff w:val="tab"/>
    </w:lvl>
    <w:lvl w:ilvl="1">
      <w:isLgl w:val="false"/>
      <w:lvlJc w:val="left"/>
      <w:lvlText w:val="%2."/>
      <w:numFmt w:val="lowerLetter"/>
      <w:pPr>
        <w:pBdr/>
        <w:tabs>
          <w:tab w:val="num" w:leader="none" w:pos="0"/>
        </w:tabs>
        <w:spacing/>
        <w:ind w:hanging="360" w:left="2156"/>
      </w:pPr>
      <w:rPr/>
      <w:start w:val="1"/>
      <w:suff w:val="tab"/>
    </w:lvl>
    <w:lvl w:ilvl="2">
      <w:isLgl w:val="false"/>
      <w:lvlJc w:val="right"/>
      <w:lvlText w:val="%3."/>
      <w:numFmt w:val="lowerRoman"/>
      <w:pPr>
        <w:pBdr/>
        <w:tabs>
          <w:tab w:val="num" w:leader="none" w:pos="0"/>
        </w:tabs>
        <w:spacing/>
        <w:ind w:hanging="180" w:left="2876"/>
      </w:pPr>
      <w:rPr/>
      <w:start w:val="1"/>
      <w:suff w:val="tab"/>
    </w:lvl>
    <w:lvl w:ilvl="3">
      <w:isLgl w:val="false"/>
      <w:lvlJc w:val="left"/>
      <w:lvlText w:val="%4."/>
      <w:numFmt w:val="decimal"/>
      <w:pPr>
        <w:pBdr/>
        <w:tabs>
          <w:tab w:val="num" w:leader="none" w:pos="0"/>
        </w:tabs>
        <w:spacing/>
        <w:ind w:hanging="360" w:left="3596"/>
      </w:pPr>
      <w:rPr/>
      <w:start w:val="1"/>
      <w:suff w:val="tab"/>
    </w:lvl>
    <w:lvl w:ilvl="4">
      <w:isLgl w:val="false"/>
      <w:lvlJc w:val="left"/>
      <w:lvlText w:val="%5."/>
      <w:numFmt w:val="lowerLetter"/>
      <w:pPr>
        <w:pBdr/>
        <w:tabs>
          <w:tab w:val="num" w:leader="none" w:pos="0"/>
        </w:tabs>
        <w:spacing/>
        <w:ind w:hanging="360" w:left="4316"/>
      </w:pPr>
      <w:rPr/>
      <w:start w:val="1"/>
      <w:suff w:val="tab"/>
    </w:lvl>
    <w:lvl w:ilvl="5">
      <w:isLgl w:val="false"/>
      <w:lvlJc w:val="right"/>
      <w:lvlText w:val="%6."/>
      <w:numFmt w:val="lowerRoman"/>
      <w:pPr>
        <w:pBdr/>
        <w:tabs>
          <w:tab w:val="num" w:leader="none" w:pos="0"/>
        </w:tabs>
        <w:spacing/>
        <w:ind w:hanging="180" w:left="5036"/>
      </w:pPr>
      <w:rPr/>
      <w:start w:val="1"/>
      <w:suff w:val="tab"/>
    </w:lvl>
    <w:lvl w:ilvl="6">
      <w:isLgl w:val="false"/>
      <w:lvlJc w:val="left"/>
      <w:lvlText w:val="%7."/>
      <w:numFmt w:val="decimal"/>
      <w:pPr>
        <w:pBdr/>
        <w:tabs>
          <w:tab w:val="num" w:leader="none" w:pos="0"/>
        </w:tabs>
        <w:spacing/>
        <w:ind w:hanging="360" w:left="5756"/>
      </w:pPr>
      <w:rPr/>
      <w:start w:val="1"/>
      <w:suff w:val="tab"/>
    </w:lvl>
    <w:lvl w:ilvl="7">
      <w:isLgl w:val="false"/>
      <w:lvlJc w:val="left"/>
      <w:lvlText w:val="%8."/>
      <w:numFmt w:val="lowerLetter"/>
      <w:pPr>
        <w:pBdr/>
        <w:tabs>
          <w:tab w:val="num" w:leader="none" w:pos="0"/>
        </w:tabs>
        <w:spacing/>
        <w:ind w:hanging="360" w:left="6476"/>
      </w:pPr>
      <w:rPr/>
      <w:start w:val="1"/>
      <w:suff w:val="tab"/>
    </w:lvl>
    <w:lvl w:ilvl="8">
      <w:isLgl w:val="false"/>
      <w:lvlJc w:val="right"/>
      <w:lvlText w:val="%9."/>
      <w:numFmt w:val="lowerRoman"/>
      <w:pPr>
        <w:pBdr/>
        <w:tabs>
          <w:tab w:val="num" w:leader="none" w:pos="0"/>
        </w:tabs>
        <w:spacing/>
        <w:ind w:hanging="180" w:left="7196"/>
      </w:pPr>
      <w:rPr/>
      <w:start w:val="1"/>
      <w:suff w:val="tab"/>
    </w:lvl>
  </w:abstractNum>
  <w:abstractNum w:abstractNumId="1">
    <w:nsid w:val="029C3697"/>
    <w:lvl w:ilvl="0">
      <w:isLgl w:val="false"/>
      <w:lvlJc w:val="left"/>
      <w:lvlText w:val="%1)"/>
      <w:numFmt w:val="lowerLetter"/>
      <w:pPr>
        <w:pBdr/>
        <w:spacing/>
        <w:ind w:hanging="360" w:left="750"/>
      </w:pPr>
      <w:rPr>
        <w:rFonts w:hint="default"/>
      </w:rPr>
      <w:start w:val="1"/>
      <w:suff w:val="tab"/>
    </w:lvl>
    <w:lvl w:ilvl="1">
      <w:isLgl w:val="false"/>
      <w:lvlJc w:val="left"/>
      <w:lvlText w:val="%2."/>
      <w:numFmt w:val="lowerLetter"/>
      <w:pPr>
        <w:pBdr/>
        <w:spacing/>
        <w:ind w:hanging="360" w:left="1470"/>
      </w:pPr>
      <w:rPr/>
      <w:start w:val="1"/>
      <w:suff w:val="tab"/>
    </w:lvl>
    <w:lvl w:ilvl="2">
      <w:isLgl w:val="false"/>
      <w:lvlJc w:val="right"/>
      <w:lvlText w:val="%3."/>
      <w:numFmt w:val="lowerRoman"/>
      <w:pPr>
        <w:pBdr/>
        <w:spacing/>
        <w:ind w:hanging="180" w:left="2190"/>
      </w:pPr>
      <w:rPr/>
      <w:start w:val="1"/>
      <w:suff w:val="tab"/>
    </w:lvl>
    <w:lvl w:ilvl="3">
      <w:isLgl w:val="false"/>
      <w:lvlJc w:val="left"/>
      <w:lvlText w:val="%4."/>
      <w:numFmt w:val="decimal"/>
      <w:pPr>
        <w:pBdr/>
        <w:spacing/>
        <w:ind w:hanging="360" w:left="2910"/>
      </w:pPr>
      <w:rPr/>
      <w:start w:val="1"/>
      <w:suff w:val="tab"/>
    </w:lvl>
    <w:lvl w:ilvl="4">
      <w:isLgl w:val="false"/>
      <w:lvlJc w:val="left"/>
      <w:lvlText w:val="%5."/>
      <w:numFmt w:val="lowerLetter"/>
      <w:pPr>
        <w:pBdr/>
        <w:spacing/>
        <w:ind w:hanging="360" w:left="3630"/>
      </w:pPr>
      <w:rPr/>
      <w:start w:val="1"/>
      <w:suff w:val="tab"/>
    </w:lvl>
    <w:lvl w:ilvl="5">
      <w:isLgl w:val="false"/>
      <w:lvlJc w:val="right"/>
      <w:lvlText w:val="%6."/>
      <w:numFmt w:val="lowerRoman"/>
      <w:pPr>
        <w:pBdr/>
        <w:spacing/>
        <w:ind w:hanging="180" w:left="4350"/>
      </w:pPr>
      <w:rPr/>
      <w:start w:val="1"/>
      <w:suff w:val="tab"/>
    </w:lvl>
    <w:lvl w:ilvl="6">
      <w:isLgl w:val="false"/>
      <w:lvlJc w:val="left"/>
      <w:lvlText w:val="%7."/>
      <w:numFmt w:val="decimal"/>
      <w:pPr>
        <w:pBdr/>
        <w:spacing/>
        <w:ind w:hanging="360" w:left="5070"/>
      </w:pPr>
      <w:rPr/>
      <w:start w:val="1"/>
      <w:suff w:val="tab"/>
    </w:lvl>
    <w:lvl w:ilvl="7">
      <w:isLgl w:val="false"/>
      <w:lvlJc w:val="left"/>
      <w:lvlText w:val="%8."/>
      <w:numFmt w:val="lowerLetter"/>
      <w:pPr>
        <w:pBdr/>
        <w:spacing/>
        <w:ind w:hanging="360" w:left="5790"/>
      </w:pPr>
      <w:rPr/>
      <w:start w:val="1"/>
      <w:suff w:val="tab"/>
    </w:lvl>
    <w:lvl w:ilvl="8">
      <w:isLgl w:val="false"/>
      <w:lvlJc w:val="right"/>
      <w:lvlText w:val="%9."/>
      <w:numFmt w:val="lowerRoman"/>
      <w:pPr>
        <w:pBdr/>
        <w:spacing/>
        <w:ind w:hanging="180" w:left="6510"/>
      </w:pPr>
      <w:rPr/>
      <w:start w:val="1"/>
      <w:suff w:val="tab"/>
    </w:lvl>
  </w:abstractNum>
  <w:abstractNum w:abstractNumId="2">
    <w:nsid w:val="09101A4D"/>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3">
    <w:nsid w:val="09763502"/>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nsid w:val="0A882BBC"/>
    <w:lvl w:ilvl="0">
      <w:isLgl w:val="false"/>
      <w:lvlJc w:val="left"/>
      <w:lvlText w:val="%1."/>
      <w:numFmt w:val="decimal"/>
      <w:pPr>
        <w:pBdr/>
        <w:spacing/>
        <w:ind w:hanging="390" w:left="3934"/>
      </w:pPr>
      <w:rPr>
        <w:rFonts w:hint="default"/>
        <w:b/>
        <w:color w:val="auto"/>
      </w:rPr>
      <w:start w:val="2"/>
      <w:suff w:val="tab"/>
    </w:lvl>
    <w:lvl w:ilvl="1">
      <w:isLgl w:val="false"/>
      <w:lvlJc w:val="left"/>
      <w:lvlText w:val="%1.%2."/>
      <w:numFmt w:val="decimal"/>
      <w:pPr>
        <w:pBdr/>
        <w:spacing/>
        <w:ind w:hanging="720" w:left="720"/>
      </w:pPr>
      <w:rPr>
        <w:rFonts w:hint="default"/>
        <w:b/>
        <w:i w:val="0"/>
        <w:color w:val="auto"/>
      </w:rPr>
      <w:start w:val="1"/>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b/>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2160" w:left="2160"/>
      </w:pPr>
      <w:rPr>
        <w:rFonts w:hint="default"/>
      </w:rPr>
      <w:start w:val="1"/>
      <w:suff w:val="tab"/>
    </w:lvl>
  </w:abstractNum>
  <w:abstractNum w:abstractNumId="5">
    <w:nsid w:val="0B240992"/>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999"/>
      </w:pPr>
      <w:rPr>
        <w:b/>
        <w:i w:val="0"/>
        <w:strike w:val="0"/>
        <w:color w:val="auto"/>
        <w:sz w:val="24"/>
        <w:szCs w:val="24"/>
        <w:u w:val="none"/>
      </w:rPr>
      <w:start w:val="1"/>
      <w:suff w:val="tab"/>
    </w:lvl>
    <w:lvl w:ilvl="2">
      <w:isLgl w:val="false"/>
      <w:lvlJc w:val="left"/>
      <w:lvlText w:val="%1.%2.%3."/>
      <w:numFmt w:val="decimal"/>
      <w:pPr>
        <w:pBdr/>
        <w:tabs>
          <w:tab w:val="num" w:leader="none" w:pos="0"/>
        </w:tabs>
        <w:spacing/>
        <w:ind w:hanging="504" w:left="1638"/>
      </w:pPr>
      <w:rPr>
        <w:rFonts w:ascii="Arial" w:hAnsi="Arial"/>
        <w:b/>
        <w:i w:val="0"/>
        <w:strike w:val="0"/>
        <w:color w:val="auto"/>
        <w:sz w:val="24"/>
        <w:szCs w:val="24"/>
      </w:rPr>
      <w:start w:val="1"/>
      <w:suff w:val="tab"/>
    </w:lvl>
    <w:lvl w:ilvl="3">
      <w:isLgl w:val="false"/>
      <w:lvlJc w:val="left"/>
      <w:lvlText w:val="%1.%2.%3.%4."/>
      <w:numFmt w:val="decimal"/>
      <w:pPr>
        <w:pBdr/>
        <w:tabs>
          <w:tab w:val="num" w:leader="none" w:pos="0"/>
        </w:tabs>
        <w:spacing/>
        <w:ind w:hanging="648" w:left="2491"/>
      </w:pPr>
      <w:rPr>
        <w:b/>
        <w:sz w:val="24"/>
        <w:szCs w:val="24"/>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6">
    <w:nsid w:val="11983857"/>
    <w:lvl w:ilvl="0">
      <w:isLgl w:val="false"/>
      <w:lvlJc w:val="left"/>
      <w:lvlText w:val="%1."/>
      <w:numFmt w:val="decimal"/>
      <w:pPr>
        <w:pBdr/>
        <w:spacing/>
        <w:ind w:hanging="360" w:left="360"/>
      </w:pPr>
      <w:rPr>
        <w:b/>
        <w:i w:val="0"/>
        <w:color w:val="auto"/>
      </w:rPr>
      <w:start w:val="1"/>
      <w:suff w:val="tab"/>
    </w:lvl>
    <w:lvl w:ilvl="1">
      <w:isLgl w:val="false"/>
      <w:lvlJc w:val="left"/>
      <w:lvlText w:val="%1.%2."/>
      <w:numFmt w:val="decimal"/>
      <w:pPr>
        <w:pBdr/>
        <w:spacing/>
        <w:ind w:hanging="432" w:left="858"/>
      </w:pPr>
      <w:rPr>
        <w:sz w:val="24"/>
        <w:szCs w:val="24"/>
      </w:rPr>
      <w:start w:val="1"/>
      <w:suff w:val="tab"/>
    </w:lvl>
    <w:lvl w:ilvl="2">
      <w:isLgl w:val="false"/>
      <w:lvlJc w:val="left"/>
      <w:lvlText w:val="%1.%2.%3."/>
      <w:numFmt w:val="decimal"/>
      <w:pPr>
        <w:pBdr/>
        <w:spacing/>
        <w:ind w:hanging="504" w:left="1497"/>
      </w:pPr>
      <w:rPr/>
      <w:start w:val="1"/>
      <w:suff w:val="tab"/>
    </w:lvl>
    <w:lvl w:ilvl="3">
      <w:isLgl w:val="false"/>
      <w:lvlJc w:val="left"/>
      <w:lvlText w:val="%1.%2.%3.%4."/>
      <w:numFmt w:val="decimal"/>
      <w:pPr>
        <w:pBdr/>
        <w:spacing/>
        <w:ind w:hanging="648" w:left="1728"/>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
    <w:nsid w:val="12A57AB3"/>
    <w:lvl w:ilvl="0">
      <w:isLgl w:val="false"/>
      <w:lvlJc w:val="left"/>
      <w:lvlText w:val="%1."/>
      <w:numFmt w:val="decimal"/>
      <w:pPr>
        <w:pBdr/>
        <w:spacing/>
        <w:ind w:hanging="390" w:left="390"/>
      </w:pPr>
      <w:rPr>
        <w:rFonts w:hint="default"/>
      </w:rPr>
      <w:start w:val="1"/>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2160" w:left="2160"/>
      </w:pPr>
      <w:rPr>
        <w:rFonts w:hint="default"/>
      </w:rPr>
      <w:start w:val="1"/>
      <w:suff w:val="tab"/>
    </w:lvl>
  </w:abstractNum>
  <w:abstractNum w:abstractNumId="8">
    <w:nsid w:val="12B855B8"/>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432" w:left="792"/>
      </w:pPr>
      <w:rPr>
        <w:rFonts w:hint="default"/>
      </w:rPr>
      <w:start w:val="1"/>
      <w:suff w:val="tab"/>
    </w:lvl>
    <w:lvl w:ilvl="2">
      <w:isLgl w:val="false"/>
      <w:lvlJc w:val="left"/>
      <w:lvlText w:val="%1.%2.%3."/>
      <w:numFmt w:val="decimal"/>
      <w:pPr>
        <w:pBdr/>
        <w:spacing/>
        <w:ind w:hanging="504" w:left="1224"/>
      </w:pPr>
      <w:rPr>
        <w:rFonts w:hint="default"/>
      </w:rPr>
      <w:start w:val="1"/>
      <w:suff w:val="tab"/>
    </w:lvl>
    <w:lvl w:ilvl="3">
      <w:isLgl w:val="false"/>
      <w:lvlJc w:val="left"/>
      <w:lvlText w:val="%1.%2.%3.%4."/>
      <w:numFmt w:val="decimal"/>
      <w:pPr>
        <w:pBdr/>
        <w:spacing/>
        <w:ind w:hanging="648" w:left="1728"/>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9">
    <w:nsid w:val="1403696E"/>
    <w:lvl w:ilvl="0">
      <w:isLgl w:val="false"/>
      <w:lvlJc w:val="left"/>
      <w:lvlText w:val="%1."/>
      <w:numFmt w:val="decimal"/>
      <w:pPr>
        <w:pBdr/>
        <w:tabs>
          <w:tab w:val="num" w:leader="none" w:pos="0"/>
        </w:tabs>
        <w:spacing/>
        <w:ind w:hanging="390" w:left="390"/>
      </w:pPr>
      <w:rPr>
        <w:b/>
        <w:color w:val="000000"/>
        <w:sz w:val="24"/>
        <w:szCs w:val="24"/>
        <w:u w:val="none"/>
      </w:rPr>
      <w:start w:val="7"/>
      <w:suff w:val="tab"/>
    </w:lvl>
    <w:lvl w:ilvl="1">
      <w:isLgl w:val="false"/>
      <w:lvlJc w:val="left"/>
      <w:lvlText w:val="%1.%2."/>
      <w:numFmt w:val="decimal"/>
      <w:pPr>
        <w:pBdr/>
        <w:tabs>
          <w:tab w:val="num" w:leader="none" w:pos="0"/>
        </w:tabs>
        <w:spacing/>
        <w:ind w:hanging="720" w:left="720"/>
      </w:pPr>
      <w:rPr>
        <w:b/>
        <w:i w:val="0"/>
        <w:color w:val="000000"/>
        <w:u w:val="none"/>
      </w:rPr>
      <w:start w:val="1"/>
      <w:suff w:val="tab"/>
    </w:lvl>
    <w:lvl w:ilvl="2">
      <w:isLgl w:val="false"/>
      <w:lvlJc w:val="left"/>
      <w:lvlText w:val="%1.%2.%3."/>
      <w:numFmt w:val="decimal"/>
      <w:pPr>
        <w:pBdr/>
        <w:tabs>
          <w:tab w:val="num" w:leader="none" w:pos="0"/>
        </w:tabs>
        <w:spacing/>
        <w:ind w:hanging="720" w:left="720"/>
      </w:pPr>
      <w:rPr>
        <w:b/>
        <w:i w:val="0"/>
        <w:u w:val="none"/>
      </w:rPr>
      <w:start w:val="1"/>
      <w:suff w:val="tab"/>
    </w:lvl>
    <w:lvl w:ilvl="3">
      <w:isLgl w:val="false"/>
      <w:lvlJc w:val="left"/>
      <w:lvlText w:val="%1.%2.%3.%4."/>
      <w:numFmt w:val="decimal"/>
      <w:pPr>
        <w:pBdr/>
        <w:tabs>
          <w:tab w:val="num" w:leader="none" w:pos="0"/>
        </w:tabs>
        <w:spacing/>
        <w:ind w:hanging="1080" w:left="1080"/>
      </w:pPr>
      <w:rPr>
        <w:b/>
        <w:u w:val="none"/>
      </w:rPr>
      <w:start w:val="1"/>
      <w:suff w:val="tab"/>
    </w:lvl>
    <w:lvl w:ilvl="4">
      <w:isLgl w:val="false"/>
      <w:lvlJc w:val="left"/>
      <w:lvlText w:val="%1.%2.%3.%4.%5."/>
      <w:numFmt w:val="decimal"/>
      <w:pPr>
        <w:pBdr/>
        <w:tabs>
          <w:tab w:val="num" w:leader="none" w:pos="0"/>
        </w:tabs>
        <w:spacing/>
        <w:ind w:hanging="1080" w:left="1080"/>
      </w:pPr>
      <w:rPr>
        <w:b/>
        <w:u w:val="none"/>
      </w:rPr>
      <w:start w:val="1"/>
      <w:suff w:val="tab"/>
    </w:lvl>
    <w:lvl w:ilvl="5">
      <w:isLgl w:val="false"/>
      <w:lvlJc w:val="left"/>
      <w:lvlText w:val="%1.%2.%3.%4.%5.%6."/>
      <w:numFmt w:val="decimal"/>
      <w:pPr>
        <w:pBdr/>
        <w:tabs>
          <w:tab w:val="num" w:leader="none" w:pos="0"/>
        </w:tabs>
        <w:spacing/>
        <w:ind w:hanging="1440" w:left="1440"/>
      </w:pPr>
      <w:rPr>
        <w:b w:val="0"/>
        <w:u w:val="none"/>
      </w:rPr>
      <w:start w:val="1"/>
      <w:suff w:val="tab"/>
    </w:lvl>
    <w:lvl w:ilvl="6">
      <w:isLgl w:val="false"/>
      <w:lvlJc w:val="left"/>
      <w:lvlText w:val="%1.%2.%3.%4.%5.%6.%7."/>
      <w:numFmt w:val="decimal"/>
      <w:pPr>
        <w:pBdr/>
        <w:tabs>
          <w:tab w:val="num" w:leader="none" w:pos="0"/>
        </w:tabs>
        <w:spacing/>
        <w:ind w:hanging="1440" w:left="1440"/>
      </w:pPr>
      <w:rPr>
        <w:b w:val="0"/>
        <w:u w:val="none"/>
      </w:rPr>
      <w:start w:val="1"/>
      <w:suff w:val="tab"/>
    </w:lvl>
    <w:lvl w:ilvl="7">
      <w:isLgl w:val="false"/>
      <w:lvlJc w:val="left"/>
      <w:lvlText w:val="%1.%2.%3.%4.%5.%6.%7.%8."/>
      <w:numFmt w:val="decimal"/>
      <w:pPr>
        <w:pBdr/>
        <w:tabs>
          <w:tab w:val="num" w:leader="none" w:pos="0"/>
        </w:tabs>
        <w:spacing/>
        <w:ind w:hanging="1800" w:left="1800"/>
      </w:pPr>
      <w:rPr>
        <w:b w:val="0"/>
        <w:u w:val="none"/>
      </w:rPr>
      <w:start w:val="1"/>
      <w:suff w:val="tab"/>
    </w:lvl>
    <w:lvl w:ilvl="8">
      <w:isLgl w:val="false"/>
      <w:lvlJc w:val="left"/>
      <w:lvlText w:val="%1.%2.%3.%4.%5.%6.%7.%8.%9."/>
      <w:numFmt w:val="decimal"/>
      <w:pPr>
        <w:pBdr/>
        <w:tabs>
          <w:tab w:val="num" w:leader="none" w:pos="0"/>
        </w:tabs>
        <w:spacing/>
        <w:ind w:hanging="2160" w:left="2160"/>
      </w:pPr>
      <w:rPr>
        <w:b w:val="0"/>
        <w:u w:val="none"/>
      </w:rPr>
      <w:start w:val="1"/>
      <w:suff w:val="tab"/>
    </w:lvl>
  </w:abstractNum>
  <w:abstractNum w:abstractNumId="10">
    <w:nsid w:val="157018B4"/>
    <w:lvl w:ilvl="0">
      <w:isLgl w:val="false"/>
      <w:lvlJc w:val="right"/>
      <w:lvlText w:val="%1."/>
      <w:numFmt w:val="lowerRoman"/>
      <w:pPr>
        <w:pBdr/>
        <w:spacing/>
        <w:ind w:hanging="360" w:left="1287"/>
      </w:pPr>
      <w:rPr/>
      <w:start w:val="1"/>
      <w:suff w:val="tab"/>
    </w:lvl>
    <w:lvl w:ilvl="1">
      <w:isLgl w:val="false"/>
      <w:lvlJc w:val="left"/>
      <w:lvlText w:val="%2."/>
      <w:numFmt w:val="decimal"/>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11">
    <w:nsid w:val="1D5C100D"/>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999"/>
      </w:pPr>
      <w:pStyle w:val="1142"/>
      <w:rPr>
        <w:b/>
        <w:i w:val="0"/>
        <w:strike w:val="0"/>
        <w:color w:val="auto"/>
        <w:sz w:val="24"/>
        <w:szCs w:val="24"/>
        <w:u w:val="none"/>
      </w:rPr>
      <w:start w:val="1"/>
      <w:suff w:val="tab"/>
    </w:lvl>
    <w:lvl w:ilvl="2">
      <w:isLgl w:val="false"/>
      <w:lvlJc w:val="left"/>
      <w:lvlText w:val="%1.%2.%3."/>
      <w:numFmt w:val="decimal"/>
      <w:pPr>
        <w:pBdr/>
        <w:spacing/>
        <w:ind w:hanging="504" w:left="1638"/>
      </w:pPr>
      <w:pStyle w:val="1143"/>
      <w:rPr>
        <w:rFonts w:hint="default" w:ascii="Arial" w:hAnsi="Arial"/>
        <w:b/>
        <w:i w:val="0"/>
        <w:strike w:val="0"/>
        <w:color w:val="auto"/>
        <w:sz w:val="24"/>
        <w:szCs w:val="24"/>
      </w:rPr>
      <w:start w:val="1"/>
      <w:suff w:val="tab"/>
    </w:lvl>
    <w:lvl w:ilvl="3">
      <w:isLgl w:val="false"/>
      <w:lvlJc w:val="left"/>
      <w:lvlText w:val="%1.%2.%3.%4."/>
      <w:numFmt w:val="decimal"/>
      <w:pPr>
        <w:pBdr/>
        <w:spacing/>
        <w:ind w:hanging="648" w:left="2491"/>
      </w:pPr>
      <w:pStyle w:val="1144"/>
      <w:rPr>
        <w:b/>
        <w:sz w:val="24"/>
        <w:szCs w:val="24"/>
      </w:rPr>
      <w:start w:val="1"/>
      <w:suff w:val="tab"/>
    </w:lvl>
    <w:lvl w:ilvl="4">
      <w:isLgl w:val="false"/>
      <w:lvlJc w:val="left"/>
      <w:lvlText w:val="%1.%2.%3.%4.%5."/>
      <w:numFmt w:val="decimal"/>
      <w:pPr>
        <w:pBdr/>
        <w:spacing/>
        <w:ind w:hanging="792" w:left="2232"/>
      </w:pPr>
      <w:pStyle w:val="1145"/>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2">
    <w:nsid w:val="1E0D7D88"/>
    <w:lvl w:ilvl="0">
      <w:isLgl w:val="false"/>
      <w:lvlJc w:val="left"/>
      <w:lvlText w:val="%1."/>
      <w:numFmt w:val="decimal"/>
      <w:pPr>
        <w:pBdr/>
        <w:spacing/>
        <w:ind w:hanging="390" w:left="390"/>
      </w:pPr>
      <w:pStyle w:val="1164"/>
      <w:rPr>
        <w:rFonts w:hint="default"/>
        <w:b/>
        <w:color w:val="auto"/>
      </w:rPr>
      <w:start w:val="9"/>
      <w:suff w:val="tab"/>
    </w:lvl>
    <w:lvl w:ilvl="1">
      <w:isLgl w:val="false"/>
      <w:lvlJc w:val="left"/>
      <w:lvlText w:val="%1.%2."/>
      <w:numFmt w:val="decimal"/>
      <w:pPr>
        <w:pBdr/>
        <w:spacing/>
        <w:ind w:hanging="720" w:left="720"/>
      </w:pPr>
      <w:rPr>
        <w:rFonts w:hint="default"/>
        <w:b/>
        <w:i w:val="0"/>
        <w:color w:val="auto"/>
      </w:rPr>
      <w:start w:val="1"/>
      <w:suff w:val="tab"/>
    </w:lvl>
    <w:lvl w:ilvl="2">
      <w:isLgl w:val="false"/>
      <w:lvlJc w:val="left"/>
      <w:lvlText w:val="%1.%2.%3."/>
      <w:numFmt w:val="decimal"/>
      <w:pPr>
        <w:pBdr/>
        <w:spacing/>
        <w:ind w:hanging="720" w:left="720"/>
      </w:pPr>
      <w:pStyle w:val="1164"/>
      <w:rPr>
        <w:rFonts w:hint="default"/>
        <w:b/>
        <w:i w:val="0"/>
      </w:rPr>
      <w:start w:val="1"/>
      <w:suff w:val="tab"/>
    </w:lvl>
    <w:lvl w:ilvl="3">
      <w:isLgl w:val="false"/>
      <w:lvlJc w:val="left"/>
      <w:lvlText w:val="%1.%2.%3.%4."/>
      <w:numFmt w:val="decimal"/>
      <w:pPr>
        <w:pBdr/>
        <w:spacing/>
        <w:ind w:hanging="1080" w:left="1080"/>
      </w:pPr>
      <w:rPr>
        <w:rFonts w:hint="default"/>
        <w:b/>
      </w:rPr>
      <w:start w:val="1"/>
      <w:suff w:val="tab"/>
    </w:lvl>
    <w:lvl w:ilvl="4">
      <w:isLgl w:val="false"/>
      <w:lvlJc w:val="left"/>
      <w:lvlText w:val="%1.%2.%3.%4.%5."/>
      <w:numFmt w:val="decimal"/>
      <w:pPr>
        <w:pBdr/>
        <w:spacing/>
        <w:ind w:hanging="1080" w:left="1080"/>
      </w:pPr>
      <w:rPr>
        <w:rFonts w:hint="default"/>
        <w:b/>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2160" w:left="2160"/>
      </w:pPr>
      <w:rPr>
        <w:rFonts w:hint="default"/>
      </w:rPr>
      <w:start w:val="1"/>
      <w:suff w:val="tab"/>
    </w:lvl>
  </w:abstractNum>
  <w:abstractNum w:abstractNumId="13">
    <w:nsid w:val="1E2A55F7"/>
    <w:lvl w:ilvl="0">
      <w:isLgl w:val="false"/>
      <w:lvlJc w:val="left"/>
      <w:lvlText w:val="%1."/>
      <w:numFmt w:val="decimal"/>
      <w:pPr>
        <w:pBdr/>
        <w:spacing/>
        <w:ind w:hanging="390" w:left="390"/>
      </w:pPr>
      <w:rPr>
        <w:rFonts w:hint="default"/>
        <w:u w:val="none"/>
      </w:rPr>
      <w:start w:val="3"/>
      <w:suff w:val="tab"/>
    </w:lvl>
    <w:lvl w:ilvl="1">
      <w:isLgl w:val="false"/>
      <w:lvlJc w:val="left"/>
      <w:lvlText w:val="%1.%2."/>
      <w:numFmt w:val="decimal"/>
      <w:pPr>
        <w:pBdr/>
        <w:spacing/>
        <w:ind w:hanging="720" w:left="720"/>
      </w:pPr>
      <w:rPr>
        <w:rFonts w:hint="default"/>
        <w:b/>
        <w:u w:val="none"/>
      </w:rPr>
      <w:start w:val="1"/>
      <w:suff w:val="tab"/>
    </w:lvl>
    <w:lvl w:ilvl="2">
      <w:isLgl w:val="false"/>
      <w:lvlJc w:val="left"/>
      <w:lvlText w:val="%1.%2.%3."/>
      <w:numFmt w:val="decimal"/>
      <w:pPr>
        <w:pBdr/>
        <w:spacing/>
        <w:ind w:hanging="720" w:left="720"/>
      </w:pPr>
      <w:rPr>
        <w:rFonts w:hint="default"/>
        <w:u w:val="none"/>
      </w:rPr>
      <w:start w:val="1"/>
      <w:suff w:val="tab"/>
    </w:lvl>
    <w:lvl w:ilvl="3">
      <w:isLgl w:val="false"/>
      <w:lvlJc w:val="left"/>
      <w:lvlText w:val="%1.%2.%3.%4."/>
      <w:numFmt w:val="decimal"/>
      <w:pPr>
        <w:pBdr/>
        <w:spacing/>
        <w:ind w:hanging="1080" w:left="1080"/>
      </w:pPr>
      <w:rPr>
        <w:rFonts w:hint="default"/>
        <w:u w:val="none"/>
      </w:rPr>
      <w:start w:val="1"/>
      <w:suff w:val="tab"/>
    </w:lvl>
    <w:lvl w:ilvl="4">
      <w:isLgl w:val="false"/>
      <w:lvlJc w:val="left"/>
      <w:lvlText w:val="%1.%2.%3.%4.%5."/>
      <w:numFmt w:val="decimal"/>
      <w:pPr>
        <w:pBdr/>
        <w:spacing/>
        <w:ind w:hanging="1080" w:left="1080"/>
      </w:pPr>
      <w:rPr>
        <w:rFonts w:hint="default"/>
        <w:u w:val="none"/>
      </w:rPr>
      <w:start w:val="1"/>
      <w:suff w:val="tab"/>
    </w:lvl>
    <w:lvl w:ilvl="5">
      <w:isLgl w:val="false"/>
      <w:lvlJc w:val="left"/>
      <w:lvlText w:val="%1.%2.%3.%4.%5.%6."/>
      <w:numFmt w:val="decimal"/>
      <w:pPr>
        <w:pBdr/>
        <w:spacing/>
        <w:ind w:hanging="1440" w:left="1440"/>
      </w:pPr>
      <w:rPr>
        <w:rFonts w:hint="default"/>
        <w:u w:val="none"/>
      </w:rPr>
      <w:start w:val="1"/>
      <w:suff w:val="tab"/>
    </w:lvl>
    <w:lvl w:ilvl="6">
      <w:isLgl w:val="false"/>
      <w:lvlJc w:val="left"/>
      <w:lvlText w:val="%1.%2.%3.%4.%5.%6.%7."/>
      <w:numFmt w:val="decimal"/>
      <w:pPr>
        <w:pBdr/>
        <w:spacing/>
        <w:ind w:hanging="1440" w:left="1440"/>
      </w:pPr>
      <w:rPr>
        <w:rFonts w:hint="default"/>
        <w:u w:val="none"/>
      </w:rPr>
      <w:start w:val="1"/>
      <w:suff w:val="tab"/>
    </w:lvl>
    <w:lvl w:ilvl="7">
      <w:isLgl w:val="false"/>
      <w:lvlJc w:val="left"/>
      <w:lvlText w:val="%1.%2.%3.%4.%5.%6.%7.%8."/>
      <w:numFmt w:val="decimal"/>
      <w:pPr>
        <w:pBdr/>
        <w:spacing/>
        <w:ind w:hanging="1800" w:left="1800"/>
      </w:pPr>
      <w:rPr>
        <w:rFonts w:hint="default"/>
        <w:u w:val="none"/>
      </w:rPr>
      <w:start w:val="1"/>
      <w:suff w:val="tab"/>
    </w:lvl>
    <w:lvl w:ilvl="8">
      <w:isLgl w:val="false"/>
      <w:lvlJc w:val="left"/>
      <w:lvlText w:val="%1.%2.%3.%4.%5.%6.%7.%8.%9."/>
      <w:numFmt w:val="decimal"/>
      <w:pPr>
        <w:pBdr/>
        <w:spacing/>
        <w:ind w:hanging="2160" w:left="2160"/>
      </w:pPr>
      <w:rPr>
        <w:rFonts w:hint="default"/>
        <w:u w:val="none"/>
      </w:rPr>
      <w:start w:val="1"/>
      <w:suff w:val="tab"/>
    </w:lvl>
  </w:abstractNum>
  <w:abstractNum w:abstractNumId="14">
    <w:nsid w:val="2D48589E"/>
    <w:lvl w:ilvl="0">
      <w:isLgl w:val="false"/>
      <w:lvlJc w:val="left"/>
      <w:lvlText w:val="%1."/>
      <w:numFmt w:val="decimal"/>
      <w:pPr>
        <w:pBdr/>
        <w:spacing/>
        <w:ind w:hanging="390" w:left="390"/>
      </w:pPr>
      <w:rPr>
        <w:rFonts w:hint="default" w:eastAsia="Century Gothic"/>
        <w:b w:val="0"/>
        <w:u w:val="none"/>
      </w:rPr>
      <w:start w:val="5"/>
      <w:suff w:val="tab"/>
    </w:lvl>
    <w:lvl w:ilvl="1">
      <w:isLgl w:val="false"/>
      <w:lvlJc w:val="left"/>
      <w:lvlText w:val="%1.%2."/>
      <w:numFmt w:val="decimal"/>
      <w:pPr>
        <w:pBdr/>
        <w:spacing/>
        <w:ind w:hanging="720" w:left="720"/>
      </w:pPr>
      <w:rPr>
        <w:rFonts w:hint="default" w:eastAsia="Century Gothic"/>
        <w:b/>
        <w:u w:val="none"/>
      </w:rPr>
      <w:start w:val="1"/>
      <w:suff w:val="tab"/>
    </w:lvl>
    <w:lvl w:ilvl="2">
      <w:isLgl w:val="false"/>
      <w:lvlJc w:val="left"/>
      <w:lvlText w:val="%1.%2.%3."/>
      <w:numFmt w:val="decimal"/>
      <w:pPr>
        <w:pBdr/>
        <w:spacing/>
        <w:ind w:hanging="720" w:left="720"/>
      </w:pPr>
      <w:rPr>
        <w:rFonts w:hint="default" w:eastAsia="Century Gothic"/>
        <w:b w:val="0"/>
        <w:u w:val="none"/>
      </w:rPr>
      <w:start w:val="1"/>
      <w:suff w:val="tab"/>
    </w:lvl>
    <w:lvl w:ilvl="3">
      <w:isLgl w:val="false"/>
      <w:lvlJc w:val="left"/>
      <w:lvlText w:val="%1.%2.%3.%4."/>
      <w:numFmt w:val="decimal"/>
      <w:pPr>
        <w:pBdr/>
        <w:spacing/>
        <w:ind w:hanging="1080" w:left="1080"/>
      </w:pPr>
      <w:rPr>
        <w:rFonts w:hint="default" w:eastAsia="Century Gothic"/>
        <w:b w:val="0"/>
        <w:u w:val="none"/>
      </w:rPr>
      <w:start w:val="1"/>
      <w:suff w:val="tab"/>
    </w:lvl>
    <w:lvl w:ilvl="4">
      <w:isLgl w:val="false"/>
      <w:lvlJc w:val="left"/>
      <w:lvlText w:val="%1.%2.%3.%4.%5."/>
      <w:numFmt w:val="decimal"/>
      <w:pPr>
        <w:pBdr/>
        <w:spacing/>
        <w:ind w:hanging="1080" w:left="1080"/>
      </w:pPr>
      <w:rPr>
        <w:rFonts w:hint="default" w:eastAsia="Century Gothic"/>
        <w:b w:val="0"/>
        <w:u w:val="none"/>
      </w:rPr>
      <w:start w:val="1"/>
      <w:suff w:val="tab"/>
    </w:lvl>
    <w:lvl w:ilvl="5">
      <w:isLgl w:val="false"/>
      <w:lvlJc w:val="left"/>
      <w:lvlText w:val="%1.%2.%3.%4.%5.%6."/>
      <w:numFmt w:val="decimal"/>
      <w:pPr>
        <w:pBdr/>
        <w:spacing/>
        <w:ind w:hanging="1440" w:left="1440"/>
      </w:pPr>
      <w:rPr>
        <w:rFonts w:hint="default" w:eastAsia="Century Gothic"/>
        <w:b w:val="0"/>
        <w:u w:val="none"/>
      </w:rPr>
      <w:start w:val="1"/>
      <w:suff w:val="tab"/>
    </w:lvl>
    <w:lvl w:ilvl="6">
      <w:isLgl w:val="false"/>
      <w:lvlJc w:val="left"/>
      <w:lvlText w:val="%1.%2.%3.%4.%5.%6.%7."/>
      <w:numFmt w:val="decimal"/>
      <w:pPr>
        <w:pBdr/>
        <w:spacing/>
        <w:ind w:hanging="1440" w:left="1440"/>
      </w:pPr>
      <w:rPr>
        <w:rFonts w:hint="default" w:eastAsia="Century Gothic"/>
        <w:b w:val="0"/>
        <w:u w:val="none"/>
      </w:rPr>
      <w:start w:val="1"/>
      <w:suff w:val="tab"/>
    </w:lvl>
    <w:lvl w:ilvl="7">
      <w:isLgl w:val="false"/>
      <w:lvlJc w:val="left"/>
      <w:lvlText w:val="%1.%2.%3.%4.%5.%6.%7.%8."/>
      <w:numFmt w:val="decimal"/>
      <w:pPr>
        <w:pBdr/>
        <w:spacing/>
        <w:ind w:hanging="1800" w:left="1800"/>
      </w:pPr>
      <w:rPr>
        <w:rFonts w:hint="default" w:eastAsia="Century Gothic"/>
        <w:b w:val="0"/>
        <w:u w:val="none"/>
      </w:rPr>
      <w:start w:val="1"/>
      <w:suff w:val="tab"/>
    </w:lvl>
    <w:lvl w:ilvl="8">
      <w:isLgl w:val="false"/>
      <w:lvlJc w:val="left"/>
      <w:lvlText w:val="%1.%2.%3.%4.%5.%6.%7.%8.%9."/>
      <w:numFmt w:val="decimal"/>
      <w:pPr>
        <w:pBdr/>
        <w:spacing/>
        <w:ind w:hanging="2160" w:left="2160"/>
      </w:pPr>
      <w:rPr>
        <w:rFonts w:hint="default" w:eastAsia="Century Gothic"/>
        <w:b w:val="0"/>
        <w:u w:val="none"/>
      </w:rPr>
      <w:start w:val="1"/>
      <w:suff w:val="tab"/>
    </w:lvl>
  </w:abstractNum>
  <w:abstractNum w:abstractNumId="15">
    <w:nsid w:val="2DEF68A4"/>
    <w:lvl w:ilvl="0">
      <w:isLgl w:val="false"/>
      <w:lvlJc w:val="left"/>
      <w:lvlText w:val="%1-"/>
      <w:numFmt w:val="decimal"/>
      <w:pPr>
        <w:pBdr/>
        <w:tabs>
          <w:tab w:val="num" w:leader="none" w:pos="0"/>
        </w:tabs>
        <w:spacing/>
        <w:ind w:hanging="360" w:left="644"/>
      </w:pPr>
      <w:rPr>
        <w:b/>
      </w:rPr>
      <w:start w:val="1"/>
      <w:suff w:val="tab"/>
    </w:lvl>
    <w:lvl w:ilvl="1">
      <w:isLgl w:val="false"/>
      <w:lvlJc w:val="left"/>
      <w:lvlText w:val="%2."/>
      <w:numFmt w:val="lowerLetter"/>
      <w:pPr>
        <w:pBdr/>
        <w:tabs>
          <w:tab w:val="num" w:leader="none" w:pos="0"/>
        </w:tabs>
        <w:spacing/>
        <w:ind w:hanging="360" w:left="1647"/>
      </w:pPr>
      <w:rPr/>
      <w:start w:val="1"/>
      <w:suff w:val="tab"/>
    </w:lvl>
    <w:lvl w:ilvl="2">
      <w:isLgl w:val="false"/>
      <w:lvlJc w:val="right"/>
      <w:lvlText w:val="%3."/>
      <w:numFmt w:val="lowerRoman"/>
      <w:pPr>
        <w:pBdr/>
        <w:tabs>
          <w:tab w:val="num" w:leader="none" w:pos="0"/>
        </w:tabs>
        <w:spacing/>
        <w:ind w:hanging="180" w:left="2367"/>
      </w:pPr>
      <w:rPr/>
      <w:start w:val="1"/>
      <w:suff w:val="tab"/>
    </w:lvl>
    <w:lvl w:ilvl="3">
      <w:isLgl w:val="false"/>
      <w:lvlJc w:val="left"/>
      <w:lvlText w:val="%4."/>
      <w:numFmt w:val="decimal"/>
      <w:pPr>
        <w:pBdr/>
        <w:tabs>
          <w:tab w:val="num" w:leader="none" w:pos="0"/>
        </w:tabs>
        <w:spacing/>
        <w:ind w:hanging="360" w:left="3087"/>
      </w:pPr>
      <w:rPr/>
      <w:start w:val="1"/>
      <w:suff w:val="tab"/>
    </w:lvl>
    <w:lvl w:ilvl="4">
      <w:isLgl w:val="false"/>
      <w:lvlJc w:val="left"/>
      <w:lvlText w:val="%5."/>
      <w:numFmt w:val="lowerLetter"/>
      <w:pPr>
        <w:pBdr/>
        <w:tabs>
          <w:tab w:val="num" w:leader="none" w:pos="0"/>
        </w:tabs>
        <w:spacing/>
        <w:ind w:hanging="360" w:left="3807"/>
      </w:pPr>
      <w:rPr/>
      <w:start w:val="1"/>
      <w:suff w:val="tab"/>
    </w:lvl>
    <w:lvl w:ilvl="5">
      <w:isLgl w:val="false"/>
      <w:lvlJc w:val="right"/>
      <w:lvlText w:val="%6."/>
      <w:numFmt w:val="lowerRoman"/>
      <w:pPr>
        <w:pBdr/>
        <w:tabs>
          <w:tab w:val="num" w:leader="none" w:pos="0"/>
        </w:tabs>
        <w:spacing/>
        <w:ind w:hanging="180" w:left="4527"/>
      </w:pPr>
      <w:rPr/>
      <w:start w:val="1"/>
      <w:suff w:val="tab"/>
    </w:lvl>
    <w:lvl w:ilvl="6">
      <w:isLgl w:val="false"/>
      <w:lvlJc w:val="left"/>
      <w:lvlText w:val="%7."/>
      <w:numFmt w:val="decimal"/>
      <w:pPr>
        <w:pBdr/>
        <w:tabs>
          <w:tab w:val="num" w:leader="none" w:pos="0"/>
        </w:tabs>
        <w:spacing/>
        <w:ind w:hanging="360" w:left="5247"/>
      </w:pPr>
      <w:rPr/>
      <w:start w:val="1"/>
      <w:suff w:val="tab"/>
    </w:lvl>
    <w:lvl w:ilvl="7">
      <w:isLgl w:val="false"/>
      <w:lvlJc w:val="left"/>
      <w:lvlText w:val="%8."/>
      <w:numFmt w:val="lowerLetter"/>
      <w:pPr>
        <w:pBdr/>
        <w:tabs>
          <w:tab w:val="num" w:leader="none" w:pos="0"/>
        </w:tabs>
        <w:spacing/>
        <w:ind w:hanging="360" w:left="5967"/>
      </w:pPr>
      <w:rPr/>
      <w:start w:val="1"/>
      <w:suff w:val="tab"/>
    </w:lvl>
    <w:lvl w:ilvl="8">
      <w:isLgl w:val="false"/>
      <w:lvlJc w:val="right"/>
      <w:lvlText w:val="%9."/>
      <w:numFmt w:val="lowerRoman"/>
      <w:pPr>
        <w:pBdr/>
        <w:tabs>
          <w:tab w:val="num" w:leader="none" w:pos="0"/>
        </w:tabs>
        <w:spacing/>
        <w:ind w:hanging="180" w:left="6687"/>
      </w:pPr>
      <w:rPr/>
      <w:start w:val="1"/>
      <w:suff w:val="tab"/>
    </w:lvl>
  </w:abstractNum>
  <w:abstractNum w:abstractNumId="16">
    <w:nsid w:val="3120622F"/>
    <w:lvl w:ilvl="0">
      <w:isLgl w:val="false"/>
      <w:lvlJc w:val="left"/>
      <w:lvlText w:val="%1"/>
      <w:numFmt w:val="decimal"/>
      <w:pPr>
        <w:pBdr/>
        <w:tabs>
          <w:tab w:val="num" w:leader="none" w:pos="0"/>
        </w:tabs>
        <w:spacing/>
        <w:ind w:hanging="360" w:left="720"/>
      </w:pPr>
      <w:rPr/>
      <w:start w:val="16"/>
      <w:suff w:val="tab"/>
    </w:lvl>
    <w:lvl w:ilvl="1">
      <w:isLgl w:val="false"/>
      <w:lvlJc w:val="left"/>
      <w:lvlText w:val="%2."/>
      <w:numFmt w:val="lowerLetter"/>
      <w:pPr>
        <w:pBdr/>
        <w:tabs>
          <w:tab w:val="num" w:leader="none" w:pos="0"/>
        </w:tabs>
        <w:spacing/>
        <w:ind w:hanging="360" w:left="1440"/>
      </w:pPr>
      <w:rPr>
        <w:b/>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17">
    <w:nsid w:val="3A632D7C"/>
    <w:lvl w:ilvl="0">
      <w:isLgl w:val="false"/>
      <w:lvlJc w:val="left"/>
      <w:lvlText w:val="%1."/>
      <w:numFmt w:val="decimal"/>
      <w:pPr>
        <w:pBdr/>
        <w:tabs>
          <w:tab w:val="num" w:leader="none" w:pos="0"/>
        </w:tabs>
        <w:spacing/>
        <w:ind w:hanging="390" w:left="390"/>
      </w:pPr>
      <w:rPr>
        <w:b/>
        <w:color w:val="auto"/>
        <w:u w:val="none"/>
      </w:rPr>
      <w:start w:val="7"/>
      <w:suff w:val="tab"/>
    </w:lvl>
    <w:lvl w:ilvl="1">
      <w:isLgl w:val="false"/>
      <w:lvlJc w:val="left"/>
      <w:lvlText w:val="%1.%2."/>
      <w:numFmt w:val="decimal"/>
      <w:pPr>
        <w:pBdr/>
        <w:tabs>
          <w:tab w:val="num" w:leader="none" w:pos="0"/>
        </w:tabs>
        <w:spacing/>
        <w:ind w:hanging="720" w:left="720"/>
      </w:pPr>
      <w:rPr>
        <w:b/>
        <w:i w:val="0"/>
        <w:color w:val="auto"/>
        <w:u w:val="none"/>
      </w:rPr>
      <w:start w:val="1"/>
      <w:suff w:val="tab"/>
    </w:lvl>
    <w:lvl w:ilvl="2">
      <w:isLgl w:val="false"/>
      <w:lvlJc w:val="left"/>
      <w:lvlText w:val="%1.%2.%3."/>
      <w:numFmt w:val="decimal"/>
      <w:pPr>
        <w:pBdr/>
        <w:tabs>
          <w:tab w:val="num" w:leader="none" w:pos="0"/>
        </w:tabs>
        <w:spacing/>
        <w:ind w:hanging="720" w:left="720"/>
      </w:pPr>
      <w:rPr>
        <w:b/>
        <w:i w:val="0"/>
        <w:u w:val="none"/>
      </w:rPr>
      <w:start w:val="1"/>
      <w:suff w:val="tab"/>
    </w:lvl>
    <w:lvl w:ilvl="3">
      <w:isLgl w:val="false"/>
      <w:lvlJc w:val="left"/>
      <w:lvlText w:val="%1.%2.%3.%4."/>
      <w:numFmt w:val="decimal"/>
      <w:pPr>
        <w:pBdr/>
        <w:tabs>
          <w:tab w:val="num" w:leader="none" w:pos="0"/>
        </w:tabs>
        <w:spacing/>
        <w:ind w:hanging="1080" w:left="1080"/>
      </w:pPr>
      <w:rPr>
        <w:b/>
        <w:u w:val="none"/>
      </w:rPr>
      <w:start w:val="1"/>
      <w:suff w:val="tab"/>
    </w:lvl>
    <w:lvl w:ilvl="4">
      <w:isLgl w:val="false"/>
      <w:lvlJc w:val="left"/>
      <w:lvlText w:val="%1.%2.%3.%4.%5."/>
      <w:numFmt w:val="decimal"/>
      <w:pPr>
        <w:pBdr/>
        <w:tabs>
          <w:tab w:val="num" w:leader="none" w:pos="0"/>
        </w:tabs>
        <w:spacing/>
        <w:ind w:hanging="1080" w:left="1080"/>
      </w:pPr>
      <w:rPr>
        <w:b/>
        <w:u w:val="none"/>
      </w:rPr>
      <w:start w:val="1"/>
      <w:suff w:val="tab"/>
    </w:lvl>
    <w:lvl w:ilvl="5">
      <w:isLgl w:val="false"/>
      <w:lvlJc w:val="left"/>
      <w:lvlText w:val="%1.%2.%3.%4.%5.%6."/>
      <w:numFmt w:val="decimal"/>
      <w:pPr>
        <w:pBdr/>
        <w:tabs>
          <w:tab w:val="num" w:leader="none" w:pos="0"/>
        </w:tabs>
        <w:spacing/>
        <w:ind w:hanging="1440" w:left="1440"/>
      </w:pPr>
      <w:rPr>
        <w:b w:val="0"/>
        <w:u w:val="none"/>
      </w:rPr>
      <w:start w:val="1"/>
      <w:suff w:val="tab"/>
    </w:lvl>
    <w:lvl w:ilvl="6">
      <w:isLgl w:val="false"/>
      <w:lvlJc w:val="left"/>
      <w:lvlText w:val="%1.%2.%3.%4.%5.%6.%7."/>
      <w:numFmt w:val="decimal"/>
      <w:pPr>
        <w:pBdr/>
        <w:tabs>
          <w:tab w:val="num" w:leader="none" w:pos="0"/>
        </w:tabs>
        <w:spacing/>
        <w:ind w:hanging="1440" w:left="1440"/>
      </w:pPr>
      <w:rPr>
        <w:b w:val="0"/>
        <w:u w:val="none"/>
      </w:rPr>
      <w:start w:val="1"/>
      <w:suff w:val="tab"/>
    </w:lvl>
    <w:lvl w:ilvl="7">
      <w:isLgl w:val="false"/>
      <w:lvlJc w:val="left"/>
      <w:lvlText w:val="%1.%2.%3.%4.%5.%6.%7.%8."/>
      <w:numFmt w:val="decimal"/>
      <w:pPr>
        <w:pBdr/>
        <w:tabs>
          <w:tab w:val="num" w:leader="none" w:pos="0"/>
        </w:tabs>
        <w:spacing/>
        <w:ind w:hanging="1800" w:left="1800"/>
      </w:pPr>
      <w:rPr>
        <w:b w:val="0"/>
        <w:u w:val="none"/>
      </w:rPr>
      <w:start w:val="1"/>
      <w:suff w:val="tab"/>
    </w:lvl>
    <w:lvl w:ilvl="8">
      <w:isLgl w:val="false"/>
      <w:lvlJc w:val="left"/>
      <w:lvlText w:val="%1.%2.%3.%4.%5.%6.%7.%8.%9."/>
      <w:numFmt w:val="decimal"/>
      <w:pPr>
        <w:pBdr/>
        <w:tabs>
          <w:tab w:val="num" w:leader="none" w:pos="0"/>
        </w:tabs>
        <w:spacing/>
        <w:ind w:hanging="2160" w:left="2160"/>
      </w:pPr>
      <w:rPr>
        <w:b w:val="0"/>
        <w:u w:val="none"/>
      </w:rPr>
      <w:start w:val="1"/>
      <w:suff w:val="tab"/>
    </w:lvl>
  </w:abstractNum>
  <w:abstractNum w:abstractNumId="18">
    <w:nsid w:val="3A7135AC"/>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432" w:left="792"/>
      </w:pPr>
      <w:rPr>
        <w:rFonts w:hint="default"/>
      </w:rPr>
      <w:start w:val="1"/>
      <w:suff w:val="tab"/>
    </w:lvl>
    <w:lvl w:ilvl="2">
      <w:isLgl w:val="false"/>
      <w:lvlJc w:val="left"/>
      <w:lvlText w:val="%1.%2.%3."/>
      <w:numFmt w:val="decimal"/>
      <w:pPr>
        <w:pBdr/>
        <w:spacing/>
        <w:ind w:hanging="504" w:left="1224"/>
      </w:pPr>
      <w:rPr>
        <w:rFonts w:hint="default"/>
      </w:rPr>
      <w:start w:val="1"/>
      <w:suff w:val="tab"/>
    </w:lvl>
    <w:lvl w:ilvl="3">
      <w:isLgl w:val="false"/>
      <w:lvlJc w:val="left"/>
      <w:lvlText w:val="%1.%2.%3.%4."/>
      <w:numFmt w:val="decimal"/>
      <w:pPr>
        <w:pBdr/>
        <w:spacing/>
        <w:ind w:hanging="648" w:left="1728"/>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19">
    <w:nsid w:val="3DD01DE8"/>
    <w:lvl w:ilvl="0">
      <w:isLgl w:val="false"/>
      <w:lvlJc w:val="left"/>
      <w:lvlText w:val="%1."/>
      <w:numFmt w:val="decimal"/>
      <w:pPr>
        <w:pBdr/>
        <w:spacing/>
        <w:ind w:hanging="390" w:left="390"/>
      </w:pPr>
      <w:rPr>
        <w:rFonts w:hint="default"/>
        <w:b/>
      </w:rPr>
      <w:start w:val="1"/>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1146"/>
      </w:pPr>
      <w:rPr>
        <w:rFonts w:hint="default"/>
        <w:b/>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2160" w:left="2160"/>
      </w:pPr>
      <w:rPr>
        <w:rFonts w:hint="default"/>
      </w:rPr>
      <w:start w:val="1"/>
      <w:suff w:val="tab"/>
    </w:lvl>
  </w:abstractNum>
  <w:abstractNum w:abstractNumId="20">
    <w:nsid w:val="424A5321"/>
    <w:lvl w:ilvl="0">
      <w:isLgl w:val="false"/>
      <w:lvlJc w:val="left"/>
      <w:lvlText w:val="%1."/>
      <w:numFmt w:val="decimal"/>
      <w:pPr>
        <w:pBdr/>
        <w:spacing/>
        <w:ind w:hanging="390" w:left="390"/>
      </w:pPr>
      <w:rPr>
        <w:rFonts w:hint="default" w:cs="Arial"/>
        <w:b w:val="0"/>
        <w:u w:val="none"/>
      </w:rPr>
      <w:start w:val="6"/>
      <w:suff w:val="tab"/>
    </w:lvl>
    <w:lvl w:ilvl="1">
      <w:isLgl w:val="false"/>
      <w:lvlJc w:val="left"/>
      <w:lvlText w:val="%1.%2."/>
      <w:numFmt w:val="decimal"/>
      <w:pPr>
        <w:pBdr/>
        <w:spacing/>
        <w:ind w:hanging="720" w:left="720"/>
      </w:pPr>
      <w:rPr>
        <w:rFonts w:hint="default" w:cs="Arial"/>
        <w:b/>
        <w:u w:val="none"/>
      </w:rPr>
      <w:start w:val="1"/>
      <w:suff w:val="tab"/>
    </w:lvl>
    <w:lvl w:ilvl="2">
      <w:isLgl w:val="false"/>
      <w:lvlJc w:val="left"/>
      <w:lvlText w:val="%1.%2.%3."/>
      <w:numFmt w:val="decimal"/>
      <w:pPr>
        <w:pBdr/>
        <w:spacing/>
        <w:ind w:hanging="720" w:left="720"/>
      </w:pPr>
      <w:rPr>
        <w:rFonts w:hint="default" w:cs="Arial"/>
        <w:b/>
        <w:u w:val="none"/>
      </w:rPr>
      <w:start w:val="1"/>
      <w:suff w:val="tab"/>
    </w:lvl>
    <w:lvl w:ilvl="3">
      <w:isLgl w:val="false"/>
      <w:lvlJc w:val="left"/>
      <w:lvlText w:val="%1.%2.%3.%4."/>
      <w:numFmt w:val="decimal"/>
      <w:pPr>
        <w:pBdr/>
        <w:spacing/>
        <w:ind w:hanging="1080" w:left="1080"/>
      </w:pPr>
      <w:rPr>
        <w:rFonts w:hint="default" w:cs="Arial"/>
        <w:b w:val="0"/>
        <w:u w:val="none"/>
      </w:rPr>
      <w:start w:val="1"/>
      <w:suff w:val="tab"/>
    </w:lvl>
    <w:lvl w:ilvl="4">
      <w:isLgl w:val="false"/>
      <w:lvlJc w:val="left"/>
      <w:lvlText w:val="%1.%2.%3.%4.%5."/>
      <w:numFmt w:val="decimal"/>
      <w:pPr>
        <w:pBdr/>
        <w:spacing/>
        <w:ind w:hanging="1080" w:left="1080"/>
      </w:pPr>
      <w:rPr>
        <w:rFonts w:hint="default" w:cs="Arial"/>
        <w:b w:val="0"/>
        <w:u w:val="none"/>
      </w:rPr>
      <w:start w:val="1"/>
      <w:suff w:val="tab"/>
    </w:lvl>
    <w:lvl w:ilvl="5">
      <w:isLgl w:val="false"/>
      <w:lvlJc w:val="left"/>
      <w:lvlText w:val="%1.%2.%3.%4.%5.%6."/>
      <w:numFmt w:val="decimal"/>
      <w:pPr>
        <w:pBdr/>
        <w:spacing/>
        <w:ind w:hanging="1440" w:left="1440"/>
      </w:pPr>
      <w:rPr>
        <w:rFonts w:hint="default" w:cs="Arial"/>
        <w:b w:val="0"/>
        <w:u w:val="none"/>
      </w:rPr>
      <w:start w:val="1"/>
      <w:suff w:val="tab"/>
    </w:lvl>
    <w:lvl w:ilvl="6">
      <w:isLgl w:val="false"/>
      <w:lvlJc w:val="left"/>
      <w:lvlText w:val="%1.%2.%3.%4.%5.%6.%7."/>
      <w:numFmt w:val="decimal"/>
      <w:pPr>
        <w:pBdr/>
        <w:spacing/>
        <w:ind w:hanging="1440" w:left="1440"/>
      </w:pPr>
      <w:rPr>
        <w:rFonts w:hint="default" w:cs="Arial"/>
        <w:b w:val="0"/>
        <w:u w:val="none"/>
      </w:rPr>
      <w:start w:val="1"/>
      <w:suff w:val="tab"/>
    </w:lvl>
    <w:lvl w:ilvl="7">
      <w:isLgl w:val="false"/>
      <w:lvlJc w:val="left"/>
      <w:lvlText w:val="%1.%2.%3.%4.%5.%6.%7.%8."/>
      <w:numFmt w:val="decimal"/>
      <w:pPr>
        <w:pBdr/>
        <w:spacing/>
        <w:ind w:hanging="1800" w:left="1800"/>
      </w:pPr>
      <w:rPr>
        <w:rFonts w:hint="default" w:cs="Arial"/>
        <w:b w:val="0"/>
        <w:u w:val="none"/>
      </w:rPr>
      <w:start w:val="1"/>
      <w:suff w:val="tab"/>
    </w:lvl>
    <w:lvl w:ilvl="8">
      <w:isLgl w:val="false"/>
      <w:lvlJc w:val="left"/>
      <w:lvlText w:val="%1.%2.%3.%4.%5.%6.%7.%8.%9."/>
      <w:numFmt w:val="decimal"/>
      <w:pPr>
        <w:pBdr/>
        <w:spacing/>
        <w:ind w:hanging="2160" w:left="2160"/>
      </w:pPr>
      <w:rPr>
        <w:rFonts w:hint="default" w:cs="Arial"/>
        <w:b w:val="0"/>
        <w:u w:val="none"/>
      </w:rPr>
      <w:start w:val="1"/>
      <w:suff w:val="tab"/>
    </w:lvl>
  </w:abstractNum>
  <w:abstractNum w:abstractNumId="21">
    <w:nsid w:val="450644BA"/>
    <w:lvl w:ilvl="0">
      <w:isLgl w:val="false"/>
      <w:lvlJc w:val="right"/>
      <w:lvlText w:val="%1."/>
      <w:numFmt w:val="lowerRoman"/>
      <w:pPr>
        <w:pBdr/>
        <w:tabs>
          <w:tab w:val="num" w:leader="none" w:pos="0"/>
        </w:tabs>
        <w:spacing/>
        <w:ind w:hanging="360" w:left="1287"/>
      </w:pPr>
      <w:rPr/>
      <w:start w:val="1"/>
      <w:suff w:val="tab"/>
    </w:lvl>
    <w:lvl w:ilvl="1">
      <w:isLgl w:val="false"/>
      <w:lvlJc w:val="left"/>
      <w:lvlText w:val="%2."/>
      <w:numFmt w:val="decimal"/>
      <w:pPr>
        <w:pBdr/>
        <w:tabs>
          <w:tab w:val="num" w:leader="none" w:pos="0"/>
        </w:tabs>
        <w:spacing/>
        <w:ind w:hanging="360" w:left="2007"/>
      </w:pPr>
      <w:rPr/>
      <w:start w:val="1"/>
      <w:suff w:val="tab"/>
    </w:lvl>
    <w:lvl w:ilvl="2">
      <w:isLgl w:val="false"/>
      <w:lvlJc w:val="right"/>
      <w:lvlText w:val="%3."/>
      <w:numFmt w:val="lowerRoman"/>
      <w:pPr>
        <w:pBdr/>
        <w:tabs>
          <w:tab w:val="num" w:leader="none" w:pos="0"/>
        </w:tabs>
        <w:spacing/>
        <w:ind w:hanging="180" w:left="2727"/>
      </w:pPr>
      <w:rPr/>
      <w:start w:val="1"/>
      <w:suff w:val="tab"/>
    </w:lvl>
    <w:lvl w:ilvl="3">
      <w:isLgl w:val="false"/>
      <w:lvlJc w:val="left"/>
      <w:lvlText w:val="%4."/>
      <w:numFmt w:val="decimal"/>
      <w:pPr>
        <w:pBdr/>
        <w:tabs>
          <w:tab w:val="num" w:leader="none" w:pos="0"/>
        </w:tabs>
        <w:spacing/>
        <w:ind w:hanging="360" w:left="3447"/>
      </w:pPr>
      <w:rPr/>
      <w:start w:val="1"/>
      <w:suff w:val="tab"/>
    </w:lvl>
    <w:lvl w:ilvl="4">
      <w:isLgl w:val="false"/>
      <w:lvlJc w:val="left"/>
      <w:lvlText w:val="%5."/>
      <w:numFmt w:val="lowerLetter"/>
      <w:pPr>
        <w:pBdr/>
        <w:tabs>
          <w:tab w:val="num" w:leader="none" w:pos="0"/>
        </w:tabs>
        <w:spacing/>
        <w:ind w:hanging="360" w:left="4167"/>
      </w:pPr>
      <w:rPr/>
      <w:start w:val="1"/>
      <w:suff w:val="tab"/>
    </w:lvl>
    <w:lvl w:ilvl="5">
      <w:isLgl w:val="false"/>
      <w:lvlJc w:val="right"/>
      <w:lvlText w:val="%6."/>
      <w:numFmt w:val="lowerRoman"/>
      <w:pPr>
        <w:pBdr/>
        <w:tabs>
          <w:tab w:val="num" w:leader="none" w:pos="0"/>
        </w:tabs>
        <w:spacing/>
        <w:ind w:hanging="180" w:left="4887"/>
      </w:pPr>
      <w:rPr/>
      <w:start w:val="1"/>
      <w:suff w:val="tab"/>
    </w:lvl>
    <w:lvl w:ilvl="6">
      <w:isLgl w:val="false"/>
      <w:lvlJc w:val="left"/>
      <w:lvlText w:val="%7."/>
      <w:numFmt w:val="decimal"/>
      <w:pPr>
        <w:pBdr/>
        <w:tabs>
          <w:tab w:val="num" w:leader="none" w:pos="0"/>
        </w:tabs>
        <w:spacing/>
        <w:ind w:hanging="360" w:left="5607"/>
      </w:pPr>
      <w:rPr/>
      <w:start w:val="1"/>
      <w:suff w:val="tab"/>
    </w:lvl>
    <w:lvl w:ilvl="7">
      <w:isLgl w:val="false"/>
      <w:lvlJc w:val="left"/>
      <w:lvlText w:val="%8."/>
      <w:numFmt w:val="lowerLetter"/>
      <w:pPr>
        <w:pBdr/>
        <w:tabs>
          <w:tab w:val="num" w:leader="none" w:pos="0"/>
        </w:tabs>
        <w:spacing/>
        <w:ind w:hanging="360" w:left="6327"/>
      </w:pPr>
      <w:rPr/>
      <w:start w:val="1"/>
      <w:suff w:val="tab"/>
    </w:lvl>
    <w:lvl w:ilvl="8">
      <w:isLgl w:val="false"/>
      <w:lvlJc w:val="right"/>
      <w:lvlText w:val="%9."/>
      <w:numFmt w:val="lowerRoman"/>
      <w:pPr>
        <w:pBdr/>
        <w:tabs>
          <w:tab w:val="num" w:leader="none" w:pos="0"/>
        </w:tabs>
        <w:spacing/>
        <w:ind w:hanging="180" w:left="7047"/>
      </w:pPr>
      <w:rPr/>
      <w:start w:val="1"/>
      <w:suff w:val="tab"/>
    </w:lvl>
  </w:abstractNum>
  <w:abstractNum w:abstractNumId="22">
    <w:nsid w:val="464B7072"/>
    <w:lvl w:ilvl="0">
      <w:isLgl w:val="false"/>
      <w:lvlJc w:val="left"/>
      <w:lvlText w:val="%1)"/>
      <w:numFmt w:val="lowerLetter"/>
      <w:pPr>
        <w:pBdr/>
        <w:spacing/>
        <w:ind w:hanging="360" w:left="750"/>
      </w:pPr>
      <w:rPr>
        <w:rFonts w:hint="default"/>
      </w:rPr>
      <w:start w:val="1"/>
      <w:suff w:val="tab"/>
    </w:lvl>
    <w:lvl w:ilvl="1">
      <w:isLgl w:val="false"/>
      <w:lvlJc w:val="left"/>
      <w:lvlText w:val="%2."/>
      <w:numFmt w:val="lowerLetter"/>
      <w:pPr>
        <w:pBdr/>
        <w:spacing/>
        <w:ind w:hanging="360" w:left="1470"/>
      </w:pPr>
      <w:rPr/>
      <w:start w:val="1"/>
      <w:suff w:val="tab"/>
    </w:lvl>
    <w:lvl w:ilvl="2">
      <w:isLgl w:val="false"/>
      <w:lvlJc w:val="right"/>
      <w:lvlText w:val="%3."/>
      <w:numFmt w:val="lowerRoman"/>
      <w:pPr>
        <w:pBdr/>
        <w:spacing/>
        <w:ind w:hanging="180" w:left="2190"/>
      </w:pPr>
      <w:rPr/>
      <w:start w:val="1"/>
      <w:suff w:val="tab"/>
    </w:lvl>
    <w:lvl w:ilvl="3">
      <w:isLgl w:val="false"/>
      <w:lvlJc w:val="left"/>
      <w:lvlText w:val="%4."/>
      <w:numFmt w:val="decimal"/>
      <w:pPr>
        <w:pBdr/>
        <w:spacing/>
        <w:ind w:hanging="360" w:left="2910"/>
      </w:pPr>
      <w:rPr/>
      <w:start w:val="1"/>
      <w:suff w:val="tab"/>
    </w:lvl>
    <w:lvl w:ilvl="4">
      <w:isLgl w:val="false"/>
      <w:lvlJc w:val="left"/>
      <w:lvlText w:val="%5."/>
      <w:numFmt w:val="lowerLetter"/>
      <w:pPr>
        <w:pBdr/>
        <w:spacing/>
        <w:ind w:hanging="360" w:left="3630"/>
      </w:pPr>
      <w:rPr/>
      <w:start w:val="1"/>
      <w:suff w:val="tab"/>
    </w:lvl>
    <w:lvl w:ilvl="5">
      <w:isLgl w:val="false"/>
      <w:lvlJc w:val="right"/>
      <w:lvlText w:val="%6."/>
      <w:numFmt w:val="lowerRoman"/>
      <w:pPr>
        <w:pBdr/>
        <w:spacing/>
        <w:ind w:hanging="180" w:left="4350"/>
      </w:pPr>
      <w:rPr/>
      <w:start w:val="1"/>
      <w:suff w:val="tab"/>
    </w:lvl>
    <w:lvl w:ilvl="6">
      <w:isLgl w:val="false"/>
      <w:lvlJc w:val="left"/>
      <w:lvlText w:val="%7."/>
      <w:numFmt w:val="decimal"/>
      <w:pPr>
        <w:pBdr/>
        <w:spacing/>
        <w:ind w:hanging="360" w:left="5070"/>
      </w:pPr>
      <w:rPr/>
      <w:start w:val="1"/>
      <w:suff w:val="tab"/>
    </w:lvl>
    <w:lvl w:ilvl="7">
      <w:isLgl w:val="false"/>
      <w:lvlJc w:val="left"/>
      <w:lvlText w:val="%8."/>
      <w:numFmt w:val="lowerLetter"/>
      <w:pPr>
        <w:pBdr/>
        <w:spacing/>
        <w:ind w:hanging="360" w:left="5790"/>
      </w:pPr>
      <w:rPr/>
      <w:start w:val="1"/>
      <w:suff w:val="tab"/>
    </w:lvl>
    <w:lvl w:ilvl="8">
      <w:isLgl w:val="false"/>
      <w:lvlJc w:val="right"/>
      <w:lvlText w:val="%9."/>
      <w:numFmt w:val="lowerRoman"/>
      <w:pPr>
        <w:pBdr/>
        <w:spacing/>
        <w:ind w:hanging="180" w:left="6510"/>
      </w:pPr>
      <w:rPr/>
      <w:start w:val="1"/>
      <w:suff w:val="tab"/>
    </w:lvl>
  </w:abstractNum>
  <w:abstractNum w:abstractNumId="23">
    <w:nsid w:val="470555B5"/>
    <w:lvl w:ilvl="0">
      <w:isLgl w:val="false"/>
      <w:lvlJc w:val="left"/>
      <w:lvlText w:val="%1."/>
      <w:numFmt w:val="decimal"/>
      <w:pPr>
        <w:pBdr/>
        <w:spacing/>
        <w:ind w:hanging="390" w:left="390"/>
      </w:pPr>
      <w:rPr>
        <w:rFonts w:hint="default"/>
        <w:color w:val="auto"/>
      </w:rPr>
      <w:start w:val="9"/>
      <w:suff w:val="tab"/>
    </w:lvl>
    <w:lvl w:ilvl="1">
      <w:isLgl w:val="false"/>
      <w:lvlJc w:val="left"/>
      <w:lvlText w:val="%1.%2."/>
      <w:numFmt w:val="decimal"/>
      <w:pPr>
        <w:pBdr/>
        <w:spacing/>
        <w:ind w:hanging="720" w:left="862"/>
      </w:pPr>
      <w:rPr>
        <w:rFonts w:hint="default"/>
        <w:b/>
        <w:color w:val="auto"/>
      </w:rPr>
      <w:start w:val="1"/>
      <w:suff w:val="tab"/>
    </w:lvl>
    <w:lvl w:ilvl="2">
      <w:isLgl w:val="false"/>
      <w:lvlJc w:val="left"/>
      <w:lvlText w:val="%1.%2.%3."/>
      <w:numFmt w:val="decimal"/>
      <w:pPr>
        <w:pBdr/>
        <w:spacing/>
        <w:ind w:hanging="720" w:left="1440"/>
      </w:pPr>
      <w:rPr>
        <w:rFonts w:hint="default"/>
        <w:color w:val="auto"/>
      </w:rPr>
      <w:start w:val="1"/>
      <w:suff w:val="tab"/>
    </w:lvl>
    <w:lvl w:ilvl="3">
      <w:isLgl w:val="false"/>
      <w:lvlJc w:val="left"/>
      <w:lvlText w:val="%1.%2.%3.%4."/>
      <w:numFmt w:val="decimal"/>
      <w:pPr>
        <w:pBdr/>
        <w:spacing/>
        <w:ind w:hanging="1080" w:left="2160"/>
      </w:pPr>
      <w:rPr>
        <w:rFonts w:hint="default"/>
        <w:color w:val="auto"/>
      </w:rPr>
      <w:start w:val="1"/>
      <w:suff w:val="tab"/>
    </w:lvl>
    <w:lvl w:ilvl="4">
      <w:isLgl w:val="false"/>
      <w:lvlJc w:val="left"/>
      <w:lvlText w:val="%1.%2.%3.%4.%5."/>
      <w:numFmt w:val="decimal"/>
      <w:pPr>
        <w:pBdr/>
        <w:spacing/>
        <w:ind w:hanging="1080" w:left="2520"/>
      </w:pPr>
      <w:rPr>
        <w:rFonts w:hint="default"/>
        <w:color w:val="auto"/>
      </w:rPr>
      <w:start w:val="1"/>
      <w:suff w:val="tab"/>
    </w:lvl>
    <w:lvl w:ilvl="5">
      <w:isLgl w:val="false"/>
      <w:lvlJc w:val="left"/>
      <w:lvlText w:val="%1.%2.%3.%4.%5.%6."/>
      <w:numFmt w:val="decimal"/>
      <w:pPr>
        <w:pBdr/>
        <w:spacing/>
        <w:ind w:hanging="1440" w:left="3240"/>
      </w:pPr>
      <w:rPr>
        <w:rFonts w:hint="default"/>
        <w:color w:val="auto"/>
      </w:rPr>
      <w:start w:val="1"/>
      <w:suff w:val="tab"/>
    </w:lvl>
    <w:lvl w:ilvl="6">
      <w:isLgl w:val="false"/>
      <w:lvlJc w:val="left"/>
      <w:lvlText w:val="%1.%2.%3.%4.%5.%6.%7."/>
      <w:numFmt w:val="decimal"/>
      <w:pPr>
        <w:pBdr/>
        <w:spacing/>
        <w:ind w:hanging="1440" w:left="3600"/>
      </w:pPr>
      <w:rPr>
        <w:rFonts w:hint="default"/>
        <w:color w:val="auto"/>
      </w:rPr>
      <w:start w:val="1"/>
      <w:suff w:val="tab"/>
    </w:lvl>
    <w:lvl w:ilvl="7">
      <w:isLgl w:val="false"/>
      <w:lvlJc w:val="left"/>
      <w:lvlText w:val="%1.%2.%3.%4.%5.%6.%7.%8."/>
      <w:numFmt w:val="decimal"/>
      <w:pPr>
        <w:pBdr/>
        <w:spacing/>
        <w:ind w:hanging="1800" w:left="4320"/>
      </w:pPr>
      <w:rPr>
        <w:rFonts w:hint="default"/>
        <w:color w:val="auto"/>
      </w:rPr>
      <w:start w:val="1"/>
      <w:suff w:val="tab"/>
    </w:lvl>
    <w:lvl w:ilvl="8">
      <w:isLgl w:val="false"/>
      <w:lvlJc w:val="left"/>
      <w:lvlText w:val="%1.%2.%3.%4.%5.%6.%7.%8.%9."/>
      <w:numFmt w:val="decimal"/>
      <w:pPr>
        <w:pBdr/>
        <w:spacing/>
        <w:ind w:hanging="2160" w:left="5040"/>
      </w:pPr>
      <w:rPr>
        <w:rFonts w:hint="default"/>
        <w:color w:val="auto"/>
      </w:rPr>
      <w:start w:val="1"/>
      <w:suff w:val="tab"/>
    </w:lvl>
  </w:abstractNum>
  <w:abstractNum w:abstractNumId="24">
    <w:nsid w:val="47391509"/>
    <w:lvl w:ilvl="0">
      <w:isLgl w:val="false"/>
      <w:lvlJc w:val="left"/>
      <w:lvlText w:val="%1."/>
      <w:numFmt w:val="decimal"/>
      <w:pPr>
        <w:pBdr/>
        <w:spacing/>
        <w:ind w:hanging="390" w:left="390"/>
      </w:pPr>
      <w:rPr>
        <w:rFonts w:hint="default"/>
        <w:b/>
      </w:rPr>
      <w:start w:val="4"/>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b/>
      </w:rPr>
      <w:start w:val="1"/>
      <w:suff w:val="tab"/>
    </w:lvl>
    <w:lvl w:ilvl="4">
      <w:isLgl w:val="false"/>
      <w:lvlJc w:val="left"/>
      <w:lvlText w:val="%1.%2.%3.%4.%5."/>
      <w:numFmt w:val="decimal"/>
      <w:pPr>
        <w:pBdr/>
        <w:spacing/>
        <w:ind w:hanging="1080" w:left="1080"/>
      </w:pPr>
      <w:rPr>
        <w:rFonts w:hint="default"/>
        <w:b/>
      </w:rPr>
      <w:start w:val="1"/>
      <w:suff w:val="tab"/>
    </w:lvl>
    <w:lvl w:ilvl="5">
      <w:isLgl w:val="false"/>
      <w:lvlJc w:val="left"/>
      <w:lvlText w:val="%1.%2.%3.%4.%5.%6."/>
      <w:numFmt w:val="decimal"/>
      <w:pPr>
        <w:pBdr/>
        <w:spacing/>
        <w:ind w:hanging="1440" w:left="1440"/>
      </w:pPr>
      <w:rPr>
        <w:rFonts w:hint="default"/>
        <w:b/>
      </w:rPr>
      <w:start w:val="1"/>
      <w:suff w:val="tab"/>
    </w:lvl>
    <w:lvl w:ilvl="6">
      <w:isLgl w:val="false"/>
      <w:lvlJc w:val="left"/>
      <w:lvlText w:val="%1.%2.%3.%4.%5.%6.%7."/>
      <w:numFmt w:val="decimal"/>
      <w:pPr>
        <w:pBdr/>
        <w:spacing/>
        <w:ind w:hanging="1440" w:left="1440"/>
      </w:pPr>
      <w:rPr>
        <w:rFonts w:hint="default"/>
        <w:b/>
      </w:rPr>
      <w:start w:val="1"/>
      <w:suff w:val="tab"/>
    </w:lvl>
    <w:lvl w:ilvl="7">
      <w:isLgl w:val="false"/>
      <w:lvlJc w:val="left"/>
      <w:lvlText w:val="%1.%2.%3.%4.%5.%6.%7.%8."/>
      <w:numFmt w:val="decimal"/>
      <w:pPr>
        <w:pBdr/>
        <w:spacing/>
        <w:ind w:hanging="1800" w:left="1800"/>
      </w:pPr>
      <w:rPr>
        <w:rFonts w:hint="default"/>
        <w:b/>
      </w:rPr>
      <w:start w:val="1"/>
      <w:suff w:val="tab"/>
    </w:lvl>
    <w:lvl w:ilvl="8">
      <w:isLgl w:val="false"/>
      <w:lvlJc w:val="left"/>
      <w:lvlText w:val="%1.%2.%3.%4.%5.%6.%7.%8.%9."/>
      <w:numFmt w:val="decimal"/>
      <w:pPr>
        <w:pBdr/>
        <w:spacing/>
        <w:ind w:hanging="2160" w:left="2160"/>
      </w:pPr>
      <w:rPr>
        <w:rFonts w:hint="default"/>
        <w:b/>
      </w:rPr>
      <w:start w:val="1"/>
      <w:suff w:val="tab"/>
    </w:lvl>
  </w:abstractNum>
  <w:abstractNum w:abstractNumId="25">
    <w:nsid w:val="491D237A"/>
    <w:lvl w:ilvl="0">
      <w:isLgl w:val="false"/>
      <w:lvlJc w:val="left"/>
      <w:lvlText w:val="%1."/>
      <w:numFmt w:val="decimal"/>
      <w:pPr>
        <w:pBdr/>
        <w:spacing/>
        <w:ind w:hanging="360" w:left="-66"/>
      </w:pPr>
      <w:rPr>
        <w:rFonts w:hint="default"/>
      </w:rPr>
      <w:start w:val="7"/>
      <w:suff w:val="tab"/>
    </w:lvl>
    <w:lvl w:ilvl="1">
      <w:isLgl w:val="true"/>
      <w:lvlJc w:val="left"/>
      <w:lvlText w:val="%1.%2."/>
      <w:numFmt w:val="decimal"/>
      <w:pPr>
        <w:pBdr/>
        <w:spacing/>
        <w:ind w:hanging="720" w:left="720"/>
      </w:pPr>
      <w:rPr>
        <w:rFonts w:hint="default"/>
        <w:b/>
      </w:rPr>
      <w:start w:val="1"/>
      <w:suff w:val="tab"/>
    </w:lvl>
    <w:lvl w:ilvl="2">
      <w:isLgl w:val="true"/>
      <w:lvlJc w:val="left"/>
      <w:lvlText w:val="%1.%2.%3."/>
      <w:numFmt w:val="decimal"/>
      <w:pPr>
        <w:pBdr/>
        <w:spacing/>
        <w:ind w:hanging="720" w:left="1146"/>
      </w:pPr>
      <w:rPr>
        <w:rFonts w:hint="default"/>
      </w:rPr>
      <w:start w:val="1"/>
      <w:suff w:val="tab"/>
    </w:lvl>
    <w:lvl w:ilvl="3">
      <w:isLgl w:val="true"/>
      <w:lvlJc w:val="left"/>
      <w:lvlText w:val="%1.%2.%3.%4."/>
      <w:numFmt w:val="decimal"/>
      <w:pPr>
        <w:pBdr/>
        <w:spacing/>
        <w:ind w:hanging="1080" w:left="1932"/>
      </w:pPr>
      <w:rPr>
        <w:rFonts w:hint="default"/>
      </w:rPr>
      <w:start w:val="1"/>
      <w:suff w:val="tab"/>
    </w:lvl>
    <w:lvl w:ilvl="4">
      <w:isLgl w:val="true"/>
      <w:lvlJc w:val="left"/>
      <w:lvlText w:val="%1.%2.%3.%4.%5."/>
      <w:numFmt w:val="decimal"/>
      <w:pPr>
        <w:pBdr/>
        <w:spacing/>
        <w:ind w:hanging="1080" w:left="2358"/>
      </w:pPr>
      <w:rPr>
        <w:rFonts w:hint="default"/>
      </w:rPr>
      <w:start w:val="1"/>
      <w:suff w:val="tab"/>
    </w:lvl>
    <w:lvl w:ilvl="5">
      <w:isLgl w:val="true"/>
      <w:lvlJc w:val="left"/>
      <w:lvlText w:val="%1.%2.%3.%4.%5.%6."/>
      <w:numFmt w:val="decimal"/>
      <w:pPr>
        <w:pBdr/>
        <w:spacing/>
        <w:ind w:hanging="1440" w:left="3144"/>
      </w:pPr>
      <w:rPr>
        <w:rFonts w:hint="default"/>
      </w:rPr>
      <w:start w:val="1"/>
      <w:suff w:val="tab"/>
    </w:lvl>
    <w:lvl w:ilvl="6">
      <w:isLgl w:val="true"/>
      <w:lvlJc w:val="left"/>
      <w:lvlText w:val="%1.%2.%3.%4.%5.%6.%7."/>
      <w:numFmt w:val="decimal"/>
      <w:pPr>
        <w:pBdr/>
        <w:spacing/>
        <w:ind w:hanging="1440" w:left="3570"/>
      </w:pPr>
      <w:rPr>
        <w:rFonts w:hint="default"/>
      </w:rPr>
      <w:start w:val="1"/>
      <w:suff w:val="tab"/>
    </w:lvl>
    <w:lvl w:ilvl="7">
      <w:isLgl w:val="true"/>
      <w:lvlJc w:val="left"/>
      <w:lvlText w:val="%1.%2.%3.%4.%5.%6.%7.%8."/>
      <w:numFmt w:val="decimal"/>
      <w:pPr>
        <w:pBdr/>
        <w:spacing/>
        <w:ind w:hanging="1800" w:left="4356"/>
      </w:pPr>
      <w:rPr>
        <w:rFonts w:hint="default"/>
      </w:rPr>
      <w:start w:val="1"/>
      <w:suff w:val="tab"/>
    </w:lvl>
    <w:lvl w:ilvl="8">
      <w:isLgl w:val="true"/>
      <w:lvlJc w:val="left"/>
      <w:lvlText w:val="%1.%2.%3.%4.%5.%6.%7.%8.%9."/>
      <w:numFmt w:val="decimal"/>
      <w:pPr>
        <w:pBdr/>
        <w:spacing/>
        <w:ind w:hanging="2160" w:left="5142"/>
      </w:pPr>
      <w:rPr>
        <w:rFonts w:hint="default"/>
      </w:rPr>
      <w:start w:val="1"/>
      <w:suff w:val="tab"/>
    </w:lvl>
  </w:abstractNum>
  <w:abstractNum w:abstractNumId="26">
    <w:nsid w:val="4B35641E"/>
    <w:lvl w:ilvl="0">
      <w:isLgl w:val="false"/>
      <w:lvlJc w:val="left"/>
      <w:lvlText w:val="%1"/>
      <w:numFmt w:val="upperRoman"/>
      <w:pPr>
        <w:pBdr/>
        <w:tabs>
          <w:tab w:val="num" w:leader="none" w:pos="0"/>
        </w:tabs>
        <w:spacing/>
        <w:ind w:hanging="132" w:left="662"/>
      </w:pPr>
      <w:rPr>
        <w:rFonts w:ascii="Arial" w:hAnsi="Arial" w:eastAsia="Century Gothic" w:cs="Arial"/>
        <w:b/>
        <w:sz w:val="24"/>
        <w:szCs w:val="24"/>
        <w:lang w:val="pt-PT" w:eastAsia="en-US" w:bidi="ar-SA"/>
      </w:rPr>
      <w:start w:val="1"/>
      <w:suff w:val="tab"/>
    </w:lvl>
    <w:lvl w:ilvl="1">
      <w:isLgl w:val="false"/>
      <w:lvlJc w:val="left"/>
      <w:lvlText w:val="%2)"/>
      <w:numFmt w:val="lowerLetter"/>
      <w:pPr>
        <w:pBdr/>
        <w:tabs>
          <w:tab w:val="num" w:leader="none" w:pos="0"/>
        </w:tabs>
        <w:spacing/>
        <w:ind w:hanging="360" w:left="1382"/>
      </w:pPr>
      <w:rPr>
        <w:rFonts w:ascii="Century Gothic" w:hAnsi="Century Gothic" w:eastAsia="Century Gothic" w:cs="Century Gothic"/>
        <w:sz w:val="22"/>
        <w:szCs w:val="22"/>
        <w:lang w:val="pt-PT" w:eastAsia="en-US" w:bidi="ar-SA"/>
      </w:rPr>
      <w:start w:val="1"/>
      <w:suff w:val="tab"/>
    </w:lvl>
    <w:lvl w:ilvl="2">
      <w:isLgl w:val="false"/>
      <w:lvlJc w:val="left"/>
      <w:lvlText w:val=""/>
      <w:numFmt w:val="bullet"/>
      <w:pPr>
        <w:pBdr/>
        <w:tabs>
          <w:tab w:val="num" w:leader="none" w:pos="0"/>
        </w:tabs>
        <w:spacing/>
        <w:ind w:hanging="360" w:left="2385"/>
      </w:pPr>
      <w:rPr>
        <w:rFonts w:hint="default" w:ascii="Symbol" w:hAnsi="Symbol" w:cs="Symbol"/>
        <w:lang w:val="pt-PT" w:eastAsia="en-US" w:bidi="ar-SA"/>
      </w:rPr>
      <w:start w:val="1"/>
      <w:suff w:val="tab"/>
    </w:lvl>
    <w:lvl w:ilvl="3">
      <w:isLgl w:val="false"/>
      <w:lvlJc w:val="left"/>
      <w:lvlText w:val=""/>
      <w:numFmt w:val="bullet"/>
      <w:pPr>
        <w:pBdr/>
        <w:tabs>
          <w:tab w:val="num" w:leader="none" w:pos="0"/>
        </w:tabs>
        <w:spacing/>
        <w:ind w:hanging="360" w:left="3390"/>
      </w:pPr>
      <w:rPr>
        <w:rFonts w:hint="default" w:ascii="Symbol" w:hAnsi="Symbol" w:cs="Symbol"/>
        <w:lang w:val="pt-PT" w:eastAsia="en-US" w:bidi="ar-SA"/>
      </w:rPr>
      <w:start w:val="1"/>
      <w:suff w:val="tab"/>
    </w:lvl>
    <w:lvl w:ilvl="4">
      <w:isLgl w:val="false"/>
      <w:lvlJc w:val="left"/>
      <w:lvlText w:val=""/>
      <w:numFmt w:val="bullet"/>
      <w:pPr>
        <w:pBdr/>
        <w:tabs>
          <w:tab w:val="num" w:leader="none" w:pos="0"/>
        </w:tabs>
        <w:spacing/>
        <w:ind w:hanging="360" w:left="4395"/>
      </w:pPr>
      <w:rPr>
        <w:rFonts w:hint="default" w:ascii="Symbol" w:hAnsi="Symbol" w:cs="Symbol"/>
        <w:lang w:val="pt-PT" w:eastAsia="en-US" w:bidi="ar-SA"/>
      </w:rPr>
      <w:start w:val="1"/>
      <w:suff w:val="tab"/>
    </w:lvl>
    <w:lvl w:ilvl="5">
      <w:isLgl w:val="false"/>
      <w:lvlJc w:val="left"/>
      <w:lvlText w:val=""/>
      <w:numFmt w:val="bullet"/>
      <w:pPr>
        <w:pBdr/>
        <w:tabs>
          <w:tab w:val="num" w:leader="none" w:pos="0"/>
        </w:tabs>
        <w:spacing/>
        <w:ind w:hanging="360" w:left="5400"/>
      </w:pPr>
      <w:rPr>
        <w:rFonts w:hint="default" w:ascii="Symbol" w:hAnsi="Symbol" w:cs="Symbol"/>
        <w:lang w:val="pt-PT" w:eastAsia="en-US" w:bidi="ar-SA"/>
      </w:rPr>
      <w:start w:val="1"/>
      <w:suff w:val="tab"/>
    </w:lvl>
    <w:lvl w:ilvl="6">
      <w:isLgl w:val="false"/>
      <w:lvlJc w:val="left"/>
      <w:lvlText w:val=""/>
      <w:numFmt w:val="bullet"/>
      <w:pPr>
        <w:pBdr/>
        <w:tabs>
          <w:tab w:val="num" w:leader="none" w:pos="0"/>
        </w:tabs>
        <w:spacing/>
        <w:ind w:hanging="360" w:left="6405"/>
      </w:pPr>
      <w:rPr>
        <w:rFonts w:hint="default" w:ascii="Symbol" w:hAnsi="Symbol" w:cs="Symbol"/>
        <w:lang w:val="pt-PT" w:eastAsia="en-US" w:bidi="ar-SA"/>
      </w:rPr>
      <w:start w:val="1"/>
      <w:suff w:val="tab"/>
    </w:lvl>
    <w:lvl w:ilvl="7">
      <w:isLgl w:val="false"/>
      <w:lvlJc w:val="left"/>
      <w:lvlText w:val=""/>
      <w:numFmt w:val="bullet"/>
      <w:pPr>
        <w:pBdr/>
        <w:tabs>
          <w:tab w:val="num" w:leader="none" w:pos="0"/>
        </w:tabs>
        <w:spacing/>
        <w:ind w:hanging="360" w:left="7410"/>
      </w:pPr>
      <w:rPr>
        <w:rFonts w:hint="default" w:ascii="Symbol" w:hAnsi="Symbol" w:cs="Symbol"/>
        <w:lang w:val="pt-PT" w:eastAsia="en-US" w:bidi="ar-SA"/>
      </w:rPr>
      <w:start w:val="1"/>
      <w:suff w:val="tab"/>
    </w:lvl>
    <w:lvl w:ilvl="8">
      <w:isLgl w:val="false"/>
      <w:lvlJc w:val="left"/>
      <w:lvlText w:val=""/>
      <w:numFmt w:val="bullet"/>
      <w:pPr>
        <w:pBdr/>
        <w:tabs>
          <w:tab w:val="num" w:leader="none" w:pos="0"/>
        </w:tabs>
        <w:spacing/>
        <w:ind w:hanging="360" w:left="8416"/>
      </w:pPr>
      <w:rPr>
        <w:rFonts w:hint="default" w:ascii="Symbol" w:hAnsi="Symbol" w:cs="Symbol"/>
        <w:lang w:val="pt-PT" w:eastAsia="en-US" w:bidi="ar-SA"/>
      </w:rPr>
      <w:start w:val="1"/>
      <w:suff w:val="tab"/>
    </w:lvl>
  </w:abstractNum>
  <w:abstractNum w:abstractNumId="27">
    <w:nsid w:val="4D9D43C8"/>
    <w:lvl w:ilvl="0">
      <w:isLgl w:val="false"/>
      <w:lvlJc w:val="left"/>
      <w:lvlText w:val="%1."/>
      <w:numFmt w:val="decimal"/>
      <w:pPr>
        <w:pBdr/>
        <w:tabs>
          <w:tab w:val="num" w:leader="none" w:pos="0"/>
        </w:tabs>
        <w:spacing/>
        <w:ind w:hanging="360" w:left="360"/>
      </w:pPr>
      <w:pStyle w:val="1005"/>
      <w:rPr>
        <w:b/>
        <w:color w:val="auto"/>
      </w:rPr>
      <w:start w:val="1"/>
      <w:suff w:val="tab"/>
    </w:lvl>
    <w:lvl w:ilvl="1">
      <w:isLgl w:val="false"/>
      <w:lvlJc w:val="left"/>
      <w:lvlText w:val="%1.%2."/>
      <w:numFmt w:val="decimal"/>
      <w:pPr>
        <w:pBdr/>
        <w:tabs>
          <w:tab w:val="num" w:leader="none" w:pos="0"/>
        </w:tabs>
        <w:spacing/>
        <w:ind w:hanging="432" w:left="716"/>
      </w:pPr>
      <w:rPr>
        <w:b w:val="0"/>
        <w:i w:val="0"/>
        <w:strike w:val="0"/>
        <w:color w:val="auto"/>
        <w:u w:val="none"/>
      </w:rPr>
      <w:start w:val="1"/>
      <w:suff w:val="tab"/>
    </w:lvl>
    <w:lvl w:ilvl="2">
      <w:isLgl w:val="false"/>
      <w:lvlJc w:val="left"/>
      <w:lvlText w:val="%1.%2.%3."/>
      <w:numFmt w:val="decimal"/>
      <w:pPr>
        <w:pBdr/>
        <w:tabs>
          <w:tab w:val="num" w:leader="none" w:pos="0"/>
        </w:tabs>
        <w:spacing/>
        <w:ind w:hanging="504" w:left="2206"/>
      </w:pPr>
      <w:rPr>
        <w:b w:val="0"/>
        <w:i w:val="0"/>
        <w:color w:val="auto"/>
      </w:rPr>
      <w:start w:val="1"/>
      <w:suff w:val="tab"/>
    </w:lvl>
    <w:lvl w:ilvl="3">
      <w:isLgl w:val="false"/>
      <w:lvlJc w:val="left"/>
      <w:lvlText w:val="%1.%2.%3.%4."/>
      <w:numFmt w:val="decimal"/>
      <w:pPr>
        <w:pBdr/>
        <w:tabs>
          <w:tab w:val="num" w:leader="none" w:pos="0"/>
        </w:tabs>
        <w:spacing/>
        <w:ind w:hanging="648" w:left="2491"/>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28">
    <w:nsid w:val="4DDC3B73"/>
    <w:lvl w:ilvl="0">
      <w:isLgl w:val="false"/>
      <w:lvlJc w:val="left"/>
      <w:lvlText w:val="%1."/>
      <w:numFmt w:val="upperRoman"/>
      <w:pPr>
        <w:pBdr/>
        <w:tabs>
          <w:tab w:val="num" w:leader="none" w:pos="0"/>
        </w:tabs>
        <w:spacing/>
        <w:ind w:hanging="720" w:left="578"/>
      </w:pPr>
      <w:rPr/>
      <w:start w:val="1"/>
      <w:suff w:val="tab"/>
    </w:lvl>
    <w:lvl w:ilvl="1">
      <w:isLgl w:val="false"/>
      <w:lvlJc w:val="left"/>
      <w:lvlText w:val="%2."/>
      <w:numFmt w:val="lowerLetter"/>
      <w:pPr>
        <w:pBdr/>
        <w:tabs>
          <w:tab w:val="num" w:leader="none" w:pos="0"/>
        </w:tabs>
        <w:spacing/>
        <w:ind w:hanging="360" w:left="938"/>
      </w:pPr>
      <w:rPr/>
      <w:start w:val="1"/>
      <w:suff w:val="tab"/>
    </w:lvl>
    <w:lvl w:ilvl="2">
      <w:isLgl w:val="false"/>
      <w:lvlJc w:val="right"/>
      <w:lvlText w:val="%3."/>
      <w:numFmt w:val="lowerRoman"/>
      <w:pPr>
        <w:pBdr/>
        <w:tabs>
          <w:tab w:val="num" w:leader="none" w:pos="0"/>
        </w:tabs>
        <w:spacing/>
        <w:ind w:hanging="180" w:left="1658"/>
      </w:pPr>
      <w:rPr/>
      <w:start w:val="1"/>
      <w:suff w:val="tab"/>
    </w:lvl>
    <w:lvl w:ilvl="3">
      <w:isLgl w:val="false"/>
      <w:lvlJc w:val="left"/>
      <w:lvlText w:val="%4."/>
      <w:numFmt w:val="decimal"/>
      <w:pPr>
        <w:pBdr/>
        <w:tabs>
          <w:tab w:val="num" w:leader="none" w:pos="0"/>
        </w:tabs>
        <w:spacing/>
        <w:ind w:hanging="360" w:left="2378"/>
      </w:pPr>
      <w:rPr/>
      <w:start w:val="1"/>
      <w:suff w:val="tab"/>
    </w:lvl>
    <w:lvl w:ilvl="4">
      <w:isLgl w:val="false"/>
      <w:lvlJc w:val="left"/>
      <w:lvlText w:val="%5."/>
      <w:numFmt w:val="lowerLetter"/>
      <w:pPr>
        <w:pBdr/>
        <w:tabs>
          <w:tab w:val="num" w:leader="none" w:pos="0"/>
        </w:tabs>
        <w:spacing/>
        <w:ind w:hanging="360" w:left="3098"/>
      </w:pPr>
      <w:rPr/>
      <w:start w:val="1"/>
      <w:suff w:val="tab"/>
    </w:lvl>
    <w:lvl w:ilvl="5">
      <w:isLgl w:val="false"/>
      <w:lvlJc w:val="right"/>
      <w:lvlText w:val="%6."/>
      <w:numFmt w:val="lowerRoman"/>
      <w:pPr>
        <w:pBdr/>
        <w:tabs>
          <w:tab w:val="num" w:leader="none" w:pos="0"/>
        </w:tabs>
        <w:spacing/>
        <w:ind w:hanging="180" w:left="3818"/>
      </w:pPr>
      <w:rPr/>
      <w:start w:val="1"/>
      <w:suff w:val="tab"/>
    </w:lvl>
    <w:lvl w:ilvl="6">
      <w:isLgl w:val="false"/>
      <w:lvlJc w:val="left"/>
      <w:lvlText w:val="%7."/>
      <w:numFmt w:val="decimal"/>
      <w:pPr>
        <w:pBdr/>
        <w:tabs>
          <w:tab w:val="num" w:leader="none" w:pos="0"/>
        </w:tabs>
        <w:spacing/>
        <w:ind w:hanging="360" w:left="4538"/>
      </w:pPr>
      <w:rPr/>
      <w:start w:val="1"/>
      <w:suff w:val="tab"/>
    </w:lvl>
    <w:lvl w:ilvl="7">
      <w:isLgl w:val="false"/>
      <w:lvlJc w:val="left"/>
      <w:lvlText w:val="%8."/>
      <w:numFmt w:val="lowerLetter"/>
      <w:pPr>
        <w:pBdr/>
        <w:tabs>
          <w:tab w:val="num" w:leader="none" w:pos="0"/>
        </w:tabs>
        <w:spacing/>
        <w:ind w:hanging="360" w:left="5258"/>
      </w:pPr>
      <w:rPr/>
      <w:start w:val="1"/>
      <w:suff w:val="tab"/>
    </w:lvl>
    <w:lvl w:ilvl="8">
      <w:isLgl w:val="false"/>
      <w:lvlJc w:val="right"/>
      <w:lvlText w:val="%9."/>
      <w:numFmt w:val="lowerRoman"/>
      <w:pPr>
        <w:pBdr/>
        <w:tabs>
          <w:tab w:val="num" w:leader="none" w:pos="0"/>
        </w:tabs>
        <w:spacing/>
        <w:ind w:hanging="180" w:left="5978"/>
      </w:pPr>
      <w:rPr/>
      <w:start w:val="1"/>
      <w:suff w:val="tab"/>
    </w:lvl>
  </w:abstractNum>
  <w:abstractNum w:abstractNumId="29">
    <w:nsid w:val="514DA52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0">
    <w:nsid w:val="56EE3E8F"/>
    <w:lvl w:ilvl="0">
      <w:isLgl w:val="false"/>
      <w:lvlJc w:val="left"/>
      <w:lvlText w:val="%1."/>
      <w:numFmt w:val="decimal"/>
      <w:pPr>
        <w:pBdr/>
        <w:spacing/>
        <w:ind w:hanging="360" w:left="720"/>
      </w:pPr>
      <w:rPr>
        <w:b/>
        <w:color w:val="000000"/>
      </w:rPr>
      <w:start w:val="8"/>
      <w:suff w:val="tab"/>
    </w:lvl>
    <w:lvl w:ilvl="1">
      <w:isLgl w:val="false"/>
      <w:lvlJc w:val="left"/>
      <w:lvlText w:val="%1.%2."/>
      <w:numFmt w:val="decimal"/>
      <w:pPr>
        <w:pBdr/>
        <w:spacing/>
        <w:ind w:hanging="405" w:left="765"/>
      </w:pPr>
      <w:rPr>
        <w:b/>
      </w:rPr>
      <w:start w:val="1"/>
      <w:suff w:val="tab"/>
    </w:lvl>
    <w:lvl w:ilvl="2">
      <w:isLgl w:val="false"/>
      <w:lvlJc w:val="left"/>
      <w:lvlText w:val="%1.%2.%3."/>
      <w:numFmt w:val="decimal"/>
      <w:pPr>
        <w:pBdr/>
        <w:spacing/>
        <w:ind w:hanging="720" w:left="1080"/>
      </w:pPr>
      <w:rPr/>
      <w:start w:val="1"/>
      <w:suff w:val="tab"/>
    </w:lvl>
    <w:lvl w:ilvl="3">
      <w:isLgl w:val="false"/>
      <w:lvlJc w:val="left"/>
      <w:lvlText w:val="%1.%2.%3.%4."/>
      <w:numFmt w:val="decimal"/>
      <w:pPr>
        <w:pBdr/>
        <w:spacing/>
        <w:ind w:hanging="720" w:left="1080"/>
      </w:pPr>
      <w:rPr/>
      <w:start w:val="1"/>
      <w:suff w:val="tab"/>
    </w:lvl>
    <w:lvl w:ilvl="4">
      <w:isLgl w:val="false"/>
      <w:lvlJc w:val="left"/>
      <w:lvlText w:val="%1.%2.%3.%4.%5."/>
      <w:numFmt w:val="decimal"/>
      <w:pPr>
        <w:pBdr/>
        <w:spacing/>
        <w:ind w:hanging="1080" w:left="1440"/>
      </w:pPr>
      <w:rPr/>
      <w:start w:val="1"/>
      <w:suff w:val="tab"/>
    </w:lvl>
    <w:lvl w:ilvl="5">
      <w:isLgl w:val="false"/>
      <w:lvlJc w:val="left"/>
      <w:lvlText w:val="%1.%2.%3.%4.%5.%6."/>
      <w:numFmt w:val="decimal"/>
      <w:pPr>
        <w:pBdr/>
        <w:spacing/>
        <w:ind w:hanging="1080" w:left="1440"/>
      </w:pPr>
      <w:rPr/>
      <w:start w:val="1"/>
      <w:suff w:val="tab"/>
    </w:lvl>
    <w:lvl w:ilvl="6">
      <w:isLgl w:val="false"/>
      <w:lvlJc w:val="left"/>
      <w:lvlText w:val="%1.%2.%3.%4.%5.%6.%7."/>
      <w:numFmt w:val="decimal"/>
      <w:pPr>
        <w:pBdr/>
        <w:spacing/>
        <w:ind w:hanging="1440" w:left="1800"/>
      </w:pPr>
      <w:rPr/>
      <w:start w:val="1"/>
      <w:suff w:val="tab"/>
    </w:lvl>
    <w:lvl w:ilvl="7">
      <w:isLgl w:val="false"/>
      <w:lvlJc w:val="left"/>
      <w:lvlText w:val="%1.%2.%3.%4.%5.%6.%7.%8."/>
      <w:numFmt w:val="decimal"/>
      <w:pPr>
        <w:pBdr/>
        <w:spacing/>
        <w:ind w:hanging="1440" w:left="1800"/>
      </w:pPr>
      <w:rPr/>
      <w:start w:val="1"/>
      <w:suff w:val="tab"/>
    </w:lvl>
    <w:lvl w:ilvl="8">
      <w:isLgl w:val="false"/>
      <w:lvlJc w:val="left"/>
      <w:lvlText w:val="%1.%2.%3.%4.%5.%6.%7.%8.%9."/>
      <w:numFmt w:val="decimal"/>
      <w:pPr>
        <w:pBdr/>
        <w:spacing/>
        <w:ind w:hanging="1800" w:left="2160"/>
      </w:pPr>
      <w:rPr/>
      <w:start w:val="1"/>
      <w:suff w:val="tab"/>
    </w:lvl>
  </w:abstractNum>
  <w:abstractNum w:abstractNumId="31">
    <w:nsid w:val="57453824"/>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32">
    <w:nsid w:val="5E273F15"/>
    <w:lvl w:ilvl="0">
      <w:isLgl w:val="false"/>
      <w:lvlJc w:val="left"/>
      <w:lvlText w:val="%1."/>
      <w:numFmt w:val="decimal"/>
      <w:pPr>
        <w:pBdr/>
        <w:tabs>
          <w:tab w:val="num" w:leader="none" w:pos="0"/>
        </w:tabs>
        <w:spacing/>
        <w:ind w:hanging="360" w:left="360"/>
      </w:pPr>
      <w:rPr>
        <w:b/>
        <w:i w:val="0"/>
        <w:color w:val="000000"/>
        <w:sz w:val="24"/>
        <w:szCs w:val="24"/>
      </w:rPr>
      <w:start w:val="1"/>
      <w:suff w:val="tab"/>
    </w:lvl>
    <w:lvl w:ilvl="1">
      <w:isLgl w:val="false"/>
      <w:lvlJc w:val="left"/>
      <w:lvlText w:val="%1.%2."/>
      <w:numFmt w:val="decimal"/>
      <w:pPr>
        <w:pBdr/>
        <w:tabs>
          <w:tab w:val="num" w:leader="none" w:pos="0"/>
        </w:tabs>
        <w:spacing/>
        <w:ind w:hanging="432" w:left="858"/>
      </w:pPr>
      <w:rPr>
        <w:b/>
        <w:i w:val="0"/>
        <w:color w:val="auto"/>
        <w:sz w:val="24"/>
        <w:szCs w:val="24"/>
      </w:rPr>
      <w:start w:val="1"/>
      <w:suff w:val="tab"/>
    </w:lvl>
    <w:lvl w:ilvl="2">
      <w:isLgl w:val="false"/>
      <w:lvlJc w:val="left"/>
      <w:lvlText w:val="%1.%2.%3."/>
      <w:numFmt w:val="decimal"/>
      <w:pPr>
        <w:pBdr/>
        <w:tabs>
          <w:tab w:val="num" w:leader="none" w:pos="0"/>
        </w:tabs>
        <w:spacing/>
        <w:ind w:hanging="504" w:left="1497"/>
      </w:pPr>
      <w:rPr>
        <w:b/>
        <w:sz w:val="24"/>
        <w:szCs w:val="24"/>
      </w:rPr>
      <w:start w:val="1"/>
      <w:suff w:val="tab"/>
    </w:lvl>
    <w:lvl w:ilvl="3">
      <w:isLgl w:val="false"/>
      <w:lvlJc w:val="left"/>
      <w:lvlText w:val="%1.%2.%3.%4."/>
      <w:numFmt w:val="decimal"/>
      <w:pPr>
        <w:pBdr/>
        <w:tabs>
          <w:tab w:val="num" w:leader="none" w:pos="0"/>
        </w:tabs>
        <w:spacing/>
        <w:ind w:hanging="647" w:left="1728"/>
      </w:pPr>
      <w:rPr>
        <w:b/>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5"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33">
    <w:nsid w:val="5EAC34CB"/>
    <w:lvl w:ilvl="0">
      <w:isLgl w:val="false"/>
      <w:lvlJc w:val="left"/>
      <w:lvlText w:val="%1)"/>
      <w:numFmt w:val="lowerLetter"/>
      <w:pPr>
        <w:pBdr/>
        <w:tabs>
          <w:tab w:val="num" w:leader="none" w:pos="0"/>
        </w:tabs>
        <w:spacing/>
        <w:ind w:hanging="360" w:left="1382"/>
      </w:pPr>
      <w:rPr>
        <w:rFonts w:ascii="Century Gothic" w:hAnsi="Century Gothic" w:eastAsia="Century Gothic" w:cs="Century Gothic"/>
        <w:b/>
        <w:sz w:val="22"/>
        <w:szCs w:val="22"/>
        <w:lang w:val="pt-PT" w:eastAsia="en-US" w:bidi="ar-SA"/>
      </w:rPr>
      <w:start w:val="1"/>
      <w:suff w:val="tab"/>
    </w:lvl>
    <w:lvl w:ilvl="1">
      <w:isLgl w:val="false"/>
      <w:lvlJc w:val="left"/>
      <w:lvlText w:val=""/>
      <w:numFmt w:val="bullet"/>
      <w:pPr>
        <w:pBdr/>
        <w:tabs>
          <w:tab w:val="num" w:leader="none" w:pos="0"/>
        </w:tabs>
        <w:spacing/>
        <w:ind w:hanging="360" w:left="2284"/>
      </w:pPr>
      <w:rPr>
        <w:rFonts w:hint="default" w:ascii="Symbol" w:hAnsi="Symbol" w:cs="Symbol"/>
        <w:lang w:val="pt-PT" w:eastAsia="en-US" w:bidi="ar-SA"/>
      </w:rPr>
      <w:start w:val="1"/>
      <w:suff w:val="tab"/>
    </w:lvl>
    <w:lvl w:ilvl="2">
      <w:isLgl w:val="false"/>
      <w:lvlJc w:val="left"/>
      <w:lvlText w:val=""/>
      <w:numFmt w:val="bullet"/>
      <w:pPr>
        <w:pBdr/>
        <w:tabs>
          <w:tab w:val="num" w:leader="none" w:pos="0"/>
        </w:tabs>
        <w:spacing/>
        <w:ind w:hanging="360" w:left="3189"/>
      </w:pPr>
      <w:rPr>
        <w:rFonts w:hint="default" w:ascii="Symbol" w:hAnsi="Symbol" w:cs="Symbol"/>
        <w:lang w:val="pt-PT" w:eastAsia="en-US" w:bidi="ar-SA"/>
      </w:rPr>
      <w:start w:val="1"/>
      <w:suff w:val="tab"/>
    </w:lvl>
    <w:lvl w:ilvl="3">
      <w:isLgl w:val="false"/>
      <w:lvlJc w:val="left"/>
      <w:lvlText w:val=""/>
      <w:numFmt w:val="bullet"/>
      <w:pPr>
        <w:pBdr/>
        <w:tabs>
          <w:tab w:val="num" w:leader="none" w:pos="0"/>
        </w:tabs>
        <w:spacing/>
        <w:ind w:hanging="360" w:left="4093"/>
      </w:pPr>
      <w:rPr>
        <w:rFonts w:hint="default" w:ascii="Symbol" w:hAnsi="Symbol" w:cs="Symbol"/>
        <w:lang w:val="pt-PT" w:eastAsia="en-US" w:bidi="ar-SA"/>
      </w:rPr>
      <w:start w:val="1"/>
      <w:suff w:val="tab"/>
    </w:lvl>
    <w:lvl w:ilvl="4">
      <w:isLgl w:val="false"/>
      <w:lvlJc w:val="left"/>
      <w:lvlText w:val=""/>
      <w:numFmt w:val="bullet"/>
      <w:pPr>
        <w:pBdr/>
        <w:tabs>
          <w:tab w:val="num" w:leader="none" w:pos="0"/>
        </w:tabs>
        <w:spacing/>
        <w:ind w:hanging="360" w:left="4998"/>
      </w:pPr>
      <w:rPr>
        <w:rFonts w:hint="default" w:ascii="Symbol" w:hAnsi="Symbol" w:cs="Symbol"/>
        <w:lang w:val="pt-PT" w:eastAsia="en-US" w:bidi="ar-SA"/>
      </w:rPr>
      <w:start w:val="1"/>
      <w:suff w:val="tab"/>
    </w:lvl>
    <w:lvl w:ilvl="5">
      <w:isLgl w:val="false"/>
      <w:lvlJc w:val="left"/>
      <w:lvlText w:val=""/>
      <w:numFmt w:val="bullet"/>
      <w:pPr>
        <w:pBdr/>
        <w:tabs>
          <w:tab w:val="num" w:leader="none" w:pos="0"/>
        </w:tabs>
        <w:spacing/>
        <w:ind w:hanging="360" w:left="5903"/>
      </w:pPr>
      <w:rPr>
        <w:rFonts w:hint="default" w:ascii="Symbol" w:hAnsi="Symbol" w:cs="Symbol"/>
        <w:lang w:val="pt-PT" w:eastAsia="en-US" w:bidi="ar-SA"/>
      </w:rPr>
      <w:start w:val="1"/>
      <w:suff w:val="tab"/>
    </w:lvl>
    <w:lvl w:ilvl="6">
      <w:isLgl w:val="false"/>
      <w:lvlJc w:val="left"/>
      <w:lvlText w:val=""/>
      <w:numFmt w:val="bullet"/>
      <w:pPr>
        <w:pBdr/>
        <w:tabs>
          <w:tab w:val="num" w:leader="none" w:pos="0"/>
        </w:tabs>
        <w:spacing/>
        <w:ind w:hanging="360" w:left="6807"/>
      </w:pPr>
      <w:rPr>
        <w:rFonts w:hint="default" w:ascii="Symbol" w:hAnsi="Symbol" w:cs="Symbol"/>
        <w:lang w:val="pt-PT" w:eastAsia="en-US" w:bidi="ar-SA"/>
      </w:rPr>
      <w:start w:val="1"/>
      <w:suff w:val="tab"/>
    </w:lvl>
    <w:lvl w:ilvl="7">
      <w:isLgl w:val="false"/>
      <w:lvlJc w:val="left"/>
      <w:lvlText w:val=""/>
      <w:numFmt w:val="bullet"/>
      <w:pPr>
        <w:pBdr/>
        <w:tabs>
          <w:tab w:val="num" w:leader="none" w:pos="0"/>
        </w:tabs>
        <w:spacing/>
        <w:ind w:hanging="360" w:left="7712"/>
      </w:pPr>
      <w:rPr>
        <w:rFonts w:hint="default" w:ascii="Symbol" w:hAnsi="Symbol" w:cs="Symbol"/>
        <w:lang w:val="pt-PT" w:eastAsia="en-US" w:bidi="ar-SA"/>
      </w:rPr>
      <w:start w:val="1"/>
      <w:suff w:val="tab"/>
    </w:lvl>
    <w:lvl w:ilvl="8">
      <w:isLgl w:val="false"/>
      <w:lvlJc w:val="left"/>
      <w:lvlText w:val=""/>
      <w:numFmt w:val="bullet"/>
      <w:pPr>
        <w:pBdr/>
        <w:tabs>
          <w:tab w:val="num" w:leader="none" w:pos="0"/>
        </w:tabs>
        <w:spacing/>
        <w:ind w:hanging="360" w:left="8617"/>
      </w:pPr>
      <w:rPr>
        <w:rFonts w:hint="default" w:ascii="Symbol" w:hAnsi="Symbol" w:cs="Symbol"/>
        <w:lang w:val="pt-PT" w:eastAsia="en-US" w:bidi="ar-SA"/>
      </w:rPr>
      <w:start w:val="1"/>
      <w:suff w:val="tab"/>
    </w:lvl>
  </w:abstractNum>
  <w:abstractNum w:abstractNumId="34">
    <w:nsid w:val="5F046F47"/>
    <w:lvl w:ilvl="0">
      <w:isLgl w:val="false"/>
      <w:lvlJc w:val="left"/>
      <w:lvlText w:val="%1."/>
      <w:numFmt w:val="decimal"/>
      <w:pPr>
        <w:pBdr/>
        <w:spacing/>
        <w:ind w:hanging="390" w:left="390"/>
      </w:pPr>
      <w:rPr>
        <w:rFonts w:hint="default"/>
      </w:rPr>
      <w:start w:val="2"/>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2160" w:left="2160"/>
      </w:pPr>
      <w:rPr>
        <w:rFonts w:hint="default"/>
      </w:rPr>
      <w:start w:val="1"/>
      <w:suff w:val="tab"/>
    </w:lvl>
  </w:abstractNum>
  <w:abstractNum w:abstractNumId="35">
    <w:nsid w:val="5F6D160A"/>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nsid w:val="60FA1D57"/>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999"/>
      </w:pPr>
      <w:rPr>
        <w:b/>
        <w:i w:val="0"/>
        <w:strike w:val="0"/>
        <w:color w:val="auto"/>
        <w:sz w:val="24"/>
        <w:szCs w:val="24"/>
        <w:u w:val="none"/>
      </w:rPr>
      <w:start w:val="1"/>
      <w:suff w:val="tab"/>
    </w:lvl>
    <w:lvl w:ilvl="2">
      <w:isLgl w:val="false"/>
      <w:lvlJc w:val="left"/>
      <w:lvlText w:val="%1.%2.%3."/>
      <w:numFmt w:val="decimal"/>
      <w:pPr>
        <w:pBdr/>
        <w:tabs>
          <w:tab w:val="num" w:leader="none" w:pos="0"/>
        </w:tabs>
        <w:spacing/>
        <w:ind w:hanging="504" w:left="1638"/>
      </w:pPr>
      <w:rPr>
        <w:rFonts w:ascii="Arial" w:hAnsi="Arial"/>
        <w:b/>
        <w:i w:val="0"/>
        <w:strike w:val="0"/>
        <w:color w:val="auto"/>
        <w:sz w:val="24"/>
        <w:szCs w:val="24"/>
      </w:rPr>
      <w:start w:val="1"/>
      <w:suff w:val="tab"/>
    </w:lvl>
    <w:lvl w:ilvl="3">
      <w:isLgl w:val="false"/>
      <w:lvlJc w:val="left"/>
      <w:lvlText w:val="%1.%2.%3.%4."/>
      <w:numFmt w:val="decimal"/>
      <w:pPr>
        <w:pBdr/>
        <w:tabs>
          <w:tab w:val="num" w:leader="none" w:pos="0"/>
        </w:tabs>
        <w:spacing/>
        <w:ind w:hanging="648" w:left="2491"/>
      </w:pPr>
      <w:rPr>
        <w:b/>
        <w:sz w:val="24"/>
        <w:szCs w:val="24"/>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37">
    <w:nsid w:val="62F6EF1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8">
    <w:nsid w:val="67143327"/>
    <w:lvl w:ilvl="0">
      <w:isLgl w:val="false"/>
      <w:lvlJc w:val="left"/>
      <w:lvlText w:val="%1."/>
      <w:numFmt w:val="decimal"/>
      <w:pPr>
        <w:pBdr/>
        <w:spacing/>
        <w:ind w:hanging="390" w:left="390"/>
      </w:pPr>
      <w:pStyle w:val="1141"/>
      <w:rPr>
        <w:rFonts w:hint="default"/>
        <w:b/>
        <w:color w:val="auto"/>
        <w:u w:val="none"/>
      </w:rPr>
      <w:start w:val="7"/>
      <w:suff w:val="tab"/>
    </w:lvl>
    <w:lvl w:ilvl="1">
      <w:isLgl w:val="false"/>
      <w:lvlJc w:val="left"/>
      <w:lvlText w:val="%1.%2."/>
      <w:numFmt w:val="decimal"/>
      <w:pPr>
        <w:pBdr/>
        <w:spacing/>
        <w:ind w:hanging="720" w:left="720"/>
      </w:pPr>
      <w:rPr>
        <w:rFonts w:hint="default"/>
        <w:b/>
        <w:i w:val="0"/>
        <w:color w:val="auto"/>
        <w:u w:val="none"/>
      </w:rPr>
      <w:start w:val="1"/>
      <w:suff w:val="tab"/>
    </w:lvl>
    <w:lvl w:ilvl="2">
      <w:isLgl w:val="false"/>
      <w:lvlJc w:val="left"/>
      <w:lvlText w:val="%1.%2.%3."/>
      <w:numFmt w:val="decimal"/>
      <w:pPr>
        <w:pBdr/>
        <w:spacing/>
        <w:ind w:hanging="720" w:left="720"/>
      </w:pPr>
      <w:rPr>
        <w:rFonts w:hint="default"/>
        <w:b/>
        <w:i w:val="0"/>
        <w:u w:val="none"/>
      </w:rPr>
      <w:start w:val="1"/>
      <w:suff w:val="tab"/>
    </w:lvl>
    <w:lvl w:ilvl="3">
      <w:isLgl w:val="false"/>
      <w:lvlJc w:val="left"/>
      <w:lvlText w:val="%1.%2.%3.%4."/>
      <w:numFmt w:val="decimal"/>
      <w:pPr>
        <w:pBdr/>
        <w:spacing/>
        <w:ind w:hanging="1080" w:left="1080"/>
      </w:pPr>
      <w:rPr>
        <w:rFonts w:hint="default"/>
        <w:b/>
        <w:u w:val="none"/>
      </w:rPr>
      <w:start w:val="1"/>
      <w:suff w:val="tab"/>
    </w:lvl>
    <w:lvl w:ilvl="4">
      <w:isLgl w:val="false"/>
      <w:lvlJc w:val="left"/>
      <w:lvlText w:val="%1.%2.%3.%4.%5."/>
      <w:numFmt w:val="decimal"/>
      <w:pPr>
        <w:pBdr/>
        <w:spacing/>
        <w:ind w:hanging="1080" w:left="1080"/>
      </w:pPr>
      <w:rPr>
        <w:rFonts w:hint="default"/>
        <w:b/>
        <w:u w:val="none"/>
      </w:rPr>
      <w:start w:val="1"/>
      <w:suff w:val="tab"/>
    </w:lvl>
    <w:lvl w:ilvl="5">
      <w:isLgl w:val="false"/>
      <w:lvlJc w:val="left"/>
      <w:lvlText w:val="%1.%2.%3.%4.%5.%6."/>
      <w:numFmt w:val="decimal"/>
      <w:pPr>
        <w:pBdr/>
        <w:spacing/>
        <w:ind w:hanging="1440" w:left="1440"/>
      </w:pPr>
      <w:rPr>
        <w:rFonts w:hint="default"/>
        <w:b w:val="0"/>
        <w:u w:val="none"/>
      </w:rPr>
      <w:start w:val="1"/>
      <w:suff w:val="tab"/>
    </w:lvl>
    <w:lvl w:ilvl="6">
      <w:isLgl w:val="false"/>
      <w:lvlJc w:val="left"/>
      <w:lvlText w:val="%1.%2.%3.%4.%5.%6.%7."/>
      <w:numFmt w:val="decimal"/>
      <w:pPr>
        <w:pBdr/>
        <w:spacing/>
        <w:ind w:hanging="1440" w:left="1440"/>
      </w:pPr>
      <w:rPr>
        <w:rFonts w:hint="default"/>
        <w:b w:val="0"/>
        <w:u w:val="none"/>
      </w:rPr>
      <w:start w:val="1"/>
      <w:suff w:val="tab"/>
    </w:lvl>
    <w:lvl w:ilvl="7">
      <w:isLgl w:val="false"/>
      <w:lvlJc w:val="left"/>
      <w:lvlText w:val="%1.%2.%3.%4.%5.%6.%7.%8."/>
      <w:numFmt w:val="decimal"/>
      <w:pPr>
        <w:pBdr/>
        <w:spacing/>
        <w:ind w:hanging="1800" w:left="1800"/>
      </w:pPr>
      <w:rPr>
        <w:rFonts w:hint="default"/>
        <w:b w:val="0"/>
        <w:u w:val="none"/>
      </w:rPr>
      <w:start w:val="1"/>
      <w:suff w:val="tab"/>
    </w:lvl>
    <w:lvl w:ilvl="8">
      <w:isLgl w:val="false"/>
      <w:lvlJc w:val="left"/>
      <w:lvlText w:val="%1.%2.%3.%4.%5.%6.%7.%8.%9."/>
      <w:numFmt w:val="decimal"/>
      <w:pPr>
        <w:pBdr/>
        <w:spacing/>
        <w:ind w:hanging="2160" w:left="2160"/>
      </w:pPr>
      <w:rPr>
        <w:rFonts w:hint="default"/>
        <w:b w:val="0"/>
        <w:u w:val="none"/>
      </w:rPr>
      <w:start w:val="1"/>
      <w:suff w:val="tab"/>
    </w:lvl>
  </w:abstractNum>
  <w:abstractNum w:abstractNumId="39">
    <w:nsid w:val="6CD57BAC"/>
    <w:lvl w:ilvl="0">
      <w:isLgl w:val="false"/>
      <w:lvlJc w:val="left"/>
      <w:lvlText w:val="%1)"/>
      <w:numFmt w:val="lowerLetter"/>
      <w:pPr>
        <w:pBdr/>
        <w:tabs>
          <w:tab w:val="num" w:leader="none" w:pos="0"/>
        </w:tabs>
        <w:spacing/>
        <w:ind w:hanging="360" w:left="1436"/>
      </w:pPr>
      <w:rPr/>
      <w:start w:val="1"/>
      <w:suff w:val="tab"/>
    </w:lvl>
    <w:lvl w:ilvl="1">
      <w:isLgl w:val="false"/>
      <w:lvlJc w:val="left"/>
      <w:lvlText w:val="%2."/>
      <w:numFmt w:val="lowerLetter"/>
      <w:pPr>
        <w:pBdr/>
        <w:tabs>
          <w:tab w:val="num" w:leader="none" w:pos="0"/>
        </w:tabs>
        <w:spacing/>
        <w:ind w:hanging="360" w:left="2156"/>
      </w:pPr>
      <w:rPr/>
      <w:start w:val="1"/>
      <w:suff w:val="tab"/>
    </w:lvl>
    <w:lvl w:ilvl="2">
      <w:isLgl w:val="false"/>
      <w:lvlJc w:val="right"/>
      <w:lvlText w:val="%3."/>
      <w:numFmt w:val="lowerRoman"/>
      <w:pPr>
        <w:pBdr/>
        <w:tabs>
          <w:tab w:val="num" w:leader="none" w:pos="0"/>
        </w:tabs>
        <w:spacing/>
        <w:ind w:hanging="180" w:left="2876"/>
      </w:pPr>
      <w:rPr/>
      <w:start w:val="1"/>
      <w:suff w:val="tab"/>
    </w:lvl>
    <w:lvl w:ilvl="3">
      <w:isLgl w:val="false"/>
      <w:lvlJc w:val="left"/>
      <w:lvlText w:val="%4."/>
      <w:numFmt w:val="decimal"/>
      <w:pPr>
        <w:pBdr/>
        <w:tabs>
          <w:tab w:val="num" w:leader="none" w:pos="0"/>
        </w:tabs>
        <w:spacing/>
        <w:ind w:hanging="360" w:left="3596"/>
      </w:pPr>
      <w:rPr/>
      <w:start w:val="1"/>
      <w:suff w:val="tab"/>
    </w:lvl>
    <w:lvl w:ilvl="4">
      <w:isLgl w:val="false"/>
      <w:lvlJc w:val="left"/>
      <w:lvlText w:val="%5."/>
      <w:numFmt w:val="lowerLetter"/>
      <w:pPr>
        <w:pBdr/>
        <w:tabs>
          <w:tab w:val="num" w:leader="none" w:pos="0"/>
        </w:tabs>
        <w:spacing/>
        <w:ind w:hanging="360" w:left="4316"/>
      </w:pPr>
      <w:rPr/>
      <w:start w:val="1"/>
      <w:suff w:val="tab"/>
    </w:lvl>
    <w:lvl w:ilvl="5">
      <w:isLgl w:val="false"/>
      <w:lvlJc w:val="right"/>
      <w:lvlText w:val="%6."/>
      <w:numFmt w:val="lowerRoman"/>
      <w:pPr>
        <w:pBdr/>
        <w:tabs>
          <w:tab w:val="num" w:leader="none" w:pos="0"/>
        </w:tabs>
        <w:spacing/>
        <w:ind w:hanging="180" w:left="5036"/>
      </w:pPr>
      <w:rPr/>
      <w:start w:val="1"/>
      <w:suff w:val="tab"/>
    </w:lvl>
    <w:lvl w:ilvl="6">
      <w:isLgl w:val="false"/>
      <w:lvlJc w:val="left"/>
      <w:lvlText w:val="%7."/>
      <w:numFmt w:val="decimal"/>
      <w:pPr>
        <w:pBdr/>
        <w:tabs>
          <w:tab w:val="num" w:leader="none" w:pos="0"/>
        </w:tabs>
        <w:spacing/>
        <w:ind w:hanging="360" w:left="5756"/>
      </w:pPr>
      <w:rPr/>
      <w:start w:val="1"/>
      <w:suff w:val="tab"/>
    </w:lvl>
    <w:lvl w:ilvl="7">
      <w:isLgl w:val="false"/>
      <w:lvlJc w:val="left"/>
      <w:lvlText w:val="%8."/>
      <w:numFmt w:val="lowerLetter"/>
      <w:pPr>
        <w:pBdr/>
        <w:tabs>
          <w:tab w:val="num" w:leader="none" w:pos="0"/>
        </w:tabs>
        <w:spacing/>
        <w:ind w:hanging="360" w:left="6476"/>
      </w:pPr>
      <w:rPr/>
      <w:start w:val="1"/>
      <w:suff w:val="tab"/>
    </w:lvl>
    <w:lvl w:ilvl="8">
      <w:isLgl w:val="false"/>
      <w:lvlJc w:val="right"/>
      <w:lvlText w:val="%9."/>
      <w:numFmt w:val="lowerRoman"/>
      <w:pPr>
        <w:pBdr/>
        <w:tabs>
          <w:tab w:val="num" w:leader="none" w:pos="0"/>
        </w:tabs>
        <w:spacing/>
        <w:ind w:hanging="180" w:left="7196"/>
      </w:pPr>
      <w:rPr/>
      <w:start w:val="1"/>
      <w:suff w:val="tab"/>
    </w:lvl>
  </w:abstractNum>
  <w:abstractNum w:abstractNumId="40">
    <w:nsid w:val="6F170D22"/>
    <w:lvl w:ilvl="0">
      <w:isLgl w:val="false"/>
      <w:lvlJc w:val="left"/>
      <w:lvlText w:val="%1-"/>
      <w:numFmt w:val="decimal"/>
      <w:pPr>
        <w:pBdr/>
        <w:tabs>
          <w:tab w:val="num" w:leader="none" w:pos="0"/>
        </w:tabs>
        <w:spacing/>
        <w:ind w:hanging="360" w:left="-66"/>
      </w:pPr>
      <w:rPr>
        <w:b/>
      </w:rPr>
      <w:start w:val="8"/>
      <w:suff w:val="tab"/>
    </w:lvl>
    <w:lvl w:ilvl="1">
      <w:isLgl w:val="false"/>
      <w:lvlJc w:val="left"/>
      <w:lvlText w:val="%2."/>
      <w:numFmt w:val="lowerLetter"/>
      <w:pPr>
        <w:pBdr/>
        <w:tabs>
          <w:tab w:val="num" w:leader="none" w:pos="0"/>
        </w:tabs>
        <w:spacing/>
        <w:ind w:hanging="360" w:left="654"/>
      </w:pPr>
      <w:rPr/>
      <w:start w:val="1"/>
      <w:suff w:val="tab"/>
    </w:lvl>
    <w:lvl w:ilvl="2">
      <w:isLgl w:val="false"/>
      <w:lvlJc w:val="right"/>
      <w:lvlText w:val="%3."/>
      <w:numFmt w:val="lowerRoman"/>
      <w:pPr>
        <w:pBdr/>
        <w:tabs>
          <w:tab w:val="num" w:leader="none" w:pos="0"/>
        </w:tabs>
        <w:spacing/>
        <w:ind w:hanging="180" w:left="1374"/>
      </w:pPr>
      <w:rPr/>
      <w:start w:val="1"/>
      <w:suff w:val="tab"/>
    </w:lvl>
    <w:lvl w:ilvl="3">
      <w:isLgl w:val="false"/>
      <w:lvlJc w:val="left"/>
      <w:lvlText w:val="%4."/>
      <w:numFmt w:val="decimal"/>
      <w:pPr>
        <w:pBdr/>
        <w:tabs>
          <w:tab w:val="num" w:leader="none" w:pos="0"/>
        </w:tabs>
        <w:spacing/>
        <w:ind w:hanging="360" w:left="2094"/>
      </w:pPr>
      <w:rPr/>
      <w:start w:val="1"/>
      <w:suff w:val="tab"/>
    </w:lvl>
    <w:lvl w:ilvl="4">
      <w:isLgl w:val="false"/>
      <w:lvlJc w:val="left"/>
      <w:lvlText w:val="%5."/>
      <w:numFmt w:val="lowerLetter"/>
      <w:pPr>
        <w:pBdr/>
        <w:tabs>
          <w:tab w:val="num" w:leader="none" w:pos="0"/>
        </w:tabs>
        <w:spacing/>
        <w:ind w:hanging="360" w:left="2814"/>
      </w:pPr>
      <w:rPr/>
      <w:start w:val="1"/>
      <w:suff w:val="tab"/>
    </w:lvl>
    <w:lvl w:ilvl="5">
      <w:isLgl w:val="false"/>
      <w:lvlJc w:val="right"/>
      <w:lvlText w:val="%6."/>
      <w:numFmt w:val="lowerRoman"/>
      <w:pPr>
        <w:pBdr/>
        <w:tabs>
          <w:tab w:val="num" w:leader="none" w:pos="0"/>
        </w:tabs>
        <w:spacing/>
        <w:ind w:hanging="180" w:left="3534"/>
      </w:pPr>
      <w:rPr/>
      <w:start w:val="1"/>
      <w:suff w:val="tab"/>
    </w:lvl>
    <w:lvl w:ilvl="6">
      <w:isLgl w:val="false"/>
      <w:lvlJc w:val="left"/>
      <w:lvlText w:val="%7."/>
      <w:numFmt w:val="decimal"/>
      <w:pPr>
        <w:pBdr/>
        <w:tabs>
          <w:tab w:val="num" w:leader="none" w:pos="0"/>
        </w:tabs>
        <w:spacing/>
        <w:ind w:hanging="360" w:left="4254"/>
      </w:pPr>
      <w:rPr/>
      <w:start w:val="1"/>
      <w:suff w:val="tab"/>
    </w:lvl>
    <w:lvl w:ilvl="7">
      <w:isLgl w:val="false"/>
      <w:lvlJc w:val="left"/>
      <w:lvlText w:val="%8."/>
      <w:numFmt w:val="lowerLetter"/>
      <w:pPr>
        <w:pBdr/>
        <w:tabs>
          <w:tab w:val="num" w:leader="none" w:pos="0"/>
        </w:tabs>
        <w:spacing/>
        <w:ind w:hanging="360" w:left="4974"/>
      </w:pPr>
      <w:rPr/>
      <w:start w:val="1"/>
      <w:suff w:val="tab"/>
    </w:lvl>
    <w:lvl w:ilvl="8">
      <w:isLgl w:val="false"/>
      <w:lvlJc w:val="right"/>
      <w:lvlText w:val="%9."/>
      <w:numFmt w:val="lowerRoman"/>
      <w:pPr>
        <w:pBdr/>
        <w:tabs>
          <w:tab w:val="num" w:leader="none" w:pos="0"/>
        </w:tabs>
        <w:spacing/>
        <w:ind w:hanging="180" w:left="5694"/>
      </w:pPr>
      <w:rPr/>
      <w:start w:val="1"/>
      <w:suff w:val="tab"/>
    </w:lvl>
  </w:abstractNum>
  <w:abstractNum w:abstractNumId="41">
    <w:nsid w:val="6F345CE3"/>
    <w:lvl w:ilvl="0">
      <w:isLgl w:val="false"/>
      <w:lvlJc w:val="left"/>
      <w:lvlText w:val="%1."/>
      <w:numFmt w:val="decimal"/>
      <w:pPr>
        <w:pBdr/>
        <w:tabs>
          <w:tab w:val="num" w:leader="none" w:pos="360"/>
        </w:tabs>
        <w:spacing/>
        <w:ind w:hanging="360" w:left="360"/>
      </w:pPr>
      <w:pStyle w:val="1158"/>
      <w:rPr>
        <w:b/>
        <w:color w:val="auto"/>
        <w:sz w:val="24"/>
      </w:rPr>
      <w:start w:val="1"/>
      <w:suff w:val="tab"/>
    </w:lvl>
    <w:lvl w:ilvl="1">
      <w:isLgl w:val="false"/>
      <w:lvlJc w:val="left"/>
      <w:lvlText w:val="%2-"/>
      <w:numFmt w:val="upperRoman"/>
      <w:pPr>
        <w:pBdr/>
        <w:tabs>
          <w:tab w:val="num" w:leader="none" w:pos="851"/>
        </w:tabs>
        <w:spacing/>
        <w:ind w:hanging="709" w:left="851"/>
      </w:pPr>
      <w:rPr>
        <w:rFonts w:ascii="Arial" w:hAnsi="Arial" w:eastAsia="Times New Roman" w:cs="Arial"/>
      </w:rPr>
      <w:start w:val="1"/>
      <w:suff w:val="tab"/>
    </w:lvl>
    <w:lvl w:ilvl="2">
      <w:isLgl w:val="false"/>
      <w:lvlJc w:val="left"/>
      <w:lvlText w:val="9.%2.%3."/>
      <w:numFmt w:val="decimal"/>
      <w:pPr>
        <w:pBdr/>
        <w:tabs>
          <w:tab w:val="num" w:leader="none" w:pos="720"/>
        </w:tabs>
        <w:spacing/>
        <w:ind w:hanging="720" w:left="720"/>
      </w:pPr>
      <w:rPr/>
      <w:start w:val="1"/>
      <w:suff w:val="tab"/>
    </w:lvl>
    <w:lvl w:ilvl="3">
      <w:isLgl w:val="false"/>
      <w:lvlJc w:val="left"/>
      <w:lvlText w:val="9.%2-%3.%4."/>
      <w:numFmt w:val="decimal"/>
      <w:pPr>
        <w:pBdr/>
        <w:tabs>
          <w:tab w:val="num" w:leader="none" w:pos="1080"/>
        </w:tabs>
        <w:spacing/>
        <w:ind w:hanging="1080" w:left="1080"/>
      </w:pPr>
      <w:pStyle w:val="1158"/>
      <w:rPr/>
      <w:start w:val="1"/>
      <w:suff w:val="tab"/>
    </w:lvl>
    <w:lvl w:ilvl="4">
      <w:isLgl w:val="false"/>
      <w:lvlJc w:val="left"/>
      <w:lvlText w:val="%1.%2-%3.%4.%5."/>
      <w:numFmt w:val="decimal"/>
      <w:pPr>
        <w:pBdr/>
        <w:tabs>
          <w:tab w:val="num" w:leader="none" w:pos="1080"/>
        </w:tabs>
        <w:spacing/>
        <w:ind w:hanging="1080" w:left="1080"/>
      </w:pPr>
      <w:rPr/>
      <w:start w:val="1"/>
      <w:suff w:val="tab"/>
    </w:lvl>
    <w:lvl w:ilvl="5">
      <w:isLgl w:val="false"/>
      <w:lvlJc w:val="left"/>
      <w:lvlText w:val="%1.%2-%3.%4.%5.%6."/>
      <w:numFmt w:val="decimal"/>
      <w:pPr>
        <w:pBdr/>
        <w:tabs>
          <w:tab w:val="num" w:leader="none" w:pos="1440"/>
        </w:tabs>
        <w:spacing/>
        <w:ind w:hanging="1440" w:left="1440"/>
      </w:pPr>
      <w:rPr/>
      <w:start w:val="1"/>
      <w:suff w:val="tab"/>
    </w:lvl>
    <w:lvl w:ilvl="6">
      <w:isLgl w:val="false"/>
      <w:lvlJc w:val="left"/>
      <w:lvlText w:val="%1.%2-%3.%4.%5.%6.%7."/>
      <w:numFmt w:val="decimal"/>
      <w:pPr>
        <w:pBdr/>
        <w:tabs>
          <w:tab w:val="num" w:leader="none" w:pos="1440"/>
        </w:tabs>
        <w:spacing/>
        <w:ind w:hanging="1440" w:left="1440"/>
      </w:pPr>
      <w:rPr/>
      <w:start w:val="1"/>
      <w:suff w:val="tab"/>
    </w:lvl>
    <w:lvl w:ilvl="7">
      <w:isLgl w:val="false"/>
      <w:lvlJc w:val="left"/>
      <w:lvlText w:val="%1.%2-%3.%4.%5.%6.%7.%8."/>
      <w:numFmt w:val="decimal"/>
      <w:pPr>
        <w:pBdr/>
        <w:tabs>
          <w:tab w:val="num" w:leader="none" w:pos="1800"/>
        </w:tabs>
        <w:spacing/>
        <w:ind w:hanging="1800" w:left="1800"/>
      </w:pPr>
      <w:rPr/>
      <w:start w:val="1"/>
      <w:suff w:val="tab"/>
    </w:lvl>
    <w:lvl w:ilvl="8">
      <w:isLgl w:val="false"/>
      <w:lvlJc w:val="left"/>
      <w:lvlText w:val="%1.%2-%3.%4.%5.%6.%7.%8.%9."/>
      <w:numFmt w:val="decimal"/>
      <w:pPr>
        <w:pBdr/>
        <w:tabs>
          <w:tab w:val="num" w:leader="none" w:pos="2160"/>
        </w:tabs>
        <w:spacing/>
        <w:ind w:hanging="2160" w:left="2160"/>
      </w:pPr>
      <w:rPr/>
      <w:start w:val="1"/>
      <w:suff w:val="tab"/>
    </w:lvl>
  </w:abstractNum>
  <w:abstractNum w:abstractNumId="42">
    <w:nsid w:val="78202CC5"/>
    <w:lvl w:ilvl="0">
      <w:isLgl w:val="false"/>
      <w:lvlJc w:val="left"/>
      <w:lvlText w:val="%1."/>
      <w:numFmt w:val="decimal"/>
      <w:pPr>
        <w:pBdr/>
        <w:spacing/>
        <w:ind w:hanging="390" w:left="390"/>
      </w:pPr>
      <w:rPr>
        <w:rFonts w:hint="default"/>
        <w:u w:val="none"/>
      </w:rPr>
      <w:start w:val="4"/>
      <w:suff w:val="tab"/>
    </w:lvl>
    <w:lvl w:ilvl="1">
      <w:isLgl w:val="false"/>
      <w:lvlJc w:val="left"/>
      <w:lvlText w:val="%1.%2."/>
      <w:numFmt w:val="decimal"/>
      <w:pPr>
        <w:pBdr/>
        <w:spacing/>
        <w:ind w:hanging="720" w:left="720"/>
      </w:pPr>
      <w:rPr>
        <w:rFonts w:hint="default"/>
        <w:b/>
        <w:u w:val="none"/>
      </w:rPr>
      <w:start w:val="1"/>
      <w:suff w:val="tab"/>
    </w:lvl>
    <w:lvl w:ilvl="2">
      <w:isLgl w:val="false"/>
      <w:lvlJc w:val="left"/>
      <w:lvlText w:val="%1.%2.%3."/>
      <w:numFmt w:val="decimal"/>
      <w:pPr>
        <w:pBdr/>
        <w:spacing/>
        <w:ind w:hanging="720" w:left="720"/>
      </w:pPr>
      <w:rPr>
        <w:rFonts w:hint="default"/>
        <w:u w:val="none"/>
      </w:rPr>
      <w:start w:val="1"/>
      <w:suff w:val="tab"/>
    </w:lvl>
    <w:lvl w:ilvl="3">
      <w:isLgl w:val="false"/>
      <w:lvlJc w:val="left"/>
      <w:lvlText w:val="%1.%2.%3.%4."/>
      <w:numFmt w:val="decimal"/>
      <w:pPr>
        <w:pBdr/>
        <w:spacing/>
        <w:ind w:hanging="1080" w:left="1080"/>
      </w:pPr>
      <w:rPr>
        <w:rFonts w:hint="default"/>
        <w:u w:val="none"/>
      </w:rPr>
      <w:start w:val="1"/>
      <w:suff w:val="tab"/>
    </w:lvl>
    <w:lvl w:ilvl="4">
      <w:isLgl w:val="false"/>
      <w:lvlJc w:val="left"/>
      <w:lvlText w:val="%1.%2.%3.%4.%5."/>
      <w:numFmt w:val="decimal"/>
      <w:pPr>
        <w:pBdr/>
        <w:spacing/>
        <w:ind w:hanging="1080" w:left="1080"/>
      </w:pPr>
      <w:rPr>
        <w:rFonts w:hint="default"/>
        <w:u w:val="none"/>
      </w:rPr>
      <w:start w:val="1"/>
      <w:suff w:val="tab"/>
    </w:lvl>
    <w:lvl w:ilvl="5">
      <w:isLgl w:val="false"/>
      <w:lvlJc w:val="left"/>
      <w:lvlText w:val="%1.%2.%3.%4.%5.%6."/>
      <w:numFmt w:val="decimal"/>
      <w:pPr>
        <w:pBdr/>
        <w:spacing/>
        <w:ind w:hanging="1440" w:left="1440"/>
      </w:pPr>
      <w:rPr>
        <w:rFonts w:hint="default"/>
        <w:u w:val="none"/>
      </w:rPr>
      <w:start w:val="1"/>
      <w:suff w:val="tab"/>
    </w:lvl>
    <w:lvl w:ilvl="6">
      <w:isLgl w:val="false"/>
      <w:lvlJc w:val="left"/>
      <w:lvlText w:val="%1.%2.%3.%4.%5.%6.%7."/>
      <w:numFmt w:val="decimal"/>
      <w:pPr>
        <w:pBdr/>
        <w:spacing/>
        <w:ind w:hanging="1440" w:left="1440"/>
      </w:pPr>
      <w:rPr>
        <w:rFonts w:hint="default"/>
        <w:u w:val="none"/>
      </w:rPr>
      <w:start w:val="1"/>
      <w:suff w:val="tab"/>
    </w:lvl>
    <w:lvl w:ilvl="7">
      <w:isLgl w:val="false"/>
      <w:lvlJc w:val="left"/>
      <w:lvlText w:val="%1.%2.%3.%4.%5.%6.%7.%8."/>
      <w:numFmt w:val="decimal"/>
      <w:pPr>
        <w:pBdr/>
        <w:spacing/>
        <w:ind w:hanging="1800" w:left="1800"/>
      </w:pPr>
      <w:rPr>
        <w:rFonts w:hint="default"/>
        <w:u w:val="none"/>
      </w:rPr>
      <w:start w:val="1"/>
      <w:suff w:val="tab"/>
    </w:lvl>
    <w:lvl w:ilvl="8">
      <w:isLgl w:val="false"/>
      <w:lvlJc w:val="left"/>
      <w:lvlText w:val="%1.%2.%3.%4.%5.%6.%7.%8.%9."/>
      <w:numFmt w:val="decimal"/>
      <w:pPr>
        <w:pBdr/>
        <w:spacing/>
        <w:ind w:hanging="2160" w:left="2160"/>
      </w:pPr>
      <w:rPr>
        <w:rFonts w:hint="default"/>
        <w:u w:val="none"/>
      </w:rPr>
      <w:start w:val="1"/>
      <w:suff w:val="tab"/>
    </w:lvl>
  </w:abstractNum>
  <w:abstractNum w:abstractNumId="43">
    <w:nsid w:val="7B733150"/>
    <w:lvl w:ilvl="0">
      <w:isLgl w:val="false"/>
      <w:lvlJc w:val="left"/>
      <w:lvlText w:val="%1."/>
      <w:numFmt w:val="decimal"/>
      <w:pPr>
        <w:pBdr/>
        <w:tabs>
          <w:tab w:val="num" w:leader="none" w:pos="0"/>
        </w:tabs>
        <w:spacing/>
        <w:ind w:hanging="360" w:left="360"/>
      </w:pPr>
      <w:rPr/>
      <w:start w:val="19"/>
      <w:suff w:val="tab"/>
    </w:lvl>
    <w:lvl w:ilvl="1">
      <w:isLgl w:val="false"/>
      <w:lvlJc w:val="left"/>
      <w:lvlText w:val="%1.%2."/>
      <w:numFmt w:val="decimal"/>
      <w:pPr>
        <w:pBdr/>
        <w:tabs>
          <w:tab w:val="num" w:leader="none" w:pos="0"/>
        </w:tabs>
        <w:spacing/>
        <w:ind w:hanging="432" w:left="792"/>
      </w:pPr>
      <w:rPr>
        <w:b w:val="0"/>
        <w:i w:val="0"/>
      </w:rPr>
      <w:start w:val="1"/>
      <w:suff w:val="tab"/>
    </w:lvl>
    <w:lvl w:ilvl="2">
      <w:isLgl w:val="false"/>
      <w:lvlJc w:val="left"/>
      <w:lvlText w:val="%3)"/>
      <w:numFmt w:val="lowerLetter"/>
      <w:pPr>
        <w:pBdr/>
        <w:tabs>
          <w:tab w:val="num" w:leader="none" w:pos="0"/>
        </w:tabs>
        <w:spacing/>
        <w:ind w:hanging="504" w:left="1224"/>
      </w:pPr>
      <w:rPr>
        <w:b w:val="0"/>
      </w:rPr>
      <w:start w:val="1"/>
      <w:suff w:val="tab"/>
    </w:lvl>
    <w:lvl w:ilvl="3">
      <w:isLgl w:val="false"/>
      <w:lvlJc w:val="left"/>
      <w:lvlText w:val="%1.%2.%3.%4."/>
      <w:numFmt w:val="decimal"/>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44">
    <w:nsid w:val="7C72005A"/>
    <w:lvl w:ilvl="0">
      <w:isLgl w:val="false"/>
      <w:lvlJc w:val="left"/>
      <w:lvlText w:val=""/>
      <w:numFmt w:val="bullet"/>
      <w:pPr>
        <w:pBdr/>
        <w:tabs>
          <w:tab w:val="num" w:leader="none" w:pos="0"/>
        </w:tabs>
        <w:spacing/>
        <w:ind w:hanging="360" w:left="720"/>
      </w:pPr>
      <w:rPr>
        <w:rFonts w:hint="default" w:ascii="Wingdings" w:hAnsi="Wingdings" w:cs="Wingdings"/>
      </w:rPr>
      <w:start w:val="1"/>
      <w:suff w:val="tab"/>
    </w:lvl>
    <w:lvl w:ilvl="1">
      <w:isLgl w:val="false"/>
      <w:lvlJc w:val="left"/>
      <w:lvlText w:val="o"/>
      <w:numFmt w:val="bullet"/>
      <w:pPr>
        <w:pBdr/>
        <w:tabs>
          <w:tab w:val="num" w:leader="none" w:pos="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0"/>
        </w:tabs>
        <w:spacing/>
        <w:ind w:hanging="360" w:left="2880"/>
      </w:pPr>
      <w:rPr>
        <w:rFonts w:hint="default" w:ascii="Symbol" w:hAnsi="Symbol" w:cs="Symbol"/>
      </w:rPr>
      <w:start w:val="1"/>
      <w:suff w:val="tab"/>
    </w:lvl>
    <w:lvl w:ilvl="4">
      <w:isLgl w:val="false"/>
      <w:lvlJc w:val="left"/>
      <w:lvlText w:val="o"/>
      <w:numFmt w:val="bullet"/>
      <w:pPr>
        <w:pBdr/>
        <w:tabs>
          <w:tab w:val="num" w:leader="none" w:pos="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0"/>
        </w:tabs>
        <w:spacing/>
        <w:ind w:hanging="360" w:left="5040"/>
      </w:pPr>
      <w:rPr>
        <w:rFonts w:hint="default" w:ascii="Symbol" w:hAnsi="Symbol" w:cs="Symbol"/>
      </w:rPr>
      <w:start w:val="1"/>
      <w:suff w:val="tab"/>
    </w:lvl>
    <w:lvl w:ilvl="7">
      <w:isLgl w:val="false"/>
      <w:lvlJc w:val="left"/>
      <w:lvlText w:val="o"/>
      <w:numFmt w:val="bullet"/>
      <w:pPr>
        <w:pBdr/>
        <w:tabs>
          <w:tab w:val="num" w:leader="none" w:pos="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0"/>
        </w:tabs>
        <w:spacing/>
        <w:ind w:hanging="360" w:left="6480"/>
      </w:pPr>
      <w:rPr>
        <w:rFonts w:hint="default" w:ascii="Wingdings" w:hAnsi="Wingdings" w:cs="Wingdings"/>
      </w:rPr>
      <w:start w:val="1"/>
      <w:suff w:val="tab"/>
    </w:lvl>
  </w:abstractNum>
  <w:abstractNum w:abstractNumId="45">
    <w:nsid w:val="7EA9AFCF"/>
    <w:lvl w:ilvl="0">
      <w:isLgl w:val="false"/>
      <w:lvlJc w:val="left"/>
      <w:lvlText w:val="%1."/>
      <w:numFmt w:val="decimal"/>
      <w:pPr>
        <w:pBdr/>
        <w:tabs>
          <w:tab w:val="num" w:leader="none" w:pos="0"/>
        </w:tabs>
        <w:spacing/>
        <w:ind w:hanging="360" w:left="360"/>
      </w:pPr>
      <w:rPr/>
      <w:start w:val="19"/>
      <w:suff w:val="tab"/>
    </w:lvl>
    <w:lvl w:ilvl="1">
      <w:isLgl w:val="false"/>
      <w:lvlJc w:val="left"/>
      <w:lvlText w:val="%1.%2."/>
      <w:numFmt w:val="decimal"/>
      <w:pPr>
        <w:pBdr/>
        <w:tabs>
          <w:tab w:val="num" w:leader="none" w:pos="0"/>
        </w:tabs>
        <w:spacing/>
        <w:ind w:hanging="432" w:left="792"/>
      </w:pPr>
      <w:rPr>
        <w:b w:val="0"/>
        <w:i w:val="0"/>
      </w:rPr>
      <w:start w:val="1"/>
      <w:suff w:val="tab"/>
    </w:lvl>
    <w:lvl w:ilvl="2">
      <w:isLgl w:val="false"/>
      <w:lvlJc w:val="left"/>
      <w:lvlText w:val="%3)"/>
      <w:numFmt w:val="lowerLetter"/>
      <w:pPr>
        <w:pBdr/>
        <w:tabs>
          <w:tab w:val="num" w:leader="none" w:pos="0"/>
        </w:tabs>
        <w:spacing/>
        <w:ind w:hanging="504" w:left="1224"/>
      </w:pPr>
      <w:rPr>
        <w:b w:val="0"/>
      </w:rPr>
      <w:start w:val="1"/>
      <w:suff w:val="tab"/>
    </w:lvl>
    <w:lvl w:ilvl="3">
      <w:isLgl w:val="false"/>
      <w:lvlJc w:val="left"/>
      <w:lvlText w:val="%1.%2.%3.%4."/>
      <w:numFmt w:val="decimal"/>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46">
    <w:nsid w:val="7F8F785B"/>
    <w:lvl w:ilvl="0">
      <w:isLgl w:val="false"/>
      <w:lvlJc w:val="left"/>
      <w:lvlText w:val="%1."/>
      <w:numFmt w:val="decimal"/>
      <w:pPr>
        <w:pBdr/>
        <w:spacing/>
        <w:ind w:hanging="360" w:left="720"/>
      </w:pPr>
      <w:rPr>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41"/>
  </w:num>
  <w:num w:numId="2">
    <w:abstractNumId w:val="27"/>
  </w:num>
  <w:num w:numId="3">
    <w:abstractNumId w:val="26"/>
  </w:num>
  <w:num w:numId="4">
    <w:abstractNumId w:val="15"/>
  </w:num>
  <w:num w:numId="5">
    <w:abstractNumId w:val="28"/>
  </w:num>
  <w:num w:numId="6">
    <w:abstractNumId w:val="33"/>
  </w:num>
  <w:num w:numId="7">
    <w:abstractNumId w:val="16"/>
  </w:num>
  <w:num w:numId="8">
    <w:abstractNumId w:val="44"/>
  </w:num>
  <w:num w:numId="9">
    <w:abstractNumId w:val="40"/>
  </w:num>
  <w:num w:numId="10">
    <w:abstractNumId w:val="11"/>
  </w:num>
  <w:num w:numId="11">
    <w:abstractNumId w:val="7"/>
  </w:num>
  <w:num w:numId="12">
    <w:abstractNumId w:val="4"/>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6"/>
  </w:num>
  <w:num w:numId="16">
    <w:abstractNumId w:val="0"/>
  </w:num>
  <w:num w:numId="17">
    <w:abstractNumId w:val="2"/>
  </w:num>
  <w:num w:numId="18">
    <w:abstractNumId w:val="45"/>
  </w:num>
  <w:num w:numId="19">
    <w:abstractNumId w:val="10"/>
  </w:num>
  <w:num w:numId="20">
    <w:abstractNumId w:val="13"/>
  </w:num>
  <w:num w:numId="21">
    <w:abstractNumId w:val="24"/>
  </w:num>
  <w:num w:numId="22">
    <w:abstractNumId w:val="14"/>
  </w:num>
  <w:num w:numId="23">
    <w:abstractNumId w:val="20"/>
  </w:num>
  <w:num w:numId="24">
    <w:abstractNumId w:val="38"/>
  </w:num>
  <w:num w:numId="25">
    <w:abstractNumId w:val="36"/>
  </w:num>
  <w:num w:numId="26">
    <w:abstractNumId w:val="39"/>
  </w:num>
  <w:num w:numId="27">
    <w:abstractNumId w:val="31"/>
  </w:num>
  <w:num w:numId="28">
    <w:abstractNumId w:val="43"/>
  </w:num>
  <w:num w:numId="29">
    <w:abstractNumId w:val="21"/>
  </w:num>
  <w:num w:numId="30">
    <w:abstractNumId w:val="17"/>
  </w:num>
  <w:num w:numId="31">
    <w:abstractNumId w:val="5"/>
    <w:lvlOverride w:ilvl="0">
      <w:startOverride w:val="1"/>
    </w:lvlOverride>
  </w:num>
  <w:num w:numId="32">
    <w:abstractNumId w:val="5"/>
  </w:num>
  <w:num w:numId="33">
    <w:abstractNumId w:val="35"/>
  </w:num>
  <w:num w:numId="34">
    <w:abstractNumId w:val="19"/>
  </w:num>
  <w:num w:numId="35">
    <w:abstractNumId w:val="30"/>
  </w:num>
  <w:num w:numId="36">
    <w:abstractNumId w:val="34"/>
  </w:num>
  <w:num w:numId="37">
    <w:abstractNumId w:val="8"/>
  </w:num>
  <w:num w:numId="38">
    <w:abstractNumId w:val="42"/>
  </w:num>
  <w:num w:numId="39">
    <w:abstractNumId w:val="25"/>
  </w:num>
  <w:num w:numId="40">
    <w:abstractNumId w:val="18"/>
  </w:num>
  <w:num w:numId="41">
    <w:abstractNumId w:val="23"/>
  </w:num>
  <w:num w:numId="42">
    <w:abstractNumId w:val="46"/>
  </w:num>
  <w:num w:numId="43">
    <w:abstractNumId w:val="19"/>
  </w:num>
  <w:num w:numId="44">
    <w:abstractNumId w:val="3"/>
  </w:num>
  <w:num w:numId="45">
    <w:abstractNumId w:val="1"/>
  </w:num>
  <w:num w:numId="46">
    <w:abstractNumId w:val="22"/>
  </w:num>
  <w:num w:numId="47">
    <w:abstractNumId w:val="19"/>
  </w:num>
  <w:num w:numId="48">
    <w:abstractNumId w:val="29"/>
  </w:num>
  <w:num w:numId="49">
    <w:abstractNumId w:val="37"/>
  </w:num>
  <w:num w:numId="50">
    <w:abstractNumId w:val="9"/>
  </w:num>
  <w:num w:numId="51">
    <w:abstractNumId w:val="4"/>
  </w:num>
  <w:num w:numId="52">
    <w:abstractNumId w:val="4"/>
  </w:num>
  <w:num w:numId="53">
    <w:abstractNumId w:val="4"/>
  </w:num>
  <w:num w:numId="5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autoHyphenation w:val="true"/>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default="1">
    <w:name w:val="Normal"/>
    <w:qFormat/>
    <w:pPr>
      <w:pBdr/>
      <w:spacing w:after="120" w:before="120"/>
      <w:ind/>
      <w:jc w:val="both"/>
    </w:pPr>
    <w:rPr>
      <w:rFonts w:ascii="Arial" w:hAnsi="Arial" w:eastAsia="Times New Roman"/>
      <w:sz w:val="18"/>
      <w:szCs w:val="18"/>
      <w:lang w:eastAsia="pt-BR"/>
    </w:rPr>
  </w:style>
  <w:style w:type="paragraph" w:styleId="896">
    <w:name w:val="Heading 1"/>
    <w:basedOn w:val="895"/>
    <w:next w:val="895"/>
    <w:link w:val="945"/>
    <w:uiPriority w:val="1"/>
    <w:qFormat/>
    <w:pPr>
      <w:keepNext w:val="true"/>
      <w:pBdr/>
      <w:spacing/>
      <w:ind/>
      <w:jc w:val="center"/>
      <w:outlineLvl w:val="0"/>
    </w:pPr>
    <w:rPr>
      <w:rFonts w:ascii="Tahoma" w:hAnsi="Tahoma"/>
      <w:b/>
      <w:sz w:val="28"/>
      <w:u w:val="single"/>
    </w:rPr>
  </w:style>
  <w:style w:type="paragraph" w:styleId="897">
    <w:name w:val="Heading 2"/>
    <w:basedOn w:val="895"/>
    <w:next w:val="895"/>
    <w:link w:val="946"/>
    <w:qFormat/>
    <w:pPr>
      <w:keepNext w:val="true"/>
      <w:pBdr/>
      <w:spacing/>
      <w:ind w:hanging="426" w:left="426"/>
      <w:outlineLvl w:val="1"/>
    </w:pPr>
    <w:rPr>
      <w:rFonts w:ascii="Tahoma" w:hAnsi="Tahoma"/>
      <w:sz w:val="24"/>
    </w:rPr>
  </w:style>
  <w:style w:type="paragraph" w:styleId="898">
    <w:name w:val="Heading 3"/>
    <w:basedOn w:val="895"/>
    <w:next w:val="895"/>
    <w:link w:val="925"/>
    <w:uiPriority w:val="9"/>
    <w:unhideWhenUsed/>
    <w:qFormat/>
    <w:pPr>
      <w:keepNext w:val="true"/>
      <w:keepLines w:val="true"/>
      <w:pBdr/>
      <w:spacing w:after="200" w:before="320"/>
      <w:ind/>
      <w:outlineLvl w:val="2"/>
    </w:pPr>
    <w:rPr>
      <w:rFonts w:eastAsia="Arial"/>
      <w:sz w:val="30"/>
      <w:szCs w:val="30"/>
    </w:rPr>
  </w:style>
  <w:style w:type="paragraph" w:styleId="899">
    <w:name w:val="Heading 4"/>
    <w:basedOn w:val="895"/>
    <w:next w:val="895"/>
    <w:link w:val="947"/>
    <w:qFormat/>
    <w:pPr>
      <w:keepNext w:val="true"/>
      <w:pBdr/>
      <w:spacing w:after="60" w:before="240"/>
      <w:ind/>
      <w:jc w:val="left"/>
      <w:outlineLvl w:val="3"/>
    </w:pPr>
    <w:rPr>
      <w:rFonts w:ascii="Calibri" w:hAnsi="Calibri" w:cs="Times New Roman"/>
      <w:b/>
      <w:bCs/>
      <w:sz w:val="28"/>
      <w:szCs w:val="28"/>
    </w:rPr>
  </w:style>
  <w:style w:type="paragraph" w:styleId="900">
    <w:name w:val="Heading 5"/>
    <w:basedOn w:val="895"/>
    <w:next w:val="895"/>
    <w:link w:val="927"/>
    <w:uiPriority w:val="9"/>
    <w:unhideWhenUsed/>
    <w:qFormat/>
    <w:pPr>
      <w:keepNext w:val="true"/>
      <w:keepLines w:val="true"/>
      <w:pBdr/>
      <w:spacing w:after="200" w:before="320"/>
      <w:ind/>
      <w:outlineLvl w:val="4"/>
    </w:pPr>
    <w:rPr>
      <w:rFonts w:eastAsia="Arial"/>
      <w:b/>
      <w:bCs/>
      <w:sz w:val="24"/>
      <w:szCs w:val="24"/>
    </w:rPr>
  </w:style>
  <w:style w:type="paragraph" w:styleId="901">
    <w:name w:val="Heading 6"/>
    <w:basedOn w:val="895"/>
    <w:next w:val="895"/>
    <w:link w:val="928"/>
    <w:uiPriority w:val="9"/>
    <w:unhideWhenUsed/>
    <w:qFormat/>
    <w:pPr>
      <w:keepNext w:val="true"/>
      <w:keepLines w:val="true"/>
      <w:pBdr/>
      <w:spacing w:after="200" w:before="320"/>
      <w:ind/>
      <w:outlineLvl w:val="5"/>
    </w:pPr>
    <w:rPr>
      <w:rFonts w:eastAsia="Arial"/>
      <w:b/>
      <w:bCs/>
      <w:sz w:val="22"/>
      <w:szCs w:val="22"/>
    </w:rPr>
  </w:style>
  <w:style w:type="paragraph" w:styleId="902">
    <w:name w:val="Heading 7"/>
    <w:basedOn w:val="895"/>
    <w:next w:val="895"/>
    <w:link w:val="929"/>
    <w:uiPriority w:val="9"/>
    <w:unhideWhenUsed/>
    <w:qFormat/>
    <w:pPr>
      <w:keepNext w:val="true"/>
      <w:keepLines w:val="true"/>
      <w:pBdr/>
      <w:spacing w:after="200" w:before="320"/>
      <w:ind/>
      <w:outlineLvl w:val="6"/>
    </w:pPr>
    <w:rPr>
      <w:rFonts w:eastAsia="Arial"/>
      <w:b/>
      <w:bCs/>
      <w:i/>
      <w:iCs/>
      <w:sz w:val="22"/>
      <w:szCs w:val="22"/>
    </w:rPr>
  </w:style>
  <w:style w:type="paragraph" w:styleId="903">
    <w:name w:val="Heading 8"/>
    <w:basedOn w:val="895"/>
    <w:next w:val="895"/>
    <w:link w:val="930"/>
    <w:uiPriority w:val="9"/>
    <w:unhideWhenUsed/>
    <w:qFormat/>
    <w:pPr>
      <w:keepNext w:val="true"/>
      <w:keepLines w:val="true"/>
      <w:pBdr/>
      <w:spacing w:after="200" w:before="320"/>
      <w:ind/>
      <w:outlineLvl w:val="7"/>
    </w:pPr>
    <w:rPr>
      <w:rFonts w:eastAsia="Arial"/>
      <w:i/>
      <w:iCs/>
      <w:sz w:val="22"/>
      <w:szCs w:val="22"/>
    </w:rPr>
  </w:style>
  <w:style w:type="paragraph" w:styleId="904">
    <w:name w:val="Heading 9"/>
    <w:basedOn w:val="895"/>
    <w:next w:val="895"/>
    <w:link w:val="948"/>
    <w:uiPriority w:val="9"/>
    <w:unhideWhenUsed/>
    <w:qFormat/>
    <w:pPr>
      <w:keepNext w:val="true"/>
      <w:keepLines w:val="true"/>
      <w:pBdr/>
      <w:spacing w:before="200"/>
      <w:ind/>
      <w:outlineLvl w:val="8"/>
    </w:pPr>
    <w:rPr>
      <w:rFonts w:asciiTheme="majorHAnsi" w:hAnsiTheme="majorHAnsi" w:eastAsiaTheme="majorEastAsia" w:cstheme="majorBidi"/>
      <w:i/>
      <w:iCs/>
      <w:color w:val="404040" w:themeColor="text1" w:themeTint="BF"/>
      <w:sz w:val="20"/>
      <w:szCs w:val="20"/>
    </w:rPr>
  </w:style>
  <w:style w:type="character" w:styleId="905" w:default="1">
    <w:name w:val="Default Paragraph Font"/>
    <w:uiPriority w:val="1"/>
    <w:semiHidden/>
    <w:unhideWhenUsed/>
    <w:pPr>
      <w:pBdr/>
      <w:spacing/>
      <w:ind/>
    </w:pPr>
  </w:style>
  <w:style w:type="table" w:styleId="906"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07" w:default="1">
    <w:name w:val="No List"/>
    <w:uiPriority w:val="99"/>
    <w:semiHidden/>
    <w:unhideWhenUsed/>
    <w:pPr>
      <w:pBdr/>
      <w:spacing/>
      <w:ind/>
    </w:pPr>
  </w:style>
  <w:style w:type="character" w:styleId="908">
    <w:name w:val="Intense Emphasis"/>
    <w:basedOn w:val="905"/>
    <w:uiPriority w:val="21"/>
    <w:qFormat/>
    <w:pPr>
      <w:pBdr/>
      <w:spacing/>
      <w:ind/>
    </w:pPr>
    <w:rPr>
      <w:i/>
      <w:iCs/>
      <w:color w:val="2e74b5" w:themeColor="accent1" w:themeShade="BF"/>
    </w:rPr>
  </w:style>
  <w:style w:type="character" w:styleId="909">
    <w:name w:val="Intense Reference"/>
    <w:basedOn w:val="905"/>
    <w:uiPriority w:val="32"/>
    <w:qFormat/>
    <w:pPr>
      <w:pBdr/>
      <w:spacing/>
      <w:ind/>
    </w:pPr>
    <w:rPr>
      <w:b/>
      <w:bCs/>
      <w:smallCaps/>
      <w:color w:val="2e74b5" w:themeColor="accent1" w:themeShade="BF"/>
      <w:spacing w:val="5"/>
    </w:rPr>
  </w:style>
  <w:style w:type="character" w:styleId="910">
    <w:name w:val="Subtle Emphasis"/>
    <w:basedOn w:val="905"/>
    <w:uiPriority w:val="19"/>
    <w:qFormat/>
    <w:pPr>
      <w:pBdr/>
      <w:spacing/>
      <w:ind/>
    </w:pPr>
    <w:rPr>
      <w:i/>
      <w:iCs/>
      <w:color w:val="404040" w:themeColor="text1" w:themeTint="BF"/>
    </w:rPr>
  </w:style>
  <w:style w:type="character" w:styleId="911">
    <w:name w:val="Subtle Reference"/>
    <w:basedOn w:val="905"/>
    <w:uiPriority w:val="31"/>
    <w:qFormat/>
    <w:pPr>
      <w:pBdr/>
      <w:spacing/>
      <w:ind/>
    </w:pPr>
    <w:rPr>
      <w:smallCaps/>
      <w:color w:val="5a5a5a" w:themeColor="text1" w:themeTint="A5"/>
    </w:rPr>
  </w:style>
  <w:style w:type="character" w:styleId="912">
    <w:name w:val="Book Title"/>
    <w:basedOn w:val="905"/>
    <w:uiPriority w:val="33"/>
    <w:qFormat/>
    <w:pPr>
      <w:pBdr/>
      <w:spacing/>
      <w:ind/>
    </w:pPr>
    <w:rPr>
      <w:b/>
      <w:bCs/>
      <w:i/>
      <w:iCs/>
      <w:spacing w:val="5"/>
    </w:rPr>
  </w:style>
  <w:style w:type="character" w:styleId="913">
    <w:name w:val="Placeholder Text"/>
    <w:basedOn w:val="905"/>
    <w:uiPriority w:val="99"/>
    <w:semiHidden/>
    <w:pPr>
      <w:pBdr/>
      <w:spacing/>
      <w:ind/>
    </w:pPr>
    <w:rPr>
      <w:color w:val="666666"/>
    </w:rPr>
  </w:style>
  <w:style w:type="character" w:styleId="914" w:customStyle="1">
    <w:name w:val="Heading 3 Char"/>
    <w:basedOn w:val="905"/>
    <w:uiPriority w:val="9"/>
    <w:qFormat/>
    <w:pPr>
      <w:pBdr/>
      <w:spacing/>
      <w:ind/>
    </w:pPr>
    <w:rPr>
      <w:rFonts w:ascii="Arial" w:hAnsi="Arial" w:eastAsia="Arial" w:cs="Arial"/>
      <w:sz w:val="30"/>
      <w:szCs w:val="30"/>
    </w:rPr>
  </w:style>
  <w:style w:type="character" w:styleId="915" w:customStyle="1">
    <w:name w:val="Heading 5 Char"/>
    <w:basedOn w:val="905"/>
    <w:uiPriority w:val="9"/>
    <w:qFormat/>
    <w:pPr>
      <w:pBdr/>
      <w:spacing/>
      <w:ind/>
    </w:pPr>
    <w:rPr>
      <w:rFonts w:ascii="Arial" w:hAnsi="Arial" w:eastAsia="Arial" w:cs="Arial"/>
      <w:b/>
      <w:bCs/>
      <w:sz w:val="24"/>
      <w:szCs w:val="24"/>
    </w:rPr>
  </w:style>
  <w:style w:type="character" w:styleId="916" w:customStyle="1">
    <w:name w:val="Heading 6 Char"/>
    <w:basedOn w:val="905"/>
    <w:uiPriority w:val="9"/>
    <w:qFormat/>
    <w:pPr>
      <w:pBdr/>
      <w:spacing/>
      <w:ind/>
    </w:pPr>
    <w:rPr>
      <w:rFonts w:ascii="Arial" w:hAnsi="Arial" w:eastAsia="Arial" w:cs="Arial"/>
      <w:b/>
      <w:bCs/>
      <w:sz w:val="22"/>
      <w:szCs w:val="22"/>
    </w:rPr>
  </w:style>
  <w:style w:type="character" w:styleId="917" w:customStyle="1">
    <w:name w:val="Heading 7 Char"/>
    <w:basedOn w:val="905"/>
    <w:uiPriority w:val="9"/>
    <w:qFormat/>
    <w:pPr>
      <w:pBdr/>
      <w:spacing/>
      <w:ind/>
    </w:pPr>
    <w:rPr>
      <w:rFonts w:ascii="Arial" w:hAnsi="Arial" w:eastAsia="Arial" w:cs="Arial"/>
      <w:b/>
      <w:bCs/>
      <w:i/>
      <w:iCs/>
      <w:sz w:val="22"/>
      <w:szCs w:val="22"/>
    </w:rPr>
  </w:style>
  <w:style w:type="character" w:styleId="918" w:customStyle="1">
    <w:name w:val="Heading 8 Char"/>
    <w:basedOn w:val="905"/>
    <w:uiPriority w:val="9"/>
    <w:qFormat/>
    <w:pPr>
      <w:pBdr/>
      <w:spacing/>
      <w:ind/>
    </w:pPr>
    <w:rPr>
      <w:rFonts w:ascii="Arial" w:hAnsi="Arial" w:eastAsia="Arial" w:cs="Arial"/>
      <w:i/>
      <w:iCs/>
      <w:sz w:val="22"/>
      <w:szCs w:val="22"/>
    </w:rPr>
  </w:style>
  <w:style w:type="character" w:styleId="919" w:customStyle="1">
    <w:name w:val="Subtitle Char"/>
    <w:basedOn w:val="905"/>
    <w:uiPriority w:val="11"/>
    <w:qFormat/>
    <w:pPr>
      <w:pBdr/>
      <w:spacing/>
      <w:ind/>
    </w:pPr>
    <w:rPr>
      <w:sz w:val="24"/>
      <w:szCs w:val="24"/>
    </w:rPr>
  </w:style>
  <w:style w:type="character" w:styleId="920" w:customStyle="1">
    <w:name w:val="Intense Quote Char"/>
    <w:uiPriority w:val="30"/>
    <w:qFormat/>
    <w:pPr>
      <w:pBdr/>
      <w:spacing/>
      <w:ind/>
    </w:pPr>
    <w:rPr>
      <w:i/>
    </w:rPr>
  </w:style>
  <w:style w:type="character" w:styleId="921" w:customStyle="1">
    <w:name w:val="Footnote Text Char"/>
    <w:uiPriority w:val="99"/>
    <w:qFormat/>
    <w:pPr>
      <w:pBdr/>
      <w:spacing/>
      <w:ind/>
    </w:pPr>
    <w:rPr>
      <w:sz w:val="18"/>
    </w:rPr>
  </w:style>
  <w:style w:type="character" w:styleId="922" w:customStyle="1">
    <w:name w:val="Endnote Text Char"/>
    <w:uiPriority w:val="99"/>
    <w:qFormat/>
    <w:pPr>
      <w:pBdr/>
      <w:spacing/>
      <w:ind/>
    </w:pPr>
    <w:rPr>
      <w:sz w:val="20"/>
    </w:rPr>
  </w:style>
  <w:style w:type="character" w:styleId="923" w:customStyle="1">
    <w:name w:val="Heading 1 Char"/>
    <w:basedOn w:val="905"/>
    <w:uiPriority w:val="9"/>
    <w:qFormat/>
    <w:pPr>
      <w:pBdr/>
      <w:spacing/>
      <w:ind/>
    </w:pPr>
    <w:rPr>
      <w:rFonts w:ascii="Arial" w:hAnsi="Arial" w:eastAsia="Arial" w:cs="Arial"/>
      <w:sz w:val="40"/>
      <w:szCs w:val="40"/>
    </w:rPr>
  </w:style>
  <w:style w:type="character" w:styleId="924" w:customStyle="1">
    <w:name w:val="Heading 2 Char"/>
    <w:basedOn w:val="905"/>
    <w:uiPriority w:val="9"/>
    <w:qFormat/>
    <w:pPr>
      <w:pBdr/>
      <w:spacing/>
      <w:ind/>
    </w:pPr>
    <w:rPr>
      <w:rFonts w:ascii="Arial" w:hAnsi="Arial" w:eastAsia="Arial" w:cs="Arial"/>
      <w:sz w:val="34"/>
    </w:rPr>
  </w:style>
  <w:style w:type="character" w:styleId="925" w:customStyle="1">
    <w:name w:val="Título 3 Char"/>
    <w:basedOn w:val="905"/>
    <w:link w:val="898"/>
    <w:uiPriority w:val="9"/>
    <w:qFormat/>
    <w:pPr>
      <w:pBdr/>
      <w:spacing/>
      <w:ind/>
    </w:pPr>
    <w:rPr>
      <w:rFonts w:ascii="Arial" w:hAnsi="Arial" w:eastAsia="Arial" w:cs="Arial"/>
      <w:sz w:val="30"/>
      <w:szCs w:val="30"/>
    </w:rPr>
  </w:style>
  <w:style w:type="character" w:styleId="926" w:customStyle="1">
    <w:name w:val="Heading 4 Char"/>
    <w:basedOn w:val="905"/>
    <w:uiPriority w:val="9"/>
    <w:qFormat/>
    <w:pPr>
      <w:pBdr/>
      <w:spacing/>
      <w:ind/>
    </w:pPr>
    <w:rPr>
      <w:rFonts w:ascii="Arial" w:hAnsi="Arial" w:eastAsia="Arial" w:cs="Arial"/>
      <w:b/>
      <w:bCs/>
      <w:sz w:val="26"/>
      <w:szCs w:val="26"/>
    </w:rPr>
  </w:style>
  <w:style w:type="character" w:styleId="927" w:customStyle="1">
    <w:name w:val="Título 5 Char"/>
    <w:basedOn w:val="905"/>
    <w:link w:val="900"/>
    <w:uiPriority w:val="9"/>
    <w:qFormat/>
    <w:pPr>
      <w:pBdr/>
      <w:spacing/>
      <w:ind/>
    </w:pPr>
    <w:rPr>
      <w:rFonts w:ascii="Arial" w:hAnsi="Arial" w:eastAsia="Arial" w:cs="Arial"/>
      <w:b/>
      <w:bCs/>
      <w:sz w:val="24"/>
      <w:szCs w:val="24"/>
    </w:rPr>
  </w:style>
  <w:style w:type="character" w:styleId="928" w:customStyle="1">
    <w:name w:val="Título 6 Char"/>
    <w:basedOn w:val="905"/>
    <w:link w:val="901"/>
    <w:uiPriority w:val="9"/>
    <w:qFormat/>
    <w:pPr>
      <w:pBdr/>
      <w:spacing/>
      <w:ind/>
    </w:pPr>
    <w:rPr>
      <w:rFonts w:ascii="Arial" w:hAnsi="Arial" w:eastAsia="Arial" w:cs="Arial"/>
      <w:b/>
      <w:bCs/>
      <w:sz w:val="22"/>
      <w:szCs w:val="22"/>
    </w:rPr>
  </w:style>
  <w:style w:type="character" w:styleId="929" w:customStyle="1">
    <w:name w:val="Título 7 Char"/>
    <w:basedOn w:val="905"/>
    <w:link w:val="902"/>
    <w:uiPriority w:val="9"/>
    <w:qFormat/>
    <w:pPr>
      <w:pBdr/>
      <w:spacing/>
      <w:ind/>
    </w:pPr>
    <w:rPr>
      <w:rFonts w:ascii="Arial" w:hAnsi="Arial" w:eastAsia="Arial" w:cs="Arial"/>
      <w:b/>
      <w:bCs/>
      <w:i/>
      <w:iCs/>
      <w:sz w:val="22"/>
      <w:szCs w:val="22"/>
    </w:rPr>
  </w:style>
  <w:style w:type="character" w:styleId="930" w:customStyle="1">
    <w:name w:val="Título 8 Char"/>
    <w:basedOn w:val="905"/>
    <w:link w:val="903"/>
    <w:uiPriority w:val="9"/>
    <w:qFormat/>
    <w:pPr>
      <w:pBdr/>
      <w:spacing/>
      <w:ind/>
    </w:pPr>
    <w:rPr>
      <w:rFonts w:ascii="Arial" w:hAnsi="Arial" w:eastAsia="Arial" w:cs="Arial"/>
      <w:i/>
      <w:iCs/>
      <w:sz w:val="22"/>
      <w:szCs w:val="22"/>
    </w:rPr>
  </w:style>
  <w:style w:type="character" w:styleId="931" w:customStyle="1">
    <w:name w:val="Heading 9 Char"/>
    <w:basedOn w:val="905"/>
    <w:uiPriority w:val="9"/>
    <w:qFormat/>
    <w:pPr>
      <w:pBdr/>
      <w:spacing/>
      <w:ind/>
    </w:pPr>
    <w:rPr>
      <w:rFonts w:ascii="Arial" w:hAnsi="Arial" w:eastAsia="Arial" w:cs="Arial"/>
      <w:i/>
      <w:iCs/>
      <w:sz w:val="21"/>
      <w:szCs w:val="21"/>
    </w:rPr>
  </w:style>
  <w:style w:type="character" w:styleId="932" w:customStyle="1">
    <w:name w:val="Title Char"/>
    <w:basedOn w:val="905"/>
    <w:uiPriority w:val="10"/>
    <w:qFormat/>
    <w:pPr>
      <w:pBdr/>
      <w:spacing/>
      <w:ind/>
    </w:pPr>
    <w:rPr>
      <w:sz w:val="48"/>
      <w:szCs w:val="48"/>
    </w:rPr>
  </w:style>
  <w:style w:type="character" w:styleId="933" w:customStyle="1">
    <w:name w:val="Subtítulo Char"/>
    <w:basedOn w:val="905"/>
    <w:link w:val="974"/>
    <w:uiPriority w:val="11"/>
    <w:qFormat/>
    <w:pPr>
      <w:pBdr/>
      <w:spacing/>
      <w:ind/>
    </w:pPr>
    <w:rPr>
      <w:sz w:val="24"/>
      <w:szCs w:val="24"/>
    </w:rPr>
  </w:style>
  <w:style w:type="character" w:styleId="934" w:customStyle="1">
    <w:name w:val="Quote Char"/>
    <w:uiPriority w:val="29"/>
    <w:qFormat/>
    <w:pPr>
      <w:pBdr/>
      <w:spacing/>
      <w:ind/>
    </w:pPr>
    <w:rPr>
      <w:i/>
    </w:rPr>
  </w:style>
  <w:style w:type="character" w:styleId="935" w:customStyle="1">
    <w:name w:val="Citação Intensa Char"/>
    <w:link w:val="975"/>
    <w:uiPriority w:val="30"/>
    <w:qFormat/>
    <w:pPr>
      <w:pBdr/>
      <w:spacing/>
      <w:ind/>
    </w:pPr>
    <w:rPr>
      <w:i/>
    </w:rPr>
  </w:style>
  <w:style w:type="character" w:styleId="936" w:customStyle="1">
    <w:name w:val="Header Char"/>
    <w:basedOn w:val="905"/>
    <w:uiPriority w:val="99"/>
    <w:qFormat/>
    <w:pPr>
      <w:pBdr/>
      <w:spacing/>
      <w:ind/>
    </w:pPr>
  </w:style>
  <w:style w:type="character" w:styleId="937" w:customStyle="1">
    <w:name w:val="Footer Char"/>
    <w:basedOn w:val="905"/>
    <w:uiPriority w:val="99"/>
    <w:qFormat/>
    <w:pPr>
      <w:pBdr/>
      <w:spacing/>
      <w:ind/>
    </w:pPr>
  </w:style>
  <w:style w:type="character" w:styleId="938" w:customStyle="1">
    <w:name w:val="Caption Char"/>
    <w:uiPriority w:val="99"/>
    <w:qFormat/>
    <w:pPr>
      <w:pBdr/>
      <w:spacing/>
      <w:ind/>
    </w:pPr>
  </w:style>
  <w:style w:type="character" w:styleId="939" w:customStyle="1">
    <w:name w:val="Texto de nota de rodapé Char"/>
    <w:link w:val="977"/>
    <w:uiPriority w:val="99"/>
    <w:qFormat/>
    <w:pPr>
      <w:pBdr/>
      <w:spacing/>
      <w:ind/>
    </w:pPr>
    <w:rPr>
      <w:sz w:val="18"/>
    </w:rPr>
  </w:style>
  <w:style w:type="character" w:styleId="940" w:customStyle="1">
    <w:name w:val="Caracteres de nota de rodapé"/>
    <w:basedOn w:val="905"/>
    <w:uiPriority w:val="99"/>
    <w:unhideWhenUsed/>
    <w:qFormat/>
    <w:pPr>
      <w:pBdr/>
      <w:spacing/>
      <w:ind/>
    </w:pPr>
    <w:rPr>
      <w:vertAlign w:val="superscript"/>
    </w:rPr>
  </w:style>
  <w:style w:type="character" w:styleId="941">
    <w:name w:val="footnote reference"/>
    <w:pPr>
      <w:pBdr/>
      <w:spacing/>
      <w:ind/>
    </w:pPr>
    <w:rPr>
      <w:vertAlign w:val="superscript"/>
    </w:rPr>
  </w:style>
  <w:style w:type="character" w:styleId="942" w:customStyle="1">
    <w:name w:val="Texto de nota de fim Char"/>
    <w:link w:val="978"/>
    <w:uiPriority w:val="99"/>
    <w:qFormat/>
    <w:pPr>
      <w:pBdr/>
      <w:spacing/>
      <w:ind/>
    </w:pPr>
    <w:rPr>
      <w:sz w:val="20"/>
    </w:rPr>
  </w:style>
  <w:style w:type="character" w:styleId="943" w:customStyle="1">
    <w:name w:val="Caracteres de nota de fim"/>
    <w:basedOn w:val="905"/>
    <w:uiPriority w:val="99"/>
    <w:semiHidden/>
    <w:unhideWhenUsed/>
    <w:qFormat/>
    <w:pPr>
      <w:pBdr/>
      <w:spacing/>
      <w:ind/>
    </w:pPr>
    <w:rPr>
      <w:vertAlign w:val="superscript"/>
    </w:rPr>
  </w:style>
  <w:style w:type="character" w:styleId="944">
    <w:name w:val="endnote reference"/>
    <w:pPr>
      <w:pBdr/>
      <w:spacing/>
      <w:ind/>
    </w:pPr>
    <w:rPr>
      <w:vertAlign w:val="superscript"/>
    </w:rPr>
  </w:style>
  <w:style w:type="character" w:styleId="945" w:customStyle="1">
    <w:name w:val="Título 1 Char"/>
    <w:basedOn w:val="905"/>
    <w:link w:val="896"/>
    <w:uiPriority w:val="1"/>
    <w:qFormat/>
    <w:pPr>
      <w:pBdr/>
      <w:spacing/>
      <w:ind/>
    </w:pPr>
    <w:rPr>
      <w:rFonts w:ascii="Tahoma" w:hAnsi="Tahoma" w:eastAsia="Times New Roman" w:cs="Arial"/>
      <w:b/>
      <w:sz w:val="28"/>
      <w:szCs w:val="18"/>
      <w:u w:val="single"/>
      <w:lang w:eastAsia="pt-BR"/>
    </w:rPr>
  </w:style>
  <w:style w:type="character" w:styleId="946" w:customStyle="1">
    <w:name w:val="Título 2 Char"/>
    <w:basedOn w:val="905"/>
    <w:link w:val="897"/>
    <w:qFormat/>
    <w:pPr>
      <w:pBdr/>
      <w:spacing/>
      <w:ind/>
    </w:pPr>
    <w:rPr>
      <w:rFonts w:ascii="Tahoma" w:hAnsi="Tahoma" w:eastAsia="Times New Roman" w:cs="Arial"/>
      <w:sz w:val="24"/>
      <w:szCs w:val="18"/>
      <w:lang w:eastAsia="pt-BR"/>
    </w:rPr>
  </w:style>
  <w:style w:type="character" w:styleId="947" w:customStyle="1">
    <w:name w:val="Título 4 Char"/>
    <w:basedOn w:val="905"/>
    <w:link w:val="899"/>
    <w:qFormat/>
    <w:pPr>
      <w:pBdr/>
      <w:spacing/>
      <w:ind/>
    </w:pPr>
    <w:rPr>
      <w:rFonts w:ascii="Calibri" w:hAnsi="Calibri" w:eastAsia="Times New Roman" w:cs="Times New Roman"/>
      <w:b/>
      <w:bCs/>
      <w:sz w:val="28"/>
      <w:szCs w:val="28"/>
      <w:lang w:eastAsia="pt-BR"/>
    </w:rPr>
  </w:style>
  <w:style w:type="character" w:styleId="948" w:customStyle="1">
    <w:name w:val="Título 9 Char"/>
    <w:basedOn w:val="905"/>
    <w:link w:val="904"/>
    <w:uiPriority w:val="9"/>
    <w:qFormat/>
    <w:pPr>
      <w:pBdr/>
      <w:spacing/>
      <w:ind/>
    </w:pPr>
    <w:rPr>
      <w:rFonts w:asciiTheme="majorHAnsi" w:hAnsiTheme="majorHAnsi" w:eastAsiaTheme="majorEastAsia" w:cstheme="majorBidi"/>
      <w:i/>
      <w:iCs/>
      <w:color w:val="404040" w:themeColor="text1" w:themeTint="BF"/>
      <w:sz w:val="20"/>
      <w:szCs w:val="20"/>
      <w:lang w:eastAsia="pt-BR"/>
    </w:rPr>
  </w:style>
  <w:style w:type="character" w:styleId="949">
    <w:name w:val="page number"/>
    <w:basedOn w:val="905"/>
    <w:qFormat/>
    <w:pPr>
      <w:pBdr/>
      <w:spacing/>
      <w:ind/>
    </w:pPr>
  </w:style>
  <w:style w:type="character" w:styleId="950" w:customStyle="1">
    <w:name w:val="Cabeçalho Char"/>
    <w:basedOn w:val="905"/>
    <w:link w:val="992"/>
    <w:uiPriority w:val="99"/>
    <w:qFormat/>
    <w:pPr>
      <w:pBdr/>
      <w:spacing/>
      <w:ind/>
    </w:pPr>
    <w:rPr>
      <w:rFonts w:ascii="Arial" w:hAnsi="Arial" w:eastAsia="Times New Roman" w:cs="Arial"/>
      <w:sz w:val="24"/>
      <w:szCs w:val="18"/>
      <w:lang w:eastAsia="pt-BR"/>
    </w:rPr>
  </w:style>
  <w:style w:type="character" w:styleId="951" w:customStyle="1">
    <w:name w:val="Rodapé Char"/>
    <w:basedOn w:val="905"/>
    <w:link w:val="993"/>
    <w:uiPriority w:val="99"/>
    <w:qFormat/>
    <w:pPr>
      <w:pBdr/>
      <w:spacing/>
      <w:ind/>
    </w:pPr>
    <w:rPr>
      <w:rFonts w:ascii="Arial" w:hAnsi="Arial" w:eastAsia="Times New Roman" w:cs="Arial"/>
      <w:sz w:val="24"/>
      <w:szCs w:val="18"/>
      <w:lang w:eastAsia="pt-BR"/>
    </w:rPr>
  </w:style>
  <w:style w:type="character" w:styleId="952" w:customStyle="1">
    <w:name w:val="Corpo de texto 2 Char"/>
    <w:basedOn w:val="905"/>
    <w:link w:val="994"/>
    <w:qFormat/>
    <w:pPr>
      <w:pBdr/>
      <w:spacing/>
      <w:ind/>
    </w:pPr>
    <w:rPr>
      <w:rFonts w:ascii="Tahoma" w:hAnsi="Tahoma" w:eastAsia="Times New Roman" w:cs="Arial"/>
      <w:b/>
      <w:sz w:val="36"/>
      <w:szCs w:val="18"/>
      <w:u w:val="single"/>
      <w:lang w:eastAsia="pt-BR"/>
    </w:rPr>
  </w:style>
  <w:style w:type="character" w:styleId="953">
    <w:name w:val="Hyperlink"/>
    <w:basedOn w:val="905"/>
    <w:pPr>
      <w:pBdr/>
      <w:spacing/>
      <w:ind/>
    </w:pPr>
    <w:rPr>
      <w:color w:val="0000ff"/>
      <w:u w:val="single"/>
    </w:rPr>
  </w:style>
  <w:style w:type="character" w:styleId="954" w:customStyle="1">
    <w:name w:val="Corpo de texto Char"/>
    <w:basedOn w:val="905"/>
    <w:link w:val="969"/>
    <w:uiPriority w:val="99"/>
    <w:qFormat/>
    <w:pPr>
      <w:pBdr/>
      <w:spacing/>
      <w:ind/>
    </w:pPr>
    <w:rPr>
      <w:rFonts w:ascii="Arial" w:hAnsi="Arial" w:eastAsia="Times New Roman" w:cs="Arial"/>
      <w:sz w:val="18"/>
      <w:szCs w:val="18"/>
      <w:lang w:eastAsia="pt-BR"/>
    </w:rPr>
  </w:style>
  <w:style w:type="character" w:styleId="955" w:customStyle="1">
    <w:name w:val="apple-converted-space"/>
    <w:basedOn w:val="905"/>
    <w:qFormat/>
    <w:pPr>
      <w:pBdr/>
      <w:spacing/>
      <w:ind/>
    </w:pPr>
  </w:style>
  <w:style w:type="character" w:styleId="956">
    <w:name w:val="Strong"/>
    <w:basedOn w:val="905"/>
    <w:qFormat/>
    <w:pPr>
      <w:pBdr/>
      <w:spacing/>
      <w:ind/>
    </w:pPr>
    <w:rPr>
      <w:rFonts w:cs="Times New Roman"/>
      <w:b/>
      <w:bCs/>
    </w:rPr>
  </w:style>
  <w:style w:type="character" w:styleId="957" w:customStyle="1">
    <w:name w:val="Recuo de corpo de texto Char"/>
    <w:basedOn w:val="905"/>
    <w:link w:val="996"/>
    <w:uiPriority w:val="99"/>
    <w:semiHidden/>
    <w:qFormat/>
    <w:pPr>
      <w:pBdr/>
      <w:spacing/>
      <w:ind/>
    </w:pPr>
    <w:rPr>
      <w:rFonts w:ascii="Arial" w:hAnsi="Arial" w:eastAsia="Times New Roman" w:cs="Arial"/>
      <w:sz w:val="18"/>
      <w:szCs w:val="18"/>
      <w:lang w:eastAsia="pt-BR"/>
    </w:rPr>
  </w:style>
  <w:style w:type="character" w:styleId="958" w:customStyle="1">
    <w:name w:val="Recuo de corpo de texto Char1"/>
    <w:basedOn w:val="905"/>
    <w:uiPriority w:val="99"/>
    <w:semiHidden/>
    <w:qFormat/>
    <w:pPr>
      <w:pBdr/>
      <w:spacing/>
      <w:ind/>
    </w:pPr>
    <w:rPr>
      <w:rFonts w:ascii="Arial" w:hAnsi="Arial" w:eastAsia="Times New Roman" w:cs="Arial"/>
      <w:sz w:val="18"/>
      <w:szCs w:val="18"/>
      <w:lang w:eastAsia="pt-BR"/>
    </w:rPr>
  </w:style>
  <w:style w:type="character" w:styleId="959" w:customStyle="1">
    <w:name w:val="Recuo de corpo de texto 2 Char"/>
    <w:basedOn w:val="905"/>
    <w:link w:val="997"/>
    <w:uiPriority w:val="99"/>
    <w:semiHidden/>
    <w:qFormat/>
    <w:pPr>
      <w:pBdr/>
      <w:spacing/>
      <w:ind/>
    </w:pPr>
    <w:rPr>
      <w:rFonts w:ascii="Arial" w:hAnsi="Arial" w:eastAsia="Times New Roman" w:cs="Arial"/>
      <w:sz w:val="18"/>
      <w:szCs w:val="18"/>
      <w:lang w:eastAsia="pt-BR"/>
    </w:rPr>
  </w:style>
  <w:style w:type="character" w:styleId="960" w:customStyle="1">
    <w:name w:val="Corpo de texto 3 Char"/>
    <w:basedOn w:val="905"/>
    <w:link w:val="998"/>
    <w:uiPriority w:val="99"/>
    <w:semiHidden/>
    <w:qFormat/>
    <w:pPr>
      <w:pBdr/>
      <w:spacing/>
      <w:ind/>
    </w:pPr>
    <w:rPr>
      <w:rFonts w:ascii="Arial" w:hAnsi="Arial" w:eastAsia="Times New Roman" w:cs="Times New Roman"/>
      <w:sz w:val="16"/>
      <w:szCs w:val="16"/>
      <w:lang w:eastAsia="pt-BR"/>
    </w:rPr>
  </w:style>
  <w:style w:type="character" w:styleId="961">
    <w:name w:val="Emphasis"/>
    <w:basedOn w:val="905"/>
    <w:qFormat/>
    <w:pPr>
      <w:pBdr/>
      <w:spacing/>
      <w:ind/>
    </w:pPr>
    <w:rPr>
      <w:i/>
      <w:iCs/>
    </w:rPr>
  </w:style>
  <w:style w:type="character" w:styleId="962" w:customStyle="1">
    <w:name w:val="Texto de balão Char"/>
    <w:basedOn w:val="905"/>
    <w:link w:val="1002"/>
    <w:uiPriority w:val="99"/>
    <w:semiHidden/>
    <w:qFormat/>
    <w:pPr>
      <w:pBdr/>
      <w:spacing/>
      <w:ind/>
    </w:pPr>
    <w:rPr>
      <w:rFonts w:ascii="Tahoma" w:hAnsi="Tahoma" w:eastAsia="Times New Roman" w:cs="Tahoma"/>
      <w:sz w:val="16"/>
      <w:szCs w:val="16"/>
      <w:lang w:eastAsia="pt-BR"/>
    </w:rPr>
  </w:style>
  <w:style w:type="character" w:styleId="963" w:customStyle="1">
    <w:name w:val="Texto sem Formatação Char"/>
    <w:basedOn w:val="905"/>
    <w:link w:val="1003"/>
    <w:semiHidden/>
    <w:qFormat/>
    <w:pPr>
      <w:pBdr/>
      <w:spacing/>
      <w:ind/>
    </w:pPr>
    <w:rPr>
      <w:rFonts w:ascii="Courier New" w:hAnsi="Courier New" w:eastAsia="Times New Roman" w:cs="Times New Roman"/>
      <w:sz w:val="20"/>
      <w:szCs w:val="20"/>
      <w:lang w:eastAsia="pt-BR"/>
    </w:rPr>
  </w:style>
  <w:style w:type="character" w:styleId="964" w:customStyle="1">
    <w:name w:val="Nivel1 Char"/>
    <w:basedOn w:val="905"/>
    <w:link w:val="1005"/>
    <w:qFormat/>
    <w:pPr>
      <w:pBdr/>
      <w:spacing/>
      <w:ind/>
    </w:pPr>
    <w:rPr>
      <w:rFonts w:ascii="Arial" w:hAnsi="Arial" w:eastAsiaTheme="majorEastAsia"/>
      <w:b/>
      <w:color w:val="000000"/>
      <w:sz w:val="20"/>
      <w:szCs w:val="20"/>
      <w:lang w:eastAsia="pt-BR"/>
    </w:rPr>
  </w:style>
  <w:style w:type="character" w:styleId="965">
    <w:name w:val="FollowedHyperlink"/>
    <w:basedOn w:val="905"/>
    <w:uiPriority w:val="99"/>
    <w:semiHidden/>
    <w:unhideWhenUsed/>
    <w:pPr>
      <w:pBdr/>
      <w:spacing/>
      <w:ind/>
    </w:pPr>
    <w:rPr>
      <w:color w:val="954f72" w:themeColor="followedHyperlink"/>
      <w:u w:val="single"/>
    </w:rPr>
  </w:style>
  <w:style w:type="character" w:styleId="966" w:customStyle="1">
    <w:name w:val="Título Char"/>
    <w:basedOn w:val="905"/>
    <w:link w:val="968"/>
    <w:uiPriority w:val="1"/>
    <w:qFormat/>
    <w:pPr>
      <w:pBdr/>
      <w:spacing/>
      <w:ind/>
    </w:pPr>
    <w:rPr>
      <w:rFonts w:ascii="Tahoma" w:hAnsi="Tahoma" w:eastAsia="Tahoma" w:cs="Tahoma"/>
      <w:b/>
      <w:bCs/>
      <w:sz w:val="28"/>
      <w:szCs w:val="28"/>
      <w:u w:val="single"/>
      <w:lang w:val="pt-PT"/>
    </w:rPr>
  </w:style>
  <w:style w:type="character" w:styleId="967" w:customStyle="1">
    <w:name w:val="Citação Char"/>
    <w:basedOn w:val="905"/>
    <w:link w:val="1008"/>
    <w:qFormat/>
    <w:pPr>
      <w:pBdr/>
      <w:spacing/>
      <w:ind/>
    </w:pPr>
    <w:rPr>
      <w:rFonts w:ascii="Arial" w:hAnsi="Arial" w:eastAsia="Calibri" w:cs="Tahoma"/>
      <w:i/>
      <w:iCs/>
      <w:color w:val="000000"/>
      <w:sz w:val="20"/>
      <w:szCs w:val="24"/>
      <w:shd w:val="clear" w:color="auto" w:fill="ffffcc"/>
    </w:rPr>
  </w:style>
  <w:style w:type="paragraph" w:styleId="968">
    <w:name w:val="Title"/>
    <w:basedOn w:val="895"/>
    <w:next w:val="969"/>
    <w:link w:val="966"/>
    <w:uiPriority w:val="1"/>
    <w:qFormat/>
    <w:pPr>
      <w:widowControl w:val="false"/>
      <w:pBdr/>
      <w:spacing w:after="0" w:before="267"/>
      <w:ind w:right="2320" w:hanging="1116" w:left="3451"/>
      <w:jc w:val="left"/>
    </w:pPr>
    <w:rPr>
      <w:rFonts w:ascii="Tahoma" w:hAnsi="Tahoma" w:eastAsia="Tahoma" w:cs="Tahoma"/>
      <w:b/>
      <w:bCs/>
      <w:sz w:val="28"/>
      <w:szCs w:val="28"/>
      <w:u w:val="single"/>
      <w:lang w:val="pt-PT" w:eastAsia="en-US"/>
    </w:rPr>
  </w:style>
  <w:style w:type="paragraph" w:styleId="969">
    <w:name w:val="Body Text"/>
    <w:basedOn w:val="895"/>
    <w:link w:val="954"/>
    <w:uiPriority w:val="99"/>
    <w:qFormat/>
    <w:pPr>
      <w:pBdr/>
      <w:spacing/>
      <w:ind/>
    </w:pPr>
  </w:style>
  <w:style w:type="paragraph" w:styleId="970">
    <w:name w:val="List"/>
    <w:basedOn w:val="969"/>
    <w:pPr>
      <w:pBdr/>
      <w:spacing/>
      <w:ind/>
    </w:pPr>
    <w:rPr>
      <w:rFonts w:cs="Arial"/>
    </w:rPr>
  </w:style>
  <w:style w:type="paragraph" w:styleId="971">
    <w:name w:val="Caption"/>
    <w:basedOn w:val="895"/>
    <w:qFormat/>
    <w:pPr>
      <w:suppressLineNumbers w:val="true"/>
      <w:pBdr/>
      <w:spacing/>
      <w:ind/>
    </w:pPr>
    <w:rPr>
      <w:rFonts w:cs="Arial"/>
      <w:i/>
      <w:iCs/>
      <w:sz w:val="24"/>
      <w:szCs w:val="24"/>
    </w:rPr>
  </w:style>
  <w:style w:type="paragraph" w:styleId="972" w:customStyle="1">
    <w:name w:val="Índice"/>
    <w:basedOn w:val="895"/>
    <w:qFormat/>
    <w:pPr>
      <w:suppressLineNumbers w:val="true"/>
      <w:pBdr/>
      <w:spacing/>
      <w:ind/>
    </w:pPr>
    <w:rPr>
      <w:rFonts w:cs="Arial"/>
    </w:rPr>
  </w:style>
  <w:style w:type="paragraph" w:styleId="973">
    <w:name w:val="No Spacing"/>
    <w:uiPriority w:val="1"/>
    <w:qFormat/>
    <w:pPr>
      <w:pBdr/>
      <w:spacing/>
      <w:ind/>
    </w:pPr>
  </w:style>
  <w:style w:type="paragraph" w:styleId="974">
    <w:name w:val="Subtitle"/>
    <w:basedOn w:val="895"/>
    <w:next w:val="895"/>
    <w:link w:val="933"/>
    <w:uiPriority w:val="11"/>
    <w:qFormat/>
    <w:pPr>
      <w:pBdr/>
      <w:spacing w:after="200" w:before="200"/>
      <w:ind/>
    </w:pPr>
    <w:rPr>
      <w:sz w:val="24"/>
      <w:szCs w:val="24"/>
    </w:rPr>
  </w:style>
  <w:style w:type="paragraph" w:styleId="975">
    <w:name w:val="Intense Quote"/>
    <w:basedOn w:val="895"/>
    <w:next w:val="895"/>
    <w:link w:val="935"/>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paragraph" w:styleId="976" w:customStyle="1">
    <w:name w:val="caption1"/>
    <w:basedOn w:val="895"/>
    <w:next w:val="895"/>
    <w:uiPriority w:val="35"/>
    <w:semiHidden/>
    <w:unhideWhenUsed/>
    <w:qFormat/>
    <w:pPr>
      <w:pBdr/>
      <w:spacing w:line="276" w:lineRule="auto"/>
      <w:ind/>
    </w:pPr>
    <w:rPr>
      <w:b/>
      <w:bCs/>
      <w:color w:val="5b9bd5" w:themeColor="accent1"/>
    </w:rPr>
  </w:style>
  <w:style w:type="paragraph" w:styleId="977">
    <w:name w:val="footnote text"/>
    <w:basedOn w:val="895"/>
    <w:link w:val="939"/>
    <w:uiPriority w:val="99"/>
    <w:semiHidden/>
    <w:unhideWhenUsed/>
    <w:pPr>
      <w:pBdr/>
      <w:spacing w:after="40"/>
      <w:ind/>
    </w:pPr>
  </w:style>
  <w:style w:type="paragraph" w:styleId="978">
    <w:name w:val="endnote text"/>
    <w:basedOn w:val="895"/>
    <w:link w:val="942"/>
    <w:uiPriority w:val="99"/>
    <w:semiHidden/>
    <w:unhideWhenUsed/>
    <w:pPr>
      <w:pBdr/>
      <w:spacing w:after="0"/>
      <w:ind/>
    </w:pPr>
    <w:rPr>
      <w:sz w:val="20"/>
    </w:rPr>
  </w:style>
  <w:style w:type="paragraph" w:styleId="979">
    <w:name w:val="toc 1"/>
    <w:basedOn w:val="895"/>
    <w:next w:val="895"/>
    <w:uiPriority w:val="39"/>
    <w:unhideWhenUsed/>
    <w:pPr>
      <w:pBdr/>
      <w:spacing w:after="57"/>
      <w:ind/>
    </w:pPr>
  </w:style>
  <w:style w:type="paragraph" w:styleId="980">
    <w:name w:val="toc 2"/>
    <w:basedOn w:val="895"/>
    <w:next w:val="895"/>
    <w:uiPriority w:val="39"/>
    <w:unhideWhenUsed/>
    <w:pPr>
      <w:pBdr/>
      <w:spacing w:after="57"/>
      <w:ind w:left="283"/>
    </w:pPr>
  </w:style>
  <w:style w:type="paragraph" w:styleId="981">
    <w:name w:val="toc 3"/>
    <w:basedOn w:val="895"/>
    <w:next w:val="895"/>
    <w:uiPriority w:val="39"/>
    <w:unhideWhenUsed/>
    <w:pPr>
      <w:pBdr/>
      <w:spacing w:after="57"/>
      <w:ind w:left="567"/>
    </w:pPr>
  </w:style>
  <w:style w:type="paragraph" w:styleId="982">
    <w:name w:val="toc 4"/>
    <w:basedOn w:val="895"/>
    <w:next w:val="895"/>
    <w:uiPriority w:val="39"/>
    <w:unhideWhenUsed/>
    <w:pPr>
      <w:pBdr/>
      <w:spacing w:after="57"/>
      <w:ind w:left="850"/>
    </w:pPr>
  </w:style>
  <w:style w:type="paragraph" w:styleId="983">
    <w:name w:val="toc 5"/>
    <w:basedOn w:val="895"/>
    <w:next w:val="895"/>
    <w:uiPriority w:val="39"/>
    <w:unhideWhenUsed/>
    <w:pPr>
      <w:pBdr/>
      <w:spacing w:after="57"/>
      <w:ind w:left="1134"/>
    </w:pPr>
  </w:style>
  <w:style w:type="paragraph" w:styleId="984">
    <w:name w:val="toc 6"/>
    <w:basedOn w:val="895"/>
    <w:next w:val="895"/>
    <w:uiPriority w:val="39"/>
    <w:unhideWhenUsed/>
    <w:pPr>
      <w:pBdr/>
      <w:spacing w:after="57"/>
      <w:ind w:left="1417"/>
    </w:pPr>
  </w:style>
  <w:style w:type="paragraph" w:styleId="985">
    <w:name w:val="toc 7"/>
    <w:basedOn w:val="895"/>
    <w:next w:val="895"/>
    <w:uiPriority w:val="39"/>
    <w:unhideWhenUsed/>
    <w:pPr>
      <w:pBdr/>
      <w:spacing w:after="57"/>
      <w:ind w:left="1701"/>
    </w:pPr>
  </w:style>
  <w:style w:type="paragraph" w:styleId="986">
    <w:name w:val="toc 8"/>
    <w:basedOn w:val="895"/>
    <w:next w:val="895"/>
    <w:uiPriority w:val="39"/>
    <w:unhideWhenUsed/>
    <w:pPr>
      <w:pBdr/>
      <w:spacing w:after="57"/>
      <w:ind w:left="1984"/>
    </w:pPr>
  </w:style>
  <w:style w:type="paragraph" w:styleId="987">
    <w:name w:val="toc 9"/>
    <w:basedOn w:val="895"/>
    <w:next w:val="895"/>
    <w:uiPriority w:val="39"/>
    <w:unhideWhenUsed/>
    <w:pPr>
      <w:pBdr/>
      <w:spacing w:after="57"/>
      <w:ind w:left="2268"/>
    </w:pPr>
  </w:style>
  <w:style w:type="paragraph" w:styleId="988">
    <w:name w:val="index heading"/>
    <w:basedOn w:val="968"/>
    <w:pPr>
      <w:pBdr/>
      <w:spacing/>
      <w:ind/>
    </w:pPr>
  </w:style>
  <w:style w:type="paragraph" w:styleId="989">
    <w:name w:val="TOC Heading"/>
    <w:uiPriority w:val="39"/>
    <w:unhideWhenUsed/>
    <w:qFormat/>
    <w:pPr>
      <w:pBdr/>
      <w:spacing w:after="160" w:line="259" w:lineRule="auto"/>
      <w:ind/>
    </w:pPr>
  </w:style>
  <w:style w:type="paragraph" w:styleId="990">
    <w:name w:val="table of figures"/>
    <w:basedOn w:val="895"/>
    <w:next w:val="895"/>
    <w:uiPriority w:val="99"/>
    <w:unhideWhenUsed/>
    <w:pPr>
      <w:pBdr/>
      <w:spacing w:after="0"/>
      <w:ind/>
    </w:pPr>
  </w:style>
  <w:style w:type="paragraph" w:styleId="991" w:customStyle="1">
    <w:name w:val="Cabeçalho e Rodapé"/>
    <w:basedOn w:val="895"/>
    <w:qFormat/>
    <w:pPr>
      <w:pBdr/>
      <w:spacing/>
      <w:ind/>
    </w:pPr>
  </w:style>
  <w:style w:type="paragraph" w:styleId="992">
    <w:name w:val="Header"/>
    <w:basedOn w:val="895"/>
    <w:link w:val="950"/>
    <w:uiPriority w:val="99"/>
    <w:pPr>
      <w:pBdr/>
      <w:tabs>
        <w:tab w:val="center" w:leader="none" w:pos="4419"/>
        <w:tab w:val="right" w:leader="none" w:pos="8838"/>
      </w:tabs>
      <w:spacing/>
      <w:ind/>
    </w:pPr>
    <w:rPr>
      <w:sz w:val="24"/>
    </w:rPr>
  </w:style>
  <w:style w:type="paragraph" w:styleId="993">
    <w:name w:val="Footer"/>
    <w:basedOn w:val="895"/>
    <w:link w:val="951"/>
    <w:uiPriority w:val="99"/>
    <w:pPr>
      <w:pBdr/>
      <w:tabs>
        <w:tab w:val="center" w:leader="none" w:pos="4419"/>
        <w:tab w:val="right" w:leader="none" w:pos="8838"/>
      </w:tabs>
      <w:spacing/>
      <w:ind/>
    </w:pPr>
    <w:rPr>
      <w:sz w:val="24"/>
    </w:rPr>
  </w:style>
  <w:style w:type="paragraph" w:styleId="994">
    <w:name w:val="Body Text 2"/>
    <w:basedOn w:val="895"/>
    <w:link w:val="952"/>
    <w:qFormat/>
    <w:pPr>
      <w:pBdr/>
      <w:tabs>
        <w:tab w:val="left" w:leader="none" w:pos="9712"/>
      </w:tabs>
      <w:spacing/>
      <w:ind w:right="355"/>
      <w:jc w:val="center"/>
    </w:pPr>
    <w:rPr>
      <w:rFonts w:ascii="Tahoma" w:hAnsi="Tahoma"/>
      <w:b/>
      <w:sz w:val="36"/>
      <w:u w:val="single"/>
    </w:rPr>
  </w:style>
  <w:style w:type="paragraph" w:styleId="995">
    <w:name w:val="List Paragraph"/>
    <w:basedOn w:val="895"/>
    <w:link w:val="1170"/>
    <w:uiPriority w:val="34"/>
    <w:qFormat/>
    <w:pPr>
      <w:pBdr/>
      <w:spacing/>
      <w:ind w:left="720"/>
      <w:contextualSpacing w:val="true"/>
    </w:pPr>
  </w:style>
  <w:style w:type="paragraph" w:styleId="996">
    <w:name w:val="Body Text Indent"/>
    <w:basedOn w:val="895"/>
    <w:link w:val="957"/>
    <w:uiPriority w:val="99"/>
    <w:semiHidden/>
    <w:unhideWhenUsed/>
    <w:pPr>
      <w:pBdr/>
      <w:spacing/>
      <w:ind w:left="283"/>
    </w:pPr>
  </w:style>
  <w:style w:type="paragraph" w:styleId="997">
    <w:name w:val="Body Text Indent 2"/>
    <w:basedOn w:val="895"/>
    <w:link w:val="959"/>
    <w:uiPriority w:val="99"/>
    <w:semiHidden/>
    <w:unhideWhenUsed/>
    <w:qFormat/>
    <w:pPr>
      <w:pBdr/>
      <w:spacing w:line="480" w:lineRule="auto"/>
      <w:ind w:left="283"/>
    </w:pPr>
  </w:style>
  <w:style w:type="paragraph" w:styleId="998">
    <w:name w:val="Body Text 3"/>
    <w:basedOn w:val="895"/>
    <w:link w:val="960"/>
    <w:uiPriority w:val="99"/>
    <w:semiHidden/>
    <w:unhideWhenUsed/>
    <w:qFormat/>
    <w:pPr>
      <w:pBdr/>
      <w:spacing/>
      <w:ind/>
    </w:pPr>
    <w:rPr>
      <w:rFonts w:cs="Times New Roman"/>
      <w:sz w:val="16"/>
      <w:szCs w:val="16"/>
    </w:rPr>
  </w:style>
  <w:style w:type="paragraph" w:styleId="999" w:customStyle="1">
    <w:name w:val="Default"/>
    <w:qFormat/>
    <w:pPr>
      <w:pBdr/>
      <w:spacing w:after="120" w:before="120"/>
      <w:ind/>
      <w:jc w:val="both"/>
    </w:pPr>
    <w:rPr>
      <w:rFonts w:ascii="Times New Roman" w:hAnsi="Times New Roman" w:eastAsia="Times New Roman" w:cs="Times New Roman"/>
      <w:color w:val="000000"/>
      <w:sz w:val="24"/>
      <w:szCs w:val="24"/>
      <w:lang w:eastAsia="pt-BR"/>
    </w:rPr>
  </w:style>
  <w:style w:type="paragraph" w:styleId="1000" w:customStyle="1">
    <w:name w:val="EEE"/>
    <w:basedOn w:val="895"/>
    <w:qFormat/>
    <w:pPr>
      <w:pBdr/>
      <w:tabs>
        <w:tab w:val="left" w:leader="none" w:pos="709"/>
        <w:tab w:val="left" w:leader="none" w:pos="1134"/>
        <w:tab w:val="left" w:leader="none" w:pos="1276"/>
        <w:tab w:val="left" w:leader="none" w:pos="1418"/>
        <w:tab w:val="left" w:leader="none" w:pos="1701"/>
      </w:tabs>
      <w:spacing/>
      <w:ind w:hanging="709" w:left="1418"/>
    </w:pPr>
    <w:rPr>
      <w:rFonts w:cs="Times New Roman"/>
      <w:sz w:val="20"/>
      <w:szCs w:val="20"/>
      <w:lang w:val="pt-PT"/>
    </w:rPr>
  </w:style>
  <w:style w:type="paragraph" w:styleId="1001" w:customStyle="1">
    <w:name w:val="LLL"/>
    <w:basedOn w:val="895"/>
    <w:qFormat/>
    <w:pPr>
      <w:pBdr/>
      <w:tabs>
        <w:tab w:val="left" w:leader="none" w:pos="567"/>
        <w:tab w:val="left" w:leader="none" w:pos="851"/>
      </w:tabs>
      <w:spacing/>
      <w:ind w:hanging="851" w:left="851"/>
    </w:pPr>
    <w:rPr>
      <w:rFonts w:cs="Times New Roman"/>
      <w:sz w:val="20"/>
      <w:szCs w:val="20"/>
      <w:lang w:val="pt-PT"/>
    </w:rPr>
  </w:style>
  <w:style w:type="paragraph" w:styleId="1002">
    <w:name w:val="Balloon Text"/>
    <w:basedOn w:val="895"/>
    <w:link w:val="962"/>
    <w:uiPriority w:val="99"/>
    <w:semiHidden/>
    <w:unhideWhenUsed/>
    <w:qFormat/>
    <w:pPr>
      <w:pBdr/>
      <w:spacing/>
      <w:ind/>
    </w:pPr>
    <w:rPr>
      <w:rFonts w:ascii="Tahoma" w:hAnsi="Tahoma" w:cs="Tahoma"/>
      <w:sz w:val="16"/>
      <w:szCs w:val="16"/>
    </w:rPr>
  </w:style>
  <w:style w:type="paragraph" w:styleId="1003">
    <w:name w:val="Plain Text"/>
    <w:basedOn w:val="895"/>
    <w:link w:val="963"/>
    <w:semiHidden/>
    <w:qFormat/>
    <w:pPr>
      <w:pBdr/>
      <w:spacing w:after="0" w:before="0"/>
      <w:ind/>
      <w:jc w:val="left"/>
    </w:pPr>
    <w:rPr>
      <w:rFonts w:ascii="Courier New" w:hAnsi="Courier New" w:cs="Times New Roman"/>
      <w:sz w:val="20"/>
      <w:szCs w:val="20"/>
    </w:rPr>
  </w:style>
  <w:style w:type="paragraph" w:styleId="1004" w:customStyle="1">
    <w:name w:val="western"/>
    <w:basedOn w:val="895"/>
    <w:qFormat/>
    <w:pPr>
      <w:pBdr/>
      <w:spacing w:after="119" w:beforeAutospacing="1"/>
      <w:ind/>
      <w:jc w:val="left"/>
    </w:pPr>
    <w:rPr>
      <w:rFonts w:ascii="Times New Roman" w:hAnsi="Times New Roman" w:cs="Times New Roman"/>
      <w:sz w:val="24"/>
      <w:szCs w:val="24"/>
    </w:rPr>
  </w:style>
  <w:style w:type="paragraph" w:styleId="1005" w:customStyle="1">
    <w:name w:val="Nivel1"/>
    <w:basedOn w:val="896"/>
    <w:next w:val="895"/>
    <w:link w:val="964"/>
    <w:qFormat/>
    <w:pPr>
      <w:keepLines w:val="true"/>
      <w:numPr>
        <w:numId w:val="2"/>
      </w:numPr>
      <w:pBdr/>
      <w:spacing w:before="480" w:line="276" w:lineRule="auto"/>
      <w:ind/>
      <w:jc w:val="both"/>
    </w:pPr>
    <w:rPr>
      <w:rFonts w:ascii="Arial" w:hAnsi="Arial" w:eastAsiaTheme="majorEastAsia"/>
      <w:color w:val="000000"/>
      <w:sz w:val="20"/>
      <w:szCs w:val="20"/>
      <w:u w:val="none"/>
    </w:rPr>
  </w:style>
  <w:style w:type="paragraph" w:styleId="1006" w:customStyle="1">
    <w:name w:val="Padrão"/>
    <w:qFormat/>
    <w:pPr>
      <w:pBdr/>
      <w:spacing/>
      <w:ind/>
    </w:pPr>
    <w:rPr>
      <w:rFonts w:ascii="Times New Roman" w:hAnsi="Times New Roman" w:eastAsia="Times New Roman" w:cs="Times New Roman"/>
      <w:sz w:val="20"/>
      <w:szCs w:val="24"/>
      <w:lang w:eastAsia="pt-BR"/>
    </w:rPr>
  </w:style>
  <w:style w:type="paragraph" w:styleId="1007" w:customStyle="1">
    <w:name w:val="Table Paragraph"/>
    <w:basedOn w:val="895"/>
    <w:uiPriority w:val="1"/>
    <w:qFormat/>
    <w:pPr>
      <w:widowControl w:val="false"/>
      <w:pBdr/>
      <w:spacing w:after="0" w:before="0"/>
      <w:ind/>
      <w:jc w:val="left"/>
    </w:pPr>
    <w:rPr>
      <w:rFonts w:ascii="Tahoma" w:hAnsi="Tahoma" w:eastAsia="Tahoma" w:cs="Tahoma"/>
      <w:sz w:val="22"/>
      <w:szCs w:val="22"/>
      <w:lang w:val="pt-PT" w:eastAsia="en-US"/>
    </w:rPr>
  </w:style>
  <w:style w:type="paragraph" w:styleId="1008">
    <w:name w:val="Quote"/>
    <w:basedOn w:val="895"/>
    <w:next w:val="895"/>
    <w:link w:val="967"/>
    <w:qFormat/>
    <w:pPr>
      <w:pBdr>
        <w:top w:val="single" w:color="1f497d" w:sz="4" w:space="1"/>
        <w:left w:val="single" w:color="1f497d" w:sz="4" w:space="4"/>
        <w:bottom w:val="single" w:color="1f497d" w:sz="4" w:space="1"/>
        <w:right w:val="single" w:color="1f497d" w:sz="4" w:space="4"/>
      </w:pBdr>
      <w:shd w:val="clear" w:color="auto" w:fill="ffffcc"/>
      <w:spacing w:after="0"/>
      <w:ind/>
    </w:pPr>
    <w:rPr>
      <w:rFonts w:eastAsia="Calibri" w:cs="Tahoma"/>
      <w:i/>
      <w:iCs/>
      <w:color w:val="000000"/>
      <w:sz w:val="20"/>
      <w:szCs w:val="24"/>
      <w:lang w:eastAsia="en-US"/>
    </w:rPr>
  </w:style>
  <w:style w:type="paragraph" w:styleId="1009" w:customStyle="1">
    <w:name w:val="EMPTY_CELL_STYLE"/>
    <w:qFormat/>
    <w:pPr>
      <w:pBdr/>
      <w:spacing/>
      <w:ind/>
    </w:pPr>
    <w:rPr>
      <w:rFonts w:ascii="SansSerif" w:hAnsi="SansSerif" w:eastAsia="SansSerif" w:cs="SansSerif"/>
      <w:color w:val="000000"/>
      <w:sz w:val="1"/>
      <w:szCs w:val="20"/>
      <w:lang w:eastAsia="pt-BR"/>
    </w:rPr>
  </w:style>
  <w:style w:type="paragraph" w:styleId="1010" w:customStyle="1">
    <w:name w:val="Conteúdo do quadro"/>
    <w:basedOn w:val="895"/>
    <w:qFormat/>
    <w:pPr>
      <w:pBdr/>
      <w:spacing/>
      <w:ind/>
    </w:pPr>
  </w:style>
  <w:style w:type="table" w:styleId="1011" w:customStyle="1">
    <w:name w:val="Table Grid Light"/>
    <w:basedOn w:val="906"/>
    <w:uiPriority w:val="59"/>
    <w:pPr>
      <w:pBdr/>
      <w:spacing/>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Plain Table 1"/>
    <w:basedOn w:val="906"/>
    <w:uiPriority w:val="59"/>
    <w:pPr>
      <w:pBdr/>
      <w:spacing/>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fill="f2f2f2" w:themeFill="text1" w:themeFillTint="0D"/>
        <w:tcBorders/>
      </w:tcPr>
    </w:tblStylePr>
    <w:tblStylePr w:type="band1Vert">
      <w:pPr>
        <w:pBdr/>
        <w:spacing/>
        <w:ind/>
      </w:pPr>
      <w:tblPr>
        <w:tblBorders/>
      </w:tblPr>
      <w:tcPr>
        <w:shd w:val="clear" w:color="f2f2f2"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Plain Table 2"/>
    <w:basedOn w:val="906"/>
    <w:uiPriority w:val="59"/>
    <w:pPr>
      <w:pBdr/>
      <w:spacing/>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text1" w:sz="4" w:space="0"/>
          <w:bottom w:val="single" w:color="000000" w:themeColor="text1"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Plain Table 3"/>
    <w:basedOn w:val="906"/>
    <w:uiPriority w:val="99"/>
    <w:pPr>
      <w:pBdr/>
      <w:spacing/>
      <w:ind/>
    </w:pPr>
    <w:tblPr>
      <w:tblStyleRowBandSize w:val="1"/>
      <w:tblStyleColBandSize w:val="1"/>
      <w:tblBorders/>
    </w:tblPr>
    <w:tcPr>
      <w:tcBorders/>
    </w:tcPr>
    <w:tblStylePr w:type="band1Horz">
      <w:rPr>
        <w:sz w:val="22"/>
      </w:rPr>
      <w:pPr>
        <w:pBdr/>
        <w:spacing/>
        <w:ind/>
      </w:pPr>
      <w:tblPr>
        <w:tblBorders/>
      </w:tblPr>
      <w:tcPr>
        <w:shd w:val="clear" w:color="f2f2f2" w:fill="f2f2f2" w:themeFill="text1" w:themeFillTint="0D"/>
        <w:tcBorders/>
      </w:tcPr>
    </w:tblStylePr>
    <w:tblStylePr w:type="band1Vert">
      <w:rPr>
        <w:sz w:val="22"/>
      </w:rPr>
      <w:pPr>
        <w:pBdr/>
        <w:spacing/>
        <w:ind/>
      </w:pPr>
      <w:tblPr>
        <w:tblBorders/>
      </w:tblPr>
      <w:tcPr>
        <w:shd w:val="clear" w:color="f2f2f2"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rPr>
      <w:pPr>
        <w:pBdr/>
        <w:spacing/>
        <w:ind/>
      </w:pPr>
      <w:tblPr>
        <w:tblBorders/>
      </w:tblPr>
      <w:tcPr>
        <w:tcBorders/>
      </w:tcPr>
    </w:tblStylePr>
    <w:tblStylePr w:type="lastRow">
      <w:rPr>
        <w:b/>
        <w:caps/>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Plain Table 4"/>
    <w:basedOn w:val="906"/>
    <w:uiPriority w:val="99"/>
    <w:pPr>
      <w:pBdr/>
      <w:spacing/>
      <w:ind/>
    </w:pPr>
    <w:tblPr>
      <w:tblStyleRowBandSize w:val="1"/>
      <w:tblStyleColBandSize w:val="1"/>
      <w:tblBorders/>
    </w:tblPr>
    <w:tcPr>
      <w:tcBorders/>
    </w:tcPr>
    <w:tblStylePr w:type="band1Horz">
      <w:rPr>
        <w:sz w:val="22"/>
      </w:rPr>
      <w:pPr>
        <w:pBdr/>
        <w:spacing/>
        <w:ind/>
      </w:pPr>
      <w:tblPr>
        <w:tblBorders/>
      </w:tblPr>
      <w:tcPr>
        <w:shd w:val="clear" w:color="f2f2f2" w:fill="f2f2f2" w:themeFill="text1" w:themeFillTint="0D"/>
        <w:tcBorders/>
      </w:tcPr>
    </w:tblStylePr>
    <w:tblStylePr w:type="band1Vert">
      <w:rPr>
        <w:sz w:val="22"/>
      </w:rPr>
      <w:pPr>
        <w:pBdr/>
        <w:spacing/>
        <w:ind/>
      </w:pPr>
      <w:tblPr>
        <w:tblBorders/>
      </w:tblPr>
      <w:tcPr>
        <w:shd w:val="clear" w:color="f2f2f2"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Plain Table 5"/>
    <w:basedOn w:val="906"/>
    <w:uiPriority w:val="99"/>
    <w:pPr>
      <w:pBdr/>
      <w:spacing/>
      <w:ind/>
    </w:pPr>
    <w:tblPr>
      <w:tblStyleRowBandSize w:val="1"/>
      <w:tblStyleColBandSize w:val="1"/>
      <w:tblBorders/>
    </w:tblPr>
    <w:tcPr>
      <w:tcBorders/>
    </w:tcPr>
    <w:tblStylePr w:type="band1Horz">
      <w:rPr>
        <w:sz w:val="22"/>
      </w:rPr>
      <w:pPr>
        <w:pBdr/>
        <w:spacing/>
        <w:ind/>
      </w:pPr>
      <w:tblPr>
        <w:tblBorders/>
      </w:tblPr>
      <w:tcPr>
        <w:shd w:val="clear" w:color="f2f2f2" w:fill="f2f2f2" w:themeFill="text1" w:themeFillTint="0D"/>
        <w:tcBorders/>
      </w:tcPr>
    </w:tblStylePr>
    <w:tblStylePr w:type="band1Vert">
      <w:rPr>
        <w:sz w:val="22"/>
      </w:rPr>
      <w:pPr>
        <w:pBdr/>
        <w:spacing/>
        <w:ind/>
      </w:pPr>
      <w:tblPr>
        <w:tblBorders/>
      </w:tblPr>
      <w:tcPr>
        <w:shd w:val="clear" w:color="f2f2f2"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right w:val="single" w:color="404040" w:sz="4" w:space="0"/>
        </w:tcBorders>
      </w:tcPr>
    </w:tblStylePr>
    <w:tblStylePr w:type="firstRow">
      <w:rPr>
        <w:i/>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rPr>
      <w:pPr>
        <w:pBdr/>
        <w:spacing/>
        <w:ind/>
      </w:pPr>
      <w:tblPr>
        <w:tblBorders/>
      </w:tblPr>
      <w:tcPr>
        <w:shd w:val="clear" w:color="ffffff" w:fill="auto"/>
        <w:tcBorders>
          <w:left w:val="single" w:color="404040" w:sz="4" w:space="0"/>
        </w:tcBorders>
      </w:tcPr>
    </w:tblStylePr>
    <w:tblStylePr w:type="lastRow">
      <w:rPr>
        <w:i/>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Grid Table 1 Light"/>
    <w:basedOn w:val="906"/>
    <w:uiPriority w:val="99"/>
    <w:pPr>
      <w:pBdr/>
      <w:spacing/>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000000" w:themeColor="text1"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Grid Table 1 Light - Accent 1"/>
    <w:basedOn w:val="906"/>
    <w:uiPriority w:val="99"/>
    <w:pPr>
      <w:pBdr/>
      <w:spacing/>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sz w:val="22"/>
      </w:rPr>
      <w:pPr>
        <w:pBdr/>
        <w:spacing/>
        <w:ind/>
      </w:pPr>
      <w:tblPr>
        <w:tblBorders/>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5b9bd5" w:themeColor="accent1"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Grid Table 1 Light - Accent 2"/>
    <w:basedOn w:val="906"/>
    <w:uiPriority w:val="99"/>
    <w:pPr>
      <w:pBdr/>
      <w:spacing/>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sz w:val="22"/>
      </w:rPr>
      <w:pPr>
        <w:pBdr/>
        <w:spacing/>
        <w:ind/>
      </w:pPr>
      <w:tblPr>
        <w:tblBorders/>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ed7d31" w:themeColor="accent2"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Grid Table 1 Light - Accent 3"/>
    <w:basedOn w:val="906"/>
    <w:uiPriority w:val="99"/>
    <w:pPr>
      <w:pBdr/>
      <w:spacing/>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sz w:val="22"/>
      </w:rPr>
      <w:pPr>
        <w:pBdr/>
        <w:spacing/>
        <w:ind/>
      </w:pPr>
      <w:tblPr>
        <w:tblBorders/>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a5a5a5" w:themeColor="accent3"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Grid Table 1 Light - Accent 4"/>
    <w:basedOn w:val="906"/>
    <w:uiPriority w:val="99"/>
    <w:pPr>
      <w:pBdr/>
      <w:spacing/>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sz w:val="22"/>
      </w:rPr>
      <w:pPr>
        <w:pBdr/>
        <w:spacing/>
        <w:ind/>
      </w:pPr>
      <w:tblPr>
        <w:tblBorders/>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ffc000" w:themeColor="accent4"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Grid Table 1 Light - Accent 5"/>
    <w:basedOn w:val="906"/>
    <w:uiPriority w:val="99"/>
    <w:pPr>
      <w:pBdr/>
      <w:spacing/>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sz w:val="22"/>
      </w:rPr>
      <w:pPr>
        <w:pBdr/>
        <w:spacing/>
        <w:ind/>
      </w:pPr>
      <w:tblPr>
        <w:tblBorders/>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4472c4" w:themeColor="accent5"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Grid Table 1 Light - Accent 6"/>
    <w:basedOn w:val="906"/>
    <w:uiPriority w:val="99"/>
    <w:pPr>
      <w:pBdr/>
      <w:spacing/>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sz w:val="22"/>
      </w:rPr>
      <w:pPr>
        <w:pBdr/>
        <w:spacing/>
        <w:ind/>
      </w:pPr>
      <w:tblPr>
        <w:tblBorders/>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70ad47" w:themeColor="accent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Grid Table 2"/>
    <w:basedOn w:val="906"/>
    <w:uiPriority w:val="99"/>
    <w:pPr>
      <w:pBdr/>
      <w:spacing/>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sz w:val="22"/>
      </w:rPr>
      <w:pPr>
        <w:pBdr/>
        <w:spacing/>
        <w:ind/>
      </w:pPr>
      <w:tblPr>
        <w:tblBorders/>
      </w:tblPr>
      <w:tcPr>
        <w:shd w:val="clear" w:color="cbcbcb" w:fill="cbcbcb" w:themeFill="text1" w:themeFillTint="34"/>
        <w:tcBorders/>
      </w:tcPr>
    </w:tblStylePr>
    <w:tblStylePr w:type="band1Vert">
      <w:rPr>
        <w:sz w:val="22"/>
      </w:rPr>
      <w:pPr>
        <w:pBdr/>
        <w:spacing/>
        <w:ind/>
      </w:pPr>
      <w:tblPr>
        <w:tblBorders/>
      </w:tblPr>
      <w:tcPr>
        <w:shd w:val="clear" w:color="cbcbcb"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000000" w:themeColor="text1"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Grid Table 2 - Accent 1"/>
    <w:basedOn w:val="906"/>
    <w:uiPriority w:val="99"/>
    <w:pPr>
      <w:pBdr/>
      <w:spacing/>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sz w:val="22"/>
      </w:rPr>
      <w:pPr>
        <w:pBdr/>
        <w:spacing/>
        <w:ind/>
      </w:pPr>
      <w:tblPr>
        <w:tblBorders/>
      </w:tblPr>
      <w:tcPr>
        <w:shd w:val="clear" w:color="ddeaf6" w:fill="ddeaf6" w:themeFill="accent1" w:themeFillTint="34"/>
        <w:tcBorders/>
      </w:tcPr>
    </w:tblStylePr>
    <w:tblStylePr w:type="band1Vert">
      <w:rPr>
        <w:sz w:val="22"/>
      </w:rPr>
      <w:pPr>
        <w:pBdr/>
        <w:spacing/>
        <w:ind/>
      </w:pPr>
      <w:tblPr>
        <w:tblBorders/>
      </w:tblPr>
      <w:tcPr>
        <w:shd w:val="clear" w:color="ddeaf6"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5b9bd5" w:themeColor="accent1"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Grid Table 2 - Accent 2"/>
    <w:basedOn w:val="906"/>
    <w:uiPriority w:val="99"/>
    <w:pPr>
      <w:pBdr/>
      <w:spacing/>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sz w:val="22"/>
      </w:rPr>
      <w:pPr>
        <w:pBdr/>
        <w:spacing/>
        <w:ind/>
      </w:pPr>
      <w:tblPr>
        <w:tblBorders/>
      </w:tblPr>
      <w:tcPr>
        <w:shd w:val="clear" w:color="fbe5d6" w:fill="fbe5d6" w:themeFill="accent2" w:themeFillTint="32"/>
        <w:tcBorders/>
      </w:tcPr>
    </w:tblStylePr>
    <w:tblStylePr w:type="band1Vert">
      <w:rPr>
        <w:sz w:val="22"/>
      </w:rPr>
      <w:pPr>
        <w:pBdr/>
        <w:spacing/>
        <w:ind/>
      </w:pPr>
      <w:tblPr>
        <w:tblBorders/>
      </w:tblPr>
      <w:tcPr>
        <w:shd w:val="clear" w:color="fbe5d6"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ed7d31" w:themeColor="accent2"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Grid Table 2 - Accent 3"/>
    <w:basedOn w:val="906"/>
    <w:uiPriority w:val="99"/>
    <w:pPr>
      <w:pBdr/>
      <w:spacing/>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sz w:val="22"/>
      </w:rPr>
      <w:pPr>
        <w:pBdr/>
        <w:spacing/>
        <w:ind/>
      </w:pPr>
      <w:tblPr>
        <w:tblBorders/>
      </w:tblPr>
      <w:tcPr>
        <w:shd w:val="clear" w:color="ececec" w:fill="ececec" w:themeFill="accent3" w:themeFillTint="34"/>
        <w:tcBorders/>
      </w:tcPr>
    </w:tblStylePr>
    <w:tblStylePr w:type="band1Vert">
      <w:rPr>
        <w:sz w:val="22"/>
      </w:rPr>
      <w:pPr>
        <w:pBdr/>
        <w:spacing/>
        <w:ind/>
      </w:pPr>
      <w:tblPr>
        <w:tblBorders/>
      </w:tblPr>
      <w:tcPr>
        <w:shd w:val="clear" w:color="ececec"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a5a5a5" w:themeColor="accent3"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Grid Table 2 - Accent 4"/>
    <w:basedOn w:val="906"/>
    <w:uiPriority w:val="99"/>
    <w:pPr>
      <w:pBdr/>
      <w:spacing/>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sz w:val="22"/>
      </w:rPr>
      <w:pPr>
        <w:pBdr/>
        <w:spacing/>
        <w:ind/>
      </w:pPr>
      <w:tblPr>
        <w:tblBorders/>
      </w:tblPr>
      <w:tcPr>
        <w:shd w:val="clear" w:color="fff2cb" w:fill="fff2cb" w:themeFill="accent4" w:themeFillTint="34"/>
        <w:tcBorders/>
      </w:tcPr>
    </w:tblStylePr>
    <w:tblStylePr w:type="band1Vert">
      <w:rPr>
        <w:sz w:val="22"/>
      </w:rPr>
      <w:pPr>
        <w:pBdr/>
        <w:spacing/>
        <w:ind/>
      </w:pPr>
      <w:tblPr>
        <w:tblBorders/>
      </w:tblPr>
      <w:tcPr>
        <w:shd w:val="clear" w:color="fff2cb"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ffc000" w:themeColor="accent4"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Grid Table 2 - Accent 5"/>
    <w:basedOn w:val="906"/>
    <w:uiPriority w:val="99"/>
    <w:pPr>
      <w:pBdr/>
      <w:spacing/>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sz w:val="22"/>
      </w:rPr>
      <w:pPr>
        <w:pBdr/>
        <w:spacing/>
        <w:ind/>
      </w:pPr>
      <w:tblPr>
        <w:tblBorders/>
      </w:tblPr>
      <w:tcPr>
        <w:shd w:val="clear" w:color="d8e2f3" w:fill="d8e2f3" w:themeFill="accent5" w:themeFillTint="34"/>
        <w:tcBorders/>
      </w:tcPr>
    </w:tblStylePr>
    <w:tblStylePr w:type="band1Vert">
      <w:rPr>
        <w:sz w:val="22"/>
      </w:rPr>
      <w:pPr>
        <w:pBdr/>
        <w:spacing/>
        <w:ind/>
      </w:pPr>
      <w:tblPr>
        <w:tblBorders/>
      </w:tblPr>
      <w:tcPr>
        <w:shd w:val="clear" w:color="d8e2f3"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Grid Table 2 - Accent 6"/>
    <w:basedOn w:val="906"/>
    <w:uiPriority w:val="99"/>
    <w:pPr>
      <w:pBdr/>
      <w:spacing/>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sz w:val="22"/>
      </w:rPr>
      <w:pPr>
        <w:pBdr/>
        <w:spacing/>
        <w:ind/>
      </w:pPr>
      <w:tblPr>
        <w:tblBorders/>
      </w:tblPr>
      <w:tcPr>
        <w:shd w:val="clear" w:color="e1efd8" w:fill="e1efd8" w:themeFill="accent6" w:themeFillTint="34"/>
        <w:tcBorders/>
      </w:tcPr>
    </w:tblStylePr>
    <w:tblStylePr w:type="band1Vert">
      <w:rPr>
        <w:sz w:val="22"/>
      </w:rPr>
      <w:pPr>
        <w:pBdr/>
        <w:spacing/>
        <w:ind/>
      </w:pPr>
      <w:tblPr>
        <w:tblBorders/>
      </w:tblPr>
      <w:tcPr>
        <w:shd w:val="clear" w:color="e1efd8"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Grid Table 3"/>
    <w:basedOn w:val="906"/>
    <w:uiPriority w:val="99"/>
    <w:pPr>
      <w:pBdr/>
      <w:spacing/>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sz w:val="22"/>
      </w:rPr>
      <w:pPr>
        <w:pBdr/>
        <w:spacing/>
        <w:ind/>
      </w:pPr>
      <w:tblPr>
        <w:tblBorders/>
      </w:tblPr>
      <w:tcPr>
        <w:shd w:val="clear" w:color="cbcbcb" w:fill="cbcbcb" w:themeFill="text1" w:themeFillTint="34"/>
        <w:tcBorders/>
      </w:tcPr>
    </w:tblStylePr>
    <w:tblStylePr w:type="band1Vert">
      <w:rPr>
        <w:sz w:val="22"/>
      </w:rPr>
      <w:pPr>
        <w:pBdr/>
        <w:spacing/>
        <w:ind/>
      </w:pPr>
      <w:tblPr>
        <w:tblBorders/>
      </w:tblPr>
      <w:tcPr>
        <w:shd w:val="clear" w:color="cbcbcb"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Grid Table 3 - Accent 1"/>
    <w:basedOn w:val="906"/>
    <w:uiPriority w:val="99"/>
    <w:pPr>
      <w:pBdr/>
      <w:spacing/>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sz w:val="22"/>
      </w:rPr>
      <w:pPr>
        <w:pBdr/>
        <w:spacing/>
        <w:ind/>
      </w:pPr>
      <w:tblPr>
        <w:tblBorders/>
      </w:tblPr>
      <w:tcPr>
        <w:shd w:val="clear" w:color="ddeaf6" w:fill="ddeaf6" w:themeFill="accent1" w:themeFillTint="34"/>
        <w:tcBorders/>
      </w:tcPr>
    </w:tblStylePr>
    <w:tblStylePr w:type="band1Vert">
      <w:rPr>
        <w:sz w:val="22"/>
      </w:rPr>
      <w:pPr>
        <w:pBdr/>
        <w:spacing/>
        <w:ind/>
      </w:pPr>
      <w:tblPr>
        <w:tblBorders/>
      </w:tblPr>
      <w:tcPr>
        <w:shd w:val="clear" w:color="ddeaf6"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Grid Table 3 - Accent 2"/>
    <w:basedOn w:val="906"/>
    <w:uiPriority w:val="99"/>
    <w:pPr>
      <w:pBdr/>
      <w:spacing/>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sz w:val="22"/>
      </w:rPr>
      <w:pPr>
        <w:pBdr/>
        <w:spacing/>
        <w:ind/>
      </w:pPr>
      <w:tblPr>
        <w:tblBorders/>
      </w:tblPr>
      <w:tcPr>
        <w:shd w:val="clear" w:color="fbe5d6" w:fill="fbe5d6" w:themeFill="accent2" w:themeFillTint="32"/>
        <w:tcBorders/>
      </w:tcPr>
    </w:tblStylePr>
    <w:tblStylePr w:type="band1Vert">
      <w:rPr>
        <w:sz w:val="22"/>
      </w:rPr>
      <w:pPr>
        <w:pBdr/>
        <w:spacing/>
        <w:ind/>
      </w:pPr>
      <w:tblPr>
        <w:tblBorders/>
      </w:tblPr>
      <w:tcPr>
        <w:shd w:val="clear" w:color="fbe5d6"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Grid Table 3 - Accent 3"/>
    <w:basedOn w:val="906"/>
    <w:uiPriority w:val="99"/>
    <w:pPr>
      <w:pBdr/>
      <w:spacing/>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sz w:val="22"/>
      </w:rPr>
      <w:pPr>
        <w:pBdr/>
        <w:spacing/>
        <w:ind/>
      </w:pPr>
      <w:tblPr>
        <w:tblBorders/>
      </w:tblPr>
      <w:tcPr>
        <w:shd w:val="clear" w:color="ececec" w:fill="ececec" w:themeFill="accent3" w:themeFillTint="34"/>
        <w:tcBorders/>
      </w:tcPr>
    </w:tblStylePr>
    <w:tblStylePr w:type="band1Vert">
      <w:rPr>
        <w:sz w:val="22"/>
      </w:rPr>
      <w:pPr>
        <w:pBdr/>
        <w:spacing/>
        <w:ind/>
      </w:pPr>
      <w:tblPr>
        <w:tblBorders/>
      </w:tblPr>
      <w:tcPr>
        <w:shd w:val="clear" w:color="ececec"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Grid Table 3 - Accent 4"/>
    <w:basedOn w:val="906"/>
    <w:uiPriority w:val="99"/>
    <w:pPr>
      <w:pBdr/>
      <w:spacing/>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sz w:val="22"/>
      </w:rPr>
      <w:pPr>
        <w:pBdr/>
        <w:spacing/>
        <w:ind/>
      </w:pPr>
      <w:tblPr>
        <w:tblBorders/>
      </w:tblPr>
      <w:tcPr>
        <w:shd w:val="clear" w:color="fff2cb" w:fill="fff2cb" w:themeFill="accent4" w:themeFillTint="34"/>
        <w:tcBorders/>
      </w:tcPr>
    </w:tblStylePr>
    <w:tblStylePr w:type="band1Vert">
      <w:rPr>
        <w:sz w:val="22"/>
      </w:rPr>
      <w:pPr>
        <w:pBdr/>
        <w:spacing/>
        <w:ind/>
      </w:pPr>
      <w:tblPr>
        <w:tblBorders/>
      </w:tblPr>
      <w:tcPr>
        <w:shd w:val="clear" w:color="fff2cb"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Grid Table 3 - Accent 5"/>
    <w:basedOn w:val="906"/>
    <w:uiPriority w:val="99"/>
    <w:pPr>
      <w:pBdr/>
      <w:spacing/>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sz w:val="22"/>
      </w:rPr>
      <w:pPr>
        <w:pBdr/>
        <w:spacing/>
        <w:ind/>
      </w:pPr>
      <w:tblPr>
        <w:tblBorders/>
      </w:tblPr>
      <w:tcPr>
        <w:shd w:val="clear" w:color="d8e2f3" w:fill="d8e2f3" w:themeFill="accent5" w:themeFillTint="34"/>
        <w:tcBorders/>
      </w:tcPr>
    </w:tblStylePr>
    <w:tblStylePr w:type="band1Vert">
      <w:rPr>
        <w:sz w:val="22"/>
      </w:rPr>
      <w:pPr>
        <w:pBdr/>
        <w:spacing/>
        <w:ind/>
      </w:pPr>
      <w:tblPr>
        <w:tblBorders/>
      </w:tblPr>
      <w:tcPr>
        <w:shd w:val="clear" w:color="d8e2f3"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Grid Table 3 - Accent 6"/>
    <w:basedOn w:val="906"/>
    <w:uiPriority w:val="99"/>
    <w:pPr>
      <w:pBdr/>
      <w:spacing/>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sz w:val="22"/>
      </w:rPr>
      <w:pPr>
        <w:pBdr/>
        <w:spacing/>
        <w:ind/>
      </w:pPr>
      <w:tblPr>
        <w:tblBorders/>
      </w:tblPr>
      <w:tcPr>
        <w:shd w:val="clear" w:color="e1efd8" w:fill="e1efd8" w:themeFill="accent6" w:themeFillTint="34"/>
        <w:tcBorders/>
      </w:tcPr>
    </w:tblStylePr>
    <w:tblStylePr w:type="band1Vert">
      <w:rPr>
        <w:sz w:val="22"/>
      </w:rPr>
      <w:pPr>
        <w:pBdr/>
        <w:spacing/>
        <w:ind/>
      </w:pPr>
      <w:tblPr>
        <w:tblBorders/>
      </w:tblPr>
      <w:tcPr>
        <w:shd w:val="clear" w:color="e1efd8"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Grid Table 4"/>
    <w:basedOn w:val="906"/>
    <w:uiPriority w:val="59"/>
    <w:pPr>
      <w:pBdr/>
      <w:spacing/>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sz w:val="22"/>
      </w:rPr>
      <w:pPr>
        <w:pBdr/>
        <w:spacing/>
        <w:ind/>
      </w:pPr>
      <w:tblPr>
        <w:tblBorders/>
      </w:tblPr>
      <w:tcPr>
        <w:shd w:val="clear" w:color="cbcbcb" w:fill="cbcbcb" w:themeFill="text1" w:themeFillTint="34"/>
        <w:tcBorders/>
      </w:tcPr>
    </w:tblStylePr>
    <w:tblStylePr w:type="band1Vert">
      <w:rPr>
        <w:sz w:val="22"/>
      </w:rPr>
      <w:pPr>
        <w:pBdr/>
        <w:spacing/>
        <w:ind/>
      </w:pPr>
      <w:tblPr>
        <w:tblBorders/>
      </w:tblPr>
      <w:tcPr>
        <w:shd w:val="clear" w:color="cbcbcb"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Grid Table 4 - Accent 1"/>
    <w:basedOn w:val="906"/>
    <w:uiPriority w:val="59"/>
    <w:pPr>
      <w:pBdr/>
      <w:spacing/>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sz w:val="22"/>
      </w:rPr>
      <w:pPr>
        <w:pBdr/>
        <w:spacing/>
        <w:ind/>
      </w:pPr>
      <w:tblPr>
        <w:tblBorders/>
      </w:tblPr>
      <w:tcPr>
        <w:shd w:val="clear" w:color="deebf6" w:fill="deebf6" w:themeFill="accent1" w:themeFillTint="32"/>
        <w:tcBorders/>
      </w:tcPr>
    </w:tblStylePr>
    <w:tblStylePr w:type="band1Vert">
      <w:rPr>
        <w:sz w:val="22"/>
      </w:rPr>
      <w:pPr>
        <w:pBdr/>
        <w:spacing/>
        <w:ind/>
      </w:pPr>
      <w:tblPr>
        <w:tblBorders/>
      </w:tblPr>
      <w:tcPr>
        <w:shd w:val="clear" w:color="deebf6"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68a2d8" w:fill="68a2d8" w:themeFill="accent1" w:themeFillTint="EA"/>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customStyle="1">
    <w:name w:val="Grid Table 4 - Accent 2"/>
    <w:basedOn w:val="906"/>
    <w:uiPriority w:val="59"/>
    <w:pPr>
      <w:pBdr/>
      <w:spacing/>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sz w:val="22"/>
      </w:rPr>
      <w:pPr>
        <w:pBdr/>
        <w:spacing/>
        <w:ind/>
      </w:pPr>
      <w:tblPr>
        <w:tblBorders/>
      </w:tblPr>
      <w:tcPr>
        <w:shd w:val="clear" w:color="fbe5d6" w:fill="fbe5d6" w:themeFill="accent2" w:themeFillTint="32"/>
        <w:tcBorders/>
      </w:tcPr>
    </w:tblStylePr>
    <w:tblStylePr w:type="band1Vert">
      <w:rPr>
        <w:sz w:val="22"/>
      </w:rPr>
      <w:pPr>
        <w:pBdr/>
        <w:spacing/>
        <w:ind/>
      </w:pPr>
      <w:tblPr>
        <w:tblBorders/>
      </w:tblPr>
      <w:tcPr>
        <w:shd w:val="clear" w:color="fbe5d6"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4b184" w:fill="f4b184" w:themeFill="accent2" w:themeFillTint="97"/>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ed7d31" w:themeColor="accent2"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customStyle="1">
    <w:name w:val="Grid Table 4 - Accent 3"/>
    <w:basedOn w:val="906"/>
    <w:uiPriority w:val="59"/>
    <w:pPr>
      <w:pBdr/>
      <w:spacing/>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sz w:val="22"/>
      </w:rPr>
      <w:pPr>
        <w:pBdr/>
        <w:spacing/>
        <w:ind/>
      </w:pPr>
      <w:tblPr>
        <w:tblBorders/>
      </w:tblPr>
      <w:tcPr>
        <w:shd w:val="clear" w:color="ececec" w:fill="ececec" w:themeFill="accent3" w:themeFillTint="34"/>
        <w:tcBorders/>
      </w:tcPr>
    </w:tblStylePr>
    <w:tblStylePr w:type="band1Vert">
      <w:rPr>
        <w:sz w:val="22"/>
      </w:rPr>
      <w:pPr>
        <w:pBdr/>
        <w:spacing/>
        <w:ind/>
      </w:pPr>
      <w:tblPr>
        <w:tblBorders/>
      </w:tblPr>
      <w:tcPr>
        <w:shd w:val="clear" w:color="ececec"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a5a5a5" w:fill="a5a5a5" w:themeFill="accent3" w:themeFillTint="FE"/>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a5a5a5" w:themeColor="accent3"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customStyle="1">
    <w:name w:val="Grid Table 4 - Accent 4"/>
    <w:basedOn w:val="906"/>
    <w:uiPriority w:val="59"/>
    <w:pPr>
      <w:pBdr/>
      <w:spacing/>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sz w:val="22"/>
      </w:rPr>
      <w:pPr>
        <w:pBdr/>
        <w:spacing/>
        <w:ind/>
      </w:pPr>
      <w:tblPr>
        <w:tblBorders/>
      </w:tblPr>
      <w:tcPr>
        <w:shd w:val="clear" w:color="fff2cb" w:fill="fff2cb" w:themeFill="accent4" w:themeFillTint="34"/>
        <w:tcBorders/>
      </w:tcPr>
    </w:tblStylePr>
    <w:tblStylePr w:type="band1Vert">
      <w:rPr>
        <w:sz w:val="22"/>
      </w:rPr>
      <w:pPr>
        <w:pBdr/>
        <w:spacing/>
        <w:ind/>
      </w:pPr>
      <w:tblPr>
        <w:tblBorders/>
      </w:tblPr>
      <w:tcPr>
        <w:shd w:val="clear" w:color="fff2cb"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d865" w:fill="ffd865" w:themeFill="accent4" w:themeFillTint="9A"/>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ffc000" w:themeColor="accent4"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customStyle="1">
    <w:name w:val="Grid Table 4 - Accent 5"/>
    <w:basedOn w:val="906"/>
    <w:uiPriority w:val="59"/>
    <w:pPr>
      <w:pBdr/>
      <w:spacing/>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sz w:val="22"/>
      </w:rPr>
      <w:pPr>
        <w:pBdr/>
        <w:spacing/>
        <w:ind/>
      </w:pPr>
      <w:tblPr>
        <w:tblBorders/>
      </w:tblPr>
      <w:tcPr>
        <w:shd w:val="clear" w:color="d8e2f3" w:fill="d8e2f3" w:themeFill="accent5" w:themeFillTint="34"/>
        <w:tcBorders/>
      </w:tcPr>
    </w:tblStylePr>
    <w:tblStylePr w:type="band1Vert">
      <w:rPr>
        <w:sz w:val="22"/>
      </w:rPr>
      <w:pPr>
        <w:pBdr/>
        <w:spacing/>
        <w:ind/>
      </w:pPr>
      <w:tblPr>
        <w:tblBorders/>
      </w:tblPr>
      <w:tcPr>
        <w:shd w:val="clear" w:color="d8e2f3"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472c4"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customStyle="1">
    <w:name w:val="Grid Table 4 - Accent 6"/>
    <w:basedOn w:val="906"/>
    <w:uiPriority w:val="59"/>
    <w:pPr>
      <w:pBdr/>
      <w:spacing/>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sz w:val="22"/>
      </w:rPr>
      <w:pPr>
        <w:pBdr/>
        <w:spacing/>
        <w:ind/>
      </w:pPr>
      <w:tblPr>
        <w:tblBorders/>
      </w:tblPr>
      <w:tcPr>
        <w:shd w:val="clear" w:color="e1efd8" w:fill="e1efd8" w:themeFill="accent6" w:themeFillTint="34"/>
        <w:tcBorders/>
      </w:tcPr>
    </w:tblStylePr>
    <w:tblStylePr w:type="band1Vert">
      <w:rPr>
        <w:sz w:val="22"/>
      </w:rPr>
      <w:pPr>
        <w:pBdr/>
        <w:spacing/>
        <w:ind/>
      </w:pPr>
      <w:tblPr>
        <w:tblBorders/>
      </w:tblPr>
      <w:tcPr>
        <w:shd w:val="clear" w:color="e1efd8"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70ad47"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Grid Table 5 Dark"/>
    <w:basedOn w:val="90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a8a8a" w:fill="8a8a8a" w:themeFill="text1" w:themeFillTint="75"/>
        <w:tcBorders/>
      </w:tcPr>
    </w:tblStylePr>
    <w:tblStylePr w:type="band1Vert">
      <w:pPr>
        <w:pBdr/>
        <w:spacing/>
        <w:ind/>
      </w:pPr>
      <w:tblPr>
        <w:tblBorders/>
      </w:tblPr>
      <w:tcPr>
        <w:shd w:val="clear" w:color="8a8a8a"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000000" w:fill="000000" w:themeFill="text1"/>
        <w:tcBorders/>
      </w:tcPr>
    </w:tblStylePr>
    <w:tblStylePr w:type="firstRow">
      <w:rPr>
        <w:b/>
        <w:sz w:val="22"/>
      </w:rPr>
      <w:pPr>
        <w:pBdr/>
        <w:spacing/>
        <w:ind/>
      </w:pPr>
      <w:tblPr>
        <w:tblBorders/>
      </w:tblPr>
      <w:tcPr>
        <w:shd w:val="clear" w:color="000000" w:fill="000000" w:themeFill="text1"/>
        <w:tcBorders/>
      </w:tcPr>
    </w:tblStylePr>
    <w:tblStylePr w:type="lastCol">
      <w:rPr>
        <w:b/>
        <w:sz w:val="22"/>
      </w:rPr>
      <w:pPr>
        <w:pBdr/>
        <w:spacing/>
        <w:ind/>
      </w:pPr>
      <w:tblPr>
        <w:tblBorders/>
      </w:tblPr>
      <w:tcPr>
        <w:shd w:val="clear" w:color="000000" w:fill="000000" w:themeFill="text1"/>
        <w:tcBorders/>
      </w:tcPr>
    </w:tblStylePr>
    <w:tblStylePr w:type="lastRow">
      <w:rPr>
        <w:b/>
        <w:sz w:val="22"/>
      </w:rPr>
      <w:pPr>
        <w:pBdr/>
        <w:spacing/>
        <w:ind/>
      </w:pPr>
      <w:tblPr>
        <w:tblBorders/>
      </w:tblPr>
      <w:tcPr>
        <w:shd w:val="clear" w:color="000000"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customStyle="1">
    <w:name w:val="Grid Table 5 Dark- Accent 1"/>
    <w:basedOn w:val="90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3d0eb" w:fill="b3d0eb" w:themeFill="accent1" w:themeFillTint="75"/>
        <w:tcBorders/>
      </w:tcPr>
    </w:tblStylePr>
    <w:tblStylePr w:type="band1Vert">
      <w:pPr>
        <w:pBdr/>
        <w:spacing/>
        <w:ind/>
      </w:pPr>
      <w:tblPr>
        <w:tblBorders/>
      </w:tblPr>
      <w:tcPr>
        <w:shd w:val="clear" w:color="b3d0eb"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5b9bd5" w:fill="5b9bd5" w:themeFill="accent1"/>
        <w:tcBorders/>
      </w:tcPr>
    </w:tblStylePr>
    <w:tblStylePr w:type="firstRow">
      <w:rPr>
        <w:b/>
        <w:sz w:val="22"/>
      </w:rPr>
      <w:pPr>
        <w:pBdr/>
        <w:spacing/>
        <w:ind/>
      </w:pPr>
      <w:tblPr>
        <w:tblBorders/>
      </w:tblPr>
      <w:tcPr>
        <w:shd w:val="clear" w:color="5b9bd5" w:fill="5b9bd5" w:themeFill="accent1"/>
        <w:tcBorders/>
      </w:tcPr>
    </w:tblStylePr>
    <w:tblStylePr w:type="lastCol">
      <w:rPr>
        <w:b/>
        <w:sz w:val="22"/>
      </w:rPr>
      <w:pPr>
        <w:pBdr/>
        <w:spacing/>
        <w:ind/>
      </w:pPr>
      <w:tblPr>
        <w:tblBorders/>
      </w:tblPr>
      <w:tcPr>
        <w:shd w:val="clear" w:color="5b9bd5" w:fill="5b9bd5" w:themeFill="accent1"/>
        <w:tcBorders/>
      </w:tcPr>
    </w:tblStylePr>
    <w:tblStylePr w:type="lastRow">
      <w:rPr>
        <w:b/>
        <w:sz w:val="22"/>
      </w:rPr>
      <w:pPr>
        <w:pBdr/>
        <w:spacing/>
        <w:ind/>
      </w:pPr>
      <w:tblPr>
        <w:tblBorders/>
      </w:tblPr>
      <w:tcPr>
        <w:shd w:val="clear" w:color="5b9bd5"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customStyle="1">
    <w:name w:val="Grid Table 5 Dark - Accent 2"/>
    <w:basedOn w:val="90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6c3a0" w:fill="f6c3a0" w:themeFill="accent2" w:themeFillTint="75"/>
        <w:tcBorders/>
      </w:tcPr>
    </w:tblStylePr>
    <w:tblStylePr w:type="band1Vert">
      <w:pPr>
        <w:pBdr/>
        <w:spacing/>
        <w:ind/>
      </w:pPr>
      <w:tblPr>
        <w:tblBorders/>
      </w:tblPr>
      <w:tcPr>
        <w:shd w:val="clear" w:color="f6c3a0"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ed7d31" w:fill="ed7d31" w:themeFill="accent2"/>
        <w:tcBorders/>
      </w:tcPr>
    </w:tblStylePr>
    <w:tblStylePr w:type="firstRow">
      <w:rPr>
        <w:b/>
        <w:sz w:val="22"/>
      </w:rPr>
      <w:pPr>
        <w:pBdr/>
        <w:spacing/>
        <w:ind/>
      </w:pPr>
      <w:tblPr>
        <w:tblBorders/>
      </w:tblPr>
      <w:tcPr>
        <w:shd w:val="clear" w:color="ed7d31" w:fill="ed7d31" w:themeFill="accent2"/>
        <w:tcBorders/>
      </w:tcPr>
    </w:tblStylePr>
    <w:tblStylePr w:type="lastCol">
      <w:rPr>
        <w:b/>
        <w:sz w:val="22"/>
      </w:rPr>
      <w:pPr>
        <w:pBdr/>
        <w:spacing/>
        <w:ind/>
      </w:pPr>
      <w:tblPr>
        <w:tblBorders/>
      </w:tblPr>
      <w:tcPr>
        <w:shd w:val="clear" w:color="ed7d31" w:fill="ed7d31" w:themeFill="accent2"/>
        <w:tcBorders/>
      </w:tcPr>
    </w:tblStylePr>
    <w:tblStylePr w:type="lastRow">
      <w:rPr>
        <w:b/>
        <w:sz w:val="22"/>
      </w:rPr>
      <w:pPr>
        <w:pBdr/>
        <w:spacing/>
        <w:ind/>
      </w:pPr>
      <w:tblPr>
        <w:tblBorders/>
      </w:tblPr>
      <w:tcPr>
        <w:shd w:val="clear" w:color="ed7d31"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Grid Table 5 Dark - Accent 3"/>
    <w:basedOn w:val="90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5d5d5" w:fill="d5d5d5" w:themeFill="accent3" w:themeFillTint="75"/>
        <w:tcBorders/>
      </w:tcPr>
    </w:tblStylePr>
    <w:tblStylePr w:type="band1Vert">
      <w:pPr>
        <w:pBdr/>
        <w:spacing/>
        <w:ind/>
      </w:pPr>
      <w:tblPr>
        <w:tblBorders/>
      </w:tblPr>
      <w:tcPr>
        <w:shd w:val="clear" w:color="d5d5d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a5a5a5" w:fill="a5a5a5" w:themeFill="accent3"/>
        <w:tcBorders/>
      </w:tcPr>
    </w:tblStylePr>
    <w:tblStylePr w:type="firstRow">
      <w:rPr>
        <w:b/>
        <w:sz w:val="22"/>
      </w:rPr>
      <w:pPr>
        <w:pBdr/>
        <w:spacing/>
        <w:ind/>
      </w:pPr>
      <w:tblPr>
        <w:tblBorders/>
      </w:tblPr>
      <w:tcPr>
        <w:shd w:val="clear" w:color="a5a5a5" w:fill="a5a5a5" w:themeFill="accent3"/>
        <w:tcBorders/>
      </w:tcPr>
    </w:tblStylePr>
    <w:tblStylePr w:type="lastCol">
      <w:rPr>
        <w:b/>
        <w:sz w:val="22"/>
      </w:rPr>
      <w:pPr>
        <w:pBdr/>
        <w:spacing/>
        <w:ind/>
      </w:pPr>
      <w:tblPr>
        <w:tblBorders/>
      </w:tblPr>
      <w:tcPr>
        <w:shd w:val="clear" w:color="a5a5a5" w:fill="a5a5a5" w:themeFill="accent3"/>
        <w:tcBorders/>
      </w:tcPr>
    </w:tblStylePr>
    <w:tblStylePr w:type="lastRow">
      <w:rPr>
        <w:b/>
        <w:sz w:val="22"/>
      </w:rPr>
      <w:pPr>
        <w:pBdr/>
        <w:spacing/>
        <w:ind/>
      </w:pPr>
      <w:tblPr>
        <w:tblBorders/>
      </w:tblPr>
      <w:tcPr>
        <w:shd w:val="clear" w:color="a5a5a5"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Grid Table 5 Dark- Accent 4"/>
    <w:basedOn w:val="90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fe28a" w:fill="ffe28a" w:themeFill="accent4" w:themeFillTint="75"/>
        <w:tcBorders/>
      </w:tcPr>
    </w:tblStylePr>
    <w:tblStylePr w:type="band1Vert">
      <w:pPr>
        <w:pBdr/>
        <w:spacing/>
        <w:ind/>
      </w:pPr>
      <w:tblPr>
        <w:tblBorders/>
      </w:tblPr>
      <w:tcPr>
        <w:shd w:val="clear" w:color="ffe28a"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fc000" w:fill="ffc000" w:themeFill="accent4"/>
        <w:tcBorders/>
      </w:tcPr>
    </w:tblStylePr>
    <w:tblStylePr w:type="firstRow">
      <w:rPr>
        <w:b/>
        <w:sz w:val="22"/>
      </w:rPr>
      <w:pPr>
        <w:pBdr/>
        <w:spacing/>
        <w:ind/>
      </w:pPr>
      <w:tblPr>
        <w:tblBorders/>
      </w:tblPr>
      <w:tcPr>
        <w:shd w:val="clear" w:color="ffc000" w:fill="ffc000" w:themeFill="accent4"/>
        <w:tcBorders/>
      </w:tcPr>
    </w:tblStylePr>
    <w:tblStylePr w:type="lastCol">
      <w:rPr>
        <w:b/>
        <w:sz w:val="22"/>
      </w:rPr>
      <w:pPr>
        <w:pBdr/>
        <w:spacing/>
        <w:ind/>
      </w:pPr>
      <w:tblPr>
        <w:tblBorders/>
      </w:tblPr>
      <w:tcPr>
        <w:shd w:val="clear" w:color="ffc000" w:fill="ffc000" w:themeFill="accent4"/>
        <w:tcBorders/>
      </w:tcPr>
    </w:tblStylePr>
    <w:tblStylePr w:type="lastRow">
      <w:rPr>
        <w:b/>
        <w:sz w:val="22"/>
      </w:rPr>
      <w:pPr>
        <w:pBdr/>
        <w:spacing/>
        <w:ind/>
      </w:pPr>
      <w:tblPr>
        <w:tblBorders/>
      </w:tblPr>
      <w:tcPr>
        <w:shd w:val="clear" w:color="ffc000"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Grid Table 5 Dark - Accent 5"/>
    <w:basedOn w:val="90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9bee4" w:fill="a9bee4" w:themeFill="accent5" w:themeFillTint="75"/>
        <w:tcBorders/>
      </w:tcPr>
    </w:tblStylePr>
    <w:tblStylePr w:type="band1Vert">
      <w:pPr>
        <w:pBdr/>
        <w:spacing/>
        <w:ind/>
      </w:pPr>
      <w:tblPr>
        <w:tblBorders/>
      </w:tblPr>
      <w:tcPr>
        <w:shd w:val="clear" w:color="a9bee4"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4472c4" w:fill="4472c4" w:themeFill="accent5"/>
        <w:tcBorders/>
      </w:tcPr>
    </w:tblStylePr>
    <w:tblStylePr w:type="firstRow">
      <w:rPr>
        <w:b/>
        <w:sz w:val="22"/>
      </w:rPr>
      <w:pPr>
        <w:pBdr/>
        <w:spacing/>
        <w:ind/>
      </w:pPr>
      <w:tblPr>
        <w:tblBorders/>
      </w:tblPr>
      <w:tcPr>
        <w:shd w:val="clear" w:color="4472c4" w:fill="4472c4" w:themeFill="accent5"/>
        <w:tcBorders/>
      </w:tcPr>
    </w:tblStylePr>
    <w:tblStylePr w:type="lastCol">
      <w:rPr>
        <w:b/>
        <w:sz w:val="22"/>
      </w:rPr>
      <w:pPr>
        <w:pBdr/>
        <w:spacing/>
        <w:ind/>
      </w:pPr>
      <w:tblPr>
        <w:tblBorders/>
      </w:tblPr>
      <w:tcPr>
        <w:shd w:val="clear" w:color="4472c4" w:fill="4472c4" w:themeFill="accent5"/>
        <w:tcBorders/>
      </w:tcPr>
    </w:tblStylePr>
    <w:tblStylePr w:type="lastRow">
      <w:rPr>
        <w:b/>
        <w:sz w:val="22"/>
      </w:rPr>
      <w:pPr>
        <w:pBdr/>
        <w:spacing/>
        <w:ind/>
      </w:pPr>
      <w:tblPr>
        <w:tblBorders/>
      </w:tblPr>
      <w:tcPr>
        <w:shd w:val="clear" w:color="4472c4"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d Table 5 Dark - Accent 6"/>
    <w:basedOn w:val="90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cdba8" w:fill="bcdba8" w:themeFill="accent6" w:themeFillTint="75"/>
        <w:tcBorders/>
      </w:tcPr>
    </w:tblStylePr>
    <w:tblStylePr w:type="band1Vert">
      <w:pPr>
        <w:pBdr/>
        <w:spacing/>
        <w:ind/>
      </w:pPr>
      <w:tblPr>
        <w:tblBorders/>
      </w:tblPr>
      <w:tcPr>
        <w:shd w:val="clear" w:color="bcdba8"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70ad47" w:fill="70ad47" w:themeFill="accent6"/>
        <w:tcBorders/>
      </w:tcPr>
    </w:tblStylePr>
    <w:tblStylePr w:type="firstRow">
      <w:rPr>
        <w:b/>
        <w:sz w:val="22"/>
      </w:rPr>
      <w:pPr>
        <w:pBdr/>
        <w:spacing/>
        <w:ind/>
      </w:pPr>
      <w:tblPr>
        <w:tblBorders/>
      </w:tblPr>
      <w:tcPr>
        <w:shd w:val="clear" w:color="70ad47" w:fill="70ad47" w:themeFill="accent6"/>
        <w:tcBorders/>
      </w:tcPr>
    </w:tblStylePr>
    <w:tblStylePr w:type="lastCol">
      <w:rPr>
        <w:b/>
        <w:sz w:val="22"/>
      </w:rPr>
      <w:pPr>
        <w:pBdr/>
        <w:spacing/>
        <w:ind/>
      </w:pPr>
      <w:tblPr>
        <w:tblBorders/>
      </w:tblPr>
      <w:tcPr>
        <w:shd w:val="clear" w:color="70ad47" w:fill="70ad47" w:themeFill="accent6"/>
        <w:tcBorders/>
      </w:tcPr>
    </w:tblStylePr>
    <w:tblStylePr w:type="lastRow">
      <w:rPr>
        <w:b/>
        <w:sz w:val="22"/>
      </w:rPr>
      <w:pPr>
        <w:pBdr/>
        <w:spacing/>
        <w:ind/>
      </w:pPr>
      <w:tblPr>
        <w:tblBorders/>
      </w:tblPr>
      <w:tcPr>
        <w:shd w:val="clear" w:color="70ad47"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Grid Table 6 Colorful"/>
    <w:basedOn w:val="906"/>
    <w:uiPriority w:val="99"/>
    <w:pPr>
      <w:pBdr/>
      <w:spacing/>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color w:val="7f7f7f" w:themeColor="text1" w:themeTint="80" w:themeShade="95"/>
        <w:sz w:val="22"/>
      </w:rPr>
      <w:pPr>
        <w:pBdr/>
        <w:spacing/>
        <w:ind/>
      </w:pPr>
      <w:tblPr>
        <w:tblBorders/>
      </w:tblPr>
      <w:tcPr>
        <w:shd w:val="clear" w:color="cbcbcb" w:fill="cbcbcb" w:themeFill="text1" w:themeFillTint="34"/>
        <w:tcBorders/>
      </w:tcPr>
    </w:tblStylePr>
    <w:tblStylePr w:type="band1Vert">
      <w:pPr>
        <w:pBdr/>
        <w:spacing/>
        <w:ind/>
      </w:pPr>
      <w:tblPr>
        <w:tblBorders/>
      </w:tblPr>
      <w:tcPr>
        <w:shd w:val="clear" w:color="cbcbcb" w:fill="cbcbcb" w:themeFill="text1" w:themeFillTint="34"/>
        <w:tcBorders/>
      </w:tcPr>
    </w:tblStylePr>
    <w:tblStylePr w:type="band2Horz">
      <w:rPr>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000000" w:themeColor="text1"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d Table 6 Colorful - Accent 1"/>
    <w:basedOn w:val="906"/>
    <w:uiPriority w:val="99"/>
    <w:pPr>
      <w:pBdr/>
      <w:spacing/>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color w:val="acccea" w:themeColor="accent1" w:themeTint="80" w:themeShade="95"/>
        <w:sz w:val="22"/>
      </w:rPr>
      <w:pPr>
        <w:pBdr/>
        <w:spacing/>
        <w:ind/>
      </w:pPr>
      <w:tblPr>
        <w:tblBorders/>
      </w:tblPr>
      <w:tcPr>
        <w:shd w:val="clear" w:color="ddeaf6" w:fill="ddeaf6" w:themeFill="accent1" w:themeFillTint="34"/>
        <w:tcBorders/>
      </w:tcPr>
    </w:tblStylePr>
    <w:tblStylePr w:type="band1Vert">
      <w:pPr>
        <w:pBdr/>
        <w:spacing/>
        <w:ind/>
      </w:pPr>
      <w:tblPr>
        <w:tblBorders/>
      </w:tblPr>
      <w:tcPr>
        <w:shd w:val="clear" w:color="ddeaf6" w:fill="ddeaf6" w:themeFill="accent1" w:themeFillTint="34"/>
        <w:tcBorders/>
      </w:tcPr>
    </w:tblStylePr>
    <w:tblStylePr w:type="band2Horz">
      <w:rPr>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5b9bd5" w:themeColor="accent1"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d Table 6 Colorful - Accent 2"/>
    <w:basedOn w:val="906"/>
    <w:uiPriority w:val="99"/>
    <w:pPr>
      <w:pBdr/>
      <w:spacing/>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color w:val="f4b184" w:themeColor="accent2" w:themeTint="97" w:themeShade="95"/>
        <w:sz w:val="22"/>
      </w:rPr>
      <w:pPr>
        <w:pBdr/>
        <w:spacing/>
        <w:ind/>
      </w:pPr>
      <w:tblPr>
        <w:tblBorders/>
      </w:tblPr>
      <w:tcPr>
        <w:shd w:val="clear" w:color="fbe5d6" w:fill="fbe5d6" w:themeFill="accent2" w:themeFillTint="32"/>
        <w:tcBorders/>
      </w:tcPr>
    </w:tblStylePr>
    <w:tblStylePr w:type="band1Vert">
      <w:pPr>
        <w:pBdr/>
        <w:spacing/>
        <w:ind/>
      </w:pPr>
      <w:tblPr>
        <w:tblBorders/>
      </w:tblPr>
      <w:tcPr>
        <w:shd w:val="clear" w:color="fbe5d6" w:fill="fbe5d6" w:themeFill="accent2" w:themeFillTint="32"/>
        <w:tcBorders/>
      </w:tcPr>
    </w:tblStylePr>
    <w:tblStylePr w:type="band2Horz">
      <w:rPr>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ed7d31" w:themeColor="accent2"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d Table 6 Colorful - Accent 3"/>
    <w:basedOn w:val="906"/>
    <w:uiPriority w:val="99"/>
    <w:pPr>
      <w:pBdr/>
      <w:spacing/>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color w:val="a5a5a5" w:themeColor="accent3" w:themeTint="FE" w:themeShade="95"/>
        <w:sz w:val="22"/>
      </w:rPr>
      <w:pPr>
        <w:pBdr/>
        <w:spacing/>
        <w:ind/>
      </w:pPr>
      <w:tblPr>
        <w:tblBorders/>
      </w:tblPr>
      <w:tcPr>
        <w:shd w:val="clear" w:color="ececec" w:fill="ececec" w:themeFill="accent3" w:themeFillTint="34"/>
        <w:tcBorders/>
      </w:tcPr>
    </w:tblStylePr>
    <w:tblStylePr w:type="band1Vert">
      <w:pPr>
        <w:pBdr/>
        <w:spacing/>
        <w:ind/>
      </w:pPr>
      <w:tblPr>
        <w:tblBorders/>
      </w:tblPr>
      <w:tcPr>
        <w:shd w:val="clear" w:color="ececec" w:fill="ececec" w:themeFill="accent3" w:themeFillTint="34"/>
        <w:tcBorders/>
      </w:tcPr>
    </w:tblStylePr>
    <w:tblStylePr w:type="band2Horz">
      <w:rPr>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d Table 6 Colorful - Accent 4"/>
    <w:basedOn w:val="906"/>
    <w:uiPriority w:val="99"/>
    <w:pPr>
      <w:pBdr/>
      <w:spacing/>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color w:val="ffd865" w:themeColor="accent4" w:themeTint="9A" w:themeShade="95"/>
        <w:sz w:val="22"/>
      </w:rPr>
      <w:pPr>
        <w:pBdr/>
        <w:spacing/>
        <w:ind/>
      </w:pPr>
      <w:tblPr>
        <w:tblBorders/>
      </w:tblPr>
      <w:tcPr>
        <w:shd w:val="clear" w:color="fff2cb" w:fill="fff2cb" w:themeFill="accent4" w:themeFillTint="34"/>
        <w:tcBorders/>
      </w:tcPr>
    </w:tblStylePr>
    <w:tblStylePr w:type="band1Vert">
      <w:pPr>
        <w:pBdr/>
        <w:spacing/>
        <w:ind/>
      </w:pPr>
      <w:tblPr>
        <w:tblBorders/>
      </w:tblPr>
      <w:tcPr>
        <w:shd w:val="clear" w:color="fff2cb" w:fill="fff2cb" w:themeFill="accent4" w:themeFillTint="34"/>
        <w:tcBorders/>
      </w:tcPr>
    </w:tblStylePr>
    <w:tblStylePr w:type="band2Horz">
      <w:rPr>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c000" w:themeColor="accent4"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Grid Table 6 Colorful - Accent 5"/>
    <w:basedOn w:val="906"/>
    <w:uiPriority w:val="99"/>
    <w:pPr>
      <w:pBdr/>
      <w:spacing/>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color w:val="254175" w:themeColor="accent5" w:themeShade="95"/>
        <w:sz w:val="22"/>
      </w:rPr>
      <w:pPr>
        <w:pBdr/>
        <w:spacing/>
        <w:ind/>
      </w:pPr>
      <w:tblPr>
        <w:tblBorders/>
      </w:tblPr>
      <w:tcPr>
        <w:shd w:val="clear" w:color="d8e2f3" w:fill="d8e2f3" w:themeFill="accent5" w:themeFillTint="34"/>
        <w:tcBorders/>
      </w:tcPr>
    </w:tblStylePr>
    <w:tblStylePr w:type="band1Vert">
      <w:pPr>
        <w:pBdr/>
        <w:spacing/>
        <w:ind/>
      </w:pPr>
      <w:tblPr>
        <w:tblBorders/>
      </w:tblPr>
      <w:tcPr>
        <w:shd w:val="clear" w:color="d8e2f3" w:fill="d8e2f3" w:themeFill="accent5" w:themeFillTint="34"/>
        <w:tcBorders/>
      </w:tcPr>
    </w:tblStylePr>
    <w:tblStylePr w:type="band2Horz">
      <w:rPr>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d Table 6 Colorful - Accent 6"/>
    <w:basedOn w:val="906"/>
    <w:uiPriority w:val="99"/>
    <w:pPr>
      <w:pBdr/>
      <w:spacing/>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color w:val="254175" w:themeColor="accent5" w:themeShade="95"/>
        <w:sz w:val="22"/>
      </w:rPr>
      <w:pPr>
        <w:pBdr/>
        <w:spacing/>
        <w:ind/>
      </w:pPr>
      <w:tblPr>
        <w:tblBorders/>
      </w:tblPr>
      <w:tcPr>
        <w:shd w:val="clear" w:color="e1efd8" w:fill="e1efd8" w:themeFill="accent6" w:themeFillTint="34"/>
        <w:tcBorders/>
      </w:tcPr>
    </w:tblStylePr>
    <w:tblStylePr w:type="band1Vert">
      <w:pPr>
        <w:pBdr/>
        <w:spacing/>
        <w:ind/>
      </w:pPr>
      <w:tblPr>
        <w:tblBorders/>
      </w:tblPr>
      <w:tcPr>
        <w:shd w:val="clear" w:color="e1efd8" w:fill="e1efd8" w:themeFill="accent6" w:themeFillTint="34"/>
        <w:tcBorders/>
      </w:tcPr>
    </w:tblStylePr>
    <w:tblStylePr w:type="band2Horz">
      <w:rPr>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name w:val="Grid Table 7 Colorful"/>
    <w:basedOn w:val="906"/>
    <w:uiPriority w:val="99"/>
    <w:pPr>
      <w:pBdr/>
      <w:spacing/>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color w:val="7f7f7f" w:themeColor="text1" w:themeTint="80" w:themeShade="95"/>
        <w:sz w:val="22"/>
      </w:rPr>
      <w:pPr>
        <w:pBdr/>
        <w:spacing/>
        <w:ind/>
      </w:pPr>
      <w:tblPr>
        <w:tblBorders/>
      </w:tblPr>
      <w:tcPr>
        <w:shd w:val="clear" w:color="f2f2f2" w:fill="f2f2f2" w:themeFill="text1" w:themeFillTint="0D"/>
        <w:tcBorders/>
      </w:tcPr>
    </w:tblStylePr>
    <w:tblStylePr w:type="band1Vert">
      <w:pPr>
        <w:pBdr/>
        <w:spacing/>
        <w:ind/>
      </w:pPr>
      <w:tblPr>
        <w:tblBorders/>
      </w:tblPr>
      <w:tcPr>
        <w:shd w:val="clear" w:color="f2f2f2" w:fill="f2f2f2" w:themeFill="text1" w:themeFillTint="0D"/>
        <w:tcBorders/>
      </w:tcPr>
    </w:tblStylePr>
    <w:tblStylePr w:type="band2Horz">
      <w:rPr>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b/>
        <w:color w:val="7f7f7f" w:themeColor="tex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7f7f7f" w:themeColor="text1" w:themeTint="80" w:themeShade="95"/>
        <w:sz w:val="22"/>
      </w:rPr>
      <w:pPr>
        <w:pBdr/>
        <w:spacing/>
        <w:ind/>
      </w:pPr>
      <w:tblPr>
        <w:tblBorders/>
      </w:tbl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b/>
        <w:color w:val="7f7f7f" w:themeColor="text1" w:themeTint="80" w:themeShade="95"/>
        <w:sz w:val="22"/>
      </w:rPr>
      <w:pPr>
        <w:pBdr/>
        <w:spacing/>
        <w:ind/>
      </w:pPr>
      <w:tblPr>
        <w:tblBorders/>
      </w:tbl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customStyle="1">
    <w:name w:val="Grid Table 7 Colorful - Accent 1"/>
    <w:basedOn w:val="906"/>
    <w:uiPriority w:val="99"/>
    <w:pPr>
      <w:pBdr/>
      <w:spacing/>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color w:val="acccea" w:themeColor="accent1" w:themeTint="80" w:themeShade="95"/>
        <w:sz w:val="22"/>
      </w:rPr>
      <w:pPr>
        <w:pBdr/>
        <w:spacing/>
        <w:ind/>
      </w:pPr>
      <w:tblPr>
        <w:tblBorders/>
      </w:tblPr>
      <w:tcPr>
        <w:shd w:val="clear" w:color="ddeaf6" w:fill="ddeaf6" w:themeFill="accent1" w:themeFillTint="34"/>
        <w:tcBorders/>
      </w:tcPr>
    </w:tblStylePr>
    <w:tblStylePr w:type="band1Vert">
      <w:pPr>
        <w:pBdr/>
        <w:spacing/>
        <w:ind/>
      </w:pPr>
      <w:tblPr>
        <w:tblBorders/>
      </w:tblPr>
      <w:tcPr>
        <w:shd w:val="clear" w:color="ddeaf6" w:fill="ddeaf6" w:themeFill="accent1" w:themeFillTint="34"/>
        <w:tcBorders/>
      </w:tcPr>
    </w:tblStylePr>
    <w:tblStylePr w:type="band2Horz">
      <w:rPr>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b/>
        <w:color w:val="acccea" w:themeColor="accen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i/>
        <w:color w:val="acccea" w:themeColor="accent1" w:themeTint="80"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b/>
        <w:color w:val="acccea" w:themeColor="accent1" w:themeTint="80" w:themeShade="95"/>
        <w:sz w:val="22"/>
      </w:rPr>
      <w:pPr>
        <w:pBdr/>
        <w:spacing/>
        <w:ind/>
      </w:pPr>
      <w:tblPr>
        <w:tblBorders/>
      </w:tblPr>
      <w:tcPr>
        <w:shd w:val="clear" w:color="ffffff"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customStyle="1">
    <w:name w:val="Grid Table 7 Colorful - Accent 2"/>
    <w:basedOn w:val="906"/>
    <w:uiPriority w:val="99"/>
    <w:pPr>
      <w:pBdr/>
      <w:spacing/>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color w:val="f4b184" w:themeColor="accent2" w:themeTint="97" w:themeShade="95"/>
        <w:sz w:val="22"/>
      </w:rPr>
      <w:pPr>
        <w:pBdr/>
        <w:spacing/>
        <w:ind/>
      </w:pPr>
      <w:tblPr>
        <w:tblBorders/>
      </w:tblPr>
      <w:tcPr>
        <w:shd w:val="clear" w:color="fbe5d6" w:fill="fbe5d6" w:themeFill="accent2" w:themeFillTint="32"/>
        <w:tcBorders/>
      </w:tcPr>
    </w:tblStylePr>
    <w:tblStylePr w:type="band1Vert">
      <w:pPr>
        <w:pBdr/>
        <w:spacing/>
        <w:ind/>
      </w:pPr>
      <w:tblPr>
        <w:tblBorders/>
      </w:tblPr>
      <w:tcPr>
        <w:shd w:val="clear" w:color="fbe5d6" w:fill="fbe5d6" w:themeFill="accent2" w:themeFillTint="32"/>
        <w:tcBorders/>
      </w:tcPr>
    </w:tblStylePr>
    <w:tblStylePr w:type="band2Horz">
      <w:rPr>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ed7d31" w:themeColor="accent2" w:sz="4" w:space="0"/>
        </w:tcBorders>
      </w:tcPr>
    </w:tblStylePr>
    <w:tblStylePr w:type="firstRow">
      <w:rPr>
        <w:b/>
        <w:color w:val="f4b184" w:themeColor="accent2" w:themeTint="97" w:themeShade="95"/>
        <w:sz w:val="22"/>
      </w:rPr>
      <w:pPr>
        <w:pBdr/>
        <w:spacing/>
        <w:ind/>
      </w:pPr>
      <w:tblPr>
        <w:tblBorders/>
      </w:tblPr>
      <w:tcPr>
        <w:shd w:val="clear" w:color="ffffff" w:fill="ffffff" w:themeFill="light1"/>
        <w:tcBorders>
          <w:top w:val="none" w:color="000000" w:sz="4" w:space="0"/>
          <w:left w:val="none" w:color="000000" w:sz="4" w:space="0"/>
          <w:bottom w:val="single" w:color="ed7d31" w:themeColor="accent2" w:sz="4" w:space="0"/>
          <w:right w:val="none" w:color="000000" w:sz="4" w:space="0"/>
        </w:tcBorders>
      </w:tcPr>
    </w:tblStylePr>
    <w:tblStylePr w:type="lastCol">
      <w:rPr>
        <w:i/>
        <w:color w:val="f4b184" w:themeColor="accent2" w:themeTint="97" w:themeShade="95"/>
        <w:sz w:val="22"/>
      </w:rPr>
      <w:pPr>
        <w:pBdr/>
        <w:spacing/>
        <w:ind/>
      </w:pPr>
      <w:tblPr>
        <w:tblBorders/>
      </w:tblPr>
      <w:tcPr>
        <w:shd w:val="clear" w:color="ffffff" w:fill="auto"/>
        <w:tcBorders>
          <w:top w:val="none" w:color="000000" w:sz="4" w:space="0"/>
          <w:left w:val="single" w:color="ed7d31" w:themeColor="accent2" w:sz="4" w:space="0"/>
          <w:bottom w:val="none" w:color="000000" w:sz="4" w:space="0"/>
          <w:right w:val="none" w:color="000000" w:sz="4" w:space="0"/>
        </w:tcBorders>
      </w:tcPr>
    </w:tblStylePr>
    <w:tblStylePr w:type="lastRow">
      <w:rPr>
        <w:b/>
        <w:color w:val="f4b184" w:themeColor="accent2" w:themeTint="97" w:themeShade="95"/>
        <w:sz w:val="22"/>
      </w:rPr>
      <w:pPr>
        <w:pBdr/>
        <w:spacing/>
        <w:ind/>
      </w:pPr>
      <w:tblPr>
        <w:tblBorders/>
      </w:tblPr>
      <w:tcPr>
        <w:shd w:val="clear" w:color="ffffff" w:fill="ffffff" w:themeFill="light1"/>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d Table 7 Colorful - Accent 3"/>
    <w:basedOn w:val="906"/>
    <w:uiPriority w:val="99"/>
    <w:pPr>
      <w:pBdr/>
      <w:spacing/>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color w:val="a5a5a5" w:themeColor="accent3" w:themeTint="FE" w:themeShade="95"/>
        <w:sz w:val="22"/>
      </w:rPr>
      <w:pPr>
        <w:pBdr/>
        <w:spacing/>
        <w:ind/>
      </w:pPr>
      <w:tblPr>
        <w:tblBorders/>
      </w:tblPr>
      <w:tcPr>
        <w:shd w:val="clear" w:color="ececec" w:fill="ececec" w:themeFill="accent3" w:themeFillTint="34"/>
        <w:tcBorders/>
      </w:tcPr>
    </w:tblStylePr>
    <w:tblStylePr w:type="band1Vert">
      <w:pPr>
        <w:pBdr/>
        <w:spacing/>
        <w:ind/>
      </w:pPr>
      <w:tblPr>
        <w:tblBorders/>
      </w:tblPr>
      <w:tcPr>
        <w:shd w:val="clear" w:color="ececec" w:fill="ececec" w:themeFill="accent3" w:themeFillTint="34"/>
        <w:tcBorders/>
      </w:tcPr>
    </w:tblStylePr>
    <w:tblStylePr w:type="band2Horz">
      <w:rPr>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sz="4" w:space="0"/>
        </w:tcBorders>
      </w:tcPr>
    </w:tblStylePr>
    <w:tblStylePr w:type="firstRow">
      <w:rPr>
        <w:b/>
        <w:color w:val="a5a5a5" w:themeColor="accent3" w:themeTint="FE" w:themeShade="95"/>
        <w:sz w:val="22"/>
      </w:rPr>
      <w:pPr>
        <w:pBdr/>
        <w:spacing/>
        <w:ind/>
      </w:pPr>
      <w:tblPr>
        <w:tblBorders/>
      </w:tblPr>
      <w:tcPr>
        <w:shd w:val="clear" w:color="ffffff" w:fill="ffffff" w:themeFill="light1"/>
        <w:tcBorders>
          <w:top w:val="none" w:color="000000" w:sz="4" w:space="0"/>
          <w:left w:val="none" w:color="000000" w:sz="4" w:space="0"/>
          <w:bottom w:val="single" w:color="a5a5a5" w:themeColor="accent3" w:sz="4" w:space="0"/>
          <w:right w:val="none" w:color="000000" w:sz="4" w:space="0"/>
        </w:tcBorders>
      </w:tcPr>
    </w:tblStylePr>
    <w:tblStylePr w:type="lastCol">
      <w:rPr>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sz="4" w:space="0"/>
          <w:bottom w:val="none" w:color="000000" w:sz="4" w:space="0"/>
          <w:right w:val="none" w:color="000000" w:sz="4" w:space="0"/>
        </w:tcBorders>
      </w:tcPr>
    </w:tblStylePr>
    <w:tblStylePr w:type="lastRow">
      <w:rPr>
        <w:b/>
        <w:color w:val="a5a5a5" w:themeColor="accent3" w:themeTint="FE" w:themeShade="95"/>
        <w:sz w:val="22"/>
      </w:rPr>
      <w:pPr>
        <w:pBdr/>
        <w:spacing/>
        <w:ind/>
      </w:pPr>
      <w:tblPr>
        <w:tblBorders/>
      </w:tblPr>
      <w:tcPr>
        <w:shd w:val="clear" w:color="ffffff" w:fill="ffffff" w:themeFill="light1"/>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Grid Table 7 Colorful - Accent 4"/>
    <w:basedOn w:val="906"/>
    <w:uiPriority w:val="99"/>
    <w:pPr>
      <w:pBdr/>
      <w:spacing/>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color w:val="ffd865" w:themeColor="accent4" w:themeTint="9A" w:themeShade="95"/>
        <w:sz w:val="22"/>
      </w:rPr>
      <w:pPr>
        <w:pBdr/>
        <w:spacing/>
        <w:ind/>
      </w:pPr>
      <w:tblPr>
        <w:tblBorders/>
      </w:tblPr>
      <w:tcPr>
        <w:shd w:val="clear" w:color="fff2cb" w:fill="fff2cb" w:themeFill="accent4" w:themeFillTint="34"/>
        <w:tcBorders/>
      </w:tcPr>
    </w:tblStylePr>
    <w:tblStylePr w:type="band1Vert">
      <w:pPr>
        <w:pBdr/>
        <w:spacing/>
        <w:ind/>
      </w:pPr>
      <w:tblPr>
        <w:tblBorders/>
      </w:tblPr>
      <w:tcPr>
        <w:shd w:val="clear" w:color="fff2cb" w:fill="fff2cb" w:themeFill="accent4" w:themeFillTint="34"/>
        <w:tcBorders/>
      </w:tcPr>
    </w:tblStylePr>
    <w:tblStylePr w:type="band2Horz">
      <w:rPr>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c000" w:themeColor="accent4" w:sz="4" w:space="0"/>
        </w:tcBorders>
      </w:tcPr>
    </w:tblStylePr>
    <w:tblStylePr w:type="firstRow">
      <w:rPr>
        <w:b/>
        <w:color w:val="ffd865" w:themeColor="accent4"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ffc000" w:themeColor="accent4" w:sz="4" w:space="0"/>
          <w:right w:val="none" w:color="000000" w:sz="4" w:space="0"/>
        </w:tcBorders>
      </w:tcPr>
    </w:tblStylePr>
    <w:tblStylePr w:type="lastCol">
      <w:rPr>
        <w:i/>
        <w:color w:val="ffd865" w:themeColor="accent4" w:themeTint="9A" w:themeShade="95"/>
        <w:sz w:val="22"/>
      </w:rPr>
      <w:pPr>
        <w:pBdr/>
        <w:spacing/>
        <w:ind/>
      </w:pPr>
      <w:tblPr>
        <w:tblBorders/>
      </w:tblPr>
      <w:tcPr>
        <w:shd w:val="clear" w:color="ffffff" w:fill="auto"/>
        <w:tcBorders>
          <w:top w:val="none" w:color="000000" w:sz="4" w:space="0"/>
          <w:left w:val="single" w:color="ffc000" w:themeColor="accent4" w:sz="4" w:space="0"/>
          <w:bottom w:val="none" w:color="000000" w:sz="4" w:space="0"/>
          <w:right w:val="none" w:color="000000" w:sz="4" w:space="0"/>
        </w:tcBorders>
      </w:tcPr>
    </w:tblStylePr>
    <w:tblStylePr w:type="lastRow">
      <w:rPr>
        <w:b/>
        <w:color w:val="ffd865" w:themeColor="accent4" w:themeTint="9A" w:themeShade="95"/>
        <w:sz w:val="22"/>
      </w:rPr>
      <w:pPr>
        <w:pBdr/>
        <w:spacing/>
        <w:ind/>
      </w:pPr>
      <w:tblPr>
        <w:tblBorders/>
      </w:tblPr>
      <w:tcPr>
        <w:shd w:val="clear" w:color="ffffff" w:fill="ffffff" w:themeFill="light1"/>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Grid Table 7 Colorful - Accent 5"/>
    <w:basedOn w:val="906"/>
    <w:uiPriority w:val="99"/>
    <w:pPr>
      <w:pBdr/>
      <w:spacing/>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color w:val="254175" w:themeColor="accent5" w:themeShade="95"/>
        <w:sz w:val="22"/>
      </w:rPr>
      <w:pPr>
        <w:pBdr/>
        <w:spacing/>
        <w:ind/>
      </w:pPr>
      <w:tblPr>
        <w:tblBorders/>
      </w:tblPr>
      <w:tcPr>
        <w:shd w:val="clear" w:color="d8e2f3" w:fill="d8e2f3" w:themeFill="accent5" w:themeFillTint="34"/>
        <w:tcBorders/>
      </w:tcPr>
    </w:tblStylePr>
    <w:tblStylePr w:type="band1Vert">
      <w:pPr>
        <w:pBdr/>
        <w:spacing/>
        <w:ind/>
      </w:pPr>
      <w:tblPr>
        <w:tblBorders/>
      </w:tblPr>
      <w:tcPr>
        <w:shd w:val="clear" w:color="d8e2f3" w:fill="d8e2f3" w:themeFill="accent5" w:themeFillTint="34"/>
        <w:tcBorders/>
      </w:tcPr>
    </w:tblStylePr>
    <w:tblStylePr w:type="band2Horz">
      <w:rPr>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472c4" w:themeColor="accent5" w:sz="4" w:space="0"/>
        </w:tcBorders>
      </w:tcPr>
    </w:tblStylePr>
    <w:tblStylePr w:type="firstRow">
      <w:rPr>
        <w:b/>
        <w:color w:val="254175" w:themeColor="accent5" w:themeShade="95"/>
        <w:sz w:val="22"/>
      </w:rPr>
      <w:pPr>
        <w:pBdr/>
        <w:spacing/>
        <w:ind/>
      </w:pPr>
      <w:tblPr>
        <w:tblBorders/>
      </w:tblPr>
      <w:tcPr>
        <w:shd w:val="clear" w:color="ffffff" w:fill="ffffff" w:themeFill="light1"/>
        <w:tcBorders>
          <w:top w:val="none" w:color="000000" w:sz="4" w:space="0"/>
          <w:left w:val="none" w:color="000000" w:sz="4" w:space="0"/>
          <w:bottom w:val="single" w:color="4472c4" w:themeColor="accent5" w:sz="4" w:space="0"/>
          <w:right w:val="none" w:color="000000" w:sz="4" w:space="0"/>
        </w:tcBorders>
      </w:tcPr>
    </w:tblStylePr>
    <w:tblStylePr w:type="lastCol">
      <w:rPr>
        <w:i/>
        <w:color w:val="254175" w:themeColor="accent5" w:themeShade="95"/>
        <w:sz w:val="22"/>
      </w:rPr>
      <w:pPr>
        <w:pBdr/>
        <w:spacing/>
        <w:ind/>
      </w:pPr>
      <w:tblPr>
        <w:tblBorders/>
      </w:tblPr>
      <w:tcPr>
        <w:shd w:val="clear" w:color="ffffff" w:fill="auto"/>
        <w:tcBorders>
          <w:top w:val="none" w:color="000000" w:sz="4" w:space="0"/>
          <w:left w:val="single" w:color="4472c4" w:themeColor="accent5" w:sz="4" w:space="0"/>
          <w:bottom w:val="none" w:color="000000" w:sz="4" w:space="0"/>
          <w:right w:val="none" w:color="000000" w:sz="4" w:space="0"/>
        </w:tcBorders>
      </w:tcPr>
    </w:tblStylePr>
    <w:tblStylePr w:type="lastRow">
      <w:rPr>
        <w:b/>
        <w:color w:val="254175" w:themeColor="accent5" w:themeShade="95"/>
        <w:sz w:val="22"/>
      </w:rPr>
      <w:pPr>
        <w:pBdr/>
        <w:spacing/>
        <w:ind/>
      </w:pPr>
      <w:tblPr>
        <w:tblBorders/>
      </w:tblPr>
      <w:tcPr>
        <w:shd w:val="clear" w:color="ffffff" w:fill="ffffff" w:themeFill="light1"/>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d Table 7 Colorful - Accent 6"/>
    <w:basedOn w:val="906"/>
    <w:uiPriority w:val="99"/>
    <w:pPr>
      <w:pBdr/>
      <w:spacing/>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color w:val="416429" w:themeColor="accent6" w:themeShade="95"/>
        <w:sz w:val="22"/>
      </w:rPr>
      <w:pPr>
        <w:pBdr/>
        <w:spacing/>
        <w:ind/>
      </w:pPr>
      <w:tblPr>
        <w:tblBorders/>
      </w:tblPr>
      <w:tcPr>
        <w:shd w:val="clear" w:color="e1efd8" w:fill="e1efd8" w:themeFill="accent6" w:themeFillTint="34"/>
        <w:tcBorders/>
      </w:tcPr>
    </w:tblStylePr>
    <w:tblStylePr w:type="band1Vert">
      <w:pPr>
        <w:pBdr/>
        <w:spacing/>
        <w:ind/>
      </w:pPr>
      <w:tblPr>
        <w:tblBorders/>
      </w:tblPr>
      <w:tcPr>
        <w:shd w:val="clear" w:color="e1efd8" w:fill="e1efd8" w:themeFill="accent6" w:themeFillTint="34"/>
        <w:tcBorders/>
      </w:tcPr>
    </w:tblStylePr>
    <w:tblStylePr w:type="band2Horz">
      <w:rPr>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0ad47" w:themeColor="accent6" w:sz="4" w:space="0"/>
        </w:tcBorders>
      </w:tcPr>
    </w:tblStylePr>
    <w:tblStylePr w:type="firstRow">
      <w:rPr>
        <w:b/>
        <w:color w:val="416429" w:themeColor="accent6" w:themeShade="95"/>
        <w:sz w:val="22"/>
      </w:rPr>
      <w:pPr>
        <w:pBdr/>
        <w:spacing/>
        <w:ind/>
      </w:pPr>
      <w:tblPr>
        <w:tblBorders/>
      </w:tblPr>
      <w:tcPr>
        <w:shd w:val="clear" w:color="ffffff" w:fill="ffffff" w:themeFill="light1"/>
        <w:tcBorders>
          <w:top w:val="none" w:color="000000" w:sz="4" w:space="0"/>
          <w:left w:val="none" w:color="000000" w:sz="4" w:space="0"/>
          <w:bottom w:val="single" w:color="70ad47" w:themeColor="accent6" w:sz="4" w:space="0"/>
          <w:right w:val="none" w:color="000000" w:sz="4" w:space="0"/>
        </w:tcBorders>
      </w:tcPr>
    </w:tblStylePr>
    <w:tblStylePr w:type="lastCol">
      <w:rPr>
        <w:i/>
        <w:color w:val="416429" w:themeColor="accent6" w:themeShade="95"/>
        <w:sz w:val="22"/>
      </w:rPr>
      <w:pPr>
        <w:pBdr/>
        <w:spacing/>
        <w:ind/>
      </w:pPr>
      <w:tblPr>
        <w:tblBorders/>
      </w:tblPr>
      <w:tcPr>
        <w:shd w:val="clear" w:color="ffffff" w:fill="auto"/>
        <w:tcBorders>
          <w:top w:val="none" w:color="000000" w:sz="4" w:space="0"/>
          <w:left w:val="single" w:color="70ad47" w:themeColor="accent6" w:sz="4" w:space="0"/>
          <w:bottom w:val="none" w:color="000000" w:sz="4" w:space="0"/>
          <w:right w:val="none" w:color="000000" w:sz="4" w:space="0"/>
        </w:tcBorders>
      </w:tcPr>
    </w:tblStylePr>
    <w:tblStylePr w:type="lastRow">
      <w:rPr>
        <w:b/>
        <w:color w:val="416429" w:themeColor="accent6" w:themeShade="95"/>
        <w:sz w:val="22"/>
      </w:rPr>
      <w:pPr>
        <w:pBdr/>
        <w:spacing/>
        <w:ind/>
      </w:pPr>
      <w:tblPr>
        <w:tblBorders/>
      </w:tblPr>
      <w:tcPr>
        <w:shd w:val="clear" w:color="ffffff" w:fill="ffffff" w:themeFill="light1"/>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List Table 1 Light"/>
    <w:basedOn w:val="906"/>
    <w:uiPriority w:val="99"/>
    <w:pPr>
      <w:pBdr/>
      <w:spacing/>
      <w:ind/>
    </w:pPr>
    <w:tblPr>
      <w:tblStyleRowBandSize w:val="1"/>
      <w:tblStyleColBandSize w:val="1"/>
      <w:tblBorders/>
    </w:tblPr>
    <w:tcPr>
      <w:tcBorders/>
    </w:tcPr>
    <w:tblStylePr w:type="band1Horz">
      <w:pPr>
        <w:pBdr/>
        <w:spacing/>
        <w:ind/>
      </w:pPr>
      <w:tblPr>
        <w:tblBorders/>
      </w:tblPr>
      <w:tcPr>
        <w:shd w:val="clear" w:color="bfbfbf" w:fill="bfbfbf" w:themeFill="text1" w:themeFillTint="40"/>
        <w:tcBorders/>
      </w:tcPr>
    </w:tblStylePr>
    <w:tblStylePr w:type="band1Vert">
      <w:pPr>
        <w:pBdr/>
        <w:spacing/>
        <w:ind/>
      </w:pPr>
      <w:tblPr>
        <w:tblBorders/>
      </w:tblPr>
      <w:tcPr>
        <w:shd w:val="clear" w:color="bfbfb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List Table 1 Light - Accent 1"/>
    <w:basedOn w:val="906"/>
    <w:uiPriority w:val="99"/>
    <w:pPr>
      <w:pBdr/>
      <w:spacing/>
      <w:ind/>
    </w:pPr>
    <w:tblPr>
      <w:tblStyleRowBandSize w:val="1"/>
      <w:tblStyleColBandSize w:val="1"/>
      <w:tblBorders/>
    </w:tblPr>
    <w:tcPr>
      <w:tcBorders/>
    </w:tcPr>
    <w:tblStylePr w:type="band1Horz">
      <w:pPr>
        <w:pBdr/>
        <w:spacing/>
        <w:ind/>
      </w:pPr>
      <w:tblPr>
        <w:tblBorders/>
      </w:tblPr>
      <w:tcPr>
        <w:shd w:val="clear" w:color="d5e5f4" w:fill="d5e5f4" w:themeFill="accent1" w:themeFillTint="40"/>
        <w:tcBorders/>
      </w:tcPr>
    </w:tblStylePr>
    <w:tblStylePr w:type="band1Vert">
      <w:pPr>
        <w:pBdr/>
        <w:spacing/>
        <w:ind/>
      </w:pPr>
      <w:tblPr>
        <w:tblBorders/>
      </w:tblPr>
      <w:tcPr>
        <w:shd w:val="clear" w:color="d5e5f4"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List Table 1 Light - Accent 2"/>
    <w:basedOn w:val="906"/>
    <w:uiPriority w:val="99"/>
    <w:pPr>
      <w:pBdr/>
      <w:spacing/>
      <w:ind/>
    </w:pPr>
    <w:tblPr>
      <w:tblStyleRowBandSize w:val="1"/>
      <w:tblStyleColBandSize w:val="1"/>
      <w:tblBorders/>
    </w:tblPr>
    <w:tcPr>
      <w:tcBorders/>
    </w:tcPr>
    <w:tblStylePr w:type="band1Horz">
      <w:pPr>
        <w:pBdr/>
        <w:spacing/>
        <w:ind/>
      </w:pPr>
      <w:tblPr>
        <w:tblBorders/>
      </w:tblPr>
      <w:tcPr>
        <w:shd w:val="clear" w:color="fadecb" w:fill="fadecb" w:themeFill="accent2" w:themeFillTint="40"/>
        <w:tcBorders/>
      </w:tcPr>
    </w:tblStylePr>
    <w:tblStylePr w:type="band1Vert">
      <w:pPr>
        <w:pBdr/>
        <w:spacing/>
        <w:ind/>
      </w:pPr>
      <w:tblPr>
        <w:tblBorders/>
      </w:tblPr>
      <w:tcPr>
        <w:shd w:val="clear" w:color="fadecb"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List Table 1 Light - Accent 3"/>
    <w:basedOn w:val="906"/>
    <w:uiPriority w:val="99"/>
    <w:pPr>
      <w:pBdr/>
      <w:spacing/>
      <w:ind/>
    </w:pPr>
    <w:tblPr>
      <w:tblStyleRowBandSize w:val="1"/>
      <w:tblStyleColBandSize w:val="1"/>
      <w:tblBorders/>
    </w:tblPr>
    <w:tcPr>
      <w:tcBorders/>
    </w:tcPr>
    <w:tblStylePr w:type="band1Horz">
      <w:pPr>
        <w:pBdr/>
        <w:spacing/>
        <w:ind/>
      </w:pPr>
      <w:tblPr>
        <w:tblBorders/>
      </w:tblPr>
      <w:tcPr>
        <w:shd w:val="clear" w:color="e8e8e8" w:fill="e8e8e8" w:themeFill="accent3" w:themeFillTint="40"/>
        <w:tcBorders/>
      </w:tcPr>
    </w:tblStylePr>
    <w:tblStylePr w:type="band1Vert">
      <w:pPr>
        <w:pBdr/>
        <w:spacing/>
        <w:ind/>
      </w:pPr>
      <w:tblPr>
        <w:tblBorders/>
      </w:tblPr>
      <w:tcPr>
        <w:shd w:val="clear" w:color="e8e8e8"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List Table 1 Light - Accent 4"/>
    <w:basedOn w:val="906"/>
    <w:uiPriority w:val="99"/>
    <w:pPr>
      <w:pBdr/>
      <w:spacing/>
      <w:ind/>
    </w:pPr>
    <w:tblPr>
      <w:tblStyleRowBandSize w:val="1"/>
      <w:tblStyleColBandSize w:val="1"/>
      <w:tblBorders/>
    </w:tblPr>
    <w:tcPr>
      <w:tcBorders/>
    </w:tcPr>
    <w:tblStylePr w:type="band1Horz">
      <w:pPr>
        <w:pBdr/>
        <w:spacing/>
        <w:ind/>
      </w:pPr>
      <w:tblPr>
        <w:tblBorders/>
      </w:tblPr>
      <w:tcPr>
        <w:shd w:val="clear" w:color="ffefbf" w:fill="ffefbf" w:themeFill="accent4" w:themeFillTint="40"/>
        <w:tcBorders/>
      </w:tcPr>
    </w:tblStylePr>
    <w:tblStylePr w:type="band1Vert">
      <w:pPr>
        <w:pBdr/>
        <w:spacing/>
        <w:ind/>
      </w:pPr>
      <w:tblPr>
        <w:tblBorders/>
      </w:tblPr>
      <w:tcPr>
        <w:shd w:val="clear" w:color="ffefbf"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List Table 1 Light - Accent 5"/>
    <w:basedOn w:val="906"/>
    <w:uiPriority w:val="99"/>
    <w:pPr>
      <w:pBdr/>
      <w:spacing/>
      <w:ind/>
    </w:pPr>
    <w:tblPr>
      <w:tblStyleRowBandSize w:val="1"/>
      <w:tblStyleColBandSize w:val="1"/>
      <w:tblBorders/>
    </w:tblPr>
    <w:tcPr>
      <w:tcBorders/>
    </w:tcPr>
    <w:tblStylePr w:type="band1Horz">
      <w:pPr>
        <w:pBdr/>
        <w:spacing/>
        <w:ind/>
      </w:pPr>
      <w:tblPr>
        <w:tblBorders/>
      </w:tblPr>
      <w:tcPr>
        <w:shd w:val="clear" w:color="cfdbf0" w:fill="cfdbf0" w:themeFill="accent5" w:themeFillTint="40"/>
        <w:tcBorders/>
      </w:tcPr>
    </w:tblStylePr>
    <w:tblStylePr w:type="band1Vert">
      <w:pPr>
        <w:pBdr/>
        <w:spacing/>
        <w:ind/>
      </w:pPr>
      <w:tblPr>
        <w:tblBorders/>
      </w:tblPr>
      <w:tcPr>
        <w:shd w:val="clear" w:color="cfdbf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List Table 1 Light - Accent 6"/>
    <w:basedOn w:val="906"/>
    <w:uiPriority w:val="99"/>
    <w:pPr>
      <w:pBdr/>
      <w:spacing/>
      <w:ind/>
    </w:pPr>
    <w:tblPr>
      <w:tblStyleRowBandSize w:val="1"/>
      <w:tblStyleColBandSize w:val="1"/>
      <w:tblBorders/>
    </w:tblPr>
    <w:tcPr>
      <w:tcBorders/>
    </w:tcPr>
    <w:tblStylePr w:type="band1Horz">
      <w:pPr>
        <w:pBdr/>
        <w:spacing/>
        <w:ind/>
      </w:pPr>
      <w:tblPr>
        <w:tblBorders/>
      </w:tblPr>
      <w:tcPr>
        <w:shd w:val="clear" w:color="daebcf" w:fill="daebcf" w:themeFill="accent6" w:themeFillTint="40"/>
        <w:tcBorders/>
      </w:tcPr>
    </w:tblStylePr>
    <w:tblStylePr w:type="band1Vert">
      <w:pPr>
        <w:pBdr/>
        <w:spacing/>
        <w:ind/>
      </w:pPr>
      <w:tblPr>
        <w:tblBorders/>
      </w:tblPr>
      <w:tcPr>
        <w:shd w:val="clear" w:color="daebcf"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List Table 2"/>
    <w:basedOn w:val="906"/>
    <w:uiPriority w:val="99"/>
    <w:pPr>
      <w:pBdr/>
      <w:spacing/>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sz w:val="22"/>
      </w:rPr>
      <w:pPr>
        <w:pBdr/>
        <w:spacing/>
        <w:ind/>
      </w:pPr>
      <w:tblPr>
        <w:tblBorders/>
      </w:tblPr>
      <w:tcPr>
        <w:shd w:val="clear" w:color="bfbfbf" w:fill="bfbfbf" w:themeFill="text1" w:themeFillTint="40"/>
        <w:tcBorders/>
      </w:tcPr>
    </w:tblStylePr>
    <w:tblStylePr w:type="band1Vert">
      <w:rPr>
        <w:sz w:val="22"/>
      </w:rPr>
      <w:pPr>
        <w:pBdr/>
        <w:spacing/>
        <w:ind/>
      </w:pPr>
      <w:tblPr>
        <w:tblBorders/>
      </w:tblPr>
      <w:tcPr>
        <w:shd w:val="clear" w:color="bfbfb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List Table 2 - Accent 1"/>
    <w:basedOn w:val="906"/>
    <w:uiPriority w:val="99"/>
    <w:pPr>
      <w:pBdr/>
      <w:spacing/>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sz w:val="22"/>
      </w:rPr>
      <w:pPr>
        <w:pBdr/>
        <w:spacing/>
        <w:ind/>
      </w:pPr>
      <w:tblPr>
        <w:tblBorders/>
      </w:tblPr>
      <w:tcPr>
        <w:shd w:val="clear" w:color="d5e5f4" w:fill="d5e5f4" w:themeFill="accent1" w:themeFillTint="40"/>
        <w:tcBorders/>
      </w:tcPr>
    </w:tblStylePr>
    <w:tblStylePr w:type="band1Vert">
      <w:rPr>
        <w:sz w:val="22"/>
      </w:rPr>
      <w:pPr>
        <w:pBdr/>
        <w:spacing/>
        <w:ind/>
      </w:pPr>
      <w:tblPr>
        <w:tblBorders/>
      </w:tblPr>
      <w:tcPr>
        <w:shd w:val="clear" w:color="d5e5f4"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5b9bd5" w:themeColor="accent1" w:sz="4" w:space="0"/>
          <w:left w:val="none" w:color="000000" w:sz="4" w:space="0"/>
          <w:bottom w:val="single" w:color="5b9bd5" w:themeColor="accent1"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5b9bd5" w:themeColor="accent1" w:sz="4" w:space="0"/>
          <w:left w:val="none" w:color="000000" w:sz="4" w:space="0"/>
          <w:bottom w:val="single" w:color="5b9bd5" w:themeColor="accent1"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List Table 2 - Accent 2"/>
    <w:basedOn w:val="906"/>
    <w:uiPriority w:val="99"/>
    <w:pPr>
      <w:pBdr/>
      <w:spacing/>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sz w:val="22"/>
      </w:rPr>
      <w:pPr>
        <w:pBdr/>
        <w:spacing/>
        <w:ind/>
      </w:pPr>
      <w:tblPr>
        <w:tblBorders/>
      </w:tblPr>
      <w:tcPr>
        <w:shd w:val="clear" w:color="fadecb" w:fill="fadecb" w:themeFill="accent2" w:themeFillTint="40"/>
        <w:tcBorders/>
      </w:tcPr>
    </w:tblStylePr>
    <w:tblStylePr w:type="band1Vert">
      <w:rPr>
        <w:sz w:val="22"/>
      </w:rPr>
      <w:pPr>
        <w:pBdr/>
        <w:spacing/>
        <w:ind/>
      </w:pPr>
      <w:tblPr>
        <w:tblBorders/>
      </w:tblPr>
      <w:tcPr>
        <w:shd w:val="clear" w:color="fadecb"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ed7d31" w:themeColor="accent2" w:sz="4" w:space="0"/>
          <w:left w:val="none" w:color="000000" w:sz="4" w:space="0"/>
          <w:bottom w:val="single" w:color="ed7d31" w:themeColor="accent2"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ed7d31" w:themeColor="accent2" w:sz="4" w:space="0"/>
          <w:left w:val="none" w:color="000000" w:sz="4" w:space="0"/>
          <w:bottom w:val="single" w:color="ed7d31" w:themeColor="accent2"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List Table 2 - Accent 3"/>
    <w:basedOn w:val="906"/>
    <w:uiPriority w:val="99"/>
    <w:pPr>
      <w:pBdr/>
      <w:spacing/>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sz w:val="22"/>
      </w:rPr>
      <w:pPr>
        <w:pBdr/>
        <w:spacing/>
        <w:ind/>
      </w:pPr>
      <w:tblPr>
        <w:tblBorders/>
      </w:tblPr>
      <w:tcPr>
        <w:shd w:val="clear" w:color="e8e8e8" w:fill="e8e8e8" w:themeFill="accent3" w:themeFillTint="40"/>
        <w:tcBorders/>
      </w:tcPr>
    </w:tblStylePr>
    <w:tblStylePr w:type="band1Vert">
      <w:rPr>
        <w:sz w:val="22"/>
      </w:rPr>
      <w:pPr>
        <w:pBdr/>
        <w:spacing/>
        <w:ind/>
      </w:pPr>
      <w:tblPr>
        <w:tblBorders/>
      </w:tblPr>
      <w:tcPr>
        <w:shd w:val="clear" w:color="e8e8e8"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a5a5a5" w:themeColor="accent3" w:sz="4" w:space="0"/>
          <w:left w:val="none" w:color="000000" w:sz="4" w:space="0"/>
          <w:bottom w:val="single" w:color="a5a5a5" w:themeColor="accent3"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a5a5a5" w:themeColor="accent3" w:sz="4" w:space="0"/>
          <w:left w:val="none" w:color="000000" w:sz="4" w:space="0"/>
          <w:bottom w:val="single" w:color="a5a5a5" w:themeColor="accent3"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List Table 2 - Accent 4"/>
    <w:basedOn w:val="906"/>
    <w:uiPriority w:val="99"/>
    <w:pPr>
      <w:pBdr/>
      <w:spacing/>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sz w:val="22"/>
      </w:rPr>
      <w:pPr>
        <w:pBdr/>
        <w:spacing/>
        <w:ind/>
      </w:pPr>
      <w:tblPr>
        <w:tblBorders/>
      </w:tblPr>
      <w:tcPr>
        <w:shd w:val="clear" w:color="ffefbf" w:fill="ffefbf" w:themeFill="accent4" w:themeFillTint="40"/>
        <w:tcBorders/>
      </w:tcPr>
    </w:tblStylePr>
    <w:tblStylePr w:type="band1Vert">
      <w:rPr>
        <w:sz w:val="22"/>
      </w:rPr>
      <w:pPr>
        <w:pBdr/>
        <w:spacing/>
        <w:ind/>
      </w:pPr>
      <w:tblPr>
        <w:tblBorders/>
      </w:tblPr>
      <w:tcPr>
        <w:shd w:val="clear" w:color="ffefbf"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ffc000" w:themeColor="accent4" w:sz="4" w:space="0"/>
          <w:left w:val="none" w:color="000000" w:sz="4" w:space="0"/>
          <w:bottom w:val="single" w:color="ffc000" w:themeColor="accent4"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ffc000" w:themeColor="accent4" w:sz="4" w:space="0"/>
          <w:left w:val="none" w:color="000000" w:sz="4" w:space="0"/>
          <w:bottom w:val="single" w:color="ffc000" w:themeColor="accent4"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List Table 2 - Accent 5"/>
    <w:basedOn w:val="906"/>
    <w:uiPriority w:val="99"/>
    <w:pPr>
      <w:pBdr/>
      <w:spacing/>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sz w:val="22"/>
      </w:rPr>
      <w:pPr>
        <w:pBdr/>
        <w:spacing/>
        <w:ind/>
      </w:pPr>
      <w:tblPr>
        <w:tblBorders/>
      </w:tblPr>
      <w:tcPr>
        <w:shd w:val="clear" w:color="cfdbf0" w:fill="cfdbf0" w:themeFill="accent5" w:themeFillTint="40"/>
        <w:tcBorders/>
      </w:tcPr>
    </w:tblStylePr>
    <w:tblStylePr w:type="band1Vert">
      <w:rPr>
        <w:sz w:val="22"/>
      </w:rPr>
      <w:pPr>
        <w:pBdr/>
        <w:spacing/>
        <w:ind/>
      </w:pPr>
      <w:tblPr>
        <w:tblBorders/>
      </w:tblPr>
      <w:tcPr>
        <w:shd w:val="clear" w:color="cfdbf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4472c4" w:themeColor="accent5" w:sz="4" w:space="0"/>
          <w:left w:val="none" w:color="000000" w:sz="4" w:space="0"/>
          <w:bottom w:val="single" w:color="4472c4" w:themeColor="accent5"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4472c4" w:themeColor="accent5" w:sz="4" w:space="0"/>
          <w:left w:val="none" w:color="000000" w:sz="4" w:space="0"/>
          <w:bottom w:val="single" w:color="4472c4" w:themeColor="accent5"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List Table 2 - Accent 6"/>
    <w:basedOn w:val="906"/>
    <w:uiPriority w:val="99"/>
    <w:pPr>
      <w:pBdr/>
      <w:spacing/>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sz w:val="22"/>
      </w:rPr>
      <w:pPr>
        <w:pBdr/>
        <w:spacing/>
        <w:ind/>
      </w:pPr>
      <w:tblPr>
        <w:tblBorders/>
      </w:tblPr>
      <w:tcPr>
        <w:shd w:val="clear" w:color="daebcf" w:fill="daebcf" w:themeFill="accent6" w:themeFillTint="40"/>
        <w:tcBorders/>
      </w:tcPr>
    </w:tblStylePr>
    <w:tblStylePr w:type="band1Vert">
      <w:rPr>
        <w:sz w:val="22"/>
      </w:rPr>
      <w:pPr>
        <w:pBdr/>
        <w:spacing/>
        <w:ind/>
      </w:pPr>
      <w:tblPr>
        <w:tblBorders/>
      </w:tblPr>
      <w:tcPr>
        <w:shd w:val="clear" w:color="daebcf"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70ad47" w:themeColor="accent6" w:sz="4" w:space="0"/>
          <w:left w:val="none" w:color="000000" w:sz="4" w:space="0"/>
          <w:bottom w:val="single" w:color="70ad47" w:themeColor="accent6"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70ad47" w:themeColor="accent6" w:sz="4" w:space="0"/>
          <w:left w:val="none" w:color="000000" w:sz="4" w:space="0"/>
          <w:bottom w:val="single" w:color="70ad47" w:themeColor="accent6"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name w:val="List Table 3"/>
    <w:basedOn w:val="906"/>
    <w:uiPriority w:val="99"/>
    <w:pPr>
      <w:pBdr/>
      <w:spacing/>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sz w:val="22"/>
      </w:rPr>
      <w:pPr>
        <w:pBdr/>
        <w:spacing/>
        <w:ind/>
      </w:pPr>
      <w:tblPr>
        <w:tblBorders/>
      </w:tblPr>
      <w:tcPr>
        <w:tcBorders>
          <w:top w:val="single" w:color="000000" w:themeColor="text1" w:sz="4" w:space="0"/>
          <w:bottom w:val="single" w:color="000000" w:themeColor="text1" w:sz="4" w:space="0"/>
        </w:tcBorders>
      </w:tcPr>
    </w:tblStylePr>
    <w:tblStylePr w:type="band1Vert">
      <w:rPr>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hemeFill="text1"/>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List Table 3 - Accent 1"/>
    <w:basedOn w:val="906"/>
    <w:uiPriority w:val="99"/>
    <w:pPr>
      <w:pBdr/>
      <w:spacing/>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sz w:val="22"/>
      </w:rPr>
      <w:pPr>
        <w:pBdr/>
        <w:spacing/>
        <w:ind/>
      </w:pPr>
      <w:tblPr>
        <w:tblBorders/>
      </w:tblPr>
      <w:tcPr>
        <w:tcBorders>
          <w:top w:val="single" w:color="5b9bd5" w:themeColor="accent1" w:sz="4" w:space="0"/>
          <w:bottom w:val="single" w:color="5b9bd5" w:themeColor="accent1" w:sz="4" w:space="0"/>
        </w:tcBorders>
      </w:tcPr>
    </w:tblStylePr>
    <w:tblStylePr w:type="band1Vert">
      <w:rPr>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5b9bd5" w:fill="5b9bd5" w:themeFill="accent1"/>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List Table 3 - Accent 2"/>
    <w:basedOn w:val="906"/>
    <w:uiPriority w:val="99"/>
    <w:pPr>
      <w:pBdr/>
      <w:spacing/>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sz w:val="22"/>
      </w:rPr>
      <w:pPr>
        <w:pBdr/>
        <w:spacing/>
        <w:ind/>
      </w:pPr>
      <w:tblPr>
        <w:tblBorders/>
      </w:tblPr>
      <w:tcPr>
        <w:tcBorders>
          <w:top w:val="single" w:color="ed7d31" w:themeColor="accent2" w:sz="4" w:space="0"/>
          <w:bottom w:val="single" w:color="ed7d31" w:themeColor="accent2" w:sz="4" w:space="0"/>
        </w:tcBorders>
      </w:tcPr>
    </w:tblStylePr>
    <w:tblStylePr w:type="band1Vert">
      <w:rPr>
        <w:sz w:val="22"/>
      </w:rPr>
      <w:pPr>
        <w:pBdr/>
        <w:spacing/>
        <w:ind/>
      </w:pPr>
      <w:tblPr>
        <w:tblBorders/>
      </w:tblPr>
      <w:tcPr>
        <w:tcBorders>
          <w:left w:val="single" w:color="ed7d31" w:themeColor="accent2" w:sz="4" w:space="0"/>
          <w:right w:val="single" w:color="ed7d31" w:themeColor="accent2"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4b184" w:fill="f4b184" w:themeFill="accent2" w:themeFillTint="97"/>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List Table 3 - Accent 3"/>
    <w:basedOn w:val="906"/>
    <w:uiPriority w:val="99"/>
    <w:pPr>
      <w:pBdr/>
      <w:spacing/>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sz w:val="22"/>
      </w:rPr>
      <w:pPr>
        <w:pBdr/>
        <w:spacing/>
        <w:ind/>
      </w:pPr>
      <w:tblPr>
        <w:tblBorders/>
      </w:tblPr>
      <w:tcPr>
        <w:tcBorders>
          <w:top w:val="single" w:color="a5a5a5" w:themeColor="accent3" w:sz="4" w:space="0"/>
          <w:bottom w:val="single" w:color="a5a5a5" w:themeColor="accent3" w:sz="4" w:space="0"/>
        </w:tcBorders>
      </w:tcPr>
    </w:tblStylePr>
    <w:tblStylePr w:type="band1Vert">
      <w:rPr>
        <w:sz w:val="22"/>
      </w:rPr>
      <w:pPr>
        <w:pBdr/>
        <w:spacing/>
        <w:ind/>
      </w:pPr>
      <w:tblPr>
        <w:tblBorders/>
      </w:tblPr>
      <w:tcPr>
        <w:tcBorders>
          <w:left w:val="single" w:color="a5a5a5" w:themeColor="accent3" w:sz="4" w:space="0"/>
          <w:right w:val="single" w:color="a5a5a5" w:themeColor="accent3"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c9c9c9" w:fill="c9c9c9" w:themeFill="accent3" w:themeFillTint="98"/>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List Table 3 - Accent 4"/>
    <w:basedOn w:val="906"/>
    <w:uiPriority w:val="99"/>
    <w:pPr>
      <w:pBdr/>
      <w:spacing/>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sz w:val="22"/>
      </w:rPr>
      <w:pPr>
        <w:pBdr/>
        <w:spacing/>
        <w:ind/>
      </w:pPr>
      <w:tblPr>
        <w:tblBorders/>
      </w:tblPr>
      <w:tcPr>
        <w:tcBorders>
          <w:top w:val="single" w:color="ffc000" w:themeColor="accent4" w:sz="4" w:space="0"/>
          <w:bottom w:val="single" w:color="ffc000" w:themeColor="accent4" w:sz="4" w:space="0"/>
        </w:tcBorders>
      </w:tcPr>
    </w:tblStylePr>
    <w:tblStylePr w:type="band1Vert">
      <w:rPr>
        <w:sz w:val="22"/>
      </w:rPr>
      <w:pPr>
        <w:pBdr/>
        <w:spacing/>
        <w:ind/>
      </w:pPr>
      <w:tblPr>
        <w:tblBorders/>
      </w:tblPr>
      <w:tcPr>
        <w:tcBorders>
          <w:left w:val="single" w:color="ffc000" w:themeColor="accent4" w:sz="4" w:space="0"/>
          <w:right w:val="single" w:color="ffc000" w:themeColor="accent4"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d865" w:fill="ffd865" w:themeFill="accent4" w:themeFillTint="9A"/>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List Table 3 - Accent 5"/>
    <w:basedOn w:val="906"/>
    <w:uiPriority w:val="99"/>
    <w:pPr>
      <w:pBdr/>
      <w:spacing/>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sz w:val="22"/>
      </w:rPr>
      <w:pPr>
        <w:pBdr/>
        <w:spacing/>
        <w:ind/>
      </w:pPr>
      <w:tblPr>
        <w:tblBorders/>
      </w:tblPr>
      <w:tcPr>
        <w:tcBorders>
          <w:top w:val="single" w:color="4472c4" w:themeColor="accent5" w:sz="4" w:space="0"/>
          <w:bottom w:val="single" w:color="4472c4" w:themeColor="accent5" w:sz="4" w:space="0"/>
        </w:tcBorders>
      </w:tcPr>
    </w:tblStylePr>
    <w:tblStylePr w:type="band1Vert">
      <w:rPr>
        <w:sz w:val="22"/>
      </w:rPr>
      <w:pPr>
        <w:pBdr/>
        <w:spacing/>
        <w:ind/>
      </w:pPr>
      <w:tblPr>
        <w:tblBorders/>
      </w:tblPr>
      <w:tcPr>
        <w:tcBorders>
          <w:left w:val="single" w:color="4472c4" w:themeColor="accent5" w:sz="4" w:space="0"/>
          <w:right w:val="single" w:color="4472c4" w:themeColor="accent5"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8da9db" w:fill="8da9db" w:themeFill="accent5" w:themeFillTint="9A"/>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List Table 3 - Accent 6"/>
    <w:basedOn w:val="906"/>
    <w:uiPriority w:val="99"/>
    <w:pPr>
      <w:pBdr/>
      <w:spacing/>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sz w:val="22"/>
      </w:rPr>
      <w:pPr>
        <w:pBdr/>
        <w:spacing/>
        <w:ind/>
      </w:pPr>
      <w:tblPr>
        <w:tblBorders/>
      </w:tblPr>
      <w:tcPr>
        <w:tcBorders>
          <w:top w:val="single" w:color="70ad47" w:themeColor="accent6" w:sz="4" w:space="0"/>
          <w:bottom w:val="single" w:color="70ad47" w:themeColor="accent6" w:sz="4" w:space="0"/>
        </w:tcBorders>
      </w:tcPr>
    </w:tblStylePr>
    <w:tblStylePr w:type="band1Vert">
      <w:rPr>
        <w:sz w:val="22"/>
      </w:rPr>
      <w:pPr>
        <w:pBdr/>
        <w:spacing/>
        <w:ind/>
      </w:pPr>
      <w:tblPr>
        <w:tblBorders/>
      </w:tblPr>
      <w:tcPr>
        <w:tcBorders>
          <w:left w:val="single" w:color="70ad47" w:themeColor="accent6" w:sz="4" w:space="0"/>
          <w:right w:val="single" w:color="70ad47" w:themeColor="accent6"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a9d08e" w:fill="a9d08e" w:themeFill="accent6" w:themeFillTint="98"/>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name w:val="List Table 4"/>
    <w:basedOn w:val="906"/>
    <w:uiPriority w:val="99"/>
    <w:pPr>
      <w:pBdr/>
      <w:spacing/>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sz w:val="22"/>
      </w:rPr>
      <w:pPr>
        <w:pBdr/>
        <w:spacing/>
        <w:ind/>
      </w:pPr>
      <w:tblPr>
        <w:tblBorders/>
      </w:tblPr>
      <w:tcPr>
        <w:shd w:val="clear" w:color="bfbfbf" w:fill="bfbfbf" w:themeFill="text1" w:themeFillTint="40"/>
        <w:tcBorders/>
      </w:tcPr>
    </w:tblStylePr>
    <w:tblStylePr w:type="band1Vert">
      <w:rPr>
        <w:sz w:val="22"/>
      </w:rPr>
      <w:pPr>
        <w:pBdr/>
        <w:spacing/>
        <w:ind/>
      </w:pPr>
      <w:tblPr>
        <w:tblBorders/>
      </w:tblPr>
      <w:tcPr>
        <w:shd w:val="clear" w:color="bfbfb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hemeFill="text1"/>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List Table 4 - Accent 1"/>
    <w:basedOn w:val="906"/>
    <w:uiPriority w:val="99"/>
    <w:pPr>
      <w:pBdr/>
      <w:spacing/>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sz w:val="22"/>
      </w:rPr>
      <w:pPr>
        <w:pBdr/>
        <w:spacing/>
        <w:ind/>
      </w:pPr>
      <w:tblPr>
        <w:tblBorders/>
      </w:tblPr>
      <w:tcPr>
        <w:shd w:val="clear" w:color="d5e5f4" w:fill="d5e5f4" w:themeFill="accent1" w:themeFillTint="40"/>
        <w:tcBorders/>
      </w:tcPr>
    </w:tblStylePr>
    <w:tblStylePr w:type="band1Vert">
      <w:rPr>
        <w:sz w:val="22"/>
      </w:rPr>
      <w:pPr>
        <w:pBdr/>
        <w:spacing/>
        <w:ind/>
      </w:pPr>
      <w:tblPr>
        <w:tblBorders/>
      </w:tblPr>
      <w:tcPr>
        <w:shd w:val="clear" w:color="d5e5f4"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5b9bd5" w:fill="5b9bd5" w:themeFill="accent1"/>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List Table 4 - Accent 2"/>
    <w:basedOn w:val="906"/>
    <w:uiPriority w:val="99"/>
    <w:pPr>
      <w:pBdr/>
      <w:spacing/>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sz w:val="22"/>
      </w:rPr>
      <w:pPr>
        <w:pBdr/>
        <w:spacing/>
        <w:ind/>
      </w:pPr>
      <w:tblPr>
        <w:tblBorders/>
      </w:tblPr>
      <w:tcPr>
        <w:shd w:val="clear" w:color="fadecb" w:fill="fadecb" w:themeFill="accent2" w:themeFillTint="40"/>
        <w:tcBorders/>
      </w:tcPr>
    </w:tblStylePr>
    <w:tblStylePr w:type="band1Vert">
      <w:rPr>
        <w:sz w:val="22"/>
      </w:rPr>
      <w:pPr>
        <w:pBdr/>
        <w:spacing/>
        <w:ind/>
      </w:pPr>
      <w:tblPr>
        <w:tblBorders/>
      </w:tblPr>
      <w:tcPr>
        <w:shd w:val="clear" w:color="fadecb"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ed7d31" w:fill="ed7d31" w:themeFill="accent2"/>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List Table 4 - Accent 3"/>
    <w:basedOn w:val="906"/>
    <w:uiPriority w:val="99"/>
    <w:pPr>
      <w:pBdr/>
      <w:spacing/>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sz w:val="22"/>
      </w:rPr>
      <w:pPr>
        <w:pBdr/>
        <w:spacing/>
        <w:ind/>
      </w:pPr>
      <w:tblPr>
        <w:tblBorders/>
      </w:tblPr>
      <w:tcPr>
        <w:shd w:val="clear" w:color="e8e8e8" w:fill="e8e8e8" w:themeFill="accent3" w:themeFillTint="40"/>
        <w:tcBorders/>
      </w:tcPr>
    </w:tblStylePr>
    <w:tblStylePr w:type="band1Vert">
      <w:rPr>
        <w:sz w:val="22"/>
      </w:rPr>
      <w:pPr>
        <w:pBdr/>
        <w:spacing/>
        <w:ind/>
      </w:pPr>
      <w:tblPr>
        <w:tblBorders/>
      </w:tblPr>
      <w:tcPr>
        <w:shd w:val="clear" w:color="e8e8e8"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a5a5a5" w:fill="a5a5a5" w:themeFill="accent3"/>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List Table 4 - Accent 4"/>
    <w:basedOn w:val="906"/>
    <w:uiPriority w:val="99"/>
    <w:pPr>
      <w:pBdr/>
      <w:spacing/>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sz w:val="22"/>
      </w:rPr>
      <w:pPr>
        <w:pBdr/>
        <w:spacing/>
        <w:ind/>
      </w:pPr>
      <w:tblPr>
        <w:tblBorders/>
      </w:tblPr>
      <w:tcPr>
        <w:shd w:val="clear" w:color="ffefbf" w:fill="ffefbf" w:themeFill="accent4" w:themeFillTint="40"/>
        <w:tcBorders/>
      </w:tcPr>
    </w:tblStylePr>
    <w:tblStylePr w:type="band1Vert">
      <w:rPr>
        <w:sz w:val="22"/>
      </w:rPr>
      <w:pPr>
        <w:pBdr/>
        <w:spacing/>
        <w:ind/>
      </w:pPr>
      <w:tblPr>
        <w:tblBorders/>
      </w:tblPr>
      <w:tcPr>
        <w:shd w:val="clear" w:color="ffefbf"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c000" w:fill="ffc000" w:themeFill="accent4"/>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List Table 4 - Accent 5"/>
    <w:basedOn w:val="906"/>
    <w:uiPriority w:val="99"/>
    <w:pPr>
      <w:pBdr/>
      <w:spacing/>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sz w:val="22"/>
      </w:rPr>
      <w:pPr>
        <w:pBdr/>
        <w:spacing/>
        <w:ind/>
      </w:pPr>
      <w:tblPr>
        <w:tblBorders/>
      </w:tblPr>
      <w:tcPr>
        <w:shd w:val="clear" w:color="cfdbf0" w:fill="cfdbf0" w:themeFill="accent5" w:themeFillTint="40"/>
        <w:tcBorders/>
      </w:tcPr>
    </w:tblStylePr>
    <w:tblStylePr w:type="band1Vert">
      <w:rPr>
        <w:sz w:val="22"/>
      </w:rPr>
      <w:pPr>
        <w:pBdr/>
        <w:spacing/>
        <w:ind/>
      </w:pPr>
      <w:tblPr>
        <w:tblBorders/>
      </w:tblPr>
      <w:tcPr>
        <w:shd w:val="clear" w:color="cfdbf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472c4" w:fill="4472c4" w:themeFill="accent5"/>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List Table 4 - Accent 6"/>
    <w:basedOn w:val="906"/>
    <w:uiPriority w:val="99"/>
    <w:pPr>
      <w:pBdr/>
      <w:spacing/>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sz w:val="22"/>
      </w:rPr>
      <w:pPr>
        <w:pBdr/>
        <w:spacing/>
        <w:ind/>
      </w:pPr>
      <w:tblPr>
        <w:tblBorders/>
      </w:tblPr>
      <w:tcPr>
        <w:shd w:val="clear" w:color="daebcf" w:fill="daebcf" w:themeFill="accent6" w:themeFillTint="40"/>
        <w:tcBorders/>
      </w:tcPr>
    </w:tblStylePr>
    <w:tblStylePr w:type="band1Vert">
      <w:rPr>
        <w:sz w:val="22"/>
      </w:rPr>
      <w:pPr>
        <w:pBdr/>
        <w:spacing/>
        <w:ind/>
      </w:pPr>
      <w:tblPr>
        <w:tblBorders/>
      </w:tblPr>
      <w:tcPr>
        <w:shd w:val="clear" w:color="daebcf"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70ad47" w:fill="70ad47" w:themeFill="accent6"/>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name w:val="List Table 5 Dark"/>
    <w:basedOn w:val="906"/>
    <w:uiPriority w:val="99"/>
    <w:pPr>
      <w:pBdr/>
      <w:spacing/>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cPr>
      <w:tcBorders/>
    </w:tcPr>
    <w:tblStylePr w:type="band1Horz">
      <w:pPr>
        <w:pBdr/>
        <w:spacing/>
        <w:ind/>
      </w:pPr>
      <w:tblPr>
        <w:tblBorders/>
      </w:tblPr>
      <w:tcPr>
        <w:shd w:val="clear" w:color="7f7f7f"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b/>
        <w:color w:val="ffffff" w:themeColor="light1"/>
        <w:sz w:val="22"/>
      </w:rPr>
      <w:pPr>
        <w:pBdr/>
        <w:spacing/>
        <w:ind/>
      </w:pPr>
      <w:tblPr>
        <w:tblBorders/>
      </w:tblPr>
      <w:tcPr>
        <w:tcBorders>
          <w:left w:val="single" w:color="000000" w:themeColor="text1" w:sz="32" w:space="0"/>
          <w:right w:val="single" w:color="ffffff" w:themeColor="light1" w:sz="4" w:space="0"/>
        </w:tcBorders>
      </w:tcPr>
    </w:tblStylePr>
    <w:tblStylePr w:type="firstRow">
      <w:rPr>
        <w:b/>
        <w:color w:val="ffffff" w:themeColor="light1"/>
        <w:sz w:val="22"/>
      </w:rPr>
      <w:pPr>
        <w:pBdr/>
        <w:spacing/>
        <w:ind/>
      </w:pPr>
      <w:tblPr>
        <w:tblBorders/>
      </w:tblPr>
      <w:tcPr>
        <w:shd w:val="clear" w:color="7f7f7f" w:fill="7f7f7f" w:themeFill="text1" w:themeFillTint="80"/>
        <w:tcBorders>
          <w:top w:val="single" w:color="000000" w:themeColor="tex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000000" w:themeColor="text1"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List Table 5 Dark - Accent 1"/>
    <w:basedOn w:val="906"/>
    <w:uiPriority w:val="99"/>
    <w:pPr>
      <w:pBdr/>
      <w:spacing/>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cPr>
      <w:tcBorders/>
    </w:tcPr>
    <w:tblStylePr w:type="band1Horz">
      <w:pPr>
        <w:pBdr/>
        <w:spacing/>
        <w:ind/>
      </w:pPr>
      <w:tblPr>
        <w:tblBorders/>
      </w:tblPr>
      <w:tcPr>
        <w:shd w:val="clear" w:color="5b9bd5"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b/>
        <w:color w:val="ffffff" w:themeColor="light1"/>
        <w:sz w:val="22"/>
      </w:rPr>
      <w:pPr>
        <w:pBdr/>
        <w:spacing/>
        <w:ind/>
      </w:pPr>
      <w:tblPr>
        <w:tblBorders/>
      </w:tblPr>
      <w:tcPr>
        <w:shd w:val="clear" w:color="5b9bd5"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List Table 5 Dark - Accent 2"/>
    <w:basedOn w:val="906"/>
    <w:uiPriority w:val="99"/>
    <w:pPr>
      <w:pBdr/>
      <w:spacing/>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cPr>
      <w:tcBorders/>
    </w:tcPr>
    <w:tblStylePr w:type="band1Horz">
      <w:pPr>
        <w:pBdr/>
        <w:spacing/>
        <w:ind/>
      </w:pPr>
      <w:tblPr>
        <w:tblBorders/>
      </w:tblPr>
      <w:tcPr>
        <w:shd w:val="clear" w:color="f4b184"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b/>
        <w:color w:val="ffffff" w:themeColor="light1"/>
        <w:sz w:val="22"/>
      </w:rPr>
      <w:pPr>
        <w:pBdr/>
        <w:spacing/>
        <w:ind/>
      </w:pPr>
      <w:tblPr>
        <w:tblBorders/>
      </w:tblPr>
      <w:tcPr>
        <w:tcBorders>
          <w:left w:val="single" w:color="ed7d31" w:themeColor="accent2" w:sz="32" w:space="0"/>
          <w:right w:val="single" w:color="ffffff" w:themeColor="light1" w:sz="4" w:space="0"/>
        </w:tcBorders>
      </w:tcPr>
    </w:tblStylePr>
    <w:tblStylePr w:type="firstRow">
      <w:rPr>
        <w:b/>
        <w:color w:val="ffffff" w:themeColor="light1"/>
        <w:sz w:val="22"/>
      </w:rPr>
      <w:pPr>
        <w:pBdr/>
        <w:spacing/>
        <w:ind/>
      </w:pPr>
      <w:tblPr>
        <w:tblBorders/>
      </w:tblPr>
      <w:tcPr>
        <w:shd w:val="clear" w:color="f4b184" w:fill="f4b184" w:themeFill="accent2" w:themeFillTint="97"/>
        <w:tcBorders>
          <w:top w:val="single" w:color="ed7d31" w:themeColor="accent2"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ed7d31" w:themeColor="accent2"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List Table 5 Dark - Accent 3"/>
    <w:basedOn w:val="906"/>
    <w:uiPriority w:val="99"/>
    <w:pPr>
      <w:pBdr/>
      <w:spacing/>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cPr>
      <w:tcBorders/>
    </w:tcPr>
    <w:tblStylePr w:type="band1Horz">
      <w:pPr>
        <w:pBdr/>
        <w:spacing/>
        <w:ind/>
      </w:pPr>
      <w:tblPr>
        <w:tblBorders/>
      </w:tblPr>
      <w:tcPr>
        <w:shd w:val="clear" w:color="c9c9c9"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b/>
        <w:color w:val="ffffff" w:themeColor="light1"/>
        <w:sz w:val="22"/>
      </w:rPr>
      <w:pPr>
        <w:pBdr/>
        <w:spacing/>
        <w:ind/>
      </w:pPr>
      <w:tblPr>
        <w:tblBorders/>
      </w:tblPr>
      <w:tcPr>
        <w:tcBorders>
          <w:left w:val="single" w:color="a5a5a5" w:themeColor="accent3" w:sz="32" w:space="0"/>
          <w:right w:val="single" w:color="ffffff" w:themeColor="light1" w:sz="4" w:space="0"/>
        </w:tcBorders>
      </w:tcPr>
    </w:tblStylePr>
    <w:tblStylePr w:type="firstRow">
      <w:rPr>
        <w:b/>
        <w:color w:val="ffffff" w:themeColor="light1"/>
        <w:sz w:val="22"/>
      </w:rPr>
      <w:pPr>
        <w:pBdr/>
        <w:spacing/>
        <w:ind/>
      </w:pPr>
      <w:tblPr>
        <w:tblBorders/>
      </w:tblPr>
      <w:tcPr>
        <w:shd w:val="clear" w:color="c9c9c9" w:fill="c9c9c9" w:themeFill="accent3" w:themeFillTint="98"/>
        <w:tcBorders>
          <w:top w:val="single" w:color="a5a5a5" w:themeColor="accent3"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5a5a5" w:themeColor="accent3"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List Table 5 Dark - Accent 4"/>
    <w:basedOn w:val="906"/>
    <w:uiPriority w:val="99"/>
    <w:pPr>
      <w:pBdr/>
      <w:spacing/>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cPr>
      <w:tcBorders/>
    </w:tcPr>
    <w:tblStylePr w:type="band1Horz">
      <w:pPr>
        <w:pBdr/>
        <w:spacing/>
        <w:ind/>
      </w:pPr>
      <w:tblPr>
        <w:tblBorders/>
      </w:tblPr>
      <w:tcPr>
        <w:shd w:val="clear" w:color="ffd865"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b/>
        <w:color w:val="ffffff" w:themeColor="light1"/>
        <w:sz w:val="22"/>
      </w:rPr>
      <w:pPr>
        <w:pBdr/>
        <w:spacing/>
        <w:ind/>
      </w:pPr>
      <w:tblPr>
        <w:tblBorders/>
      </w:tblPr>
      <w:tcPr>
        <w:tcBorders>
          <w:left w:val="single" w:color="ffc000" w:themeColor="accent4" w:sz="32" w:space="0"/>
          <w:right w:val="single" w:color="ffffff" w:themeColor="light1" w:sz="4" w:space="0"/>
        </w:tcBorders>
      </w:tcPr>
    </w:tblStylePr>
    <w:tblStylePr w:type="firstRow">
      <w:rPr>
        <w:b/>
        <w:color w:val="ffffff" w:themeColor="light1"/>
        <w:sz w:val="22"/>
      </w:rPr>
      <w:pPr>
        <w:pBdr/>
        <w:spacing/>
        <w:ind/>
      </w:pPr>
      <w:tblPr>
        <w:tblBorders/>
      </w:tblPr>
      <w:tcPr>
        <w:shd w:val="clear" w:color="ffd865" w:fill="ffd865" w:themeFill="accent4" w:themeFillTint="9A"/>
        <w:tcBorders>
          <w:top w:val="single" w:color="ffc000" w:themeColor="accent4"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c000" w:themeColor="accent4"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List Table 5 Dark - Accent 5"/>
    <w:basedOn w:val="906"/>
    <w:uiPriority w:val="99"/>
    <w:pPr>
      <w:pBdr/>
      <w:spacing/>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cPr>
      <w:tcBorders/>
    </w:tcPr>
    <w:tblStylePr w:type="band1Horz">
      <w:pPr>
        <w:pBdr/>
        <w:spacing/>
        <w:ind/>
      </w:pPr>
      <w:tblPr>
        <w:tblBorders/>
      </w:tblPr>
      <w:tcPr>
        <w:shd w:val="clear" w:color="8da9db"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b/>
        <w:color w:val="ffffff" w:themeColor="light1"/>
        <w:sz w:val="22"/>
      </w:rPr>
      <w:pPr>
        <w:pBdr/>
        <w:spacing/>
        <w:ind/>
      </w:pPr>
      <w:tblPr>
        <w:tblBorders/>
      </w:tblPr>
      <w:tcPr>
        <w:tcBorders>
          <w:left w:val="single" w:color="4472c4" w:themeColor="accent5" w:sz="32" w:space="0"/>
          <w:right w:val="single" w:color="ffffff" w:themeColor="light1" w:sz="4" w:space="0"/>
        </w:tcBorders>
      </w:tcPr>
    </w:tblStylePr>
    <w:tblStylePr w:type="firstRow">
      <w:rPr>
        <w:b/>
        <w:color w:val="ffffff" w:themeColor="light1"/>
        <w:sz w:val="22"/>
      </w:rPr>
      <w:pPr>
        <w:pBdr/>
        <w:spacing/>
        <w:ind/>
      </w:pPr>
      <w:tblPr>
        <w:tblBorders/>
      </w:tblPr>
      <w:tcPr>
        <w:shd w:val="clear" w:color="8da9db" w:fill="8da9db" w:themeFill="accent5" w:themeFillTint="9A"/>
        <w:tcBorders>
          <w:top w:val="single" w:color="4472c4" w:themeColor="accent5"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472c4" w:themeColor="accent5"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List Table 5 Dark - Accent 6"/>
    <w:basedOn w:val="906"/>
    <w:uiPriority w:val="99"/>
    <w:pPr>
      <w:pBdr/>
      <w:spacing/>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cPr>
      <w:tcBorders/>
    </w:tcPr>
    <w:tblStylePr w:type="band1Horz">
      <w:pPr>
        <w:pBdr/>
        <w:spacing/>
        <w:ind/>
      </w:pPr>
      <w:tblPr>
        <w:tblBorders/>
      </w:tblPr>
      <w:tcPr>
        <w:shd w:val="clear" w:color="a9d08e"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b/>
        <w:color w:val="ffffff" w:themeColor="light1"/>
        <w:sz w:val="22"/>
      </w:rPr>
      <w:pPr>
        <w:pBdr/>
        <w:spacing/>
        <w:ind/>
      </w:pPr>
      <w:tblPr>
        <w:tblBorders/>
      </w:tblPr>
      <w:tcPr>
        <w:tcBorders>
          <w:left w:val="single" w:color="70ad47" w:themeColor="accent6" w:sz="32" w:space="0"/>
          <w:right w:val="single" w:color="ffffff" w:themeColor="light1" w:sz="4" w:space="0"/>
        </w:tcBorders>
      </w:tcPr>
    </w:tblStylePr>
    <w:tblStylePr w:type="firstRow">
      <w:rPr>
        <w:b/>
        <w:color w:val="ffffff" w:themeColor="light1"/>
        <w:sz w:val="22"/>
      </w:rPr>
      <w:pPr>
        <w:pBdr/>
        <w:spacing/>
        <w:ind/>
      </w:pPr>
      <w:tblPr>
        <w:tblBorders/>
      </w:tblPr>
      <w:tcPr>
        <w:shd w:val="clear" w:color="a9d08e" w:fill="a9d08e" w:themeFill="accent6" w:themeFillTint="98"/>
        <w:tcBorders>
          <w:top w:val="single" w:color="70ad47" w:themeColor="accent6"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0ad47" w:themeColor="accent6"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name w:val="List Table 6 Colorful"/>
    <w:basedOn w:val="906"/>
    <w:uiPriority w:val="99"/>
    <w:pPr>
      <w:pBdr/>
      <w:spacing/>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color w:val="000000" w:themeColor="text1"/>
        <w:sz w:val="22"/>
      </w:rPr>
      <w:pPr>
        <w:pBdr/>
        <w:spacing/>
        <w:ind/>
      </w:pPr>
      <w:tblPr>
        <w:tblBorders/>
      </w:tblPr>
      <w:tcPr>
        <w:shd w:val="clear" w:color="bfbfbf" w:fill="bfbfbf" w:themeFill="text1" w:themeFillTint="40"/>
        <w:tcBorders/>
      </w:tcPr>
    </w:tblStylePr>
    <w:tblStylePr w:type="band1Vert">
      <w:pPr>
        <w:pBdr/>
        <w:spacing/>
        <w:ind/>
      </w:pPr>
      <w:tblPr>
        <w:tblBorders/>
      </w:tblPr>
      <w:tcPr>
        <w:shd w:val="clear" w:color="bfbfbf" w:fill="bfbfbf" w:themeFill="text1" w:themeFillTint="40"/>
        <w:tcBorders/>
      </w:tcPr>
    </w:tblStylePr>
    <w:tblStylePr w:type="band2Horz">
      <w:rPr>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List Table 6 Colorful - Accent 1"/>
    <w:basedOn w:val="906"/>
    <w:uiPriority w:val="99"/>
    <w:pPr>
      <w:pBdr/>
      <w:spacing/>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color w:val="245a8d" w:themeColor="accent1" w:themeShade="95"/>
        <w:sz w:val="22"/>
      </w:rPr>
      <w:pPr>
        <w:pBdr/>
        <w:spacing/>
        <w:ind/>
      </w:pPr>
      <w:tblPr>
        <w:tblBorders/>
      </w:tblPr>
      <w:tcPr>
        <w:shd w:val="clear" w:color="d5e5f4" w:fill="d5e5f4" w:themeFill="accent1" w:themeFillTint="40"/>
        <w:tcBorders/>
      </w:tcPr>
    </w:tblStylePr>
    <w:tblStylePr w:type="band1Vert">
      <w:pPr>
        <w:pBdr/>
        <w:spacing/>
        <w:ind/>
      </w:pPr>
      <w:tblPr>
        <w:tblBorders/>
      </w:tblPr>
      <w:tcPr>
        <w:shd w:val="clear" w:color="d5e5f4" w:fill="d5e5f4" w:themeFill="accent1" w:themeFillTint="40"/>
        <w:tcBorders/>
      </w:tcPr>
    </w:tblStylePr>
    <w:tblStylePr w:type="band2Horz">
      <w:rPr>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List Table 6 Colorful - Accent 2"/>
    <w:basedOn w:val="906"/>
    <w:uiPriority w:val="99"/>
    <w:pPr>
      <w:pBdr/>
      <w:spacing/>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color w:val="f4b184" w:themeColor="accent2" w:themeTint="97" w:themeShade="95"/>
        <w:sz w:val="22"/>
      </w:rPr>
      <w:pPr>
        <w:pBdr/>
        <w:spacing/>
        <w:ind/>
      </w:pPr>
      <w:tblPr>
        <w:tblBorders/>
      </w:tblPr>
      <w:tcPr>
        <w:shd w:val="clear" w:color="fadecb" w:fill="fadecb" w:themeFill="accent2" w:themeFillTint="40"/>
        <w:tcBorders/>
      </w:tcPr>
    </w:tblStylePr>
    <w:tblStylePr w:type="band1Vert">
      <w:pPr>
        <w:pBdr/>
        <w:spacing/>
        <w:ind/>
      </w:pPr>
      <w:tblPr>
        <w:tblBorders/>
      </w:tblPr>
      <w:tcPr>
        <w:shd w:val="clear" w:color="fadecb" w:fill="fadecb" w:themeFill="accent2" w:themeFillTint="40"/>
        <w:tcBorders/>
      </w:tcPr>
    </w:tblStylePr>
    <w:tblStylePr w:type="band2Horz">
      <w:rPr>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ed7d31" w:themeColor="accent2"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ed7d31" w:themeColor="accent2"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List Table 6 Colorful - Accent 3"/>
    <w:basedOn w:val="906"/>
    <w:uiPriority w:val="99"/>
    <w:pPr>
      <w:pBdr/>
      <w:spacing/>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color w:val="c9c9c9" w:themeColor="accent3" w:themeTint="98" w:themeShade="95"/>
        <w:sz w:val="22"/>
      </w:rPr>
      <w:pPr>
        <w:pBdr/>
        <w:spacing/>
        <w:ind/>
      </w:pPr>
      <w:tblPr>
        <w:tblBorders/>
      </w:tblPr>
      <w:tcPr>
        <w:shd w:val="clear" w:color="e8e8e8" w:fill="e8e8e8" w:themeFill="accent3" w:themeFillTint="40"/>
        <w:tcBorders/>
      </w:tcPr>
    </w:tblStylePr>
    <w:tblStylePr w:type="band1Vert">
      <w:pPr>
        <w:pBdr/>
        <w:spacing/>
        <w:ind/>
      </w:pPr>
      <w:tblPr>
        <w:tblBorders/>
      </w:tblPr>
      <w:tcPr>
        <w:shd w:val="clear" w:color="e8e8e8" w:fill="e8e8e8" w:themeFill="accent3" w:themeFillTint="40"/>
        <w:tcBorders/>
      </w:tcPr>
    </w:tblStylePr>
    <w:tblStylePr w:type="band2Horz">
      <w:rPr>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a5a5a5" w:themeColor="accent3"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a5a5a5" w:themeColor="accent3"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customStyle="1">
    <w:name w:val="List Table 6 Colorful - Accent 4"/>
    <w:basedOn w:val="906"/>
    <w:uiPriority w:val="99"/>
    <w:pPr>
      <w:pBdr/>
      <w:spacing/>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color w:val="ffd865" w:themeColor="accent4" w:themeTint="9A" w:themeShade="95"/>
        <w:sz w:val="22"/>
      </w:rPr>
      <w:pPr>
        <w:pBdr/>
        <w:spacing/>
        <w:ind/>
      </w:pPr>
      <w:tblPr>
        <w:tblBorders/>
      </w:tblPr>
      <w:tcPr>
        <w:shd w:val="clear" w:color="ffefbf" w:fill="ffefbf" w:themeFill="accent4" w:themeFillTint="40"/>
        <w:tcBorders/>
      </w:tcPr>
    </w:tblStylePr>
    <w:tblStylePr w:type="band1Vert">
      <w:pPr>
        <w:pBdr/>
        <w:spacing/>
        <w:ind/>
      </w:pPr>
      <w:tblPr>
        <w:tblBorders/>
      </w:tblPr>
      <w:tcPr>
        <w:shd w:val="clear" w:color="ffefbf" w:fill="ffefbf" w:themeFill="accent4" w:themeFillTint="40"/>
        <w:tcBorders/>
      </w:tcPr>
    </w:tblStylePr>
    <w:tblStylePr w:type="band2Horz">
      <w:rPr>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c000" w:themeColor="accent4"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c000" w:themeColor="accent4"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customStyle="1">
    <w:name w:val="List Table 6 Colorful - Accent 5"/>
    <w:basedOn w:val="906"/>
    <w:uiPriority w:val="99"/>
    <w:pPr>
      <w:pBdr/>
      <w:spacing/>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color w:val="8da9db" w:themeColor="accent5" w:themeTint="9A" w:themeShade="95"/>
        <w:sz w:val="22"/>
      </w:rPr>
      <w:pPr>
        <w:pBdr/>
        <w:spacing/>
        <w:ind/>
      </w:pPr>
      <w:tblPr>
        <w:tblBorders/>
      </w:tblPr>
      <w:tcPr>
        <w:shd w:val="clear" w:color="cfdbf0" w:fill="cfdbf0" w:themeFill="accent5" w:themeFillTint="40"/>
        <w:tcBorders/>
      </w:tcPr>
    </w:tblStylePr>
    <w:tblStylePr w:type="band1Vert">
      <w:pPr>
        <w:pBdr/>
        <w:spacing/>
        <w:ind/>
      </w:pPr>
      <w:tblPr>
        <w:tblBorders/>
      </w:tblPr>
      <w:tcPr>
        <w:shd w:val="clear" w:color="cfdbf0" w:fill="cfdbf0" w:themeFill="accent5" w:themeFillTint="40"/>
        <w:tcBorders/>
      </w:tcPr>
    </w:tblStylePr>
    <w:tblStylePr w:type="band2Horz">
      <w:rPr>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4472c4" w:themeColor="accent5"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customStyle="1">
    <w:name w:val="List Table 6 Colorful - Accent 6"/>
    <w:basedOn w:val="906"/>
    <w:uiPriority w:val="99"/>
    <w:pPr>
      <w:pBdr/>
      <w:spacing/>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color w:val="a9d08e" w:themeColor="accent6" w:themeTint="98" w:themeShade="95"/>
        <w:sz w:val="22"/>
      </w:rPr>
      <w:pPr>
        <w:pBdr/>
        <w:spacing/>
        <w:ind/>
      </w:pPr>
      <w:tblPr>
        <w:tblBorders/>
      </w:tblPr>
      <w:tcPr>
        <w:shd w:val="clear" w:color="daebcf" w:fill="daebcf" w:themeFill="accent6" w:themeFillTint="40"/>
        <w:tcBorders/>
      </w:tcPr>
    </w:tblStylePr>
    <w:tblStylePr w:type="band1Vert">
      <w:pPr>
        <w:pBdr/>
        <w:spacing/>
        <w:ind/>
      </w:pPr>
      <w:tblPr>
        <w:tblBorders/>
      </w:tblPr>
      <w:tcPr>
        <w:shd w:val="clear" w:color="daebcf" w:fill="daebcf" w:themeFill="accent6" w:themeFillTint="40"/>
        <w:tcBorders/>
      </w:tcPr>
    </w:tblStylePr>
    <w:tblStylePr w:type="band2Horz">
      <w:rPr>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70ad47" w:themeColor="accent6"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name w:val="List Table 7 Colorful"/>
    <w:basedOn w:val="906"/>
    <w:uiPriority w:val="99"/>
    <w:pPr>
      <w:pBdr/>
      <w:spacing/>
      <w:ind/>
    </w:pPr>
    <w:tblPr>
      <w:tblStyleRowBandSize w:val="1"/>
      <w:tblStyleColBandSize w:val="1"/>
      <w:tblBorders>
        <w:right w:val="single" w:color="7f7f7f" w:themeColor="text1" w:themeTint="80" w:sz="4" w:space="0"/>
      </w:tblBorders>
    </w:tblPr>
    <w:tcPr>
      <w:tcBorders/>
    </w:tcPr>
    <w:tblStylePr w:type="band1Horz">
      <w:rPr>
        <w:color w:val="7f7f7f" w:themeColor="text1" w:themeTint="80" w:themeShade="95"/>
        <w:sz w:val="22"/>
      </w:rPr>
      <w:pPr>
        <w:pBdr/>
        <w:spacing/>
        <w:ind/>
      </w:pPr>
      <w:tblPr>
        <w:tblBorders/>
      </w:tblPr>
      <w:tcPr>
        <w:shd w:val="clear" w:color="bfbfbf" w:fill="bfbfbf" w:themeFill="text1" w:themeFillTint="40"/>
        <w:tcBorders/>
      </w:tcPr>
    </w:tblStylePr>
    <w:tblStylePr w:type="band1Vert">
      <w:pPr>
        <w:pBdr/>
        <w:spacing/>
        <w:ind/>
      </w:pPr>
      <w:tblPr>
        <w:tblBorders/>
      </w:tblPr>
      <w:tcPr>
        <w:shd w:val="clear" w:color="bfbfbf" w:fill="bfbfbf" w:themeFill="text1" w:themeFillTint="40"/>
        <w:tcBorders/>
      </w:tcPr>
    </w:tblStylePr>
    <w:tblStylePr w:type="band2Horz">
      <w:rPr>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i/>
        <w:color w:val="7f7f7f" w:themeColor="tex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7f7f7f" w:themeColor="text1" w:themeTint="80" w:themeShade="95"/>
        <w:sz w:val="22"/>
      </w:rPr>
      <w:pPr>
        <w:pBdr/>
        <w:spacing/>
        <w:ind/>
      </w:pPr>
      <w:tblPr>
        <w:tblBorders/>
      </w:tbl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i/>
        <w:color w:val="7f7f7f" w:themeColor="text1" w:themeTint="80" w:themeShade="95"/>
        <w:sz w:val="22"/>
      </w:rPr>
      <w:pPr>
        <w:pBdr/>
        <w:spacing/>
        <w:ind/>
      </w:pPr>
      <w:tblPr>
        <w:tblBorders/>
      </w:tbl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customStyle="1">
    <w:name w:val="List Table 7 Colorful - Accent 1"/>
    <w:basedOn w:val="906"/>
    <w:uiPriority w:val="99"/>
    <w:pPr>
      <w:pBdr/>
      <w:spacing/>
      <w:ind/>
    </w:pPr>
    <w:tblPr>
      <w:tblStyleRowBandSize w:val="1"/>
      <w:tblStyleColBandSize w:val="1"/>
      <w:tblBorders>
        <w:right w:val="single" w:color="5b9bd5" w:themeColor="accent1" w:sz="4" w:space="0"/>
      </w:tblBorders>
    </w:tblPr>
    <w:tcPr>
      <w:tcBorders/>
    </w:tcPr>
    <w:tblStylePr w:type="band1Horz">
      <w:rPr>
        <w:color w:val="245a8d" w:themeColor="accent1" w:themeShade="95"/>
        <w:sz w:val="22"/>
      </w:rPr>
      <w:pPr>
        <w:pBdr/>
        <w:spacing/>
        <w:ind/>
      </w:pPr>
      <w:tblPr>
        <w:tblBorders/>
      </w:tblPr>
      <w:tcPr>
        <w:shd w:val="clear" w:color="d5e5f4" w:fill="d5e5f4" w:themeFill="accent1" w:themeFillTint="40"/>
        <w:tcBorders/>
      </w:tcPr>
    </w:tblStylePr>
    <w:tblStylePr w:type="band1Vert">
      <w:pPr>
        <w:pBdr/>
        <w:spacing/>
        <w:ind/>
      </w:pPr>
      <w:tblPr>
        <w:tblBorders/>
      </w:tblPr>
      <w:tcPr>
        <w:shd w:val="clear" w:color="d5e5f4" w:fill="d5e5f4" w:themeFill="accent1" w:themeFillTint="40"/>
        <w:tcBorders/>
      </w:tcPr>
    </w:tblStylePr>
    <w:tblStylePr w:type="band2Horz">
      <w:rPr>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i/>
        <w:color w:val="245a8d" w:themeColor="accent1" w:themeShade="95"/>
        <w:sz w:val="22"/>
      </w:rPr>
      <w:pPr>
        <w:pBdr/>
        <w:spacing/>
        <w:ind/>
      </w:pPr>
      <w:tblPr>
        <w:tblBorders/>
      </w:tblPr>
      <w:tcPr>
        <w:shd w:val="clear" w:color="ffffff"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i/>
        <w:color w:val="245a8d" w:themeColor="accent1" w:themeShade="95"/>
        <w:sz w:val="22"/>
      </w:rPr>
      <w:pPr>
        <w:pBdr/>
        <w:spacing/>
        <w:ind/>
      </w:pPr>
      <w:tblPr>
        <w:tblBorders/>
      </w:tblPr>
      <w:tcPr>
        <w:shd w:val="clear" w:color="ffffff"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customStyle="1">
    <w:name w:val="List Table 7 Colorful - Accent 2"/>
    <w:basedOn w:val="906"/>
    <w:uiPriority w:val="99"/>
    <w:pPr>
      <w:pBdr/>
      <w:spacing/>
      <w:ind/>
    </w:pPr>
    <w:tblPr>
      <w:tblStyleRowBandSize w:val="1"/>
      <w:tblStyleColBandSize w:val="1"/>
      <w:tblBorders>
        <w:right w:val="single" w:color="f4b184" w:themeColor="accent2" w:themeTint="97" w:sz="4" w:space="0"/>
      </w:tblBorders>
    </w:tblPr>
    <w:tcPr>
      <w:tcBorders/>
    </w:tcPr>
    <w:tblStylePr w:type="band1Horz">
      <w:rPr>
        <w:color w:val="f4b184" w:themeColor="accent2" w:themeTint="97" w:themeShade="95"/>
        <w:sz w:val="22"/>
      </w:rPr>
      <w:pPr>
        <w:pBdr/>
        <w:spacing/>
        <w:ind/>
      </w:pPr>
      <w:tblPr>
        <w:tblBorders/>
      </w:tblPr>
      <w:tcPr>
        <w:shd w:val="clear" w:color="fadecb" w:fill="fadecb" w:themeFill="accent2" w:themeFillTint="40"/>
        <w:tcBorders/>
      </w:tcPr>
    </w:tblStylePr>
    <w:tblStylePr w:type="band1Vert">
      <w:pPr>
        <w:pBdr/>
        <w:spacing/>
        <w:ind/>
      </w:pPr>
      <w:tblPr>
        <w:tblBorders/>
      </w:tblPr>
      <w:tcPr>
        <w:shd w:val="clear" w:color="fadecb" w:fill="fadecb" w:themeFill="accent2" w:themeFillTint="40"/>
        <w:tcBorders/>
      </w:tcPr>
    </w:tblStylePr>
    <w:tblStylePr w:type="band2Horz">
      <w:rPr>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ed7d31" w:themeColor="accent2" w:sz="4" w:space="0"/>
        </w:tcBorders>
      </w:tcPr>
    </w:tblStylePr>
    <w:tblStylePr w:type="firstRow">
      <w:rPr>
        <w:i/>
        <w:color w:val="f4b184" w:themeColor="accent2" w:themeTint="97" w:themeShade="95"/>
        <w:sz w:val="22"/>
      </w:rPr>
      <w:pPr>
        <w:pBdr/>
        <w:spacing/>
        <w:ind/>
      </w:pPr>
      <w:tblPr>
        <w:tblBorders/>
      </w:tblPr>
      <w:tcPr>
        <w:shd w:val="clear" w:color="ffffff" w:fill="ffffff" w:themeFill="light1"/>
        <w:tcBorders>
          <w:top w:val="none" w:color="000000" w:sz="4" w:space="0"/>
          <w:left w:val="none" w:color="000000" w:sz="4" w:space="0"/>
          <w:bottom w:val="single" w:color="ed7d31" w:themeColor="accent2" w:sz="4" w:space="0"/>
          <w:right w:val="none" w:color="000000" w:sz="4" w:space="0"/>
        </w:tcBorders>
      </w:tcPr>
    </w:tblStylePr>
    <w:tblStylePr w:type="lastCol">
      <w:rPr>
        <w:i/>
        <w:color w:val="f4b184" w:themeColor="accent2" w:themeTint="97" w:themeShade="95"/>
        <w:sz w:val="22"/>
      </w:rPr>
      <w:pPr>
        <w:pBdr/>
        <w:spacing/>
        <w:ind/>
      </w:pPr>
      <w:tblPr>
        <w:tblBorders/>
      </w:tblPr>
      <w:tcPr>
        <w:shd w:val="clear" w:color="ffffff" w:fill="auto"/>
        <w:tcBorders>
          <w:top w:val="none" w:color="000000" w:sz="4" w:space="0"/>
          <w:left w:val="single" w:color="ed7d31" w:themeColor="accent2" w:sz="4" w:space="0"/>
          <w:bottom w:val="none" w:color="000000" w:sz="4" w:space="0"/>
          <w:right w:val="none" w:color="000000" w:sz="4" w:space="0"/>
        </w:tcBorders>
      </w:tcPr>
    </w:tblStylePr>
    <w:tblStylePr w:type="lastRow">
      <w:rPr>
        <w:i/>
        <w:color w:val="f4b184" w:themeColor="accent2" w:themeTint="97" w:themeShade="95"/>
        <w:sz w:val="22"/>
      </w:rPr>
      <w:pPr>
        <w:pBdr/>
        <w:spacing/>
        <w:ind/>
      </w:pPr>
      <w:tblPr>
        <w:tblBorders/>
      </w:tblPr>
      <w:tcPr>
        <w:shd w:val="clear" w:color="ffffff" w:fill="ffffff" w:themeFill="light1"/>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customStyle="1">
    <w:name w:val="List Table 7 Colorful - Accent 3"/>
    <w:basedOn w:val="906"/>
    <w:uiPriority w:val="99"/>
    <w:pPr>
      <w:pBdr/>
      <w:spacing/>
      <w:ind/>
    </w:pPr>
    <w:tblPr>
      <w:tblStyleRowBandSize w:val="1"/>
      <w:tblStyleColBandSize w:val="1"/>
      <w:tblBorders>
        <w:right w:val="single" w:color="c9c9c9" w:themeColor="accent3" w:themeTint="98" w:sz="4" w:space="0"/>
      </w:tblBorders>
    </w:tblPr>
    <w:tcPr>
      <w:tcBorders/>
    </w:tcPr>
    <w:tblStylePr w:type="band1Horz">
      <w:rPr>
        <w:color w:val="c9c9c9" w:themeColor="accent3" w:themeTint="98" w:themeShade="95"/>
        <w:sz w:val="22"/>
      </w:rPr>
      <w:pPr>
        <w:pBdr/>
        <w:spacing/>
        <w:ind/>
      </w:pPr>
      <w:tblPr>
        <w:tblBorders/>
      </w:tblPr>
      <w:tcPr>
        <w:shd w:val="clear" w:color="e8e8e8" w:fill="e8e8e8" w:themeFill="accent3" w:themeFillTint="40"/>
        <w:tcBorders/>
      </w:tcPr>
    </w:tblStylePr>
    <w:tblStylePr w:type="band1Vert">
      <w:pPr>
        <w:pBdr/>
        <w:spacing/>
        <w:ind/>
      </w:pPr>
      <w:tblPr>
        <w:tblBorders/>
      </w:tblPr>
      <w:tcPr>
        <w:shd w:val="clear" w:color="e8e8e8" w:fill="e8e8e8" w:themeFill="accent3" w:themeFillTint="40"/>
        <w:tcBorders/>
      </w:tcPr>
    </w:tblStylePr>
    <w:tblStylePr w:type="band2Horz">
      <w:rPr>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sz="4" w:space="0"/>
        </w:tcBorders>
      </w:tcPr>
    </w:tblStylePr>
    <w:tblStylePr w:type="firstRow">
      <w:rPr>
        <w:i/>
        <w:color w:val="c9c9c9" w:themeColor="accent3" w:themeTint="98" w:themeShade="95"/>
        <w:sz w:val="22"/>
      </w:rPr>
      <w:pPr>
        <w:pBdr/>
        <w:spacing/>
        <w:ind/>
      </w:pPr>
      <w:tblPr>
        <w:tblBorders/>
      </w:tblPr>
      <w:tcPr>
        <w:shd w:val="clear" w:color="ffffff" w:fill="ffffff" w:themeFill="light1"/>
        <w:tcBorders>
          <w:top w:val="none" w:color="000000" w:sz="4" w:space="0"/>
          <w:left w:val="none" w:color="000000" w:sz="4" w:space="0"/>
          <w:bottom w:val="single" w:color="a5a5a5" w:themeColor="accent3" w:sz="4" w:space="0"/>
          <w:right w:val="none" w:color="000000" w:sz="4" w:space="0"/>
        </w:tcBorders>
      </w:tcPr>
    </w:tblStylePr>
    <w:tblStylePr w:type="lastCol">
      <w:rPr>
        <w:i/>
        <w:color w:val="c9c9c9" w:themeColor="accent3" w:themeTint="98" w:themeShade="95"/>
        <w:sz w:val="22"/>
      </w:rPr>
      <w:pPr>
        <w:pBdr/>
        <w:spacing/>
        <w:ind/>
      </w:pPr>
      <w:tblPr>
        <w:tblBorders/>
      </w:tblPr>
      <w:tcPr>
        <w:shd w:val="clear" w:color="ffffff" w:fill="auto"/>
        <w:tcBorders>
          <w:top w:val="none" w:color="000000" w:sz="4" w:space="0"/>
          <w:left w:val="single" w:color="a5a5a5" w:themeColor="accent3" w:sz="4" w:space="0"/>
          <w:bottom w:val="none" w:color="000000" w:sz="4" w:space="0"/>
          <w:right w:val="none" w:color="000000" w:sz="4" w:space="0"/>
        </w:tcBorders>
      </w:tcPr>
    </w:tblStylePr>
    <w:tblStylePr w:type="lastRow">
      <w:rPr>
        <w:i/>
        <w:color w:val="c9c9c9" w:themeColor="accent3" w:themeTint="98" w:themeShade="95"/>
        <w:sz w:val="22"/>
      </w:rPr>
      <w:pPr>
        <w:pBdr/>
        <w:spacing/>
        <w:ind/>
      </w:pPr>
      <w:tblPr>
        <w:tblBorders/>
      </w:tblPr>
      <w:tcPr>
        <w:shd w:val="clear" w:color="ffffff" w:fill="ffffff" w:themeFill="light1"/>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customStyle="1">
    <w:name w:val="List Table 7 Colorful - Accent 4"/>
    <w:basedOn w:val="906"/>
    <w:uiPriority w:val="99"/>
    <w:pPr>
      <w:pBdr/>
      <w:spacing/>
      <w:ind/>
    </w:pPr>
    <w:tblPr>
      <w:tblStyleRowBandSize w:val="1"/>
      <w:tblStyleColBandSize w:val="1"/>
      <w:tblBorders>
        <w:right w:val="single" w:color="ffd865" w:themeColor="accent4" w:themeTint="9A" w:sz="4" w:space="0"/>
      </w:tblBorders>
    </w:tblPr>
    <w:tcPr>
      <w:tcBorders/>
    </w:tcPr>
    <w:tblStylePr w:type="band1Horz">
      <w:rPr>
        <w:color w:val="ffd865" w:themeColor="accent4" w:themeTint="9A" w:themeShade="95"/>
        <w:sz w:val="22"/>
      </w:rPr>
      <w:pPr>
        <w:pBdr/>
        <w:spacing/>
        <w:ind/>
      </w:pPr>
      <w:tblPr>
        <w:tblBorders/>
      </w:tblPr>
      <w:tcPr>
        <w:shd w:val="clear" w:color="ffefbf" w:fill="ffefbf" w:themeFill="accent4" w:themeFillTint="40"/>
        <w:tcBorders/>
      </w:tcPr>
    </w:tblStylePr>
    <w:tblStylePr w:type="band1Vert">
      <w:pPr>
        <w:pBdr/>
        <w:spacing/>
        <w:ind/>
      </w:pPr>
      <w:tblPr>
        <w:tblBorders/>
      </w:tblPr>
      <w:tcPr>
        <w:shd w:val="clear" w:color="ffefbf" w:fill="ffefbf" w:themeFill="accent4" w:themeFillTint="40"/>
        <w:tcBorders/>
      </w:tcPr>
    </w:tblStylePr>
    <w:tblStylePr w:type="band2Horz">
      <w:rPr>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c000" w:themeColor="accent4" w:sz="4" w:space="0"/>
        </w:tcBorders>
      </w:tcPr>
    </w:tblStylePr>
    <w:tblStylePr w:type="firstRow">
      <w:rPr>
        <w:i/>
        <w:color w:val="ffd865" w:themeColor="accent4"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ffc000" w:themeColor="accent4" w:sz="4" w:space="0"/>
          <w:right w:val="none" w:color="000000" w:sz="4" w:space="0"/>
        </w:tcBorders>
      </w:tcPr>
    </w:tblStylePr>
    <w:tblStylePr w:type="lastCol">
      <w:rPr>
        <w:i/>
        <w:color w:val="ffd865" w:themeColor="accent4" w:themeTint="9A" w:themeShade="95"/>
        <w:sz w:val="22"/>
      </w:rPr>
      <w:pPr>
        <w:pBdr/>
        <w:spacing/>
        <w:ind/>
      </w:pPr>
      <w:tblPr>
        <w:tblBorders/>
      </w:tblPr>
      <w:tcPr>
        <w:shd w:val="clear" w:color="ffffff" w:fill="auto"/>
        <w:tcBorders>
          <w:top w:val="none" w:color="000000" w:sz="4" w:space="0"/>
          <w:left w:val="single" w:color="ffc000" w:themeColor="accent4" w:sz="4" w:space="0"/>
          <w:bottom w:val="none" w:color="000000" w:sz="4" w:space="0"/>
          <w:right w:val="none" w:color="000000" w:sz="4" w:space="0"/>
        </w:tcBorders>
      </w:tcPr>
    </w:tblStylePr>
    <w:tblStylePr w:type="lastRow">
      <w:rPr>
        <w:i/>
        <w:color w:val="ffd865" w:themeColor="accent4" w:themeTint="9A" w:themeShade="95"/>
        <w:sz w:val="22"/>
      </w:rPr>
      <w:pPr>
        <w:pBdr/>
        <w:spacing/>
        <w:ind/>
      </w:pPr>
      <w:tblPr>
        <w:tblBorders/>
      </w:tblPr>
      <w:tcPr>
        <w:shd w:val="clear" w:color="ffffff" w:fill="ffffff" w:themeFill="light1"/>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customStyle="1">
    <w:name w:val="List Table 7 Colorful - Accent 5"/>
    <w:basedOn w:val="906"/>
    <w:uiPriority w:val="99"/>
    <w:pPr>
      <w:pBdr/>
      <w:spacing/>
      <w:ind/>
    </w:pPr>
    <w:tblPr>
      <w:tblStyleRowBandSize w:val="1"/>
      <w:tblStyleColBandSize w:val="1"/>
      <w:tblBorders>
        <w:right w:val="single" w:color="8da9db" w:themeColor="accent5" w:themeTint="9A" w:sz="4" w:space="0"/>
      </w:tblBorders>
    </w:tblPr>
    <w:tcPr>
      <w:tcBorders/>
    </w:tcPr>
    <w:tblStylePr w:type="band1Horz">
      <w:rPr>
        <w:color w:val="8da9db" w:themeColor="accent5" w:themeTint="9A" w:themeShade="95"/>
        <w:sz w:val="22"/>
      </w:rPr>
      <w:pPr>
        <w:pBdr/>
        <w:spacing/>
        <w:ind/>
      </w:pPr>
      <w:tblPr>
        <w:tblBorders/>
      </w:tblPr>
      <w:tcPr>
        <w:shd w:val="clear" w:color="cfdbf0" w:fill="cfdbf0" w:themeFill="accent5" w:themeFillTint="40"/>
        <w:tcBorders/>
      </w:tcPr>
    </w:tblStylePr>
    <w:tblStylePr w:type="band1Vert">
      <w:pPr>
        <w:pBdr/>
        <w:spacing/>
        <w:ind/>
      </w:pPr>
      <w:tblPr>
        <w:tblBorders/>
      </w:tblPr>
      <w:tcPr>
        <w:shd w:val="clear" w:color="cfdbf0" w:fill="cfdbf0" w:themeFill="accent5" w:themeFillTint="40"/>
        <w:tcBorders/>
      </w:tcPr>
    </w:tblStylePr>
    <w:tblStylePr w:type="band2Horz">
      <w:rPr>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472c4" w:themeColor="accent5" w:sz="4" w:space="0"/>
        </w:tcBorders>
      </w:tcPr>
    </w:tblStylePr>
    <w:tblStylePr w:type="firstRow">
      <w:rPr>
        <w:i/>
        <w:color w:val="8da9db" w:themeColor="accent5"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4472c4" w:themeColor="accent5" w:sz="4" w:space="0"/>
          <w:right w:val="none" w:color="000000" w:sz="4" w:space="0"/>
        </w:tcBorders>
      </w:tcPr>
    </w:tblStylePr>
    <w:tblStylePr w:type="lastCol">
      <w:rPr>
        <w:i/>
        <w:color w:val="8da9db" w:themeColor="accent5" w:themeTint="9A" w:themeShade="95"/>
        <w:sz w:val="22"/>
      </w:rPr>
      <w:pPr>
        <w:pBdr/>
        <w:spacing/>
        <w:ind/>
      </w:pPr>
      <w:tblPr>
        <w:tblBorders/>
      </w:tblPr>
      <w:tcPr>
        <w:shd w:val="clear" w:color="ffffff" w:fill="auto"/>
        <w:tcBorders>
          <w:top w:val="none" w:color="000000" w:sz="4" w:space="0"/>
          <w:left w:val="single" w:color="4472c4" w:themeColor="accent5" w:sz="4" w:space="0"/>
          <w:bottom w:val="none" w:color="000000" w:sz="4" w:space="0"/>
          <w:right w:val="none" w:color="000000" w:sz="4" w:space="0"/>
        </w:tcBorders>
      </w:tcPr>
    </w:tblStylePr>
    <w:tblStylePr w:type="lastRow">
      <w:rPr>
        <w:i/>
        <w:color w:val="8da9db" w:themeColor="accent5" w:themeTint="9A" w:themeShade="95"/>
        <w:sz w:val="22"/>
      </w:rPr>
      <w:pPr>
        <w:pBdr/>
        <w:spacing/>
        <w:ind/>
      </w:pPr>
      <w:tblPr>
        <w:tblBorders/>
      </w:tblPr>
      <w:tcPr>
        <w:shd w:val="clear" w:color="ffffff" w:fill="ffffff" w:themeFill="light1"/>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customStyle="1">
    <w:name w:val="List Table 7 Colorful - Accent 6"/>
    <w:basedOn w:val="906"/>
    <w:uiPriority w:val="99"/>
    <w:pPr>
      <w:pBdr/>
      <w:spacing/>
      <w:ind/>
    </w:pPr>
    <w:tblPr>
      <w:tblStyleRowBandSize w:val="1"/>
      <w:tblStyleColBandSize w:val="1"/>
      <w:tblBorders>
        <w:right w:val="single" w:color="a9d08e" w:themeColor="accent6" w:themeTint="98" w:sz="4" w:space="0"/>
      </w:tblBorders>
    </w:tblPr>
    <w:tcPr>
      <w:tcBorders/>
    </w:tcPr>
    <w:tblStylePr w:type="band1Horz">
      <w:rPr>
        <w:color w:val="a9d08e" w:themeColor="accent6" w:themeTint="98" w:themeShade="95"/>
        <w:sz w:val="22"/>
      </w:rPr>
      <w:pPr>
        <w:pBdr/>
        <w:spacing/>
        <w:ind/>
      </w:pPr>
      <w:tblPr>
        <w:tblBorders/>
      </w:tblPr>
      <w:tcPr>
        <w:shd w:val="clear" w:color="daebcf" w:fill="daebcf" w:themeFill="accent6" w:themeFillTint="40"/>
        <w:tcBorders/>
      </w:tcPr>
    </w:tblStylePr>
    <w:tblStylePr w:type="band1Vert">
      <w:pPr>
        <w:pBdr/>
        <w:spacing/>
        <w:ind/>
      </w:pPr>
      <w:tblPr>
        <w:tblBorders/>
      </w:tblPr>
      <w:tcPr>
        <w:shd w:val="clear" w:color="daebcf" w:fill="daebcf" w:themeFill="accent6" w:themeFillTint="40"/>
        <w:tcBorders/>
      </w:tcPr>
    </w:tblStylePr>
    <w:tblStylePr w:type="band2Horz">
      <w:rPr>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0ad47" w:themeColor="accent6" w:sz="4" w:space="0"/>
        </w:tcBorders>
      </w:tcPr>
    </w:tblStylePr>
    <w:tblStylePr w:type="firstRow">
      <w:rPr>
        <w:i/>
        <w:color w:val="a9d08e" w:themeColor="accent6" w:themeTint="98" w:themeShade="95"/>
        <w:sz w:val="22"/>
      </w:rPr>
      <w:pPr>
        <w:pBdr/>
        <w:spacing/>
        <w:ind/>
      </w:pPr>
      <w:tblPr>
        <w:tblBorders/>
      </w:tblPr>
      <w:tcPr>
        <w:shd w:val="clear" w:color="ffffff" w:fill="ffffff" w:themeFill="light1"/>
        <w:tcBorders>
          <w:top w:val="none" w:color="000000" w:sz="4" w:space="0"/>
          <w:left w:val="none" w:color="000000" w:sz="4" w:space="0"/>
          <w:bottom w:val="single" w:color="70ad47" w:themeColor="accent6" w:sz="4" w:space="0"/>
          <w:right w:val="none" w:color="000000" w:sz="4" w:space="0"/>
        </w:tcBorders>
      </w:tcPr>
    </w:tblStylePr>
    <w:tblStylePr w:type="lastCol">
      <w:rPr>
        <w:i/>
        <w:color w:val="a9d08e" w:themeColor="accent6" w:themeTint="98" w:themeShade="95"/>
        <w:sz w:val="22"/>
      </w:rPr>
      <w:pPr>
        <w:pBdr/>
        <w:spacing/>
        <w:ind/>
      </w:pPr>
      <w:tblPr>
        <w:tblBorders/>
      </w:tblPr>
      <w:tcPr>
        <w:shd w:val="clear" w:color="ffffff" w:fill="auto"/>
        <w:tcBorders>
          <w:top w:val="none" w:color="000000" w:sz="4" w:space="0"/>
          <w:left w:val="single" w:color="70ad47" w:themeColor="accent6" w:sz="4" w:space="0"/>
          <w:bottom w:val="none" w:color="000000" w:sz="4" w:space="0"/>
          <w:right w:val="none" w:color="000000" w:sz="4" w:space="0"/>
        </w:tcBorders>
      </w:tcPr>
    </w:tblStylePr>
    <w:tblStylePr w:type="lastRow">
      <w:rPr>
        <w:i/>
        <w:color w:val="a9d08e" w:themeColor="accent6" w:themeTint="98" w:themeShade="95"/>
        <w:sz w:val="22"/>
      </w:rPr>
      <w:pPr>
        <w:pBdr/>
        <w:spacing/>
        <w:ind/>
      </w:pPr>
      <w:tblPr>
        <w:tblBorders/>
      </w:tblPr>
      <w:tcPr>
        <w:shd w:val="clear" w:color="ffffff" w:fill="ffffff" w:themeFill="light1"/>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customStyle="1">
    <w:name w:val="Lined - Accent"/>
    <w:basedOn w:val="906"/>
    <w:uiPriority w:val="99"/>
    <w:pPr>
      <w:pBdr/>
      <w:spacing/>
      <w:ind/>
    </w:pPr>
    <w:rPr>
      <w:sz w:val="20"/>
      <w:szCs w:val="20"/>
      <w:lang w:eastAsia="pt-BR"/>
    </w:r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f2f2" w:fill="f2f2f2" w:themeFill="text1" w:themeFillTint="0D"/>
        <w:tcBorders/>
      </w:tcPr>
    </w:tblStylePr>
    <w:tblStylePr w:type="band2Vert">
      <w:rPr>
        <w:sz w:val="22"/>
      </w:rPr>
      <w:pPr>
        <w:pBdr/>
        <w:spacing/>
        <w:ind/>
      </w:pPr>
      <w:tblPr>
        <w:tblBorders/>
      </w:tblPr>
      <w:tcPr>
        <w:shd w:val="clear" w:color="f2f2f2" w:fill="f2f2f2" w:themeFill="text1" w:themeFillTint="0D"/>
        <w:tcBorders/>
      </w:tcPr>
    </w:tblStylePr>
    <w:tblStylePr w:type="firstCol">
      <w:rPr>
        <w:sz w:val="22"/>
      </w:rPr>
      <w:pPr>
        <w:pBdr/>
        <w:spacing/>
        <w:ind/>
      </w:pPr>
      <w:tblPr>
        <w:tblBorders/>
      </w:tblPr>
      <w:tcPr>
        <w:shd w:val="clear" w:color="7f7f7f" w:fill="7f7f7f" w:themeFill="text1" w:themeFillTint="80"/>
        <w:tcBorders/>
      </w:tcPr>
    </w:tblStylePr>
    <w:tblStylePr w:type="firstRow">
      <w:rPr>
        <w:sz w:val="22"/>
      </w:rPr>
      <w:pPr>
        <w:pBdr/>
        <w:spacing/>
        <w:ind/>
      </w:pPr>
      <w:tblPr>
        <w:tblBorders/>
      </w:tblPr>
      <w:tcPr>
        <w:shd w:val="clear" w:color="7f7f7f" w:fill="7f7f7f" w:themeFill="text1" w:themeFillTint="80"/>
        <w:tcBorders/>
      </w:tcPr>
    </w:tblStylePr>
    <w:tblStylePr w:type="lastCol">
      <w:rPr>
        <w:sz w:val="22"/>
      </w:rPr>
      <w:pPr>
        <w:pBdr/>
        <w:spacing/>
        <w:ind/>
      </w:pPr>
      <w:tblPr>
        <w:tblBorders/>
      </w:tblPr>
      <w:tcPr>
        <w:shd w:val="clear" w:color="7f7f7f" w:fill="7f7f7f" w:themeFill="text1" w:themeFillTint="80"/>
        <w:tcBorders/>
      </w:tcPr>
    </w:tblStylePr>
    <w:tblStylePr w:type="lastRow">
      <w:rPr>
        <w:sz w:val="22"/>
      </w:rPr>
      <w:pPr>
        <w:pBdr/>
        <w:spacing/>
        <w:ind/>
      </w:pPr>
      <w:tblPr>
        <w:tblBorders/>
      </w:tblPr>
      <w:tcPr>
        <w:shd w:val="clear" w:color="7f7f7f"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customStyle="1">
    <w:name w:val="Lined - Accent 1"/>
    <w:basedOn w:val="906"/>
    <w:uiPriority w:val="99"/>
    <w:pPr>
      <w:pBdr/>
      <w:spacing/>
      <w:ind/>
    </w:pPr>
    <w:rPr>
      <w:sz w:val="20"/>
      <w:szCs w:val="20"/>
      <w:lang w:eastAsia="pt-BR"/>
    </w:r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cbdff1" w:fill="cbdff1" w:themeFill="accent1" w:themeFillTint="50"/>
        <w:tcBorders/>
      </w:tcPr>
    </w:tblStylePr>
    <w:tblStylePr w:type="band2Vert">
      <w:rPr>
        <w:sz w:val="22"/>
      </w:rPr>
      <w:pPr>
        <w:pBdr/>
        <w:spacing/>
        <w:ind/>
      </w:pPr>
      <w:tblPr>
        <w:tblBorders/>
      </w:tblPr>
      <w:tcPr>
        <w:shd w:val="clear" w:color="cbdff1" w:fill="cbdff1" w:themeFill="accent1" w:themeFillTint="50"/>
        <w:tcBorders/>
      </w:tcPr>
    </w:tblStylePr>
    <w:tblStylePr w:type="firstCol">
      <w:rPr>
        <w:sz w:val="22"/>
      </w:rPr>
      <w:pPr>
        <w:pBdr/>
        <w:spacing/>
        <w:ind/>
      </w:pPr>
      <w:tblPr>
        <w:tblBorders/>
      </w:tblPr>
      <w:tcPr>
        <w:shd w:val="clear" w:color="68a2d8" w:fill="68a2d8" w:themeFill="accent1" w:themeFillTint="EA"/>
        <w:tcBorders/>
      </w:tcPr>
    </w:tblStylePr>
    <w:tblStylePr w:type="firstRow">
      <w:rPr>
        <w:sz w:val="22"/>
      </w:rPr>
      <w:pPr>
        <w:pBdr/>
        <w:spacing/>
        <w:ind/>
      </w:pPr>
      <w:tblPr>
        <w:tblBorders/>
      </w:tblPr>
      <w:tcPr>
        <w:shd w:val="clear" w:color="68a2d8" w:fill="68a2d8" w:themeFill="accent1" w:themeFillTint="EA"/>
        <w:tcBorders/>
      </w:tcPr>
    </w:tblStylePr>
    <w:tblStylePr w:type="lastCol">
      <w:rPr>
        <w:sz w:val="22"/>
      </w:rPr>
      <w:pPr>
        <w:pBdr/>
        <w:spacing/>
        <w:ind/>
      </w:pPr>
      <w:tblPr>
        <w:tblBorders/>
      </w:tblPr>
      <w:tcPr>
        <w:shd w:val="clear" w:color="68a2d8" w:fill="68a2d8" w:themeFill="accent1" w:themeFillTint="EA"/>
        <w:tcBorders/>
      </w:tcPr>
    </w:tblStylePr>
    <w:tblStylePr w:type="lastRow">
      <w:rPr>
        <w:sz w:val="22"/>
      </w:rPr>
      <w:pPr>
        <w:pBdr/>
        <w:spacing/>
        <w:ind/>
      </w:pPr>
      <w:tblPr>
        <w:tblBorders/>
      </w:tblPr>
      <w:tcPr>
        <w:shd w:val="clear" w:color="68a2d8"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customStyle="1">
    <w:name w:val="Lined - Accent 2"/>
    <w:basedOn w:val="906"/>
    <w:uiPriority w:val="99"/>
    <w:pPr>
      <w:pBdr/>
      <w:spacing/>
      <w:ind/>
    </w:pPr>
    <w:rPr>
      <w:sz w:val="20"/>
      <w:szCs w:val="20"/>
      <w:lang w:eastAsia="pt-BR"/>
    </w:r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be5d6" w:fill="fbe5d6" w:themeFill="accent2" w:themeFillTint="32"/>
        <w:tcBorders/>
      </w:tcPr>
    </w:tblStylePr>
    <w:tblStylePr w:type="band2Vert">
      <w:rPr>
        <w:sz w:val="22"/>
      </w:rPr>
      <w:pPr>
        <w:pBdr/>
        <w:spacing/>
        <w:ind/>
      </w:pPr>
      <w:tblPr>
        <w:tblBorders/>
      </w:tblPr>
      <w:tcPr>
        <w:shd w:val="clear" w:color="fbe5d6" w:fill="fbe5d6" w:themeFill="accent2" w:themeFillTint="32"/>
        <w:tcBorders/>
      </w:tcPr>
    </w:tblStylePr>
    <w:tblStylePr w:type="firstCol">
      <w:rPr>
        <w:sz w:val="22"/>
      </w:rPr>
      <w:pPr>
        <w:pBdr/>
        <w:spacing/>
        <w:ind/>
      </w:pPr>
      <w:tblPr>
        <w:tblBorders/>
      </w:tblPr>
      <w:tcPr>
        <w:shd w:val="clear" w:color="f4b184" w:fill="f4b184" w:themeFill="accent2" w:themeFillTint="97"/>
        <w:tcBorders/>
      </w:tcPr>
    </w:tblStylePr>
    <w:tblStylePr w:type="firstRow">
      <w:rPr>
        <w:sz w:val="22"/>
      </w:rPr>
      <w:pPr>
        <w:pBdr/>
        <w:spacing/>
        <w:ind/>
      </w:pPr>
      <w:tblPr>
        <w:tblBorders/>
      </w:tblPr>
      <w:tcPr>
        <w:shd w:val="clear" w:color="f4b184" w:fill="f4b184" w:themeFill="accent2" w:themeFillTint="97"/>
        <w:tcBorders/>
      </w:tcPr>
    </w:tblStylePr>
    <w:tblStylePr w:type="lastCol">
      <w:rPr>
        <w:sz w:val="22"/>
      </w:rPr>
      <w:pPr>
        <w:pBdr/>
        <w:spacing/>
        <w:ind/>
      </w:pPr>
      <w:tblPr>
        <w:tblBorders/>
      </w:tblPr>
      <w:tcPr>
        <w:shd w:val="clear" w:color="f4b184" w:fill="f4b184" w:themeFill="accent2" w:themeFillTint="97"/>
        <w:tcBorders/>
      </w:tcPr>
    </w:tblStylePr>
    <w:tblStylePr w:type="lastRow">
      <w:rPr>
        <w:sz w:val="22"/>
      </w:rPr>
      <w:pPr>
        <w:pBdr/>
        <w:spacing/>
        <w:ind/>
      </w:pPr>
      <w:tblPr>
        <w:tblBorders/>
      </w:tblPr>
      <w:tcPr>
        <w:shd w:val="clear" w:color="f4b184"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customStyle="1">
    <w:name w:val="Lined - Accent 3"/>
    <w:basedOn w:val="906"/>
    <w:uiPriority w:val="99"/>
    <w:pPr>
      <w:pBdr/>
      <w:spacing/>
      <w:ind/>
    </w:pPr>
    <w:rPr>
      <w:sz w:val="20"/>
      <w:szCs w:val="20"/>
      <w:lang w:eastAsia="pt-BR"/>
    </w:r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cecec" w:fill="ececec" w:themeFill="accent3" w:themeFillTint="34"/>
        <w:tcBorders/>
      </w:tcPr>
    </w:tblStylePr>
    <w:tblStylePr w:type="band2Vert">
      <w:rPr>
        <w:sz w:val="22"/>
      </w:rPr>
      <w:pPr>
        <w:pBdr/>
        <w:spacing/>
        <w:ind/>
      </w:pPr>
      <w:tblPr>
        <w:tblBorders/>
      </w:tblPr>
      <w:tcPr>
        <w:shd w:val="clear" w:color="ececec" w:fill="ececec" w:themeFill="accent3" w:themeFillTint="34"/>
        <w:tcBorders/>
      </w:tcPr>
    </w:tblStylePr>
    <w:tblStylePr w:type="firstCol">
      <w:rPr>
        <w:sz w:val="22"/>
      </w:rPr>
      <w:pPr>
        <w:pBdr/>
        <w:spacing/>
        <w:ind/>
      </w:pPr>
      <w:tblPr>
        <w:tblBorders/>
      </w:tblPr>
      <w:tcPr>
        <w:shd w:val="clear" w:color="a5a5a5" w:fill="a5a5a5" w:themeFill="accent3" w:themeFillTint="FE"/>
        <w:tcBorders/>
      </w:tcPr>
    </w:tblStylePr>
    <w:tblStylePr w:type="firstRow">
      <w:rPr>
        <w:sz w:val="22"/>
      </w:rPr>
      <w:pPr>
        <w:pBdr/>
        <w:spacing/>
        <w:ind/>
      </w:pPr>
      <w:tblPr>
        <w:tblBorders/>
      </w:tblPr>
      <w:tcPr>
        <w:shd w:val="clear" w:color="a5a5a5" w:fill="a5a5a5" w:themeFill="accent3" w:themeFillTint="FE"/>
        <w:tcBorders/>
      </w:tcPr>
    </w:tblStylePr>
    <w:tblStylePr w:type="lastCol">
      <w:rPr>
        <w:sz w:val="22"/>
      </w:rPr>
      <w:pPr>
        <w:pBdr/>
        <w:spacing/>
        <w:ind/>
      </w:pPr>
      <w:tblPr>
        <w:tblBorders/>
      </w:tblPr>
      <w:tcPr>
        <w:shd w:val="clear" w:color="a5a5a5" w:fill="a5a5a5" w:themeFill="accent3" w:themeFillTint="FE"/>
        <w:tcBorders/>
      </w:tcPr>
    </w:tblStylePr>
    <w:tblStylePr w:type="lastRow">
      <w:rPr>
        <w:sz w:val="22"/>
      </w:rPr>
      <w:pPr>
        <w:pBdr/>
        <w:spacing/>
        <w:ind/>
      </w:pPr>
      <w:tblPr>
        <w:tblBorders/>
      </w:tblPr>
      <w:tcPr>
        <w:shd w:val="clear" w:color="a5a5a5"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customStyle="1">
    <w:name w:val="Lined - Accent 4"/>
    <w:basedOn w:val="906"/>
    <w:uiPriority w:val="99"/>
    <w:pPr>
      <w:pBdr/>
      <w:spacing/>
      <w:ind/>
    </w:pPr>
    <w:rPr>
      <w:sz w:val="20"/>
      <w:szCs w:val="20"/>
      <w:lang w:eastAsia="pt-BR"/>
    </w:r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2cb" w:fill="fff2cb" w:themeFill="accent4" w:themeFillTint="34"/>
        <w:tcBorders/>
      </w:tcPr>
    </w:tblStylePr>
    <w:tblStylePr w:type="band2Vert">
      <w:rPr>
        <w:sz w:val="22"/>
      </w:rPr>
      <w:pPr>
        <w:pBdr/>
        <w:spacing/>
        <w:ind/>
      </w:pPr>
      <w:tblPr>
        <w:tblBorders/>
      </w:tblPr>
      <w:tcPr>
        <w:shd w:val="clear" w:color="fff2cb" w:fill="fff2cb" w:themeFill="accent4" w:themeFillTint="34"/>
        <w:tcBorders/>
      </w:tcPr>
    </w:tblStylePr>
    <w:tblStylePr w:type="firstCol">
      <w:rPr>
        <w:sz w:val="22"/>
      </w:rPr>
      <w:pPr>
        <w:pBdr/>
        <w:spacing/>
        <w:ind/>
      </w:pPr>
      <w:tblPr>
        <w:tblBorders/>
      </w:tblPr>
      <w:tcPr>
        <w:shd w:val="clear" w:color="ffd865" w:fill="ffd865" w:themeFill="accent4" w:themeFillTint="9A"/>
        <w:tcBorders/>
      </w:tcPr>
    </w:tblStylePr>
    <w:tblStylePr w:type="firstRow">
      <w:rPr>
        <w:sz w:val="22"/>
      </w:rPr>
      <w:pPr>
        <w:pBdr/>
        <w:spacing/>
        <w:ind/>
      </w:pPr>
      <w:tblPr>
        <w:tblBorders/>
      </w:tblPr>
      <w:tcPr>
        <w:shd w:val="clear" w:color="ffd865" w:fill="ffd865" w:themeFill="accent4" w:themeFillTint="9A"/>
        <w:tcBorders/>
      </w:tcPr>
    </w:tblStylePr>
    <w:tblStylePr w:type="lastCol">
      <w:rPr>
        <w:sz w:val="22"/>
      </w:rPr>
      <w:pPr>
        <w:pBdr/>
        <w:spacing/>
        <w:ind/>
      </w:pPr>
      <w:tblPr>
        <w:tblBorders/>
      </w:tblPr>
      <w:tcPr>
        <w:shd w:val="clear" w:color="ffd865" w:fill="ffd865" w:themeFill="accent4" w:themeFillTint="9A"/>
        <w:tcBorders/>
      </w:tcPr>
    </w:tblStylePr>
    <w:tblStylePr w:type="lastRow">
      <w:rPr>
        <w:sz w:val="22"/>
      </w:rPr>
      <w:pPr>
        <w:pBdr/>
        <w:spacing/>
        <w:ind/>
      </w:pPr>
      <w:tblPr>
        <w:tblBorders/>
      </w:tblPr>
      <w:tcPr>
        <w:shd w:val="clear" w:color="ffd865"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customStyle="1">
    <w:name w:val="Lined - Accent 5"/>
    <w:basedOn w:val="906"/>
    <w:uiPriority w:val="99"/>
    <w:pPr>
      <w:pBdr/>
      <w:spacing/>
      <w:ind/>
    </w:pPr>
    <w:rPr>
      <w:sz w:val="20"/>
      <w:szCs w:val="20"/>
      <w:lang w:eastAsia="pt-BR"/>
    </w:r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d8e2f3" w:fill="d8e2f3" w:themeFill="accent5" w:themeFillTint="34"/>
        <w:tcBorders/>
      </w:tcPr>
    </w:tblStylePr>
    <w:tblStylePr w:type="band2Vert">
      <w:rPr>
        <w:sz w:val="22"/>
      </w:rPr>
      <w:pPr>
        <w:pBdr/>
        <w:spacing/>
        <w:ind/>
      </w:pPr>
      <w:tblPr>
        <w:tblBorders/>
      </w:tblPr>
      <w:tcPr>
        <w:shd w:val="clear" w:color="d8e2f3" w:fill="d8e2f3" w:themeFill="accent5" w:themeFillTint="34"/>
        <w:tcBorders/>
      </w:tcPr>
    </w:tblStylePr>
    <w:tblStylePr w:type="firstCol">
      <w:rPr>
        <w:sz w:val="22"/>
      </w:rPr>
      <w:pPr>
        <w:pBdr/>
        <w:spacing/>
        <w:ind/>
      </w:pPr>
      <w:tblPr>
        <w:tblBorders/>
      </w:tblPr>
      <w:tcPr>
        <w:shd w:val="clear" w:color="4472c4" w:fill="4472c4" w:themeFill="accent5"/>
        <w:tcBorders/>
      </w:tcPr>
    </w:tblStylePr>
    <w:tblStylePr w:type="firstRow">
      <w:rPr>
        <w:sz w:val="22"/>
      </w:rPr>
      <w:pPr>
        <w:pBdr/>
        <w:spacing/>
        <w:ind/>
      </w:pPr>
      <w:tblPr>
        <w:tblBorders/>
      </w:tblPr>
      <w:tcPr>
        <w:shd w:val="clear" w:color="4472c4" w:fill="4472c4" w:themeFill="accent5"/>
        <w:tcBorders/>
      </w:tcPr>
    </w:tblStylePr>
    <w:tblStylePr w:type="lastCol">
      <w:rPr>
        <w:sz w:val="22"/>
      </w:rPr>
      <w:pPr>
        <w:pBdr/>
        <w:spacing/>
        <w:ind/>
      </w:pPr>
      <w:tblPr>
        <w:tblBorders/>
      </w:tblPr>
      <w:tcPr>
        <w:shd w:val="clear" w:color="4472c4" w:fill="4472c4" w:themeFill="accent5"/>
        <w:tcBorders/>
      </w:tcPr>
    </w:tblStylePr>
    <w:tblStylePr w:type="lastRow">
      <w:rPr>
        <w:sz w:val="22"/>
      </w:rPr>
      <w:pPr>
        <w:pBdr/>
        <w:spacing/>
        <w:ind/>
      </w:pPr>
      <w:tblPr>
        <w:tblBorders/>
      </w:tblPr>
      <w:tcPr>
        <w:shd w:val="clear" w:color="4472c4"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customStyle="1">
    <w:name w:val="Lined - Accent 6"/>
    <w:basedOn w:val="906"/>
    <w:uiPriority w:val="99"/>
    <w:pPr>
      <w:pBdr/>
      <w:spacing/>
      <w:ind/>
    </w:pPr>
    <w:rPr>
      <w:sz w:val="20"/>
      <w:szCs w:val="20"/>
      <w:lang w:eastAsia="pt-BR"/>
    </w:r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1efd8" w:fill="e1efd8" w:themeFill="accent6" w:themeFillTint="34"/>
        <w:tcBorders/>
      </w:tcPr>
    </w:tblStylePr>
    <w:tblStylePr w:type="band2Vert">
      <w:rPr>
        <w:sz w:val="22"/>
      </w:rPr>
      <w:pPr>
        <w:pBdr/>
        <w:spacing/>
        <w:ind/>
      </w:pPr>
      <w:tblPr>
        <w:tblBorders/>
      </w:tblPr>
      <w:tcPr>
        <w:shd w:val="clear" w:color="e1efd8" w:fill="e1efd8" w:themeFill="accent6" w:themeFillTint="34"/>
        <w:tcBorders/>
      </w:tcPr>
    </w:tblStylePr>
    <w:tblStylePr w:type="firstCol">
      <w:rPr>
        <w:sz w:val="22"/>
      </w:rPr>
      <w:pPr>
        <w:pBdr/>
        <w:spacing/>
        <w:ind/>
      </w:pPr>
      <w:tblPr>
        <w:tblBorders/>
      </w:tblPr>
      <w:tcPr>
        <w:shd w:val="clear" w:color="70ad47" w:fill="70ad47" w:themeFill="accent6"/>
        <w:tcBorders/>
      </w:tcPr>
    </w:tblStylePr>
    <w:tblStylePr w:type="firstRow">
      <w:rPr>
        <w:sz w:val="22"/>
      </w:rPr>
      <w:pPr>
        <w:pBdr/>
        <w:spacing/>
        <w:ind/>
      </w:pPr>
      <w:tblPr>
        <w:tblBorders/>
      </w:tblPr>
      <w:tcPr>
        <w:shd w:val="clear" w:color="70ad47" w:fill="70ad47" w:themeFill="accent6"/>
        <w:tcBorders/>
      </w:tcPr>
    </w:tblStylePr>
    <w:tblStylePr w:type="lastCol">
      <w:rPr>
        <w:sz w:val="22"/>
      </w:rPr>
      <w:pPr>
        <w:pBdr/>
        <w:spacing/>
        <w:ind/>
      </w:pPr>
      <w:tblPr>
        <w:tblBorders/>
      </w:tblPr>
      <w:tcPr>
        <w:shd w:val="clear" w:color="70ad47" w:fill="70ad47" w:themeFill="accent6"/>
        <w:tcBorders/>
      </w:tcPr>
    </w:tblStylePr>
    <w:tblStylePr w:type="lastRow">
      <w:rPr>
        <w:sz w:val="22"/>
      </w:rPr>
      <w:pPr>
        <w:pBdr/>
        <w:spacing/>
        <w:ind/>
      </w:pPr>
      <w:tblPr>
        <w:tblBorders/>
      </w:tblPr>
      <w:tcPr>
        <w:shd w:val="clear" w:color="70ad47"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customStyle="1">
    <w:name w:val="Bordered &amp; Lined - Accent"/>
    <w:basedOn w:val="906"/>
    <w:uiPriority w:val="99"/>
    <w:pPr>
      <w:pBdr/>
      <w:spacing/>
      <w:ind/>
    </w:pPr>
    <w:rPr>
      <w:sz w:val="20"/>
      <w:szCs w:val="20"/>
      <w:lang w:eastAsia="pt-BR"/>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f2f2" w:fill="f2f2f2" w:themeFill="text1" w:themeFillTint="0D"/>
        <w:tcBorders/>
      </w:tcPr>
    </w:tblStylePr>
    <w:tblStylePr w:type="band2Vert">
      <w:rPr>
        <w:sz w:val="22"/>
      </w:rPr>
      <w:pPr>
        <w:pBdr/>
        <w:spacing/>
        <w:ind/>
      </w:pPr>
      <w:tblPr>
        <w:tblBorders/>
      </w:tblPr>
      <w:tcPr>
        <w:shd w:val="clear" w:color="f2f2f2" w:fill="f2f2f2" w:themeFill="text1" w:themeFillTint="0D"/>
        <w:tcBorders/>
      </w:tcPr>
    </w:tblStylePr>
    <w:tblStylePr w:type="firstCol">
      <w:rPr>
        <w:sz w:val="22"/>
      </w:rPr>
      <w:pPr>
        <w:pBdr/>
        <w:spacing/>
        <w:ind/>
      </w:pPr>
      <w:tblPr>
        <w:tblBorders/>
      </w:tblPr>
      <w:tcPr>
        <w:shd w:val="clear" w:color="7f7f7f" w:fill="7f7f7f" w:themeFill="text1" w:themeFillTint="80"/>
        <w:tcBorders/>
      </w:tcPr>
    </w:tblStylePr>
    <w:tblStylePr w:type="firstRow">
      <w:rPr>
        <w:sz w:val="22"/>
      </w:rPr>
      <w:pPr>
        <w:pBdr/>
        <w:spacing/>
        <w:ind/>
      </w:pPr>
      <w:tblPr>
        <w:tblBorders/>
      </w:tblPr>
      <w:tcPr>
        <w:shd w:val="clear" w:color="7f7f7f" w:fill="7f7f7f" w:themeFill="text1" w:themeFillTint="80"/>
        <w:tcBorders/>
      </w:tcPr>
    </w:tblStylePr>
    <w:tblStylePr w:type="lastCol">
      <w:rPr>
        <w:sz w:val="22"/>
      </w:rPr>
      <w:pPr>
        <w:pBdr/>
        <w:spacing/>
        <w:ind/>
      </w:pPr>
      <w:tblPr>
        <w:tblBorders/>
      </w:tblPr>
      <w:tcPr>
        <w:shd w:val="clear" w:color="7f7f7f" w:fill="7f7f7f" w:themeFill="text1" w:themeFillTint="80"/>
        <w:tcBorders/>
      </w:tcPr>
    </w:tblStylePr>
    <w:tblStylePr w:type="lastRow">
      <w:rPr>
        <w:sz w:val="22"/>
      </w:rPr>
      <w:pPr>
        <w:pBdr/>
        <w:spacing/>
        <w:ind/>
      </w:pPr>
      <w:tblPr>
        <w:tblBorders/>
      </w:tblPr>
      <w:tcPr>
        <w:shd w:val="clear" w:color="7f7f7f"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customStyle="1">
    <w:name w:val="Bordered &amp; Lined - Accent 1"/>
    <w:basedOn w:val="906"/>
    <w:uiPriority w:val="99"/>
    <w:pPr>
      <w:pBdr/>
      <w:spacing/>
      <w:ind/>
    </w:pPr>
    <w:rPr>
      <w:sz w:val="20"/>
      <w:szCs w:val="20"/>
      <w:lang w:eastAsia="pt-BR"/>
    </w:r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insideH w:val="single" w:color="5b9bd5" w:themeColor="accent1" w:sz="4" w:space="0"/>
        <w:insideV w:val="single" w:color="5b9bd5" w:themeColor="accent1"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cbdff1" w:fill="cbdff1" w:themeFill="accent1" w:themeFillTint="50"/>
        <w:tcBorders/>
      </w:tcPr>
    </w:tblStylePr>
    <w:tblStylePr w:type="band2Vert">
      <w:rPr>
        <w:sz w:val="22"/>
      </w:rPr>
      <w:pPr>
        <w:pBdr/>
        <w:spacing/>
        <w:ind/>
      </w:pPr>
      <w:tblPr>
        <w:tblBorders/>
      </w:tblPr>
      <w:tcPr>
        <w:shd w:val="clear" w:color="cbdff1" w:fill="cbdff1" w:themeFill="accent1" w:themeFillTint="50"/>
        <w:tcBorders/>
      </w:tcPr>
    </w:tblStylePr>
    <w:tblStylePr w:type="firstCol">
      <w:rPr>
        <w:sz w:val="22"/>
      </w:rPr>
      <w:pPr>
        <w:pBdr/>
        <w:spacing/>
        <w:ind/>
      </w:pPr>
      <w:tblPr>
        <w:tblBorders/>
      </w:tblPr>
      <w:tcPr>
        <w:shd w:val="clear" w:color="68a2d8" w:fill="68a2d8" w:themeFill="accent1" w:themeFillTint="EA"/>
        <w:tcBorders/>
      </w:tcPr>
    </w:tblStylePr>
    <w:tblStylePr w:type="firstRow">
      <w:rPr>
        <w:sz w:val="22"/>
      </w:rPr>
      <w:pPr>
        <w:pBdr/>
        <w:spacing/>
        <w:ind/>
      </w:pPr>
      <w:tblPr>
        <w:tblBorders/>
      </w:tblPr>
      <w:tcPr>
        <w:shd w:val="clear" w:color="68a2d8" w:fill="68a2d8" w:themeFill="accent1" w:themeFillTint="EA"/>
        <w:tcBorders/>
      </w:tcPr>
    </w:tblStylePr>
    <w:tblStylePr w:type="lastCol">
      <w:rPr>
        <w:sz w:val="22"/>
      </w:rPr>
      <w:pPr>
        <w:pBdr/>
        <w:spacing/>
        <w:ind/>
      </w:pPr>
      <w:tblPr>
        <w:tblBorders/>
      </w:tblPr>
      <w:tcPr>
        <w:shd w:val="clear" w:color="68a2d8" w:fill="68a2d8" w:themeFill="accent1" w:themeFillTint="EA"/>
        <w:tcBorders/>
      </w:tcPr>
    </w:tblStylePr>
    <w:tblStylePr w:type="lastRow">
      <w:rPr>
        <w:sz w:val="22"/>
      </w:rPr>
      <w:pPr>
        <w:pBdr/>
        <w:spacing/>
        <w:ind/>
      </w:pPr>
      <w:tblPr>
        <w:tblBorders/>
      </w:tblPr>
      <w:tcPr>
        <w:shd w:val="clear" w:color="68a2d8"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customStyle="1">
    <w:name w:val="Bordered &amp; Lined - Accent 2"/>
    <w:basedOn w:val="906"/>
    <w:uiPriority w:val="99"/>
    <w:pPr>
      <w:pBdr/>
      <w:spacing/>
      <w:ind/>
    </w:pPr>
    <w:rPr>
      <w:sz w:val="20"/>
      <w:szCs w:val="20"/>
      <w:lang w:eastAsia="pt-BR"/>
    </w:rPr>
    <w:tblPr>
      <w:tblStyleRowBandSize w:val="1"/>
      <w:tblStyleColBandSize w:val="1"/>
      <w:tblBorders>
        <w:top w:val="single" w:color="ed7d31" w:themeColor="accent2" w:sz="4" w:space="0"/>
        <w:left w:val="single" w:color="ed7d31" w:themeColor="accent2" w:sz="4" w:space="0"/>
        <w:bottom w:val="single" w:color="ed7d31" w:themeColor="accent2" w:sz="4" w:space="0"/>
        <w:right w:val="single" w:color="ed7d31" w:themeColor="accent2" w:sz="4" w:space="0"/>
        <w:insideH w:val="single" w:color="ed7d31" w:themeColor="accent2" w:sz="4" w:space="0"/>
        <w:insideV w:val="single" w:color="ed7d31" w:themeColor="accent2"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be5d6" w:fill="fbe5d6" w:themeFill="accent2" w:themeFillTint="32"/>
        <w:tcBorders/>
      </w:tcPr>
    </w:tblStylePr>
    <w:tblStylePr w:type="band2Vert">
      <w:rPr>
        <w:sz w:val="22"/>
      </w:rPr>
      <w:pPr>
        <w:pBdr/>
        <w:spacing/>
        <w:ind/>
      </w:pPr>
      <w:tblPr>
        <w:tblBorders/>
      </w:tblPr>
      <w:tcPr>
        <w:shd w:val="clear" w:color="fbe5d6" w:fill="fbe5d6" w:themeFill="accent2" w:themeFillTint="32"/>
        <w:tcBorders/>
      </w:tcPr>
    </w:tblStylePr>
    <w:tblStylePr w:type="firstCol">
      <w:rPr>
        <w:sz w:val="22"/>
      </w:rPr>
      <w:pPr>
        <w:pBdr/>
        <w:spacing/>
        <w:ind/>
      </w:pPr>
      <w:tblPr>
        <w:tblBorders/>
      </w:tblPr>
      <w:tcPr>
        <w:shd w:val="clear" w:color="f4b184" w:fill="f4b184" w:themeFill="accent2" w:themeFillTint="97"/>
        <w:tcBorders/>
      </w:tcPr>
    </w:tblStylePr>
    <w:tblStylePr w:type="firstRow">
      <w:rPr>
        <w:sz w:val="22"/>
      </w:rPr>
      <w:pPr>
        <w:pBdr/>
        <w:spacing/>
        <w:ind/>
      </w:pPr>
      <w:tblPr>
        <w:tblBorders/>
      </w:tblPr>
      <w:tcPr>
        <w:shd w:val="clear" w:color="f4b184" w:fill="f4b184" w:themeFill="accent2" w:themeFillTint="97"/>
        <w:tcBorders/>
      </w:tcPr>
    </w:tblStylePr>
    <w:tblStylePr w:type="lastCol">
      <w:rPr>
        <w:sz w:val="22"/>
      </w:rPr>
      <w:pPr>
        <w:pBdr/>
        <w:spacing/>
        <w:ind/>
      </w:pPr>
      <w:tblPr>
        <w:tblBorders/>
      </w:tblPr>
      <w:tcPr>
        <w:shd w:val="clear" w:color="f4b184" w:fill="f4b184" w:themeFill="accent2" w:themeFillTint="97"/>
        <w:tcBorders/>
      </w:tcPr>
    </w:tblStylePr>
    <w:tblStylePr w:type="lastRow">
      <w:rPr>
        <w:sz w:val="22"/>
      </w:rPr>
      <w:pPr>
        <w:pBdr/>
        <w:spacing/>
        <w:ind/>
      </w:pPr>
      <w:tblPr>
        <w:tblBorders/>
      </w:tblPr>
      <w:tcPr>
        <w:shd w:val="clear" w:color="f4b184"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customStyle="1">
    <w:name w:val="Bordered &amp; Lined - Accent 3"/>
    <w:basedOn w:val="906"/>
    <w:uiPriority w:val="99"/>
    <w:pPr>
      <w:pBdr/>
      <w:spacing/>
      <w:ind/>
    </w:pPr>
    <w:rPr>
      <w:sz w:val="20"/>
      <w:szCs w:val="20"/>
      <w:lang w:eastAsia="pt-BR"/>
    </w:rPr>
    <w:tblPr>
      <w:tblStyleRowBandSize w:val="1"/>
      <w:tblStyleColBandSize w:val="1"/>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cecec" w:fill="ececec" w:themeFill="accent3" w:themeFillTint="34"/>
        <w:tcBorders/>
      </w:tcPr>
    </w:tblStylePr>
    <w:tblStylePr w:type="band2Vert">
      <w:rPr>
        <w:sz w:val="22"/>
      </w:rPr>
      <w:pPr>
        <w:pBdr/>
        <w:spacing/>
        <w:ind/>
      </w:pPr>
      <w:tblPr>
        <w:tblBorders/>
      </w:tblPr>
      <w:tcPr>
        <w:shd w:val="clear" w:color="ececec" w:fill="ececec" w:themeFill="accent3" w:themeFillTint="34"/>
        <w:tcBorders/>
      </w:tcPr>
    </w:tblStylePr>
    <w:tblStylePr w:type="firstCol">
      <w:rPr>
        <w:sz w:val="22"/>
      </w:rPr>
      <w:pPr>
        <w:pBdr/>
        <w:spacing/>
        <w:ind/>
      </w:pPr>
      <w:tblPr>
        <w:tblBorders/>
      </w:tblPr>
      <w:tcPr>
        <w:shd w:val="clear" w:color="a5a5a5" w:fill="a5a5a5" w:themeFill="accent3" w:themeFillTint="FE"/>
        <w:tcBorders/>
      </w:tcPr>
    </w:tblStylePr>
    <w:tblStylePr w:type="firstRow">
      <w:rPr>
        <w:sz w:val="22"/>
      </w:rPr>
      <w:pPr>
        <w:pBdr/>
        <w:spacing/>
        <w:ind/>
      </w:pPr>
      <w:tblPr>
        <w:tblBorders/>
      </w:tblPr>
      <w:tcPr>
        <w:shd w:val="clear" w:color="a5a5a5" w:fill="a5a5a5" w:themeFill="accent3" w:themeFillTint="FE"/>
        <w:tcBorders/>
      </w:tcPr>
    </w:tblStylePr>
    <w:tblStylePr w:type="lastCol">
      <w:rPr>
        <w:sz w:val="22"/>
      </w:rPr>
      <w:pPr>
        <w:pBdr/>
        <w:spacing/>
        <w:ind/>
      </w:pPr>
      <w:tblPr>
        <w:tblBorders/>
      </w:tblPr>
      <w:tcPr>
        <w:shd w:val="clear" w:color="a5a5a5" w:fill="a5a5a5" w:themeFill="accent3" w:themeFillTint="FE"/>
        <w:tcBorders/>
      </w:tcPr>
    </w:tblStylePr>
    <w:tblStylePr w:type="lastRow">
      <w:rPr>
        <w:sz w:val="22"/>
      </w:rPr>
      <w:pPr>
        <w:pBdr/>
        <w:spacing/>
        <w:ind/>
      </w:pPr>
      <w:tblPr>
        <w:tblBorders/>
      </w:tblPr>
      <w:tcPr>
        <w:shd w:val="clear" w:color="a5a5a5"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customStyle="1">
    <w:name w:val="Bordered &amp; Lined - Accent 4"/>
    <w:basedOn w:val="906"/>
    <w:uiPriority w:val="99"/>
    <w:pPr>
      <w:pBdr/>
      <w:spacing/>
      <w:ind/>
    </w:pPr>
    <w:rPr>
      <w:sz w:val="20"/>
      <w:szCs w:val="20"/>
      <w:lang w:eastAsia="pt-BR"/>
    </w:rPr>
    <w:tblPr>
      <w:tblStyleRowBandSize w:val="1"/>
      <w:tblStyleColBandSize w:val="1"/>
      <w:tblBorders>
        <w:top w:val="single" w:color="ffc000" w:themeColor="accent4" w:sz="4" w:space="0"/>
        <w:left w:val="single" w:color="ffc000" w:themeColor="accent4" w:sz="4" w:space="0"/>
        <w:bottom w:val="single" w:color="ffc000" w:themeColor="accent4" w:sz="4" w:space="0"/>
        <w:right w:val="single" w:color="ffc000" w:themeColor="accent4" w:sz="4" w:space="0"/>
        <w:insideH w:val="single" w:color="ffc000" w:themeColor="accent4" w:sz="4" w:space="0"/>
        <w:insideV w:val="single" w:color="ffc000" w:themeColor="accent4"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2cb" w:fill="fff2cb" w:themeFill="accent4" w:themeFillTint="34"/>
        <w:tcBorders/>
      </w:tcPr>
    </w:tblStylePr>
    <w:tblStylePr w:type="band2Vert">
      <w:rPr>
        <w:sz w:val="22"/>
      </w:rPr>
      <w:pPr>
        <w:pBdr/>
        <w:spacing/>
        <w:ind/>
      </w:pPr>
      <w:tblPr>
        <w:tblBorders/>
      </w:tblPr>
      <w:tcPr>
        <w:shd w:val="clear" w:color="fff2cb" w:fill="fff2cb" w:themeFill="accent4" w:themeFillTint="34"/>
        <w:tcBorders/>
      </w:tcPr>
    </w:tblStylePr>
    <w:tblStylePr w:type="firstCol">
      <w:rPr>
        <w:sz w:val="22"/>
      </w:rPr>
      <w:pPr>
        <w:pBdr/>
        <w:spacing/>
        <w:ind/>
      </w:pPr>
      <w:tblPr>
        <w:tblBorders/>
      </w:tblPr>
      <w:tcPr>
        <w:shd w:val="clear" w:color="ffd865" w:fill="ffd865" w:themeFill="accent4" w:themeFillTint="9A"/>
        <w:tcBorders/>
      </w:tcPr>
    </w:tblStylePr>
    <w:tblStylePr w:type="firstRow">
      <w:rPr>
        <w:sz w:val="22"/>
      </w:rPr>
      <w:pPr>
        <w:pBdr/>
        <w:spacing/>
        <w:ind/>
      </w:pPr>
      <w:tblPr>
        <w:tblBorders/>
      </w:tblPr>
      <w:tcPr>
        <w:shd w:val="clear" w:color="ffd865" w:fill="ffd865" w:themeFill="accent4" w:themeFillTint="9A"/>
        <w:tcBorders/>
      </w:tcPr>
    </w:tblStylePr>
    <w:tblStylePr w:type="lastCol">
      <w:rPr>
        <w:sz w:val="22"/>
      </w:rPr>
      <w:pPr>
        <w:pBdr/>
        <w:spacing/>
        <w:ind/>
      </w:pPr>
      <w:tblPr>
        <w:tblBorders/>
      </w:tblPr>
      <w:tcPr>
        <w:shd w:val="clear" w:color="ffd865" w:fill="ffd865" w:themeFill="accent4" w:themeFillTint="9A"/>
        <w:tcBorders/>
      </w:tcPr>
    </w:tblStylePr>
    <w:tblStylePr w:type="lastRow">
      <w:rPr>
        <w:sz w:val="22"/>
      </w:rPr>
      <w:pPr>
        <w:pBdr/>
        <w:spacing/>
        <w:ind/>
      </w:pPr>
      <w:tblPr>
        <w:tblBorders/>
      </w:tblPr>
      <w:tcPr>
        <w:shd w:val="clear" w:color="ffd865"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customStyle="1">
    <w:name w:val="Bordered &amp; Lined - Accent 5"/>
    <w:basedOn w:val="906"/>
    <w:uiPriority w:val="99"/>
    <w:pPr>
      <w:pBdr/>
      <w:spacing/>
      <w:ind/>
    </w:pPr>
    <w:rPr>
      <w:sz w:val="20"/>
      <w:szCs w:val="20"/>
      <w:lang w:eastAsia="pt-BR"/>
    </w:r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d8e2f3" w:fill="d8e2f3" w:themeFill="accent5" w:themeFillTint="34"/>
        <w:tcBorders/>
      </w:tcPr>
    </w:tblStylePr>
    <w:tblStylePr w:type="band2Vert">
      <w:rPr>
        <w:sz w:val="22"/>
      </w:rPr>
      <w:pPr>
        <w:pBdr/>
        <w:spacing/>
        <w:ind/>
      </w:pPr>
      <w:tblPr>
        <w:tblBorders/>
      </w:tblPr>
      <w:tcPr>
        <w:shd w:val="clear" w:color="d8e2f3" w:fill="d8e2f3" w:themeFill="accent5" w:themeFillTint="34"/>
        <w:tcBorders/>
      </w:tcPr>
    </w:tblStylePr>
    <w:tblStylePr w:type="firstCol">
      <w:rPr>
        <w:sz w:val="22"/>
      </w:rPr>
      <w:pPr>
        <w:pBdr/>
        <w:spacing/>
        <w:ind/>
      </w:pPr>
      <w:tblPr>
        <w:tblBorders/>
      </w:tblPr>
      <w:tcPr>
        <w:shd w:val="clear" w:color="4472c4" w:fill="4472c4" w:themeFill="accent5"/>
        <w:tcBorders/>
      </w:tcPr>
    </w:tblStylePr>
    <w:tblStylePr w:type="firstRow">
      <w:rPr>
        <w:sz w:val="22"/>
      </w:rPr>
      <w:pPr>
        <w:pBdr/>
        <w:spacing/>
        <w:ind/>
      </w:pPr>
      <w:tblPr>
        <w:tblBorders/>
      </w:tblPr>
      <w:tcPr>
        <w:shd w:val="clear" w:color="4472c4" w:fill="4472c4" w:themeFill="accent5"/>
        <w:tcBorders/>
      </w:tcPr>
    </w:tblStylePr>
    <w:tblStylePr w:type="lastCol">
      <w:rPr>
        <w:sz w:val="22"/>
      </w:rPr>
      <w:pPr>
        <w:pBdr/>
        <w:spacing/>
        <w:ind/>
      </w:pPr>
      <w:tblPr>
        <w:tblBorders/>
      </w:tblPr>
      <w:tcPr>
        <w:shd w:val="clear" w:color="4472c4" w:fill="4472c4" w:themeFill="accent5"/>
        <w:tcBorders/>
      </w:tcPr>
    </w:tblStylePr>
    <w:tblStylePr w:type="lastRow">
      <w:rPr>
        <w:sz w:val="22"/>
      </w:rPr>
      <w:pPr>
        <w:pBdr/>
        <w:spacing/>
        <w:ind/>
      </w:pPr>
      <w:tblPr>
        <w:tblBorders/>
      </w:tblPr>
      <w:tcPr>
        <w:shd w:val="clear" w:color="4472c4"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customStyle="1">
    <w:name w:val="Bordered &amp; Lined - Accent 6"/>
    <w:basedOn w:val="906"/>
    <w:uiPriority w:val="99"/>
    <w:pPr>
      <w:pBdr/>
      <w:spacing/>
      <w:ind/>
    </w:pPr>
    <w:rPr>
      <w:sz w:val="20"/>
      <w:szCs w:val="20"/>
      <w:lang w:eastAsia="pt-BR"/>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1efd8" w:fill="e1efd8" w:themeFill="accent6" w:themeFillTint="34"/>
        <w:tcBorders/>
      </w:tcPr>
    </w:tblStylePr>
    <w:tblStylePr w:type="band2Vert">
      <w:rPr>
        <w:sz w:val="22"/>
      </w:rPr>
      <w:pPr>
        <w:pBdr/>
        <w:spacing/>
        <w:ind/>
      </w:pPr>
      <w:tblPr>
        <w:tblBorders/>
      </w:tblPr>
      <w:tcPr>
        <w:shd w:val="clear" w:color="e1efd8" w:fill="e1efd8" w:themeFill="accent6" w:themeFillTint="34"/>
        <w:tcBorders/>
      </w:tcPr>
    </w:tblStylePr>
    <w:tblStylePr w:type="firstCol">
      <w:rPr>
        <w:sz w:val="22"/>
      </w:rPr>
      <w:pPr>
        <w:pBdr/>
        <w:spacing/>
        <w:ind/>
      </w:pPr>
      <w:tblPr>
        <w:tblBorders/>
      </w:tblPr>
      <w:tcPr>
        <w:shd w:val="clear" w:color="70ad47" w:fill="70ad47" w:themeFill="accent6"/>
        <w:tcBorders/>
      </w:tcPr>
    </w:tblStylePr>
    <w:tblStylePr w:type="firstRow">
      <w:rPr>
        <w:sz w:val="22"/>
      </w:rPr>
      <w:pPr>
        <w:pBdr/>
        <w:spacing/>
        <w:ind/>
      </w:pPr>
      <w:tblPr>
        <w:tblBorders/>
      </w:tblPr>
      <w:tcPr>
        <w:shd w:val="clear" w:color="70ad47" w:fill="70ad47" w:themeFill="accent6"/>
        <w:tcBorders/>
      </w:tcPr>
    </w:tblStylePr>
    <w:tblStylePr w:type="lastCol">
      <w:rPr>
        <w:sz w:val="22"/>
      </w:rPr>
      <w:pPr>
        <w:pBdr/>
        <w:spacing/>
        <w:ind/>
      </w:pPr>
      <w:tblPr>
        <w:tblBorders/>
      </w:tblPr>
      <w:tcPr>
        <w:shd w:val="clear" w:color="70ad47" w:fill="70ad47" w:themeFill="accent6"/>
        <w:tcBorders/>
      </w:tcPr>
    </w:tblStylePr>
    <w:tblStylePr w:type="lastRow">
      <w:rPr>
        <w:sz w:val="22"/>
      </w:rPr>
      <w:pPr>
        <w:pBdr/>
        <w:spacing/>
        <w:ind/>
      </w:pPr>
      <w:tblPr>
        <w:tblBorders/>
      </w:tblPr>
      <w:tcPr>
        <w:shd w:val="clear" w:color="70ad47"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customStyle="1">
    <w:name w:val="Bordered"/>
    <w:basedOn w:val="906"/>
    <w:uiPriority w:val="99"/>
    <w:pPr>
      <w:pBdr/>
      <w:spacing/>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000000" w:themeColor="text1" w:sz="12" w:space="0"/>
        </w:tcBorders>
      </w:tcPr>
    </w:tblStylePr>
    <w:tblStylePr w:type="lastCol">
      <w:rPr>
        <w:sz w:val="22"/>
      </w:rPr>
      <w:pPr>
        <w:pBdr/>
        <w:spacing/>
        <w:ind/>
      </w:pPr>
      <w:tblPr>
        <w:tblBorders/>
      </w:tblPr>
      <w:tcPr>
        <w:tcBorders>
          <w:left w:val="single" w:color="000000" w:themeColor="text1" w:sz="12" w:space="0"/>
        </w:tcBorders>
      </w:tcPr>
    </w:tblStylePr>
    <w:tblStylePr w:type="lastRow">
      <w:rPr>
        <w:sz w:val="22"/>
      </w:rPr>
      <w:pPr>
        <w:pBdr/>
        <w:spacing/>
        <w:ind/>
      </w:pPr>
      <w:tblPr>
        <w:tblBorders/>
      </w:tblPr>
      <w:tcPr>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customStyle="1">
    <w:name w:val="Bordered - Accent 1"/>
    <w:basedOn w:val="906"/>
    <w:uiPriority w:val="99"/>
    <w:pPr>
      <w:pBdr/>
      <w:spacing/>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sz w:val="22"/>
      </w:rPr>
      <w:pPr>
        <w:pBdr/>
        <w:spacing/>
        <w:ind/>
      </w:pPr>
      <w:tblPr>
        <w:tblBorders/>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5b9bd5" w:themeColor="accent1" w:sz="12" w:space="0"/>
        </w:tcBorders>
      </w:tcPr>
    </w:tblStylePr>
    <w:tblStylePr w:type="lastCol">
      <w:rPr>
        <w:sz w:val="22"/>
      </w:rPr>
      <w:pPr>
        <w:pBdr/>
        <w:spacing/>
        <w:ind/>
      </w:pPr>
      <w:tblPr>
        <w:tblBorders/>
      </w:tblPr>
      <w:tcPr>
        <w:tcBorders>
          <w:left w:val="single" w:color="5b9bd5" w:themeColor="accent1" w:sz="12" w:space="0"/>
        </w:tcBorders>
      </w:tcPr>
    </w:tblStylePr>
    <w:tblStylePr w:type="lastRow">
      <w:rPr>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customStyle="1">
    <w:name w:val="Bordered - Accent 2"/>
    <w:basedOn w:val="906"/>
    <w:uiPriority w:val="99"/>
    <w:pPr>
      <w:pBdr/>
      <w:spacing/>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sz w:val="22"/>
      </w:rPr>
      <w:pPr>
        <w:pBdr/>
        <w:spacing/>
        <w:ind/>
      </w:pPr>
      <w:tblPr>
        <w:tblBorders/>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ed7d31" w:themeColor="accent2" w:sz="12" w:space="0"/>
        </w:tcBorders>
      </w:tcPr>
    </w:tblStylePr>
    <w:tblStylePr w:type="lastCol">
      <w:rPr>
        <w:sz w:val="22"/>
      </w:rPr>
      <w:pPr>
        <w:pBdr/>
        <w:spacing/>
        <w:ind/>
      </w:pPr>
      <w:tblPr>
        <w:tblBorders/>
      </w:tblPr>
      <w:tcPr>
        <w:tcBorders>
          <w:left w:val="single" w:color="ed7d31" w:themeColor="accent2" w:sz="12" w:space="0"/>
        </w:tcBorders>
      </w:tcPr>
    </w:tblStylePr>
    <w:tblStylePr w:type="lastRow">
      <w:rPr>
        <w:sz w:val="22"/>
      </w:rPr>
      <w:pPr>
        <w:pBdr/>
        <w:spacing/>
        <w:ind/>
      </w:pPr>
      <w:tblPr>
        <w:tblBorders/>
      </w:tblPr>
      <w:tcPr>
        <w:tcBorders>
          <w:top w:val="single" w:color="ed7d31" w:themeColor="accent2"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customStyle="1">
    <w:name w:val="Bordered - Accent 3"/>
    <w:basedOn w:val="906"/>
    <w:uiPriority w:val="99"/>
    <w:pPr>
      <w:pBdr/>
      <w:spacing/>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sz w:val="22"/>
      </w:rPr>
      <w:pPr>
        <w:pBdr/>
        <w:spacing/>
        <w:ind/>
      </w:pPr>
      <w:tblPr>
        <w:tblBorders/>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a5a5a5" w:themeColor="accent3" w:sz="12" w:space="0"/>
        </w:tcBorders>
      </w:tcPr>
    </w:tblStylePr>
    <w:tblStylePr w:type="lastCol">
      <w:rPr>
        <w:sz w:val="22"/>
      </w:rPr>
      <w:pPr>
        <w:pBdr/>
        <w:spacing/>
        <w:ind/>
      </w:pPr>
      <w:tblPr>
        <w:tblBorders/>
      </w:tblPr>
      <w:tcPr>
        <w:tcBorders>
          <w:left w:val="single" w:color="a5a5a5" w:themeColor="accent3" w:sz="12" w:space="0"/>
        </w:tcBorders>
      </w:tcPr>
    </w:tblStylePr>
    <w:tblStylePr w:type="lastRow">
      <w:rPr>
        <w:sz w:val="22"/>
      </w:rPr>
      <w:pPr>
        <w:pBdr/>
        <w:spacing/>
        <w:ind/>
      </w:pPr>
      <w:tblPr>
        <w:tblBorders/>
      </w:tblPr>
      <w:tcPr>
        <w:tcBorders>
          <w:top w:val="single" w:color="a5a5a5" w:themeColor="accent3"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customStyle="1">
    <w:name w:val="Bordered - Accent 4"/>
    <w:basedOn w:val="906"/>
    <w:uiPriority w:val="99"/>
    <w:pPr>
      <w:pBdr/>
      <w:spacing/>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sz w:val="22"/>
      </w:rPr>
      <w:pPr>
        <w:pBdr/>
        <w:spacing/>
        <w:ind/>
      </w:pPr>
      <w:tblPr>
        <w:tblBorders/>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ffc000" w:themeColor="accent4" w:sz="12" w:space="0"/>
        </w:tcBorders>
      </w:tcPr>
    </w:tblStylePr>
    <w:tblStylePr w:type="lastCol">
      <w:rPr>
        <w:sz w:val="22"/>
      </w:rPr>
      <w:pPr>
        <w:pBdr/>
        <w:spacing/>
        <w:ind/>
      </w:pPr>
      <w:tblPr>
        <w:tblBorders/>
      </w:tblPr>
      <w:tcPr>
        <w:tcBorders>
          <w:left w:val="single" w:color="ffc000" w:themeColor="accent4" w:sz="12" w:space="0"/>
        </w:tcBorders>
      </w:tcPr>
    </w:tblStylePr>
    <w:tblStylePr w:type="lastRow">
      <w:rPr>
        <w:sz w:val="22"/>
      </w:rPr>
      <w:pPr>
        <w:pBdr/>
        <w:spacing/>
        <w:ind/>
      </w:pPr>
      <w:tblPr>
        <w:tblBorders/>
      </w:tblPr>
      <w:tcPr>
        <w:tcBorders>
          <w:top w:val="single" w:color="ffc000" w:themeColor="accent4"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Bordered - Accent 5"/>
    <w:basedOn w:val="906"/>
    <w:uiPriority w:val="99"/>
    <w:pPr>
      <w:pBdr/>
      <w:spacing/>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sz w:val="22"/>
      </w:rPr>
      <w:pPr>
        <w:pBdr/>
        <w:spacing/>
        <w:ind/>
      </w:pPr>
      <w:tblPr>
        <w:tblBorders/>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4472c4" w:themeColor="accent5" w:sz="12" w:space="0"/>
        </w:tcBorders>
      </w:tcPr>
    </w:tblStylePr>
    <w:tblStylePr w:type="lastCol">
      <w:rPr>
        <w:sz w:val="22"/>
      </w:rPr>
      <w:pPr>
        <w:pBdr/>
        <w:spacing/>
        <w:ind/>
      </w:pPr>
      <w:tblPr>
        <w:tblBorders/>
      </w:tblPr>
      <w:tcPr>
        <w:tcBorders>
          <w:left w:val="single" w:color="4472c4" w:themeColor="accent5" w:sz="12" w:space="0"/>
        </w:tcBorders>
      </w:tcPr>
    </w:tblStylePr>
    <w:tblStylePr w:type="lastRow">
      <w:rPr>
        <w:sz w:val="22"/>
      </w:rPr>
      <w:pPr>
        <w:pBdr/>
        <w:spacing/>
        <w:ind/>
      </w:pPr>
      <w:tblPr>
        <w:tblBorders/>
      </w:tblPr>
      <w:tcPr>
        <w:tcBorders>
          <w:top w:val="single" w:color="4472c4" w:themeColor="accent5"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Bordered - Accent 6"/>
    <w:basedOn w:val="906"/>
    <w:uiPriority w:val="99"/>
    <w:pPr>
      <w:pBdr/>
      <w:spacing/>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sz w:val="22"/>
      </w:rPr>
      <w:pPr>
        <w:pBdr/>
        <w:spacing/>
        <w:ind/>
      </w:pPr>
      <w:tblPr>
        <w:tblBorders/>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70ad47" w:themeColor="accent6" w:sz="12" w:space="0"/>
        </w:tcBorders>
      </w:tcPr>
    </w:tblStylePr>
    <w:tblStylePr w:type="lastCol">
      <w:rPr>
        <w:sz w:val="22"/>
      </w:rPr>
      <w:pPr>
        <w:pBdr/>
        <w:spacing/>
        <w:ind/>
      </w:pPr>
      <w:tblPr>
        <w:tblBorders/>
      </w:tblPr>
      <w:tcPr>
        <w:tcBorders>
          <w:left w:val="single" w:color="70ad47" w:themeColor="accent6" w:sz="12" w:space="0"/>
        </w:tcBorders>
      </w:tcPr>
    </w:tblStylePr>
    <w:tblStylePr w:type="lastRow">
      <w:rPr>
        <w:sz w:val="22"/>
      </w:rPr>
      <w:pPr>
        <w:pBdr/>
        <w:spacing/>
        <w:ind/>
      </w:pPr>
      <w:tblPr>
        <w:tblBorders/>
      </w:tblPr>
      <w:tcPr>
        <w:tcBorders>
          <w:top w:val="single" w:color="70ad47" w:themeColor="accent6"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name w:val="Table Grid"/>
    <w:basedOn w:val="906"/>
    <w:uiPriority w:val="39"/>
    <w:pPr>
      <w:pBdr/>
      <w:spacing w:after="120" w:before="120"/>
      <w:ind/>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customStyle="1">
    <w:name w:val="Table Normal"/>
    <w:uiPriority w:val="2"/>
    <w:semiHidden/>
    <w:unhideWhenUsed/>
    <w:qFormat/>
    <w:pPr>
      <w:pBdr/>
      <w:spacing/>
      <w:ind/>
    </w:pPr>
    <w:rPr>
      <w:sz w:val="20"/>
      <w:szCs w:val="20"/>
      <w:lang w:val="en-US" w:eastAsia="pt-BR"/>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38">
    <w:name w:val="annotation reference"/>
    <w:basedOn w:val="905"/>
    <w:unhideWhenUsed/>
    <w:qFormat/>
    <w:pPr>
      <w:pBdr/>
      <w:spacing/>
      <w:ind/>
    </w:pPr>
    <w:rPr>
      <w:sz w:val="16"/>
      <w:szCs w:val="16"/>
    </w:rPr>
  </w:style>
  <w:style w:type="paragraph" w:styleId="1139">
    <w:name w:val="annotation text"/>
    <w:basedOn w:val="895"/>
    <w:link w:val="1140"/>
    <w:uiPriority w:val="99"/>
    <w:unhideWhenUsed/>
    <w:qFormat/>
    <w:pPr>
      <w:pBdr/>
      <w:spacing w:after="0" w:before="0"/>
      <w:ind/>
      <w:jc w:val="left"/>
    </w:pPr>
    <w:rPr>
      <w:rFonts w:ascii="Ecofont_Spranq_eco_Sans" w:hAnsi="Ecofont_Spranq_eco_Sans" w:cs="Tahoma" w:eastAsiaTheme="minorEastAsia"/>
      <w:sz w:val="20"/>
      <w:szCs w:val="20"/>
    </w:rPr>
  </w:style>
  <w:style w:type="character" w:styleId="1140" w:customStyle="1">
    <w:name w:val="Texto de comentário Char"/>
    <w:basedOn w:val="905"/>
    <w:link w:val="1139"/>
    <w:uiPriority w:val="99"/>
    <w:qFormat/>
    <w:pPr>
      <w:pBdr/>
      <w:spacing/>
      <w:ind/>
    </w:pPr>
    <w:rPr>
      <w:rFonts w:ascii="Ecofont_Spranq_eco_Sans" w:hAnsi="Ecofont_Spranq_eco_Sans" w:cs="Tahoma" w:eastAsiaTheme="minorEastAsia"/>
      <w:sz w:val="20"/>
      <w:szCs w:val="20"/>
      <w:lang w:eastAsia="pt-BR"/>
    </w:rPr>
  </w:style>
  <w:style w:type="paragraph" w:styleId="1141" w:customStyle="1">
    <w:name w:val="Nivel 01"/>
    <w:basedOn w:val="896"/>
    <w:next w:val="895"/>
    <w:link w:val="1153"/>
    <w:qFormat/>
    <w:pPr>
      <w:keepLines w:val="true"/>
      <w:numPr>
        <w:numId w:val="24"/>
      </w:numPr>
      <w:pBdr/>
      <w:tabs>
        <w:tab w:val="left" w:leader="none" w:pos="0"/>
        <w:tab w:val="left" w:leader="none" w:pos="142"/>
      </w:tabs>
      <w:spacing w:after="288" w:before="288" w:line="312" w:lineRule="auto"/>
      <w:ind w:firstLine="0" w:left="0"/>
      <w:jc w:val="both"/>
    </w:pPr>
    <w:rPr>
      <w:rFonts w:ascii="Arial" w:hAnsi="Arial" w:cs="Arial" w:eastAsiaTheme="majorEastAsia"/>
      <w:bCs/>
      <w:sz w:val="24"/>
      <w:szCs w:val="24"/>
      <w:u w:val="none"/>
    </w:rPr>
  </w:style>
  <w:style w:type="paragraph" w:styleId="1142" w:customStyle="1">
    <w:name w:val="Nivel 2"/>
    <w:basedOn w:val="895"/>
    <w:link w:val="1147"/>
    <w:qFormat/>
    <w:pPr>
      <w:numPr>
        <w:ilvl w:val="1"/>
        <w:numId w:val="10"/>
      </w:numPr>
      <w:pBdr/>
      <w:spacing w:line="276" w:lineRule="auto"/>
      <w:ind w:firstLine="0" w:left="0"/>
    </w:pPr>
    <w:rPr>
      <w:rFonts w:cs="Arial" w:eastAsiaTheme="minorEastAsia"/>
      <w:color w:val="000000"/>
      <w:sz w:val="20"/>
      <w:szCs w:val="20"/>
    </w:rPr>
  </w:style>
  <w:style w:type="paragraph" w:styleId="1143" w:customStyle="1">
    <w:name w:val="Nivel 3"/>
    <w:basedOn w:val="895"/>
    <w:link w:val="1151"/>
    <w:qFormat/>
    <w:pPr>
      <w:numPr>
        <w:ilvl w:val="2"/>
        <w:numId w:val="10"/>
      </w:numPr>
      <w:pBdr/>
      <w:spacing w:line="276" w:lineRule="auto"/>
      <w:ind w:firstLine="0" w:left="284"/>
    </w:pPr>
    <w:rPr>
      <w:rFonts w:cs="Arial" w:eastAsiaTheme="minorEastAsia"/>
      <w:color w:val="000000"/>
      <w:sz w:val="20"/>
      <w:szCs w:val="20"/>
    </w:rPr>
  </w:style>
  <w:style w:type="paragraph" w:styleId="1144" w:customStyle="1">
    <w:name w:val="Nivel 4"/>
    <w:basedOn w:val="1143"/>
    <w:link w:val="1146"/>
    <w:qFormat/>
    <w:pPr>
      <w:numPr>
        <w:ilvl w:val="3"/>
      </w:numPr>
      <w:pBdr/>
      <w:tabs>
        <w:tab w:val="num" w:leader="none" w:pos="1080"/>
      </w:tabs>
      <w:spacing/>
      <w:ind w:firstLine="0" w:left="567"/>
    </w:pPr>
    <w:rPr>
      <w:color w:val="auto"/>
    </w:rPr>
  </w:style>
  <w:style w:type="paragraph" w:styleId="1145" w:customStyle="1">
    <w:name w:val="Nivel 5"/>
    <w:basedOn w:val="1144"/>
    <w:qFormat/>
    <w:pPr>
      <w:numPr>
        <w:ilvl w:val="4"/>
      </w:numPr>
      <w:pBdr/>
      <w:tabs>
        <w:tab w:val="num" w:leader="none" w:pos="1080"/>
      </w:tabs>
      <w:spacing/>
      <w:ind w:firstLine="0" w:left="851"/>
    </w:pPr>
  </w:style>
  <w:style w:type="character" w:styleId="1146" w:customStyle="1">
    <w:name w:val="Nivel 4 Char"/>
    <w:basedOn w:val="905"/>
    <w:link w:val="1144"/>
    <w:qFormat/>
    <w:pPr>
      <w:pBdr/>
      <w:spacing/>
      <w:ind/>
    </w:pPr>
    <w:rPr>
      <w:rFonts w:ascii="Arial" w:hAnsi="Arial" w:cs="Arial" w:eastAsiaTheme="minorEastAsia"/>
      <w:sz w:val="20"/>
      <w:szCs w:val="20"/>
      <w:lang w:eastAsia="pt-BR"/>
    </w:rPr>
  </w:style>
  <w:style w:type="character" w:styleId="1147" w:customStyle="1">
    <w:name w:val="Nivel 2 Char"/>
    <w:basedOn w:val="905"/>
    <w:link w:val="1142"/>
    <w:qFormat/>
    <w:pPr>
      <w:pBdr/>
      <w:spacing/>
      <w:ind/>
    </w:pPr>
    <w:rPr>
      <w:rFonts w:ascii="Arial" w:hAnsi="Arial" w:cs="Arial" w:eastAsiaTheme="minorEastAsia"/>
      <w:color w:val="000000"/>
      <w:sz w:val="20"/>
      <w:szCs w:val="20"/>
      <w:lang w:eastAsia="pt-BR"/>
    </w:rPr>
  </w:style>
  <w:style w:type="paragraph" w:styleId="1148" w:customStyle="1">
    <w:name w:val="Nível 2 -Red"/>
    <w:basedOn w:val="1142"/>
    <w:link w:val="1150"/>
    <w:qFormat/>
    <w:pPr>
      <w:pBdr/>
      <w:spacing/>
      <w:ind/>
    </w:pPr>
    <w:rPr>
      <w:i/>
      <w:iCs/>
      <w:color w:val="ff0000"/>
    </w:rPr>
  </w:style>
  <w:style w:type="paragraph" w:styleId="1149" w:customStyle="1">
    <w:name w:val="Nível 3-R"/>
    <w:basedOn w:val="1143"/>
    <w:link w:val="1152"/>
    <w:qFormat/>
    <w:pPr>
      <w:pBdr/>
      <w:spacing/>
      <w:ind/>
    </w:pPr>
    <w:rPr>
      <w:i/>
      <w:iCs/>
      <w:color w:val="ff0000"/>
    </w:rPr>
  </w:style>
  <w:style w:type="character" w:styleId="1150" w:customStyle="1">
    <w:name w:val="Nível 2 -Red Char"/>
    <w:basedOn w:val="1147"/>
    <w:link w:val="1148"/>
    <w:qFormat/>
    <w:pPr>
      <w:pBdr/>
      <w:spacing/>
      <w:ind/>
    </w:pPr>
    <w:rPr>
      <w:rFonts w:ascii="Arial" w:hAnsi="Arial" w:cs="Arial" w:eastAsiaTheme="minorEastAsia"/>
      <w:i/>
      <w:iCs/>
      <w:color w:val="ff0000"/>
      <w:sz w:val="20"/>
      <w:szCs w:val="20"/>
      <w:lang w:eastAsia="pt-BR"/>
    </w:rPr>
  </w:style>
  <w:style w:type="character" w:styleId="1151" w:customStyle="1">
    <w:name w:val="Nivel 3 Char"/>
    <w:basedOn w:val="905"/>
    <w:link w:val="1143"/>
    <w:qFormat/>
    <w:pPr>
      <w:pBdr/>
      <w:spacing/>
      <w:ind/>
    </w:pPr>
    <w:rPr>
      <w:rFonts w:ascii="Arial" w:hAnsi="Arial" w:cs="Arial" w:eastAsiaTheme="minorEastAsia"/>
      <w:color w:val="000000"/>
      <w:sz w:val="20"/>
      <w:szCs w:val="20"/>
      <w:lang w:eastAsia="pt-BR"/>
    </w:rPr>
  </w:style>
  <w:style w:type="character" w:styleId="1152" w:customStyle="1">
    <w:name w:val="Nível 3-R Char"/>
    <w:basedOn w:val="1151"/>
    <w:link w:val="1149"/>
    <w:qFormat/>
    <w:pPr>
      <w:pBdr/>
      <w:spacing/>
      <w:ind/>
    </w:pPr>
    <w:rPr>
      <w:rFonts w:ascii="Arial" w:hAnsi="Arial" w:cs="Arial" w:eastAsiaTheme="minorEastAsia"/>
      <w:i/>
      <w:iCs/>
      <w:color w:val="ff0000"/>
      <w:sz w:val="20"/>
      <w:szCs w:val="20"/>
      <w:lang w:eastAsia="pt-BR"/>
    </w:rPr>
  </w:style>
  <w:style w:type="character" w:styleId="1153" w:customStyle="1">
    <w:name w:val="Nivel 01 Char"/>
    <w:basedOn w:val="966"/>
    <w:link w:val="1141"/>
    <w:qFormat/>
    <w:pPr>
      <w:pBdr/>
      <w:spacing/>
      <w:ind/>
    </w:pPr>
    <w:rPr>
      <w:rFonts w:ascii="Arial" w:hAnsi="Arial" w:cs="Arial" w:eastAsiaTheme="majorEastAsia"/>
      <w:b/>
      <w:bCs/>
      <w:sz w:val="24"/>
      <w:szCs w:val="24"/>
      <w:u w:val="single"/>
      <w:lang w:val="pt-PT" w:eastAsia="pt-BR"/>
    </w:rPr>
  </w:style>
  <w:style w:type="character" w:styleId="1154" w:customStyle="1">
    <w:name w:val="normaltextrun"/>
    <w:basedOn w:val="905"/>
    <w:pPr>
      <w:pBdr/>
      <w:spacing/>
      <w:ind/>
    </w:pPr>
  </w:style>
  <w:style w:type="character" w:styleId="1155" w:customStyle="1">
    <w:name w:val="eop"/>
    <w:basedOn w:val="905"/>
    <w:pPr>
      <w:pBdr/>
      <w:spacing/>
      <w:ind/>
    </w:pPr>
  </w:style>
  <w:style w:type="paragraph" w:styleId="1156" w:customStyle="1">
    <w:name w:val="ou"/>
    <w:basedOn w:val="995"/>
    <w:link w:val="1157"/>
    <w:qFormat/>
    <w:pPr>
      <w:pBdr/>
      <w:spacing w:after="60" w:before="60" w:line="259" w:lineRule="auto"/>
      <w:ind w:left="0"/>
      <w:contextualSpacing w:val="false"/>
      <w:jc w:val="center"/>
    </w:pPr>
    <w:rPr>
      <w:rFonts w:cs="Arial" w:eastAsiaTheme="minorHAnsi"/>
      <w:b/>
      <w:bCs/>
      <w:i/>
      <w:iCs/>
      <w:color w:val="ff0000"/>
      <w:sz w:val="24"/>
      <w:szCs w:val="24"/>
      <w:u w:val="single"/>
    </w:rPr>
  </w:style>
  <w:style w:type="character" w:styleId="1157" w:customStyle="1">
    <w:name w:val="ou Char"/>
    <w:basedOn w:val="905"/>
    <w:link w:val="1156"/>
    <w:pPr>
      <w:pBdr/>
      <w:spacing/>
      <w:ind/>
    </w:pPr>
    <w:rPr>
      <w:rFonts w:ascii="Arial" w:hAnsi="Arial" w:cs="Arial"/>
      <w:b/>
      <w:bCs/>
      <w:i/>
      <w:iCs/>
      <w:color w:val="ff0000"/>
      <w:sz w:val="24"/>
      <w:szCs w:val="24"/>
      <w:u w:val="single"/>
      <w:lang w:eastAsia="pt-BR"/>
    </w:rPr>
  </w:style>
  <w:style w:type="paragraph" w:styleId="1158" w:customStyle="1">
    <w:name w:val="Nível 4-R"/>
    <w:basedOn w:val="1144"/>
    <w:link w:val="1159"/>
    <w:qFormat/>
    <w:pPr>
      <w:numPr>
        <w:numId w:val="1"/>
      </w:numPr>
      <w:pBdr/>
      <w:spacing/>
      <w:ind w:firstLine="0" w:left="567"/>
    </w:pPr>
    <w:rPr>
      <w:i/>
      <w:iCs/>
      <w:color w:val="ff0000"/>
    </w:rPr>
  </w:style>
  <w:style w:type="character" w:styleId="1159" w:customStyle="1">
    <w:name w:val="Nível 4-R Char"/>
    <w:basedOn w:val="1146"/>
    <w:link w:val="1158"/>
    <w:pPr>
      <w:pBdr/>
      <w:spacing/>
      <w:ind/>
    </w:pPr>
    <w:rPr>
      <w:rFonts w:ascii="Arial" w:hAnsi="Arial" w:cs="Arial" w:eastAsiaTheme="minorEastAsia"/>
      <w:i/>
      <w:iCs/>
      <w:color w:val="ff0000"/>
      <w:sz w:val="20"/>
      <w:szCs w:val="20"/>
      <w:lang w:eastAsia="pt-BR"/>
    </w:rPr>
  </w:style>
  <w:style w:type="paragraph" w:styleId="1160" w:customStyle="1">
    <w:name w:val="Nível 2 Opcional"/>
    <w:basedOn w:val="1142"/>
    <w:link w:val="1161"/>
    <w:pPr>
      <w:numPr>
        <w:ilvl w:val="0"/>
        <w:numId w:val="0"/>
      </w:numPr>
      <w:pBdr/>
      <w:spacing/>
      <w:ind w:hanging="432" w:left="432"/>
    </w:pPr>
    <w:rPr>
      <w:rFonts w:eastAsia="Times New Roman"/>
      <w:i/>
      <w:color w:val="ff0000"/>
    </w:rPr>
  </w:style>
  <w:style w:type="character" w:styleId="1161" w:customStyle="1">
    <w:name w:val="Nível 2 Opcional Char"/>
    <w:basedOn w:val="905"/>
    <w:link w:val="1160"/>
    <w:pPr>
      <w:pBdr/>
      <w:spacing/>
      <w:ind/>
    </w:pPr>
    <w:rPr>
      <w:rFonts w:ascii="Arial" w:hAnsi="Arial" w:eastAsia="Times New Roman" w:cs="Arial"/>
      <w:i/>
      <w:color w:val="ff0000"/>
      <w:sz w:val="20"/>
      <w:szCs w:val="20"/>
      <w:lang w:eastAsia="pt-BR"/>
    </w:rPr>
  </w:style>
  <w:style w:type="paragraph" w:styleId="1162">
    <w:name w:val="annotation subject"/>
    <w:basedOn w:val="1139"/>
    <w:next w:val="1139"/>
    <w:link w:val="1163"/>
    <w:uiPriority w:val="99"/>
    <w:semiHidden/>
    <w:unhideWhenUsed/>
    <w:pPr>
      <w:pBdr/>
      <w:spacing w:after="120" w:before="120"/>
      <w:ind/>
      <w:jc w:val="both"/>
    </w:pPr>
    <w:rPr>
      <w:rFonts w:ascii="Arial" w:hAnsi="Arial" w:eastAsia="Times New Roman" w:cstheme="minorBidi"/>
      <w:b/>
      <w:bCs/>
    </w:rPr>
  </w:style>
  <w:style w:type="character" w:styleId="1163" w:customStyle="1">
    <w:name w:val="Assunto do comentário Char"/>
    <w:basedOn w:val="1140"/>
    <w:link w:val="1162"/>
    <w:uiPriority w:val="99"/>
    <w:semiHidden/>
    <w:pPr>
      <w:pBdr/>
      <w:spacing/>
      <w:ind/>
    </w:pPr>
    <w:rPr>
      <w:rFonts w:ascii="Arial" w:hAnsi="Arial" w:eastAsia="Times New Roman" w:cs="Tahoma"/>
      <w:b/>
      <w:bCs/>
      <w:sz w:val="20"/>
      <w:szCs w:val="20"/>
      <w:lang w:eastAsia="pt-BR"/>
    </w:rPr>
  </w:style>
  <w:style w:type="paragraph" w:styleId="1164" w:customStyle="1">
    <w:name w:val="Nível 3"/>
    <w:basedOn w:val="1149"/>
    <w:link w:val="1166"/>
    <w:qFormat/>
    <w:pPr>
      <w:numPr>
        <w:numId w:val="14"/>
      </w:numPr>
      <w:pBdr/>
      <w:spacing/>
      <w:ind w:firstLine="0" w:left="284"/>
    </w:pPr>
    <w:rPr>
      <w:rFonts w:eastAsia="Times New Roman"/>
      <w:i w:val="0"/>
      <w:iCs w:val="0"/>
    </w:rPr>
  </w:style>
  <w:style w:type="paragraph" w:styleId="1165" w:customStyle="1">
    <w:name w:val="Nível 4"/>
    <w:basedOn w:val="1164"/>
    <w:link w:val="1168"/>
    <w:qFormat/>
    <w:pPr>
      <w:numPr>
        <w:ilvl w:val="0"/>
        <w:numId w:val="0"/>
      </w:numPr>
      <w:pBdr/>
      <w:spacing/>
      <w:ind w:left="567"/>
    </w:pPr>
  </w:style>
  <w:style w:type="character" w:styleId="1166" w:customStyle="1">
    <w:name w:val="Nível 3 Char"/>
    <w:basedOn w:val="1152"/>
    <w:link w:val="1164"/>
    <w:pPr>
      <w:pBdr/>
      <w:spacing/>
      <w:ind/>
    </w:pPr>
    <w:rPr>
      <w:rFonts w:ascii="Arial" w:hAnsi="Arial" w:eastAsia="Times New Roman" w:cs="Arial"/>
      <w:i w:val="0"/>
      <w:iCs w:val="0"/>
      <w:color w:val="ff0000"/>
      <w:sz w:val="20"/>
      <w:szCs w:val="20"/>
      <w:lang w:eastAsia="pt-BR"/>
    </w:rPr>
  </w:style>
  <w:style w:type="paragraph" w:styleId="1167" w:customStyle="1">
    <w:name w:val="SubTitNN"/>
    <w:basedOn w:val="895"/>
    <w:link w:val="1169"/>
    <w:qFormat/>
    <w:pPr>
      <w:pBdr/>
      <w:spacing w:before="240" w:line="276" w:lineRule="auto"/>
      <w:ind/>
    </w:pPr>
    <w:rPr>
      <w:rFonts w:cs="Arial"/>
      <w:b/>
      <w:bCs/>
      <w:iCs/>
      <w:sz w:val="20"/>
      <w:szCs w:val="20"/>
    </w:rPr>
  </w:style>
  <w:style w:type="character" w:styleId="1168" w:customStyle="1">
    <w:name w:val="Nível 4 Char"/>
    <w:basedOn w:val="1166"/>
    <w:link w:val="1165"/>
    <w:pPr>
      <w:pBdr/>
      <w:spacing/>
      <w:ind/>
    </w:pPr>
    <w:rPr>
      <w:rFonts w:ascii="Arial" w:hAnsi="Arial" w:eastAsia="Times New Roman" w:cs="Arial"/>
      <w:i w:val="0"/>
      <w:iCs w:val="0"/>
      <w:color w:val="ff0000"/>
      <w:sz w:val="20"/>
      <w:szCs w:val="20"/>
      <w:lang w:eastAsia="pt-BR"/>
    </w:rPr>
  </w:style>
  <w:style w:type="character" w:styleId="1169" w:customStyle="1">
    <w:name w:val="SubTitNN Char"/>
    <w:basedOn w:val="905"/>
    <w:link w:val="1167"/>
    <w:pPr>
      <w:pBdr/>
      <w:spacing/>
      <w:ind/>
    </w:pPr>
    <w:rPr>
      <w:rFonts w:ascii="Arial" w:hAnsi="Arial" w:eastAsia="Times New Roman" w:cs="Arial"/>
      <w:b/>
      <w:bCs/>
      <w:iCs/>
      <w:sz w:val="20"/>
      <w:szCs w:val="20"/>
      <w:lang w:eastAsia="pt-BR"/>
    </w:rPr>
  </w:style>
  <w:style w:type="character" w:styleId="1170" w:customStyle="1">
    <w:name w:val="Parágrafo da Lista Char"/>
    <w:basedOn w:val="905"/>
    <w:link w:val="995"/>
    <w:uiPriority w:val="34"/>
    <w:qFormat/>
    <w:pPr>
      <w:pBdr/>
      <w:spacing/>
      <w:ind/>
    </w:pPr>
    <w:rPr>
      <w:rFonts w:ascii="Arial" w:hAnsi="Arial" w:eastAsia="Times New Roman"/>
      <w:sz w:val="18"/>
      <w:szCs w:val="18"/>
      <w:lang w:eastAsia="pt-BR"/>
    </w:rPr>
  </w:style>
  <w:style w:type="character" w:styleId="1171" w:customStyle="1">
    <w:name w:val="tex3"/>
    <w:basedOn w:val="905"/>
    <w:pPr>
      <w:pBdr/>
      <w:spacing/>
      <w:ind/>
    </w:pPr>
  </w:style>
  <w:style w:type="paragraph" w:styleId="1172" w:customStyle="1">
    <w:name w:val="Conteúdo da tabela"/>
    <w:qFormat/>
    <w:pPr>
      <w:widowControl w:val="false"/>
      <w:suppressLineNumbers w:val="true"/>
      <w:pBdr>
        <w:top w:val="none" w:color="000000" w:sz="4" w:space="0"/>
        <w:left w:val="none" w:color="000000" w:sz="4" w:space="0"/>
        <w:bottom w:val="none" w:color="000000" w:sz="4" w:space="0"/>
        <w:right w:val="none" w:color="000000" w:sz="4" w:space="0"/>
        <w:between w:val="none" w:color="000000" w:sz="4" w:space="0"/>
      </w:pBdr>
      <w:spacing/>
      <w:ind/>
    </w:pPr>
    <w:rPr>
      <w:rFonts w:ascii="Times New Roman" w:hAnsi="Times New Roman" w:eastAsia="Times New Roman" w:cs="Times New Roman"/>
      <w:sz w:val="24"/>
      <w:szCs w:val="24"/>
      <w:lang w:eastAsia="pt-BR"/>
    </w:rPr>
  </w:style>
  <w:style w:type="table" w:styleId="1173" w:customStyle="1">
    <w:name w:val="5"/>
    <w:pPr>
      <w:pBdr>
        <w:top w:val="none" w:color="000000" w:sz="4" w:space="0"/>
        <w:left w:val="none" w:color="000000" w:sz="4" w:space="0"/>
        <w:bottom w:val="none" w:color="000000" w:sz="4" w:space="0"/>
        <w:right w:val="none" w:color="000000" w:sz="4" w:space="0"/>
        <w:between w:val="none" w:color="000000" w:sz="4" w:space="0"/>
      </w:pBdr>
      <w:spacing/>
      <w:ind/>
    </w:pPr>
    <w:rPr>
      <w:rFonts w:ascii="Arial" w:hAnsi="Arial" w:eastAsia="Arial" w:cs="Arial"/>
      <w:sz w:val="20"/>
      <w:szCs w:val="20"/>
      <w:lang w:val="en-US" w:eastAsia="pt-BR"/>
    </w:rPr>
    <w:tblPr>
      <w:tblStyleRowBandSize w:val="1"/>
      <w:tblStyleColBandSize w:val="1"/>
      <w:tblInd w:w="0" w:type="dxa"/>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
    <w:tcPr>
      <w:tcBorders/>
      <w:tcW w:w="0" w:type="auto"/>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s://cnetmobile.estaleiro.serpro.gov.br/comprasnet-web/public/compras" TargetMode="External"/><Relationship Id="rId13" Type="http://schemas.openxmlformats.org/officeDocument/2006/relationships/hyperlink" Target="https://transparencia.betha.cloud/"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19-2022/2021/lei/L14133.htm?origin=instituicao" TargetMode="External"/><Relationship Id="rId16" Type="http://schemas.openxmlformats.org/officeDocument/2006/relationships/hyperlink" Target="http://www.licitacoes.caixa.gov.br/" TargetMode="External"/><Relationship Id="rId17" Type="http://schemas.openxmlformats.org/officeDocument/2006/relationships/hyperlink" Target="http://www.riodasflores.rj.gov.br/" TargetMode="External"/><Relationship Id="rId18" Type="http://schemas.openxmlformats.org/officeDocument/2006/relationships/hyperlink" Target="mailto:secadministracao@riodasflores.rj.gov.br" TargetMode="External"/><Relationship Id="rId19" Type="http://schemas.openxmlformats.org/officeDocument/2006/relationships/hyperlink" Target="http://www.gov.br/compras"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5/decreto/d8539.htm" TargetMode="External"/><Relationship Id="rId34"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eis" TargetMode="External"/><Relationship Id="rId38" Type="http://schemas.openxmlformats.org/officeDocument/2006/relationships/hyperlink" Target="https://www.portaltransparencia.gov.br/sancoes/cnep" TargetMode="External"/><Relationship Id="rId39" Type="http://schemas.openxmlformats.org/officeDocument/2006/relationships/hyperlink" Target="https://www.planalto.gov.br/ccivil_03/leis/l8429.htm" TargetMode="External"/><Relationship Id="rId4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5-2018/2016/decreto/d8660.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riodasflores.rj.gov.br" TargetMode="External"/><Relationship Id="rId57"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mailto:licitacao@riodasflores.rj.gov.br" TargetMode="External"/><Relationship Id="rId63" Type="http://schemas.openxmlformats.org/officeDocument/2006/relationships/hyperlink" Target="http://www.riodasflores.rj.gov.br" TargetMode="External"/><Relationship Id="rId64" Type="http://schemas.openxmlformats.org/officeDocument/2006/relationships/hyperlink" Target="mailto:seceducacao@riodasflores.rj.gov.br"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25art159"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leis/l8078compilado.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1" Type="http://schemas.openxmlformats.org/officeDocument/2006/relationships/hyperlink" Target="https://www.planalto.gov.br/ccivil_03/_ato2011-2014/2012/decreto/d7724.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59AF1-A7D3-4E46-934B-81F94F700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ONLYOFFICE/9.1.0.167</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dc:description/>
  <dc:language>pt-BR</dc:language>
  <cp:revision>56</cp:revision>
  <dcterms:created xsi:type="dcterms:W3CDTF">2024-03-27T19:44:00Z</dcterms:created>
  <dcterms:modified xsi:type="dcterms:W3CDTF">2026-09-17T18:50:15Z</dcterms:modified>
</cp:coreProperties>
</file>