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w:hAnsi="Arial"/>
          <w:b/>
          <w:bCs/>
          <w:sz w:val="20"/>
          <w:szCs w:val="20"/>
        </w:rPr>
      </w:pPr>
      <w:r>
        <w:rPr>
          <w:rFonts w:ascii="Arial" w:hAnsi="Arial"/>
          <w:b/>
          <w:bCs/>
          <w:sz w:val="20"/>
          <w:szCs w:val="20"/>
        </w:rPr>
        <w:t>CÂMARA MUNICIPAL DE QUISSAMÃ</w:t>
      </w:r>
    </w:p>
    <w:p>
      <w:pPr>
        <w:pStyle w:val="Normal"/>
        <w:jc w:val="both"/>
        <w:rPr>
          <w:rFonts w:ascii="Arial" w:hAnsi="Arial" w:cs="Arial"/>
          <w:b/>
          <w:bCs/>
          <w:color w:val="000000"/>
          <w:sz w:val="20"/>
          <w:szCs w:val="20"/>
        </w:rPr>
      </w:pPr>
      <w:r>
        <w:rPr>
          <w:rFonts w:ascii="Arial" w:hAnsi="Arial"/>
          <w:b/>
          <w:bCs/>
          <w:sz w:val="20"/>
          <w:szCs w:val="20"/>
        </w:rPr>
        <w:t xml:space="preserve">EDITAL </w:t>
      </w:r>
      <w:r>
        <w:rPr>
          <w:rFonts w:cs="Arial" w:ascii="Arial" w:hAnsi="Arial"/>
          <w:b/>
          <w:bCs/>
          <w:sz w:val="20"/>
          <w:szCs w:val="20"/>
        </w:rPr>
        <w:t>PREGÃO ELETRÔNICO Nº 005/</w:t>
      </w:r>
      <w:r>
        <w:rPr>
          <w:rFonts w:cs="Arial" w:ascii="Arial" w:hAnsi="Arial"/>
          <w:b/>
          <w:bCs/>
          <w:color w:val="000000"/>
          <w:sz w:val="20"/>
          <w:szCs w:val="20"/>
        </w:rPr>
        <w:t>2026 SISTEMA DE REGISTRO DE PREÇOS</w:t>
      </w:r>
    </w:p>
    <w:p>
      <w:pPr>
        <w:pStyle w:val="Normal"/>
        <w:jc w:val="both"/>
        <w:rPr>
          <w:rFonts w:ascii="Arial" w:hAnsi="Arial"/>
          <w:sz w:val="20"/>
          <w:szCs w:val="20"/>
        </w:rPr>
      </w:pPr>
      <w:r>
        <w:rPr>
          <w:rFonts w:ascii="Arial" w:hAnsi="Arial"/>
          <w:sz w:val="20"/>
          <w:szCs w:val="20"/>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center"/>
        <w:rPr>
          <w:rFonts w:ascii="Arial" w:hAnsi="Arial"/>
          <w:sz w:val="20"/>
          <w:szCs w:val="20"/>
        </w:rPr>
      </w:pPr>
      <w:bookmarkStart w:id="0" w:name="__UnoMark__10049_904507885"/>
      <w:bookmarkEnd w:id="0"/>
      <w:r>
        <w:rPr>
          <w:rFonts w:ascii="Arial" w:hAnsi="Arial"/>
          <w:sz w:val="20"/>
          <w:szCs w:val="20"/>
        </w:rPr>
        <w:t>ANEXO IV</w:t>
      </w:r>
    </w:p>
    <w:p>
      <w:pPr>
        <w:pStyle w:val="Normal"/>
        <w:jc w:val="both"/>
        <w:rPr/>
      </w:pPr>
      <w:r>
        <w:rPr/>
      </w:r>
    </w:p>
    <w:p>
      <w:pPr>
        <w:pStyle w:val="Normal"/>
        <w:jc w:val="both"/>
        <w:rPr/>
      </w:pPr>
      <w:r>
        <w:rPr/>
      </w:r>
    </w:p>
    <w:p>
      <w:pPr>
        <w:pStyle w:val="Normal"/>
        <w:jc w:val="both"/>
        <w:rPr>
          <w:rFonts w:ascii="Arial" w:hAnsi="Arial"/>
          <w:sz w:val="20"/>
          <w:szCs w:val="20"/>
        </w:rPr>
      </w:pPr>
      <w:r>
        <w:rPr>
          <w:rFonts w:ascii="Arial" w:hAnsi="Arial"/>
          <w:sz w:val="20"/>
          <w:szCs w:val="20"/>
        </w:rPr>
        <w:t xml:space="preserve">MINUTA </w:t>
      </w:r>
    </w:p>
    <w:p>
      <w:pPr>
        <w:pStyle w:val="Normal"/>
        <w:jc w:val="both"/>
        <w:rPr>
          <w:rFonts w:ascii="Arial" w:hAnsi="Arial"/>
          <w:sz w:val="20"/>
          <w:szCs w:val="20"/>
        </w:rPr>
      </w:pPr>
      <w:r>
        <w:rPr>
          <w:rFonts w:ascii="Arial" w:hAnsi="Arial"/>
          <w:sz w:val="20"/>
          <w:szCs w:val="20"/>
        </w:rPr>
        <w:t xml:space="preserve">ATA DE REGISTRO DE PREÇOS Nº _____0_/2026. Câmara Municipal de Quissamã/RJ </w:t>
      </w:r>
    </w:p>
    <w:p>
      <w:pPr>
        <w:pStyle w:val="Normal"/>
        <w:jc w:val="both"/>
        <w:rPr>
          <w:rFonts w:ascii="Arial" w:hAnsi="Arial"/>
          <w:sz w:val="20"/>
          <w:szCs w:val="20"/>
        </w:rPr>
      </w:pPr>
      <w:r>
        <w:rPr>
          <w:rFonts w:ascii="Arial" w:hAnsi="Arial"/>
          <w:sz w:val="20"/>
          <w:szCs w:val="20"/>
        </w:rPr>
        <w:t>Processo Administrativo nº ___/202</w:t>
      </w:r>
      <w:r>
        <w:rPr>
          <w:rFonts w:ascii="Arial" w:hAnsi="Arial"/>
          <w:sz w:val="20"/>
          <w:szCs w:val="20"/>
        </w:rPr>
        <w:t>5</w:t>
      </w:r>
      <w:r>
        <w:rPr>
          <w:rFonts w:ascii="Arial" w:hAnsi="Arial"/>
          <w:sz w:val="20"/>
          <w:szCs w:val="20"/>
        </w:rPr>
        <w:t xml:space="preserve">. </w:t>
      </w:r>
    </w:p>
    <w:p>
      <w:pPr>
        <w:pStyle w:val="Normal"/>
        <w:jc w:val="both"/>
        <w:rPr>
          <w:rFonts w:ascii="Arial" w:hAnsi="Arial"/>
          <w:sz w:val="20"/>
          <w:szCs w:val="20"/>
        </w:rPr>
      </w:pPr>
      <w:r>
        <w:rPr>
          <w:rFonts w:ascii="Arial" w:hAnsi="Arial"/>
          <w:sz w:val="20"/>
          <w:szCs w:val="20"/>
        </w:rPr>
        <w:t xml:space="preserve">Pregão Eletrônico nº 00_/2026.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Câmara Municipal de Quissamã/RJ, inscrita no CNPJ/MF sob o nº 31.505.068/0001-56, com sede na Av. Francisco de Assis Carneiro da Silva, 497 – Alto Alegre, CEP 28.735-000 – Quissamã/RJ, neste ato representado pela Presidente da Câmara considerando o julgamento da licitação na modalidade de pregão, na forma eletrônica, para REGISTRO DE PREÇOS nº __/2026, processo administrativo n.º ______202_, RESOLVE registrar os preços da empresa indicada e qualificada nesta ATA, de acordo com a classificação por ela alcançada e na quantidade cotada, atendendo as condições previstas no Edital de licitação, sujeitando-se as partes às normas constantes na Lei nº 14.133, de 1º de abril de 2021, e demais legislação aplicável, e em conformidade com as disposições a seguir: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 DO OBJETO</w:t>
      </w:r>
    </w:p>
    <w:p>
      <w:pPr>
        <w:pStyle w:val="Normal"/>
        <w:jc w:val="both"/>
        <w:rPr>
          <w:rFonts w:ascii="Arial" w:hAnsi="Arial"/>
          <w:sz w:val="20"/>
          <w:szCs w:val="20"/>
        </w:rPr>
      </w:pPr>
      <w:r>
        <w:rPr>
          <w:rFonts w:ascii="Arial" w:hAnsi="Arial"/>
          <w:sz w:val="20"/>
          <w:szCs w:val="20"/>
        </w:rPr>
        <w:t>1.1. A presente Ata tem por objeto o Registro de Preços para a _______________________ para atender as demandas da Câmara Municipal de Quissamã/RJ, especificado(s) no(s) item(ns) do Termo de Referência, anexo do edital de licitação _______/2026, que é parte integrante desta Ata, assim como as propostas cujos preços tenham sido registrados, independentemente de transcrição.</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2.  DOS PREÇOS, ESPECIFICAÇÕES E QUANTITATIVOS</w:t>
      </w:r>
    </w:p>
    <w:p>
      <w:pPr>
        <w:pStyle w:val="Normal"/>
        <w:jc w:val="both"/>
        <w:rPr>
          <w:rFonts w:ascii="Arial" w:hAnsi="Arial"/>
          <w:sz w:val="20"/>
          <w:szCs w:val="20"/>
        </w:rPr>
      </w:pPr>
      <w:r>
        <w:rPr>
          <w:rFonts w:ascii="Arial" w:hAnsi="Arial"/>
          <w:sz w:val="20"/>
          <w:szCs w:val="20"/>
        </w:rPr>
        <w:t>2.1. O preço registrado, as especificações do objeto, as quantidades de cada item, fornecedor(es) e as demais condições ofertadas na(s) proposta(s) são as que seguem:</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ascii="Arial" w:hAnsi="Arial"/>
          <w:sz w:val="20"/>
          <w:szCs w:val="20"/>
        </w:rPr>
        <w:t>ITENS E VALORES ESTIMADOS</w:t>
      </w:r>
    </w:p>
    <w:p>
      <w:pPr>
        <w:pStyle w:val="Normal"/>
        <w:jc w:val="both"/>
        <w:rPr>
          <w:rFonts w:ascii="Arial" w:hAnsi="Arial"/>
        </w:rPr>
      </w:pPr>
      <w:r>
        <w:rPr>
          <w:rFonts w:ascii="Arial" w:hAnsi="Arial"/>
        </w:rPr>
      </w:r>
    </w:p>
    <w:p>
      <w:pPr>
        <w:pStyle w:val="Normal"/>
        <w:jc w:val="both"/>
        <w:rPr/>
      </w:pPr>
      <w:r>
        <w:rPr/>
      </w:r>
    </w:p>
    <w:tbl>
      <w:tblPr>
        <w:tblW w:w="9693" w:type="dxa"/>
        <w:jc w:val="left"/>
        <w:tblInd w:w="38" w:type="dxa"/>
        <w:tblLayout w:type="fixed"/>
        <w:tblCellMar>
          <w:top w:w="55" w:type="dxa"/>
          <w:left w:w="33" w:type="dxa"/>
          <w:bottom w:w="55" w:type="dxa"/>
          <w:right w:w="55" w:type="dxa"/>
        </w:tblCellMar>
      </w:tblPr>
      <w:tblGrid>
        <w:gridCol w:w="599"/>
        <w:gridCol w:w="2084"/>
        <w:gridCol w:w="972"/>
        <w:gridCol w:w="1305"/>
        <w:gridCol w:w="1245"/>
        <w:gridCol w:w="1250"/>
        <w:gridCol w:w="1077"/>
        <w:gridCol w:w="1161"/>
      </w:tblGrid>
      <w:tr>
        <w:trPr/>
        <w:tc>
          <w:tcPr>
            <w:tcW w:w="599" w:type="dxa"/>
            <w:tcBorders>
              <w:top w:val="single" w:sz="2" w:space="0" w:color="000001"/>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ITEM</w:t>
            </w:r>
          </w:p>
        </w:tc>
        <w:tc>
          <w:tcPr>
            <w:tcW w:w="2084" w:type="dxa"/>
            <w:tcBorders>
              <w:top w:val="single" w:sz="2" w:space="0" w:color="000001"/>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DESCRIÇÃO</w:t>
            </w:r>
          </w:p>
        </w:tc>
        <w:tc>
          <w:tcPr>
            <w:tcW w:w="972" w:type="dxa"/>
            <w:tcBorders>
              <w:top w:val="single" w:sz="2" w:space="0" w:color="000001"/>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UNIDADE</w:t>
            </w:r>
          </w:p>
        </w:tc>
        <w:tc>
          <w:tcPr>
            <w:tcW w:w="1305" w:type="dxa"/>
            <w:tcBorders>
              <w:top w:val="single" w:sz="2" w:space="0" w:color="000001"/>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QUANTIDADE DE POSTOS</w:t>
            </w:r>
          </w:p>
        </w:tc>
        <w:tc>
          <w:tcPr>
            <w:tcW w:w="1245" w:type="dxa"/>
            <w:tcBorders>
              <w:top w:val="single" w:sz="2" w:space="0" w:color="000001"/>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VALOR MENSAL (UNITÁRIO)</w:t>
            </w:r>
          </w:p>
        </w:tc>
        <w:tc>
          <w:tcPr>
            <w:tcW w:w="1250" w:type="dxa"/>
            <w:tcBorders>
              <w:top w:val="single" w:sz="2" w:space="0" w:color="000001"/>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VALOR TOTAL (MENSAL)</w:t>
            </w:r>
          </w:p>
        </w:tc>
        <w:tc>
          <w:tcPr>
            <w:tcW w:w="1077" w:type="dxa"/>
            <w:tcBorders>
              <w:top w:val="single" w:sz="2" w:space="0" w:color="000001"/>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PERÍODO (MÊS)</w:t>
            </w:r>
          </w:p>
        </w:tc>
        <w:tc>
          <w:tcPr>
            <w:tcW w:w="1161" w:type="dxa"/>
            <w:tcBorders>
              <w:top w:val="single" w:sz="2" w:space="0" w:color="000001"/>
              <w:left w:val="single" w:sz="2" w:space="0" w:color="000001"/>
              <w:bottom w:val="single" w:sz="2" w:space="0" w:color="000001"/>
              <w:right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VALOR GLOBAL</w:t>
            </w:r>
          </w:p>
        </w:tc>
      </w:tr>
      <w:tr>
        <w:trPr/>
        <w:tc>
          <w:tcPr>
            <w:tcW w:w="599"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1</w:t>
            </w:r>
          </w:p>
        </w:tc>
        <w:tc>
          <w:tcPr>
            <w:tcW w:w="9094" w:type="dxa"/>
            <w:gridSpan w:val="7"/>
            <w:tcBorders>
              <w:left w:val="single" w:sz="2" w:space="0" w:color="000001"/>
              <w:bottom w:val="single" w:sz="2" w:space="0" w:color="000001"/>
              <w:right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SERVIÇOS DE FACILITIES</w:t>
            </w:r>
          </w:p>
        </w:tc>
      </w:tr>
      <w:tr>
        <w:trPr/>
        <w:tc>
          <w:tcPr>
            <w:tcW w:w="599"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1.1</w:t>
            </w:r>
          </w:p>
        </w:tc>
        <w:tc>
          <w:tcPr>
            <w:tcW w:w="2084"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Profissional de Manutenção predial</w:t>
            </w:r>
          </w:p>
        </w:tc>
        <w:tc>
          <w:tcPr>
            <w:tcW w:w="972"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POSTO DE SERVIÇO</w:t>
            </w:r>
          </w:p>
        </w:tc>
        <w:tc>
          <w:tcPr>
            <w:tcW w:w="1305" w:type="dxa"/>
            <w:tcBorders>
              <w:left w:val="single" w:sz="2" w:space="0" w:color="000001"/>
              <w:bottom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02</w:t>
            </w:r>
          </w:p>
        </w:tc>
        <w:tc>
          <w:tcPr>
            <w:tcW w:w="1245"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c>
          <w:tcPr>
            <w:tcW w:w="1250"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R$</w:t>
            </w:r>
          </w:p>
        </w:tc>
        <w:tc>
          <w:tcPr>
            <w:tcW w:w="1077" w:type="dxa"/>
            <w:tcBorders>
              <w:left w:val="single" w:sz="2" w:space="0" w:color="000001"/>
              <w:bottom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12</w:t>
            </w:r>
          </w:p>
        </w:tc>
        <w:tc>
          <w:tcPr>
            <w:tcW w:w="1161" w:type="dxa"/>
            <w:tcBorders>
              <w:left w:val="single" w:sz="2" w:space="0" w:color="000001"/>
              <w:bottom w:val="single" w:sz="2" w:space="0" w:color="000001"/>
              <w:right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p>
            <w:pPr>
              <w:pStyle w:val="Normal"/>
              <w:jc w:val="both"/>
              <w:rPr>
                <w:rFonts w:ascii="Arial" w:hAnsi="Arial"/>
                <w:color w:val="000000"/>
                <w:sz w:val="16"/>
                <w:szCs w:val="16"/>
              </w:rPr>
            </w:pPr>
            <w:r>
              <w:rPr>
                <w:rFonts w:ascii="Arial" w:hAnsi="Arial"/>
                <w:color w:val="000000"/>
                <w:sz w:val="16"/>
                <w:szCs w:val="16"/>
              </w:rPr>
            </w:r>
          </w:p>
        </w:tc>
      </w:tr>
      <w:tr>
        <w:trPr/>
        <w:tc>
          <w:tcPr>
            <w:tcW w:w="599"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1.2</w:t>
            </w:r>
          </w:p>
        </w:tc>
        <w:tc>
          <w:tcPr>
            <w:tcW w:w="2084"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Servente/Ajudante de manutenção predial</w:t>
            </w:r>
          </w:p>
        </w:tc>
        <w:tc>
          <w:tcPr>
            <w:tcW w:w="972"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POSTO DE SERVIÇO</w:t>
            </w:r>
          </w:p>
        </w:tc>
        <w:tc>
          <w:tcPr>
            <w:tcW w:w="1305" w:type="dxa"/>
            <w:tcBorders>
              <w:left w:val="single" w:sz="2" w:space="0" w:color="000001"/>
              <w:bottom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02</w:t>
            </w:r>
          </w:p>
        </w:tc>
        <w:tc>
          <w:tcPr>
            <w:tcW w:w="1245"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c>
          <w:tcPr>
            <w:tcW w:w="1250"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R$</w:t>
            </w:r>
          </w:p>
        </w:tc>
        <w:tc>
          <w:tcPr>
            <w:tcW w:w="1077" w:type="dxa"/>
            <w:tcBorders>
              <w:left w:val="single" w:sz="2" w:space="0" w:color="000001"/>
              <w:bottom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12</w:t>
            </w:r>
          </w:p>
        </w:tc>
        <w:tc>
          <w:tcPr>
            <w:tcW w:w="1161" w:type="dxa"/>
            <w:tcBorders>
              <w:left w:val="single" w:sz="2" w:space="0" w:color="000001"/>
              <w:bottom w:val="single" w:sz="2" w:space="0" w:color="000001"/>
              <w:right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r>
      <w:tr>
        <w:trPr/>
        <w:tc>
          <w:tcPr>
            <w:tcW w:w="599"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1.3</w:t>
            </w:r>
          </w:p>
        </w:tc>
        <w:tc>
          <w:tcPr>
            <w:tcW w:w="2084"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Copeira</w:t>
            </w:r>
          </w:p>
        </w:tc>
        <w:tc>
          <w:tcPr>
            <w:tcW w:w="972"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POSTO DE SERVIÇO</w:t>
            </w:r>
          </w:p>
        </w:tc>
        <w:tc>
          <w:tcPr>
            <w:tcW w:w="1305" w:type="dxa"/>
            <w:tcBorders>
              <w:left w:val="single" w:sz="2" w:space="0" w:color="000001"/>
              <w:bottom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02</w:t>
            </w:r>
          </w:p>
        </w:tc>
        <w:tc>
          <w:tcPr>
            <w:tcW w:w="1245"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c>
          <w:tcPr>
            <w:tcW w:w="1250"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R$</w:t>
            </w:r>
          </w:p>
        </w:tc>
        <w:tc>
          <w:tcPr>
            <w:tcW w:w="1077" w:type="dxa"/>
            <w:tcBorders>
              <w:left w:val="single" w:sz="2" w:space="0" w:color="000001"/>
              <w:bottom w:val="single" w:sz="2" w:space="0" w:color="000001"/>
            </w:tcBorders>
            <w:shd w:fill="FFFFFF" w:val="clear"/>
          </w:tcPr>
          <w:p>
            <w:pPr>
              <w:pStyle w:val="Normal"/>
              <w:jc w:val="center"/>
              <w:rPr>
                <w:rFonts w:ascii="Arial" w:hAnsi="Arial"/>
                <w:color w:val="000000"/>
                <w:sz w:val="16"/>
                <w:szCs w:val="16"/>
              </w:rPr>
            </w:pPr>
            <w:r>
              <w:rPr>
                <w:rFonts w:ascii="Arial" w:hAnsi="Arial"/>
                <w:color w:val="000000"/>
                <w:sz w:val="16"/>
                <w:szCs w:val="16"/>
              </w:rPr>
              <w:t>12</w:t>
            </w:r>
          </w:p>
        </w:tc>
        <w:tc>
          <w:tcPr>
            <w:tcW w:w="1161" w:type="dxa"/>
            <w:tcBorders>
              <w:left w:val="single" w:sz="2" w:space="0" w:color="000001"/>
              <w:bottom w:val="single" w:sz="2" w:space="0" w:color="000001"/>
              <w:right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r>
      <w:tr>
        <w:trPr/>
        <w:tc>
          <w:tcPr>
            <w:tcW w:w="599"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1.4</w:t>
            </w:r>
          </w:p>
        </w:tc>
        <w:tc>
          <w:tcPr>
            <w:tcW w:w="2084"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Motorista</w:t>
            </w:r>
          </w:p>
        </w:tc>
        <w:tc>
          <w:tcPr>
            <w:tcW w:w="972" w:type="dxa"/>
            <w:tcBorders>
              <w:left w:val="single" w:sz="2" w:space="0" w:color="000001"/>
              <w:bottom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POSTO DE SERVIÇO</w:t>
            </w:r>
          </w:p>
        </w:tc>
        <w:tc>
          <w:tcPr>
            <w:tcW w:w="1305" w:type="dxa"/>
            <w:tcBorders>
              <w:left w:val="single" w:sz="2" w:space="0" w:color="000001"/>
              <w:bottom w:val="single" w:sz="2" w:space="0" w:color="000001"/>
            </w:tcBorders>
            <w:shd w:fill="FFFFFF" w:val="clear"/>
          </w:tcPr>
          <w:p>
            <w:pPr>
              <w:pStyle w:val="Contedodatabela"/>
              <w:jc w:val="center"/>
              <w:rPr>
                <w:rFonts w:ascii="Arial" w:hAnsi="Arial"/>
                <w:color w:val="000000"/>
                <w:sz w:val="16"/>
                <w:szCs w:val="16"/>
              </w:rPr>
            </w:pPr>
            <w:r>
              <w:rPr>
                <w:rFonts w:ascii="Arial" w:hAnsi="Arial"/>
                <w:color w:val="000000"/>
                <w:sz w:val="16"/>
                <w:szCs w:val="16"/>
              </w:rPr>
              <w:t>02</w:t>
            </w:r>
          </w:p>
        </w:tc>
        <w:tc>
          <w:tcPr>
            <w:tcW w:w="1245" w:type="dxa"/>
            <w:tcBorders>
              <w:left w:val="single" w:sz="2" w:space="0" w:color="000001"/>
              <w:bottom w:val="single" w:sz="2" w:space="0" w:color="000001"/>
            </w:tcBorders>
            <w:shd w:fill="FFFFFF" w:val="clear"/>
          </w:tcPr>
          <w:p>
            <w:pPr>
              <w:pStyle w:val="Contedodatabela"/>
              <w:jc w:val="both"/>
              <w:rPr>
                <w:rFonts w:ascii="Arial" w:hAnsi="Arial"/>
                <w:color w:val="000000"/>
                <w:sz w:val="16"/>
                <w:szCs w:val="16"/>
              </w:rPr>
            </w:pPr>
            <w:r>
              <w:rPr>
                <w:rFonts w:ascii="Arial" w:hAnsi="Arial"/>
                <w:color w:val="000000"/>
                <w:sz w:val="16"/>
                <w:szCs w:val="16"/>
              </w:rPr>
              <w:t>R$</w:t>
            </w:r>
          </w:p>
        </w:tc>
        <w:tc>
          <w:tcPr>
            <w:tcW w:w="1250"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R$</w:t>
            </w:r>
          </w:p>
        </w:tc>
        <w:tc>
          <w:tcPr>
            <w:tcW w:w="1077" w:type="dxa"/>
            <w:tcBorders>
              <w:left w:val="single" w:sz="2" w:space="0" w:color="000001"/>
              <w:bottom w:val="single" w:sz="2" w:space="0" w:color="000001"/>
            </w:tcBorders>
            <w:shd w:fill="FFFFFF" w:val="clear"/>
          </w:tcPr>
          <w:p>
            <w:pPr>
              <w:pStyle w:val="Contedodatabela"/>
              <w:jc w:val="center"/>
              <w:rPr>
                <w:rFonts w:ascii="Arial" w:hAnsi="Arial"/>
                <w:color w:val="000000"/>
                <w:sz w:val="16"/>
                <w:szCs w:val="16"/>
              </w:rPr>
            </w:pPr>
            <w:r>
              <w:rPr>
                <w:rFonts w:ascii="Arial" w:hAnsi="Arial"/>
                <w:color w:val="000000"/>
                <w:sz w:val="16"/>
                <w:szCs w:val="16"/>
              </w:rPr>
              <w:t>12</w:t>
            </w:r>
          </w:p>
        </w:tc>
        <w:tc>
          <w:tcPr>
            <w:tcW w:w="1161" w:type="dxa"/>
            <w:tcBorders>
              <w:left w:val="single" w:sz="2" w:space="0" w:color="000001"/>
              <w:bottom w:val="single" w:sz="2" w:space="0" w:color="000001"/>
              <w:right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r>
      <w:tr>
        <w:trPr/>
        <w:tc>
          <w:tcPr>
            <w:tcW w:w="2683" w:type="dxa"/>
            <w:gridSpan w:val="2"/>
            <w:tcBorders>
              <w:left w:val="single" w:sz="2" w:space="0" w:color="000001"/>
              <w:bottom w:val="single" w:sz="2" w:space="0" w:color="000001"/>
            </w:tcBorders>
            <w:shd w:fill="FFFFFF" w:val="clear"/>
          </w:tcPr>
          <w:p>
            <w:pPr>
              <w:pStyle w:val="Contedodatabela"/>
              <w:jc w:val="right"/>
              <w:rPr>
                <w:rFonts w:ascii="Arial" w:hAnsi="Arial"/>
                <w:color w:val="000000"/>
                <w:sz w:val="16"/>
                <w:szCs w:val="16"/>
              </w:rPr>
            </w:pPr>
            <w:r>
              <w:rPr>
                <w:rFonts w:ascii="Arial" w:hAnsi="Arial"/>
                <w:color w:val="000000"/>
                <w:sz w:val="16"/>
                <w:szCs w:val="16"/>
              </w:rPr>
              <w:t>TOTAL:</w:t>
            </w:r>
          </w:p>
        </w:tc>
        <w:tc>
          <w:tcPr>
            <w:tcW w:w="972"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r>
          </w:p>
        </w:tc>
        <w:tc>
          <w:tcPr>
            <w:tcW w:w="1305" w:type="dxa"/>
            <w:tcBorders>
              <w:left w:val="single" w:sz="2" w:space="0" w:color="000001"/>
              <w:bottom w:val="single" w:sz="2" w:space="0" w:color="000001"/>
            </w:tcBorders>
            <w:shd w:fill="FFFFFF" w:val="clear"/>
          </w:tcPr>
          <w:p>
            <w:pPr>
              <w:pStyle w:val="Contedodatabela"/>
              <w:jc w:val="center"/>
              <w:rPr>
                <w:rFonts w:ascii="Arial" w:hAnsi="Arial"/>
                <w:color w:val="000000"/>
                <w:sz w:val="16"/>
                <w:szCs w:val="16"/>
              </w:rPr>
            </w:pPr>
            <w:r>
              <w:rPr>
                <w:rFonts w:ascii="Arial" w:hAnsi="Arial"/>
                <w:color w:val="000000"/>
                <w:sz w:val="16"/>
                <w:szCs w:val="16"/>
              </w:rPr>
              <w:t>08</w:t>
            </w:r>
          </w:p>
        </w:tc>
        <w:tc>
          <w:tcPr>
            <w:tcW w:w="1245" w:type="dxa"/>
            <w:tcBorders>
              <w:left w:val="single" w:sz="2" w:space="0" w:color="000001"/>
              <w:bottom w:val="single" w:sz="2" w:space="0" w:color="000001"/>
            </w:tcBorders>
            <w:shd w:fill="FFFFFF" w:val="clear"/>
          </w:tcPr>
          <w:p>
            <w:pPr>
              <w:pStyle w:val="Contedodatabela"/>
              <w:jc w:val="both"/>
              <w:rPr>
                <w:rFonts w:ascii="Arial" w:hAnsi="Arial"/>
                <w:color w:val="000000"/>
                <w:sz w:val="16"/>
                <w:szCs w:val="16"/>
              </w:rPr>
            </w:pPr>
            <w:r>
              <w:rPr>
                <w:rFonts w:ascii="Arial" w:hAnsi="Arial"/>
                <w:color w:val="000000"/>
                <w:sz w:val="16"/>
                <w:szCs w:val="16"/>
              </w:rPr>
              <w:t>R$</w:t>
            </w:r>
          </w:p>
        </w:tc>
        <w:tc>
          <w:tcPr>
            <w:tcW w:w="1250" w:type="dxa"/>
            <w:tcBorders>
              <w:left w:val="single" w:sz="2" w:space="0" w:color="000001"/>
              <w:bottom w:val="single" w:sz="2" w:space="0" w:color="000001"/>
            </w:tcBorders>
            <w:shd w:fill="FFFFFF" w:val="clear"/>
          </w:tcPr>
          <w:p>
            <w:pPr>
              <w:pStyle w:val="Contedodatabela"/>
              <w:rPr>
                <w:rFonts w:ascii="Arial" w:hAnsi="Arial"/>
                <w:color w:val="000000"/>
                <w:sz w:val="16"/>
                <w:szCs w:val="16"/>
              </w:rPr>
            </w:pPr>
            <w:r>
              <w:rPr>
                <w:rFonts w:ascii="Arial" w:hAnsi="Arial"/>
                <w:color w:val="000000"/>
                <w:sz w:val="16"/>
                <w:szCs w:val="16"/>
              </w:rPr>
              <w:t>R$</w:t>
            </w:r>
          </w:p>
        </w:tc>
        <w:tc>
          <w:tcPr>
            <w:tcW w:w="1077" w:type="dxa"/>
            <w:tcBorders>
              <w:left w:val="single" w:sz="2" w:space="0" w:color="000001"/>
              <w:bottom w:val="single" w:sz="2" w:space="0" w:color="000001"/>
            </w:tcBorders>
            <w:shd w:fill="FFFFFF" w:val="clear"/>
          </w:tcPr>
          <w:p>
            <w:pPr>
              <w:pStyle w:val="Contedodatabela"/>
              <w:jc w:val="center"/>
              <w:rPr>
                <w:rFonts w:ascii="Arial" w:hAnsi="Arial"/>
                <w:color w:val="000000"/>
                <w:sz w:val="16"/>
                <w:szCs w:val="16"/>
              </w:rPr>
            </w:pPr>
            <w:r>
              <w:rPr>
                <w:rFonts w:ascii="Arial" w:hAnsi="Arial"/>
                <w:color w:val="000000"/>
                <w:sz w:val="16"/>
                <w:szCs w:val="16"/>
              </w:rPr>
              <w:t>12</w:t>
            </w:r>
          </w:p>
        </w:tc>
        <w:tc>
          <w:tcPr>
            <w:tcW w:w="1161" w:type="dxa"/>
            <w:tcBorders>
              <w:left w:val="single" w:sz="2" w:space="0" w:color="000001"/>
              <w:bottom w:val="single" w:sz="2" w:space="0" w:color="000001"/>
              <w:right w:val="single" w:sz="2" w:space="0" w:color="000001"/>
            </w:tcBorders>
            <w:shd w:fill="FFFFFF" w:val="clear"/>
          </w:tcPr>
          <w:p>
            <w:pPr>
              <w:pStyle w:val="Normal"/>
              <w:jc w:val="both"/>
              <w:rPr>
                <w:rFonts w:ascii="Arial" w:hAnsi="Arial"/>
                <w:color w:val="000000"/>
                <w:sz w:val="16"/>
                <w:szCs w:val="16"/>
              </w:rPr>
            </w:pPr>
            <w:r>
              <w:rPr>
                <w:rFonts w:ascii="Arial" w:hAnsi="Arial"/>
                <w:color w:val="000000"/>
                <w:sz w:val="16"/>
                <w:szCs w:val="16"/>
              </w:rPr>
              <w:t>R$</w:t>
            </w:r>
          </w:p>
        </w:tc>
      </w:tr>
    </w:tbl>
    <w:p>
      <w:pPr>
        <w:pStyle w:val="Normal"/>
        <w:jc w:val="both"/>
        <w:rPr/>
      </w:pPr>
      <w:r>
        <w:rPr/>
      </w:r>
    </w:p>
    <w:p>
      <w:pPr>
        <w:pStyle w:val="Normal"/>
        <w:jc w:val="both"/>
        <w:rPr>
          <w:rFonts w:ascii="Arial" w:hAnsi="Arial"/>
        </w:rPr>
      </w:pPr>
      <w:r>
        <w:rPr>
          <w:rFonts w:ascii="Arial" w:hAnsi="Arial"/>
        </w:rPr>
      </w:r>
    </w:p>
    <w:p>
      <w:pPr>
        <w:pStyle w:val="Normal"/>
        <w:jc w:val="both"/>
        <w:rPr/>
      </w:pPr>
      <w:r>
        <w:rPr/>
      </w:r>
    </w:p>
    <w:p>
      <w:pPr>
        <w:pStyle w:val="Normal"/>
        <w:jc w:val="both"/>
        <w:rPr>
          <w:rFonts w:ascii="Arial" w:hAnsi="Arial"/>
          <w:sz w:val="20"/>
          <w:szCs w:val="20"/>
        </w:rPr>
      </w:pPr>
      <w:r>
        <w:rPr>
          <w:rFonts w:ascii="Arial" w:hAnsi="Arial"/>
          <w:sz w:val="20"/>
          <w:szCs w:val="20"/>
        </w:rPr>
        <w:t>3. ÓRGÃO (S) GERENCIADOR E PARTICIPANTE(S)</w:t>
      </w:r>
    </w:p>
    <w:p>
      <w:pPr>
        <w:pStyle w:val="Normal"/>
        <w:jc w:val="both"/>
        <w:rPr>
          <w:rFonts w:ascii="Arial" w:hAnsi="Arial"/>
          <w:sz w:val="20"/>
          <w:szCs w:val="20"/>
        </w:rPr>
      </w:pPr>
      <w:r>
        <w:rPr>
          <w:rFonts w:ascii="Arial" w:hAnsi="Arial"/>
          <w:sz w:val="20"/>
          <w:szCs w:val="20"/>
        </w:rPr>
        <w:t>3.1. O órgão gerenciador será a Câmara Municipal de Quissamã.</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4. DA ADESÃO À ATA DE REGISTRO DE PREÇOS</w:t>
      </w:r>
    </w:p>
    <w:p>
      <w:pPr>
        <w:pStyle w:val="Normal"/>
        <w:jc w:val="both"/>
        <w:rPr>
          <w:rFonts w:ascii="Arial" w:hAnsi="Arial"/>
          <w:sz w:val="20"/>
          <w:szCs w:val="20"/>
        </w:rPr>
      </w:pPr>
      <w:r>
        <w:rPr>
          <w:rFonts w:ascii="Arial" w:hAnsi="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pPr>
        <w:pStyle w:val="Normal"/>
        <w:jc w:val="both"/>
        <w:rPr>
          <w:rFonts w:ascii="Arial" w:hAnsi="Arial"/>
          <w:sz w:val="20"/>
          <w:szCs w:val="20"/>
        </w:rPr>
      </w:pPr>
      <w:r>
        <w:rPr>
          <w:rFonts w:ascii="Arial" w:hAnsi="Arial"/>
          <w:sz w:val="20"/>
          <w:szCs w:val="20"/>
        </w:rPr>
        <w:t>4.1.1.apresentação de justificativa da vantagem da adesão, inclusive em situações de provável desabastecimento ou descontinuidade de serviço público;</w:t>
      </w:r>
    </w:p>
    <w:p>
      <w:pPr>
        <w:pStyle w:val="Normal"/>
        <w:jc w:val="both"/>
        <w:rPr>
          <w:rFonts w:ascii="Arial" w:hAnsi="Arial"/>
          <w:sz w:val="20"/>
          <w:szCs w:val="20"/>
        </w:rPr>
      </w:pPr>
      <w:r>
        <w:rPr>
          <w:rFonts w:ascii="Arial" w:hAnsi="Arial"/>
          <w:sz w:val="20"/>
          <w:szCs w:val="20"/>
        </w:rPr>
        <w:t xml:space="preserve">4.1.2.demonstração de que os valores registrados estão compatíveis com os valores praticados pelo mercado na forma do art. 23 da Lei nº 14.133, de 2021; e </w:t>
      </w:r>
    </w:p>
    <w:p>
      <w:pPr>
        <w:pStyle w:val="Normal"/>
        <w:jc w:val="both"/>
        <w:rPr>
          <w:rFonts w:ascii="Arial" w:hAnsi="Arial"/>
          <w:sz w:val="20"/>
          <w:szCs w:val="20"/>
        </w:rPr>
      </w:pPr>
      <w:r>
        <w:rPr>
          <w:rFonts w:ascii="Arial" w:hAnsi="Arial"/>
          <w:sz w:val="20"/>
          <w:szCs w:val="20"/>
        </w:rPr>
        <w:t xml:space="preserve">4.1.3.consulta e aceitação prévias do órgão ou da entidade gerenciadora e do fornecedor. </w:t>
      </w:r>
    </w:p>
    <w:p>
      <w:pPr>
        <w:pStyle w:val="Normal"/>
        <w:jc w:val="both"/>
        <w:rPr>
          <w:rFonts w:ascii="Arial" w:hAnsi="Arial"/>
          <w:sz w:val="20"/>
          <w:szCs w:val="20"/>
        </w:rPr>
      </w:pPr>
      <w:r>
        <w:rPr>
          <w:rFonts w:ascii="Arial" w:hAnsi="Arial"/>
          <w:sz w:val="20"/>
          <w:szCs w:val="20"/>
        </w:rPr>
        <w:t>4.2. A autorização do órgão ou entidade gerenciadora apenas será realizada após a aceitação da adesão pelo fornecedor.</w:t>
      </w:r>
    </w:p>
    <w:p>
      <w:pPr>
        <w:pStyle w:val="Normal"/>
        <w:jc w:val="both"/>
        <w:rPr>
          <w:rFonts w:ascii="Arial" w:hAnsi="Arial"/>
          <w:sz w:val="20"/>
          <w:szCs w:val="20"/>
        </w:rPr>
      </w:pPr>
      <w:r>
        <w:rPr>
          <w:rFonts w:ascii="Arial" w:hAnsi="Arial"/>
          <w:sz w:val="20"/>
          <w:szCs w:val="20"/>
        </w:rPr>
        <w:t>4.3. O órgão ou entidade gerenciadora poderá rejeitar adesões caso elas possam acarretar prejuízo à execução de seus próprios contratos ou à sua capacidade de gerenciamento.</w:t>
      </w:r>
    </w:p>
    <w:p>
      <w:pPr>
        <w:pStyle w:val="Normal"/>
        <w:jc w:val="both"/>
        <w:rPr>
          <w:rFonts w:ascii="Arial" w:hAnsi="Arial"/>
          <w:sz w:val="20"/>
          <w:szCs w:val="20"/>
        </w:rPr>
      </w:pPr>
      <w:r>
        <w:rPr>
          <w:rFonts w:ascii="Arial" w:hAnsi="Arial"/>
          <w:sz w:val="20"/>
          <w:szCs w:val="20"/>
        </w:rPr>
        <w:t>4.4. Após a autorização do órgão ou da entidade gerenciadora, o órgão ou entidade não participante deverá efetivar a aquisição ou a contratação solicitada em até noventa dias, observado o prazo de vigência da ata.</w:t>
      </w:r>
    </w:p>
    <w:p>
      <w:pPr>
        <w:pStyle w:val="Normal"/>
        <w:jc w:val="both"/>
        <w:rPr>
          <w:rFonts w:ascii="Arial" w:hAnsi="Arial"/>
          <w:sz w:val="20"/>
          <w:szCs w:val="20"/>
        </w:rPr>
      </w:pPr>
      <w:r>
        <w:rPr>
          <w:rFonts w:ascii="Arial" w:hAnsi="Arial"/>
          <w:sz w:val="20"/>
          <w:szCs w:val="20"/>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Normal"/>
        <w:jc w:val="both"/>
        <w:rPr>
          <w:rFonts w:ascii="Arial" w:hAnsi="Arial"/>
          <w:sz w:val="20"/>
          <w:szCs w:val="20"/>
        </w:rPr>
      </w:pPr>
      <w:r>
        <w:rPr>
          <w:rFonts w:ascii="Arial" w:hAnsi="Arial"/>
          <w:sz w:val="20"/>
          <w:szCs w:val="20"/>
        </w:rPr>
        <w:t>4.6. O órgão ou a entidade poderá aderir a item da ata de registro de preços da qual seja integrante, na qualidade de não participante, para aqueles itens para os quais não tenha quantitativo registrado, observados os requisitos do item 4.1.</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Dos limites para as adesões </w:t>
      </w:r>
    </w:p>
    <w:p>
      <w:pPr>
        <w:pStyle w:val="Normal"/>
        <w:jc w:val="both"/>
        <w:rPr>
          <w:rFonts w:ascii="Arial" w:hAnsi="Arial"/>
          <w:sz w:val="20"/>
          <w:szCs w:val="20"/>
        </w:rPr>
      </w:pPr>
      <w:r>
        <w:rPr>
          <w:rFonts w:ascii="Arial" w:hAnsi="Arial"/>
          <w:sz w:val="20"/>
          <w:szCs w:val="20"/>
        </w:rPr>
        <w:t>4.7. As aquisições ou contratações adicionais não poderão exceder, por órgão ou entidade, a cinquenta por cento dos quantitativos dos itens do instrumento convocatório registrados na ata de registro de preços para o gerenciador e para os participantes.</w:t>
      </w:r>
    </w:p>
    <w:p>
      <w:pPr>
        <w:pStyle w:val="Normal"/>
        <w:jc w:val="both"/>
        <w:rPr>
          <w:rFonts w:ascii="Arial" w:hAnsi="Arial"/>
          <w:sz w:val="20"/>
          <w:szCs w:val="20"/>
        </w:rPr>
      </w:pPr>
      <w:r>
        <w:rPr>
          <w:rFonts w:ascii="Arial" w:hAnsi="Arial"/>
          <w:sz w:val="20"/>
          <w:szCs w:val="20"/>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ormal"/>
        <w:jc w:val="both"/>
        <w:rPr>
          <w:rFonts w:ascii="Arial" w:hAnsi="Arial"/>
          <w:sz w:val="20"/>
          <w:szCs w:val="20"/>
        </w:rPr>
      </w:pPr>
      <w:r>
        <w:rPr>
          <w:rFonts w:ascii="Arial" w:hAnsi="Arial"/>
          <w:sz w:val="20"/>
          <w:szCs w:val="20"/>
        </w:rPr>
        <w:t>4.9.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5. VALIDADE, FORMALIZAÇÃO DA ATA DE REGISTRO DE PREÇOS</w:t>
      </w:r>
    </w:p>
    <w:p>
      <w:pPr>
        <w:pStyle w:val="Normal"/>
        <w:jc w:val="both"/>
        <w:rPr>
          <w:rFonts w:ascii="Arial" w:hAnsi="Arial"/>
          <w:sz w:val="20"/>
          <w:szCs w:val="20"/>
        </w:rPr>
      </w:pPr>
      <w:r>
        <w:rPr>
          <w:rFonts w:ascii="Arial" w:hAnsi="Arial"/>
          <w:sz w:val="20"/>
          <w:szCs w:val="20"/>
        </w:rPr>
        <w:t>5.1. A validade da Ata de Registro de Preços será de 1 (um) ano, contado a partir do primeiro dia útil subsequente à sua publicação, podendo ser prorrogada por igual período, mediante a anuência do fornecedor, desde que comprovado o preço vantajoso.</w:t>
      </w:r>
    </w:p>
    <w:p>
      <w:pPr>
        <w:pStyle w:val="Normal"/>
        <w:jc w:val="both"/>
        <w:rPr>
          <w:rFonts w:ascii="Arial" w:hAnsi="Arial"/>
          <w:sz w:val="20"/>
          <w:szCs w:val="20"/>
        </w:rPr>
      </w:pPr>
      <w:r>
        <w:rPr>
          <w:rFonts w:ascii="Arial" w:hAnsi="Arial"/>
          <w:sz w:val="20"/>
          <w:szCs w:val="20"/>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pPr>
        <w:pStyle w:val="Normal"/>
        <w:jc w:val="both"/>
        <w:rPr>
          <w:rFonts w:ascii="Arial" w:hAnsi="Arial"/>
          <w:sz w:val="20"/>
          <w:szCs w:val="20"/>
        </w:rPr>
      </w:pPr>
      <w:r>
        <w:rPr>
          <w:rFonts w:ascii="Arial" w:hAnsi="Arial"/>
          <w:sz w:val="20"/>
          <w:szCs w:val="20"/>
        </w:rPr>
        <w:t>5.1.2. Na formalização do contrato ou do instrumento substituto deverá haver a indicação da disponibilidade dos créditos orçamentários respectivos.</w:t>
      </w:r>
    </w:p>
    <w:p>
      <w:pPr>
        <w:pStyle w:val="Normal"/>
        <w:jc w:val="both"/>
        <w:rPr>
          <w:rFonts w:ascii="Arial" w:hAnsi="Arial"/>
          <w:sz w:val="20"/>
          <w:szCs w:val="20"/>
        </w:rPr>
      </w:pPr>
      <w:r>
        <w:rPr>
          <w:rFonts w:ascii="Arial" w:hAnsi="Arial"/>
          <w:sz w:val="20"/>
          <w:szCs w:val="20"/>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pStyle w:val="Normal"/>
        <w:jc w:val="both"/>
        <w:rPr>
          <w:rFonts w:ascii="Arial" w:hAnsi="Arial"/>
          <w:sz w:val="20"/>
          <w:szCs w:val="20"/>
        </w:rPr>
      </w:pPr>
      <w:r>
        <w:rPr>
          <w:rFonts w:ascii="Arial" w:hAnsi="Arial"/>
          <w:sz w:val="20"/>
          <w:szCs w:val="20"/>
        </w:rPr>
        <w:t xml:space="preserve">2021. </w:t>
      </w:r>
    </w:p>
    <w:p>
      <w:pPr>
        <w:pStyle w:val="Normal"/>
        <w:jc w:val="both"/>
        <w:rPr>
          <w:rFonts w:ascii="Arial" w:hAnsi="Arial"/>
          <w:sz w:val="20"/>
          <w:szCs w:val="20"/>
        </w:rPr>
      </w:pPr>
      <w:r>
        <w:rPr>
          <w:rFonts w:ascii="Arial" w:hAnsi="Arial"/>
          <w:sz w:val="20"/>
          <w:szCs w:val="20"/>
        </w:rPr>
        <w:t xml:space="preserve">5.2.1.O instrumento contratual de que trata o item 5.2. deverá ser assinado no prazo de validade da ata de registro de preços. </w:t>
      </w:r>
    </w:p>
    <w:p>
      <w:pPr>
        <w:pStyle w:val="Normal"/>
        <w:jc w:val="both"/>
        <w:rPr>
          <w:rFonts w:ascii="Arial" w:hAnsi="Arial"/>
          <w:sz w:val="20"/>
          <w:szCs w:val="20"/>
        </w:rPr>
      </w:pPr>
      <w:r>
        <w:rPr>
          <w:rFonts w:ascii="Arial" w:hAnsi="Arial"/>
          <w:sz w:val="20"/>
          <w:szCs w:val="20"/>
        </w:rPr>
        <w:t>5.3. Os contratos decorrentes do sistema de registro de preços poderão ser alterados, observado o art. 124 da Lei nº 14.133, de 2021.</w:t>
      </w:r>
    </w:p>
    <w:p>
      <w:pPr>
        <w:pStyle w:val="Normal"/>
        <w:jc w:val="both"/>
        <w:rPr>
          <w:rFonts w:ascii="Arial" w:hAnsi="Arial"/>
          <w:sz w:val="20"/>
          <w:szCs w:val="20"/>
        </w:rPr>
      </w:pPr>
      <w:r>
        <w:rPr>
          <w:rFonts w:ascii="Arial" w:hAnsi="Arial"/>
          <w:sz w:val="20"/>
          <w:szCs w:val="20"/>
        </w:rPr>
        <w:t>5.4. Após a homologação da licitação ou da contratação direta, deverão ser observadas as seguintes condições para formalização da ata de registro de preços:</w:t>
      </w:r>
    </w:p>
    <w:p>
      <w:pPr>
        <w:pStyle w:val="Normal"/>
        <w:jc w:val="both"/>
        <w:rPr>
          <w:rFonts w:ascii="Arial" w:hAnsi="Arial"/>
          <w:sz w:val="20"/>
          <w:szCs w:val="20"/>
        </w:rPr>
      </w:pPr>
      <w:r>
        <w:rPr>
          <w:rFonts w:ascii="Arial" w:hAnsi="Arial"/>
          <w:sz w:val="20"/>
          <w:szCs w:val="20"/>
        </w:rPr>
        <w:t xml:space="preserve">5.4.1. Será respeitada, nas contratações, a ordem de classificação dos licitantes ou dos fornecedores registrados na ata. </w:t>
      </w:r>
    </w:p>
    <w:p>
      <w:pPr>
        <w:pStyle w:val="Normal"/>
        <w:jc w:val="both"/>
        <w:rPr>
          <w:rFonts w:ascii="Arial" w:hAnsi="Arial"/>
          <w:sz w:val="20"/>
          <w:szCs w:val="20"/>
        </w:rPr>
      </w:pPr>
      <w:r>
        <w:rPr>
          <w:rFonts w:ascii="Arial" w:hAnsi="Arial"/>
          <w:sz w:val="20"/>
          <w:szCs w:val="20"/>
        </w:rPr>
        <w:t>5.5. 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pPr>
        <w:pStyle w:val="Normal"/>
        <w:jc w:val="both"/>
        <w:rPr>
          <w:rFonts w:ascii="Arial" w:hAnsi="Arial"/>
          <w:sz w:val="20"/>
          <w:szCs w:val="20"/>
        </w:rPr>
      </w:pPr>
      <w:r>
        <w:rPr>
          <w:rFonts w:ascii="Arial" w:hAnsi="Arial"/>
          <w:sz w:val="20"/>
          <w:szCs w:val="20"/>
        </w:rPr>
        <w:t xml:space="preserve">5.5.1.O prazo de convocação poderá ser prorrogado 1 (uma) vez, por igual período, mediante solicitação do licitante ou fornecedor convocado, desde que apresentada dentro do prazo, devidamente justificada, e que a justificativa seja aceita pela Administração. </w:t>
      </w:r>
    </w:p>
    <w:p>
      <w:pPr>
        <w:pStyle w:val="Normal"/>
        <w:jc w:val="both"/>
        <w:rPr>
          <w:rFonts w:ascii="Arial" w:hAnsi="Arial"/>
          <w:sz w:val="20"/>
          <w:szCs w:val="20"/>
        </w:rPr>
      </w:pPr>
      <w:r>
        <w:rPr>
          <w:rFonts w:ascii="Arial" w:hAnsi="Arial"/>
          <w:sz w:val="20"/>
          <w:szCs w:val="20"/>
        </w:rPr>
        <w:t>5.6. A ata de registro de preços será assinada por meio de assinatura digital e disponibilizada no Sistema de Registro de Preços.</w:t>
      </w:r>
    </w:p>
    <w:p>
      <w:pPr>
        <w:pStyle w:val="Normal"/>
        <w:jc w:val="both"/>
        <w:rPr>
          <w:rFonts w:ascii="Arial" w:hAnsi="Arial"/>
          <w:sz w:val="20"/>
          <w:szCs w:val="20"/>
        </w:rPr>
      </w:pPr>
      <w:r>
        <w:rPr>
          <w:rFonts w:ascii="Arial" w:hAnsi="Arial"/>
          <w:sz w:val="20"/>
          <w:szCs w:val="20"/>
        </w:rPr>
        <w:t>5.7.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6. ALTERAÇÃO OU ATUALIZAÇÃO DOS PREÇOS REGISTRADOS</w:t>
      </w:r>
    </w:p>
    <w:p>
      <w:pPr>
        <w:pStyle w:val="Normal"/>
        <w:jc w:val="both"/>
        <w:rPr>
          <w:rFonts w:ascii="Arial" w:hAnsi="Arial"/>
          <w:sz w:val="20"/>
          <w:szCs w:val="20"/>
        </w:rPr>
      </w:pPr>
      <w:r>
        <w:rPr>
          <w:rFonts w:ascii="Arial" w:hAnsi="Arial"/>
          <w:sz w:val="20"/>
          <w:szCs w:val="20"/>
        </w:rPr>
        <w:t>6.1. Os preços registrados poderão ser alterados ou atualizados em decorrência de eventual redução dos preços praticados no mercado ou de fato que eleve o custo dos bens, das obras ou dos serviços registrados, nas seguintes situações:</w:t>
      </w:r>
    </w:p>
    <w:p>
      <w:pPr>
        <w:pStyle w:val="Normal"/>
        <w:jc w:val="both"/>
        <w:rPr>
          <w:rFonts w:ascii="Arial" w:hAnsi="Arial"/>
          <w:sz w:val="20"/>
          <w:szCs w:val="20"/>
        </w:rPr>
      </w:pPr>
      <w:r>
        <w:rPr>
          <w:rFonts w:ascii="Arial" w:hAnsi="Arial"/>
          <w:sz w:val="20"/>
          <w:szCs w:val="20"/>
        </w:rPr>
        <w:t xml:space="preserve">6.1.1.Em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pPr>
        <w:pStyle w:val="Normal"/>
        <w:jc w:val="both"/>
        <w:rPr>
          <w:rFonts w:ascii="Arial" w:hAnsi="Arial"/>
          <w:sz w:val="20"/>
          <w:szCs w:val="20"/>
        </w:rPr>
      </w:pPr>
      <w:r>
        <w:rPr>
          <w:rFonts w:ascii="Arial" w:hAnsi="Arial"/>
          <w:sz w:val="20"/>
          <w:szCs w:val="20"/>
        </w:rPr>
        <w:t xml:space="preserve">6.1.2.Em caso de criação, alteração ou extinção de quaisquer tributos ou encargos legais ou a superveniência de disposições legais, com comprovada repercussão sobre os preços registrados; </w:t>
      </w:r>
    </w:p>
    <w:p>
      <w:pPr>
        <w:pStyle w:val="Normal"/>
        <w:jc w:val="both"/>
        <w:rPr>
          <w:rFonts w:ascii="Arial" w:hAnsi="Arial"/>
          <w:sz w:val="20"/>
          <w:szCs w:val="20"/>
        </w:rPr>
      </w:pPr>
      <w:r>
        <w:rPr>
          <w:rFonts w:ascii="Arial" w:hAnsi="Arial"/>
          <w:sz w:val="20"/>
          <w:szCs w:val="20"/>
        </w:rPr>
        <w:t xml:space="preserve">6.1.3.Na hipótese de previsão no edital de cláusula de reajustamento ou repactuação sobre os preços registrados, nos termos da Lei nº 14.133, de 2021. </w:t>
      </w:r>
    </w:p>
    <w:p>
      <w:pPr>
        <w:pStyle w:val="Normal"/>
        <w:jc w:val="both"/>
        <w:rPr>
          <w:rFonts w:ascii="Arial" w:hAnsi="Arial"/>
          <w:sz w:val="20"/>
          <w:szCs w:val="20"/>
        </w:rPr>
      </w:pPr>
      <w:r>
        <w:rPr>
          <w:rFonts w:ascii="Arial" w:hAnsi="Arial"/>
          <w:sz w:val="20"/>
          <w:szCs w:val="20"/>
        </w:rPr>
        <w:t xml:space="preserve">6.1.3.1. No caso do reajustamento, deverá ser respeitada a contagem da anualidade e o índice previstos para a contratação; </w:t>
      </w:r>
    </w:p>
    <w:p>
      <w:pPr>
        <w:pStyle w:val="Normal"/>
        <w:jc w:val="both"/>
        <w:rPr>
          <w:rFonts w:ascii="Arial" w:hAnsi="Arial"/>
          <w:sz w:val="20"/>
          <w:szCs w:val="20"/>
        </w:rPr>
      </w:pPr>
      <w:r>
        <w:rPr>
          <w:rFonts w:ascii="Arial" w:hAnsi="Arial"/>
          <w:sz w:val="20"/>
          <w:szCs w:val="20"/>
        </w:rPr>
        <w:t>6.1.3.2. No caso da repactuação, poderá ser a pedido do interessado, conforme critérios definidos para a contratação.</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7. NEGOCIAÇÃO DE PREÇOS REGISTRADOS</w:t>
      </w:r>
    </w:p>
    <w:p>
      <w:pPr>
        <w:pStyle w:val="Normal"/>
        <w:jc w:val="both"/>
        <w:rPr>
          <w:rFonts w:ascii="Arial" w:hAnsi="Arial"/>
          <w:sz w:val="20"/>
          <w:szCs w:val="20"/>
        </w:rPr>
      </w:pPr>
      <w:r>
        <w:rPr>
          <w:rFonts w:ascii="Arial" w:hAnsi="Arial"/>
          <w:sz w:val="20"/>
          <w:szCs w:val="20"/>
        </w:rPr>
        <w:t>7.1. Na hipótese de o preço registrado tornar-se superior ao preço praticado no mercado por motivo superveniente, o órgão ou entidade gerenciadora convocará o fornecedor para negociar a redução do preço registrado.</w:t>
      </w:r>
    </w:p>
    <w:p>
      <w:pPr>
        <w:pStyle w:val="Normal"/>
        <w:jc w:val="both"/>
        <w:rPr>
          <w:rFonts w:ascii="Arial" w:hAnsi="Arial"/>
          <w:sz w:val="20"/>
          <w:szCs w:val="20"/>
        </w:rPr>
      </w:pPr>
      <w:r>
        <w:rPr>
          <w:rFonts w:ascii="Arial" w:hAnsi="Arial"/>
          <w:sz w:val="20"/>
          <w:szCs w:val="20"/>
        </w:rPr>
        <w:t xml:space="preserve">7.1.1. Caso não aceite reduzir seu preço aos valores praticados pelo mercado, o fornecedor será liberado do compromisso assumido quanto ao item registrado, sem aplicação de penalidades administrativas.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color w:val="000000"/>
          <w:sz w:val="20"/>
          <w:szCs w:val="20"/>
        </w:rPr>
        <w:t>7.1.2.</w:t>
      </w:r>
      <w:r>
        <w:rPr>
          <w:rFonts w:ascii="Arial" w:hAnsi="Arial"/>
          <w:sz w:val="20"/>
          <w:szCs w:val="20"/>
        </w:rPr>
        <w:t xml:space="preserve"> Se não obtiver êxito nas negociações, o órgão ou entidade gerenciadora procederá ao cancelamento da ata de registro de preços, adotando as medidas cabíveis para obtenção de contratação mais vantajosa. 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pPr>
        <w:pStyle w:val="Normal"/>
        <w:jc w:val="both"/>
        <w:rPr>
          <w:rFonts w:ascii="Arial" w:hAnsi="Arial"/>
          <w:sz w:val="20"/>
          <w:szCs w:val="20"/>
        </w:rPr>
      </w:pPr>
      <w:r>
        <w:rPr>
          <w:rFonts w:ascii="Arial" w:hAnsi="Arial"/>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jc w:val="both"/>
        <w:rPr>
          <w:rFonts w:ascii="Arial" w:hAnsi="Arial"/>
          <w:sz w:val="20"/>
          <w:szCs w:val="20"/>
        </w:rPr>
      </w:pPr>
      <w:r>
        <w:rPr>
          <w:rFonts w:ascii="Arial" w:hAnsi="Arial"/>
          <w:sz w:val="20"/>
          <w:szCs w:val="20"/>
        </w:rPr>
        <w:t xml:space="preserve">7.2.1.Neste caso, o fornecedor encaminhará, juntamente com o pedido de alteração, a documentação comprobatória ou a planilha de custos que demonstre a inviabilidade do preço registrado em relação às condições inicialmente pactuadas. </w:t>
      </w:r>
    </w:p>
    <w:p>
      <w:pPr>
        <w:pStyle w:val="Normal"/>
        <w:jc w:val="both"/>
        <w:rPr>
          <w:rFonts w:ascii="Arial" w:hAnsi="Arial"/>
          <w:sz w:val="20"/>
          <w:szCs w:val="20"/>
        </w:rPr>
      </w:pPr>
      <w:r>
        <w:rPr>
          <w:rFonts w:ascii="Arial" w:hAnsi="Arial"/>
          <w:sz w:val="20"/>
          <w:szCs w:val="20"/>
        </w:rPr>
        <w:t xml:space="preserve">7.2.2.Não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7.2.4.Se não obtiver êxito nas negociações, o órgão ou entidade gerenciadora procederá ao cancelamento da ata de registro de preços, nos termos do item 9.4, e adotará as medidas cabíveis para a obtenção da contratação mais vantajosa. </w:t>
      </w:r>
    </w:p>
    <w:p>
      <w:pPr>
        <w:pStyle w:val="Normal"/>
        <w:jc w:val="both"/>
        <w:rPr>
          <w:rFonts w:ascii="Arial" w:hAnsi="Arial"/>
          <w:sz w:val="20"/>
          <w:szCs w:val="20"/>
        </w:rPr>
      </w:pPr>
      <w:r>
        <w:rPr>
          <w:rFonts w:ascii="Arial" w:hAnsi="Arial"/>
          <w:sz w:val="20"/>
          <w:szCs w:val="20"/>
        </w:rPr>
        <w:t xml:space="preserve">7.2.5.Na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pPr>
        <w:pStyle w:val="Normal"/>
        <w:jc w:val="both"/>
        <w:rPr>
          <w:rFonts w:ascii="Arial" w:hAnsi="Arial"/>
          <w:sz w:val="20"/>
          <w:szCs w:val="20"/>
        </w:rPr>
      </w:pPr>
      <w:r>
        <w:rPr>
          <w:rFonts w:ascii="Arial" w:hAnsi="Arial"/>
          <w:sz w:val="20"/>
          <w:szCs w:val="20"/>
        </w:rPr>
        <w:t xml:space="preserve">7.2.6.O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8. REMANEJAMENTO DAS QUANTIDADES REGISTRADAS NA ATA DE REGISTRO DE PREÇOS</w:t>
      </w:r>
    </w:p>
    <w:p>
      <w:pPr>
        <w:pStyle w:val="Normal"/>
        <w:jc w:val="both"/>
        <w:rPr>
          <w:rFonts w:ascii="Arial" w:hAnsi="Arial"/>
          <w:sz w:val="20"/>
          <w:szCs w:val="20"/>
        </w:rPr>
      </w:pPr>
      <w:r>
        <w:rPr>
          <w:rFonts w:ascii="Arial" w:hAnsi="Arial"/>
          <w:sz w:val="20"/>
          <w:szCs w:val="20"/>
        </w:rPr>
        <w:t>8.1. As quantidades previstas para os itens com preços registrados nas atas de registro de preços poderão ser remanejadas pelo órgão ou entidade gerenciadora entre os órgãos ou as entidades participantes e não participantes do registro de preços.</w:t>
      </w:r>
    </w:p>
    <w:p>
      <w:pPr>
        <w:pStyle w:val="Normal"/>
        <w:jc w:val="both"/>
        <w:rPr>
          <w:rFonts w:ascii="Arial" w:hAnsi="Arial"/>
          <w:sz w:val="20"/>
          <w:szCs w:val="20"/>
        </w:rPr>
      </w:pPr>
      <w:r>
        <w:rPr>
          <w:rFonts w:ascii="Arial" w:hAnsi="Arial"/>
          <w:sz w:val="20"/>
          <w:szCs w:val="20"/>
        </w:rPr>
        <w:t>8.2. O remanejamento somente poderá ser feito:</w:t>
      </w:r>
    </w:p>
    <w:p>
      <w:pPr>
        <w:pStyle w:val="Normal"/>
        <w:jc w:val="both"/>
        <w:rPr>
          <w:rFonts w:ascii="Arial" w:hAnsi="Arial"/>
          <w:sz w:val="20"/>
          <w:szCs w:val="20"/>
        </w:rPr>
      </w:pPr>
      <w:r>
        <w:rPr>
          <w:rFonts w:ascii="Arial" w:hAnsi="Arial"/>
          <w:sz w:val="20"/>
          <w:szCs w:val="20"/>
        </w:rPr>
        <w:t>8.2.1. De órgão ou entidade participante para órgão ou entidade participante; ou</w:t>
      </w:r>
    </w:p>
    <w:p>
      <w:pPr>
        <w:pStyle w:val="Normal"/>
        <w:jc w:val="both"/>
        <w:rPr>
          <w:rFonts w:ascii="Arial" w:hAnsi="Arial"/>
          <w:sz w:val="20"/>
          <w:szCs w:val="20"/>
        </w:rPr>
      </w:pPr>
      <w:r>
        <w:rPr>
          <w:rFonts w:ascii="Arial" w:hAnsi="Arial"/>
          <w:sz w:val="20"/>
          <w:szCs w:val="20"/>
        </w:rPr>
        <w:t>8.2.2. De órgão ou entidade participante para órgão ou entidade não participante.</w:t>
      </w:r>
    </w:p>
    <w:p>
      <w:pPr>
        <w:pStyle w:val="Normal"/>
        <w:jc w:val="both"/>
        <w:rPr>
          <w:rFonts w:ascii="Arial" w:hAnsi="Arial"/>
          <w:sz w:val="20"/>
          <w:szCs w:val="20"/>
        </w:rPr>
      </w:pPr>
      <w:r>
        <w:rPr>
          <w:rFonts w:ascii="Arial" w:hAnsi="Arial"/>
          <w:sz w:val="20"/>
          <w:szCs w:val="20"/>
        </w:rPr>
        <w:t>8.3. O órgão ou entidade gerenciadora que tiver estimado as quantidades que pretende contratar será considerado participante para efeito do remanejamento.</w:t>
      </w:r>
    </w:p>
    <w:p>
      <w:pPr>
        <w:pStyle w:val="Normal"/>
        <w:jc w:val="both"/>
        <w:rPr>
          <w:rFonts w:ascii="Arial" w:hAnsi="Arial"/>
          <w:sz w:val="20"/>
          <w:szCs w:val="20"/>
        </w:rPr>
      </w:pPr>
      <w:r>
        <w:rPr>
          <w:rFonts w:ascii="Arial" w:hAnsi="Arial"/>
          <w:sz w:val="20"/>
          <w:szCs w:val="20"/>
        </w:rPr>
        <w:t>8.4. Na hipótese de remanejamento de órgão ou entidade participante para órgão ou entidade não participante, serão observados os limites previstos no Decreto Municipal.</w:t>
      </w:r>
    </w:p>
    <w:p>
      <w:pPr>
        <w:pStyle w:val="Normal"/>
        <w:jc w:val="both"/>
        <w:rPr>
          <w:rFonts w:ascii="Arial" w:hAnsi="Arial"/>
          <w:sz w:val="20"/>
          <w:szCs w:val="20"/>
        </w:rPr>
      </w:pPr>
      <w:r>
        <w:rPr>
          <w:rFonts w:ascii="Arial" w:hAnsi="Arial"/>
          <w:sz w:val="20"/>
          <w:szCs w:val="20"/>
        </w:rPr>
        <w:t>8.5.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pPr>
        <w:pStyle w:val="Normal"/>
        <w:jc w:val="both"/>
        <w:rPr>
          <w:rFonts w:ascii="Arial" w:hAnsi="Arial"/>
          <w:sz w:val="20"/>
          <w:szCs w:val="20"/>
        </w:rPr>
      </w:pPr>
      <w:r>
        <w:rPr>
          <w:rFonts w:ascii="Arial" w:hAnsi="Arial"/>
          <w:sz w:val="20"/>
          <w:szCs w:val="20"/>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pPr>
        <w:pStyle w:val="Normal"/>
        <w:jc w:val="both"/>
        <w:rPr>
          <w:rFonts w:ascii="Arial" w:hAnsi="Arial"/>
          <w:sz w:val="20"/>
          <w:szCs w:val="20"/>
        </w:rPr>
      </w:pPr>
      <w:r>
        <w:rPr>
          <w:rFonts w:ascii="Arial" w:hAnsi="Arial"/>
          <w:sz w:val="20"/>
          <w:szCs w:val="20"/>
        </w:rPr>
        <w:t>8.7.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9. CANCELAMENTO DO REGISTRO DO LICITANTE VENCEDOR E DOS PREÇOS REGISTRADOS</w:t>
      </w:r>
    </w:p>
    <w:p>
      <w:pPr>
        <w:pStyle w:val="Normal"/>
        <w:jc w:val="both"/>
        <w:rPr>
          <w:rFonts w:ascii="Arial" w:hAnsi="Arial"/>
          <w:sz w:val="20"/>
          <w:szCs w:val="20"/>
        </w:rPr>
      </w:pPr>
      <w:r>
        <w:rPr>
          <w:rFonts w:ascii="Arial" w:hAnsi="Arial"/>
          <w:sz w:val="20"/>
          <w:szCs w:val="20"/>
        </w:rPr>
        <w:t>9.1. O registro do fornecedor será cancelado pelo gerenciador, quando o fornecedor:</w:t>
      </w:r>
    </w:p>
    <w:p>
      <w:pPr>
        <w:pStyle w:val="Normal"/>
        <w:jc w:val="both"/>
        <w:rPr>
          <w:rFonts w:ascii="Arial" w:hAnsi="Arial"/>
          <w:sz w:val="20"/>
          <w:szCs w:val="20"/>
        </w:rPr>
      </w:pPr>
      <w:r>
        <w:rPr>
          <w:rFonts w:ascii="Arial" w:hAnsi="Arial"/>
          <w:sz w:val="20"/>
          <w:szCs w:val="20"/>
        </w:rPr>
        <w:t xml:space="preserve">9.1.1.Descumprir as condições da ata de registro de preços, sem motivo justificado; </w:t>
      </w:r>
    </w:p>
    <w:p>
      <w:pPr>
        <w:pStyle w:val="Normal"/>
        <w:jc w:val="both"/>
        <w:rPr>
          <w:rFonts w:ascii="Arial" w:hAnsi="Arial"/>
          <w:sz w:val="20"/>
          <w:szCs w:val="20"/>
        </w:rPr>
      </w:pPr>
      <w:r>
        <w:rPr>
          <w:rFonts w:ascii="Arial" w:hAnsi="Arial"/>
          <w:sz w:val="20"/>
          <w:szCs w:val="20"/>
        </w:rPr>
        <w:t xml:space="preserve">9.1.2.Não retirar a nota de empenho, ou instrumento equivalente, no prazo estabelecido pela Administração sem justificativa razoável; </w:t>
      </w:r>
    </w:p>
    <w:p>
      <w:pPr>
        <w:pStyle w:val="Normal"/>
        <w:jc w:val="both"/>
        <w:rPr>
          <w:rFonts w:ascii="Arial" w:hAnsi="Arial"/>
          <w:sz w:val="20"/>
          <w:szCs w:val="20"/>
        </w:rPr>
      </w:pPr>
      <w:r>
        <w:rPr>
          <w:rFonts w:ascii="Arial" w:hAnsi="Arial"/>
          <w:sz w:val="20"/>
          <w:szCs w:val="20"/>
        </w:rPr>
        <w:t xml:space="preserve">9.1.3.Não aceitar manter seu preço registrado, na hipótese prevista no Decreto Municipal; ou Sofrer sanção prevista nos incisos III ou IV do caput do art. 156 da Lei nº 14.133, de 2021. </w:t>
      </w:r>
    </w:p>
    <w:p>
      <w:pPr>
        <w:pStyle w:val="Normal"/>
        <w:jc w:val="both"/>
        <w:rPr>
          <w:rFonts w:ascii="Arial" w:hAnsi="Arial"/>
          <w:sz w:val="20"/>
          <w:szCs w:val="20"/>
        </w:rPr>
      </w:pPr>
      <w:r>
        <w:rPr>
          <w:rFonts w:ascii="Arial" w:hAnsi="Arial"/>
          <w:sz w:val="20"/>
          <w:szCs w:val="20"/>
        </w:rPr>
        <w:t>9.1.3.1.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ormal"/>
        <w:jc w:val="both"/>
        <w:rPr>
          <w:rFonts w:ascii="Arial" w:hAnsi="Arial"/>
          <w:sz w:val="20"/>
          <w:szCs w:val="20"/>
        </w:rPr>
      </w:pPr>
      <w:r>
        <w:rPr>
          <w:rFonts w:ascii="Arial" w:hAnsi="Arial"/>
          <w:sz w:val="20"/>
          <w:szCs w:val="20"/>
        </w:rPr>
        <w:t>9.2. O cancelamento de registros nas hipóteses previstas no item 9.1 será formalizado por despacho do órgão ou da entidade gerenciadora, garantidos os princípios do contraditório e da ampla defesa.</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9.4. O cancelamento dos preços registrados poderá ser realizado pelo gerenciador, em determinada ata de registro de preços, total ou parcialmente, nas seguintes hipóteses, desde que devidamente comprovadas e justificadas:</w:t>
      </w:r>
    </w:p>
    <w:p>
      <w:pPr>
        <w:pStyle w:val="Normal"/>
        <w:jc w:val="both"/>
        <w:rPr>
          <w:rFonts w:ascii="Arial" w:hAnsi="Arial"/>
          <w:sz w:val="20"/>
          <w:szCs w:val="20"/>
        </w:rPr>
      </w:pPr>
      <w:r>
        <w:rPr>
          <w:rFonts w:ascii="Arial" w:hAnsi="Arial"/>
          <w:sz w:val="20"/>
          <w:szCs w:val="20"/>
        </w:rPr>
        <w:t>9.4.1. Por razão de interesse público;</w:t>
      </w:r>
    </w:p>
    <w:p>
      <w:pPr>
        <w:pStyle w:val="Normal"/>
        <w:jc w:val="both"/>
        <w:rPr>
          <w:rFonts w:ascii="Arial" w:hAnsi="Arial"/>
          <w:sz w:val="20"/>
          <w:szCs w:val="20"/>
        </w:rPr>
      </w:pPr>
      <w:r>
        <w:rPr>
          <w:rFonts w:ascii="Arial" w:hAnsi="Arial"/>
          <w:sz w:val="20"/>
          <w:szCs w:val="20"/>
        </w:rPr>
        <w:t xml:space="preserve">9.4.2. A pedido do fornecedor, decorrente de caso fortuito ou força maior; ou </w:t>
      </w:r>
    </w:p>
    <w:p>
      <w:pPr>
        <w:pStyle w:val="Normal"/>
        <w:jc w:val="both"/>
        <w:rPr>
          <w:rFonts w:ascii="Arial" w:hAnsi="Arial"/>
          <w:sz w:val="20"/>
          <w:szCs w:val="20"/>
        </w:rPr>
      </w:pPr>
      <w:r>
        <w:rPr>
          <w:rFonts w:ascii="Arial" w:hAnsi="Arial"/>
          <w:sz w:val="20"/>
          <w:szCs w:val="20"/>
        </w:rPr>
        <w:t>9.4.3. Se não houver êxito nas negociações, nas hipóteses em que o preço de mercado tornar-se superior ou inferior ao preço registrado, nos termos do Decreto Municipal.</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10. DAS PENALIDADES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ormal"/>
        <w:jc w:val="both"/>
        <w:rPr>
          <w:rFonts w:ascii="Arial" w:hAnsi="Arial"/>
          <w:sz w:val="20"/>
          <w:szCs w:val="20"/>
        </w:rPr>
      </w:pPr>
      <w:r>
        <w:rPr>
          <w:rFonts w:ascii="Arial" w:hAnsi="Arial"/>
          <w:sz w:val="20"/>
          <w:szCs w:val="20"/>
        </w:rPr>
        <w:t>10.3. O órgão ou entidade participante deverá comunicar ao órgão gerenciador qualquer das ocorrências previstas no item 9.1, dada a necessidade de instauração de procedimento para cancelamento do registro do fornecedor.</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11. CONDIÇÕES GERAIS</w:t>
      </w:r>
    </w:p>
    <w:p>
      <w:pPr>
        <w:pStyle w:val="Normal"/>
        <w:jc w:val="both"/>
        <w:rPr>
          <w:rFonts w:ascii="Arial" w:hAnsi="Arial"/>
          <w:sz w:val="20"/>
          <w:szCs w:val="20"/>
        </w:rPr>
      </w:pPr>
      <w:r>
        <w:rPr>
          <w:rFonts w:ascii="Arial" w:hAnsi="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I AO EDITAL.</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11.2.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pPr>
      <w:r>
        <w:rPr/>
      </w:r>
    </w:p>
    <w:p>
      <w:pPr>
        <w:pStyle w:val="Normal"/>
        <w:jc w:val="both"/>
        <w:rPr>
          <w:rFonts w:ascii="Arial" w:hAnsi="Arial"/>
          <w:sz w:val="24"/>
          <w:szCs w:val="24"/>
        </w:rPr>
      </w:pPr>
      <w:r>
        <w:rPr>
          <w:rFonts w:ascii="Arial" w:hAnsi="Arial"/>
          <w:sz w:val="24"/>
          <w:szCs w:val="24"/>
        </w:rPr>
        <w:t>Jocemar de Souza Batista</w:t>
      </w:r>
    </w:p>
    <w:p>
      <w:pPr>
        <w:pStyle w:val="Normal"/>
        <w:jc w:val="both"/>
        <w:rPr>
          <w:rFonts w:ascii="Arial" w:hAnsi="Arial"/>
          <w:sz w:val="24"/>
          <w:szCs w:val="24"/>
        </w:rPr>
      </w:pPr>
      <w:r>
        <w:rPr>
          <w:rFonts w:ascii="Arial" w:hAnsi="Arial"/>
          <w:sz w:val="24"/>
          <w:szCs w:val="24"/>
        </w:rPr>
        <w:t>Presidente da Câmara Municipal de Quissamã</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4"/>
          <w:szCs w:val="24"/>
        </w:rPr>
      </w:pPr>
      <w:r>
        <w:rPr>
          <w:rFonts w:ascii="Arial" w:hAnsi="Arial"/>
          <w:sz w:val="24"/>
          <w:szCs w:val="24"/>
        </w:rPr>
        <w:t>EMPRESA:</w:t>
      </w:r>
    </w:p>
    <w:p>
      <w:pPr>
        <w:pStyle w:val="Normal"/>
        <w:jc w:val="both"/>
        <w:rPr>
          <w:rFonts w:ascii="Arial" w:hAnsi="Arial"/>
          <w:sz w:val="24"/>
          <w:szCs w:val="24"/>
        </w:rPr>
      </w:pPr>
      <w:r>
        <w:rPr>
          <w:rFonts w:ascii="Arial" w:hAnsi="Arial"/>
          <w:sz w:val="24"/>
          <w:szCs w:val="24"/>
        </w:rPr>
        <w:t xml:space="preserve">CNPJ: </w:t>
      </w:r>
    </w:p>
    <w:p>
      <w:pPr>
        <w:pStyle w:val="Normal"/>
        <w:jc w:val="both"/>
        <w:rPr>
          <w:rFonts w:ascii="Arial" w:hAnsi="Arial"/>
          <w:sz w:val="24"/>
          <w:szCs w:val="24"/>
        </w:rPr>
      </w:pPr>
      <w:r>
        <w:rPr>
          <w:rFonts w:ascii="Arial" w:hAnsi="Arial"/>
          <w:sz w:val="24"/>
          <w:szCs w:val="24"/>
        </w:rPr>
        <w:t>Representante Legal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rFonts w:ascii="Arial" w:hAnsi="Arial" w:eastAsia="Arial" w:cs="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4"/>
          <w:szCs w:val="24"/>
        </w:rPr>
      </w:pPr>
      <w:r>
        <w:rPr>
          <w:rFonts w:eastAsia="Arial" w:cs="Arial" w:ascii="Arial" w:hAnsi="Arial"/>
          <w:color w:val="00000A"/>
          <w:sz w:val="24"/>
          <w:szCs w:val="24"/>
        </w:rPr>
        <w:t>1) NOME: _____________________________________CPF: 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4"/>
          <w:szCs w:val="24"/>
        </w:rPr>
      </w:pPr>
      <w:r>
        <w:rPr>
          <w:rFonts w:eastAsia="Arial" w:cs="Arial" w:ascii="Arial" w:hAnsi="Arial"/>
          <w:color w:val="00000A"/>
          <w:sz w:val="24"/>
          <w:szCs w:val="24"/>
        </w:rPr>
        <w:t>2) NOME: _____________________________________CPF: ______________________</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r>
    </w:p>
    <w:p>
      <w:pPr>
        <w:pStyle w:val="Normal"/>
        <w:jc w:val="both"/>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720" w:right="1491" w:gutter="0" w:header="1134" w:top="2157" w:footer="1195" w:bottom="159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Liberation Mono">
    <w:altName w:val="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distT="0" distB="0" distL="0" distR="0" simplePos="0" relativeHeight="6" behindDoc="1" locked="0" layoutInCell="0" allowOverlap="1">
          <wp:simplePos x="0" y="0"/>
          <wp:positionH relativeFrom="page">
            <wp:posOffset>997585</wp:posOffset>
          </wp:positionH>
          <wp:positionV relativeFrom="page">
            <wp:posOffset>587375</wp:posOffset>
          </wp:positionV>
          <wp:extent cx="803275" cy="860425"/>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803275" cy="860425"/>
                  </a:xfrm>
                  <a:prstGeom prst="rect">
                    <a:avLst/>
                  </a:prstGeom>
                  <a:noFill/>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distT="0" distB="0" distL="0" distR="0" simplePos="0" relativeHeight="6" behindDoc="1" locked="0" layoutInCell="0" allowOverlap="1">
          <wp:simplePos x="0" y="0"/>
          <wp:positionH relativeFrom="page">
            <wp:posOffset>997585</wp:posOffset>
          </wp:positionH>
          <wp:positionV relativeFrom="page">
            <wp:posOffset>587375</wp:posOffset>
          </wp:positionV>
          <wp:extent cx="803275" cy="860425"/>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803275" cy="860425"/>
                  </a:xfrm>
                  <a:prstGeom prst="rect">
                    <a:avLst/>
                  </a:prstGeom>
                  <a:noFill/>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Liberation Serif" w:hAnsi="Liberation Serif" w:eastAsia="SimSun" w:cs="Mangal"/>
      <w:color w:val="00000A"/>
      <w:kern w:val="0"/>
      <w:sz w:val="24"/>
      <w:szCs w:val="24"/>
      <w:lang w:val="pt-BR" w:eastAsia="zh-CN" w:bidi="hi-IN"/>
    </w:rPr>
  </w:style>
  <w:style w:type="paragraph" w:styleId="Heading1">
    <w:name w:val="heading 1"/>
    <w:basedOn w:val="Ttulo"/>
    <w:qFormat/>
    <w:pPr>
      <w:spacing w:before="240" w:after="120"/>
      <w:outlineLvl w:val="0"/>
    </w:pPr>
    <w:rPr>
      <w:rFonts w:ascii="Liberation Serif" w:hAnsi="Liberation Serif" w:eastAsia="SimSun" w:cs="Mangal"/>
      <w:b/>
      <w:bCs/>
      <w:sz w:val="48"/>
      <w:szCs w:val="48"/>
    </w:rPr>
  </w:style>
  <w:style w:type="paragraph" w:styleId="Heading2">
    <w:name w:val="heading 2"/>
    <w:basedOn w:val="Ttulo"/>
    <w:qFormat/>
    <w:pPr/>
    <w:rPr/>
  </w:style>
  <w:style w:type="paragraph" w:styleId="Heading3">
    <w:name w:val="heading 3"/>
    <w:basedOn w:val="Ttulo"/>
    <w:qFormat/>
    <w:pPr/>
    <w:rPr/>
  </w:style>
  <w:style w:type="paragraph" w:styleId="Heading4">
    <w:name w:val="heading 4"/>
    <w:basedOn w:val="Ttulo"/>
    <w:qFormat/>
    <w:pPr>
      <w:spacing w:before="120" w:after="120"/>
      <w:outlineLvl w:val="3"/>
    </w:pPr>
    <w:rPr>
      <w:rFonts w:ascii="Liberation Serif" w:hAnsi="Liberation Serif" w:eastAsia="SimSun" w:cs="Mangal"/>
      <w:b/>
      <w:bCs/>
      <w:color w:val="808080"/>
      <w:sz w:val="24"/>
      <w:szCs w:val="24"/>
    </w:rPr>
  </w:style>
  <w:style w:type="paragraph" w:styleId="Heading5">
    <w:name w:val="heading 5"/>
    <w:basedOn w:val="Ttulo"/>
    <w:qFormat/>
    <w:pPr>
      <w:spacing w:before="120" w:after="60"/>
      <w:outlineLvl w:val="4"/>
    </w:pPr>
    <w:rPr>
      <w:rFonts w:ascii="Liberation Serif" w:hAnsi="Liberation Serif" w:eastAsia="SimSun" w:cs="Mangal"/>
      <w:b/>
      <w:bCs/>
      <w:sz w:val="20"/>
      <w:szCs w:val="20"/>
    </w:rPr>
  </w:style>
  <w:style w:type="character" w:styleId="Hyperlink">
    <w:name w:val="Hyperlink"/>
    <w:qFormat/>
    <w:rPr>
      <w:color w:val="000080"/>
      <w:u w:val="single"/>
      <w:lang w:val="zxx" w:eastAsia="zxx" w:bidi="zxx"/>
    </w:rPr>
  </w:style>
  <w:style w:type="character" w:styleId="Strong">
    <w:name w:val="Strong"/>
    <w:qFormat/>
    <w:rPr>
      <w:b/>
      <w:bCs/>
    </w:rPr>
  </w:style>
  <w:style w:type="character" w:styleId="Emphasis">
    <w:name w:val="Emphasis"/>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Corpodotexto"/>
    <w:qFormat/>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orpodotexto">
    <w:name w:val="Corpo do texto"/>
    <w:basedOn w:val="Normal"/>
    <w:qFormat/>
    <w:pPr>
      <w:spacing w:lineRule="auto" w:line="288" w:before="0" w:after="140"/>
    </w:pPr>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Header">
    <w:name w:val="header"/>
    <w:basedOn w:val="Cabealhoerodapuser"/>
    <w:qFormat/>
    <w:pPr/>
    <w:rPr/>
  </w:style>
  <w:style w:type="paragraph" w:styleId="Footer">
    <w:name w:val="footer"/>
    <w:basedOn w:val="Cabealhoerodapuser"/>
    <w:qFormat/>
    <w:pPr/>
    <w:rPr/>
  </w:style>
  <w:style w:type="paragraph" w:styleId="Textoprformatado">
    <w:name w:val="Texto préformatado"/>
    <w:basedOn w:val="Normal"/>
    <w:qFormat/>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Recuodecorpodetexto2">
    <w:name w:val="Recuo de corpo de texto 2"/>
    <w:basedOn w:val="Normal"/>
    <w:qFormat/>
    <w:pPr>
      <w:spacing w:lineRule="auto" w:line="480" w:before="0" w:after="120"/>
      <w:ind w:hanging="0" w:left="283" w:right="0"/>
    </w:pPr>
    <w:rPr/>
  </w:style>
  <w:style w:type="paragraph" w:styleId="TableParagraph">
    <w:name w:val="Table Paragraph"/>
    <w:basedOn w:val="Normal"/>
    <w:qFormat/>
    <w:pPr>
      <w:jc w:val="center"/>
    </w:pPr>
    <w:rPr/>
  </w:style>
  <w:style w:type="paragraph" w:styleId="Nivel2">
    <w:name w:val="Nivel 2"/>
    <w:basedOn w:val="Normal"/>
    <w:qFormat/>
    <w:pPr>
      <w:spacing w:lineRule="auto" w:line="276" w:before="120" w:after="120"/>
      <w:ind w:hanging="0" w:left="0" w:right="0"/>
      <w:jc w:val="both"/>
    </w:pPr>
    <w:rPr>
      <w:rFonts w:ascii="Arial" w:hAnsi="Arial" w:cs="Arial"/>
      <w:color w:val="000000"/>
      <w:sz w:val="20"/>
      <w:szCs w:val="20"/>
    </w:rPr>
  </w:style>
  <w:style w:type="paragraph" w:styleId="Nivel01">
    <w:name w:val="Nivel 01"/>
    <w:basedOn w:val="Heading1"/>
    <w:next w:val="Normal"/>
    <w:qFormat/>
    <w:pPr>
      <w:shd w:val="clear" w:fill="D9D9D9"/>
      <w:tabs>
        <w:tab w:val="clear" w:pos="720"/>
        <w:tab w:val="left" w:pos="1043" w:leader="none"/>
      </w:tabs>
      <w:spacing w:before="288" w:after="288"/>
      <w:jc w:val="both"/>
    </w:pPr>
    <w:rPr>
      <w:rFonts w:ascii="Times New Roman" w:hAnsi="Times New Roman" w:cs="Times New Roman"/>
      <w:color w:val="00000A"/>
      <w:sz w:val="24"/>
      <w:szCs w:val="24"/>
    </w:rPr>
  </w:style>
  <w:style w:type="paragraph" w:styleId="Nivel3">
    <w:name w:val="Nivel 3"/>
    <w:basedOn w:val="Normal"/>
    <w:qFormat/>
    <w:pPr>
      <w:spacing w:lineRule="auto" w:line="276" w:before="120" w:after="120"/>
      <w:ind w:hanging="0" w:left="284" w:right="0"/>
      <w:jc w:val="both"/>
    </w:pPr>
    <w:rPr>
      <w:rFonts w:ascii="Arial" w:hAnsi="Arial" w:cs="Arial"/>
      <w:color w:val="000000"/>
      <w:sz w:val="20"/>
      <w:szCs w:val="20"/>
    </w:rPr>
  </w:style>
  <w:style w:type="paragraph" w:styleId="Nvel3-R">
    <w:name w:val="Nível 3-R"/>
    <w:basedOn w:val="Nivel3"/>
    <w:qFormat/>
    <w:pPr/>
    <w:rPr>
      <w:i/>
      <w:iCs/>
      <w:color w:val="FF0000"/>
    </w:rPr>
  </w:style>
  <w:style w:type="paragraph" w:styleId="Nvel2-Red">
    <w:name w:val="Nível 2 -Red"/>
    <w:basedOn w:val="Nivel2"/>
    <w:qFormat/>
    <w:pPr/>
    <w:rPr>
      <w:i/>
      <w:iCs/>
      <w:color w:val="FF0000"/>
    </w:rPr>
  </w:style>
  <w:style w:type="paragraph" w:styleId="Nivel4">
    <w:name w:val="Nivel 4"/>
    <w:basedOn w:val="Nivel3"/>
    <w:qFormat/>
    <w:pPr>
      <w:ind w:hanging="0" w:left="567" w:right="0"/>
    </w:pPr>
    <w:rPr>
      <w:color w:val="00000A"/>
    </w:rPr>
  </w:style>
  <w:style w:type="paragraph" w:styleId="LO-normal">
    <w:name w:val="LO-normal"/>
    <w:qFormat/>
    <w:pPr>
      <w:widowControl/>
      <w:suppressAutoHyphens w:val="true"/>
      <w:overflowPunct w:val="true"/>
      <w:bidi w:val="0"/>
      <w:spacing w:before="0" w:after="0"/>
      <w:jc w:val="left"/>
    </w:pPr>
    <w:rPr>
      <w:rFonts w:ascii="Liberation Serif" w:hAnsi="Liberation Serif" w:eastAsia="Liberation Serif" w:cs="Liberation Serif"/>
      <w:color w:val="00000A"/>
      <w:kern w:val="0"/>
      <w:sz w:val="24"/>
      <w:szCs w:val="24"/>
      <w:lang w:val="pt-BR" w:eastAsia="zh-CN" w:bidi="hi-IN"/>
    </w:rPr>
  </w:style>
  <w:style w:type="paragraph" w:styleId="Corpodetexto21">
    <w:name w:val="Corpo de texto 21"/>
    <w:basedOn w:val="Normal"/>
    <w:qFormat/>
    <w:pPr>
      <w:spacing w:lineRule="auto" w:line="360"/>
      <w:ind w:firstLine="851" w:left="567" w:right="0"/>
      <w:jc w:val="both"/>
    </w:pPr>
    <w:rPr>
      <w:rFonts w:ascii="Times New Roman" w:hAnsi="Times New Roman" w:cs="Times New Roman"/>
      <w:szCs w:val="20"/>
    </w:rPr>
  </w:style>
  <w:style w:type="paragraph" w:styleId="Ttulodetabela">
    <w:name w:val="Título de tabela"/>
    <w:basedOn w:val="Contedodatabela"/>
    <w:qFormat/>
    <w:pPr/>
    <w:rPr/>
  </w:style>
  <w:style w:type="paragraph" w:styleId="ListNumber">
    <w:name w:val="List Number"/>
    <w:basedOn w:val="List"/>
    <w:qFormat/>
    <w:pPr/>
    <w:rPr/>
  </w:style>
  <w:style w:type="paragraph" w:styleId="ListNumber2">
    <w:name w:val="List Number 2"/>
    <w:basedOn w:val="List"/>
    <w:qFormat/>
    <w:pPr/>
    <w:rPr/>
  </w:style>
  <w:style w:type="paragraph" w:styleId="ListNumber3">
    <w:name w:val="List Number 3"/>
    <w:basedOn w:val="List"/>
    <w:qFormat/>
    <w:pPr/>
    <w:rPr/>
  </w:style>
  <w:style w:type="paragraph" w:styleId="BodyTextFirstIndent">
    <w:name w:val="Body Text First Indent"/>
    <w:basedOn w:val="Corpodotexto"/>
    <w:qFormat/>
    <w:pPr/>
    <w:rPr/>
  </w:style>
  <w:style w:type="paragraph" w:styleId="Corpodetextorecuado">
    <w:name w:val="Corpo de texto recuado"/>
    <w:basedOn w:val="Corpodotexto"/>
    <w:qFormat/>
    <w:pPr/>
    <w:rPr/>
  </w:style>
  <w:style w:type="paragraph" w:styleId="ListNumber4">
    <w:name w:val="List Number 4"/>
    <w:basedOn w:val="List"/>
    <w:qFormat/>
    <w:pPr/>
    <w:rPr/>
  </w:style>
  <w:style w:type="paragraph" w:styleId="ListBullet">
    <w:name w:val="List Bullet"/>
    <w:basedOn w:val="List"/>
    <w:qFormat/>
    <w:pPr/>
    <w:rPr/>
  </w:style>
  <w:style w:type="paragraph" w:styleId="Citaes">
    <w:name w:val="Citações"/>
    <w:basedOn w:val="Normal"/>
    <w:qFormat/>
    <w:pPr/>
    <w:rPr/>
  </w:style>
  <w:style w:type="paragraph" w:styleId="Title">
    <w:name w:val="Title"/>
    <w:basedOn w:val="Ttulo"/>
    <w:qFormat/>
    <w:pPr/>
    <w:rPr/>
  </w:style>
  <w:style w:type="paragraph" w:styleId="Subtitle">
    <w:name w:val="Subtitle"/>
    <w:basedOn w:val="Ttulo"/>
    <w:qFormat/>
    <w:pPr/>
    <w:rPr/>
  </w:style>
  <w:style w:type="paragraph" w:styleId="Suspensodorecuo">
    <w:name w:val="Suspensão do recuo"/>
    <w:basedOn w:val="Corpodotexto"/>
    <w:qFormat/>
    <w:pPr/>
    <w:rPr/>
  </w:style>
  <w:style w:type="paragraph" w:styleId="Nivel01Titulo">
    <w:name w:val="Nivel_01_Titulo"/>
    <w:basedOn w:val="Heading1"/>
    <w:qFormat/>
    <w:pPr>
      <w:tabs>
        <w:tab w:val="clear" w:pos="720"/>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basedOn w:val="Normal"/>
    <w:qFormat/>
    <w:pPr>
      <w:spacing w:lineRule="auto" w:line="288" w:before="0" w:after="140"/>
    </w:pPr>
    <w:rPr/>
  </w:style>
  <w:style w:type="paragraph" w:styleId="Contedodoquadro">
    <w:name w:val="Conteúdo do quadro"/>
    <w:basedOn w:val="Normal"/>
    <w:qFormat/>
    <w:pPr/>
    <w:rPr/>
  </w:style>
  <w:style w:type="paragraph" w:styleId="Cabealhoerodapuser">
    <w:name w:val="Cabeçalho e rodapé (user)"/>
    <w:basedOn w:val="Normal"/>
    <w:qFormat/>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502163</TotalTime>
  <Application>LibreOffice/26.2.4.2$Windows_X86_64 LibreOffice_project/0229ac93fcf0d7cbc6376066c6f35021cef002dc</Application>
  <AppVersion>15.0000</AppVersion>
  <Pages>5</Pages>
  <Words>2530</Words>
  <Characters>14133</Characters>
  <CharactersWithSpaces>16800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creator/>
  <dc:description/>
  <dc:language>pt-BR</dc:language>
  <cp:lastModifiedBy/>
  <cp:lastPrinted>2026-05-12T13:00:31Z</cp:lastPrinted>
  <dcterms:modified xsi:type="dcterms:W3CDTF">2026-07-30T17:36:41Z</dcterms:modified>
  <cp:revision>110</cp:revision>
  <dc:subject/>
  <dc:title/>
</cp:coreProperties>
</file>

<file path=docProps/custom.xml><?xml version="1.0" encoding="utf-8"?>
<Properties xmlns="http://schemas.openxmlformats.org/officeDocument/2006/custom-properties" xmlns:vt="http://schemas.openxmlformats.org/officeDocument/2006/docPropsVTypes"/>
</file>