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Ttulo1"/>
        <w:spacing w:before="240" w:after="120"/>
        <w:rPr>
          <w:sz w:val="24"/>
          <w:szCs w:val="24"/>
        </w:rPr>
      </w:pPr>
      <w:r>
        <w:rPr>
          <w:sz w:val="24"/>
          <w:szCs w:val="24"/>
        </w:rPr>
        <w:t xml:space="preserve">ANEXO III – MODELO DE PROPOSTA FINAL ADEQUADA AO ÚLTIMO LANCE OFERTADO </w:t>
      </w:r>
    </w:p>
    <w:p>
      <w:pPr>
        <w:pStyle w:val="Ttulo1"/>
        <w:rPr>
          <w:sz w:val="24"/>
          <w:szCs w:val="24"/>
        </w:rPr>
      </w:pPr>
      <w:r>
        <w:rPr>
          <w:sz w:val="24"/>
          <w:szCs w:val="24"/>
        </w:rPr>
        <w:t xml:space="preserve">UASG 929892 - CAMARA MUNICIPAL DE QUISSAMÃ - RJ </w:t>
      </w:r>
    </w:p>
    <w:p>
      <w:pPr>
        <w:pStyle w:val="Ttulo1"/>
        <w:rPr>
          <w:sz w:val="24"/>
          <w:szCs w:val="24"/>
        </w:rPr>
      </w:pPr>
      <w:r>
        <w:rPr>
          <w:sz w:val="24"/>
          <w:szCs w:val="24"/>
        </w:rPr>
        <w:t xml:space="preserve">PROCESSO LICITATÓRIO Nº 552/2025 </w:t>
      </w:r>
    </w:p>
    <w:p>
      <w:pPr>
        <w:pStyle w:val="Ttulo1"/>
        <w:rPr>
          <w:sz w:val="24"/>
          <w:szCs w:val="24"/>
        </w:rPr>
      </w:pPr>
      <w:r>
        <w:rPr>
          <w:sz w:val="24"/>
          <w:szCs w:val="24"/>
        </w:rPr>
        <w:t xml:space="preserve">PREGÃO ELETRONICO Nº 0002/2026 </w:t>
      </w:r>
    </w:p>
    <w:p>
      <w:pPr>
        <w:pStyle w:val="Ttulo1"/>
        <w:rPr>
          <w:sz w:val="24"/>
          <w:szCs w:val="24"/>
        </w:rPr>
      </w:pPr>
      <w:r>
        <w:rPr>
          <w:sz w:val="24"/>
          <w:szCs w:val="24"/>
        </w:rPr>
        <w:t xml:space="preserve">Dados da empresa: </w:t>
      </w:r>
    </w:p>
    <w:p>
      <w:pPr>
        <w:pStyle w:val="Ttulo1"/>
        <w:rPr>
          <w:sz w:val="24"/>
          <w:szCs w:val="24"/>
        </w:rPr>
      </w:pPr>
      <w:r>
        <w:rPr>
          <w:sz w:val="24"/>
          <w:szCs w:val="24"/>
        </w:rPr>
        <w:t xml:space="preserve">Razão Social: </w:t>
      </w:r>
    </w:p>
    <w:p>
      <w:pPr>
        <w:pStyle w:val="Ttulo1"/>
        <w:rPr>
          <w:sz w:val="24"/>
          <w:szCs w:val="24"/>
        </w:rPr>
      </w:pPr>
      <w:r>
        <w:rPr>
          <w:sz w:val="24"/>
          <w:szCs w:val="24"/>
        </w:rPr>
        <w:t xml:space="preserve">CNPJ: </w:t>
      </w:r>
    </w:p>
    <w:p>
      <w:pPr>
        <w:pStyle w:val="Ttulo1"/>
        <w:rPr>
          <w:sz w:val="24"/>
          <w:szCs w:val="24"/>
        </w:rPr>
      </w:pPr>
      <w:r>
        <w:rPr>
          <w:sz w:val="24"/>
          <w:szCs w:val="24"/>
        </w:rPr>
        <w:t xml:space="preserve">Endereço: </w:t>
      </w:r>
    </w:p>
    <w:p>
      <w:pPr>
        <w:pStyle w:val="Ttulo1"/>
        <w:rPr>
          <w:sz w:val="24"/>
          <w:szCs w:val="24"/>
        </w:rPr>
      </w:pPr>
      <w:r>
        <w:rPr>
          <w:sz w:val="24"/>
          <w:szCs w:val="24"/>
        </w:rPr>
        <w:t xml:space="preserve">Telefones: </w:t>
      </w:r>
    </w:p>
    <w:p>
      <w:pPr>
        <w:pStyle w:val="Ttulo1"/>
        <w:rPr>
          <w:sz w:val="24"/>
          <w:szCs w:val="24"/>
        </w:rPr>
      </w:pPr>
      <w:r>
        <w:rPr>
          <w:sz w:val="24"/>
          <w:szCs w:val="24"/>
        </w:rPr>
        <w:t>E-mail institucional:</w:t>
      </w:r>
    </w:p>
    <w:p>
      <w:pPr>
        <w:pStyle w:val="Ttulo1"/>
        <w:rPr>
          <w:sz w:val="24"/>
          <w:szCs w:val="24"/>
        </w:rPr>
      </w:pPr>
      <w:r>
        <w:rPr>
          <w:sz w:val="24"/>
          <w:szCs w:val="24"/>
        </w:rPr>
        <w:t xml:space="preserve">Responsável pela assinatura da Ata: </w:t>
      </w:r>
    </w:p>
    <w:p>
      <w:pPr>
        <w:pStyle w:val="Ttulo1"/>
        <w:rPr>
          <w:sz w:val="24"/>
          <w:szCs w:val="24"/>
        </w:rPr>
      </w:pPr>
      <w:r>
        <w:rPr>
          <w:sz w:val="24"/>
          <w:szCs w:val="24"/>
        </w:rPr>
        <w:t xml:space="preserve">Nome: </w:t>
      </w:r>
    </w:p>
    <w:p>
      <w:pPr>
        <w:pStyle w:val="Ttulo1"/>
        <w:rPr>
          <w:sz w:val="24"/>
          <w:szCs w:val="24"/>
        </w:rPr>
      </w:pPr>
      <w:r>
        <w:rPr>
          <w:sz w:val="24"/>
          <w:szCs w:val="24"/>
        </w:rPr>
        <w:t xml:space="preserve">CPF: </w:t>
      </w:r>
    </w:p>
    <w:p>
      <w:pPr>
        <w:pStyle w:val="Ttulo1"/>
        <w:rPr>
          <w:sz w:val="24"/>
          <w:szCs w:val="24"/>
        </w:rPr>
      </w:pPr>
      <w:r>
        <w:rPr>
          <w:sz w:val="24"/>
          <w:szCs w:val="24"/>
        </w:rPr>
        <w:t xml:space="preserve">Cargo: </w:t>
      </w:r>
    </w:p>
    <w:p>
      <w:pPr>
        <w:pStyle w:val="Ttulo1"/>
        <w:rPr>
          <w:sz w:val="24"/>
          <w:szCs w:val="24"/>
        </w:rPr>
      </w:pPr>
      <w:r>
        <w:rPr>
          <w:sz w:val="24"/>
          <w:szCs w:val="24"/>
        </w:rPr>
        <w:t xml:space="preserve">Endereço: </w:t>
      </w:r>
    </w:p>
    <w:p>
      <w:pPr>
        <w:pStyle w:val="ListParagraph"/>
        <w:tabs>
          <w:tab w:val="left" w:pos="710" w:leader="none"/>
        </w:tabs>
        <w:ind w:left="0" w:right="100" w:hanging="0"/>
        <w:jc w:val="both"/>
        <w:rPr>
          <w:rFonts w:cs="Arial" w:ascii="Arial" w:hAnsi="Arial"/>
          <w:b/>
          <w:bCs/>
          <w:sz w:val="22"/>
          <w:szCs w:val="22"/>
        </w:rPr>
      </w:pPr>
      <w:r>
        <w:rPr>
          <w:rFonts w:eastAsia="Arial" w:cs="Arial" w:ascii="Arial" w:hAnsi="Arial"/>
          <w:b/>
          <w:bCs/>
          <w:sz w:val="22"/>
          <w:szCs w:val="22"/>
        </w:rPr>
        <w:t xml:space="preserve">● </w:t>
      </w:r>
      <w:r>
        <w:rPr>
          <w:rFonts w:cs="Arial" w:ascii="Arial" w:hAnsi="Arial"/>
          <w:b/>
          <w:bCs/>
          <w:sz w:val="22"/>
          <w:szCs w:val="22"/>
        </w:rPr>
        <w:t>LOTE 1:</w:t>
      </w:r>
    </w:p>
    <w:p>
      <w:pPr>
        <w:pStyle w:val="ListParagraph"/>
        <w:tabs>
          <w:tab w:val="left" w:pos="710" w:leader="none"/>
        </w:tabs>
        <w:ind w:left="0" w:right="100" w:hanging="0"/>
        <w:jc w:val="both"/>
        <w:rPr>
          <w:rFonts w:cs="Arial" w:ascii="Arial" w:hAnsi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tbl>
      <w:tblPr>
        <w:jc w:val="left"/>
        <w:tblInd w:w="4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  <w:right w:val="nil"/>
          <w:insideV w:val="nil"/>
        </w:tblBorders>
        <w:tblCellMar>
          <w:top w:w="55" w:type="dxa"/>
          <w:left w:w="40" w:type="dxa"/>
          <w:bottom w:w="55" w:type="dxa"/>
          <w:right w:w="55" w:type="dxa"/>
        </w:tblCellMar>
      </w:tblPr>
      <w:tblGrid>
        <w:gridCol w:w="623"/>
        <w:gridCol w:w="5835"/>
        <w:gridCol w:w="677"/>
        <w:gridCol w:w="571"/>
        <w:gridCol w:w="1136"/>
        <w:gridCol w:w="1312"/>
      </w:tblGrid>
      <w:tr>
        <w:trPr>
          <w:cantSplit w:val="false"/>
        </w:trPr>
        <w:tc>
          <w:tcPr>
            <w:tcW w:w="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40" w:type="dxa"/>
            </w:tcMar>
          </w:tcPr>
          <w:p>
            <w:pPr>
              <w:pStyle w:val="Contedodatabela"/>
              <w:jc w:val="center"/>
              <w:rPr>
                <w:rFonts w:cs="Arial" w:ascii="Arial" w:hAnsi="Arial"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40" w:type="dxa"/>
            </w:tcMar>
          </w:tcPr>
          <w:p>
            <w:pPr>
              <w:pStyle w:val="Contedodatabela"/>
              <w:jc w:val="center"/>
              <w:rPr>
                <w:rFonts w:cs="Arial" w:ascii="Arial" w:hAnsi="Arial"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DESCRIÇÃO DO MATERIAL</w:t>
            </w:r>
          </w:p>
        </w:tc>
        <w:tc>
          <w:tcPr>
            <w:tcW w:w="6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40" w:type="dxa"/>
            </w:tcMar>
          </w:tcPr>
          <w:p>
            <w:pPr>
              <w:pStyle w:val="Contedodatabela"/>
              <w:jc w:val="center"/>
              <w:rPr>
                <w:rFonts w:cs="Arial" w:ascii="Arial" w:hAnsi="Arial"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QNT</w:t>
            </w:r>
          </w:p>
        </w:tc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40" w:type="dxa"/>
            </w:tcMar>
          </w:tcPr>
          <w:p>
            <w:pPr>
              <w:pStyle w:val="Contedodatabela"/>
              <w:jc w:val="center"/>
              <w:rPr>
                <w:rFonts w:cs="Arial" w:ascii="Arial" w:hAnsi="Arial"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11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40" w:type="dxa"/>
            </w:tcMar>
          </w:tcPr>
          <w:p>
            <w:pPr>
              <w:pStyle w:val="Contedodatabela"/>
              <w:jc w:val="center"/>
              <w:rPr>
                <w:rFonts w:cs="Arial" w:ascii="Arial" w:hAnsi="Arial"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 xml:space="preserve">VALOR </w:t>
            </w:r>
            <w:r>
              <w:rPr>
                <w:rFonts w:cs="Arial" w:ascii="Arial" w:hAnsi="Arial"/>
                <w:b/>
                <w:bCs/>
                <w:sz w:val="18"/>
                <w:szCs w:val="18"/>
              </w:rPr>
              <w:t>MENSAL</w:t>
            </w:r>
          </w:p>
        </w:tc>
        <w:tc>
          <w:tcPr>
            <w:tcW w:w="13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40" w:type="dxa"/>
            </w:tcMar>
          </w:tcPr>
          <w:p>
            <w:pPr>
              <w:pStyle w:val="Contedodatabela"/>
              <w:jc w:val="center"/>
              <w:rPr>
                <w:rFonts w:cs="Arial" w:ascii="Arial" w:hAnsi="Arial"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 xml:space="preserve">VALOR </w:t>
            </w:r>
            <w:r>
              <w:rPr>
                <w:rFonts w:cs="Arial" w:ascii="Arial" w:hAnsi="Arial"/>
                <w:b/>
                <w:bCs/>
                <w:sz w:val="18"/>
                <w:szCs w:val="18"/>
              </w:rPr>
              <w:t>TOTAL ANUAL</w:t>
            </w:r>
          </w:p>
        </w:tc>
      </w:tr>
      <w:tr>
        <w:trPr>
          <w:cantSplit w:val="false"/>
        </w:trPr>
        <w:tc>
          <w:tcPr>
            <w:tcW w:w="623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40" w:type="dxa"/>
            </w:tcMar>
          </w:tcPr>
          <w:p>
            <w:pPr>
              <w:pStyle w:val="Contedodatabela"/>
              <w:rPr>
                <w:rFonts w:cs="Arial"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01</w:t>
            </w:r>
          </w:p>
        </w:tc>
        <w:tc>
          <w:tcPr>
            <w:tcW w:w="5835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40" w:type="dxa"/>
            </w:tcMar>
          </w:tcPr>
          <w:p>
            <w:pPr>
              <w:pStyle w:val="Contedodatabela"/>
              <w:jc w:val="both"/>
              <w:rPr>
                <w:rFonts w:eastAsia="Arial"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BR" w:eastAsia="en-US" w:bidi="ar-SA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BR" w:eastAsia="en-US" w:bidi="ar-SA"/>
              </w:rPr>
              <w:t>Locação de Impressora Multifuncional colorida 3 em 1: imprime, copia digitaliza / Wi-Fi Direct e Ethernet; ADF de 30 folhas simplex; impressão frente e verso automática; Impressão e cópia fácil – Com visor LCD colorido de 2.4" Digitalização de alta qualidade – Scanner de 1200 x 2400 dpi com ampliação de fotos e documentos; Imprime em até 33 ppm em preto e 20 ppm em cores; Versátil – Capacidade de 150 folhas com bandeja frontal; Impressão de fotos sem bordas até A4/Carta. Incluindo tinta e suporte técnico de hardware on-site em até 4 horas com troca de peças e substituição do equipamento em até 12 horas. Sem limite de impressão mensal</w:t>
            </w:r>
            <w:r>
              <w:rPr>
                <w:rFonts w:eastAsia="Arial"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BR" w:eastAsia="en-US" w:bidi="ar-SA"/>
              </w:rPr>
              <w:t>. SENDO: 19 Unidades no valor estimado de 446,89 cada unidade, no valor mês de 8.490,91.</w:t>
            </w:r>
          </w:p>
        </w:tc>
        <w:tc>
          <w:tcPr>
            <w:tcW w:w="677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40" w:type="dxa"/>
            </w:tcMar>
          </w:tcPr>
          <w:p>
            <w:pPr>
              <w:pStyle w:val="Contedodatabela"/>
              <w:rPr>
                <w:rFonts w:cs="Arial"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12</w:t>
            </w:r>
          </w:p>
        </w:tc>
        <w:tc>
          <w:tcPr>
            <w:tcW w:w="571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40" w:type="dxa"/>
            </w:tcMar>
          </w:tcPr>
          <w:p>
            <w:pPr>
              <w:pStyle w:val="Contedodatabela"/>
              <w:rPr>
                <w:rFonts w:cs="Arial"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MÊS</w:t>
            </w:r>
          </w:p>
        </w:tc>
        <w:tc>
          <w:tcPr>
            <w:tcW w:w="1136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40" w:type="dxa"/>
            </w:tcMar>
          </w:tcPr>
          <w:p>
            <w:pPr>
              <w:pStyle w:val="Contedodatabela"/>
              <w:rPr>
                <w:rFonts w:cs="Arial"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 xml:space="preserve">R$ </w:t>
            </w:r>
          </w:p>
        </w:tc>
        <w:tc>
          <w:tcPr>
            <w:tcW w:w="1312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40" w:type="dxa"/>
            </w:tcMar>
          </w:tcPr>
          <w:p>
            <w:pPr>
              <w:pStyle w:val="Contedodatabela"/>
              <w:rPr>
                <w:rFonts w:cs="Arial"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 xml:space="preserve">R$ </w:t>
            </w:r>
          </w:p>
        </w:tc>
      </w:tr>
    </w:tbl>
    <w:p>
      <w:pPr>
        <w:pStyle w:val="ListParagraph"/>
        <w:tabs>
          <w:tab w:val="left" w:pos="710" w:leader="none"/>
        </w:tabs>
        <w:ind w:left="0" w:right="100" w:hanging="0"/>
        <w:jc w:val="both"/>
        <w:rPr>
          <w:rFonts w:cs="Arial" w:ascii="Arial" w:hAnsi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ListParagraph"/>
        <w:tabs>
          <w:tab w:val="left" w:pos="710" w:leader="none"/>
        </w:tabs>
        <w:ind w:left="0" w:right="100" w:hanging="0"/>
        <w:jc w:val="both"/>
        <w:rPr>
          <w:rFonts w:cs="Arial" w:ascii="Arial" w:hAnsi="Arial"/>
          <w:b/>
          <w:bCs/>
          <w:sz w:val="22"/>
          <w:szCs w:val="22"/>
        </w:rPr>
      </w:pPr>
      <w:r>
        <w:rPr>
          <w:rFonts w:eastAsia="Arial" w:cs="Arial" w:ascii="Arial" w:hAnsi="Arial"/>
          <w:b/>
          <w:bCs/>
          <w:sz w:val="22"/>
          <w:szCs w:val="22"/>
        </w:rPr>
        <w:t xml:space="preserve">● </w:t>
      </w:r>
      <w:r>
        <w:rPr>
          <w:rFonts w:cs="Arial" w:ascii="Arial" w:hAnsi="Arial"/>
          <w:b/>
          <w:bCs/>
          <w:sz w:val="22"/>
          <w:szCs w:val="22"/>
        </w:rPr>
        <w:t>LOTE 2:</w:t>
      </w:r>
    </w:p>
    <w:tbl>
      <w:tblPr>
        <w:jc w:val="left"/>
        <w:tblInd w:w="4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  <w:right w:val="nil"/>
          <w:insideV w:val="nil"/>
        </w:tblBorders>
        <w:tblCellMar>
          <w:top w:w="55" w:type="dxa"/>
          <w:left w:w="40" w:type="dxa"/>
          <w:bottom w:w="55" w:type="dxa"/>
          <w:right w:w="55" w:type="dxa"/>
        </w:tblCellMar>
      </w:tblPr>
      <w:tblGrid>
        <w:gridCol w:w="711"/>
        <w:gridCol w:w="5748"/>
        <w:gridCol w:w="677"/>
        <w:gridCol w:w="558"/>
        <w:gridCol w:w="1136"/>
        <w:gridCol w:w="1324"/>
      </w:tblGrid>
      <w:tr>
        <w:trPr>
          <w:cantSplit w:val="false"/>
        </w:trPr>
        <w:tc>
          <w:tcPr>
            <w:tcW w:w="7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40" w:type="dxa"/>
            </w:tcMar>
          </w:tcPr>
          <w:p>
            <w:pPr>
              <w:pStyle w:val="Contedodatabela"/>
              <w:jc w:val="center"/>
              <w:rPr>
                <w:rFonts w:cs="Arial" w:ascii="Arial" w:hAnsi="Arial"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7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40" w:type="dxa"/>
            </w:tcMar>
          </w:tcPr>
          <w:p>
            <w:pPr>
              <w:pStyle w:val="Contedodatabela"/>
              <w:jc w:val="center"/>
              <w:rPr>
                <w:rFonts w:cs="Arial" w:ascii="Arial" w:hAnsi="Arial"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DESCRIÇÃO DO MATERIAL</w:t>
            </w:r>
          </w:p>
        </w:tc>
        <w:tc>
          <w:tcPr>
            <w:tcW w:w="6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40" w:type="dxa"/>
            </w:tcMar>
          </w:tcPr>
          <w:p>
            <w:pPr>
              <w:pStyle w:val="Contedodatabela"/>
              <w:jc w:val="center"/>
              <w:rPr>
                <w:rFonts w:cs="Arial" w:ascii="Arial" w:hAnsi="Arial"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QTD</w:t>
            </w:r>
          </w:p>
        </w:tc>
        <w:tc>
          <w:tcPr>
            <w:tcW w:w="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40" w:type="dxa"/>
            </w:tcMar>
          </w:tcPr>
          <w:p>
            <w:pPr>
              <w:pStyle w:val="Contedodatabela"/>
              <w:jc w:val="center"/>
              <w:rPr>
                <w:rFonts w:cs="Arial" w:ascii="Arial" w:hAnsi="Arial"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11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40" w:type="dxa"/>
            </w:tcMar>
          </w:tcPr>
          <w:p>
            <w:pPr>
              <w:pStyle w:val="Contedodatabela"/>
              <w:jc w:val="center"/>
              <w:rPr>
                <w:rFonts w:cs="Arial" w:ascii="Arial" w:hAnsi="Arial"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 xml:space="preserve">VALOR </w:t>
            </w:r>
            <w:r>
              <w:rPr>
                <w:rFonts w:cs="Arial" w:ascii="Arial" w:hAnsi="Arial"/>
                <w:b/>
                <w:bCs/>
                <w:sz w:val="18"/>
                <w:szCs w:val="18"/>
              </w:rPr>
              <w:t>MENSAL</w:t>
            </w:r>
          </w:p>
        </w:tc>
        <w:tc>
          <w:tcPr>
            <w:tcW w:w="13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40" w:type="dxa"/>
            </w:tcMar>
          </w:tcPr>
          <w:p>
            <w:pPr>
              <w:pStyle w:val="Contedodatabela"/>
              <w:jc w:val="center"/>
              <w:rPr>
                <w:rFonts w:cs="Arial" w:ascii="Arial" w:hAnsi="Arial"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 xml:space="preserve">VALOR TOTAL </w:t>
            </w:r>
            <w:r>
              <w:rPr>
                <w:rFonts w:cs="Arial" w:ascii="Arial" w:hAnsi="Arial"/>
                <w:b/>
                <w:bCs/>
                <w:sz w:val="18"/>
                <w:szCs w:val="18"/>
              </w:rPr>
              <w:t>ANUAL</w:t>
            </w:r>
          </w:p>
        </w:tc>
      </w:tr>
      <w:tr>
        <w:trPr>
          <w:cantSplit w:val="false"/>
        </w:trPr>
        <w:tc>
          <w:tcPr>
            <w:tcW w:w="711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40" w:type="dxa"/>
            </w:tcMar>
          </w:tcPr>
          <w:p>
            <w:pPr>
              <w:pStyle w:val="Contedodatabela"/>
              <w:rPr>
                <w:rFonts w:cs="Arial"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1</w:t>
            </w:r>
          </w:p>
        </w:tc>
        <w:tc>
          <w:tcPr>
            <w:tcW w:w="5748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40" w:type="dxa"/>
            </w:tcMar>
          </w:tcPr>
          <w:p>
            <w:pPr>
              <w:pStyle w:val="Contedodatabela"/>
              <w:jc w:val="both"/>
              <w:rPr>
                <w:rFonts w:eastAsia="Arial"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BR" w:eastAsia="en-US" w:bidi="ar-SA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 xml:space="preserve">Locação de Notebook empresarial com no mínimo: Processador de 8 núcleos e 12 threads, frequência de 3.4Ghz a 4.6Ghz turbo, 12MB smart cache, Tela 15.6" FHD (1920x1080) TN 250nits Anti-glare, 16GB DDR4 3200Mhz de memória RAM; Armazenamento mínimo de 256GB SSD M.2 2242 РCIe 4.0x4 NVMe; Gráfico integrado Intel UHD;-Bluetooth 5.2; Webcam 720p; Gigabit ethernet (RJ45); Wi-Fi 6, 802.11ax 2x2; Bateria mínima de 38Wh e carregador 65Watts; teclado Português Brasil ABNT2 e teclado numérico dedicado; sistema operacional Windows 11 Pro 64. Incluindo suporte técnico de hardware on-site em até 4 horas com troca de peças e substituição do  </w:t>
            </w:r>
            <w:bookmarkStart w:id="0" w:name="__DdeLink__957_439418747"/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 xml:space="preserve">equipamento em até 12 horas. </w:t>
            </w:r>
            <w:bookmarkEnd w:id="0"/>
            <w:r>
              <w:rPr>
                <w:rFonts w:eastAsia="Arial"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BR" w:eastAsia="en-US" w:bidi="ar-SA"/>
              </w:rPr>
              <w:t>SENDO: 7 Unidades no valor estimado de 415,00 cada unidade, no valor mês de 2.905,00.</w:t>
            </w:r>
          </w:p>
        </w:tc>
        <w:tc>
          <w:tcPr>
            <w:tcW w:w="677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40" w:type="dxa"/>
            </w:tcMar>
          </w:tcPr>
          <w:p>
            <w:pPr>
              <w:pStyle w:val="Contedodatabela"/>
              <w:rPr>
                <w:rFonts w:cs="Arial"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12</w:t>
            </w:r>
          </w:p>
        </w:tc>
        <w:tc>
          <w:tcPr>
            <w:tcW w:w="558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40" w:type="dxa"/>
            </w:tcMar>
          </w:tcPr>
          <w:p>
            <w:pPr>
              <w:pStyle w:val="Contedodatabela"/>
              <w:rPr>
                <w:rFonts w:cs="Arial"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MÊS</w:t>
            </w:r>
          </w:p>
        </w:tc>
        <w:tc>
          <w:tcPr>
            <w:tcW w:w="1136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40" w:type="dxa"/>
            </w:tcMar>
          </w:tcPr>
          <w:p>
            <w:pPr>
              <w:pStyle w:val="Contedodatabela"/>
              <w:rPr>
                <w:rFonts w:cs="Arial"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 xml:space="preserve">R$  </w:t>
            </w:r>
          </w:p>
        </w:tc>
        <w:tc>
          <w:tcPr>
            <w:tcW w:w="1324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40" w:type="dxa"/>
            </w:tcMar>
          </w:tcPr>
          <w:p>
            <w:pPr>
              <w:pStyle w:val="Contedodatabela"/>
              <w:rPr>
                <w:rFonts w:cs="Arial"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 xml:space="preserve">R$ </w:t>
            </w:r>
          </w:p>
        </w:tc>
      </w:tr>
      <w:tr>
        <w:trPr>
          <w:cantSplit w:val="false"/>
        </w:trPr>
        <w:tc>
          <w:tcPr>
            <w:tcW w:w="711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40" w:type="dxa"/>
            </w:tcMar>
          </w:tcPr>
          <w:p>
            <w:pPr>
              <w:pStyle w:val="Contedodatabela"/>
              <w:rPr>
                <w:rFonts w:cs="Arial"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2</w:t>
            </w:r>
          </w:p>
        </w:tc>
        <w:tc>
          <w:tcPr>
            <w:tcW w:w="5748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40" w:type="dxa"/>
            </w:tcMar>
          </w:tcPr>
          <w:p>
            <w:pPr>
              <w:pStyle w:val="Contedodatabela"/>
              <w:jc w:val="both"/>
              <w:rPr>
                <w:rFonts w:eastAsia="Arial"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BR" w:eastAsia="en-US" w:bidi="ar-SA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 xml:space="preserve">Locação de Nobreak bivolt com potência mínima de 1400VA/700W; contendo 6 tomadas Novo padrao NBR 14136:2002; Senoidal por aproximação, 2 baterias internas 12VDC / 7Ah; interativo com regulação online; estabilizador interno que corrige oscilações da rede elétrica; filtro de linha interno que atenua os ruídos da rede elétrica e proteção contra surtos. Incluindo suporte técnico de hardware on-site em ate 4 horas com troca de peças e substituição do equipamento em até 12 horas. equipamento em até 12 horas. </w:t>
            </w:r>
            <w:r>
              <w:rPr>
                <w:rFonts w:eastAsia="Arial"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BR" w:eastAsia="en-US" w:bidi="ar-SA"/>
              </w:rPr>
              <w:t>SENDO: 7 Unidades no valor estimado de 99,00 cada unidade, no valor mês de 693,00.</w:t>
            </w:r>
          </w:p>
        </w:tc>
        <w:tc>
          <w:tcPr>
            <w:tcW w:w="677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40" w:type="dxa"/>
            </w:tcMar>
          </w:tcPr>
          <w:p>
            <w:pPr>
              <w:pStyle w:val="Contedodatabela"/>
              <w:rPr>
                <w:rFonts w:cs="Arial"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12</w:t>
            </w:r>
          </w:p>
        </w:tc>
        <w:tc>
          <w:tcPr>
            <w:tcW w:w="558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40" w:type="dxa"/>
            </w:tcMar>
          </w:tcPr>
          <w:p>
            <w:pPr>
              <w:pStyle w:val="Contedodatabela"/>
              <w:rPr>
                <w:rFonts w:cs="Arial"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MÊS</w:t>
            </w:r>
          </w:p>
        </w:tc>
        <w:tc>
          <w:tcPr>
            <w:tcW w:w="1136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40" w:type="dxa"/>
            </w:tcMar>
          </w:tcPr>
          <w:p>
            <w:pPr>
              <w:pStyle w:val="Contedodatabela"/>
              <w:rPr>
                <w:rFonts w:cs="Arial"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 xml:space="preserve">R$ </w:t>
            </w:r>
          </w:p>
        </w:tc>
        <w:tc>
          <w:tcPr>
            <w:tcW w:w="1324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40" w:type="dxa"/>
            </w:tcMar>
          </w:tcPr>
          <w:p>
            <w:pPr>
              <w:pStyle w:val="Contedodatabela"/>
              <w:rPr>
                <w:rFonts w:cs="Arial"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 xml:space="preserve">R$ </w:t>
            </w:r>
          </w:p>
        </w:tc>
      </w:tr>
      <w:tr>
        <w:trPr>
          <w:cantSplit w:val="false"/>
        </w:trPr>
        <w:tc>
          <w:tcPr>
            <w:tcW w:w="711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40" w:type="dxa"/>
            </w:tcMar>
          </w:tcPr>
          <w:p>
            <w:pPr>
              <w:pStyle w:val="Contedodatabela"/>
              <w:rPr>
                <w:rFonts w:cs="Arial"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3</w:t>
            </w:r>
          </w:p>
        </w:tc>
        <w:tc>
          <w:tcPr>
            <w:tcW w:w="5748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40" w:type="dxa"/>
            </w:tcMar>
          </w:tcPr>
          <w:p>
            <w:pPr>
              <w:pStyle w:val="Contedodatabela"/>
              <w:jc w:val="both"/>
              <w:rPr>
                <w:rFonts w:eastAsia="Arial"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BR" w:eastAsia="en-US" w:bidi="ar-SA"/>
              </w:rPr>
            </w:pP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BR" w:eastAsia="en-US" w:bidi="ar-SA"/>
              </w:rPr>
              <w:t xml:space="preserve">Locação de Computador desktop gabinete SFF (Small Form Factor) com no mínimo: Processador de 10 núcleos e 16 threads, frequência de 2.5hz, frequência turbo de 4.7Ghz, 20MB smart cache; Placa-mãe Chipset Intel® B760 Armazenamento de 256GB SSD M.2 2280 РCIe 4.0x4 NVMe Opal 2.0; Memória 16 GB (2x8) DDR5-4800MHz (UDIMM) Placa gráfica Intel® UHD integrada 730, Áudio de alta definição (HD) speaker 1Wx1, codec Realtek® ALC623-CG Fonte de energia 180 W 85% Ethernet Integrado 100/1000M Intel Wi-Fi 6E AX211, 802.11ax 2x2 + BT5.3 Slots de expansão: 1x PCIe® 3.0 x16, 1x PCIe® 3.0 x1, baixo perfil, 2x slots M.2 Portas frontais: 1x USB-C® 3.2 Gen 1, 2x USB 3.2 Geração 1,1x conector combinado para fone de ouvido/microfone (3,5 mm), 1x microfone (3,5 mm) Portas traseiras: 4x USB 2.0 (um suporta Smart Power On), 1x HDMI® 2.1 TMDS, 1x DisplayPort™ 1.4, 1x VGA, 1x Ethernet (RJ-45),1x saída de linha (3,5 mm) Chip de segurança TPM 2.0 discreto, certificado TCG, Interruptor de intrusão de chassi Certificações Verdes: RoHS, WEEE, REACH, TCO Certified 9.0; Sistema operacional: licença Windows® 11 Pro, Português (Brasil) Teclado USB Tradicional, Preto, Português (BR) e Mouse USB Calliope, Preto ambos de mesmo fabricante do desktop. Nobreak com potência mínima de 600va/300w; Tensão de entrada: 115v127v, tensão de saída: 115v; 4 saídas padrão brasileiro de plugues e tomadas; Bateria 12v7ah. 01 Monitor do mesmo fabricante do desktop com tamanho mínimo de painel de 19,5", formato widescreen, proporção 16:9, iluminação LCD ou LED, conectores: 1 x vga, 1 x HDMI, resolução 1600x900, tempo de resposta 2ms. 01 webcam 720p 30fps com tecnologia fluid crystal. Incluindo suporte técnico de hardware on-site em ate 4 horas com troca de peças e substituição do equipamento em até 12 horas. equipamento em até 12 horas. </w:t>
            </w:r>
            <w:r>
              <w:rPr>
                <w:rFonts w:eastAsia="Arial"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BR" w:eastAsia="en-US" w:bidi="ar-SA"/>
              </w:rPr>
              <w:t>SENDO: 20 Unidades no valor estimado de 269,72 cada unidade, no valor mês de 5.394,47.</w:t>
            </w:r>
          </w:p>
        </w:tc>
        <w:tc>
          <w:tcPr>
            <w:tcW w:w="677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40" w:type="dxa"/>
            </w:tcMar>
          </w:tcPr>
          <w:p>
            <w:pPr>
              <w:pStyle w:val="Contedodatabela"/>
              <w:rPr>
                <w:rFonts w:cs="Arial"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12</w:t>
            </w:r>
          </w:p>
        </w:tc>
        <w:tc>
          <w:tcPr>
            <w:tcW w:w="558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40" w:type="dxa"/>
            </w:tcMar>
          </w:tcPr>
          <w:p>
            <w:pPr>
              <w:pStyle w:val="Contedodatabela"/>
              <w:rPr>
                <w:rFonts w:cs="Arial"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MÊS</w:t>
            </w:r>
          </w:p>
        </w:tc>
        <w:tc>
          <w:tcPr>
            <w:tcW w:w="1136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40" w:type="dxa"/>
            </w:tcMar>
          </w:tcPr>
          <w:p>
            <w:pPr>
              <w:pStyle w:val="Contedodatabela"/>
              <w:rPr>
                <w:rFonts w:cs="Arial"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 xml:space="preserve">R$ </w:t>
            </w:r>
          </w:p>
        </w:tc>
        <w:tc>
          <w:tcPr>
            <w:tcW w:w="1324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40" w:type="dxa"/>
            </w:tcMar>
          </w:tcPr>
          <w:p>
            <w:pPr>
              <w:pStyle w:val="Contedodatabela"/>
              <w:rPr>
                <w:rFonts w:cs="Arial"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 xml:space="preserve">R$ </w:t>
            </w:r>
          </w:p>
        </w:tc>
      </w:tr>
    </w:tbl>
    <w:p>
      <w:pPr>
        <w:pStyle w:val="ListParagraph"/>
        <w:tabs>
          <w:tab w:val="left" w:pos="710" w:leader="none"/>
        </w:tabs>
        <w:ind w:left="0" w:right="100" w:hanging="0"/>
        <w:jc w:val="both"/>
        <w:rPr>
          <w:rFonts w:cs="Arial" w:ascii="Arial" w:hAnsi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widowControl w:val="false"/>
        <w:suppressAutoHyphens w:val="true"/>
        <w:overflowPunct w:val="true"/>
        <w:bidi w:val="0"/>
        <w:spacing w:before="56" w:after="0"/>
        <w:ind w:left="0" w:right="0" w:hanging="0"/>
        <w:jc w:val="left"/>
        <w:rPr/>
      </w:pPr>
      <w:r>
        <w:rPr/>
        <w:t>Valor Estimado Mensal é de R$</w:t>
      </w:r>
    </w:p>
    <w:p>
      <w:pPr>
        <w:pStyle w:val="Normal"/>
        <w:widowControl w:val="false"/>
        <w:suppressAutoHyphens w:val="true"/>
        <w:overflowPunct w:val="true"/>
        <w:bidi w:val="0"/>
        <w:spacing w:before="56" w:after="0"/>
        <w:ind w:left="0" w:right="0" w:hanging="0"/>
        <w:jc w:val="left"/>
        <w:rPr/>
      </w:pPr>
      <w:r>
        <w:rPr/>
      </w:r>
    </w:p>
    <w:p>
      <w:pPr>
        <w:pStyle w:val="Normal"/>
        <w:widowControl w:val="false"/>
        <w:suppressAutoHyphens w:val="true"/>
        <w:overflowPunct w:val="true"/>
        <w:bidi w:val="0"/>
        <w:spacing w:before="56" w:after="0"/>
        <w:ind w:left="0" w:right="0" w:hanging="0"/>
        <w:jc w:val="left"/>
        <w:rPr/>
      </w:pPr>
      <w:r>
        <w:rPr/>
        <w:t xml:space="preserve">Valor total Estimado para os 12 (meses) é de R$ </w:t>
      </w:r>
    </w:p>
    <w:p>
      <w:pPr>
        <w:pStyle w:val="Normal"/>
        <w:widowControl w:val="false"/>
        <w:suppressAutoHyphens w:val="true"/>
        <w:overflowPunct w:val="true"/>
        <w:bidi w:val="0"/>
        <w:spacing w:before="56" w:after="0"/>
        <w:ind w:left="0" w:right="0" w:hanging="0"/>
        <w:jc w:val="left"/>
        <w:rPr/>
      </w:pPr>
      <w:r>
        <w:rPr/>
      </w:r>
    </w:p>
    <w:tbl>
      <w:tblPr>
        <w:jc w:val="left"/>
        <w:tblInd w:w="47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  <w:right w:val="single" w:sz="2" w:space="0" w:color="000001"/>
          <w:insideV w:val="single" w:sz="2" w:space="0" w:color="000001"/>
        </w:tblBorders>
        <w:tblCellMar>
          <w:top w:w="55" w:type="dxa"/>
          <w:left w:w="45" w:type="dxa"/>
          <w:bottom w:w="55" w:type="dxa"/>
          <w:right w:w="55" w:type="dxa"/>
        </w:tblCellMar>
      </w:tblPr>
      <w:tblGrid>
        <w:gridCol w:w="10380"/>
      </w:tblGrid>
      <w:tr>
        <w:trPr>
          <w:cantSplit w:val="false"/>
        </w:trPr>
        <w:tc>
          <w:tcPr>
            <w:tcW w:w="103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  <w:right w:val="single" w:sz="2" w:space="0" w:color="000001"/>
              <w:insideV w:val="single" w:sz="2" w:space="0" w:color="000001"/>
            </w:tcBorders>
            <w:shd w:fill="FFFFFF" w:val="clear"/>
            <w:tcMar>
              <w:left w:w="45" w:type="dxa"/>
            </w:tcMar>
          </w:tcPr>
          <w:p>
            <w:pPr>
              <w:pStyle w:val="Normal"/>
              <w:spacing w:before="56" w:after="0"/>
              <w:ind w:left="5" w:right="4081" w:hanging="0"/>
              <w:jc w:val="center"/>
              <w:rPr/>
            </w:pPr>
            <w:r>
              <w:rPr/>
              <w:t>VALIDADE DA PROPOSTA</w:t>
            </w:r>
          </w:p>
        </w:tc>
      </w:tr>
      <w:tr>
        <w:trPr>
          <w:cantSplit w:val="false"/>
        </w:trPr>
        <w:tc>
          <w:tcPr>
            <w:tcW w:w="10380" w:type="dxa"/>
            <w:tcBorders>
              <w:top w:val="nil"/>
              <w:left w:val="single" w:sz="2" w:space="0" w:color="000001"/>
              <w:bottom w:val="single" w:sz="2" w:space="0" w:color="000001"/>
              <w:insideH w:val="single" w:sz="2" w:space="0" w:color="000001"/>
              <w:right w:val="single" w:sz="2" w:space="0" w:color="000001"/>
              <w:insideV w:val="single" w:sz="2" w:space="0" w:color="000001"/>
            </w:tcBorders>
            <w:shd w:fill="FFFFFF" w:val="clear"/>
            <w:tcMar>
              <w:left w:w="45" w:type="dxa"/>
            </w:tcMar>
          </w:tcPr>
          <w:p>
            <w:pPr>
              <w:pStyle w:val="Normal"/>
              <w:spacing w:before="56" w:after="0"/>
              <w:ind w:left="5" w:right="4081" w:hanging="0"/>
              <w:jc w:val="center"/>
              <w:rPr/>
            </w:pPr>
            <w:r>
              <w:rPr/>
              <w:t>90 (noventa) dias.</w:t>
            </w:r>
          </w:p>
        </w:tc>
      </w:tr>
    </w:tbl>
    <w:p>
      <w:pPr>
        <w:pStyle w:val="Normal"/>
        <w:widowControl w:val="false"/>
        <w:suppressAutoHyphens w:val="true"/>
        <w:overflowPunct w:val="true"/>
        <w:bidi w:val="0"/>
        <w:spacing w:before="56" w:after="0"/>
        <w:ind w:left="0" w:right="0" w:hanging="0"/>
        <w:jc w:val="left"/>
        <w:rPr/>
      </w:pPr>
      <w:r>
        <w:rPr/>
      </w:r>
    </w:p>
    <w:tbl>
      <w:tblPr>
        <w:jc w:val="left"/>
        <w:tblInd w:w="47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  <w:right w:val="single" w:sz="2" w:space="0" w:color="000001"/>
          <w:insideV w:val="single" w:sz="2" w:space="0" w:color="000001"/>
        </w:tblBorders>
        <w:tblCellMar>
          <w:top w:w="55" w:type="dxa"/>
          <w:left w:w="45" w:type="dxa"/>
          <w:bottom w:w="55" w:type="dxa"/>
          <w:right w:w="55" w:type="dxa"/>
        </w:tblCellMar>
      </w:tblPr>
      <w:tblGrid>
        <w:gridCol w:w="10380"/>
      </w:tblGrid>
      <w:tr>
        <w:trPr>
          <w:cantSplit w:val="false"/>
        </w:trPr>
        <w:tc>
          <w:tcPr>
            <w:tcW w:w="103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  <w:right w:val="single" w:sz="2" w:space="0" w:color="000001"/>
              <w:insideV w:val="single" w:sz="2" w:space="0" w:color="000001"/>
            </w:tcBorders>
            <w:shd w:fill="FFFFFF" w:val="clear"/>
            <w:tcMar>
              <w:left w:w="45" w:type="dxa"/>
            </w:tcMar>
          </w:tcPr>
          <w:p>
            <w:pPr>
              <w:pStyle w:val="Normal"/>
              <w:spacing w:before="56" w:after="0"/>
              <w:ind w:left="5" w:right="4081" w:hanging="0"/>
              <w:jc w:val="center"/>
              <w:rPr/>
            </w:pPr>
            <w:r>
              <w:rPr/>
              <w:t>DADOS BANCÁRIOS</w:t>
            </w:r>
          </w:p>
        </w:tc>
      </w:tr>
      <w:tr>
        <w:trPr>
          <w:cantSplit w:val="false"/>
        </w:trPr>
        <w:tc>
          <w:tcPr>
            <w:tcW w:w="10380" w:type="dxa"/>
            <w:tcBorders>
              <w:top w:val="nil"/>
              <w:left w:val="single" w:sz="2" w:space="0" w:color="000001"/>
              <w:bottom w:val="single" w:sz="2" w:space="0" w:color="000001"/>
              <w:insideH w:val="single" w:sz="2" w:space="0" w:color="000001"/>
              <w:right w:val="single" w:sz="2" w:space="0" w:color="000001"/>
              <w:insideV w:val="single" w:sz="2" w:space="0" w:color="000001"/>
            </w:tcBorders>
            <w:shd w:fill="FFFFFF" w:val="clear"/>
            <w:tcMar>
              <w:left w:w="45" w:type="dxa"/>
            </w:tcMar>
          </w:tcPr>
          <w:p>
            <w:pPr>
              <w:pStyle w:val="Normal"/>
              <w:spacing w:before="56" w:after="0"/>
              <w:ind w:left="5" w:right="4081" w:hanging="0"/>
              <w:jc w:val="left"/>
              <w:rPr/>
            </w:pPr>
            <w:r>
              <w:rPr/>
              <w:t xml:space="preserve"> </w:t>
            </w:r>
            <w:r>
              <w:rPr/>
              <w:t>Banco:</w:t>
            </w:r>
          </w:p>
        </w:tc>
      </w:tr>
      <w:tr>
        <w:trPr>
          <w:cantSplit w:val="false"/>
        </w:trPr>
        <w:tc>
          <w:tcPr>
            <w:tcW w:w="10380" w:type="dxa"/>
            <w:tcBorders>
              <w:top w:val="nil"/>
              <w:left w:val="single" w:sz="2" w:space="0" w:color="000001"/>
              <w:bottom w:val="single" w:sz="2" w:space="0" w:color="000001"/>
              <w:insideH w:val="single" w:sz="2" w:space="0" w:color="000001"/>
              <w:right w:val="single" w:sz="2" w:space="0" w:color="000001"/>
              <w:insideV w:val="single" w:sz="2" w:space="0" w:color="000001"/>
            </w:tcBorders>
            <w:shd w:fill="FFFFFF" w:val="clear"/>
            <w:tcMar>
              <w:left w:w="45" w:type="dxa"/>
            </w:tcMar>
          </w:tcPr>
          <w:p>
            <w:pPr>
              <w:pStyle w:val="Normal"/>
              <w:spacing w:before="56" w:after="0"/>
              <w:ind w:left="5" w:right="4081" w:hanging="0"/>
              <w:jc w:val="left"/>
              <w:rPr/>
            </w:pPr>
            <w:r>
              <w:rPr/>
              <w:t>Agência:</w:t>
            </w:r>
          </w:p>
        </w:tc>
      </w:tr>
      <w:tr>
        <w:trPr>
          <w:cantSplit w:val="false"/>
        </w:trPr>
        <w:tc>
          <w:tcPr>
            <w:tcW w:w="10380" w:type="dxa"/>
            <w:tcBorders>
              <w:top w:val="nil"/>
              <w:left w:val="single" w:sz="2" w:space="0" w:color="000001"/>
              <w:bottom w:val="single" w:sz="2" w:space="0" w:color="000001"/>
              <w:insideH w:val="single" w:sz="2" w:space="0" w:color="000001"/>
              <w:right w:val="single" w:sz="2" w:space="0" w:color="000001"/>
              <w:insideV w:val="single" w:sz="2" w:space="0" w:color="000001"/>
            </w:tcBorders>
            <w:shd w:fill="FFFFFF" w:val="clear"/>
            <w:tcMar>
              <w:left w:w="45" w:type="dxa"/>
            </w:tcMar>
          </w:tcPr>
          <w:p>
            <w:pPr>
              <w:pStyle w:val="Normal"/>
              <w:spacing w:before="56" w:after="0"/>
              <w:ind w:left="5" w:right="4081" w:hanging="0"/>
              <w:jc w:val="left"/>
              <w:rPr/>
            </w:pPr>
            <w:r>
              <w:rPr/>
              <w:t>Conta Corrente:</w:t>
            </w:r>
          </w:p>
        </w:tc>
      </w:tr>
    </w:tbl>
    <w:p>
      <w:pPr>
        <w:pStyle w:val="Normal"/>
        <w:widowControl w:val="false"/>
        <w:suppressAutoHyphens w:val="true"/>
        <w:overflowPunct w:val="true"/>
        <w:bidi w:val="0"/>
        <w:spacing w:before="56" w:after="0"/>
        <w:ind w:left="0" w:right="0" w:hanging="0"/>
        <w:jc w:val="left"/>
        <w:rPr/>
      </w:pPr>
      <w:r>
        <w:rPr/>
      </w:r>
    </w:p>
    <w:p>
      <w:pPr>
        <w:pStyle w:val="Normal"/>
        <w:widowControl w:val="false"/>
        <w:suppressAutoHyphens w:val="true"/>
        <w:overflowPunct w:val="true"/>
        <w:bidi w:val="0"/>
        <w:spacing w:before="56" w:after="0"/>
        <w:ind w:left="0" w:right="0" w:hanging="0"/>
        <w:jc w:val="both"/>
        <w:rPr/>
      </w:pPr>
      <w:r>
        <w:rPr/>
        <w:t xml:space="preserve">Declaramos que a proposta compreende a integralidade dos custos para atendimento dos direitos trabalhistas assegurados na Constituição Federal, nas leis trabalhistas, nas normas infralegais, nas convenções coletivas de trabalho e nos termos de ajustamento de conduta vigentes na data de entrega da proposta. </w:t>
      </w:r>
    </w:p>
    <w:p>
      <w:pPr>
        <w:pStyle w:val="Normal"/>
        <w:widowControl w:val="false"/>
        <w:suppressAutoHyphens w:val="true"/>
        <w:overflowPunct w:val="true"/>
        <w:bidi w:val="0"/>
        <w:spacing w:before="56" w:after="0"/>
        <w:ind w:left="0" w:right="0" w:hanging="0"/>
        <w:jc w:val="left"/>
        <w:rPr/>
      </w:pPr>
      <w:r>
        <w:rPr/>
      </w:r>
    </w:p>
    <w:p>
      <w:pPr>
        <w:pStyle w:val="Normal"/>
        <w:widowControl w:val="false"/>
        <w:suppressAutoHyphens w:val="true"/>
        <w:overflowPunct w:val="true"/>
        <w:bidi w:val="0"/>
        <w:spacing w:before="56" w:after="0"/>
        <w:ind w:left="0" w:right="0" w:hanging="0"/>
        <w:jc w:val="left"/>
        <w:rPr/>
      </w:pPr>
      <w:r>
        <w:rPr/>
        <w:t xml:space="preserve">Cidade/UF, ____ de __________________ de 2026. </w:t>
      </w:r>
    </w:p>
    <w:p>
      <w:pPr>
        <w:pStyle w:val="Normal"/>
        <w:widowControl w:val="false"/>
        <w:suppressAutoHyphens w:val="true"/>
        <w:overflowPunct w:val="true"/>
        <w:bidi w:val="0"/>
        <w:spacing w:before="56" w:after="0"/>
        <w:ind w:left="0" w:right="0" w:hanging="0"/>
        <w:jc w:val="left"/>
        <w:rPr/>
      </w:pPr>
      <w:r>
        <w:rPr/>
      </w:r>
    </w:p>
    <w:p>
      <w:pPr>
        <w:pStyle w:val="Normal"/>
        <w:widowControl w:val="false"/>
        <w:suppressAutoHyphens w:val="true"/>
        <w:overflowPunct w:val="true"/>
        <w:bidi w:val="0"/>
        <w:spacing w:before="56" w:after="0"/>
        <w:ind w:left="0" w:right="0" w:hanging="0"/>
        <w:jc w:val="left"/>
        <w:rPr/>
      </w:pPr>
      <w:bookmarkStart w:id="1" w:name="__UnoMark__5263_363567438"/>
      <w:bookmarkEnd w:id="1"/>
      <w:r>
        <w:rPr/>
        <w:t>EM PAPEL TIMBRADO DA EMPRESA.</w:t>
      </w:r>
    </w:p>
    <w:sectPr>
      <w:headerReference w:type="default" r:id="rId2"/>
      <w:footerReference w:type="default" r:id="rId3"/>
      <w:type w:val="nextPage"/>
      <w:pgSz w:w="11906" w:h="16838"/>
      <w:pgMar w:left="705" w:right="821" w:header="570" w:top="690" w:footer="503" w:bottom="1338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Rodap"/>
      <w:jc w:val="center"/>
      <w:rPr/>
    </w:pPr>
    <w:r>
      <w:rPr/>
    </w:r>
  </w:p>
  <w:p>
    <w:pPr>
      <w:pStyle w:val="Rodap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Cabealho"/>
      <w:jc w:val="left"/>
      <w:rPr>
        <w:lang w:val="pt-BR"/>
      </w:rPr>
    </w:pPr>
    <w:r>
      <w:rPr>
        <w:lang w:val="pt-BR"/>
      </w:rPr>
      <w:tab/>
      <w:t xml:space="preserve">                                           </w:t>
    </w:r>
  </w:p>
</w:hdr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SimSun" w:cs="Ari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overflowPunct w:val="tru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Ttulo1">
    <w:name w:val="Título 1"/>
    <w:basedOn w:val="Ttulo"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Ttulo4">
    <w:name w:val="Título 4"/>
    <w:basedOn w:val="Ttulo"/>
    <w:pPr>
      <w:spacing w:before="120" w:after="120"/>
      <w:outlineLvl w:val="3"/>
    </w:pPr>
    <w:rPr>
      <w:rFonts w:ascii="Liberation Serif" w:hAnsi="Liberation Serif" w:eastAsia="SimSun" w:cs="Mangal"/>
      <w:b/>
      <w:bCs/>
      <w:color w:val="808080"/>
      <w:sz w:val="24"/>
      <w:szCs w:val="24"/>
    </w:rPr>
  </w:style>
  <w:style w:type="paragraph" w:styleId="Ttulo5">
    <w:name w:val="Título 5"/>
    <w:basedOn w:val="Ttulo"/>
    <w:pPr>
      <w:spacing w:before="120" w:after="60"/>
      <w:outlineLvl w:val="4"/>
    </w:pPr>
    <w:rPr>
      <w:rFonts w:ascii="Liberation Serif" w:hAnsi="Liberation Serif" w:eastAsia="SimSun" w:cs="Mangal"/>
      <w:b/>
      <w:bCs/>
      <w:sz w:val="20"/>
      <w:szCs w:val="20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character" w:styleId="Nfaseforte">
    <w:name w:val="Ênfase forte"/>
    <w:rPr>
      <w:b/>
      <w:bCs/>
    </w:rPr>
  </w:style>
  <w:style w:type="character" w:styleId="Nfase">
    <w:name w:val="Ênfase"/>
    <w:rPr>
      <w:i/>
      <w:iCs/>
    </w:rPr>
  </w:style>
  <w:style w:type="character" w:styleId="Marcas">
    <w:name w:val="Marcas"/>
    <w:rPr>
      <w:rFonts w:ascii="OpenSymbol" w:hAnsi="OpenSymbol" w:eastAsia="OpenSymbol" w:cs="OpenSymbol"/>
    </w:rPr>
  </w:style>
  <w:style w:type="character" w:styleId="Fontepargpadro">
    <w:name w:val="Fonte parág. padrão"/>
    <w:rPr/>
  </w:style>
  <w:style w:type="paragraph" w:styleId="Ttulo">
    <w:name w:val="Título"/>
    <w:basedOn w:val="Normal"/>
    <w:next w:val="Corpodotexto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Corpo do texto"/>
    <w:basedOn w:val="Normal"/>
    <w:pPr>
      <w:spacing w:lineRule="auto" w:line="288" w:before="0" w:after="140"/>
    </w:pPr>
    <w:rPr/>
  </w:style>
  <w:style w:type="paragraph" w:styleId="Lista">
    <w:name w:val="Lista"/>
    <w:basedOn w:val="Corpodo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pPr>
      <w:suppressLineNumbers/>
    </w:pPr>
    <w:rPr>
      <w:rFonts w:cs="Mangal"/>
    </w:rPr>
  </w:style>
  <w:style w:type="paragraph" w:styleId="HeaderandFooter">
    <w:name w:val="Header and Foot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">
    <w:name w:val="Cabeçalho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Rodap">
    <w:name w:val="Rodapé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Textoprformatado">
    <w:name w:val="Texto préformatado"/>
    <w:basedOn w:val="Normal"/>
    <w:pPr>
      <w:widowControl w:val="false"/>
      <w:suppressAutoHyphens w:val="true"/>
      <w:spacing w:lineRule="auto" w:line="240" w:before="0" w:after="0"/>
    </w:pPr>
    <w:rPr>
      <w:rFonts w:ascii="Liberation Mono" w:hAnsi="Liberation Mono" w:eastAsia="NSimSun" w:cs="Liberation Mono"/>
      <w:sz w:val="20"/>
      <w:szCs w:val="20"/>
      <w:lang w:eastAsia="zh-CN" w:bidi="hi-IN"/>
    </w:rPr>
  </w:style>
  <w:style w:type="paragraph" w:styleId="Contedodatabela">
    <w:name w:val="Conteúdo da tabela"/>
    <w:basedOn w:val="Normal"/>
    <w:pPr>
      <w:suppressLineNumbers/>
    </w:pPr>
    <w:rPr/>
  </w:style>
  <w:style w:type="paragraph" w:styleId="ListParagraph">
    <w:name w:val="List Paragraph"/>
    <w:basedOn w:val="Normal"/>
    <w:pPr>
      <w:spacing w:before="0" w:after="0"/>
      <w:ind w:left="720" w:right="0" w:hanging="0"/>
      <w:contextualSpacing/>
    </w:pPr>
    <w:rPr/>
  </w:style>
  <w:style w:type="paragraph" w:styleId="Recuodecorpodetexto2">
    <w:name w:val="Recuo de corpo de texto 2"/>
    <w:basedOn w:val="Normal"/>
    <w:pPr>
      <w:spacing w:lineRule="auto" w:line="480" w:before="0" w:after="120"/>
      <w:ind w:left="283" w:right="0" w:hanging="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497836</TotalTime>
  <Application>LibreOffice/4.2.5.2$Windows_x86 LibreOffice_project/61cb170a04bb1f12e77c884eab9192be736ec5f5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2017-01-09T12:34:03Z</dcterms:created>
  <dc:language>pt-BR</dc:language>
  <cp:lastPrinted>2026-02-25T15:18:51Z</cp:lastPrinted>
  <dcterms:modified xsi:type="dcterms:W3CDTF">2025-08-05T13:46:27Z</dcterms:modified>
  <cp:revision>92</cp:revision>
</cp:coreProperties>
</file>