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E1F3E" w14:textId="77777777" w:rsidR="00956AE7" w:rsidRPr="00D33066" w:rsidRDefault="00956AE7" w:rsidP="004D6D02">
      <w:pPr>
        <w:jc w:val="center"/>
        <w:rPr>
          <w:rFonts w:ascii="Arial" w:hAnsi="Arial" w:cs="Arial"/>
          <w:b/>
          <w:bCs/>
        </w:rPr>
      </w:pPr>
      <w:r w:rsidRPr="00D33066">
        <w:rPr>
          <w:rFonts w:ascii="Arial" w:hAnsi="Arial" w:cs="Arial"/>
          <w:b/>
          <w:bCs/>
        </w:rPr>
        <w:t>ESTUDO TÉCNICO PRELIMINAR – ETP</w:t>
      </w:r>
    </w:p>
    <w:p w14:paraId="4FA169C2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</w:p>
    <w:p w14:paraId="7E632851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Credenciamento de empresa para administração, gerenciamento, emissão, distribuição e fornecimento de vale-alimentação e vale-refeição, por meio de cartão eletrônico ou tecnologia similar, em benefício dos empregados da AGESAN-RS.</w:t>
      </w:r>
    </w:p>
    <w:p w14:paraId="3D0E9A65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</w:p>
    <w:p w14:paraId="7445EEFA" w14:textId="77777777" w:rsidR="00956AE7" w:rsidRPr="00D33066" w:rsidRDefault="00956AE7" w:rsidP="00956AE7">
      <w:pPr>
        <w:ind w:firstLine="567"/>
        <w:jc w:val="both"/>
        <w:rPr>
          <w:rFonts w:ascii="Arial" w:hAnsi="Arial" w:cs="Arial"/>
          <w:b/>
          <w:bCs/>
        </w:rPr>
      </w:pPr>
      <w:r w:rsidRPr="00D33066">
        <w:rPr>
          <w:rFonts w:ascii="Arial" w:hAnsi="Arial" w:cs="Arial"/>
          <w:b/>
          <w:bCs/>
        </w:rPr>
        <w:t>1. IDENTIFICAÇÃO DA DEMANDA</w:t>
      </w:r>
    </w:p>
    <w:p w14:paraId="39EDE84E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1.1. A presente contratação tem por objeto o credenciamento de empresas para fornecimento de benefícios de vale-alimentação e vale-refeição aos colaboradores da AGESAN-RS, em consonância com a política de valorização do corpo funcional, cumprimento da legislação trabalhista e promoção da segurança alimentar.</w:t>
      </w:r>
    </w:p>
    <w:p w14:paraId="76F5B8FF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1.2. A demanda está prevista no planejamento estratégico da AGESAN-RS e encontra fundamento na Resolução da Presidência nº 05/2025, vigente desde 01/08/2025, que autoriza a concessão e regulamenta a operacionalização dos benefícios.</w:t>
      </w:r>
    </w:p>
    <w:p w14:paraId="4BC70579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</w:p>
    <w:p w14:paraId="2D29D018" w14:textId="77777777" w:rsidR="00956AE7" w:rsidRPr="00D33066" w:rsidRDefault="00956AE7" w:rsidP="00956AE7">
      <w:pPr>
        <w:ind w:firstLine="567"/>
        <w:jc w:val="both"/>
        <w:rPr>
          <w:rFonts w:ascii="Arial" w:hAnsi="Arial" w:cs="Arial"/>
          <w:b/>
          <w:bCs/>
        </w:rPr>
      </w:pPr>
      <w:r w:rsidRPr="00D33066">
        <w:rPr>
          <w:rFonts w:ascii="Arial" w:hAnsi="Arial" w:cs="Arial"/>
          <w:b/>
          <w:bCs/>
        </w:rPr>
        <w:t>2. FUNDAMENTAÇÃO LEGAL</w:t>
      </w:r>
    </w:p>
    <w:p w14:paraId="3820FA17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2.1. A contratação se ampara nos seguintes diplomas normativos:</w:t>
      </w:r>
    </w:p>
    <w:p w14:paraId="6427283C" w14:textId="6DF03D12" w:rsidR="00956AE7" w:rsidRPr="00D33066" w:rsidRDefault="00956AE7" w:rsidP="00956AE7">
      <w:pPr>
        <w:pStyle w:val="PargrafodaLista"/>
        <w:numPr>
          <w:ilvl w:val="0"/>
          <w:numId w:val="8"/>
        </w:numPr>
        <w:rPr>
          <w:rFonts w:ascii="Arial" w:hAnsi="Arial" w:cs="Arial"/>
        </w:rPr>
      </w:pPr>
      <w:r w:rsidRPr="00D33066">
        <w:rPr>
          <w:rFonts w:ascii="Arial" w:hAnsi="Arial" w:cs="Arial"/>
        </w:rPr>
        <w:t xml:space="preserve">Lei nº 14.133/2021 (Nova Lei de </w:t>
      </w:r>
      <w:proofErr w:type="spellStart"/>
      <w:r w:rsidRPr="00D33066">
        <w:rPr>
          <w:rFonts w:ascii="Arial" w:hAnsi="Arial" w:cs="Arial"/>
        </w:rPr>
        <w:t>Licitações</w:t>
      </w:r>
      <w:proofErr w:type="spellEnd"/>
      <w:r w:rsidRPr="00D33066">
        <w:rPr>
          <w:rFonts w:ascii="Arial" w:hAnsi="Arial" w:cs="Arial"/>
        </w:rPr>
        <w:t xml:space="preserve"> e </w:t>
      </w:r>
      <w:proofErr w:type="spellStart"/>
      <w:r w:rsidRPr="00D33066">
        <w:rPr>
          <w:rFonts w:ascii="Arial" w:hAnsi="Arial" w:cs="Arial"/>
        </w:rPr>
        <w:t>Contratos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Administrativos</w:t>
      </w:r>
      <w:proofErr w:type="spellEnd"/>
      <w:r w:rsidRPr="00D33066">
        <w:rPr>
          <w:rFonts w:ascii="Arial" w:hAnsi="Arial" w:cs="Arial"/>
        </w:rPr>
        <w:t>)</w:t>
      </w:r>
      <w:r w:rsidR="004D6D02">
        <w:rPr>
          <w:rFonts w:ascii="Arial" w:hAnsi="Arial" w:cs="Arial"/>
        </w:rPr>
        <w:t>.</w:t>
      </w:r>
    </w:p>
    <w:p w14:paraId="13FF997C" w14:textId="0FC9EA0B" w:rsidR="00956AE7" w:rsidRPr="00D33066" w:rsidRDefault="00956AE7" w:rsidP="00956AE7">
      <w:pPr>
        <w:pStyle w:val="PargrafodaLista"/>
        <w:numPr>
          <w:ilvl w:val="0"/>
          <w:numId w:val="8"/>
        </w:numPr>
        <w:rPr>
          <w:rFonts w:ascii="Arial" w:hAnsi="Arial" w:cs="Arial"/>
        </w:rPr>
      </w:pPr>
      <w:r w:rsidRPr="00D33066">
        <w:rPr>
          <w:rFonts w:ascii="Arial" w:hAnsi="Arial" w:cs="Arial"/>
        </w:rPr>
        <w:t xml:space="preserve">Resolução da </w:t>
      </w:r>
      <w:proofErr w:type="spellStart"/>
      <w:r w:rsidRPr="00D33066">
        <w:rPr>
          <w:rFonts w:ascii="Arial" w:hAnsi="Arial" w:cs="Arial"/>
        </w:rPr>
        <w:t>Presidência</w:t>
      </w:r>
      <w:proofErr w:type="spellEnd"/>
      <w:r w:rsidRPr="00D33066">
        <w:rPr>
          <w:rFonts w:ascii="Arial" w:hAnsi="Arial" w:cs="Arial"/>
        </w:rPr>
        <w:t xml:space="preserve"> nº 05/2025 da AGESAN-RS</w:t>
      </w:r>
      <w:r w:rsidR="004D6D02">
        <w:rPr>
          <w:rFonts w:ascii="Arial" w:hAnsi="Arial" w:cs="Arial"/>
        </w:rPr>
        <w:t xml:space="preserve">, </w:t>
      </w:r>
      <w:r w:rsidRPr="00D33066">
        <w:rPr>
          <w:rFonts w:ascii="Arial" w:hAnsi="Arial" w:cs="Arial"/>
        </w:rPr>
        <w:t xml:space="preserve">que </w:t>
      </w:r>
      <w:proofErr w:type="spellStart"/>
      <w:r w:rsidRPr="00D33066">
        <w:rPr>
          <w:rFonts w:ascii="Arial" w:hAnsi="Arial" w:cs="Arial"/>
        </w:rPr>
        <w:t>dispõe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sobre</w:t>
      </w:r>
      <w:proofErr w:type="spellEnd"/>
      <w:r w:rsidRPr="00D33066">
        <w:rPr>
          <w:rFonts w:ascii="Arial" w:hAnsi="Arial" w:cs="Arial"/>
        </w:rPr>
        <w:t xml:space="preserve"> a </w:t>
      </w:r>
      <w:proofErr w:type="spellStart"/>
      <w:r w:rsidRPr="00D33066">
        <w:rPr>
          <w:rFonts w:ascii="Arial" w:hAnsi="Arial" w:cs="Arial"/>
        </w:rPr>
        <w:t>concessão</w:t>
      </w:r>
      <w:proofErr w:type="spellEnd"/>
      <w:r w:rsidRPr="00D33066">
        <w:rPr>
          <w:rFonts w:ascii="Arial" w:hAnsi="Arial" w:cs="Arial"/>
        </w:rPr>
        <w:t xml:space="preserve"> do benefício </w:t>
      </w:r>
      <w:proofErr w:type="spellStart"/>
      <w:r w:rsidRPr="00D33066">
        <w:rPr>
          <w:rFonts w:ascii="Arial" w:hAnsi="Arial" w:cs="Arial"/>
        </w:rPr>
        <w:t>alimentação</w:t>
      </w:r>
      <w:proofErr w:type="spellEnd"/>
      <w:r w:rsidRPr="00D33066">
        <w:rPr>
          <w:rFonts w:ascii="Arial" w:hAnsi="Arial" w:cs="Arial"/>
        </w:rPr>
        <w:t>/</w:t>
      </w:r>
      <w:proofErr w:type="spellStart"/>
      <w:r w:rsidRPr="00D33066">
        <w:rPr>
          <w:rFonts w:ascii="Arial" w:hAnsi="Arial" w:cs="Arial"/>
        </w:rPr>
        <w:t>refeição</w:t>
      </w:r>
      <w:proofErr w:type="spellEnd"/>
      <w:r w:rsidRPr="00D33066">
        <w:rPr>
          <w:rFonts w:ascii="Arial" w:hAnsi="Arial" w:cs="Arial"/>
        </w:rPr>
        <w:t xml:space="preserve"> e </w:t>
      </w:r>
      <w:proofErr w:type="spellStart"/>
      <w:r w:rsidRPr="00D33066">
        <w:rPr>
          <w:rFonts w:ascii="Arial" w:hAnsi="Arial" w:cs="Arial"/>
        </w:rPr>
        <w:t>sua</w:t>
      </w:r>
      <w:proofErr w:type="spellEnd"/>
      <w:r w:rsidRPr="00D33066">
        <w:rPr>
          <w:rFonts w:ascii="Arial" w:hAnsi="Arial" w:cs="Arial"/>
        </w:rPr>
        <w:t xml:space="preserve"> forma de </w:t>
      </w:r>
      <w:proofErr w:type="spellStart"/>
      <w:r w:rsidRPr="00D33066">
        <w:rPr>
          <w:rFonts w:ascii="Arial" w:hAnsi="Arial" w:cs="Arial"/>
        </w:rPr>
        <w:t>implementação</w:t>
      </w:r>
      <w:proofErr w:type="spellEnd"/>
      <w:r w:rsidRPr="00D33066">
        <w:rPr>
          <w:rFonts w:ascii="Arial" w:hAnsi="Arial" w:cs="Arial"/>
        </w:rPr>
        <w:t>.</w:t>
      </w:r>
    </w:p>
    <w:p w14:paraId="4FAFDDBF" w14:textId="79E19F03" w:rsidR="00956AE7" w:rsidRPr="00D33066" w:rsidRDefault="00956AE7" w:rsidP="00956AE7">
      <w:pPr>
        <w:pStyle w:val="PargrafodaLista"/>
        <w:numPr>
          <w:ilvl w:val="0"/>
          <w:numId w:val="8"/>
        </w:numPr>
        <w:rPr>
          <w:rFonts w:ascii="Arial" w:hAnsi="Arial" w:cs="Arial"/>
        </w:rPr>
      </w:pPr>
      <w:proofErr w:type="spellStart"/>
      <w:r w:rsidRPr="00D33066">
        <w:rPr>
          <w:rFonts w:ascii="Arial" w:hAnsi="Arial" w:cs="Arial"/>
        </w:rPr>
        <w:t>Consolidação</w:t>
      </w:r>
      <w:proofErr w:type="spellEnd"/>
      <w:r w:rsidRPr="00D33066">
        <w:rPr>
          <w:rFonts w:ascii="Arial" w:hAnsi="Arial" w:cs="Arial"/>
        </w:rPr>
        <w:t xml:space="preserve"> das Leis do </w:t>
      </w:r>
      <w:proofErr w:type="spellStart"/>
      <w:r w:rsidRPr="00D33066">
        <w:rPr>
          <w:rFonts w:ascii="Arial" w:hAnsi="Arial" w:cs="Arial"/>
        </w:rPr>
        <w:t>Trabalho</w:t>
      </w:r>
      <w:proofErr w:type="spellEnd"/>
      <w:r w:rsidRPr="00D33066">
        <w:rPr>
          <w:rFonts w:ascii="Arial" w:hAnsi="Arial" w:cs="Arial"/>
        </w:rPr>
        <w:t xml:space="preserve"> (CLT) </w:t>
      </w:r>
    </w:p>
    <w:p w14:paraId="6D42A6C1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</w:p>
    <w:p w14:paraId="31042FD4" w14:textId="77777777" w:rsidR="00956AE7" w:rsidRPr="00D33066" w:rsidRDefault="00956AE7" w:rsidP="00956AE7">
      <w:pPr>
        <w:ind w:firstLine="567"/>
        <w:jc w:val="both"/>
        <w:rPr>
          <w:rFonts w:ascii="Arial" w:hAnsi="Arial" w:cs="Arial"/>
          <w:b/>
          <w:bCs/>
        </w:rPr>
      </w:pPr>
      <w:r w:rsidRPr="00D33066">
        <w:rPr>
          <w:rFonts w:ascii="Arial" w:hAnsi="Arial" w:cs="Arial"/>
          <w:b/>
          <w:bCs/>
        </w:rPr>
        <w:t>3. FUNDAMENTAÇÃO DA NECESSIDADE DA CONTRATAÇÃO</w:t>
      </w:r>
    </w:p>
    <w:p w14:paraId="08AB9948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3.1. A contratação visa atender a necessidade de disponibilização de benefício de caráter alimentar, fundamental para a valorização, saúde e bem-estar dos colaboradores da AGESAN-RS, representando política de governança de pessoas e instrumento de melhoria do ambiente de trabalho.</w:t>
      </w:r>
    </w:p>
    <w:p w14:paraId="3A241AA6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3.2. A disponibilização do benefício em formato de cartão eletrônico, bandeirado e com arranjo aberto, garante maior alcance e flexibilidade na rede credenciada, favorecendo a eficiência administrativa e a autonomia dos beneficiários.</w:t>
      </w:r>
    </w:p>
    <w:p w14:paraId="161F34B0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3.3. A exigência de funcionalidades tecnológicas avançadas, tais como:</w:t>
      </w:r>
    </w:p>
    <w:p w14:paraId="46350A5F" w14:textId="77777777" w:rsidR="00956AE7" w:rsidRPr="00D33066" w:rsidRDefault="00956AE7" w:rsidP="00956AE7">
      <w:pPr>
        <w:pStyle w:val="PargrafodaLista"/>
        <w:numPr>
          <w:ilvl w:val="0"/>
          <w:numId w:val="9"/>
        </w:numPr>
        <w:rPr>
          <w:rFonts w:ascii="Arial" w:hAnsi="Arial" w:cs="Arial"/>
        </w:rPr>
      </w:pPr>
      <w:proofErr w:type="spellStart"/>
      <w:r w:rsidRPr="00D33066">
        <w:rPr>
          <w:rFonts w:ascii="Arial" w:hAnsi="Arial" w:cs="Arial"/>
        </w:rPr>
        <w:t>Transferência</w:t>
      </w:r>
      <w:proofErr w:type="spellEnd"/>
      <w:r w:rsidRPr="00D33066">
        <w:rPr>
          <w:rFonts w:ascii="Arial" w:hAnsi="Arial" w:cs="Arial"/>
        </w:rPr>
        <w:t xml:space="preserve"> entre </w:t>
      </w:r>
      <w:proofErr w:type="spellStart"/>
      <w:r w:rsidRPr="00D33066">
        <w:rPr>
          <w:rFonts w:ascii="Arial" w:hAnsi="Arial" w:cs="Arial"/>
        </w:rPr>
        <w:t>carteiras</w:t>
      </w:r>
      <w:proofErr w:type="spellEnd"/>
      <w:r w:rsidRPr="00D33066">
        <w:rPr>
          <w:rFonts w:ascii="Arial" w:hAnsi="Arial" w:cs="Arial"/>
        </w:rPr>
        <w:t xml:space="preserve"> (</w:t>
      </w:r>
      <w:proofErr w:type="spellStart"/>
      <w:r w:rsidRPr="00D33066">
        <w:rPr>
          <w:rFonts w:ascii="Arial" w:hAnsi="Arial" w:cs="Arial"/>
        </w:rPr>
        <w:t>alimentação</w:t>
      </w:r>
      <w:proofErr w:type="spellEnd"/>
      <w:r w:rsidRPr="00D33066">
        <w:rPr>
          <w:rFonts w:ascii="Arial" w:hAnsi="Arial" w:cs="Arial"/>
        </w:rPr>
        <w:t>/</w:t>
      </w:r>
      <w:proofErr w:type="spellStart"/>
      <w:r w:rsidRPr="00D33066">
        <w:rPr>
          <w:rFonts w:ascii="Arial" w:hAnsi="Arial" w:cs="Arial"/>
        </w:rPr>
        <w:t>refeição</w:t>
      </w:r>
      <w:proofErr w:type="spellEnd"/>
      <w:r w:rsidRPr="00D33066">
        <w:rPr>
          <w:rFonts w:ascii="Arial" w:hAnsi="Arial" w:cs="Arial"/>
        </w:rPr>
        <w:t>);</w:t>
      </w:r>
    </w:p>
    <w:p w14:paraId="7BDBAE75" w14:textId="77777777" w:rsidR="00956AE7" w:rsidRPr="00D33066" w:rsidRDefault="00956AE7" w:rsidP="00956AE7">
      <w:pPr>
        <w:pStyle w:val="PargrafodaLista"/>
        <w:numPr>
          <w:ilvl w:val="0"/>
          <w:numId w:val="9"/>
        </w:numPr>
        <w:rPr>
          <w:rFonts w:ascii="Arial" w:hAnsi="Arial" w:cs="Arial"/>
        </w:rPr>
      </w:pPr>
      <w:proofErr w:type="spellStart"/>
      <w:r w:rsidRPr="00D33066">
        <w:rPr>
          <w:rFonts w:ascii="Arial" w:hAnsi="Arial" w:cs="Arial"/>
        </w:rPr>
        <w:t>Aplicativo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integrado</w:t>
      </w:r>
      <w:proofErr w:type="spellEnd"/>
      <w:r w:rsidRPr="00D33066">
        <w:rPr>
          <w:rFonts w:ascii="Arial" w:hAnsi="Arial" w:cs="Arial"/>
        </w:rPr>
        <w:t xml:space="preserve"> e </w:t>
      </w:r>
      <w:proofErr w:type="spellStart"/>
      <w:r w:rsidRPr="00D33066">
        <w:rPr>
          <w:rFonts w:ascii="Arial" w:hAnsi="Arial" w:cs="Arial"/>
        </w:rPr>
        <w:t>gestão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em</w:t>
      </w:r>
      <w:proofErr w:type="spellEnd"/>
      <w:r w:rsidRPr="00D33066">
        <w:rPr>
          <w:rFonts w:ascii="Arial" w:hAnsi="Arial" w:cs="Arial"/>
        </w:rPr>
        <w:t xml:space="preserve"> tempo real;</w:t>
      </w:r>
    </w:p>
    <w:p w14:paraId="35C0B770" w14:textId="77777777" w:rsidR="00956AE7" w:rsidRPr="00D33066" w:rsidRDefault="00956AE7" w:rsidP="00956AE7">
      <w:pPr>
        <w:pStyle w:val="PargrafodaLista"/>
        <w:numPr>
          <w:ilvl w:val="0"/>
          <w:numId w:val="9"/>
        </w:numPr>
        <w:rPr>
          <w:rFonts w:ascii="Arial" w:hAnsi="Arial" w:cs="Arial"/>
        </w:rPr>
      </w:pPr>
      <w:proofErr w:type="spellStart"/>
      <w:r w:rsidRPr="00D33066">
        <w:rPr>
          <w:rFonts w:ascii="Arial" w:hAnsi="Arial" w:cs="Arial"/>
        </w:rPr>
        <w:t>Segurança</w:t>
      </w:r>
      <w:proofErr w:type="spellEnd"/>
      <w:r w:rsidRPr="00D33066">
        <w:rPr>
          <w:rFonts w:ascii="Arial" w:hAnsi="Arial" w:cs="Arial"/>
        </w:rPr>
        <w:t xml:space="preserve"> de dados e </w:t>
      </w:r>
      <w:proofErr w:type="spellStart"/>
      <w:r w:rsidRPr="00D33066">
        <w:rPr>
          <w:rFonts w:ascii="Arial" w:hAnsi="Arial" w:cs="Arial"/>
        </w:rPr>
        <w:t>privacidade</w:t>
      </w:r>
      <w:proofErr w:type="spellEnd"/>
      <w:r w:rsidRPr="00D33066">
        <w:rPr>
          <w:rFonts w:ascii="Arial" w:hAnsi="Arial" w:cs="Arial"/>
        </w:rPr>
        <w:t xml:space="preserve">, </w:t>
      </w:r>
      <w:proofErr w:type="spellStart"/>
      <w:r w:rsidRPr="00D33066">
        <w:rPr>
          <w:rFonts w:ascii="Arial" w:hAnsi="Arial" w:cs="Arial"/>
        </w:rPr>
        <w:t>tem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por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objetivo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alinhar</w:t>
      </w:r>
      <w:proofErr w:type="spellEnd"/>
      <w:r w:rsidRPr="00D33066">
        <w:rPr>
          <w:rFonts w:ascii="Arial" w:hAnsi="Arial" w:cs="Arial"/>
        </w:rPr>
        <w:t xml:space="preserve"> a </w:t>
      </w:r>
      <w:proofErr w:type="spellStart"/>
      <w:r w:rsidRPr="00D33066">
        <w:rPr>
          <w:rFonts w:ascii="Arial" w:hAnsi="Arial" w:cs="Arial"/>
        </w:rPr>
        <w:t>contratação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aos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princípios</w:t>
      </w:r>
      <w:proofErr w:type="spellEnd"/>
      <w:r w:rsidRPr="00D33066">
        <w:rPr>
          <w:rFonts w:ascii="Arial" w:hAnsi="Arial" w:cs="Arial"/>
        </w:rPr>
        <w:t xml:space="preserve"> de </w:t>
      </w:r>
      <w:proofErr w:type="spellStart"/>
      <w:r w:rsidRPr="00D33066">
        <w:rPr>
          <w:rFonts w:ascii="Arial" w:hAnsi="Arial" w:cs="Arial"/>
        </w:rPr>
        <w:t>inovação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tecnológica</w:t>
      </w:r>
      <w:proofErr w:type="spellEnd"/>
      <w:r w:rsidRPr="00D33066">
        <w:rPr>
          <w:rFonts w:ascii="Arial" w:hAnsi="Arial" w:cs="Arial"/>
        </w:rPr>
        <w:t xml:space="preserve">, </w:t>
      </w:r>
      <w:proofErr w:type="spellStart"/>
      <w:r w:rsidRPr="00D33066">
        <w:rPr>
          <w:rFonts w:ascii="Arial" w:hAnsi="Arial" w:cs="Arial"/>
        </w:rPr>
        <w:t>governança</w:t>
      </w:r>
      <w:proofErr w:type="spellEnd"/>
      <w:r w:rsidRPr="00D33066">
        <w:rPr>
          <w:rFonts w:ascii="Arial" w:hAnsi="Arial" w:cs="Arial"/>
        </w:rPr>
        <w:t xml:space="preserve"> digital e </w:t>
      </w:r>
      <w:proofErr w:type="spellStart"/>
      <w:r w:rsidRPr="00D33066">
        <w:rPr>
          <w:rFonts w:ascii="Arial" w:hAnsi="Arial" w:cs="Arial"/>
        </w:rPr>
        <w:t>transparência</w:t>
      </w:r>
      <w:proofErr w:type="spellEnd"/>
      <w:r w:rsidRPr="00D33066">
        <w:rPr>
          <w:rFonts w:ascii="Arial" w:hAnsi="Arial" w:cs="Arial"/>
        </w:rPr>
        <w:t xml:space="preserve"> </w:t>
      </w:r>
      <w:proofErr w:type="spellStart"/>
      <w:r w:rsidRPr="00D33066">
        <w:rPr>
          <w:rFonts w:ascii="Arial" w:hAnsi="Arial" w:cs="Arial"/>
        </w:rPr>
        <w:t>pública</w:t>
      </w:r>
      <w:proofErr w:type="spellEnd"/>
      <w:r w:rsidRPr="00D33066">
        <w:rPr>
          <w:rFonts w:ascii="Arial" w:hAnsi="Arial" w:cs="Arial"/>
        </w:rPr>
        <w:t>.</w:t>
      </w:r>
    </w:p>
    <w:p w14:paraId="3D4A241F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  <w:b/>
          <w:bCs/>
        </w:rPr>
        <w:t>4. DESCRIÇÃO DA SOLUÇÃO REQUERIDA</w:t>
      </w:r>
      <w:r w:rsidRPr="00D33066">
        <w:rPr>
          <w:rFonts w:ascii="Arial" w:hAnsi="Arial" w:cs="Arial"/>
        </w:rPr>
        <w:t xml:space="preserve"> (conforme Termo de Referência)</w:t>
      </w:r>
    </w:p>
    <w:p w14:paraId="60588A55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4.1. Fornecimento de cartões eletrônicos equipados com chip, nominais e individuais, com senha de acesso.</w:t>
      </w:r>
    </w:p>
    <w:p w14:paraId="3FBFCD40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4.2. Disponibilização de sistema informatizado com funcionalidades para AGESAN-RS (cadastro, estornos, relatórios, consultas) e para beneficiários (extratos, bloqueios, transferências entre carteiras</w:t>
      </w:r>
      <w:r>
        <w:rPr>
          <w:rFonts w:ascii="Arial" w:hAnsi="Arial" w:cs="Arial"/>
        </w:rPr>
        <w:t>, acessibilidade IOS e Android</w:t>
      </w:r>
      <w:r w:rsidRPr="00D33066">
        <w:rPr>
          <w:rFonts w:ascii="Arial" w:hAnsi="Arial" w:cs="Arial"/>
        </w:rPr>
        <w:t>).</w:t>
      </w:r>
    </w:p>
    <w:p w14:paraId="3C31D915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4.3. Inclusão da funcionalidade obrigatória de transferência de saldos entre carteiras alimentação e refeição.</w:t>
      </w:r>
    </w:p>
    <w:p w14:paraId="5F61C362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4.4. Disponibilização de créditos em até 1 (um) dia útil após pagamento pela AGESAN-RS.</w:t>
      </w:r>
    </w:p>
    <w:p w14:paraId="44916EC0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4.5. SAC 24h gratuito e portal responsivo.</w:t>
      </w:r>
    </w:p>
    <w:p w14:paraId="1A52A806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lastRenderedPageBreak/>
        <w:t>4.6. Estimativa inicial de 30 beneficiários, com valor mensal de R$ 1.146,21 por empregado, totalizando aproximadamente R$ 412.635,60 ao ano.</w:t>
      </w:r>
    </w:p>
    <w:p w14:paraId="7004B3B6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4.7. Vigência contratual de 12 meses, prorrogável.</w:t>
      </w:r>
    </w:p>
    <w:p w14:paraId="7F6F3C88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4.8. Garantia de execução de 1% do valor total anual estimado, conforme Lei nº 13.303/2016.</w:t>
      </w:r>
    </w:p>
    <w:p w14:paraId="69723181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</w:p>
    <w:p w14:paraId="5CE204B1" w14:textId="77777777" w:rsidR="00956AE7" w:rsidRPr="00D33066" w:rsidRDefault="00956AE7" w:rsidP="00956AE7">
      <w:pPr>
        <w:ind w:firstLine="567"/>
        <w:jc w:val="both"/>
        <w:rPr>
          <w:rFonts w:ascii="Arial" w:hAnsi="Arial" w:cs="Arial"/>
          <w:b/>
          <w:bCs/>
        </w:rPr>
      </w:pPr>
      <w:r w:rsidRPr="00D33066">
        <w:rPr>
          <w:rFonts w:ascii="Arial" w:hAnsi="Arial" w:cs="Arial"/>
          <w:b/>
          <w:bCs/>
        </w:rPr>
        <w:t>5. ANÁLISE DE MERCADO</w:t>
      </w:r>
    </w:p>
    <w:p w14:paraId="65DAEA8B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5.1. Estão disponíveis no mercado diversas soluções de benefícios flexíveis e cartões multibenefícios, que já integra</w:t>
      </w:r>
      <w:r>
        <w:rPr>
          <w:rFonts w:ascii="Arial" w:hAnsi="Arial" w:cs="Arial"/>
        </w:rPr>
        <w:t>m</w:t>
      </w:r>
      <w:r w:rsidRPr="00D3306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>s</w:t>
      </w:r>
      <w:r w:rsidRPr="00D33066">
        <w:rPr>
          <w:rFonts w:ascii="Arial" w:hAnsi="Arial" w:cs="Arial"/>
        </w:rPr>
        <w:t xml:space="preserve"> funcionalidade</w:t>
      </w:r>
      <w:r>
        <w:rPr>
          <w:rFonts w:ascii="Arial" w:hAnsi="Arial" w:cs="Arial"/>
        </w:rPr>
        <w:t>s</w:t>
      </w:r>
      <w:r w:rsidRPr="00D33066">
        <w:rPr>
          <w:rFonts w:ascii="Arial" w:hAnsi="Arial" w:cs="Arial"/>
        </w:rPr>
        <w:t xml:space="preserve"> de transferência entre carteiras, flexibilidade de uso em arranjo aberto e aplicativo de gestão em tempo real.</w:t>
      </w:r>
    </w:p>
    <w:p w14:paraId="1A64B416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5.2. A contratação via credenciamento permite ampla competitividade entre administradoras de benefícios, assegurando à AGESAN-RS condições vantajosas sem ônus adicional.</w:t>
      </w:r>
    </w:p>
    <w:p w14:paraId="245D5E73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</w:p>
    <w:p w14:paraId="2CFD2CEF" w14:textId="77777777" w:rsidR="00956AE7" w:rsidRPr="00D33066" w:rsidRDefault="00956AE7" w:rsidP="00956AE7">
      <w:pPr>
        <w:ind w:firstLine="567"/>
        <w:jc w:val="both"/>
        <w:rPr>
          <w:rFonts w:ascii="Arial" w:hAnsi="Arial" w:cs="Arial"/>
          <w:b/>
          <w:bCs/>
        </w:rPr>
      </w:pPr>
      <w:r w:rsidRPr="00D33066">
        <w:rPr>
          <w:rFonts w:ascii="Arial" w:hAnsi="Arial" w:cs="Arial"/>
          <w:b/>
          <w:bCs/>
        </w:rPr>
        <w:t>6. AVALIAÇÃO DE RISCOS</w:t>
      </w:r>
    </w:p>
    <w:p w14:paraId="1A7ED5EE" w14:textId="77777777" w:rsidR="0000697A" w:rsidRP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6.1. Mapa de Riscos Identificados</w:t>
      </w:r>
    </w:p>
    <w:tbl>
      <w:tblPr>
        <w:tblW w:w="914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2"/>
        <w:gridCol w:w="1548"/>
        <w:gridCol w:w="1034"/>
        <w:gridCol w:w="2592"/>
        <w:gridCol w:w="2086"/>
      </w:tblGrid>
      <w:tr w:rsidR="0000697A" w:rsidRPr="0000697A" w14:paraId="321E794F" w14:textId="77777777" w:rsidTr="0000697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EE1BBA5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04E8548E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Probabilidade</w:t>
            </w:r>
          </w:p>
        </w:tc>
        <w:tc>
          <w:tcPr>
            <w:tcW w:w="1004" w:type="dxa"/>
            <w:vAlign w:val="center"/>
            <w:hideMark/>
          </w:tcPr>
          <w:p w14:paraId="6000741F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Impacto</w:t>
            </w:r>
          </w:p>
        </w:tc>
        <w:tc>
          <w:tcPr>
            <w:tcW w:w="2562" w:type="dxa"/>
            <w:vAlign w:val="center"/>
            <w:hideMark/>
          </w:tcPr>
          <w:p w14:paraId="0C73AD5F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Estratégia de Mitigação</w:t>
            </w:r>
          </w:p>
        </w:tc>
        <w:tc>
          <w:tcPr>
            <w:tcW w:w="0" w:type="auto"/>
            <w:vAlign w:val="center"/>
            <w:hideMark/>
          </w:tcPr>
          <w:p w14:paraId="4CCEBC66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Responsável pelo Monitoramento</w:t>
            </w:r>
          </w:p>
        </w:tc>
      </w:tr>
      <w:tr w:rsidR="0000697A" w:rsidRPr="0000697A" w14:paraId="38234214" w14:textId="77777777" w:rsidTr="000069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0A6E3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a) Inadimplência da contratada com a rede credenciada</w:t>
            </w:r>
          </w:p>
        </w:tc>
        <w:tc>
          <w:tcPr>
            <w:tcW w:w="0" w:type="auto"/>
            <w:vAlign w:val="center"/>
            <w:hideMark/>
          </w:tcPr>
          <w:p w14:paraId="3DAF2E7A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Média</w:t>
            </w:r>
          </w:p>
        </w:tc>
        <w:tc>
          <w:tcPr>
            <w:tcW w:w="1004" w:type="dxa"/>
            <w:vAlign w:val="center"/>
            <w:hideMark/>
          </w:tcPr>
          <w:p w14:paraId="0496DA43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Alto</w:t>
            </w:r>
          </w:p>
        </w:tc>
        <w:tc>
          <w:tcPr>
            <w:tcW w:w="2562" w:type="dxa"/>
            <w:vAlign w:val="center"/>
            <w:hideMark/>
          </w:tcPr>
          <w:p w14:paraId="2A3FEAF2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Exigência de garantia contratual e auditorias periódicas</w:t>
            </w:r>
          </w:p>
        </w:tc>
        <w:tc>
          <w:tcPr>
            <w:tcW w:w="0" w:type="auto"/>
            <w:vAlign w:val="center"/>
            <w:hideMark/>
          </w:tcPr>
          <w:p w14:paraId="71251F00" w14:textId="7EBD6A60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 xml:space="preserve">Comissão de </w:t>
            </w:r>
            <w:r>
              <w:rPr>
                <w:rFonts w:ascii="Arial" w:hAnsi="Arial" w:cs="Arial"/>
              </w:rPr>
              <w:t>ESG</w:t>
            </w:r>
            <w:r w:rsidRPr="0000697A">
              <w:rPr>
                <w:rFonts w:ascii="Arial" w:hAnsi="Arial" w:cs="Arial"/>
              </w:rPr>
              <w:t xml:space="preserve"> da AGESAN-RS</w:t>
            </w:r>
          </w:p>
        </w:tc>
      </w:tr>
      <w:tr w:rsidR="0000697A" w:rsidRPr="0000697A" w14:paraId="71AB9601" w14:textId="77777777" w:rsidTr="000069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AD581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b) Problemas técnicos no aplicativo ou na transferência de saldos</w:t>
            </w:r>
          </w:p>
        </w:tc>
        <w:tc>
          <w:tcPr>
            <w:tcW w:w="0" w:type="auto"/>
            <w:vAlign w:val="center"/>
            <w:hideMark/>
          </w:tcPr>
          <w:p w14:paraId="23CD8058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Alta</w:t>
            </w:r>
          </w:p>
        </w:tc>
        <w:tc>
          <w:tcPr>
            <w:tcW w:w="1004" w:type="dxa"/>
            <w:vAlign w:val="center"/>
            <w:hideMark/>
          </w:tcPr>
          <w:p w14:paraId="1DC17894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Alto</w:t>
            </w:r>
          </w:p>
        </w:tc>
        <w:tc>
          <w:tcPr>
            <w:tcW w:w="2562" w:type="dxa"/>
            <w:vAlign w:val="center"/>
            <w:hideMark/>
          </w:tcPr>
          <w:p w14:paraId="223B799E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Definição de SLA mínimo de disponibilidade de 99,5% e tempo máximo de resposta de 2h</w:t>
            </w:r>
          </w:p>
        </w:tc>
        <w:tc>
          <w:tcPr>
            <w:tcW w:w="0" w:type="auto"/>
            <w:vAlign w:val="center"/>
            <w:hideMark/>
          </w:tcPr>
          <w:p w14:paraId="5EB5708C" w14:textId="5B4F68CE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 xml:space="preserve">Comissão de </w:t>
            </w:r>
            <w:r>
              <w:rPr>
                <w:rFonts w:ascii="Arial" w:hAnsi="Arial" w:cs="Arial"/>
              </w:rPr>
              <w:t>ESG</w:t>
            </w:r>
            <w:r w:rsidRPr="0000697A">
              <w:rPr>
                <w:rFonts w:ascii="Arial" w:hAnsi="Arial" w:cs="Arial"/>
              </w:rPr>
              <w:t xml:space="preserve"> da AGESAN-RS</w:t>
            </w:r>
            <w:r>
              <w:rPr>
                <w:rFonts w:ascii="Arial" w:hAnsi="Arial" w:cs="Arial"/>
              </w:rPr>
              <w:t>/</w:t>
            </w:r>
            <w:r w:rsidRPr="0000697A">
              <w:rPr>
                <w:rFonts w:ascii="Arial" w:hAnsi="Arial" w:cs="Arial"/>
              </w:rPr>
              <w:t>Contratada</w:t>
            </w:r>
          </w:p>
        </w:tc>
      </w:tr>
      <w:tr w:rsidR="0000697A" w:rsidRPr="0000697A" w14:paraId="4CBDA8C6" w14:textId="77777777" w:rsidTr="000069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69AD3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c) Fraudes e clonagem de cartões</w:t>
            </w:r>
          </w:p>
        </w:tc>
        <w:tc>
          <w:tcPr>
            <w:tcW w:w="0" w:type="auto"/>
            <w:vAlign w:val="center"/>
            <w:hideMark/>
          </w:tcPr>
          <w:p w14:paraId="388E713C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Baixa</w:t>
            </w:r>
          </w:p>
        </w:tc>
        <w:tc>
          <w:tcPr>
            <w:tcW w:w="1004" w:type="dxa"/>
            <w:vAlign w:val="center"/>
            <w:hideMark/>
          </w:tcPr>
          <w:p w14:paraId="4B9AE9CE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Alto</w:t>
            </w:r>
          </w:p>
        </w:tc>
        <w:tc>
          <w:tcPr>
            <w:tcW w:w="2562" w:type="dxa"/>
            <w:vAlign w:val="center"/>
            <w:hideMark/>
          </w:tcPr>
          <w:p w14:paraId="110869F7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Exigência de certificações PCI DSS, monitoramento antifraude em tempo real e seguro cibernético</w:t>
            </w:r>
          </w:p>
        </w:tc>
        <w:tc>
          <w:tcPr>
            <w:tcW w:w="0" w:type="auto"/>
            <w:vAlign w:val="center"/>
            <w:hideMark/>
          </w:tcPr>
          <w:p w14:paraId="0AD5F250" w14:textId="77777777" w:rsidR="0000697A" w:rsidRPr="0000697A" w:rsidRDefault="0000697A" w:rsidP="0000697A">
            <w:pPr>
              <w:ind w:firstLine="567"/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Contratada + Auditoria Externa</w:t>
            </w:r>
          </w:p>
        </w:tc>
      </w:tr>
      <w:tr w:rsidR="0000697A" w:rsidRPr="0000697A" w14:paraId="52FFDD12" w14:textId="77777777" w:rsidTr="000069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0993C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d) Quebra de contrato por insolvência financeira</w:t>
            </w:r>
          </w:p>
        </w:tc>
        <w:tc>
          <w:tcPr>
            <w:tcW w:w="0" w:type="auto"/>
            <w:vAlign w:val="center"/>
            <w:hideMark/>
          </w:tcPr>
          <w:p w14:paraId="69035C73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Baixa</w:t>
            </w:r>
          </w:p>
        </w:tc>
        <w:tc>
          <w:tcPr>
            <w:tcW w:w="1004" w:type="dxa"/>
            <w:vAlign w:val="center"/>
            <w:hideMark/>
          </w:tcPr>
          <w:p w14:paraId="40FE96D2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Alto</w:t>
            </w:r>
          </w:p>
        </w:tc>
        <w:tc>
          <w:tcPr>
            <w:tcW w:w="2562" w:type="dxa"/>
            <w:vAlign w:val="center"/>
            <w:hideMark/>
          </w:tcPr>
          <w:p w14:paraId="01ECD77A" w14:textId="0C99B0CF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 xml:space="preserve">Análise prévia de endividamento (máx. </w:t>
            </w:r>
            <w:r w:rsidR="00C016FC">
              <w:rPr>
                <w:rFonts w:ascii="Arial" w:hAnsi="Arial" w:cs="Arial"/>
              </w:rPr>
              <w:t>3</w:t>
            </w:r>
            <w:r w:rsidRPr="0000697A">
              <w:rPr>
                <w:rFonts w:ascii="Arial" w:hAnsi="Arial" w:cs="Arial"/>
              </w:rPr>
              <w:t>0% ativo/passivo) e substituição emergencial</w:t>
            </w:r>
          </w:p>
        </w:tc>
        <w:tc>
          <w:tcPr>
            <w:tcW w:w="0" w:type="auto"/>
            <w:vAlign w:val="center"/>
            <w:hideMark/>
          </w:tcPr>
          <w:p w14:paraId="761306FC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Comissão de Licitação</w:t>
            </w:r>
          </w:p>
        </w:tc>
      </w:tr>
      <w:tr w:rsidR="0000697A" w:rsidRPr="0000697A" w14:paraId="7440B5A4" w14:textId="77777777" w:rsidTr="000069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0DF1F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e) Vazamento de dados pessoais (LGPD)</w:t>
            </w:r>
          </w:p>
        </w:tc>
        <w:tc>
          <w:tcPr>
            <w:tcW w:w="0" w:type="auto"/>
            <w:vAlign w:val="center"/>
            <w:hideMark/>
          </w:tcPr>
          <w:p w14:paraId="340C6B19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Média</w:t>
            </w:r>
          </w:p>
        </w:tc>
        <w:tc>
          <w:tcPr>
            <w:tcW w:w="1004" w:type="dxa"/>
            <w:vAlign w:val="center"/>
            <w:hideMark/>
          </w:tcPr>
          <w:p w14:paraId="5B7578D2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Alto</w:t>
            </w:r>
          </w:p>
        </w:tc>
        <w:tc>
          <w:tcPr>
            <w:tcW w:w="2562" w:type="dxa"/>
            <w:vAlign w:val="center"/>
            <w:hideMark/>
          </w:tcPr>
          <w:p w14:paraId="44A8E8DB" w14:textId="77777777" w:rsidR="0000697A" w:rsidRPr="0000697A" w:rsidRDefault="0000697A" w:rsidP="00C016FC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Planos de resposta a incidentes, relatórios de segurança trimestrais, DPO designado</w:t>
            </w:r>
          </w:p>
        </w:tc>
        <w:tc>
          <w:tcPr>
            <w:tcW w:w="0" w:type="auto"/>
            <w:vAlign w:val="center"/>
            <w:hideMark/>
          </w:tcPr>
          <w:p w14:paraId="1EF9E7DC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Encarregado de Dados (DPO) da Contratada</w:t>
            </w:r>
          </w:p>
        </w:tc>
      </w:tr>
      <w:tr w:rsidR="0000697A" w:rsidRPr="0000697A" w14:paraId="720CC02F" w14:textId="77777777" w:rsidTr="000069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542CC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f) Resistência da rede credenciada à aceitação do cartão</w:t>
            </w:r>
          </w:p>
        </w:tc>
        <w:tc>
          <w:tcPr>
            <w:tcW w:w="0" w:type="auto"/>
            <w:vAlign w:val="center"/>
            <w:hideMark/>
          </w:tcPr>
          <w:p w14:paraId="20606D72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Média</w:t>
            </w:r>
          </w:p>
        </w:tc>
        <w:tc>
          <w:tcPr>
            <w:tcW w:w="1004" w:type="dxa"/>
            <w:vAlign w:val="center"/>
            <w:hideMark/>
          </w:tcPr>
          <w:p w14:paraId="2E536018" w14:textId="77777777" w:rsidR="0000697A" w:rsidRPr="0000697A" w:rsidRDefault="0000697A" w:rsidP="0000697A">
            <w:pPr>
              <w:jc w:val="center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Médio</w:t>
            </w:r>
          </w:p>
        </w:tc>
        <w:tc>
          <w:tcPr>
            <w:tcW w:w="2562" w:type="dxa"/>
            <w:vAlign w:val="center"/>
            <w:hideMark/>
          </w:tcPr>
          <w:p w14:paraId="4F9A3C9A" w14:textId="77777777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Ampliação da rede com arranjo aberto (Visa, Master, Elo), cláusula de manutenção mínima da rede</w:t>
            </w:r>
          </w:p>
        </w:tc>
        <w:tc>
          <w:tcPr>
            <w:tcW w:w="0" w:type="auto"/>
            <w:vAlign w:val="center"/>
            <w:hideMark/>
          </w:tcPr>
          <w:p w14:paraId="6B13CF83" w14:textId="5BEAB888" w:rsidR="0000697A" w:rsidRPr="0000697A" w:rsidRDefault="0000697A" w:rsidP="0000697A">
            <w:pPr>
              <w:jc w:val="both"/>
              <w:rPr>
                <w:rFonts w:ascii="Arial" w:hAnsi="Arial" w:cs="Arial"/>
              </w:rPr>
            </w:pPr>
            <w:r w:rsidRPr="0000697A">
              <w:rPr>
                <w:rFonts w:ascii="Arial" w:hAnsi="Arial" w:cs="Arial"/>
              </w:rPr>
              <w:t>Fiscal do Contrato</w:t>
            </w:r>
            <w:r>
              <w:rPr>
                <w:rFonts w:ascii="Arial" w:hAnsi="Arial" w:cs="Arial"/>
              </w:rPr>
              <w:t xml:space="preserve"> + </w:t>
            </w:r>
            <w:r w:rsidRPr="0000697A">
              <w:rPr>
                <w:rFonts w:ascii="Arial" w:hAnsi="Arial" w:cs="Arial"/>
              </w:rPr>
              <w:t xml:space="preserve">Comissão de </w:t>
            </w:r>
            <w:r>
              <w:rPr>
                <w:rFonts w:ascii="Arial" w:hAnsi="Arial" w:cs="Arial"/>
              </w:rPr>
              <w:t>ESG</w:t>
            </w:r>
            <w:r w:rsidRPr="0000697A">
              <w:rPr>
                <w:rFonts w:ascii="Arial" w:hAnsi="Arial" w:cs="Arial"/>
              </w:rPr>
              <w:t xml:space="preserve"> da AGESAN-RS</w:t>
            </w:r>
          </w:p>
        </w:tc>
      </w:tr>
    </w:tbl>
    <w:p w14:paraId="6E35C4FB" w14:textId="77777777" w:rsidR="0000697A" w:rsidRP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lastRenderedPageBreak/>
        <w:t>6.2. Planos de Contingência</w:t>
      </w:r>
    </w:p>
    <w:p w14:paraId="1FD2BF68" w14:textId="77777777" w:rsidR="0000697A" w:rsidRPr="0000697A" w:rsidRDefault="0000697A" w:rsidP="0000697A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A contratada deverá apresentar, antes do início da execução, Plano de Continuidade de Negócio (PCN) com cenários de falha técnica, indisponibilidade de sistema e interrupção da rede credenciada.</w:t>
      </w:r>
    </w:p>
    <w:p w14:paraId="7305B3BF" w14:textId="77777777" w:rsidR="0000697A" w:rsidRPr="0000697A" w:rsidRDefault="0000697A" w:rsidP="0000697A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Em caso de interrupção do serviço superior a 12h, deverá ser disponibilizado mecanismo alternativo de acesso aos créditos (voucher digital ou TED emergencial).</w:t>
      </w:r>
    </w:p>
    <w:p w14:paraId="3CCDA4B7" w14:textId="77777777" w:rsidR="0000697A" w:rsidRPr="0000697A" w:rsidRDefault="0000697A" w:rsidP="0000697A">
      <w:pPr>
        <w:ind w:firstLine="567"/>
        <w:jc w:val="both"/>
        <w:rPr>
          <w:rFonts w:ascii="Arial" w:hAnsi="Arial" w:cs="Arial"/>
          <w:b/>
          <w:bCs/>
        </w:rPr>
      </w:pPr>
    </w:p>
    <w:p w14:paraId="3834E3E9" w14:textId="77777777" w:rsidR="0000697A" w:rsidRPr="0000697A" w:rsidRDefault="0000697A" w:rsidP="0000697A">
      <w:pPr>
        <w:ind w:firstLine="567"/>
        <w:jc w:val="both"/>
        <w:rPr>
          <w:rFonts w:ascii="Arial" w:hAnsi="Arial" w:cs="Arial"/>
          <w:b/>
          <w:bCs/>
        </w:rPr>
      </w:pPr>
      <w:r w:rsidRPr="0000697A">
        <w:rPr>
          <w:rFonts w:ascii="Arial" w:hAnsi="Arial" w:cs="Arial"/>
          <w:b/>
          <w:bCs/>
        </w:rPr>
        <w:t>7. REQUISITOS DE ESG (AMBIENTAL, SOCIAL E GOVERNANÇA)</w:t>
      </w:r>
    </w:p>
    <w:p w14:paraId="77061847" w14:textId="77777777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7.1. Governança</w:t>
      </w:r>
    </w:p>
    <w:p w14:paraId="31A4FA82" w14:textId="77777777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a) Atendimento integral às diretrizes da Lei Anticorrupção (Lei nº 12.846/2013) e às políticas de compliance da AGESAN-RS;</w:t>
      </w:r>
    </w:p>
    <w:p w14:paraId="29AE4F90" w14:textId="77777777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b) Disponibilização de relatórios digitais trimestrais com todos os créditos, débitos e movimentações financeiras, auditáveis pela AGESAN-RS;</w:t>
      </w:r>
    </w:p>
    <w:p w14:paraId="20D1B929" w14:textId="77777777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c) Implementação de canal de denúncias independente, acessível a colaboradores e usuários;</w:t>
      </w:r>
    </w:p>
    <w:p w14:paraId="60183CE8" w14:textId="28B91610" w:rsidR="0000697A" w:rsidRP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d) Penalidade: atraso na entrega dos relatórios ou descumprimento de compliance sujeitará a contratada a multa de 2% sobre o valor mensal do benefício administrado.</w:t>
      </w:r>
    </w:p>
    <w:p w14:paraId="3AC82AC8" w14:textId="77777777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7.2. Social</w:t>
      </w:r>
    </w:p>
    <w:p w14:paraId="7A676B19" w14:textId="3EC80392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a) Promoção de programas de segurança alimentar e nutricional, mediante campanhas digitais e</w:t>
      </w:r>
      <w:r w:rsidR="00C016FC">
        <w:rPr>
          <w:rFonts w:ascii="Arial" w:hAnsi="Arial" w:cs="Arial"/>
        </w:rPr>
        <w:t>/ou</w:t>
      </w:r>
      <w:r w:rsidRPr="0000697A">
        <w:rPr>
          <w:rFonts w:ascii="Arial" w:hAnsi="Arial" w:cs="Arial"/>
        </w:rPr>
        <w:t xml:space="preserve"> workshops sem custo aos colaboradores;</w:t>
      </w:r>
    </w:p>
    <w:p w14:paraId="5ED655AA" w14:textId="77777777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b) Oferta de programas adicionais gratuitos, como telemedicina, apoio psicológico e incentivo à prática de atividades físicas, desde que compatíveis com saúde e bem-estar;</w:t>
      </w:r>
    </w:p>
    <w:p w14:paraId="1CE57344" w14:textId="5FA134F8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c) Penalidade: descumprimento das ações previstas resultará em advertência e, em caso de reincidência, multa de 1% sobre o valor mensal do benefício administrado.</w:t>
      </w:r>
    </w:p>
    <w:p w14:paraId="67DE0373" w14:textId="77777777" w:rsid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7.3. Ambiental</w:t>
      </w:r>
    </w:p>
    <w:p w14:paraId="2383800E" w14:textId="77777777" w:rsidR="00C016FC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a) Emissão preferencial de cartões em materiais recicláveis, biodegradáveis ou de origem sustentável;</w:t>
      </w:r>
    </w:p>
    <w:p w14:paraId="7D65AF62" w14:textId="77777777" w:rsidR="00C016FC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b) Estímulo à digitalização de serviços (aplicativos móveis, extratos eletrônicos) visando à redução de uso de plástico e papel;</w:t>
      </w:r>
    </w:p>
    <w:p w14:paraId="103B2CC1" w14:textId="77777777" w:rsidR="00C016FC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c) Incentivo e prioridade de credenciamento de estabelecimentos que adotem práticas sustentáveis (logística reversa, gestão de resíduos, energia limpa);</w:t>
      </w:r>
    </w:p>
    <w:p w14:paraId="2983A928" w14:textId="4930B31E" w:rsidR="0000697A" w:rsidRP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d) Penalidade: em caso de descumprimento das práticas ambientais declaradas em proposta, a contratada poderá ser sancionada com multa de 0,5% do valor mensal do benefício administrado.</w:t>
      </w:r>
    </w:p>
    <w:p w14:paraId="3AFD38E0" w14:textId="77777777" w:rsidR="0000697A" w:rsidRPr="0000697A" w:rsidRDefault="0000697A" w:rsidP="0000697A">
      <w:pPr>
        <w:ind w:firstLine="567"/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7.4. Indicadores de ESG (SLA)</w:t>
      </w:r>
    </w:p>
    <w:p w14:paraId="1F7BBEF2" w14:textId="77777777" w:rsidR="0000697A" w:rsidRPr="0000697A" w:rsidRDefault="0000697A" w:rsidP="0000697A">
      <w:pPr>
        <w:numPr>
          <w:ilvl w:val="0"/>
          <w:numId w:val="16"/>
        </w:numPr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Percentual mínimo de 99% de extratos eletrônicos emitidos sem erro;</w:t>
      </w:r>
    </w:p>
    <w:p w14:paraId="69590E06" w14:textId="77777777" w:rsidR="0000697A" w:rsidRPr="0000697A" w:rsidRDefault="0000697A" w:rsidP="0000697A">
      <w:pPr>
        <w:numPr>
          <w:ilvl w:val="0"/>
          <w:numId w:val="16"/>
        </w:numPr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Percentual mínimo de 90% dos cartões emitidos em material sustentável;</w:t>
      </w:r>
    </w:p>
    <w:p w14:paraId="187BDA4B" w14:textId="77777777" w:rsidR="0000697A" w:rsidRPr="0000697A" w:rsidRDefault="0000697A" w:rsidP="0000697A">
      <w:pPr>
        <w:numPr>
          <w:ilvl w:val="0"/>
          <w:numId w:val="16"/>
        </w:numPr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Frequência mínima de 02 campanhas anuais de saúde alimentar e bem-estar;</w:t>
      </w:r>
    </w:p>
    <w:p w14:paraId="6272281D" w14:textId="77777777" w:rsidR="0000697A" w:rsidRPr="0000697A" w:rsidRDefault="0000697A" w:rsidP="0000697A">
      <w:pPr>
        <w:numPr>
          <w:ilvl w:val="0"/>
          <w:numId w:val="16"/>
        </w:numPr>
        <w:jc w:val="both"/>
        <w:rPr>
          <w:rFonts w:ascii="Arial" w:hAnsi="Arial" w:cs="Arial"/>
        </w:rPr>
      </w:pPr>
      <w:r w:rsidRPr="0000697A">
        <w:rPr>
          <w:rFonts w:ascii="Arial" w:hAnsi="Arial" w:cs="Arial"/>
        </w:rPr>
        <w:t>Disponibilidade mínima de 99,5% do aplicativo móvel.</w:t>
      </w:r>
    </w:p>
    <w:p w14:paraId="012BB3A6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</w:p>
    <w:p w14:paraId="459CA8BB" w14:textId="77777777" w:rsidR="00956AE7" w:rsidRPr="00D33066" w:rsidRDefault="00956AE7" w:rsidP="00956AE7">
      <w:pPr>
        <w:ind w:firstLine="567"/>
        <w:jc w:val="both"/>
        <w:rPr>
          <w:rFonts w:ascii="Arial" w:hAnsi="Arial" w:cs="Arial"/>
          <w:b/>
          <w:bCs/>
        </w:rPr>
      </w:pPr>
      <w:r w:rsidRPr="00D33066">
        <w:rPr>
          <w:rFonts w:ascii="Arial" w:hAnsi="Arial" w:cs="Arial"/>
          <w:b/>
          <w:bCs/>
        </w:rPr>
        <w:t>8. CONCLUSÃO</w:t>
      </w:r>
    </w:p>
    <w:p w14:paraId="2601D7F7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8.1. A contratação é necessária, vantajosa e devidamente fundamentada nos aspectos legais, estratégicos e de gestão de pessoas, representando medida alinhada ao planejamento institucional da AGESAN-RS.</w:t>
      </w:r>
    </w:p>
    <w:p w14:paraId="2FC6E3E4" w14:textId="77777777" w:rsidR="00956AE7" w:rsidRPr="00D33066" w:rsidRDefault="00956AE7" w:rsidP="00956AE7">
      <w:pPr>
        <w:ind w:firstLine="567"/>
        <w:jc w:val="both"/>
        <w:rPr>
          <w:rFonts w:ascii="Arial" w:hAnsi="Arial" w:cs="Arial"/>
        </w:rPr>
      </w:pPr>
      <w:r w:rsidRPr="00D33066">
        <w:rPr>
          <w:rFonts w:ascii="Arial" w:hAnsi="Arial" w:cs="Arial"/>
        </w:rPr>
        <w:t>8.2. O modelo proposto promove segurança alimentar, inovação tecnológica, governança responsável e práticas ESG, reforçando o compromisso da Agência com a transparência, eficiência administrativa e sustentabilidade.</w:t>
      </w:r>
    </w:p>
    <w:p w14:paraId="134DE338" w14:textId="77777777" w:rsidR="00D33066" w:rsidRDefault="00D33066" w:rsidP="00D33066">
      <w:pPr>
        <w:ind w:firstLine="567"/>
        <w:jc w:val="both"/>
        <w:rPr>
          <w:rFonts w:ascii="Arial" w:hAnsi="Arial" w:cs="Arial"/>
        </w:rPr>
      </w:pPr>
    </w:p>
    <w:p w14:paraId="5533CA8D" w14:textId="77777777" w:rsidR="00D33066" w:rsidRDefault="00D33066" w:rsidP="00D33066">
      <w:pPr>
        <w:ind w:firstLine="567"/>
        <w:jc w:val="both"/>
        <w:rPr>
          <w:rFonts w:ascii="Arial" w:hAnsi="Arial" w:cs="Arial"/>
        </w:rPr>
      </w:pPr>
    </w:p>
    <w:p w14:paraId="58051109" w14:textId="77777777" w:rsidR="00D33066" w:rsidRDefault="00D33066" w:rsidP="00D33066">
      <w:pPr>
        <w:ind w:firstLine="567"/>
        <w:jc w:val="both"/>
        <w:rPr>
          <w:rFonts w:ascii="Arial" w:hAnsi="Arial" w:cs="Arial"/>
        </w:rPr>
      </w:pPr>
    </w:p>
    <w:p w14:paraId="179172F6" w14:textId="77777777" w:rsidR="00D33066" w:rsidRDefault="00D33066" w:rsidP="00D33066">
      <w:pPr>
        <w:ind w:firstLine="567"/>
        <w:jc w:val="both"/>
        <w:rPr>
          <w:rFonts w:ascii="Arial" w:hAnsi="Arial" w:cs="Arial"/>
        </w:rPr>
      </w:pPr>
    </w:p>
    <w:p w14:paraId="1900BFD6" w14:textId="77777777" w:rsidR="00D33066" w:rsidRDefault="00D33066" w:rsidP="00D33066">
      <w:pPr>
        <w:ind w:firstLine="567"/>
        <w:jc w:val="both"/>
        <w:rPr>
          <w:rFonts w:ascii="Arial" w:hAnsi="Arial" w:cs="Arial"/>
        </w:rPr>
      </w:pPr>
    </w:p>
    <w:p w14:paraId="4E8065E7" w14:textId="77777777" w:rsidR="00D33066" w:rsidRDefault="00D33066" w:rsidP="00D33066">
      <w:pPr>
        <w:ind w:firstLine="567"/>
        <w:jc w:val="both"/>
        <w:rPr>
          <w:rFonts w:ascii="Arial" w:hAnsi="Arial" w:cs="Arial"/>
        </w:rPr>
      </w:pPr>
    </w:p>
    <w:sectPr w:rsidR="00D33066" w:rsidSect="00CA551E">
      <w:headerReference w:type="default" r:id="rId7"/>
      <w:footerReference w:type="default" r:id="rId8"/>
      <w:pgSz w:w="11907" w:h="16840" w:code="9"/>
      <w:pgMar w:top="1701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5E33E" w14:textId="77777777" w:rsidR="00506FE0" w:rsidRDefault="00506FE0" w:rsidP="003F34FF">
      <w:r>
        <w:separator/>
      </w:r>
    </w:p>
  </w:endnote>
  <w:endnote w:type="continuationSeparator" w:id="0">
    <w:p w14:paraId="04F1B772" w14:textId="77777777" w:rsidR="00506FE0" w:rsidRDefault="00506FE0" w:rsidP="003F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42BF7" w14:textId="77777777" w:rsidR="00CA551E" w:rsidRPr="009638AE" w:rsidRDefault="00CA551E" w:rsidP="00CA551E">
    <w:pPr>
      <w:tabs>
        <w:tab w:val="center" w:pos="4252"/>
        <w:tab w:val="right" w:pos="8504"/>
      </w:tabs>
      <w:jc w:val="center"/>
      <w:rPr>
        <w:rFonts w:ascii="Arial" w:hAnsi="Arial" w:cs="Arial"/>
        <w:b/>
        <w:bCs/>
        <w:color w:val="404040"/>
        <w:sz w:val="18"/>
        <w:lang w:eastAsia="x-none"/>
      </w:rPr>
    </w:pPr>
    <w:r w:rsidRPr="009638AE">
      <w:rPr>
        <w:rFonts w:ascii="Arial" w:hAnsi="Arial" w:cs="Arial"/>
        <w:b/>
        <w:bCs/>
        <w:color w:val="404040"/>
        <w:sz w:val="20"/>
        <w:lang w:eastAsia="x-none"/>
      </w:rPr>
      <w:t>AGESAN – RS</w:t>
    </w:r>
    <w:r w:rsidRPr="009638AE">
      <w:rPr>
        <w:rFonts w:ascii="Arial" w:hAnsi="Arial" w:cs="Arial"/>
        <w:b/>
        <w:bCs/>
        <w:color w:val="404040"/>
        <w:sz w:val="18"/>
        <w:lang w:eastAsia="x-none"/>
      </w:rPr>
      <w:t xml:space="preserve"> </w:t>
    </w:r>
  </w:p>
  <w:p w14:paraId="25875ED3" w14:textId="77777777" w:rsidR="00CA551E" w:rsidRDefault="00CA551E" w:rsidP="00CA551E">
    <w:pPr>
      <w:tabs>
        <w:tab w:val="center" w:pos="4252"/>
        <w:tab w:val="right" w:pos="8504"/>
      </w:tabs>
      <w:jc w:val="center"/>
      <w:rPr>
        <w:rFonts w:ascii="Arial" w:hAnsi="Arial" w:cs="Arial"/>
        <w:color w:val="404040"/>
        <w:sz w:val="16"/>
        <w:lang w:eastAsia="x-none"/>
      </w:rPr>
    </w:pPr>
    <w:r>
      <w:rPr>
        <w:rFonts w:ascii="Arial" w:hAnsi="Arial" w:cs="Arial"/>
        <w:color w:val="404040"/>
        <w:sz w:val="16"/>
        <w:lang w:eastAsia="x-none"/>
      </w:rPr>
      <w:t>CNPJ: 32.466.876/0001-14</w:t>
    </w:r>
  </w:p>
  <w:p w14:paraId="554D920D" w14:textId="47C41686" w:rsidR="00CA551E" w:rsidRDefault="003F38F5" w:rsidP="00CA551E">
    <w:pPr>
      <w:tabs>
        <w:tab w:val="center" w:pos="4252"/>
        <w:tab w:val="right" w:pos="8504"/>
      </w:tabs>
      <w:jc w:val="center"/>
      <w:rPr>
        <w:rFonts w:ascii="Arial" w:hAnsi="Arial" w:cs="Arial"/>
        <w:color w:val="404040"/>
        <w:sz w:val="16"/>
        <w:lang w:eastAsia="x-none"/>
      </w:rPr>
    </w:pPr>
    <w:r>
      <w:rPr>
        <w:rFonts w:ascii="Arial" w:hAnsi="Arial" w:cs="Arial"/>
        <w:color w:val="404040"/>
        <w:sz w:val="16"/>
        <w:lang w:eastAsia="x-none"/>
      </w:rPr>
      <w:t>Rua Félix da Cunha, 1009</w:t>
    </w:r>
    <w:r w:rsidR="009638AE">
      <w:rPr>
        <w:rFonts w:ascii="Arial" w:hAnsi="Arial" w:cs="Arial"/>
        <w:color w:val="404040"/>
        <w:sz w:val="16"/>
        <w:lang w:eastAsia="x-none"/>
      </w:rPr>
      <w:t>,</w:t>
    </w:r>
    <w:r w:rsidR="00CA551E">
      <w:rPr>
        <w:rFonts w:ascii="Arial" w:hAnsi="Arial" w:cs="Arial"/>
        <w:color w:val="404040"/>
        <w:sz w:val="16"/>
        <w:lang w:val="x-none" w:eastAsia="x-none"/>
      </w:rPr>
      <w:t xml:space="preserve"> S</w:t>
    </w:r>
    <w:r w:rsidR="00CA551E">
      <w:rPr>
        <w:rFonts w:ascii="Arial" w:hAnsi="Arial" w:cs="Arial"/>
        <w:color w:val="404040"/>
        <w:sz w:val="16"/>
        <w:lang w:eastAsia="x-none"/>
      </w:rPr>
      <w:t xml:space="preserve">ala </w:t>
    </w:r>
    <w:r>
      <w:rPr>
        <w:rFonts w:ascii="Arial" w:hAnsi="Arial" w:cs="Arial"/>
        <w:color w:val="404040"/>
        <w:sz w:val="16"/>
        <w:lang w:eastAsia="x-none"/>
      </w:rPr>
      <w:t>802</w:t>
    </w:r>
    <w:r w:rsidR="00CA551E">
      <w:rPr>
        <w:rFonts w:ascii="Arial" w:hAnsi="Arial" w:cs="Arial"/>
        <w:color w:val="404040"/>
        <w:sz w:val="16"/>
        <w:lang w:val="x-none" w:eastAsia="x-none"/>
      </w:rPr>
      <w:t xml:space="preserve">, </w:t>
    </w:r>
    <w:r w:rsidR="009D6FA9">
      <w:rPr>
        <w:rFonts w:ascii="Arial" w:hAnsi="Arial" w:cs="Arial"/>
        <w:color w:val="404040"/>
        <w:sz w:val="16"/>
        <w:lang w:eastAsia="x-none"/>
      </w:rPr>
      <w:t>Moinhos de Vento</w:t>
    </w:r>
    <w:r w:rsidR="00CA551E">
      <w:rPr>
        <w:rFonts w:ascii="Arial" w:hAnsi="Arial" w:cs="Arial"/>
        <w:color w:val="404040"/>
        <w:sz w:val="16"/>
        <w:lang w:val="x-none" w:eastAsia="x-none"/>
      </w:rPr>
      <w:t xml:space="preserve"> </w:t>
    </w:r>
    <w:r>
      <w:rPr>
        <w:rFonts w:ascii="Arial" w:hAnsi="Arial" w:cs="Arial"/>
        <w:color w:val="404040"/>
        <w:sz w:val="16"/>
        <w:lang w:val="x-none" w:eastAsia="x-none"/>
      </w:rPr>
      <w:t>–</w:t>
    </w:r>
    <w:r w:rsidR="00CA551E">
      <w:rPr>
        <w:rFonts w:ascii="Arial" w:hAnsi="Arial" w:cs="Arial"/>
        <w:color w:val="404040"/>
        <w:sz w:val="16"/>
        <w:lang w:val="x-none" w:eastAsia="x-none"/>
      </w:rPr>
      <w:t xml:space="preserve"> </w:t>
    </w:r>
    <w:r>
      <w:rPr>
        <w:rFonts w:ascii="Arial" w:hAnsi="Arial" w:cs="Arial"/>
        <w:color w:val="404040"/>
        <w:sz w:val="16"/>
        <w:lang w:eastAsia="x-none"/>
      </w:rPr>
      <w:t>Porto Alegre</w:t>
    </w:r>
    <w:r w:rsidR="00CA551E">
      <w:rPr>
        <w:rFonts w:ascii="Arial" w:hAnsi="Arial" w:cs="Arial"/>
        <w:color w:val="404040"/>
        <w:sz w:val="16"/>
        <w:lang w:val="x-none" w:eastAsia="x-none"/>
      </w:rPr>
      <w:t xml:space="preserve">/RS </w:t>
    </w:r>
    <w:r w:rsidR="00CA551E">
      <w:rPr>
        <w:rFonts w:ascii="Arial" w:hAnsi="Arial" w:cs="Arial"/>
        <w:color w:val="404040"/>
        <w:sz w:val="16"/>
        <w:lang w:eastAsia="x-none"/>
      </w:rPr>
      <w:t xml:space="preserve">– CEP: </w:t>
    </w:r>
    <w:r>
      <w:rPr>
        <w:rFonts w:ascii="Arial" w:hAnsi="Arial" w:cs="Arial"/>
        <w:color w:val="404040"/>
        <w:sz w:val="16"/>
        <w:lang w:eastAsia="x-none"/>
      </w:rPr>
      <w:t>90570-001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E5E35" w14:textId="77777777" w:rsidR="00506FE0" w:rsidRDefault="00506FE0" w:rsidP="003F34FF">
      <w:r>
        <w:separator/>
      </w:r>
    </w:p>
  </w:footnote>
  <w:footnote w:type="continuationSeparator" w:id="0">
    <w:p w14:paraId="1444549F" w14:textId="77777777" w:rsidR="00506FE0" w:rsidRDefault="00506FE0" w:rsidP="003F3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9D5A4" w14:textId="5F3C69A0" w:rsidR="00B17E1B" w:rsidRDefault="003074E3" w:rsidP="007E582C">
    <w:pPr>
      <w:pStyle w:val="Cabealho"/>
      <w:jc w:val="center"/>
    </w:pPr>
    <w:r>
      <w:rPr>
        <w:rFonts w:ascii="Arial" w:hAnsi="Arial" w:cs="Arial"/>
        <w:noProof/>
      </w:rPr>
      <w:drawing>
        <wp:inline distT="0" distB="0" distL="0" distR="0" wp14:anchorId="1BF0D530" wp14:editId="19F3D04D">
          <wp:extent cx="2453640" cy="630721"/>
          <wp:effectExtent l="0" t="0" r="381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72415" cy="635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15AC19" w14:textId="77777777" w:rsidR="00B17E1B" w:rsidRPr="00B17E1B" w:rsidRDefault="00B17E1B" w:rsidP="00B17E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126C7"/>
    <w:multiLevelType w:val="hybridMultilevel"/>
    <w:tmpl w:val="A5262D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3A04"/>
    <w:multiLevelType w:val="multilevel"/>
    <w:tmpl w:val="C862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1742F"/>
    <w:multiLevelType w:val="hybridMultilevel"/>
    <w:tmpl w:val="E1E47EE0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206A9F"/>
    <w:multiLevelType w:val="hybridMultilevel"/>
    <w:tmpl w:val="235E21DA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7F0C96"/>
    <w:multiLevelType w:val="hybridMultilevel"/>
    <w:tmpl w:val="F7E80B28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6C50E60"/>
    <w:multiLevelType w:val="multilevel"/>
    <w:tmpl w:val="739C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8E0665"/>
    <w:multiLevelType w:val="hybridMultilevel"/>
    <w:tmpl w:val="1ABE372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52C059D"/>
    <w:multiLevelType w:val="multilevel"/>
    <w:tmpl w:val="19EE3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FC027F"/>
    <w:multiLevelType w:val="hybridMultilevel"/>
    <w:tmpl w:val="346A13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F7BDE"/>
    <w:multiLevelType w:val="hybridMultilevel"/>
    <w:tmpl w:val="6B480350"/>
    <w:lvl w:ilvl="0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991A84"/>
    <w:multiLevelType w:val="hybridMultilevel"/>
    <w:tmpl w:val="42D0AF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32546"/>
    <w:multiLevelType w:val="hybridMultilevel"/>
    <w:tmpl w:val="69C29CD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4E74DB5"/>
    <w:multiLevelType w:val="hybridMultilevel"/>
    <w:tmpl w:val="9AD43CEC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9EE1FAE"/>
    <w:multiLevelType w:val="multilevel"/>
    <w:tmpl w:val="0C2A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7E2463"/>
    <w:multiLevelType w:val="hybridMultilevel"/>
    <w:tmpl w:val="7FF07F5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FB8157F"/>
    <w:multiLevelType w:val="hybridMultilevel"/>
    <w:tmpl w:val="B5C852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468018859">
    <w:abstractNumId w:val="1"/>
  </w:num>
  <w:num w:numId="2" w16cid:durableId="1602175955">
    <w:abstractNumId w:val="13"/>
  </w:num>
  <w:num w:numId="3" w16cid:durableId="748427581">
    <w:abstractNumId w:val="9"/>
  </w:num>
  <w:num w:numId="4" w16cid:durableId="2052261366">
    <w:abstractNumId w:val="0"/>
  </w:num>
  <w:num w:numId="5" w16cid:durableId="783308337">
    <w:abstractNumId w:val="8"/>
  </w:num>
  <w:num w:numId="6" w16cid:durableId="1425762382">
    <w:abstractNumId w:val="10"/>
  </w:num>
  <w:num w:numId="7" w16cid:durableId="436678712">
    <w:abstractNumId w:val="15"/>
  </w:num>
  <w:num w:numId="8" w16cid:durableId="729115496">
    <w:abstractNumId w:val="14"/>
  </w:num>
  <w:num w:numId="9" w16cid:durableId="493686161">
    <w:abstractNumId w:val="4"/>
  </w:num>
  <w:num w:numId="10" w16cid:durableId="1040131089">
    <w:abstractNumId w:val="11"/>
  </w:num>
  <w:num w:numId="11" w16cid:durableId="1290554986">
    <w:abstractNumId w:val="3"/>
  </w:num>
  <w:num w:numId="12" w16cid:durableId="825511448">
    <w:abstractNumId w:val="6"/>
  </w:num>
  <w:num w:numId="13" w16cid:durableId="572089490">
    <w:abstractNumId w:val="2"/>
  </w:num>
  <w:num w:numId="14" w16cid:durableId="379327824">
    <w:abstractNumId w:val="12"/>
  </w:num>
  <w:num w:numId="15" w16cid:durableId="1002662846">
    <w:abstractNumId w:val="7"/>
  </w:num>
  <w:num w:numId="16" w16cid:durableId="2991869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CA3"/>
    <w:rsid w:val="0000697A"/>
    <w:rsid w:val="00037DBF"/>
    <w:rsid w:val="000408CA"/>
    <w:rsid w:val="00040DFA"/>
    <w:rsid w:val="00043A2C"/>
    <w:rsid w:val="00062E8E"/>
    <w:rsid w:val="00074D8A"/>
    <w:rsid w:val="0009526F"/>
    <w:rsid w:val="000D037E"/>
    <w:rsid w:val="000E23F8"/>
    <w:rsid w:val="0010512E"/>
    <w:rsid w:val="00133F94"/>
    <w:rsid w:val="001343CA"/>
    <w:rsid w:val="00155CD9"/>
    <w:rsid w:val="0016314C"/>
    <w:rsid w:val="0016410D"/>
    <w:rsid w:val="00164D2B"/>
    <w:rsid w:val="00171597"/>
    <w:rsid w:val="00175B46"/>
    <w:rsid w:val="00184CD6"/>
    <w:rsid w:val="0018501A"/>
    <w:rsid w:val="00185B13"/>
    <w:rsid w:val="001978F0"/>
    <w:rsid w:val="001A00E8"/>
    <w:rsid w:val="001B07C6"/>
    <w:rsid w:val="00203BAA"/>
    <w:rsid w:val="00224A0B"/>
    <w:rsid w:val="00243AF5"/>
    <w:rsid w:val="00254E62"/>
    <w:rsid w:val="0028136C"/>
    <w:rsid w:val="00293CC1"/>
    <w:rsid w:val="002A281D"/>
    <w:rsid w:val="002A6D71"/>
    <w:rsid w:val="002B3CE2"/>
    <w:rsid w:val="002D4B11"/>
    <w:rsid w:val="002D70D4"/>
    <w:rsid w:val="002E327A"/>
    <w:rsid w:val="002E55D7"/>
    <w:rsid w:val="002F3F8C"/>
    <w:rsid w:val="003074E3"/>
    <w:rsid w:val="003103A8"/>
    <w:rsid w:val="00315913"/>
    <w:rsid w:val="00351DC2"/>
    <w:rsid w:val="003619AE"/>
    <w:rsid w:val="0037672B"/>
    <w:rsid w:val="003801C2"/>
    <w:rsid w:val="00390F1D"/>
    <w:rsid w:val="003A368F"/>
    <w:rsid w:val="003B7AA4"/>
    <w:rsid w:val="003C3591"/>
    <w:rsid w:val="003E4F08"/>
    <w:rsid w:val="003F34FF"/>
    <w:rsid w:val="003F38F5"/>
    <w:rsid w:val="003F499B"/>
    <w:rsid w:val="00404820"/>
    <w:rsid w:val="004052C7"/>
    <w:rsid w:val="00407026"/>
    <w:rsid w:val="004176D2"/>
    <w:rsid w:val="00420569"/>
    <w:rsid w:val="004465F8"/>
    <w:rsid w:val="00467302"/>
    <w:rsid w:val="00474B68"/>
    <w:rsid w:val="00480A49"/>
    <w:rsid w:val="00492CD5"/>
    <w:rsid w:val="004A4EA7"/>
    <w:rsid w:val="004B2E50"/>
    <w:rsid w:val="004D6D02"/>
    <w:rsid w:val="004E3CA3"/>
    <w:rsid w:val="004E6F79"/>
    <w:rsid w:val="004F155D"/>
    <w:rsid w:val="00501B78"/>
    <w:rsid w:val="00505A5E"/>
    <w:rsid w:val="00506FE0"/>
    <w:rsid w:val="00510177"/>
    <w:rsid w:val="00514212"/>
    <w:rsid w:val="005158B1"/>
    <w:rsid w:val="0052742F"/>
    <w:rsid w:val="00532677"/>
    <w:rsid w:val="0055018A"/>
    <w:rsid w:val="005505F3"/>
    <w:rsid w:val="0055536C"/>
    <w:rsid w:val="00576193"/>
    <w:rsid w:val="00577D98"/>
    <w:rsid w:val="005842BB"/>
    <w:rsid w:val="005942CA"/>
    <w:rsid w:val="005A310D"/>
    <w:rsid w:val="005C5AF4"/>
    <w:rsid w:val="005F27E9"/>
    <w:rsid w:val="005F7C72"/>
    <w:rsid w:val="0060182C"/>
    <w:rsid w:val="00602ECD"/>
    <w:rsid w:val="00603810"/>
    <w:rsid w:val="0061513E"/>
    <w:rsid w:val="006217F0"/>
    <w:rsid w:val="0062361A"/>
    <w:rsid w:val="006333D9"/>
    <w:rsid w:val="00634F3C"/>
    <w:rsid w:val="00640E83"/>
    <w:rsid w:val="006414F9"/>
    <w:rsid w:val="00647DE6"/>
    <w:rsid w:val="00647FB2"/>
    <w:rsid w:val="00651D50"/>
    <w:rsid w:val="00663126"/>
    <w:rsid w:val="006772D5"/>
    <w:rsid w:val="00694B9F"/>
    <w:rsid w:val="006C2E31"/>
    <w:rsid w:val="006C4FF0"/>
    <w:rsid w:val="006E06A7"/>
    <w:rsid w:val="006E6393"/>
    <w:rsid w:val="006E7F15"/>
    <w:rsid w:val="006F23AC"/>
    <w:rsid w:val="006F4B2D"/>
    <w:rsid w:val="006F7F3C"/>
    <w:rsid w:val="007035EC"/>
    <w:rsid w:val="00716DF9"/>
    <w:rsid w:val="00744889"/>
    <w:rsid w:val="00750B4C"/>
    <w:rsid w:val="00751D79"/>
    <w:rsid w:val="00765109"/>
    <w:rsid w:val="00767418"/>
    <w:rsid w:val="00797958"/>
    <w:rsid w:val="007A6CA3"/>
    <w:rsid w:val="007C0A49"/>
    <w:rsid w:val="007C4C6A"/>
    <w:rsid w:val="007D7737"/>
    <w:rsid w:val="007E4DA5"/>
    <w:rsid w:val="007E582C"/>
    <w:rsid w:val="00801CBF"/>
    <w:rsid w:val="00812BB2"/>
    <w:rsid w:val="00813171"/>
    <w:rsid w:val="0081364F"/>
    <w:rsid w:val="00815EB4"/>
    <w:rsid w:val="008166B3"/>
    <w:rsid w:val="00827484"/>
    <w:rsid w:val="00846496"/>
    <w:rsid w:val="00850C5E"/>
    <w:rsid w:val="00860A9D"/>
    <w:rsid w:val="0086326F"/>
    <w:rsid w:val="008743C6"/>
    <w:rsid w:val="00875A9F"/>
    <w:rsid w:val="008768B2"/>
    <w:rsid w:val="00877C02"/>
    <w:rsid w:val="00883536"/>
    <w:rsid w:val="00896BD8"/>
    <w:rsid w:val="008A068E"/>
    <w:rsid w:val="008B3511"/>
    <w:rsid w:val="008B5266"/>
    <w:rsid w:val="008C27BB"/>
    <w:rsid w:val="008D0D40"/>
    <w:rsid w:val="008D121A"/>
    <w:rsid w:val="008D65C1"/>
    <w:rsid w:val="008F3F09"/>
    <w:rsid w:val="008F7481"/>
    <w:rsid w:val="0090199B"/>
    <w:rsid w:val="00915600"/>
    <w:rsid w:val="00921EC3"/>
    <w:rsid w:val="0092486F"/>
    <w:rsid w:val="00924EA0"/>
    <w:rsid w:val="009252D4"/>
    <w:rsid w:val="00951D53"/>
    <w:rsid w:val="0095349B"/>
    <w:rsid w:val="00956AE7"/>
    <w:rsid w:val="00963485"/>
    <w:rsid w:val="009638AE"/>
    <w:rsid w:val="009877E7"/>
    <w:rsid w:val="0099244B"/>
    <w:rsid w:val="00996BE5"/>
    <w:rsid w:val="009A0B1D"/>
    <w:rsid w:val="009A647D"/>
    <w:rsid w:val="009B1309"/>
    <w:rsid w:val="009D2D1C"/>
    <w:rsid w:val="009D5506"/>
    <w:rsid w:val="009D6FA9"/>
    <w:rsid w:val="00A00C94"/>
    <w:rsid w:val="00A034C9"/>
    <w:rsid w:val="00A05C89"/>
    <w:rsid w:val="00A1378C"/>
    <w:rsid w:val="00A35206"/>
    <w:rsid w:val="00A4196F"/>
    <w:rsid w:val="00A52254"/>
    <w:rsid w:val="00A73ADD"/>
    <w:rsid w:val="00A76AAA"/>
    <w:rsid w:val="00A77BB8"/>
    <w:rsid w:val="00AD7CE5"/>
    <w:rsid w:val="00AE4301"/>
    <w:rsid w:val="00AF06D2"/>
    <w:rsid w:val="00B07D32"/>
    <w:rsid w:val="00B17E1B"/>
    <w:rsid w:val="00B21C3F"/>
    <w:rsid w:val="00B272C2"/>
    <w:rsid w:val="00B2798F"/>
    <w:rsid w:val="00B309E9"/>
    <w:rsid w:val="00B33763"/>
    <w:rsid w:val="00B61F25"/>
    <w:rsid w:val="00B87B47"/>
    <w:rsid w:val="00BA7EFE"/>
    <w:rsid w:val="00BB23FF"/>
    <w:rsid w:val="00BB5D4E"/>
    <w:rsid w:val="00BC0177"/>
    <w:rsid w:val="00BD39D1"/>
    <w:rsid w:val="00BF1B4D"/>
    <w:rsid w:val="00BF53E0"/>
    <w:rsid w:val="00BF6957"/>
    <w:rsid w:val="00C016FC"/>
    <w:rsid w:val="00C03DF5"/>
    <w:rsid w:val="00C04AA0"/>
    <w:rsid w:val="00C331EA"/>
    <w:rsid w:val="00C433E3"/>
    <w:rsid w:val="00C55C20"/>
    <w:rsid w:val="00C7086D"/>
    <w:rsid w:val="00C950D1"/>
    <w:rsid w:val="00CA2389"/>
    <w:rsid w:val="00CA551E"/>
    <w:rsid w:val="00CC625D"/>
    <w:rsid w:val="00CC7A9F"/>
    <w:rsid w:val="00CE1421"/>
    <w:rsid w:val="00CF6620"/>
    <w:rsid w:val="00D03ED2"/>
    <w:rsid w:val="00D041ED"/>
    <w:rsid w:val="00D06446"/>
    <w:rsid w:val="00D104AB"/>
    <w:rsid w:val="00D10E8B"/>
    <w:rsid w:val="00D20499"/>
    <w:rsid w:val="00D33066"/>
    <w:rsid w:val="00D349D4"/>
    <w:rsid w:val="00D34B48"/>
    <w:rsid w:val="00D364A8"/>
    <w:rsid w:val="00D36579"/>
    <w:rsid w:val="00D45324"/>
    <w:rsid w:val="00D57911"/>
    <w:rsid w:val="00D74769"/>
    <w:rsid w:val="00D823FC"/>
    <w:rsid w:val="00D85109"/>
    <w:rsid w:val="00DA3627"/>
    <w:rsid w:val="00DC0416"/>
    <w:rsid w:val="00DC45F6"/>
    <w:rsid w:val="00DC62C1"/>
    <w:rsid w:val="00DE20FE"/>
    <w:rsid w:val="00DE4048"/>
    <w:rsid w:val="00E01297"/>
    <w:rsid w:val="00E166D4"/>
    <w:rsid w:val="00E21C33"/>
    <w:rsid w:val="00E365DB"/>
    <w:rsid w:val="00E636DB"/>
    <w:rsid w:val="00E83BA9"/>
    <w:rsid w:val="00E97A61"/>
    <w:rsid w:val="00EB55C5"/>
    <w:rsid w:val="00EC53D6"/>
    <w:rsid w:val="00ED1660"/>
    <w:rsid w:val="00ED536D"/>
    <w:rsid w:val="00EE6AE7"/>
    <w:rsid w:val="00EE7A75"/>
    <w:rsid w:val="00F13DAB"/>
    <w:rsid w:val="00F23215"/>
    <w:rsid w:val="00F2350E"/>
    <w:rsid w:val="00F26CF3"/>
    <w:rsid w:val="00F26F32"/>
    <w:rsid w:val="00F450A1"/>
    <w:rsid w:val="00F51621"/>
    <w:rsid w:val="00F5481A"/>
    <w:rsid w:val="00F6548C"/>
    <w:rsid w:val="00F742F9"/>
    <w:rsid w:val="00F76062"/>
    <w:rsid w:val="00FB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EBBE51"/>
  <w15:chartTrackingRefBased/>
  <w15:docId w15:val="{F1BB81FE-2E2A-4F08-B610-C6706CFD8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30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pPr>
      <w:ind w:firstLine="3960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8B526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3F34FF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3F34FF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3F34FF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3F34FF"/>
    <w:rPr>
      <w:sz w:val="24"/>
      <w:szCs w:val="24"/>
    </w:rPr>
  </w:style>
  <w:style w:type="paragraph" w:styleId="Reviso">
    <w:name w:val="Revision"/>
    <w:hidden/>
    <w:uiPriority w:val="99"/>
    <w:semiHidden/>
    <w:rsid w:val="001B07C6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5018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5018A"/>
  </w:style>
  <w:style w:type="character" w:styleId="Refdenotaderodap">
    <w:name w:val="footnote reference"/>
    <w:uiPriority w:val="99"/>
    <w:semiHidden/>
    <w:unhideWhenUsed/>
    <w:rsid w:val="0055018A"/>
    <w:rPr>
      <w:vertAlign w:val="superscript"/>
    </w:rPr>
  </w:style>
  <w:style w:type="character" w:styleId="Hyperlink">
    <w:name w:val="Hyperlink"/>
    <w:uiPriority w:val="99"/>
    <w:unhideWhenUsed/>
    <w:rsid w:val="00640E8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034C9"/>
    <w:pPr>
      <w:spacing w:before="100" w:beforeAutospacing="1" w:after="100" w:afterAutospacing="1"/>
    </w:pPr>
  </w:style>
  <w:style w:type="paragraph" w:customStyle="1" w:styleId="caracteristicas-grupo">
    <w:name w:val="caracteristicas-grupo"/>
    <w:basedOn w:val="Normal"/>
    <w:rsid w:val="00883536"/>
    <w:pPr>
      <w:spacing w:before="100" w:beforeAutospacing="1" w:after="100" w:afterAutospacing="1"/>
    </w:pPr>
  </w:style>
  <w:style w:type="paragraph" w:customStyle="1" w:styleId="texto-acessorio">
    <w:name w:val="texto-acessorio"/>
    <w:basedOn w:val="Normal"/>
    <w:rsid w:val="00883536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90199B"/>
    <w:pPr>
      <w:spacing w:after="200" w:line="276" w:lineRule="auto"/>
      <w:ind w:left="720"/>
      <w:contextualSpacing/>
      <w:jc w:val="both"/>
    </w:pPr>
    <w:rPr>
      <w:rFonts w:ascii="Arial Narrow" w:eastAsia="Calibri" w:hAnsi="Arial Narrow"/>
      <w:sz w:val="22"/>
      <w:szCs w:val="20"/>
      <w:lang w:val="en-US" w:eastAsia="en-US"/>
    </w:rPr>
  </w:style>
  <w:style w:type="table" w:styleId="Tabelacomgrade">
    <w:name w:val="Table Grid"/>
    <w:basedOn w:val="Tabelanormal"/>
    <w:uiPriority w:val="59"/>
    <w:rsid w:val="00A352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D3306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6964">
              <w:marLeft w:val="0"/>
              <w:marRight w:val="0"/>
              <w:marTop w:val="300"/>
              <w:marBottom w:val="750"/>
              <w:divBdr>
                <w:top w:val="single" w:sz="6" w:space="0" w:color="EEEEEE"/>
                <w:left w:val="single" w:sz="6" w:space="0" w:color="EEEEEE"/>
                <w:bottom w:val="single" w:sz="6" w:space="0" w:color="EEEEEE"/>
                <w:right w:val="single" w:sz="6" w:space="0" w:color="EEEEEE"/>
              </w:divBdr>
              <w:divsChild>
                <w:div w:id="36329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63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5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7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7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1163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                                                                     DE 2001</vt:lpstr>
    </vt:vector>
  </TitlesOfParts>
  <Company>Prefeitura Municipal de Riozinho</Company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                                                                     DE 2001</dc:title>
  <dc:subject/>
  <dc:creator>AGESAN RS</dc:creator>
  <cp:keywords/>
  <cp:lastModifiedBy>user</cp:lastModifiedBy>
  <cp:revision>7</cp:revision>
  <cp:lastPrinted>2025-09-09T18:08:00Z</cp:lastPrinted>
  <dcterms:created xsi:type="dcterms:W3CDTF">2025-09-09T18:46:00Z</dcterms:created>
  <dcterms:modified xsi:type="dcterms:W3CDTF">2025-12-10T16:58:00Z</dcterms:modified>
</cp:coreProperties>
</file>