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body>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MODELO DE TERMO DE REFERÊNCIA</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COMPRA DIRETA</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(MATERIAIS – SEM CONTRATO – LEI 14.133/2021)</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2022/34510/000023</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w:t>
      </w:r>
      <w:r>
        <w:rPr>
          <w:rFonts w:hint="default" w:ascii="Arial" w:hAnsi="Arial"/>
          <w:b/>
          <w:i w:val="false"/>
          <w:color w:val="000000"/>
          <w:sz w:val="20"/>
        </w:rPr>
        <w:t xml:space="preserve"> </w:t>
      </w:r>
      <w:r>
        <w:rPr>
          <w:rFonts w:hint="default" w:ascii="Arial" w:hAnsi="Arial"/>
          <w:b/>
          <w:i w:val="false"/>
          <w:color w:val="000000"/>
          <w:sz w:val="20"/>
        </w:rPr>
        <w:t>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1.1</w:t>
      </w:r>
      <w:r>
        <w:rPr>
          <w:rFonts w:hint="default" w:ascii="Arial" w:hAnsi="Arial"/>
          <w:b w:val="false"/>
          <w:i w:val="false"/>
          <w:color w:val="000000"/>
          <w:sz w:val="20"/>
        </w:rPr>
        <w:t>-Aquisiçã</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de </w:t>
      </w:r>
      <w:r>
        <w:rPr>
          <w:rFonts w:hint="default" w:ascii="Arial" w:hAnsi="Arial"/>
          <w:b w:val="false"/>
          <w:i w:val="false"/>
          <w:color w:val="000000"/>
          <w:sz w:val="20"/>
        </w:rPr>
        <w:t>Aquisição de bens duráveis comuns, de uso coletivo, material permanente, para atender as necessidades deste Instituto de Terras do Estado do Tocantins - ITERTINS.</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visando atender as necessidades da(o) </w:t>
      </w:r>
      <w:r>
        <w:rPr>
          <w:rFonts w:hint="default" w:ascii="Arial" w:hAnsi="Arial"/>
          <w:b w:val="false"/>
          <w:i w:val="false"/>
          <w:color w:val="000000"/>
          <w:sz w:val="20"/>
        </w:rPr>
        <w:t>Instituto de Terras do Estado do Tocantins</w:t>
      </w:r>
      <w:r>
        <w:rPr>
          <w:rFonts w:hint="default" w:ascii="Arial" w:hAnsi="Arial"/>
          <w:b w:val="false"/>
          <w:i w:val="false"/>
          <w:color w:val="000000"/>
          <w:sz w:val="20"/>
        </w:rPr>
        <w:t xml:space="preserve"> - </w:t>
      </w:r>
      <w:r>
        <w:rPr>
          <w:rFonts w:hint="default" w:ascii="Arial" w:hAnsi="Arial"/>
          <w:b w:val="false"/>
          <w:i w:val="false"/>
          <w:color w:val="000000"/>
          <w:sz w:val="20"/>
        </w:rPr>
        <w:t>ITERTINS</w:t>
      </w:r>
      <w:r>
        <w:rPr>
          <w:rFonts w:hint="default" w:ascii="Arial" w:hAnsi="Arial"/>
          <w:b w:val="false"/>
          <w:i w:val="false"/>
          <w:color w:val="000000"/>
          <w:sz w:val="20"/>
        </w:rPr>
        <w:t>, conforme condições, quantidades e exigências estabelecidas neste instrumento.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2.</w:t>
      </w:r>
      <w:r>
        <w:rPr>
          <w:rFonts w:hint="default" w:ascii="Arial" w:hAnsi="Arial"/>
          <w:b/>
          <w:i w:val="false"/>
          <w:color w:val="000000"/>
          <w:sz w:val="20"/>
        </w:rPr>
        <w:t xml:space="preserve"> </w:t>
      </w:r>
      <w:r>
        <w:rPr>
          <w:rFonts w:hint="default" w:ascii="Arial" w:hAnsi="Arial"/>
          <w:b/>
          <w:i w:val="false"/>
          <w:color w:val="000000"/>
          <w:sz w:val="20"/>
        </w:rPr>
        <w:t>JUSTIFICATIVA E OBJETIVO DA CONTRATAÇÃO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A aquisição visa suprir o estoque necessário de bens duráveis comuns, de uso coletivo, material permanente, com o escopo de atender as necessidades desta autarquia fundiária - ITERTINS, conforme especificação técnica dos produtos, tendo como parâmetro para aquisição o quantitativo de compras através do levantamento realizado pelo responsável setor de manutenção no período dos últimos 12(doze) meses.</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3.</w:t>
      </w:r>
      <w:r>
        <w:rPr>
          <w:rFonts w:hint="default" w:ascii="Arial" w:hAnsi="Arial"/>
          <w:b/>
          <w:i w:val="false"/>
          <w:color w:val="000000"/>
          <w:sz w:val="20"/>
        </w:rPr>
        <w:t xml:space="preserve"> </w:t>
      </w:r>
      <w:r>
        <w:rPr>
          <w:rFonts w:hint="default" w:ascii="Arial" w:hAnsi="Arial"/>
          <w:b/>
          <w:i w:val="false"/>
          <w:color w:val="000000"/>
          <w:sz w:val="20"/>
        </w:rPr>
        <w:t>DA FUNDAMENTAÇÃO LEGAL</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3.1 - A aquisição em tela tem amparo nas leis que fundamentam a modalidade de licitação dispensável, nos limites dos Incisos I e II do art. 75 da lei 14133/2021, através do SISTEMA DE COMPRA DIRETA, tais como: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a) </w:t>
      </w:r>
      <w:hyperlink r:id="rId4">
        <w:r>
          <w:rPr>
            <w:rStyle w:val="Hyperlink"/>
            <w:rFonts w:hint="default" w:ascii="Arial" w:hAnsi="Arial"/>
            <w:b w:val="false"/>
            <w:i w:val="false"/>
            <w:color w:val="0000ff"/>
            <w:sz w:val="20"/>
            <w:u w:val="single"/>
          </w:rPr>
          <w:t/>
        </w:r>
        <w:r>
          <w:rPr>
            <w:rFonts w:hint="default" w:ascii="Arial" w:hAnsi="Arial"/>
            <w:b/>
            <w:i w:val="false"/>
            <w:color w:val="0000ff"/>
            <w:sz w:val="20"/>
          </w:rPr>
          <w:t>Lei Federal nº 14.133/2021</w:t>
        </w:r>
      </w:hyperlink>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Lei de Licitações e Contratos Administrativos.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b) </w:t>
      </w:r>
      <w:hyperlink r:id="rId5">
        <w:r>
          <w:rPr>
            <w:rStyle w:val="Hyperlink"/>
            <w:rFonts w:hint="default" w:ascii="Arial" w:hAnsi="Arial"/>
            <w:b w:val="false"/>
            <w:i w:val="false"/>
            <w:color w:val="0000ff"/>
            <w:sz w:val="20"/>
            <w:u w:val="single"/>
          </w:rPr>
          <w:t/>
        </w:r>
        <w:r>
          <w:rPr>
            <w:rFonts w:hint="default" w:ascii="Arial" w:hAnsi="Arial"/>
            <w:b/>
            <w:i w:val="false"/>
            <w:color w:val="0000ff"/>
            <w:sz w:val="20"/>
          </w:rPr>
          <w:t>Lei Complementar nº 123/2006</w:t>
        </w:r>
      </w:hyperlink>
      <w:r>
        <w:rPr>
          <w:rFonts w:hint="default" w:ascii="Arial" w:hAnsi="Arial"/>
          <w:b w:val="false"/>
          <w:i w:val="false"/>
          <w:color w:val="000000"/>
          <w:sz w:val="20"/>
        </w:rPr>
        <w:t xml:space="preserve"> - Institui o Estatuto Nacional da Microempresa e da Empresa de Pequeno Porte.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c) </w:t>
      </w:r>
      <w:hyperlink r:id="rId6">
        <w:r>
          <w:rPr>
            <w:rStyle w:val="Hyperlink"/>
            <w:rFonts w:hint="default" w:ascii="Arial" w:hAnsi="Arial"/>
            <w:b w:val="false"/>
            <w:i w:val="false"/>
            <w:color w:val="0000ff"/>
            <w:sz w:val="20"/>
            <w:u w:val="single"/>
          </w:rPr>
          <w:t/>
        </w:r>
        <w:r>
          <w:rPr>
            <w:rFonts w:hint="default" w:ascii="Arial" w:hAnsi="Arial"/>
            <w:b/>
            <w:i w:val="false"/>
            <w:color w:val="0000ff"/>
            <w:sz w:val="20"/>
          </w:rPr>
          <w:t>Decreto 6.084, de 14 de abril de 2020</w:t>
        </w:r>
      </w:hyperlink>
      <w:r>
        <w:rPr>
          <w:rFonts w:hint="default" w:ascii="Arial" w:hAnsi="Arial"/>
          <w:b w:val="false"/>
          <w:i w:val="false"/>
          <w:color w:val="000000"/>
          <w:sz w:val="20"/>
        </w:rPr>
        <w:t xml:space="preserve"> - Institui o Sistema Integrado de Gestão Administrativa do Estado do Tocantins - SIGA-TO, e adota outras providências.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d)</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ff"/>
          <w:sz w:val="20"/>
        </w:rPr>
        <w:t xml:space="preserve"> </w:t>
      </w:r>
      <w:r>
        <w:rPr>
          <w:rFonts w:hint="default" w:ascii="Arial" w:hAnsi="Arial"/>
          <w:b/>
          <w:i w:val="false"/>
          <w:color w:val="0000ff"/>
          <w:sz w:val="20"/>
        </w:rPr>
        <w:t>Portaria SEFAZ nº 507/2020/GABSEC de 03/06/2020</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Institui o CATÁLOGO DE MATERIAIS E SERVIÇOS a ser utilizado pelos órgãos da Administração Pública Direta e Indireta do Poder Executivo do Estado do Tocantins e dá outras providências.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e) </w:t>
      </w:r>
      <w:r>
        <w:rPr>
          <w:rFonts w:hint="default" w:ascii="Arial" w:hAnsi="Arial"/>
          <w:b w:val="false"/>
          <w:i w:val="false"/>
          <w:color w:val="0000ff"/>
          <w:sz w:val="20"/>
        </w:rPr>
        <w:t xml:space="preserve"> </w:t>
      </w:r>
      <w:r>
        <w:rPr>
          <w:rFonts w:hint="default" w:ascii="Arial" w:hAnsi="Arial"/>
          <w:b/>
          <w:i w:val="false"/>
          <w:color w:val="0000ff"/>
          <w:sz w:val="20"/>
        </w:rPr>
        <w:t>Portaria SEFAZ Nº 235/2021/GABSEC</w:t>
      </w:r>
      <w:r>
        <w:rPr>
          <w:rFonts w:hint="default" w:ascii="Arial" w:hAnsi="Arial"/>
          <w:b w:val="false"/>
          <w:i w:val="false"/>
          <w:color w:val="000000"/>
          <w:sz w:val="20"/>
        </w:rPr>
        <w:t xml:space="preserve">, de 06 de abril de 2021 </w:t>
      </w:r>
      <w:r>
        <w:rPr>
          <w:rFonts w:hint="default" w:ascii="Arial" w:hAnsi="Arial"/>
          <w:b/>
          <w:i w:val="false"/>
          <w:color w:val="000000"/>
          <w:sz w:val="20"/>
        </w:rPr>
        <w:t xml:space="preserve">- </w:t>
      </w:r>
      <w:r>
        <w:rPr>
          <w:rFonts w:hint="default" w:ascii="Arial" w:hAnsi="Arial"/>
          <w:b w:val="false"/>
          <w:i w:val="false"/>
          <w:color w:val="000000"/>
          <w:sz w:val="20"/>
        </w:rPr>
        <w:t>Define normas e procedimentos para aquisições através do SISTEMA DE COMPRA DIRETA através da Cotação Eletrônica nos limites de licitação dispensável e dá outras providências.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4.</w:t>
      </w:r>
      <w:r>
        <w:rPr>
          <w:rFonts w:hint="default" w:ascii="Arial" w:hAnsi="Arial"/>
          <w:b/>
          <w:i w:val="false"/>
          <w:color w:val="000000"/>
          <w:sz w:val="20"/>
        </w:rPr>
        <w:t xml:space="preserve"> </w:t>
      </w:r>
      <w:r>
        <w:rPr>
          <w:rFonts w:hint="default" w:ascii="Arial" w:hAnsi="Arial"/>
          <w:b/>
          <w:i w:val="false"/>
          <w:color w:val="000000"/>
          <w:sz w:val="20"/>
        </w:rPr>
        <w:t>DAS ESPECIFICAÇÕES TÉCNICAS 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5.</w:t>
      </w:r>
      <w:r>
        <w:rPr>
          <w:rFonts w:hint="default" w:ascii="Arial" w:hAnsi="Arial"/>
          <w:b/>
          <w:i w:val="false"/>
          <w:color w:val="000000"/>
          <w:sz w:val="20"/>
        </w:rPr>
        <w:t xml:space="preserve"> </w:t>
      </w:r>
      <w:r>
        <w:rPr>
          <w:rFonts w:hint="default" w:ascii="Arial" w:hAnsi="Arial"/>
          <w:b/>
          <w:i w:val="false"/>
          <w:color w:val="000000"/>
          <w:sz w:val="20"/>
        </w:rPr>
        <w:t>DO PRAZO E DA ENTREGA 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5.1 - O prazo de entrega será de </w:t>
      </w:r>
      <w:r>
        <w:rPr>
          <w:rFonts w:hint="default" w:ascii="Arial" w:hAnsi="Arial"/>
          <w:b w:val="false"/>
          <w:i w:val="false"/>
          <w:color w:val="000000"/>
          <w:sz w:val="20"/>
        </w:rPr>
        <w:t>30 (trinta) dias.</w:t>
      </w:r>
      <w:r>
        <w:rPr>
          <w:rFonts w:hint="default" w:ascii="Arial" w:hAnsi="Arial"/>
          <w:b w:val="false"/>
          <w:i w:val="false"/>
          <w:color w:val="000000"/>
          <w:sz w:val="20"/>
        </w:rPr>
        <w:t xml:space="preserve"> dias corridos, contados do recebimento da Nota de Empenho.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5.2 - A entrega dos referidos materiais será efetuada em horário de expediente, no seguinte endereço: </w:t>
      </w:r>
      <w:r>
        <w:rPr>
          <w:rFonts w:hint="default" w:ascii="Arial" w:hAnsi="Arial"/>
          <w:b w:val="false"/>
          <w:i w:val="false"/>
          <w:color w:val="000000"/>
          <w:sz w:val="20"/>
        </w:rPr>
        <w:t>Quadra 302 Norte, Alameda 01, Lotes 01 e 02</w:t>
      </w:r>
      <w:r>
        <w:rPr>
          <w:rFonts w:hint="default" w:ascii="Arial" w:hAnsi="Arial"/>
          <w:b w:val="false"/>
          <w:i w:val="false"/>
          <w:color w:val="000000"/>
          <w:sz w:val="20"/>
        </w:rPr>
        <w:t xml:space="preserve"> na presença de servidor devidamente autorizado que terá o prazo de até 05 (cinco) dias corridos para aceitação do objeto.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5.3 - A responsabilidade pelo recebimento do material ficará a cargo de servidor designado formalmente pela </w:t>
      </w:r>
      <w:r>
        <w:rPr>
          <w:rFonts w:hint="default" w:ascii="Arial" w:hAnsi="Arial"/>
          <w:b w:val="false"/>
          <w:i w:val="false"/>
          <w:color w:val="000000"/>
          <w:sz w:val="20"/>
        </w:rPr>
        <w:t>ITERTINS</w:t>
      </w:r>
      <w:r>
        <w:rPr>
          <w:rFonts w:hint="default" w:ascii="Arial" w:hAnsi="Arial"/>
          <w:b w:val="false"/>
          <w:i w:val="false"/>
          <w:color w:val="000000"/>
          <w:sz w:val="20"/>
        </w:rPr>
        <w:t>, o qual deverá proceder ao atesto da(s) nota(s) fiscal(is).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6.</w:t>
      </w:r>
      <w:r>
        <w:rPr>
          <w:rFonts w:hint="default" w:ascii="Arial" w:hAnsi="Arial"/>
          <w:b/>
          <w:i w:val="false"/>
          <w:color w:val="000000"/>
          <w:sz w:val="20"/>
        </w:rPr>
        <w:t xml:space="preserve"> </w:t>
      </w:r>
      <w:r>
        <w:rPr>
          <w:rFonts w:hint="default" w:ascii="Arial" w:hAnsi="Arial"/>
          <w:b/>
          <w:i w:val="false"/>
          <w:color w:val="000000"/>
          <w:sz w:val="20"/>
        </w:rPr>
        <w:t>REQUISITOS DO FORNECIMENTO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6.1 - </w:t>
      </w:r>
      <w:r>
        <w:rPr>
          <w:rFonts w:hint="default" w:ascii="Arial" w:hAnsi="Arial"/>
          <w:b w:val="false"/>
          <w:i w:val="false"/>
          <w:color w:val="0000ff"/>
          <w:sz w:val="20"/>
        </w:rPr>
        <w:t xml:space="preserve"> </w:t>
      </w:r>
      <w:r>
        <w:rPr>
          <w:rFonts w:hint="default" w:ascii="Arial" w:hAnsi="Arial"/>
          <w:b w:val="false"/>
          <w:i w:val="false"/>
          <w:color w:val="000000"/>
          <w:sz w:val="20"/>
        </w:rPr>
        <w:t xml:space="preserve">A presente contratação de dispensa será realizada por meio de cotação eletrônica, do tipo “MENOR PREÇO UNITÁRIO” ou “MENOR PREÇO TOTAL POR ITEM OU GRUPO”, realizada através de Sistema Eletrônico, no Portal de Compras do Governo Estadual, localizado no site </w:t>
      </w:r>
      <w:hyperlink r:id="rId7">
        <w:r>
          <w:rPr>
            <w:rStyle w:val="Hyperlink"/>
            <w:rFonts w:hint="default" w:ascii="Arial" w:hAnsi="Arial"/>
            <w:b w:val="false"/>
            <w:i w:val="false"/>
            <w:color w:val="0000ff"/>
            <w:sz w:val="20"/>
            <w:u w:val="single"/>
          </w:rPr>
          <w:t>http://www.siga.to.gov.br/compra-direta</w:t>
        </w:r>
      </w:hyperlink>
      <w:r>
        <w:rPr>
          <w:rFonts w:hint="default" w:ascii="Arial" w:hAnsi="Arial"/>
          <w:b w:val="false"/>
          <w:i w:val="false"/>
          <w:color w:val="000000"/>
          <w:sz w:val="20"/>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7.</w:t>
      </w:r>
      <w:r>
        <w:rPr>
          <w:rFonts w:hint="default" w:ascii="Arial" w:hAnsi="Arial"/>
          <w:b/>
          <w:i w:val="false"/>
          <w:color w:val="000000"/>
          <w:sz w:val="20"/>
        </w:rPr>
        <w:t xml:space="preserve"> </w:t>
      </w:r>
      <w:r>
        <w:rPr>
          <w:rFonts w:hint="default" w:ascii="Arial" w:hAnsi="Arial"/>
          <w:b/>
          <w:i w:val="false"/>
          <w:color w:val="000000"/>
          <w:sz w:val="20"/>
        </w:rPr>
        <w:t>CRITÉRIOS DE ACEITAÇÃO 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7.1 
          </w:t>
      </w:r>
      <w:r>
        <w:rPr>
          <w:rFonts w:hint="default" w:ascii="Arial" w:hAnsi="Arial"/>
          <w:b w:val="false"/>
          <w:i w:val="false"/>
          <w:color w:val="000000"/>
          <w:sz w:val="20"/>
        </w:rPr>
        <w:t xml:space="preserve"> - Os bens serão recebidos provisoriamente no prazo de ..... (.....) dias, pelo(a) responsável pelo acompanhamento e fiscalização do contrato, para efeito de posterior verificação de sua conformidade com as especificações constantes neste Termo de Referência e na proposta.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7.2 - Os bens poderão ser rejeitados, no todo ou em parte, quando em desacordo com as especificações constantes neste Termo de Referência e na proposta, devendo ser substituídos no prazo de .... (...) dias, a contar da notificação da contratada, às suas custas, sem prejuízo da aplicação das penalidades.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7.3 - Os bens serão recebidos definitivamente no prazo de ...... (.....) dias, contados do recebimento provisório, após a verificação da qualidade e quantidade do material e consequente aceitação mediante termo circunstanciado.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7.4 - Na hipótese de a verificação a que se refere o subitem anterior não ser procedida dentro do prazo fixado, reputar-se-á como realizada, consumando-se o recebimento definitivo no dia do esgotamento do prazo.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7.5 - O recebimento provisório ou definitivo do objeto não exclui a responsabilidade da contratada pelos prejuízos resultantes da incorreta execução do contrato.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8.</w:t>
      </w:r>
      <w:r>
        <w:rPr>
          <w:rFonts w:hint="default" w:ascii="Arial" w:hAnsi="Arial"/>
          <w:b/>
          <w:i w:val="false"/>
          <w:color w:val="000000"/>
          <w:sz w:val="20"/>
        </w:rPr>
        <w:t xml:space="preserve"> </w:t>
      </w:r>
      <w:r>
        <w:rPr>
          <w:rFonts w:hint="default" w:ascii="Arial" w:hAnsi="Arial"/>
          <w:b/>
          <w:i w:val="false"/>
          <w:color w:val="000000"/>
          <w:sz w:val="20"/>
        </w:rPr>
        <w:t>DA GARANTIA E ASSISTÊNCIA TÉCNICA, se houver</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8.1 - Os materiais deverão possuir garantia mínima de ........ (.....) meses, contados da data de recebimento definitiva dos mesmos.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8.2 - O(s) (INDICAR O Nº DO ITEM) deverá(ão) possuir assistência técnica autorizada, credenciada ou disponibilizada (LOCAL).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9.</w:t>
      </w:r>
      <w:r>
        <w:rPr>
          <w:rFonts w:hint="default" w:ascii="Arial" w:hAnsi="Arial"/>
          <w:b/>
          <w:i w:val="false"/>
          <w:color w:val="000000"/>
          <w:sz w:val="20"/>
        </w:rPr>
        <w:t xml:space="preserve"> </w:t>
      </w:r>
      <w:r>
        <w:rPr>
          <w:rFonts w:hint="default" w:ascii="Arial" w:hAnsi="Arial"/>
          <w:b/>
          <w:i w:val="false"/>
          <w:color w:val="000000"/>
          <w:sz w:val="20"/>
        </w:rPr>
        <w:t>DO CONTROLE E FISCALIZAÇÃO DA EXECUÇÃO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9.1 - Nos termos do art. 117 Lei nº 14.133/2021, será designado servidor para acompanhar e fiscalizar a entrega dos bens, anotando em registro próprio todas as ocorrências relacionadas com a execução e determinando o que for necessário à regularização de falhas ou defeitos observados.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10.</w:t>
      </w:r>
      <w:r>
        <w:rPr>
          <w:rFonts w:hint="default" w:ascii="Arial" w:hAnsi="Arial"/>
          <w:b/>
          <w:i w:val="false"/>
          <w:color w:val="000000"/>
          <w:sz w:val="20"/>
        </w:rPr>
        <w:t xml:space="preserve"> </w:t>
      </w:r>
      <w:r>
        <w:rPr>
          <w:rFonts w:hint="default" w:ascii="Arial" w:hAnsi="Arial"/>
          <w:b/>
          <w:i w:val="false"/>
          <w:color w:val="000000"/>
          <w:sz w:val="20"/>
        </w:rPr>
        <w:t>DA CLASSIFICAÇÃO ORCAMENTÁRIA</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10.1 - As despesas decorrentes da aquisição do objeto correrão por conta da seguinte classificação orçamentária: ("DOTAÇÃO”).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11.</w:t>
      </w:r>
      <w:r>
        <w:rPr>
          <w:rFonts w:hint="default" w:ascii="Arial" w:hAnsi="Arial"/>
          <w:b/>
          <w:i w:val="false"/>
          <w:color w:val="000000"/>
          <w:sz w:val="20"/>
        </w:rPr>
        <w:t xml:space="preserve"> </w:t>
      </w:r>
      <w:r>
        <w:rPr>
          <w:rFonts w:hint="default" w:ascii="Arial" w:hAnsi="Arial"/>
          <w:b/>
          <w:i w:val="false"/>
          <w:color w:val="000000"/>
          <w:sz w:val="20"/>
        </w:rPr>
        <w:t>DO PAGAMENTO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ff"/>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11.1 - O pagamento será efetuado em até 30 (trinta) dias, após o aceite dos materiais, mediante apresentação da Nota Fiscal/Fatura, devidamente comprovada e em perfeitas condições, atestada pelo setor competente da CONTRATANTE.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11.2 - A Nota Fiscal ou Fatura deverá ser obrigatoriamente acompanhada da comprovação da regularidade fiscal, mediante consulta aos sítios eletrônicos oficiais ou à documentação mencionada no art. 68 da Lei nº 14.133/2021.</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11.3 -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12.</w:t>
      </w:r>
      <w:r>
        <w:rPr>
          <w:rFonts w:hint="default" w:ascii="Arial" w:hAnsi="Arial"/>
          <w:b/>
          <w:i w:val="false"/>
          <w:color w:val="000000"/>
          <w:sz w:val="20"/>
        </w:rPr>
        <w:t xml:space="preserve"> </w:t>
      </w:r>
      <w:r>
        <w:rPr>
          <w:rFonts w:hint="default" w:ascii="Arial" w:hAnsi="Arial"/>
          <w:b/>
          <w:i w:val="false"/>
          <w:color w:val="000000"/>
          <w:sz w:val="20"/>
        </w:rPr>
        <w:t>DAS AMOSTRAS</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12.1 - O órgão requisitante poderá solicitar amostra e as empresas deverão apresentá-las no </w:t>
      </w:r>
      <w:r>
        <w:rPr>
          <w:rFonts w:hint="default" w:ascii="Arial" w:hAnsi="Arial"/>
          <w:b w:val="false"/>
          <w:i w:val="false"/>
          <w:color w:val="000000"/>
          <w:sz w:val="20"/>
        </w:rPr>
        <w:t>ITERTINS</w:t>
      </w:r>
      <w:r>
        <w:rPr>
          <w:rFonts w:hint="default" w:ascii="Arial" w:hAnsi="Arial"/>
          <w:b w:val="false"/>
          <w:i w:val="false"/>
          <w:color w:val="000000"/>
          <w:sz w:val="20"/>
        </w:rPr>
        <w:t xml:space="preserve"> no prazo máximo de 72 (setenta e duas horas) horas após a convocação através de ofício, encaminhado via email. As demais empresas, caso necessário, serão convocadas em ordem de classificação e deverão apresentar as amostras no mesmo prazo.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12.2 - A não apresentação da amostra no prazo estabelecido implicará em desclassificação da empresa e convocação das demais licitantes, em ordem de classificação. A amostra deverá estar devidamente identificada com nome da empresa, nº do edital e do item.</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13.</w:t>
      </w:r>
      <w:r>
        <w:rPr>
          <w:rFonts w:hint="default" w:ascii="Arial" w:hAnsi="Arial"/>
          <w:b/>
          <w:i w:val="false"/>
          <w:color w:val="000000"/>
          <w:sz w:val="20"/>
        </w:rPr>
        <w:t xml:space="preserve"> </w:t>
      </w:r>
      <w:r>
        <w:rPr>
          <w:rFonts w:hint="default" w:ascii="Arial" w:hAnsi="Arial"/>
          <w:b/>
          <w:i w:val="false"/>
          <w:color w:val="000000"/>
          <w:sz w:val="20"/>
        </w:rPr>
        <w:t>DOS PRAZOS PARA APRESENTAÇÃO DA DOCUMENTAÇÃO EXIGIDA</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13.1 - Os documentos de habilitação e os complementares à proposta deverão ser encaminhados pelo vencedor, no prazo de xx (horas), contado da solicitação do órgão requisitante, sob pena de inabilitação/desclassificação conforme o caso.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13.2 - As microempresas e empresas de pequeno porte deverão apresentar toda a documentação exigida para efeito de comprovação da documentação solicitada, mesmo que esta apresente alguma restrição, sob pena de inabilitação.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13.2.1 - 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14.</w:t>
      </w:r>
      <w:r>
        <w:rPr>
          <w:rFonts w:hint="default" w:ascii="Arial" w:hAnsi="Arial"/>
          <w:b/>
          <w:i w:val="false"/>
          <w:color w:val="000000"/>
          <w:sz w:val="20"/>
        </w:rPr>
        <w:t xml:space="preserve"> </w:t>
      </w:r>
      <w:r>
        <w:rPr>
          <w:rFonts w:hint="default" w:ascii="Arial" w:hAnsi="Arial"/>
          <w:b/>
          <w:i w:val="false"/>
          <w:color w:val="000000"/>
          <w:sz w:val="20"/>
        </w:rPr>
        <w:t>DOS DOCUMENTOS A SEREM ENCAMINHADOS JUNTAMENTE COM A PROPOSTA</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14.1 - Apresentar Declaração de Ciência do Termo de Referência.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1"/>
        </w:rPr>
        <w:t>Palmas/TO, 25 de Agosto de 2022</w:t>
      </w:r>
    </w:p>
    <w:p>
      <w:pPr>
        <w:spacing w:after="0"/>
        <w:ind w:left="0"/>
        <w:jc w:val="center"/>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atesto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i w:val="false"/>
          <w:color w:val="000000"/>
          <w:sz w:val="21"/>
        </w:rPr>
        <w:t>Louise Barbosa Oliveira Ramos</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ASSINADO POR ROBSON</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i w:val="false"/>
          <w:color w:val="000000"/>
          <w:sz w:val="21"/>
        </w:rPr>
        <w:t>Robson Moura Figueiredo Lima</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PRESIDENTE</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left"/>
      </w:pPr>
    </w:p>
    <w:sectPr>
      <w:headerReference w:type="default" r:id="rId8"/>
      <w:footerReference w:type="default" r:id="rId9"/>
      <w:pgSz w:w="11907" w:h="16839" w:code="9"/>
      <w:pgMar w:top="3969" w:right="1134" w:bottom="2268" w:left="1701"/>
    </w:sectPr>
  </w:body>
</w:document>
</file>

<file path=word/footer.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tbl>
    <w:tblPr>
      <w:tblW w:w="0" w:type="auto"/>
      <w:tblCellSpacing w:w="20" w:type="dxa"/>
      <w:tblBorders>
        <w:top w:val="none"/>
        <w:left w:val="none"/>
        <w:bottom w:val="none"/>
        <w:right w:val="none"/>
        <w:insideH w:val="none"/>
        <w:insideV w:val="none"/>
      </w:tblBorders>
    </w:tblPr>
    <w:tblGrid>
      <w:gridCol w:w="9367"/>
      <w:gridCol w:w="4227"/>
    </w:tblGrid>
    <w:tr>
      <w:tc>
        <w:tcPr>
          <w:tcW w:w="9367" w:type="dxa"/>
          <w:tcBorders/>
        </w:tcPr>
        <w:p>
          <w:pPr>
            <w:spacing w:after="0"/>
            <w:ind w:left="0"/>
            <w:jc w:val="left"/>
          </w:pPr>
          <w:r>
            <w:rPr>
              <w:rFonts w:hint="default" w:ascii="Arial" w:hAnsi="Arial"/>
              <w:b w:val="false"/>
              <w:i w:val="false"/>
              <w:color w:val="000000"/>
              <w:sz w:val="16"/>
            </w:rPr>
            <w:t>Governo do Estado do Tocantins</w:t>
          </w:r>
        </w:p>
      </w:tc>
      <w:tc>
        <w:tcPr>
          <w:tcW w:w="4227" w:type="dxa"/>
          <w:tcBorders/>
        </w:tcPr>
        <w:p>
          <w:pPr>
            <w:spacing w:after="0"/>
            <w:ind w:left="0"/>
            <w:jc w:val="left"/>
          </w:pPr>
          <w:r>
            <w:rPr>
              <w:rFonts w:hint="default" w:ascii="Arial" w:hAnsi="Arial"/>
              <w:b w:val="false"/>
              <w:i w:val="false"/>
              <w:color w:val="000000"/>
              <w:sz w:val="16"/>
            </w:rPr>
            <w:t xml:space="preserve">Pág. </w:t>
            <w:fldChar w:fldCharType="begin"/>
            <w:instrText xml:space="preserve"> PAGE  \\* MERGEFORMAT </w:instrText>
            <w:fldChar w:fldCharType="end"/>
          </w:r>
        </w:p>
      </w:tc>
    </w:tr>
  </w:tbl>
</w:ftr>
</file>

<file path=word/header.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tbl>
    <w:tblPr>
      <w:tblW w:w="0" w:type="auto"/>
      <w:tblCellSpacing w:w="20" w:type="dxa"/>
      <w:tblBorders>
        <w:top w:val="none"/>
        <w:left w:val="none"/>
        <w:bottom w:val="none"/>
        <w:right w:val="none"/>
        <w:insideH w:val="none"/>
        <w:insideV w:val="none"/>
      </w:tblBorders>
    </w:tblPr>
    <w:tblGrid>
      <w:gridCol w:w="12438"/>
      <w:gridCol w:w="1156"/>
    </w:tblGrid>
    <w:tr>
      <w:tc>
        <w:tcPr>
          <w:tcW w:w="12438" w:type="dxa"/>
          <w:tcBorders/>
        </w:tcPr>
        <w:p>
          <w:pPr>
            <w:spacing w:after="0"/>
            <w:ind w:left="0"/>
            <w:jc w:val="right"/>
          </w:pPr>
          <w:r>
            <w:rPr>
              <w:rFonts w:hint="default" w:ascii="Arial" w:hAnsi="Arial"/>
              <w:b/>
              <w:i w:val="false"/>
              <w:color w:val="000000"/>
              <w:sz w:val="18"/>
            </w:rPr>
            <w:t xml:space="preserve">
       Instituto de Terras do Estado do Tocantins
      </w:t>
          </w:r>
        </w:p>
      </w:tc>
      <w:tc>
        <w:tcPr>
          <w:tcW w:w="1156" w:type="dxa"/>
          <w:tcBorders/>
        </w:tcPr>
        <w:p>
          <w:r>
            <w:drawing>
              <wp:inline distT="0" distB="0" distL="0" distR="0">
                <wp:extent cx="2149810" cy="8890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2149810" cy="889000"/>
                        </a:xfrm>
                        <a:prstGeom prst="rect">
                          <a:avLst/>
                        </a:prstGeom>
                      </pic:spPr>
                    </pic:pic>
                  </a:graphicData>
                </a:graphic>
              </wp:inline>
            </w:drawing>
          </w:r>
        </w:p>
      </w:tc>
    </w:tr>
  </w:tbl>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planalto.gov.br/ccivil_03/_ato2019-2022/2021/lei/L14133.htm" Type="http://schemas.openxmlformats.org/officeDocument/2006/relationships/hyperlink" Id="rId4"/>
    <Relationship TargetMode="External" Target="http://www.planalto.gov.br/ccivil_03/leis/lcp/lcp123.htm" Type="http://schemas.openxmlformats.org/officeDocument/2006/relationships/hyperlink" Id="rId5"/>
    <Relationship TargetMode="External" Target="http://servicos.casacivil.to.gov.br/decretos/decreto/6084" Type="http://schemas.openxmlformats.org/officeDocument/2006/relationships/hyperlink" Id="rId6"/>
    <Relationship TargetMode="External" Target="http://www.siga.to.gov.br/compra-direta" Type="http://schemas.openxmlformats.org/officeDocument/2006/relationships/hyperlink" Id="rId7"/>
    <Relationship Target="header.xml" Type="http://schemas.openxmlformats.org/officeDocument/2006/relationships/header" Id="rId8"/>
    <Relationship Target="footer.xml" Type="http://schemas.openxmlformats.org/officeDocument/2006/relationships/footer" Id="rId9"/>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