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9FE09" w14:textId="77777777" w:rsidR="00385CC6" w:rsidRPr="00385CC6" w:rsidRDefault="00385CC6" w:rsidP="00385CC6">
      <w:pPr>
        <w:spacing w:before="120" w:after="120" w:line="240" w:lineRule="auto"/>
        <w:ind w:left="120" w:right="120"/>
        <w:jc w:val="center"/>
        <w:rPr>
          <w:rFonts w:ascii="Calibri" w:eastAsia="Times New Roman" w:hAnsi="Calibri" w:cs="Times New Roman"/>
          <w:color w:val="000000"/>
          <w:sz w:val="24"/>
          <w:szCs w:val="24"/>
          <w:lang w:eastAsia="pt-BR"/>
        </w:rPr>
      </w:pPr>
      <w:r w:rsidRPr="00385CC6">
        <w:rPr>
          <w:rFonts w:ascii="Calibri" w:eastAsia="Times New Roman" w:hAnsi="Calibri" w:cs="Times New Roman"/>
          <w:b/>
          <w:bCs/>
          <w:color w:val="000000"/>
          <w:sz w:val="24"/>
          <w:szCs w:val="24"/>
          <w:lang w:eastAsia="pt-BR"/>
        </w:rPr>
        <w:t>FUNDAÇÃO OSWALDO CRUZ</w:t>
      </w:r>
    </w:p>
    <w:p w14:paraId="7FC37F66" w14:textId="31D1E21C" w:rsidR="00385CC6" w:rsidRPr="00385CC6" w:rsidRDefault="00385CC6" w:rsidP="00385CC6">
      <w:pPr>
        <w:spacing w:before="120" w:after="120" w:line="240" w:lineRule="auto"/>
        <w:ind w:left="120" w:right="120"/>
        <w:jc w:val="center"/>
        <w:rPr>
          <w:rFonts w:ascii="Calibri" w:eastAsia="Times New Roman" w:hAnsi="Calibri" w:cs="Times New Roman"/>
          <w:color w:val="000000"/>
          <w:sz w:val="24"/>
          <w:szCs w:val="24"/>
          <w:lang w:eastAsia="pt-BR"/>
        </w:rPr>
      </w:pPr>
      <w:r w:rsidRPr="00385CC6">
        <w:rPr>
          <w:rFonts w:ascii="Calibri" w:eastAsia="Times New Roman" w:hAnsi="Calibri" w:cs="Times New Roman"/>
          <w:b/>
          <w:bCs/>
          <w:color w:val="000000"/>
          <w:sz w:val="24"/>
          <w:szCs w:val="24"/>
          <w:lang w:eastAsia="pt-BR"/>
        </w:rPr>
        <w:t xml:space="preserve">AVISO DE DISPENSA ELETRÔNICA Nº </w:t>
      </w:r>
      <w:r w:rsidR="006A2A6E">
        <w:rPr>
          <w:rFonts w:ascii="Calibri" w:eastAsia="Times New Roman" w:hAnsi="Calibri" w:cs="Times New Roman"/>
          <w:b/>
          <w:bCs/>
          <w:color w:val="000000"/>
          <w:sz w:val="24"/>
          <w:szCs w:val="24"/>
          <w:lang w:eastAsia="pt-BR"/>
        </w:rPr>
        <w:t>85</w:t>
      </w:r>
      <w:r>
        <w:rPr>
          <w:rFonts w:ascii="Calibri" w:eastAsia="Times New Roman" w:hAnsi="Calibri" w:cs="Times New Roman"/>
          <w:b/>
          <w:bCs/>
          <w:color w:val="000000"/>
          <w:sz w:val="24"/>
          <w:szCs w:val="24"/>
          <w:lang w:eastAsia="pt-BR"/>
        </w:rPr>
        <w:t>/2022</w:t>
      </w:r>
    </w:p>
    <w:p w14:paraId="09FB6DFC" w14:textId="4D59AC7E" w:rsidR="00385CC6" w:rsidRPr="00385CC6" w:rsidRDefault="00385CC6" w:rsidP="00385CC6">
      <w:pPr>
        <w:spacing w:before="120" w:after="120" w:line="240" w:lineRule="auto"/>
        <w:ind w:left="120" w:right="120"/>
        <w:jc w:val="center"/>
        <w:rPr>
          <w:rFonts w:ascii="Calibri" w:eastAsia="Times New Roman" w:hAnsi="Calibri" w:cs="Times New Roman"/>
          <w:color w:val="000000"/>
          <w:sz w:val="24"/>
          <w:szCs w:val="24"/>
          <w:lang w:eastAsia="pt-BR"/>
        </w:rPr>
      </w:pPr>
      <w:r w:rsidRPr="00385CC6">
        <w:rPr>
          <w:rFonts w:ascii="Calibri" w:eastAsia="Times New Roman" w:hAnsi="Calibri" w:cs="Times New Roman"/>
          <w:b/>
          <w:bCs/>
          <w:color w:val="000000"/>
          <w:sz w:val="24"/>
          <w:szCs w:val="24"/>
          <w:lang w:eastAsia="pt-BR"/>
        </w:rPr>
        <w:t>(Processo Adminis</w:t>
      </w:r>
      <w:r>
        <w:rPr>
          <w:rFonts w:ascii="Calibri" w:eastAsia="Times New Roman" w:hAnsi="Calibri" w:cs="Times New Roman"/>
          <w:b/>
          <w:bCs/>
          <w:color w:val="000000"/>
          <w:sz w:val="24"/>
          <w:szCs w:val="24"/>
          <w:lang w:eastAsia="pt-BR"/>
        </w:rPr>
        <w:t>trativo 25382.000</w:t>
      </w:r>
      <w:r w:rsidR="006A2A6E">
        <w:rPr>
          <w:rFonts w:ascii="Calibri" w:eastAsia="Times New Roman" w:hAnsi="Calibri" w:cs="Times New Roman"/>
          <w:b/>
          <w:bCs/>
          <w:color w:val="000000"/>
          <w:sz w:val="24"/>
          <w:szCs w:val="24"/>
          <w:lang w:eastAsia="pt-BR"/>
        </w:rPr>
        <w:t>281</w:t>
      </w:r>
      <w:r>
        <w:rPr>
          <w:rFonts w:ascii="Calibri" w:eastAsia="Times New Roman" w:hAnsi="Calibri" w:cs="Times New Roman"/>
          <w:b/>
          <w:bCs/>
          <w:color w:val="000000"/>
          <w:sz w:val="24"/>
          <w:szCs w:val="24"/>
          <w:lang w:eastAsia="pt-BR"/>
        </w:rPr>
        <w:t>/2022-</w:t>
      </w:r>
      <w:r w:rsidR="006A2A6E">
        <w:rPr>
          <w:rFonts w:ascii="Calibri" w:eastAsia="Times New Roman" w:hAnsi="Calibri" w:cs="Times New Roman"/>
          <w:b/>
          <w:bCs/>
          <w:color w:val="000000"/>
          <w:sz w:val="24"/>
          <w:szCs w:val="24"/>
          <w:lang w:eastAsia="pt-BR"/>
        </w:rPr>
        <w:t>06</w:t>
      </w:r>
      <w:r>
        <w:rPr>
          <w:rFonts w:ascii="Calibri" w:eastAsia="Times New Roman" w:hAnsi="Calibri" w:cs="Times New Roman"/>
          <w:b/>
          <w:bCs/>
          <w:color w:val="000000"/>
          <w:sz w:val="24"/>
          <w:szCs w:val="24"/>
          <w:lang w:eastAsia="pt-BR"/>
        </w:rPr>
        <w:t>)</w:t>
      </w:r>
      <w:r w:rsidRPr="00385CC6">
        <w:rPr>
          <w:rFonts w:ascii="Calibri" w:eastAsia="Times New Roman" w:hAnsi="Calibri" w:cs="Times New Roman"/>
          <w:color w:val="000000"/>
          <w:sz w:val="24"/>
          <w:szCs w:val="24"/>
          <w:lang w:eastAsia="pt-BR"/>
        </w:rPr>
        <w:t xml:space="preserve"> </w:t>
      </w:r>
    </w:p>
    <w:p w14:paraId="0DB70ED4" w14:textId="77777777" w:rsidR="00385CC6" w:rsidRPr="00385CC6" w:rsidRDefault="00385CC6" w:rsidP="00385CC6">
      <w:pPr>
        <w:spacing w:before="120" w:after="120" w:line="240" w:lineRule="auto"/>
        <w:ind w:left="120" w:right="120"/>
        <w:jc w:val="center"/>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 </w:t>
      </w:r>
    </w:p>
    <w:p w14:paraId="42C089EC" w14:textId="3FB2F126"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Torna-se público que a </w:t>
      </w:r>
      <w:r w:rsidRPr="00385CC6">
        <w:rPr>
          <w:rFonts w:ascii="Calibri" w:eastAsia="Times New Roman" w:hAnsi="Calibri" w:cs="Times New Roman"/>
          <w:b/>
          <w:bCs/>
          <w:color w:val="000000"/>
          <w:sz w:val="24"/>
          <w:szCs w:val="24"/>
          <w:lang w:eastAsia="pt-BR"/>
        </w:rPr>
        <w:t>FUNDAÇÃO OSWALDO CRUZ-FIOCRUZ</w:t>
      </w:r>
      <w:r w:rsidRPr="00385CC6">
        <w:rPr>
          <w:rFonts w:ascii="Calibri" w:eastAsia="Times New Roman" w:hAnsi="Calibri" w:cs="Times New Roman"/>
          <w:color w:val="000000"/>
          <w:sz w:val="24"/>
          <w:szCs w:val="24"/>
          <w:lang w:eastAsia="pt-BR"/>
        </w:rPr>
        <w:t>, por meio do </w:t>
      </w:r>
      <w:r w:rsidRPr="00385CC6">
        <w:rPr>
          <w:rFonts w:ascii="Calibri" w:eastAsia="Times New Roman" w:hAnsi="Calibri" w:cs="Times New Roman"/>
          <w:b/>
          <w:bCs/>
          <w:color w:val="000000"/>
          <w:sz w:val="24"/>
          <w:szCs w:val="24"/>
          <w:lang w:eastAsia="pt-BR"/>
        </w:rPr>
        <w:t xml:space="preserve">INSTITUTO </w:t>
      </w:r>
      <w:r>
        <w:rPr>
          <w:rFonts w:ascii="Calibri" w:eastAsia="Times New Roman" w:hAnsi="Calibri" w:cs="Times New Roman"/>
          <w:b/>
          <w:bCs/>
          <w:color w:val="000000"/>
          <w:sz w:val="24"/>
          <w:szCs w:val="24"/>
          <w:lang w:eastAsia="pt-BR"/>
        </w:rPr>
        <w:t>AGGEU MAGALHÃES</w:t>
      </w:r>
      <w:r w:rsidRPr="00385CC6">
        <w:rPr>
          <w:rFonts w:ascii="Calibri" w:eastAsia="Times New Roman" w:hAnsi="Calibri" w:cs="Times New Roman"/>
          <w:color w:val="000000"/>
          <w:sz w:val="24"/>
          <w:szCs w:val="24"/>
          <w:lang w:eastAsia="pt-BR"/>
        </w:rPr>
        <w:t>, realizará Dispensa Eletrônica, com </w:t>
      </w:r>
      <w:r w:rsidRPr="00385CC6">
        <w:rPr>
          <w:rFonts w:ascii="Calibri" w:eastAsia="Times New Roman" w:hAnsi="Calibri" w:cs="Times New Roman"/>
          <w:b/>
          <w:bCs/>
          <w:color w:val="000000"/>
          <w:sz w:val="24"/>
          <w:szCs w:val="24"/>
          <w:lang w:eastAsia="pt-BR"/>
        </w:rPr>
        <w:t>critério de julgamento menor preço</w:t>
      </w:r>
      <w:r w:rsidRPr="00385CC6">
        <w:rPr>
          <w:rFonts w:ascii="Calibri" w:eastAsia="Times New Roman" w:hAnsi="Calibri" w:cs="Times New Roman"/>
          <w:color w:val="000000"/>
          <w:sz w:val="24"/>
          <w:szCs w:val="24"/>
          <w:lang w:eastAsia="pt-BR"/>
        </w:rPr>
        <w:t>, na hipótese do art. 75</w:t>
      </w:r>
      <w:r w:rsidRPr="00385CC6">
        <w:rPr>
          <w:rFonts w:ascii="Calibri" w:eastAsia="Times New Roman" w:hAnsi="Calibri" w:cs="Times New Roman"/>
          <w:i/>
          <w:iCs/>
          <w:color w:val="000000"/>
          <w:sz w:val="24"/>
          <w:szCs w:val="24"/>
          <w:lang w:eastAsia="pt-BR"/>
        </w:rPr>
        <w:t>, </w:t>
      </w:r>
      <w:r w:rsidRPr="00385CC6">
        <w:rPr>
          <w:rFonts w:ascii="Calibri" w:eastAsia="Times New Roman" w:hAnsi="Calibri" w:cs="Times New Roman"/>
          <w:color w:val="000000"/>
          <w:sz w:val="24"/>
          <w:szCs w:val="24"/>
          <w:lang w:eastAsia="pt-BR"/>
        </w:rPr>
        <w:t>inciso </w:t>
      </w:r>
      <w:r w:rsidRPr="00385CC6">
        <w:rPr>
          <w:rFonts w:ascii="Calibri" w:eastAsia="Times New Roman" w:hAnsi="Calibri" w:cs="Times New Roman"/>
          <w:b/>
          <w:bCs/>
          <w:color w:val="000000"/>
          <w:sz w:val="24"/>
          <w:szCs w:val="24"/>
          <w:lang w:eastAsia="pt-BR"/>
        </w:rPr>
        <w:t>II</w:t>
      </w:r>
      <w:r w:rsidRPr="00385CC6">
        <w:rPr>
          <w:rFonts w:ascii="Calibri" w:eastAsia="Times New Roman" w:hAnsi="Calibri" w:cs="Times New Roman"/>
          <w:color w:val="000000"/>
          <w:sz w:val="24"/>
          <w:szCs w:val="24"/>
          <w:lang w:eastAsia="pt-BR"/>
        </w:rPr>
        <w:t>, nos termos da Lei nº 14.133, de 1º de abril de 2021, da Instrução Normativa SEGES/ME nº 67/2021 e demais legislação aplicável.</w:t>
      </w:r>
    </w:p>
    <w:p w14:paraId="6F77F15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 </w:t>
      </w:r>
    </w:p>
    <w:p w14:paraId="67723879" w14:textId="3A3C5CDD"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 xml:space="preserve">Data da sessão: </w:t>
      </w:r>
      <w:r w:rsidR="0059048C">
        <w:rPr>
          <w:rFonts w:ascii="Calibri" w:eastAsia="Times New Roman" w:hAnsi="Calibri" w:cs="Times New Roman"/>
          <w:color w:val="000000"/>
          <w:sz w:val="24"/>
          <w:szCs w:val="24"/>
          <w:lang w:eastAsia="pt-BR"/>
        </w:rPr>
        <w:t>0</w:t>
      </w:r>
      <w:r w:rsidR="00C54885">
        <w:rPr>
          <w:rFonts w:ascii="Calibri" w:eastAsia="Times New Roman" w:hAnsi="Calibri" w:cs="Times New Roman"/>
          <w:color w:val="000000"/>
          <w:sz w:val="24"/>
          <w:szCs w:val="24"/>
          <w:lang w:eastAsia="pt-BR"/>
        </w:rPr>
        <w:t>5</w:t>
      </w:r>
      <w:r w:rsidR="0059048C">
        <w:rPr>
          <w:rFonts w:ascii="Calibri" w:eastAsia="Times New Roman" w:hAnsi="Calibri" w:cs="Times New Roman"/>
          <w:color w:val="000000"/>
          <w:sz w:val="24"/>
          <w:szCs w:val="24"/>
          <w:lang w:eastAsia="pt-BR"/>
        </w:rPr>
        <w:t>/0</w:t>
      </w:r>
      <w:r w:rsidR="006A2A6E">
        <w:rPr>
          <w:rFonts w:ascii="Calibri" w:eastAsia="Times New Roman" w:hAnsi="Calibri" w:cs="Times New Roman"/>
          <w:color w:val="000000"/>
          <w:sz w:val="24"/>
          <w:szCs w:val="24"/>
          <w:lang w:eastAsia="pt-BR"/>
        </w:rPr>
        <w:t>8</w:t>
      </w:r>
      <w:r w:rsidR="0059048C">
        <w:rPr>
          <w:rFonts w:ascii="Calibri" w:eastAsia="Times New Roman" w:hAnsi="Calibri" w:cs="Times New Roman"/>
          <w:color w:val="000000"/>
          <w:sz w:val="24"/>
          <w:szCs w:val="24"/>
          <w:lang w:eastAsia="pt-BR"/>
        </w:rPr>
        <w:t>/2022</w:t>
      </w:r>
    </w:p>
    <w:p w14:paraId="634A040E" w14:textId="77777777" w:rsidR="00385CC6" w:rsidRPr="00385CC6" w:rsidRDefault="00385CC6" w:rsidP="00385CC6">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298A765D" w14:textId="77777777" w:rsidR="00385CC6" w:rsidRPr="00385CC6" w:rsidRDefault="00385CC6" w:rsidP="00385CC6">
      <w:pPr>
        <w:shd w:val="clear" w:color="auto" w:fill="E6E6E6"/>
        <w:spacing w:before="120" w:after="120" w:line="240" w:lineRule="auto"/>
        <w:ind w:left="120" w:right="120"/>
        <w:jc w:val="both"/>
        <w:rPr>
          <w:rFonts w:ascii="Calibri" w:eastAsia="Times New Roman" w:hAnsi="Calibri" w:cs="Times New Roman"/>
          <w:b/>
          <w:bCs/>
          <w:caps/>
          <w:color w:val="000000"/>
          <w:sz w:val="24"/>
          <w:szCs w:val="24"/>
          <w:lang w:eastAsia="pt-BR"/>
        </w:rPr>
      </w:pPr>
      <w:r w:rsidRPr="00385CC6">
        <w:rPr>
          <w:rFonts w:ascii="Calibri" w:eastAsia="Times New Roman" w:hAnsi="Calibri" w:cs="Times New Roman"/>
          <w:b/>
          <w:bCs/>
          <w:caps/>
          <w:color w:val="000000"/>
          <w:sz w:val="24"/>
          <w:szCs w:val="24"/>
          <w:lang w:eastAsia="pt-BR"/>
        </w:rPr>
        <w:t>OBJETO DA CONTRATAÇÃO DIRETA</w:t>
      </w:r>
    </w:p>
    <w:p w14:paraId="3FEB8921" w14:textId="7B840B0F" w:rsid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 xml:space="preserve">O objeto da presente dispensa é </w:t>
      </w:r>
      <w:r w:rsidR="006A2A6E" w:rsidRPr="006A2A6E">
        <w:rPr>
          <w:rFonts w:ascii="Calibri" w:eastAsia="Times New Roman" w:hAnsi="Calibri" w:cs="Times New Roman"/>
          <w:color w:val="000000"/>
          <w:sz w:val="24"/>
          <w:szCs w:val="24"/>
          <w:lang w:eastAsia="pt-BR"/>
        </w:rPr>
        <w:t>Aquisição de insumos com marcas específicas, conforme condições, quantidades e exigências estabelecidas neste instrumento</w:t>
      </w:r>
      <w:r w:rsidR="006A2A6E">
        <w:rPr>
          <w:rFonts w:ascii="Calibri" w:eastAsia="Times New Roman" w:hAnsi="Calibri" w:cs="Times New Roman"/>
          <w:color w:val="000000"/>
          <w:sz w:val="24"/>
          <w:szCs w:val="24"/>
          <w:lang w:eastAsia="pt-BR"/>
        </w:rPr>
        <w:t>.</w:t>
      </w:r>
    </w:p>
    <w:p w14:paraId="52744EA3" w14:textId="77777777" w:rsidR="006A2A6E" w:rsidRDefault="006A2A6E" w:rsidP="006A2A6E">
      <w:pPr>
        <w:spacing w:before="120" w:after="120" w:line="240" w:lineRule="auto"/>
        <w:ind w:left="120" w:right="120"/>
        <w:jc w:val="both"/>
        <w:rPr>
          <w:color w:val="000000"/>
          <w:sz w:val="24"/>
          <w:szCs w:val="24"/>
        </w:rPr>
      </w:pPr>
    </w:p>
    <w:p w14:paraId="280A8BA3" w14:textId="254B3D1D" w:rsidR="006A2A6E" w:rsidRPr="006A2A6E" w:rsidRDefault="006A2A6E" w:rsidP="006A2A6E">
      <w:pPr>
        <w:spacing w:before="120" w:after="120" w:line="240" w:lineRule="auto"/>
        <w:ind w:left="120" w:right="120"/>
        <w:jc w:val="both"/>
        <w:rPr>
          <w:color w:val="000000"/>
          <w:sz w:val="24"/>
          <w:szCs w:val="24"/>
        </w:rPr>
      </w:pPr>
      <w:r w:rsidRPr="006A2A6E">
        <w:rPr>
          <w:color w:val="000000"/>
          <w:sz w:val="24"/>
          <w:szCs w:val="24"/>
        </w:rPr>
        <w:t>Justificativa da Marca</w:t>
      </w:r>
    </w:p>
    <w:p w14:paraId="6F9DF194" w14:textId="1E3D4B9A" w:rsidR="006A2A6E" w:rsidRPr="006A2A6E" w:rsidRDefault="006A2A6E" w:rsidP="006A2A6E">
      <w:pPr>
        <w:spacing w:before="120" w:after="120" w:line="240" w:lineRule="auto"/>
        <w:ind w:left="120" w:right="120"/>
        <w:jc w:val="both"/>
        <w:rPr>
          <w:color w:val="000000"/>
          <w:sz w:val="24"/>
          <w:szCs w:val="24"/>
        </w:rPr>
      </w:pPr>
      <w:r w:rsidRPr="006A2A6E">
        <w:rPr>
          <w:color w:val="000000"/>
          <w:sz w:val="24"/>
          <w:szCs w:val="24"/>
        </w:rPr>
        <w:t>1: Marca Schneider</w:t>
      </w:r>
    </w:p>
    <w:p w14:paraId="38C25A04" w14:textId="77777777" w:rsidR="006A2A6E" w:rsidRPr="006A2A6E" w:rsidRDefault="006A2A6E" w:rsidP="006A2A6E">
      <w:pPr>
        <w:spacing w:before="120" w:after="120" w:line="240" w:lineRule="auto"/>
        <w:ind w:left="120" w:right="120"/>
        <w:jc w:val="both"/>
        <w:rPr>
          <w:color w:val="000000"/>
          <w:sz w:val="24"/>
          <w:szCs w:val="24"/>
        </w:rPr>
      </w:pPr>
      <w:r w:rsidRPr="006A2A6E">
        <w:rPr>
          <w:color w:val="000000"/>
          <w:sz w:val="24"/>
          <w:szCs w:val="24"/>
        </w:rPr>
        <w:t>A bomba submersa é uma peça que faz parte do sistema de refrigeração (</w:t>
      </w:r>
      <w:proofErr w:type="spellStart"/>
      <w:r w:rsidRPr="006A2A6E">
        <w:rPr>
          <w:color w:val="000000"/>
          <w:sz w:val="24"/>
          <w:szCs w:val="24"/>
        </w:rPr>
        <w:t>chiller</w:t>
      </w:r>
      <w:proofErr w:type="spellEnd"/>
      <w:r w:rsidRPr="006A2A6E">
        <w:rPr>
          <w:color w:val="000000"/>
          <w:sz w:val="24"/>
          <w:szCs w:val="24"/>
        </w:rPr>
        <w:t xml:space="preserve">) acoplado ao microscópio eletrônico de transmissão. Ela é necessária para manter o microscópio refrigerado através da vazão controlada e precisa de água. A bomba atualmente instalada no </w:t>
      </w:r>
      <w:proofErr w:type="spellStart"/>
      <w:r w:rsidRPr="006A2A6E">
        <w:rPr>
          <w:color w:val="000000"/>
          <w:sz w:val="24"/>
          <w:szCs w:val="24"/>
        </w:rPr>
        <w:t>chiller</w:t>
      </w:r>
      <w:proofErr w:type="spellEnd"/>
      <w:r w:rsidRPr="006A2A6E">
        <w:rPr>
          <w:color w:val="000000"/>
          <w:sz w:val="24"/>
          <w:szCs w:val="24"/>
        </w:rPr>
        <w:t>, da marca Schneider, apresenta desgastes por tempo e uso, por isso a necessidade de substituição por uma nova. Esta peça é essencial para o funcionamento dos equipamentos (</w:t>
      </w:r>
      <w:proofErr w:type="spellStart"/>
      <w:r w:rsidRPr="006A2A6E">
        <w:rPr>
          <w:color w:val="000000"/>
          <w:sz w:val="24"/>
          <w:szCs w:val="24"/>
        </w:rPr>
        <w:t>chiller</w:t>
      </w:r>
      <w:proofErr w:type="spellEnd"/>
      <w:r w:rsidRPr="006A2A6E">
        <w:rPr>
          <w:color w:val="000000"/>
          <w:sz w:val="24"/>
          <w:szCs w:val="24"/>
        </w:rPr>
        <w:t xml:space="preserve"> e microscópio) e continuidade das pesquisas.</w:t>
      </w:r>
    </w:p>
    <w:p w14:paraId="20FDA116" w14:textId="77777777" w:rsidR="006A2A6E" w:rsidRPr="006A2A6E" w:rsidRDefault="006A2A6E" w:rsidP="006A2A6E">
      <w:pPr>
        <w:spacing w:before="120" w:after="120" w:line="240" w:lineRule="auto"/>
        <w:ind w:left="120" w:right="120"/>
        <w:jc w:val="both"/>
        <w:rPr>
          <w:color w:val="000000"/>
          <w:sz w:val="24"/>
          <w:szCs w:val="24"/>
        </w:rPr>
      </w:pPr>
      <w:r w:rsidRPr="006A2A6E">
        <w:rPr>
          <w:color w:val="000000"/>
          <w:sz w:val="24"/>
          <w:szCs w:val="24"/>
        </w:rPr>
        <w:t xml:space="preserve">O produto Schneider descrito acima possui todos os requisitos necessários para o bom funcionamento do </w:t>
      </w:r>
      <w:proofErr w:type="spellStart"/>
      <w:r w:rsidRPr="006A2A6E">
        <w:rPr>
          <w:color w:val="000000"/>
          <w:sz w:val="24"/>
          <w:szCs w:val="24"/>
        </w:rPr>
        <w:t>chiller</w:t>
      </w:r>
      <w:proofErr w:type="spellEnd"/>
      <w:r w:rsidRPr="006A2A6E">
        <w:rPr>
          <w:color w:val="000000"/>
          <w:sz w:val="24"/>
          <w:szCs w:val="24"/>
        </w:rPr>
        <w:t xml:space="preserve"> com precisão, sensibilidade e especificidade. Diante da necessidade de primar pela qualidade e agilidade do serviço, o material de consumo é requisitado para manter a rotina da Plataforma de Microscopia Eletrônica do IAM.</w:t>
      </w:r>
    </w:p>
    <w:p w14:paraId="6CF05B9B" w14:textId="77777777" w:rsidR="006A2A6E" w:rsidRPr="006A2A6E" w:rsidRDefault="006A2A6E" w:rsidP="006A2A6E">
      <w:pPr>
        <w:spacing w:before="120" w:after="120" w:line="240" w:lineRule="auto"/>
        <w:ind w:left="120" w:right="120"/>
        <w:jc w:val="both"/>
        <w:rPr>
          <w:color w:val="000000"/>
          <w:sz w:val="24"/>
          <w:szCs w:val="24"/>
        </w:rPr>
      </w:pPr>
    </w:p>
    <w:p w14:paraId="5BF73547" w14:textId="77777777" w:rsidR="006A2A6E" w:rsidRPr="006A2A6E" w:rsidRDefault="006A2A6E" w:rsidP="006A2A6E">
      <w:pPr>
        <w:spacing w:before="120" w:after="120" w:line="240" w:lineRule="auto"/>
        <w:ind w:left="120" w:right="120"/>
        <w:jc w:val="both"/>
        <w:rPr>
          <w:color w:val="000000"/>
          <w:sz w:val="24"/>
          <w:szCs w:val="24"/>
        </w:rPr>
      </w:pPr>
      <w:r w:rsidRPr="006A2A6E">
        <w:rPr>
          <w:color w:val="000000"/>
          <w:sz w:val="24"/>
          <w:szCs w:val="24"/>
        </w:rPr>
        <w:t xml:space="preserve">Itens 2 a 7: Marca </w:t>
      </w:r>
      <w:proofErr w:type="spellStart"/>
      <w:r w:rsidRPr="006A2A6E">
        <w:rPr>
          <w:color w:val="000000"/>
          <w:sz w:val="24"/>
          <w:szCs w:val="24"/>
        </w:rPr>
        <w:t>Electron</w:t>
      </w:r>
      <w:proofErr w:type="spellEnd"/>
      <w:r w:rsidRPr="006A2A6E">
        <w:rPr>
          <w:color w:val="000000"/>
          <w:sz w:val="24"/>
          <w:szCs w:val="24"/>
        </w:rPr>
        <w:t xml:space="preserve"> </w:t>
      </w:r>
      <w:proofErr w:type="spellStart"/>
      <w:r w:rsidRPr="006A2A6E">
        <w:rPr>
          <w:color w:val="000000"/>
          <w:sz w:val="24"/>
          <w:szCs w:val="24"/>
        </w:rPr>
        <w:t>Microscopy</w:t>
      </w:r>
      <w:proofErr w:type="spellEnd"/>
      <w:r w:rsidRPr="006A2A6E">
        <w:rPr>
          <w:color w:val="000000"/>
          <w:sz w:val="24"/>
          <w:szCs w:val="24"/>
        </w:rPr>
        <w:t xml:space="preserve"> Sciences (EMS)</w:t>
      </w:r>
    </w:p>
    <w:p w14:paraId="35BF2D1F" w14:textId="77777777" w:rsidR="006A2A6E" w:rsidRPr="006A2A6E" w:rsidRDefault="006A2A6E" w:rsidP="006A2A6E">
      <w:pPr>
        <w:spacing w:before="120" w:after="120" w:line="240" w:lineRule="auto"/>
        <w:ind w:left="120" w:right="120"/>
        <w:jc w:val="both"/>
        <w:rPr>
          <w:color w:val="000000"/>
          <w:sz w:val="24"/>
          <w:szCs w:val="24"/>
        </w:rPr>
      </w:pPr>
      <w:r w:rsidRPr="006A2A6E">
        <w:rPr>
          <w:color w:val="000000"/>
          <w:sz w:val="24"/>
          <w:szCs w:val="24"/>
        </w:rPr>
        <w:t xml:space="preserve">Como justificativa técnica para a aquisição dos materiais de consumo descritos acima, vale ressaltar que os produtos relacionados são os únicos que atendem às pesquisas em microscopia eletrônica. Há de se destacar que para a visualização de amostras em microscópios eletrônicos, o preparo dos espécimes biológicos deve ser extremamente minucioso e preciso, pois qualquer erro pode acarretar mudanças estruturais nas células, o que pode gerar resultados inespecíficos. Além disso, os produtos epigrafados já foram prévia e exaustivamente testados em nosso laboratório e, ao longo do tempo, no que diz respeito a questões como biossegurança, </w:t>
      </w:r>
      <w:r w:rsidRPr="006A2A6E">
        <w:rPr>
          <w:color w:val="000000"/>
          <w:sz w:val="24"/>
          <w:szCs w:val="24"/>
        </w:rPr>
        <w:lastRenderedPageBreak/>
        <w:t>durabilidade, reprodutibilidade dos resultados, precisão, sensibilidade e especificidade, possuem melhor relação custo/benefício que outros reagentes encontrados no mercado.</w:t>
      </w:r>
    </w:p>
    <w:p w14:paraId="73543238" w14:textId="77777777" w:rsidR="006A2A6E" w:rsidRPr="006A2A6E" w:rsidRDefault="006A2A6E" w:rsidP="006A2A6E">
      <w:pPr>
        <w:spacing w:before="120" w:after="120" w:line="240" w:lineRule="auto"/>
        <w:ind w:left="120" w:right="120"/>
        <w:jc w:val="both"/>
        <w:rPr>
          <w:color w:val="000000"/>
          <w:sz w:val="24"/>
          <w:szCs w:val="24"/>
        </w:rPr>
      </w:pPr>
      <w:r w:rsidRPr="006A2A6E">
        <w:rPr>
          <w:color w:val="000000"/>
          <w:sz w:val="24"/>
          <w:szCs w:val="24"/>
        </w:rPr>
        <w:t xml:space="preserve">Todos os produtos em questão foram utilizados nos processos de padronização de técnicas e salientamos que esses reagentes já fazem parte dos procedimentos protocolados através dos Procedimentos Operacionais Padrão - </w:t>
      </w:r>
      <w:proofErr w:type="spellStart"/>
      <w:r w:rsidRPr="006A2A6E">
        <w:rPr>
          <w:color w:val="000000"/>
          <w:sz w:val="24"/>
          <w:szCs w:val="24"/>
        </w:rPr>
        <w:t>POPs</w:t>
      </w:r>
      <w:proofErr w:type="spellEnd"/>
      <w:r w:rsidRPr="006A2A6E">
        <w:rPr>
          <w:color w:val="000000"/>
          <w:sz w:val="24"/>
          <w:szCs w:val="24"/>
        </w:rPr>
        <w:t>. Devido à qualidade já comprovada e documentada, são os únicos que atendem às demandas das nossas medidas experimentais.</w:t>
      </w:r>
    </w:p>
    <w:p w14:paraId="2046563F" w14:textId="77777777" w:rsidR="006A2A6E" w:rsidRPr="006A2A6E" w:rsidRDefault="006A2A6E" w:rsidP="006A2A6E">
      <w:pPr>
        <w:spacing w:before="120" w:after="120" w:line="240" w:lineRule="auto"/>
        <w:ind w:left="120" w:right="120"/>
        <w:jc w:val="both"/>
        <w:rPr>
          <w:color w:val="000000"/>
          <w:sz w:val="24"/>
          <w:szCs w:val="24"/>
        </w:rPr>
      </w:pPr>
      <w:r w:rsidRPr="006A2A6E">
        <w:rPr>
          <w:color w:val="000000"/>
          <w:sz w:val="24"/>
          <w:szCs w:val="24"/>
        </w:rPr>
        <w:t xml:space="preserve">Diante da necessidade de primar pela qualidade do preparo de amostras para microscopia eletrônica, fato este que os referidos produtos foram exaustivamente testados e têm sido utilizados ao longo dos anos, a descontinuidade dos referidos produtos </w:t>
      </w:r>
      <w:proofErr w:type="gramStart"/>
      <w:r w:rsidRPr="006A2A6E">
        <w:rPr>
          <w:color w:val="000000"/>
          <w:sz w:val="24"/>
          <w:szCs w:val="24"/>
        </w:rPr>
        <w:t>acarretará em</w:t>
      </w:r>
      <w:proofErr w:type="gramEnd"/>
      <w:r w:rsidRPr="006A2A6E">
        <w:rPr>
          <w:color w:val="000000"/>
          <w:sz w:val="24"/>
          <w:szCs w:val="24"/>
        </w:rPr>
        <w:t xml:space="preserve"> prejuízos não só de ordem econômica, mas também de confiabilidade do produto final, contrariando o princípio da economicidade e da eficiência do setor público, que é o de assegurar serviço adequado às necessidades da sociedade. Em face dos argumentos expostos, os referidos produtos da marca </w:t>
      </w:r>
      <w:proofErr w:type="spellStart"/>
      <w:r w:rsidRPr="006A2A6E">
        <w:rPr>
          <w:color w:val="000000"/>
          <w:sz w:val="24"/>
          <w:szCs w:val="24"/>
        </w:rPr>
        <w:t>Electron</w:t>
      </w:r>
      <w:proofErr w:type="spellEnd"/>
      <w:r w:rsidRPr="006A2A6E">
        <w:rPr>
          <w:color w:val="000000"/>
          <w:sz w:val="24"/>
          <w:szCs w:val="24"/>
        </w:rPr>
        <w:t xml:space="preserve"> </w:t>
      </w:r>
      <w:proofErr w:type="spellStart"/>
      <w:r w:rsidRPr="006A2A6E">
        <w:rPr>
          <w:color w:val="000000"/>
          <w:sz w:val="24"/>
          <w:szCs w:val="24"/>
        </w:rPr>
        <w:t>Microscopy</w:t>
      </w:r>
      <w:proofErr w:type="spellEnd"/>
      <w:r w:rsidRPr="006A2A6E">
        <w:rPr>
          <w:color w:val="000000"/>
          <w:sz w:val="24"/>
          <w:szCs w:val="24"/>
        </w:rPr>
        <w:t xml:space="preserve"> Sciences são os únicos que atendem as necessidades de nosso laboratório.</w:t>
      </w:r>
    </w:p>
    <w:p w14:paraId="1C7E95CB" w14:textId="77777777" w:rsidR="006A2A6E" w:rsidRPr="006A2A6E" w:rsidRDefault="006A2A6E" w:rsidP="006A2A6E">
      <w:pPr>
        <w:spacing w:before="120" w:after="120" w:line="240" w:lineRule="auto"/>
        <w:ind w:left="120" w:right="120"/>
        <w:jc w:val="both"/>
        <w:rPr>
          <w:color w:val="000000"/>
          <w:sz w:val="24"/>
          <w:szCs w:val="24"/>
        </w:rPr>
      </w:pPr>
    </w:p>
    <w:p w14:paraId="3F4545C4" w14:textId="77777777" w:rsidR="006A2A6E" w:rsidRPr="006A2A6E" w:rsidRDefault="006A2A6E" w:rsidP="006A2A6E">
      <w:pPr>
        <w:spacing w:before="120" w:after="120" w:line="240" w:lineRule="auto"/>
        <w:ind w:left="120" w:right="120"/>
        <w:jc w:val="both"/>
        <w:rPr>
          <w:color w:val="000000"/>
          <w:sz w:val="24"/>
          <w:szCs w:val="24"/>
        </w:rPr>
      </w:pPr>
      <w:r w:rsidRPr="006A2A6E">
        <w:rPr>
          <w:color w:val="000000"/>
          <w:sz w:val="24"/>
          <w:szCs w:val="24"/>
        </w:rPr>
        <w:t xml:space="preserve">Itens 8 e 9: Marca BBI </w:t>
      </w:r>
      <w:proofErr w:type="spellStart"/>
      <w:r w:rsidRPr="006A2A6E">
        <w:rPr>
          <w:color w:val="000000"/>
          <w:sz w:val="24"/>
          <w:szCs w:val="24"/>
        </w:rPr>
        <w:t>Solutions</w:t>
      </w:r>
      <w:proofErr w:type="spellEnd"/>
    </w:p>
    <w:p w14:paraId="0B7FAA8A" w14:textId="77777777" w:rsidR="006A2A6E" w:rsidRPr="006A2A6E" w:rsidRDefault="006A2A6E" w:rsidP="006A2A6E">
      <w:pPr>
        <w:spacing w:before="120" w:after="120" w:line="240" w:lineRule="auto"/>
        <w:ind w:left="120" w:right="120"/>
        <w:jc w:val="both"/>
        <w:rPr>
          <w:color w:val="000000"/>
          <w:sz w:val="24"/>
          <w:szCs w:val="24"/>
        </w:rPr>
      </w:pPr>
      <w:r w:rsidRPr="006A2A6E">
        <w:rPr>
          <w:color w:val="000000"/>
          <w:sz w:val="24"/>
          <w:szCs w:val="24"/>
        </w:rPr>
        <w:t xml:space="preserve">Os produtos relacionados são utilizados em técnicas de microscopia eletrônica para detecção de antígenos em células. Há de se destacar que procedimentos experimentais de </w:t>
      </w:r>
      <w:proofErr w:type="spellStart"/>
      <w:r w:rsidRPr="006A2A6E">
        <w:rPr>
          <w:color w:val="000000"/>
          <w:sz w:val="24"/>
          <w:szCs w:val="24"/>
        </w:rPr>
        <w:t>imunolocalização</w:t>
      </w:r>
      <w:proofErr w:type="spellEnd"/>
      <w:r w:rsidRPr="006A2A6E">
        <w:rPr>
          <w:color w:val="000000"/>
          <w:sz w:val="24"/>
          <w:szCs w:val="24"/>
        </w:rPr>
        <w:t xml:space="preserve"> são refinados e minuciosos, pois qualquer erro pode gerar resultados inespecíficos. Os produtos BBI listados acima já foram prévia e exaustivamente testados em laboratórios referência de microscopia eletrônica e, ao longo do tempo, no que diz respeito a questões como biossegurança, durabilidade, reprodutibilidade dos resultados, precisão, sensibilidade e especificidade, possuem melhor relação custo/benefício que outros reagentes encontrados no mercado.</w:t>
      </w:r>
    </w:p>
    <w:p w14:paraId="13A94566" w14:textId="3225554D" w:rsidR="006A2A6E" w:rsidRDefault="006A2A6E" w:rsidP="006A2A6E">
      <w:pPr>
        <w:spacing w:before="120" w:after="120" w:line="240" w:lineRule="auto"/>
        <w:ind w:left="120" w:right="120"/>
        <w:jc w:val="both"/>
        <w:rPr>
          <w:color w:val="000000"/>
          <w:sz w:val="24"/>
          <w:szCs w:val="24"/>
        </w:rPr>
      </w:pPr>
      <w:r w:rsidRPr="006A2A6E">
        <w:rPr>
          <w:color w:val="000000"/>
          <w:sz w:val="24"/>
          <w:szCs w:val="24"/>
        </w:rPr>
        <w:t xml:space="preserve">Diante da necessidade de primar pela qualidade do preparo de amostras para microscopia eletrônica, fato este que os referidos produtos foram padronizados e utilizados ao longo dos anos, sua descontinuidade acarretará prejuízos não só de ordem econômica, mas também de confiabilidade do </w:t>
      </w:r>
      <w:proofErr w:type="gramStart"/>
      <w:r w:rsidRPr="006A2A6E">
        <w:rPr>
          <w:color w:val="000000"/>
          <w:sz w:val="24"/>
          <w:szCs w:val="24"/>
        </w:rPr>
        <w:t>produto final</w:t>
      </w:r>
      <w:proofErr w:type="gramEnd"/>
      <w:r w:rsidRPr="006A2A6E">
        <w:rPr>
          <w:color w:val="000000"/>
          <w:sz w:val="24"/>
          <w:szCs w:val="24"/>
        </w:rPr>
        <w:t xml:space="preserve">. Em face dos argumentos expostos, os referidos produtos da marca BBI </w:t>
      </w:r>
      <w:proofErr w:type="spellStart"/>
      <w:r w:rsidRPr="006A2A6E">
        <w:rPr>
          <w:color w:val="000000"/>
          <w:sz w:val="24"/>
          <w:szCs w:val="24"/>
        </w:rPr>
        <w:t>Solutions</w:t>
      </w:r>
      <w:proofErr w:type="spellEnd"/>
      <w:r w:rsidRPr="006A2A6E">
        <w:rPr>
          <w:color w:val="000000"/>
          <w:sz w:val="24"/>
          <w:szCs w:val="24"/>
        </w:rPr>
        <w:t xml:space="preserve"> são os únicos que atendem às necessidades de nosso laboratório.</w:t>
      </w:r>
    </w:p>
    <w:p w14:paraId="5D46378C" w14:textId="4F0812D3" w:rsidR="00FC6ECE" w:rsidRDefault="00FC6ECE" w:rsidP="006A2A6E">
      <w:pPr>
        <w:spacing w:before="120" w:after="120" w:line="240" w:lineRule="auto"/>
        <w:ind w:left="120" w:right="120"/>
        <w:jc w:val="both"/>
        <w:rPr>
          <w:color w:val="000000"/>
          <w:sz w:val="24"/>
          <w:szCs w:val="24"/>
        </w:rPr>
      </w:pPr>
      <w:r w:rsidRPr="00FC6ECE">
        <w:lastRenderedPageBreak/>
        <w:drawing>
          <wp:inline distT="0" distB="0" distL="0" distR="0" wp14:anchorId="1CFFEC44" wp14:editId="351B69FB">
            <wp:extent cx="6029778" cy="643890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43440" cy="6453489"/>
                    </a:xfrm>
                    <a:prstGeom prst="rect">
                      <a:avLst/>
                    </a:prstGeom>
                    <a:noFill/>
                    <a:ln>
                      <a:noFill/>
                    </a:ln>
                  </pic:spPr>
                </pic:pic>
              </a:graphicData>
            </a:graphic>
          </wp:inline>
        </w:drawing>
      </w:r>
    </w:p>
    <w:p w14:paraId="4908D91D" w14:textId="5D697814" w:rsidR="006B79B1" w:rsidRDefault="006B79B1" w:rsidP="00FC6ECE">
      <w:pPr>
        <w:spacing w:before="120" w:after="120" w:line="240" w:lineRule="auto"/>
        <w:ind w:right="120"/>
        <w:jc w:val="both"/>
        <w:rPr>
          <w:color w:val="000000"/>
          <w:sz w:val="24"/>
          <w:szCs w:val="24"/>
        </w:rPr>
      </w:pPr>
    </w:p>
    <w:p w14:paraId="11F932A5" w14:textId="20188D9B" w:rsidR="000B6C84" w:rsidRDefault="000B6C84" w:rsidP="00385CC6">
      <w:pPr>
        <w:spacing w:before="120" w:after="120" w:line="240" w:lineRule="auto"/>
        <w:ind w:left="120" w:right="120"/>
        <w:jc w:val="both"/>
        <w:rPr>
          <w:rFonts w:ascii="Calibri" w:eastAsia="Times New Roman" w:hAnsi="Calibri" w:cs="Times New Roman"/>
          <w:color w:val="000000"/>
          <w:sz w:val="24"/>
          <w:szCs w:val="24"/>
          <w:lang w:eastAsia="pt-BR"/>
        </w:rPr>
      </w:pPr>
    </w:p>
    <w:p w14:paraId="183CBDE2" w14:textId="5468A343" w:rsidR="00385CC6" w:rsidRPr="00385CC6" w:rsidRDefault="00DB3D30" w:rsidP="001A136E">
      <w:pPr>
        <w:spacing w:before="100" w:beforeAutospacing="1" w:after="100" w:afterAutospacing="1"/>
        <w:rPr>
          <w:rFonts w:ascii="Calibri" w:eastAsia="Times New Roman" w:hAnsi="Calibri" w:cs="Times New Roman"/>
          <w:color w:val="000000"/>
          <w:sz w:val="24"/>
          <w:szCs w:val="24"/>
          <w:lang w:eastAsia="pt-BR"/>
        </w:rPr>
      </w:pPr>
      <w:r w:rsidRPr="002F48CD">
        <w:rPr>
          <w:color w:val="000000"/>
          <w:sz w:val="27"/>
          <w:szCs w:val="27"/>
        </w:rPr>
        <w:t> </w:t>
      </w:r>
      <w:r w:rsidR="001A136E">
        <w:rPr>
          <w:rFonts w:ascii="Calibri" w:eastAsia="Times New Roman" w:hAnsi="Calibri" w:cs="Times New Roman"/>
          <w:color w:val="000000"/>
          <w:sz w:val="24"/>
          <w:szCs w:val="24"/>
          <w:lang w:eastAsia="pt-BR"/>
        </w:rPr>
        <w:t>O cri</w:t>
      </w:r>
      <w:r w:rsidR="00385CC6" w:rsidRPr="00385CC6">
        <w:rPr>
          <w:rFonts w:ascii="Calibri" w:eastAsia="Times New Roman" w:hAnsi="Calibri" w:cs="Times New Roman"/>
          <w:color w:val="000000"/>
          <w:sz w:val="24"/>
          <w:szCs w:val="24"/>
          <w:lang w:eastAsia="pt-BR"/>
        </w:rPr>
        <w:t>tério de julgamento adotado será o</w:t>
      </w:r>
      <w:r w:rsidR="00385CC6" w:rsidRPr="00385CC6">
        <w:rPr>
          <w:rFonts w:ascii="Calibri" w:eastAsia="Times New Roman" w:hAnsi="Calibri" w:cs="Times New Roman"/>
          <w:i/>
          <w:iCs/>
          <w:color w:val="000000"/>
          <w:sz w:val="24"/>
          <w:szCs w:val="24"/>
          <w:lang w:eastAsia="pt-BR"/>
        </w:rPr>
        <w:t> menor preço,</w:t>
      </w:r>
      <w:r w:rsidR="00385CC6" w:rsidRPr="00385CC6">
        <w:rPr>
          <w:rFonts w:ascii="Calibri" w:eastAsia="Times New Roman" w:hAnsi="Calibri" w:cs="Times New Roman"/>
          <w:color w:val="000000"/>
          <w:sz w:val="24"/>
          <w:szCs w:val="24"/>
          <w:lang w:eastAsia="pt-BR"/>
        </w:rPr>
        <w:t> observadas as exigências contidas neste Aviso de Contratação Direta e seus Anexos quanto às especificações do objeto. Faculta-se ao fornecedor a participação em quantos itens forem de seu interesse.</w:t>
      </w:r>
    </w:p>
    <w:p w14:paraId="6D4D56F9"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b/>
          <w:bCs/>
          <w:color w:val="000000"/>
          <w:sz w:val="24"/>
          <w:szCs w:val="24"/>
          <w:lang w:eastAsia="pt-BR"/>
        </w:rPr>
        <w:t xml:space="preserve">Caso haja divergência entre a descrição CATMAT e a descrição complementar/marca/referência, detalhada na tabela acima, deve-se considerar sempre o disposto na descrição complementar/marca/referência, ressaltando-se que é obrigação do fornecedor se atentar para este fato em todas as fases de </w:t>
      </w:r>
      <w:r w:rsidRPr="00385CC6">
        <w:rPr>
          <w:rFonts w:ascii="Calibri" w:eastAsia="Times New Roman" w:hAnsi="Calibri" w:cs="Times New Roman"/>
          <w:b/>
          <w:bCs/>
          <w:color w:val="000000"/>
          <w:sz w:val="24"/>
          <w:szCs w:val="24"/>
          <w:lang w:eastAsia="pt-BR"/>
        </w:rPr>
        <w:lastRenderedPageBreak/>
        <w:t>fornecimento do material, incluindo nas fases posteriores à licitação, mesmo nos casos em que a Nota de Empenho não inclua a descrição complementar, marca e referência.</w:t>
      </w:r>
    </w:p>
    <w:p w14:paraId="4B0E806C" w14:textId="2F7BD54F"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 xml:space="preserve">O prazo de entrega dos bens é de </w:t>
      </w:r>
      <w:r w:rsidR="00C54885">
        <w:rPr>
          <w:rFonts w:ascii="Calibri" w:eastAsia="Times New Roman" w:hAnsi="Calibri" w:cs="Times New Roman"/>
          <w:color w:val="000000"/>
          <w:sz w:val="24"/>
          <w:szCs w:val="24"/>
          <w:lang w:eastAsia="pt-BR"/>
        </w:rPr>
        <w:t>60</w:t>
      </w:r>
      <w:r w:rsidRPr="00385CC6">
        <w:rPr>
          <w:rFonts w:ascii="Calibri" w:eastAsia="Times New Roman" w:hAnsi="Calibri" w:cs="Times New Roman"/>
          <w:color w:val="000000"/>
          <w:sz w:val="24"/>
          <w:szCs w:val="24"/>
          <w:lang w:eastAsia="pt-BR"/>
        </w:rPr>
        <w:t> dias, contados da assinatura do contrato ou do envio da ordem de fornecimento acompanhado da Nota de Empenho, em remessa única, no seguinte endereço: </w:t>
      </w:r>
      <w:r>
        <w:rPr>
          <w:rFonts w:ascii="Calibri" w:eastAsia="Times New Roman" w:hAnsi="Calibri" w:cs="Times New Roman"/>
          <w:color w:val="000000"/>
          <w:sz w:val="24"/>
          <w:szCs w:val="24"/>
          <w:lang w:eastAsia="pt-BR"/>
        </w:rPr>
        <w:t>Av professor moraes rego s/n, campus da universidade federal de pernambuco</w:t>
      </w:r>
      <w:r w:rsidRPr="00385CC6">
        <w:rPr>
          <w:rFonts w:ascii="Calibri" w:eastAsia="Times New Roman" w:hAnsi="Calibri" w:cs="Times New Roman"/>
          <w:b/>
          <w:bCs/>
          <w:color w:val="000000"/>
          <w:sz w:val="24"/>
          <w:szCs w:val="24"/>
          <w:lang w:eastAsia="pt-BR"/>
        </w:rPr>
        <w:t>.</w:t>
      </w:r>
    </w:p>
    <w:p w14:paraId="74D2B3BC" w14:textId="77777777" w:rsidR="00C54885" w:rsidRDefault="00385CC6" w:rsidP="00C54885">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Os produtos que possuem prazo de validade devem ser entregues com prazo de validade mínima de 6 (seis) meses ou 50% do prazo de validade total do produto, sendo aceitos produtos que atendam um desses requisitos.</w:t>
      </w:r>
    </w:p>
    <w:p w14:paraId="7BB005E6" w14:textId="591424C0" w:rsidR="001A136E" w:rsidRPr="00385CC6" w:rsidRDefault="00385CC6" w:rsidP="00C54885">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29D7F045" w14:textId="77777777" w:rsidR="00385CC6" w:rsidRPr="00385CC6" w:rsidRDefault="00385CC6" w:rsidP="00385CC6">
      <w:pPr>
        <w:shd w:val="clear" w:color="auto" w:fill="E6E6E6"/>
        <w:spacing w:before="120" w:after="120" w:line="240" w:lineRule="auto"/>
        <w:ind w:left="120" w:right="120"/>
        <w:jc w:val="both"/>
        <w:rPr>
          <w:rFonts w:ascii="Calibri" w:eastAsia="Times New Roman" w:hAnsi="Calibri" w:cs="Times New Roman"/>
          <w:b/>
          <w:bCs/>
          <w:caps/>
          <w:color w:val="000000"/>
          <w:sz w:val="24"/>
          <w:szCs w:val="24"/>
          <w:lang w:eastAsia="pt-BR"/>
        </w:rPr>
      </w:pPr>
      <w:r w:rsidRPr="00385CC6">
        <w:rPr>
          <w:rFonts w:ascii="Calibri" w:eastAsia="Times New Roman" w:hAnsi="Calibri" w:cs="Times New Roman"/>
          <w:b/>
          <w:bCs/>
          <w:caps/>
          <w:color w:val="000000"/>
          <w:sz w:val="24"/>
          <w:szCs w:val="24"/>
          <w:lang w:eastAsia="pt-BR"/>
        </w:rPr>
        <w:t>PARTICIPAÇÃO NA DISPENSA ELETRÔNICA.</w:t>
      </w:r>
    </w:p>
    <w:p w14:paraId="5C293DC3"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A participação na presente dispensa eletrônica se dará mediante Sistema de Dispensa Eletrônica integrante do Sistema de Compras do Governo Federal – Comprasnet 4.0, disponível no endereço eletrônico http://www.comprasnet.gov.br/</w:t>
      </w:r>
    </w:p>
    <w:p w14:paraId="3533529C"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Os fornecedores deverão atender aos procedimentos previstos no Manual do Sistema de Dispensa Eletrônica, disponível no Portal de Compras do Governo Federal, para acesso ao sistema e operacionalização.</w:t>
      </w:r>
    </w:p>
    <w:p w14:paraId="0CF4EC50"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B1A7109"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Não poderão participar desta dispensa os fornecedores:</w:t>
      </w:r>
    </w:p>
    <w:p w14:paraId="306F340C"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que não atendam às condições deste Aviso de Contratação Direta e seu(s) anexo(s);</w:t>
      </w:r>
    </w:p>
    <w:p w14:paraId="352C78AB"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estrangeiros que não tenham representação legal no Brasil com poderes expressos para receber citação e responder administrativa ou judicialmente;</w:t>
      </w:r>
    </w:p>
    <w:p w14:paraId="061DF677"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que se enquadrem nas seguintes vedações:</w:t>
      </w:r>
    </w:p>
    <w:p w14:paraId="4684EB80" w14:textId="77777777" w:rsidR="00385CC6" w:rsidRPr="00385CC6" w:rsidRDefault="00385CC6" w:rsidP="00385CC6">
      <w:pPr>
        <w:spacing w:before="120" w:after="120" w:line="240" w:lineRule="auto"/>
        <w:ind w:left="180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autor do anteprojeto, do projeto básico ou do projeto executivo, pessoa física ou jurídica, quando a contratação versar sobre obra, serviços ou fornecimento de bens a ele relacionados;</w:t>
      </w:r>
    </w:p>
    <w:p w14:paraId="744B7725" w14:textId="77777777" w:rsidR="00385CC6" w:rsidRPr="00385CC6" w:rsidRDefault="00385CC6" w:rsidP="00385CC6">
      <w:pPr>
        <w:spacing w:before="120" w:after="120" w:line="240" w:lineRule="auto"/>
        <w:ind w:left="180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26CAFE" w14:textId="77777777" w:rsidR="00385CC6" w:rsidRPr="00385CC6" w:rsidRDefault="00385CC6" w:rsidP="00385CC6">
      <w:pPr>
        <w:spacing w:before="120" w:after="120" w:line="240" w:lineRule="auto"/>
        <w:ind w:left="180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pessoa física ou jurídica que se encontre, ao tempo da contratação, impossibilitada de contratar em decorrência de sanção que lhe foi imposta;</w:t>
      </w:r>
    </w:p>
    <w:p w14:paraId="01463231" w14:textId="77777777" w:rsidR="00385CC6" w:rsidRPr="00385CC6" w:rsidRDefault="00385CC6" w:rsidP="00385CC6">
      <w:pPr>
        <w:spacing w:before="120" w:after="120" w:line="240" w:lineRule="auto"/>
        <w:ind w:left="180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0032F3" w14:textId="77777777" w:rsidR="00385CC6" w:rsidRPr="00385CC6" w:rsidRDefault="00385CC6" w:rsidP="00385CC6">
      <w:pPr>
        <w:spacing w:before="120" w:after="120" w:line="240" w:lineRule="auto"/>
        <w:ind w:left="180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empresas controladoras, controladas ou coligadas, nos termos da </w:t>
      </w:r>
      <w:hyperlink r:id="rId6" w:tgtFrame="_blank" w:history="1">
        <w:r w:rsidRPr="00385CC6">
          <w:rPr>
            <w:rFonts w:ascii="Calibri" w:eastAsia="Times New Roman" w:hAnsi="Calibri" w:cs="Times New Roman"/>
            <w:color w:val="000080"/>
            <w:sz w:val="24"/>
            <w:szCs w:val="24"/>
            <w:u w:val="single"/>
            <w:lang w:eastAsia="pt-BR"/>
          </w:rPr>
          <w:t>Lei nº 6.404, de 15 de dezembro de 1976</w:t>
        </w:r>
      </w:hyperlink>
      <w:r w:rsidRPr="00385CC6">
        <w:rPr>
          <w:rFonts w:ascii="Calibri" w:eastAsia="Times New Roman" w:hAnsi="Calibri" w:cs="Times New Roman"/>
          <w:color w:val="000000"/>
          <w:sz w:val="24"/>
          <w:szCs w:val="24"/>
          <w:lang w:eastAsia="pt-BR"/>
        </w:rPr>
        <w:t>, concorrendo entre si;</w:t>
      </w:r>
    </w:p>
    <w:p w14:paraId="0BAF9A7B" w14:textId="77777777" w:rsidR="00385CC6" w:rsidRPr="00385CC6" w:rsidRDefault="00385CC6" w:rsidP="00385CC6">
      <w:pPr>
        <w:spacing w:before="120" w:after="120" w:line="240" w:lineRule="auto"/>
        <w:ind w:left="180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AC6059F"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Equiparam-se aos autores do projeto as empresas integrantes do mesmo grupo econômico;</w:t>
      </w:r>
    </w:p>
    <w:p w14:paraId="49D293A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E776747"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organizações da Sociedade Civil de Interesse Público - OSCIP, atuando nessa condição (Acórdão nº 746/2014-TCU-Plenário); e</w:t>
      </w:r>
    </w:p>
    <w:p w14:paraId="35C1E111"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bookmarkStart w:id="0" w:name="_Hlk519667815"/>
      <w:r w:rsidRPr="00385CC6">
        <w:rPr>
          <w:rFonts w:ascii="Calibri" w:eastAsia="Times New Roman" w:hAnsi="Calibri" w:cs="Times New Roman"/>
          <w:color w:val="000000"/>
          <w:sz w:val="24"/>
          <w:szCs w:val="24"/>
          <w:lang w:eastAsia="pt-BR"/>
        </w:rPr>
        <w:t>sociedades cooperativas.</w:t>
      </w:r>
      <w:bookmarkEnd w:id="0"/>
    </w:p>
    <w:p w14:paraId="6CEA071C" w14:textId="657B25A9" w:rsidR="00385CC6" w:rsidRPr="00385CC6" w:rsidRDefault="00385CC6" w:rsidP="00385CC6">
      <w:pPr>
        <w:spacing w:before="100" w:beforeAutospacing="1" w:after="100" w:afterAutospacing="1" w:line="240" w:lineRule="auto"/>
        <w:rPr>
          <w:rFonts w:ascii="Calibri" w:eastAsia="Times New Roman" w:hAnsi="Calibri" w:cs="Times New Roman"/>
          <w:b/>
          <w:bCs/>
          <w:caps/>
          <w:color w:val="000000"/>
          <w:sz w:val="24"/>
          <w:szCs w:val="24"/>
          <w:lang w:eastAsia="pt-BR"/>
        </w:rPr>
      </w:pPr>
      <w:r w:rsidRPr="00385CC6">
        <w:rPr>
          <w:rFonts w:ascii="Times New Roman" w:eastAsia="Times New Roman" w:hAnsi="Times New Roman" w:cs="Times New Roman"/>
          <w:color w:val="000000"/>
          <w:sz w:val="27"/>
          <w:szCs w:val="27"/>
          <w:lang w:eastAsia="pt-BR"/>
        </w:rPr>
        <w:t> </w:t>
      </w:r>
      <w:r w:rsidRPr="00385CC6">
        <w:rPr>
          <w:rFonts w:ascii="Calibri" w:eastAsia="Times New Roman" w:hAnsi="Calibri" w:cs="Times New Roman"/>
          <w:b/>
          <w:bCs/>
          <w:caps/>
          <w:color w:val="000000"/>
          <w:sz w:val="24"/>
          <w:szCs w:val="24"/>
          <w:lang w:eastAsia="pt-BR"/>
        </w:rPr>
        <w:t>INGRESSO NA DISPENSA ELETRÔNICA E CADASTRAMENTO DA PROPOSTA INICIAL</w:t>
      </w:r>
    </w:p>
    <w:p w14:paraId="691FB24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O ingresso do fornecedor na disputa da dispensa eletrônica se dará com o cadastramento de sua proposta inicial, na forma deste item.</w:t>
      </w:r>
    </w:p>
    <w:p w14:paraId="000770C4" w14:textId="77777777" w:rsidR="00385CC6" w:rsidRPr="0059048C" w:rsidRDefault="00385CC6" w:rsidP="00385CC6">
      <w:pPr>
        <w:spacing w:before="120" w:after="120" w:line="240" w:lineRule="auto"/>
        <w:ind w:left="120" w:right="120"/>
        <w:jc w:val="both"/>
        <w:rPr>
          <w:rFonts w:ascii="Calibri" w:eastAsia="Times New Roman" w:hAnsi="Calibri" w:cs="Times New Roman"/>
          <w:b/>
          <w:bCs/>
          <w:color w:val="000000"/>
          <w:sz w:val="24"/>
          <w:szCs w:val="24"/>
          <w:lang w:eastAsia="pt-BR"/>
        </w:rPr>
      </w:pPr>
      <w:r w:rsidRPr="00385CC6">
        <w:rPr>
          <w:rFonts w:ascii="Calibri" w:eastAsia="Times New Roman" w:hAnsi="Calibri" w:cs="Times New Roman"/>
          <w:color w:val="000000"/>
          <w:sz w:val="24"/>
          <w:szCs w:val="24"/>
          <w:lang w:eastAsia="pt-BR"/>
        </w:rPr>
        <w:t xml:space="preserve">O fornecedor interessado, após a divulgação do aviso de contratação direta, </w:t>
      </w:r>
      <w:r w:rsidRPr="0059048C">
        <w:rPr>
          <w:rFonts w:ascii="Calibri" w:eastAsia="Times New Roman" w:hAnsi="Calibri" w:cs="Times New Roman"/>
          <w:b/>
          <w:bCs/>
          <w:color w:val="000000"/>
          <w:sz w:val="24"/>
          <w:szCs w:val="24"/>
          <w:lang w:eastAsia="pt-BR"/>
        </w:rPr>
        <w:t>encaminhará, exclusivamente por meio do Sistema de Dispensa Eletrônica, a proposta com a descrição do objeto ofertado, a marca do produto, quando for o caso, e o preço, até a data e o horário estabelecidos para abertura do procedimento.</w:t>
      </w:r>
    </w:p>
    <w:p w14:paraId="387DC54D"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C06FA5B"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Todas as especificações do objeto contidas na proposta, em especial o preço, vinculam a Contratada.</w:t>
      </w:r>
    </w:p>
    <w:p w14:paraId="42BF654D"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Nos valores propostos estarão inclusos todos os custos operacionais, encargos previdenciários, trabalhistas, tributários, comerciais, FRETE e quaisquer outros que incidam direta ou indiretamente no fornecimento do bem;</w:t>
      </w:r>
    </w:p>
    <w:p w14:paraId="439E188F"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2320FAC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Se o regime tributário da empresa implicar o recolhimento de tributos em percentuais variáveis, a cotação adequada será a que corresponde à média dos efetivos recolhimentos da empresa nos últimos doze meses.</w:t>
      </w:r>
    </w:p>
    <w:p w14:paraId="434122B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Independentemente do percentual de tributo inserido na planilha, no pagamento serão retidos na fonte os percentuais estabelecidos na legislação vigente.</w:t>
      </w:r>
    </w:p>
    <w:p w14:paraId="34DDCDCD"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A apresentação das propostas implica obrigatoriedade do cumprimento das disposições nelas contidas,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2D0CF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Uma vez enviada a proposta no sistema, os fornecedores </w:t>
      </w:r>
      <w:r w:rsidRPr="00385CC6">
        <w:rPr>
          <w:rFonts w:ascii="Calibri" w:eastAsia="Times New Roman" w:hAnsi="Calibri" w:cs="Times New Roman"/>
          <w:b/>
          <w:bCs/>
          <w:color w:val="000000"/>
          <w:sz w:val="24"/>
          <w:szCs w:val="24"/>
          <w:lang w:eastAsia="pt-BR"/>
        </w:rPr>
        <w:t>NÃO</w:t>
      </w:r>
      <w:r w:rsidRPr="00385CC6">
        <w:rPr>
          <w:rFonts w:ascii="Calibri" w:eastAsia="Times New Roman" w:hAnsi="Calibri" w:cs="Times New Roman"/>
          <w:color w:val="000000"/>
          <w:sz w:val="24"/>
          <w:szCs w:val="24"/>
          <w:lang w:eastAsia="pt-BR"/>
        </w:rPr>
        <w:t> poderão retirá-la, substituí-la ou modificá-la;</w:t>
      </w:r>
    </w:p>
    <w:p w14:paraId="27570AE4"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No cadastramento da proposta inicial, o fornecedor deverá, também, assinalar “sim” ou “não” em campo próprio do sistema eletrônico, às seguintes declarações:</w:t>
      </w:r>
    </w:p>
    <w:p w14:paraId="5149984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que inexistem fatos impeditivos para sua habilitação no certame, ciente da obrigatoriedade de declarar ocorrências posteriores;</w:t>
      </w:r>
    </w:p>
    <w:p w14:paraId="0F63D8A0"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que cumpre os requisitos estabelecidos no artigo 3° da Lei Complementar nº 123, de 2006, estando apto a usufruir do tratamento favorecido estabelecido em seus arts. 42 a 49.</w:t>
      </w:r>
    </w:p>
    <w:p w14:paraId="047A3D22"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que está ciente e concorda com as condições contidas no Aviso de Contratação Direta e seus anexos;</w:t>
      </w:r>
    </w:p>
    <w:p w14:paraId="6087EE02"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que assume a responsabilidade pelas transações que forem efetuadas no sistema, assumindo como firmes e verdadeiras;</w:t>
      </w:r>
    </w:p>
    <w:p w14:paraId="59C2A674"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que cumpre as exigências de reserva de cargos para pessoa com deficiência e para reabilitado da Previdência Social, de que trata o art. 93 da Lei nº 8.213/91.</w:t>
      </w:r>
    </w:p>
    <w:p w14:paraId="1B78A747"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que não emprega menor de 18 anos em trabalho noturno, perigoso ou insalubre e não emprega menor de 16 anos, salvo menor, a partir de 14 anos, na condição de aprendiz, nos termos do artigo 7°, XXXIII, da Constituição;</w:t>
      </w:r>
    </w:p>
    <w:p w14:paraId="7EB62149"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i/>
          <w:iCs/>
          <w:color w:val="000000"/>
          <w:sz w:val="24"/>
          <w:szCs w:val="24"/>
          <w:lang w:eastAsia="pt-BR"/>
        </w:rPr>
        <w:t>Fica facultado ao fornecedor, ao cadastrar sua proposta inicial, a parametrização de valor final mínimo, com o registro do seu lance final aceitável .</w:t>
      </w:r>
    </w:p>
    <w:p w14:paraId="2C27ED33"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i/>
          <w:iCs/>
          <w:color w:val="000000"/>
          <w:sz w:val="24"/>
          <w:szCs w:val="24"/>
          <w:lang w:eastAsia="pt-BR"/>
        </w:rPr>
        <w:t>Feita essa opção os lances serão enviados automaticamente pelo sistema, respeitados os limites cadastrados pelo fornecedor e o intervalo mínimo entre lances previsto neste aviso.</w:t>
      </w:r>
    </w:p>
    <w:p w14:paraId="12C384C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i/>
          <w:iCs/>
          <w:color w:val="000000"/>
          <w:sz w:val="24"/>
          <w:szCs w:val="24"/>
          <w:lang w:eastAsia="pt-BR"/>
        </w:rPr>
        <w:t>Sem prejuízo do disposto acima, os lances poderão ser enviados manualmente, na forma da seção respectiva deste Aviso de Contratação Direta;</w:t>
      </w:r>
    </w:p>
    <w:p w14:paraId="71C9E2E4"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i/>
          <w:iCs/>
          <w:color w:val="000000"/>
          <w:sz w:val="24"/>
          <w:szCs w:val="24"/>
          <w:lang w:eastAsia="pt-BR"/>
        </w:rPr>
        <w:t>O valor final mínimo poderá ser alterado pelo fornecedor durante a fase de disputa, desde que não assuma valor superior a lance já registrado por ele no sistema.</w:t>
      </w:r>
    </w:p>
    <w:p w14:paraId="691236CB"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i/>
          <w:iCs/>
          <w:color w:val="000000"/>
          <w:sz w:val="24"/>
          <w:szCs w:val="24"/>
          <w:lang w:eastAsia="pt-BR"/>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p>
    <w:p w14:paraId="7ACCEE39" w14:textId="77777777" w:rsidR="00385CC6" w:rsidRPr="00385CC6" w:rsidRDefault="00385CC6" w:rsidP="00385CC6">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22DBF0CD" w14:textId="77777777" w:rsidR="00385CC6" w:rsidRPr="00385CC6" w:rsidRDefault="00385CC6" w:rsidP="00385CC6">
      <w:pPr>
        <w:shd w:val="clear" w:color="auto" w:fill="E6E6E6"/>
        <w:spacing w:before="120" w:after="120" w:line="240" w:lineRule="auto"/>
        <w:ind w:left="120" w:right="120"/>
        <w:jc w:val="both"/>
        <w:rPr>
          <w:rFonts w:ascii="Calibri" w:eastAsia="Times New Roman" w:hAnsi="Calibri" w:cs="Times New Roman"/>
          <w:b/>
          <w:bCs/>
          <w:caps/>
          <w:color w:val="000000"/>
          <w:sz w:val="24"/>
          <w:szCs w:val="24"/>
          <w:lang w:eastAsia="pt-BR"/>
        </w:rPr>
      </w:pPr>
      <w:r w:rsidRPr="00385CC6">
        <w:rPr>
          <w:rFonts w:ascii="Calibri" w:eastAsia="Times New Roman" w:hAnsi="Calibri" w:cs="Times New Roman"/>
          <w:b/>
          <w:bCs/>
          <w:caps/>
          <w:color w:val="000000"/>
          <w:sz w:val="24"/>
          <w:szCs w:val="24"/>
          <w:lang w:eastAsia="pt-BR"/>
        </w:rPr>
        <w:t>FASE DE LANCES</w:t>
      </w:r>
    </w:p>
    <w:p w14:paraId="6AB1B81F"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EF15A53"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Iniciada a etapa competitiva, os fornecedores deverão encaminhar lances exclusivamente por meio de sistema eletrônico, sendo imediatamente informados do seu recebimento e do valor consignado no registro.</w:t>
      </w:r>
    </w:p>
    <w:p w14:paraId="4C22EC8E" w14:textId="77777777" w:rsidR="00385CC6" w:rsidRPr="0059048C" w:rsidRDefault="00385CC6" w:rsidP="00385CC6">
      <w:pPr>
        <w:spacing w:before="120" w:after="120" w:line="240" w:lineRule="auto"/>
        <w:ind w:left="120" w:right="120"/>
        <w:jc w:val="both"/>
        <w:rPr>
          <w:rFonts w:ascii="Calibri" w:eastAsia="Times New Roman" w:hAnsi="Calibri" w:cs="Times New Roman"/>
          <w:b/>
          <w:bCs/>
          <w:color w:val="000000"/>
          <w:sz w:val="24"/>
          <w:szCs w:val="24"/>
          <w:lang w:eastAsia="pt-BR"/>
        </w:rPr>
      </w:pPr>
      <w:r w:rsidRPr="0059048C">
        <w:rPr>
          <w:rFonts w:ascii="Calibri" w:eastAsia="Times New Roman" w:hAnsi="Calibri" w:cs="Times New Roman"/>
          <w:b/>
          <w:bCs/>
          <w:i/>
          <w:iCs/>
          <w:color w:val="000000"/>
          <w:sz w:val="24"/>
          <w:szCs w:val="24"/>
          <w:lang w:eastAsia="pt-BR"/>
        </w:rPr>
        <w:t>O lance deverá ser ofertado pelo valor total do item.</w:t>
      </w:r>
    </w:p>
    <w:p w14:paraId="72D9EB9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O fornecedor somente poderá oferecer valor inferior ou maior percentual de desconto em relação ao último lance por ele ofertado e registrado pelo sistema.</w:t>
      </w:r>
    </w:p>
    <w:p w14:paraId="2D2FB7D4"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59CCCEC"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Havendo lances iguais ao menor já ofertado, prevalecerá aquele que for recebido e registrado primeiro no sistema.</w:t>
      </w:r>
    </w:p>
    <w:p w14:paraId="7B6E5A50"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Caso o fornecedor não apresente lances, concorrerá com o valor de sua proposta.</w:t>
      </w:r>
    </w:p>
    <w:p w14:paraId="538BB46F"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Durante o procedimento, os fornecedores serão informados, em tempo real, do valor do menor lance registrado, vedada a identificação do fornecedor.</w:t>
      </w:r>
    </w:p>
    <w:p w14:paraId="3195EC74"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Imediatamente após o término do prazo estabelecido para a fase de lances, haverá o seu encerramento, com o ordenamento e divulgação dos lances, pelo sistema, em ordem crescente de classificação.</w:t>
      </w:r>
    </w:p>
    <w:p w14:paraId="5F9CE7B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O encerramento da fase de lances ocorrerá de forma automática pontualmente no horário indicado, sem qualquer possibilidade de prorrogação e não havendo tempo aleatório ou mecanismo similar.</w:t>
      </w:r>
    </w:p>
    <w:p w14:paraId="217265EC" w14:textId="77777777" w:rsidR="00385CC6" w:rsidRPr="00385CC6" w:rsidRDefault="00385CC6" w:rsidP="00385CC6">
      <w:pPr>
        <w:spacing w:before="120" w:after="120" w:line="276" w:lineRule="atLeast"/>
        <w:ind w:left="1224" w:hanging="504"/>
        <w:jc w:val="both"/>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3CBCCDAD" w14:textId="77777777" w:rsidR="00385CC6" w:rsidRPr="00385CC6" w:rsidRDefault="00385CC6" w:rsidP="00385CC6">
      <w:pPr>
        <w:spacing w:before="120" w:after="120" w:line="276" w:lineRule="atLeast"/>
        <w:ind w:left="1224" w:hanging="504"/>
        <w:jc w:val="both"/>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322B2F81" w14:textId="77777777" w:rsidR="00385CC6" w:rsidRPr="00385CC6" w:rsidRDefault="00385CC6" w:rsidP="00385CC6">
      <w:pPr>
        <w:shd w:val="clear" w:color="auto" w:fill="E6E6E6"/>
        <w:spacing w:before="120" w:after="120" w:line="240" w:lineRule="auto"/>
        <w:ind w:left="120" w:right="120"/>
        <w:jc w:val="both"/>
        <w:rPr>
          <w:rFonts w:ascii="Calibri" w:eastAsia="Times New Roman" w:hAnsi="Calibri" w:cs="Times New Roman"/>
          <w:b/>
          <w:bCs/>
          <w:caps/>
          <w:color w:val="000000"/>
          <w:sz w:val="24"/>
          <w:szCs w:val="24"/>
          <w:lang w:eastAsia="pt-BR"/>
        </w:rPr>
      </w:pPr>
      <w:r w:rsidRPr="00385CC6">
        <w:rPr>
          <w:rFonts w:ascii="Calibri" w:eastAsia="Times New Roman" w:hAnsi="Calibri" w:cs="Times New Roman"/>
          <w:b/>
          <w:bCs/>
          <w:caps/>
          <w:color w:val="000000"/>
          <w:sz w:val="24"/>
          <w:szCs w:val="24"/>
          <w:lang w:eastAsia="pt-BR"/>
        </w:rPr>
        <w:t>JULGAMENTO DAS PROPOSTAS DE PREÇO</w:t>
      </w:r>
    </w:p>
    <w:p w14:paraId="3DCA308B" w14:textId="492AAACB"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5.1.   Encerrada a fase de lances, será verificada a conformidade da proposta classificada em primeiro lugar quanto à adequação do objeto e à compatibilidade do preço em relação ao estipulado para a contratação.</w:t>
      </w:r>
      <w:r w:rsidR="0095133B">
        <w:rPr>
          <w:rFonts w:ascii="Calibri" w:eastAsia="Times New Roman" w:hAnsi="Calibri" w:cs="Times New Roman"/>
          <w:color w:val="000000"/>
          <w:sz w:val="24"/>
          <w:szCs w:val="24"/>
          <w:lang w:eastAsia="pt-BR"/>
        </w:rPr>
        <w:t xml:space="preserve"> ENVIAR PROPOSTA PARA </w:t>
      </w:r>
      <w:hyperlink r:id="rId7" w:history="1">
        <w:r w:rsidR="0095133B" w:rsidRPr="00BE7894">
          <w:rPr>
            <w:rStyle w:val="Hyperlink"/>
            <w:rFonts w:ascii="Calibri" w:eastAsia="Times New Roman" w:hAnsi="Calibri" w:cs="Times New Roman"/>
            <w:sz w:val="24"/>
            <w:szCs w:val="24"/>
            <w:lang w:eastAsia="pt-BR"/>
          </w:rPr>
          <w:t>TATIANA.BURLAMAQUI@FIOCRUZ.BR</w:t>
        </w:r>
      </w:hyperlink>
      <w:r w:rsidR="0095133B">
        <w:rPr>
          <w:rFonts w:ascii="Calibri" w:eastAsia="Times New Roman" w:hAnsi="Calibri" w:cs="Times New Roman"/>
          <w:color w:val="000000"/>
          <w:sz w:val="24"/>
          <w:szCs w:val="24"/>
          <w:lang w:eastAsia="pt-BR"/>
        </w:rPr>
        <w:t>. NA PROPOSTA DO FORNECEDOR DEVERÁ OBRIGATORIAMENTE CONTER TELEFONE E E MAIL DE CONTATO.</w:t>
      </w:r>
    </w:p>
    <w:p w14:paraId="10B525AE"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lastRenderedPageBreak/>
        <w:t>5.2.   No caso de o preço da proposta vencedora estar acima do estimado pela Administração, poderá haver a negociação de condições mais vantajosas.</w:t>
      </w:r>
    </w:p>
    <w:p w14:paraId="10734E3E"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5.2.1.Neste caso, será encaminhada contraproposta ao fornecedor que tenha apresentado o melhor preço, para que seja obtida melhor proposta com preço compatível ao estimado pela Administração.</w:t>
      </w:r>
    </w:p>
    <w:p w14:paraId="328D65AF"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5.2.2.A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582B72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5.2.3.Em qualquer caso, concluída a negociação, o resultado será registrado na ata do procedimento da dispensa eletrônica.</w:t>
      </w:r>
    </w:p>
    <w:p w14:paraId="32B91F12"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5.3.   Estando o preço compatível, será solicitado o envio da proposta e, se necessário, de documentos complementares, adequada ao último lance.</w:t>
      </w:r>
    </w:p>
    <w:p w14:paraId="02E9CF8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5.4.   O prazo de validade da proposta não será inferior a 60 (sessenta) dias</w:t>
      </w:r>
      <w:r w:rsidRPr="00385CC6">
        <w:rPr>
          <w:rFonts w:ascii="Calibri" w:eastAsia="Times New Roman" w:hAnsi="Calibri" w:cs="Times New Roman"/>
          <w:b/>
          <w:bCs/>
          <w:color w:val="000000"/>
          <w:sz w:val="24"/>
          <w:szCs w:val="24"/>
          <w:lang w:eastAsia="pt-BR"/>
        </w:rPr>
        <w:t>,</w:t>
      </w:r>
      <w:r w:rsidRPr="00385CC6">
        <w:rPr>
          <w:rFonts w:ascii="Calibri" w:eastAsia="Times New Roman" w:hAnsi="Calibri" w:cs="Times New Roman"/>
          <w:color w:val="000000"/>
          <w:sz w:val="24"/>
          <w:szCs w:val="24"/>
          <w:lang w:eastAsia="pt-BR"/>
        </w:rPr>
        <w:t> a contar da data de sua apresentação.</w:t>
      </w:r>
    </w:p>
    <w:p w14:paraId="5ECB4DA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5.5.   Será desclassificada a proposta vencedora que:</w:t>
      </w:r>
    </w:p>
    <w:p w14:paraId="386ED0D2"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5.5.1.contiver vícios insanáveis;</w:t>
      </w:r>
    </w:p>
    <w:p w14:paraId="0E4DC7E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5.5.2.não obedecer às especificações técnicas pormenorizadas neste aviso ou em seus anexos;</w:t>
      </w:r>
    </w:p>
    <w:p w14:paraId="58FACAEC"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5.5.3.apresentar preços inexequíveis ou permanecerem acima do preço máximo definido para a contratação;</w:t>
      </w:r>
    </w:p>
    <w:p w14:paraId="2847B00E"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5.5.4.não tiverem sua exequibilidade demonstrada, quando exigido pela Administração;</w:t>
      </w:r>
    </w:p>
    <w:p w14:paraId="6139C74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5.5.5.apresentar desconformidade com quaisquer outras exigências deste aviso ou seus anexos, desde que insanável.</w:t>
      </w:r>
    </w:p>
    <w:p w14:paraId="009EBF7F"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5.6.   Quando o fornecedor não conseguir comprovar que possui ou possuirá recursos suficientes para executar a contento o objeto, será considerada inexequível a proposta de preços ou menor lance que:</w:t>
      </w:r>
    </w:p>
    <w:p w14:paraId="6525104D"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5.6.1.for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9EF376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5.8.   Se houver indícios de inexequibilidade da proposta de preço, ou em caso da necessidade de esclarecimentos complementares, poderão ser efetuadas diligências, para que a empresa comprove a exequibilidade da proposta. </w:t>
      </w:r>
    </w:p>
    <w:p w14:paraId="492D897E"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5.9.                 Para fins de análise da proposta quanto ao cumprimento das especificações do objeto, poderá ser colhida a manifestação escrita do setor requisitante do serviço ou da área especializada no objeto.</w:t>
      </w:r>
    </w:p>
    <w:p w14:paraId="7300722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lastRenderedPageBreak/>
        <w:t>5.10.                 Se a proposta ou lance vencedor for desclassificado, será examinada a proposta ou lance subsequente, e, assim sucessivamente, na ordem de classificação.</w:t>
      </w:r>
    </w:p>
    <w:p w14:paraId="732811A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5.11.               Havendo necessidade, a sessão será suspensa, informando-se no “chat” a nova data e horário para a sua continuidade.</w:t>
      </w:r>
    </w:p>
    <w:p w14:paraId="633A9C52"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5.12.               Encerrada a análise quanto à aceitação da proposta, se iniciará a fase de habilitação, observado o disposto neste Aviso de Contratação Direta. </w:t>
      </w:r>
    </w:p>
    <w:p w14:paraId="5A8BCF7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 </w:t>
      </w:r>
    </w:p>
    <w:p w14:paraId="40A3656B" w14:textId="77777777" w:rsidR="00385CC6" w:rsidRPr="00385CC6" w:rsidRDefault="00385CC6" w:rsidP="00385CC6">
      <w:pPr>
        <w:spacing w:before="120" w:after="120" w:line="276" w:lineRule="atLeast"/>
        <w:ind w:left="792" w:hanging="432"/>
        <w:jc w:val="both"/>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57769B80" w14:textId="77777777" w:rsidR="00385CC6" w:rsidRPr="00385CC6" w:rsidRDefault="00385CC6" w:rsidP="00385CC6">
      <w:pPr>
        <w:shd w:val="clear" w:color="auto" w:fill="E6E6E6"/>
        <w:spacing w:before="120" w:after="120" w:line="240" w:lineRule="auto"/>
        <w:ind w:left="120" w:right="120"/>
        <w:jc w:val="both"/>
        <w:rPr>
          <w:rFonts w:ascii="Calibri" w:eastAsia="Times New Roman" w:hAnsi="Calibri" w:cs="Times New Roman"/>
          <w:b/>
          <w:bCs/>
          <w:caps/>
          <w:color w:val="000000"/>
          <w:sz w:val="24"/>
          <w:szCs w:val="24"/>
          <w:lang w:eastAsia="pt-BR"/>
        </w:rPr>
      </w:pPr>
      <w:r w:rsidRPr="00385CC6">
        <w:rPr>
          <w:rFonts w:ascii="Calibri" w:eastAsia="Times New Roman" w:hAnsi="Calibri" w:cs="Times New Roman"/>
          <w:b/>
          <w:bCs/>
          <w:caps/>
          <w:color w:val="000000"/>
          <w:sz w:val="24"/>
          <w:szCs w:val="24"/>
          <w:lang w:eastAsia="pt-BR"/>
        </w:rPr>
        <w:t>HABILITAÇÃO</w:t>
      </w:r>
    </w:p>
    <w:p w14:paraId="7C38715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6.1.       Os documentos a serem exigidos para fins de habilitação constam do </w:t>
      </w:r>
      <w:r w:rsidRPr="00385CC6">
        <w:rPr>
          <w:rFonts w:ascii="Calibri" w:eastAsia="Times New Roman" w:hAnsi="Calibri" w:cs="Times New Roman"/>
          <w:b/>
          <w:bCs/>
          <w:color w:val="000000"/>
          <w:sz w:val="24"/>
          <w:szCs w:val="24"/>
          <w:lang w:eastAsia="pt-BR"/>
        </w:rPr>
        <w:t>ANEXO I – DOCUMENTAÇÃO EXIGIDA PARA HABILITAÇÃO </w:t>
      </w:r>
      <w:r w:rsidRPr="00385CC6">
        <w:rPr>
          <w:rFonts w:ascii="Calibri" w:eastAsia="Times New Roman" w:hAnsi="Calibri" w:cs="Times New Roman"/>
          <w:color w:val="000000"/>
          <w:sz w:val="24"/>
          <w:szCs w:val="24"/>
          <w:lang w:eastAsia="pt-BR"/>
        </w:rPr>
        <w:t>deste aviso e serão solicitados do fornecedor mais bem classificado da fase de lances.</w:t>
      </w:r>
    </w:p>
    <w:p w14:paraId="1C60E967"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CE6E351"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a) SICAF; </w:t>
      </w:r>
    </w:p>
    <w:p w14:paraId="50AB7E87"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b) Cadastro Nacional de Empresas Inidôneas e Suspensas - CEIS, mantido pela Controladoria-Geral da União (</w:t>
      </w:r>
      <w:hyperlink r:id="rId8" w:history="1">
        <w:r w:rsidRPr="00385CC6">
          <w:rPr>
            <w:rFonts w:ascii="Calibri" w:eastAsia="Times New Roman" w:hAnsi="Calibri" w:cs="Times New Roman"/>
            <w:color w:val="000080"/>
            <w:sz w:val="24"/>
            <w:szCs w:val="24"/>
            <w:u w:val="single"/>
            <w:lang w:eastAsia="pt-BR"/>
          </w:rPr>
          <w:t>www.portaldatransparencia.gov.br/ceis</w:t>
        </w:r>
      </w:hyperlink>
      <w:r w:rsidRPr="00385CC6">
        <w:rPr>
          <w:rFonts w:ascii="Calibri" w:eastAsia="Times New Roman" w:hAnsi="Calibri" w:cs="Times New Roman"/>
          <w:color w:val="000000"/>
          <w:sz w:val="24"/>
          <w:szCs w:val="24"/>
          <w:lang w:eastAsia="pt-BR"/>
        </w:rPr>
        <w:t>); </w:t>
      </w:r>
    </w:p>
    <w:p w14:paraId="5E21F4A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c) Cadastro Nacional de Condenações Cíveis por Atos de Improbidade Administrativa, mantido pelo Conselho Nacional de Justiça (</w:t>
      </w:r>
      <w:hyperlink r:id="rId9" w:history="1">
        <w:r w:rsidRPr="00385CC6">
          <w:rPr>
            <w:rFonts w:ascii="Calibri" w:eastAsia="Times New Roman" w:hAnsi="Calibri" w:cs="Times New Roman"/>
            <w:color w:val="000080"/>
            <w:sz w:val="24"/>
            <w:szCs w:val="24"/>
            <w:u w:val="single"/>
            <w:lang w:eastAsia="pt-BR"/>
          </w:rPr>
          <w:t>www.cnj.jus.br/improbidade_adm/consultar_requerido.php</w:t>
        </w:r>
      </w:hyperlink>
      <w:r w:rsidRPr="00385CC6">
        <w:rPr>
          <w:rFonts w:ascii="Calibri" w:eastAsia="Times New Roman" w:hAnsi="Calibri" w:cs="Times New Roman"/>
          <w:color w:val="000000"/>
          <w:sz w:val="24"/>
          <w:szCs w:val="24"/>
          <w:lang w:eastAsia="pt-BR"/>
        </w:rPr>
        <w:t>). </w:t>
      </w:r>
    </w:p>
    <w:p w14:paraId="57B3B549"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d) Lista de Inidôneos mantida pelo Tribunal de Contas da União - TCU;</w:t>
      </w:r>
    </w:p>
    <w:p w14:paraId="243E8CB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6.2.1.Para a consulta de fornecedores pessoa jurídica poderá haver a substituição das consultas das alíneas “b”, “c” e “d” acima pela Consulta Consolidada de Pessoa Jurídica do TCU (https://certidoesapf.apps.tcu.gov.br/)</w:t>
      </w:r>
    </w:p>
    <w:p w14:paraId="0EA8D7C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6.2.2.A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E6A5623"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6.2.2.1.           Caso conste na Consulta de Situação do Fornecedor a existência de Ocorrências Impeditivas Indiretas, o gestor diligenciará para verificar se houve fraude por parte das empresas apontadas no Relatório de Ocorrências Impeditivas Indiretas.</w:t>
      </w:r>
    </w:p>
    <w:p w14:paraId="5077780C"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6.2.2.1.1.                A tentativa de burla será verificada por meio dos vínculos societários, linhas de fornecimento similares, dentre outros.</w:t>
      </w:r>
    </w:p>
    <w:p w14:paraId="12453D9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6.2.2.1.2.                O fornecedor será convocado para manifestação previamente à sua desclassificação</w:t>
      </w:r>
    </w:p>
    <w:p w14:paraId="0558FD3D"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lastRenderedPageBreak/>
        <w:t>6.2.3.Constatada a existência de sanção, o fornecedor será reputado inabilitado, por falta de condição de participação.</w:t>
      </w:r>
    </w:p>
    <w:p w14:paraId="41F7BACB"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6.3.       Caso atendidas as condições de participação, a habilitação dos fornecedores será verificada por meio do SICAF, nos documentos por ele abrangidos.</w:t>
      </w:r>
    </w:p>
    <w:p w14:paraId="57C5C8F9"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6.3.1.É dever do fornecedor atualizar previamente as comprovações constantes do SICAF para que estejam vigentes na data da abertura da sessão pública, ou encaminhar, quando solicitado, a respectiva documentação atualizada.</w:t>
      </w:r>
    </w:p>
    <w:p w14:paraId="59BBE062"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6.3.2.O descumprimento do subitem acima implicará a inabilitação do fornecedor, exceto se a consulta aos sítios eletrônicos oficiais emissores de certidões lograr êxito em encontrar a(s) certidão(ões) válida(s).</w:t>
      </w:r>
    </w:p>
    <w:p w14:paraId="179BE6F9"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2F889FD"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6.5.       Somente haverá a necessidade de comprovação do preenchimento de requisitos mediante apresentação dos documentos originais não-digitais quando houver dúvida em relação à integridade do documento digital.</w:t>
      </w:r>
    </w:p>
    <w:p w14:paraId="23D29D3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1E5BC1D"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6.7.       Havendo necessidade de analisar minuciosamente os documentos exigidos, a sessão será suspensa, sendo informada a nova data e horário para a sua continuidade.</w:t>
      </w:r>
    </w:p>
    <w:p w14:paraId="456E97C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6.8.       Será inabilitado o fornecedor que não comprovar sua habilitação, seja por não apresentar quaisquer dos documentos exigidos, ou apresentá-los em desacordo com o estabelecido neste Aviso de Contratação Direta.</w:t>
      </w:r>
    </w:p>
    <w:p w14:paraId="3EC16EB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6.8.1.Na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DC0DF30"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6.9.    Constatado o atendimento às exigências de habilitação, o fornecedor será habilitado</w:t>
      </w:r>
    </w:p>
    <w:p w14:paraId="0B3EE837" w14:textId="77777777" w:rsidR="00385CC6" w:rsidRPr="00385CC6" w:rsidRDefault="00385CC6" w:rsidP="00385CC6">
      <w:pPr>
        <w:spacing w:before="120" w:after="120" w:line="276" w:lineRule="atLeast"/>
        <w:ind w:left="792" w:hanging="574"/>
        <w:jc w:val="both"/>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075F4D2B" w14:textId="77777777" w:rsidR="00385CC6" w:rsidRPr="00385CC6" w:rsidRDefault="00385CC6" w:rsidP="00385CC6">
      <w:pPr>
        <w:spacing w:before="120" w:after="120" w:line="240" w:lineRule="auto"/>
        <w:ind w:left="360" w:hanging="360"/>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6E200D29" w14:textId="77777777" w:rsidR="00385CC6" w:rsidRPr="00385CC6" w:rsidRDefault="00385CC6" w:rsidP="00385CC6">
      <w:pPr>
        <w:shd w:val="clear" w:color="auto" w:fill="E6E6E6"/>
        <w:spacing w:before="120" w:after="120" w:line="240" w:lineRule="auto"/>
        <w:ind w:left="120" w:right="120"/>
        <w:jc w:val="both"/>
        <w:rPr>
          <w:rFonts w:ascii="Calibri" w:eastAsia="Times New Roman" w:hAnsi="Calibri" w:cs="Times New Roman"/>
          <w:b/>
          <w:bCs/>
          <w:caps/>
          <w:color w:val="000000"/>
          <w:sz w:val="24"/>
          <w:szCs w:val="24"/>
          <w:lang w:eastAsia="pt-BR"/>
        </w:rPr>
      </w:pPr>
      <w:r w:rsidRPr="00385CC6">
        <w:rPr>
          <w:rFonts w:ascii="Calibri" w:eastAsia="Times New Roman" w:hAnsi="Calibri" w:cs="Times New Roman"/>
          <w:b/>
          <w:bCs/>
          <w:caps/>
          <w:color w:val="000000"/>
          <w:sz w:val="24"/>
          <w:szCs w:val="24"/>
          <w:lang w:eastAsia="pt-BR"/>
        </w:rPr>
        <w:t>CONTRATAÇÃO</w:t>
      </w:r>
    </w:p>
    <w:p w14:paraId="5EA5D3FB" w14:textId="77777777" w:rsidR="00385CC6" w:rsidRPr="00EF5C8B" w:rsidRDefault="00385CC6" w:rsidP="00EF5C8B">
      <w:pPr>
        <w:spacing w:before="120" w:after="120" w:line="240" w:lineRule="auto"/>
        <w:ind w:left="120" w:right="120"/>
        <w:jc w:val="both"/>
        <w:rPr>
          <w:rFonts w:ascii="Calibri" w:eastAsia="Times New Roman" w:hAnsi="Calibri" w:cs="Times New Roman"/>
          <w:color w:val="000000"/>
          <w:sz w:val="24"/>
          <w:szCs w:val="24"/>
          <w:lang w:eastAsia="pt-BR"/>
        </w:rPr>
      </w:pPr>
      <w:r w:rsidRPr="00EF5C8B">
        <w:rPr>
          <w:rFonts w:ascii="Calibri" w:eastAsia="Times New Roman" w:hAnsi="Calibri" w:cs="Times New Roman"/>
          <w:color w:val="000000"/>
          <w:sz w:val="24"/>
          <w:szCs w:val="24"/>
          <w:lang w:eastAsia="pt-BR"/>
        </w:rPr>
        <w:t>7.1.                   Após a homologação e adjudicação, caso se conclua pela contratação, será firmado Termo de Contrato ou emitido instrumento equivalente.</w:t>
      </w:r>
    </w:p>
    <w:p w14:paraId="1AC22837" w14:textId="77777777" w:rsidR="00385CC6" w:rsidRPr="00EF5C8B" w:rsidRDefault="00385CC6" w:rsidP="00EF5C8B">
      <w:pPr>
        <w:spacing w:before="120" w:after="120" w:line="240" w:lineRule="auto"/>
        <w:ind w:left="120" w:right="120"/>
        <w:jc w:val="both"/>
        <w:rPr>
          <w:rFonts w:ascii="Calibri" w:eastAsia="Times New Roman" w:hAnsi="Calibri" w:cs="Times New Roman"/>
          <w:color w:val="000000"/>
          <w:sz w:val="24"/>
          <w:szCs w:val="24"/>
          <w:lang w:eastAsia="pt-BR"/>
        </w:rPr>
      </w:pPr>
      <w:r w:rsidRPr="00EF5C8B">
        <w:rPr>
          <w:rFonts w:ascii="Calibri" w:eastAsia="Times New Roman" w:hAnsi="Calibri" w:cs="Times New Roman"/>
          <w:color w:val="000000"/>
          <w:sz w:val="24"/>
          <w:szCs w:val="24"/>
          <w:lang w:eastAsia="pt-BR"/>
        </w:rPr>
        <w:t xml:space="preserve">7.2.                   O adjudicatário terá o prazo de 02 (dois) dias úteis, contados a partir da data de sua convocação, para assinar o Termo de Contrato ou aceitar instrumento equivalente, conforme o caso (Nota de Empenho/Carta Contrato/Autorização), sob </w:t>
      </w:r>
      <w:r w:rsidRPr="00EF5C8B">
        <w:rPr>
          <w:rFonts w:ascii="Calibri" w:eastAsia="Times New Roman" w:hAnsi="Calibri" w:cs="Times New Roman"/>
          <w:color w:val="000000"/>
          <w:sz w:val="24"/>
          <w:szCs w:val="24"/>
          <w:lang w:eastAsia="pt-BR"/>
        </w:rPr>
        <w:lastRenderedPageBreak/>
        <w:t>pena de decair do direito à contratação, sem prejuízo das sanções previstas neste Aviso de Contratação Direta.</w:t>
      </w:r>
    </w:p>
    <w:p w14:paraId="258D8C44" w14:textId="77777777" w:rsidR="00385CC6" w:rsidRPr="00EF5C8B" w:rsidRDefault="00385CC6" w:rsidP="00EF5C8B">
      <w:pPr>
        <w:spacing w:before="120" w:after="120" w:line="240" w:lineRule="auto"/>
        <w:ind w:left="120" w:right="120"/>
        <w:jc w:val="both"/>
        <w:rPr>
          <w:rFonts w:ascii="Calibri" w:eastAsia="Times New Roman" w:hAnsi="Calibri" w:cs="Times New Roman"/>
          <w:color w:val="000000"/>
          <w:sz w:val="24"/>
          <w:szCs w:val="24"/>
          <w:lang w:eastAsia="pt-BR"/>
        </w:rPr>
      </w:pPr>
      <w:r w:rsidRPr="00EF5C8B">
        <w:rPr>
          <w:rFonts w:ascii="Calibri" w:eastAsia="Times New Roman" w:hAnsi="Calibri" w:cs="Times New Roman"/>
          <w:color w:val="000000"/>
          <w:sz w:val="24"/>
          <w:szCs w:val="24"/>
          <w:lang w:eastAsia="pt-BR"/>
        </w:rPr>
        <w:t>7.2.1.O prazo previsto para assinatura do contrato ou aceitação da nota de empenho ou instrumento equivalente poderá ser prorrogado 1 (uma) vez, por igual período, por solicitação justificada do adjudicatário e aceita pela Administração.</w:t>
      </w:r>
    </w:p>
    <w:p w14:paraId="424ACEB7" w14:textId="77777777" w:rsidR="00385CC6" w:rsidRPr="00EF5C8B" w:rsidRDefault="00385CC6" w:rsidP="00EF5C8B">
      <w:pPr>
        <w:spacing w:before="120" w:after="120" w:line="240" w:lineRule="auto"/>
        <w:ind w:left="120" w:right="120"/>
        <w:jc w:val="both"/>
        <w:rPr>
          <w:rFonts w:ascii="Calibri" w:eastAsia="Times New Roman" w:hAnsi="Calibri" w:cs="Times New Roman"/>
          <w:color w:val="000000"/>
          <w:sz w:val="24"/>
          <w:szCs w:val="24"/>
          <w:lang w:eastAsia="pt-BR"/>
        </w:rPr>
      </w:pPr>
      <w:r w:rsidRPr="00EF5C8B">
        <w:rPr>
          <w:rFonts w:ascii="Calibri" w:eastAsia="Times New Roman" w:hAnsi="Calibri" w:cs="Times New Roman"/>
          <w:color w:val="000000"/>
          <w:sz w:val="24"/>
          <w:szCs w:val="24"/>
          <w:lang w:eastAsia="pt-BR"/>
        </w:rPr>
        <w:t>7.3.                   O Aceite da Nota de Empenho ou do instrumento equivalente, emitida à empresa adjudicada, implica no reconhecimento de que:</w:t>
      </w:r>
    </w:p>
    <w:p w14:paraId="4AE91D4B" w14:textId="77777777" w:rsidR="00385CC6" w:rsidRPr="00EF5C8B" w:rsidRDefault="00385CC6" w:rsidP="00EF5C8B">
      <w:pPr>
        <w:spacing w:before="120" w:after="120" w:line="240" w:lineRule="auto"/>
        <w:ind w:left="120" w:right="120"/>
        <w:jc w:val="both"/>
        <w:rPr>
          <w:rFonts w:ascii="Calibri" w:eastAsia="Times New Roman" w:hAnsi="Calibri" w:cs="Times New Roman"/>
          <w:color w:val="000000"/>
          <w:sz w:val="24"/>
          <w:szCs w:val="24"/>
          <w:lang w:eastAsia="pt-BR"/>
        </w:rPr>
      </w:pPr>
      <w:r w:rsidRPr="00EF5C8B">
        <w:rPr>
          <w:rFonts w:ascii="Calibri" w:eastAsia="Times New Roman" w:hAnsi="Calibri" w:cs="Times New Roman"/>
          <w:color w:val="000000"/>
          <w:sz w:val="24"/>
          <w:szCs w:val="24"/>
          <w:lang w:eastAsia="pt-BR"/>
        </w:rPr>
        <w:t>7.3.1.referida Nota está substituindo o contrato, aplicando-se à relação de negócios ali estabelecida as disposições da Lei nº 14.133, de 2021;</w:t>
      </w:r>
    </w:p>
    <w:p w14:paraId="6C15A5C7" w14:textId="77777777" w:rsidR="00385CC6" w:rsidRPr="00EF5C8B" w:rsidRDefault="00385CC6" w:rsidP="00EF5C8B">
      <w:pPr>
        <w:spacing w:before="120" w:after="120" w:line="240" w:lineRule="auto"/>
        <w:ind w:left="120" w:right="120"/>
        <w:jc w:val="both"/>
        <w:rPr>
          <w:rFonts w:ascii="Calibri" w:eastAsia="Times New Roman" w:hAnsi="Calibri" w:cs="Times New Roman"/>
          <w:color w:val="000000"/>
          <w:sz w:val="24"/>
          <w:szCs w:val="24"/>
          <w:lang w:eastAsia="pt-BR"/>
        </w:rPr>
      </w:pPr>
      <w:r w:rsidRPr="00EF5C8B">
        <w:rPr>
          <w:rFonts w:ascii="Calibri" w:eastAsia="Times New Roman" w:hAnsi="Calibri" w:cs="Times New Roman"/>
          <w:color w:val="000000"/>
          <w:sz w:val="24"/>
          <w:szCs w:val="24"/>
          <w:lang w:eastAsia="pt-BR"/>
        </w:rPr>
        <w:t>7.3.2.a contratada se vincula à sua proposta e às previsões contidas no Aviso de Contratação Direta e seus anexos;</w:t>
      </w:r>
    </w:p>
    <w:p w14:paraId="1585B3D7" w14:textId="77777777" w:rsidR="00385CC6" w:rsidRPr="00EF5C8B" w:rsidRDefault="00385CC6" w:rsidP="00EF5C8B">
      <w:pPr>
        <w:spacing w:before="120" w:after="120" w:line="240" w:lineRule="auto"/>
        <w:ind w:left="120" w:right="120"/>
        <w:jc w:val="both"/>
        <w:rPr>
          <w:rFonts w:ascii="Calibri" w:eastAsia="Times New Roman" w:hAnsi="Calibri" w:cs="Times New Roman"/>
          <w:color w:val="000000"/>
          <w:sz w:val="24"/>
          <w:szCs w:val="24"/>
          <w:lang w:eastAsia="pt-BR"/>
        </w:rPr>
      </w:pPr>
      <w:r w:rsidRPr="00EF5C8B">
        <w:rPr>
          <w:rFonts w:ascii="Calibri" w:eastAsia="Times New Roman" w:hAnsi="Calibri" w:cs="Times New Roman"/>
          <w:color w:val="000000"/>
          <w:sz w:val="24"/>
          <w:szCs w:val="24"/>
          <w:lang w:eastAsia="pt-BR"/>
        </w:rPr>
        <w:t>7.3.3.a contratada reconhece que as hipóteses de rescisão são aquelas previstas nos artigos 137 e 138 da Lei nº 14.133/21 e reconhece os direitos da Administração previstos nos artigos 137 a 139 da mesma Lei.</w:t>
      </w:r>
    </w:p>
    <w:p w14:paraId="4550EBFD" w14:textId="77777777" w:rsidR="00385CC6" w:rsidRPr="00EF5C8B" w:rsidRDefault="00385CC6" w:rsidP="00EF5C8B">
      <w:pPr>
        <w:spacing w:before="120" w:after="120" w:line="240" w:lineRule="auto"/>
        <w:ind w:left="120" w:right="120"/>
        <w:jc w:val="both"/>
        <w:rPr>
          <w:rFonts w:ascii="Calibri" w:eastAsia="Times New Roman" w:hAnsi="Calibri" w:cs="Times New Roman"/>
          <w:color w:val="000000"/>
          <w:sz w:val="24"/>
          <w:szCs w:val="24"/>
          <w:lang w:eastAsia="pt-BR"/>
        </w:rPr>
      </w:pPr>
      <w:r w:rsidRPr="00EF5C8B">
        <w:rPr>
          <w:rFonts w:ascii="Calibri" w:eastAsia="Times New Roman" w:hAnsi="Calibri" w:cs="Times New Roman"/>
          <w:color w:val="000000"/>
          <w:sz w:val="24"/>
          <w:szCs w:val="24"/>
          <w:lang w:eastAsia="pt-BR"/>
        </w:rPr>
        <w:t> </w:t>
      </w:r>
    </w:p>
    <w:p w14:paraId="4C7A1B2E" w14:textId="77777777" w:rsidR="00385CC6" w:rsidRPr="00385CC6" w:rsidRDefault="00385CC6" w:rsidP="00385CC6">
      <w:pPr>
        <w:spacing w:before="120" w:after="120" w:line="240" w:lineRule="auto"/>
        <w:ind w:left="360" w:hanging="360"/>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03719E7D" w14:textId="77777777" w:rsidR="00385CC6" w:rsidRPr="00385CC6" w:rsidRDefault="00385CC6" w:rsidP="00385CC6">
      <w:pPr>
        <w:shd w:val="clear" w:color="auto" w:fill="E6E6E6"/>
        <w:spacing w:before="120" w:after="120" w:line="240" w:lineRule="auto"/>
        <w:ind w:left="120" w:right="120"/>
        <w:jc w:val="both"/>
        <w:rPr>
          <w:rFonts w:ascii="Calibri" w:eastAsia="Times New Roman" w:hAnsi="Calibri" w:cs="Times New Roman"/>
          <w:b/>
          <w:bCs/>
          <w:caps/>
          <w:color w:val="000000"/>
          <w:sz w:val="24"/>
          <w:szCs w:val="24"/>
          <w:lang w:eastAsia="pt-BR"/>
        </w:rPr>
      </w:pPr>
      <w:r w:rsidRPr="00385CC6">
        <w:rPr>
          <w:rFonts w:ascii="Calibri" w:eastAsia="Times New Roman" w:hAnsi="Calibri" w:cs="Times New Roman"/>
          <w:b/>
          <w:bCs/>
          <w:caps/>
          <w:color w:val="000000"/>
          <w:sz w:val="24"/>
          <w:szCs w:val="24"/>
          <w:lang w:eastAsia="pt-BR"/>
        </w:rPr>
        <w:t> SANÇÕES</w:t>
      </w:r>
    </w:p>
    <w:p w14:paraId="38D9CEAB"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                   Comete infração administrativa o fornecedor que cometer quaisquer das infrações previstas no art. 155 da Lei nº 14.133, de 2021, quais sejam:</w:t>
      </w:r>
    </w:p>
    <w:p w14:paraId="16DA44E0"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8.1.1.dar causa à inexecução parcial do contrato;</w:t>
      </w:r>
    </w:p>
    <w:p w14:paraId="4E90F52E"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8.1.2.dar causa à inexecução parcial do contrato que cause grave dano à Administração, ao funcionamento dos serviços públicos ou ao interesse coletivo;</w:t>
      </w:r>
    </w:p>
    <w:p w14:paraId="2A1ABB3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8.1.3.dar causa à inexecução total do contrato;</w:t>
      </w:r>
    </w:p>
    <w:p w14:paraId="5E8C9D6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8.1.4.deixar de entregar a documentação exigida para o certame;</w:t>
      </w:r>
    </w:p>
    <w:p w14:paraId="537F0DEC"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8.1.5.não manter a proposta, salvo em decorrência de fato superveniente devidamente justificado;</w:t>
      </w:r>
    </w:p>
    <w:p w14:paraId="4C45F59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8.1.6.não celebrar o contrato ou não entregar a documentação exigida para a contratação, quando convocado dentro do prazo de validade de sua proposta;</w:t>
      </w:r>
    </w:p>
    <w:p w14:paraId="32EBA069"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8.1.7. ensejar o retardamento da execução ou da entrega do objeto da licitação sem motivo justificado;</w:t>
      </w:r>
    </w:p>
    <w:p w14:paraId="1475ADF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8.1.8.apresentar declaração ou documentação falsa exigida para o certame ou prestar declaração falsa durante a dispensa eletrônica ou a execução do contrato;</w:t>
      </w:r>
    </w:p>
    <w:p w14:paraId="019FC410"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8.1.9.fraudar a dispensa eletrônica ou praticar ato fraudulento na execução do contrato;</w:t>
      </w:r>
    </w:p>
    <w:p w14:paraId="6931396E"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8.1.10.    comportar-se de modo inidôneo ou cometer fraude de qualquer natureza;</w:t>
      </w:r>
    </w:p>
    <w:p w14:paraId="207523D4"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8EC4C6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lastRenderedPageBreak/>
        <w:t>8.1.11.    praticar atos ilícitos com vistas a frustrar os objetivos deste certame.</w:t>
      </w:r>
    </w:p>
    <w:p w14:paraId="2C3C5487"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8.1.12.   praticar ato lesivo previsto no </w:t>
      </w:r>
      <w:hyperlink r:id="rId10" w:anchor="art5" w:history="1">
        <w:r w:rsidRPr="00385CC6">
          <w:rPr>
            <w:rFonts w:ascii="Calibri" w:eastAsia="Times New Roman" w:hAnsi="Calibri" w:cs="Times New Roman"/>
            <w:color w:val="000080"/>
            <w:sz w:val="24"/>
            <w:szCs w:val="24"/>
            <w:u w:val="single"/>
            <w:lang w:eastAsia="pt-BR"/>
          </w:rPr>
          <w:t>art. 5º da Lei nº 12.846, de 1º de agosto de 2013.</w:t>
        </w:r>
      </w:hyperlink>
    </w:p>
    <w:p w14:paraId="2183869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8.2.                   O fornecedor que cometer qualquer das infrações discriminadas nos subitens anteriores ficará sujeito, sem prejuízo da responsabilidade civil e criminal, às seguintes sanções:</w:t>
      </w:r>
    </w:p>
    <w:p w14:paraId="4DCF8754"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a)         Advertência pela falta do subitem 8.1.1 deste Aviso de Contratação Direta, quando não se justificar a imposição de penalidade mais grave;</w:t>
      </w:r>
    </w:p>
    <w:p w14:paraId="2D878300"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b)         Multa de 5% (cinco por cento) sobre o valor estimado do(s) item(s) prejudicado(s) pela conduta do fornecedor, por qualquer das infrações dos subitens 8.1.1 a 8.1.12;</w:t>
      </w:r>
    </w:p>
    <w:p w14:paraId="42B9568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B39C72B"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529AB10F"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8.3.   Na aplicação das sanções serão considerados:</w:t>
      </w:r>
    </w:p>
    <w:p w14:paraId="138770A2"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8.3.1.a natureza e a gravidade da infração cometida;</w:t>
      </w:r>
    </w:p>
    <w:p w14:paraId="4DF8A4B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8.3.2.as peculiaridades do caso concreto;</w:t>
      </w:r>
    </w:p>
    <w:p w14:paraId="56D393E3"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8.3.3.as circunstâncias agravantes ou atenuantes;</w:t>
      </w:r>
    </w:p>
    <w:p w14:paraId="0DDD470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8.3.4.os danos que dela provierem para a Administração Pública;</w:t>
      </w:r>
    </w:p>
    <w:p w14:paraId="7CFAB00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8.3.5.a implantação ou o aperfeiçoamento de programa de integridade, conforme normas e orientações dos órgãos de controle.</w:t>
      </w:r>
    </w:p>
    <w:p w14:paraId="3840109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bookmarkStart w:id="1" w:name="art156§6"/>
      <w:bookmarkStart w:id="2" w:name="art156§7"/>
      <w:bookmarkStart w:id="3" w:name="art156§8"/>
      <w:bookmarkEnd w:id="1"/>
      <w:bookmarkEnd w:id="2"/>
      <w:bookmarkEnd w:id="3"/>
      <w:r w:rsidRPr="00385CC6">
        <w:rPr>
          <w:rFonts w:ascii="Calibri" w:eastAsia="Times New Roman" w:hAnsi="Calibri" w:cs="Times New Roman"/>
          <w:color w:val="000000"/>
          <w:sz w:val="24"/>
          <w:szCs w:val="24"/>
          <w:lang w:eastAsia="pt-BR"/>
        </w:rPr>
        <w:t>8.4.                   Se a multa aplicada e as indenizações cabíveis forem superiores ao valor de pagamento eventualmente devido pela Administração ao contratado, além da perda desse valor, a diferença será descontada da garantia prestada ou será cobrada judicialmente.</w:t>
      </w:r>
    </w:p>
    <w:p w14:paraId="0CC9BAC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bookmarkStart w:id="4" w:name="art156§9"/>
      <w:bookmarkEnd w:id="4"/>
      <w:r w:rsidRPr="00385CC6">
        <w:rPr>
          <w:rFonts w:ascii="Calibri" w:eastAsia="Times New Roman" w:hAnsi="Calibri" w:cs="Times New Roman"/>
          <w:color w:val="000000"/>
          <w:sz w:val="24"/>
          <w:szCs w:val="24"/>
          <w:lang w:eastAsia="pt-BR"/>
        </w:rPr>
        <w:t>8.5.                   A aplicação das sanções previstas neste Aviso de Contratação Direta, em hipótese alguma, a obrigação de reparação integral do dano causado à Administração Pública.</w:t>
      </w:r>
    </w:p>
    <w:p w14:paraId="320F9EDE"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8.6.                   A penalidade de multa pode ser aplicada cumulativamente com as demais sanções.</w:t>
      </w:r>
    </w:p>
    <w:p w14:paraId="1C4E6911"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w:t>
      </w:r>
      <w:r w:rsidRPr="00385CC6">
        <w:rPr>
          <w:rFonts w:ascii="Calibri" w:eastAsia="Times New Roman" w:hAnsi="Calibri" w:cs="Times New Roman"/>
          <w:color w:val="000000"/>
          <w:sz w:val="24"/>
          <w:szCs w:val="24"/>
          <w:lang w:eastAsia="pt-BR"/>
        </w:rPr>
        <w:lastRenderedPageBreak/>
        <w:t>ciência e decisão sobre a eventual instauração de investigação preliminar ou Processo Administrativo de Responsabilização – PAR.</w:t>
      </w:r>
    </w:p>
    <w:p w14:paraId="0721706B"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8E2780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323CFD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FE8DAB2"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8.11.                As sanções por atos praticados no decorrer da contratação estão previstas nos anexos a este Aviso.</w:t>
      </w:r>
    </w:p>
    <w:p w14:paraId="031AC0F9" w14:textId="77777777" w:rsidR="00385CC6" w:rsidRPr="00385CC6" w:rsidRDefault="00385CC6" w:rsidP="00385CC6">
      <w:pPr>
        <w:spacing w:before="120" w:after="120" w:line="276" w:lineRule="atLeast"/>
        <w:ind w:left="425"/>
        <w:jc w:val="both"/>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3469CFEC" w14:textId="77777777" w:rsidR="00385CC6" w:rsidRPr="00385CC6" w:rsidRDefault="00385CC6" w:rsidP="00385CC6">
      <w:pPr>
        <w:spacing w:before="120" w:after="120" w:line="240" w:lineRule="auto"/>
        <w:ind w:left="360" w:hanging="360"/>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5A5A64CE" w14:textId="77777777" w:rsidR="00385CC6" w:rsidRPr="00385CC6" w:rsidRDefault="00385CC6" w:rsidP="00385CC6">
      <w:pPr>
        <w:shd w:val="clear" w:color="auto" w:fill="E6E6E6"/>
        <w:spacing w:before="120" w:after="120" w:line="240" w:lineRule="auto"/>
        <w:ind w:left="120" w:right="120"/>
        <w:jc w:val="both"/>
        <w:rPr>
          <w:rFonts w:ascii="Calibri" w:eastAsia="Times New Roman" w:hAnsi="Calibri" w:cs="Times New Roman"/>
          <w:b/>
          <w:bCs/>
          <w:caps/>
          <w:color w:val="000000"/>
          <w:sz w:val="24"/>
          <w:szCs w:val="24"/>
          <w:lang w:eastAsia="pt-BR"/>
        </w:rPr>
      </w:pPr>
      <w:r w:rsidRPr="00385CC6">
        <w:rPr>
          <w:rFonts w:ascii="Calibri" w:eastAsia="Times New Roman" w:hAnsi="Calibri" w:cs="Times New Roman"/>
          <w:b/>
          <w:bCs/>
          <w:caps/>
          <w:color w:val="000000"/>
          <w:sz w:val="24"/>
          <w:szCs w:val="24"/>
          <w:lang w:eastAsia="pt-BR"/>
        </w:rPr>
        <w:t>DAS DISPOSIÇÕES GERAIS</w:t>
      </w:r>
    </w:p>
    <w:p w14:paraId="58DA1C09"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9.1.                   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2726002"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9.2.                   No caso de todos os fornecedores restarem desclassificados ou inabilitados (procedimento fracassado), a Administração poderá:</w:t>
      </w:r>
    </w:p>
    <w:p w14:paraId="38DA054B"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9.2.1.republicar o presente aviso com uma nova data;</w:t>
      </w:r>
    </w:p>
    <w:p w14:paraId="1F09DC8C"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9.2.2.valer-se, para a contratação, de proposta obtida na pesquisa de preços que serviu de base ao procedimento, se houver, privilegiando-se os menores preços, sempre que possível, e desde que atendidas às condições de habilitação exigidas.</w:t>
      </w:r>
    </w:p>
    <w:p w14:paraId="585EB994"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9.2.2.1.           No caso do subitem anterior, a contratação será operacionalizada fora deste procedimento.</w:t>
      </w:r>
    </w:p>
    <w:p w14:paraId="450250FC"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9.2.3.fixar prazo para que possa haver adequação das propostas ou da documentação de habilitação, conforme o caso.</w:t>
      </w:r>
    </w:p>
    <w:p w14:paraId="04E9B4CF"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9.3.                   As providências dos subitens 9.2.1 e 9.2.2 acima poderão ser utilizadas se não houver o comparecimento de quaisquer fornecedores interessados (procedimento deserto)</w:t>
      </w:r>
    </w:p>
    <w:p w14:paraId="14CA13D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2767B9C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lastRenderedPageBreak/>
        <w:t>9.5.                   Caberá ao fornecedor acompanhar as operações, ficando responsável pelo ônus decorrente da perda do negócio diante da inobservância de quaisquer mensagens emitidas pela Administração ou de sua desconexão.</w:t>
      </w:r>
    </w:p>
    <w:p w14:paraId="514EFA9B"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DF0FB0D"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9.7.                   Os horários estabelecidos na divulgação deste procedimento e durante o envio de lances observarão o horário de Brasília-DF, inclusive para contagem de tempo e registro no Sistema e na documentação relativa ao procedimento.</w:t>
      </w:r>
    </w:p>
    <w:p w14:paraId="00DC0D6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FAB63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12CD2EA"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9.10.                Os fornecedores assumem todos os custos de preparação e apresentação de suas propostas e a Administração não será, em nenhum caso, responsável por esses custos, independentemente da condução ou do resultado do processo de contratação.</w:t>
      </w:r>
    </w:p>
    <w:p w14:paraId="5FA4412C"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9.11.                Em caso de divergência entre disposições deste Aviso de Contratação Direta e de seus anexos ou demais peças que compõem o processo, prevalecerá as deste Aviso.</w:t>
      </w:r>
    </w:p>
    <w:p w14:paraId="3B65154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9.12.                Da sessão pública será divulgada Ata no sistema eletrônico.</w:t>
      </w:r>
    </w:p>
    <w:p w14:paraId="2FEDBB34"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9.13.                Integram este Aviso de Contratação Direta, para todos os fins e efeitos, os seguintes anexos:</w:t>
      </w:r>
    </w:p>
    <w:p w14:paraId="4E338A23"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9.13.1.   ANEXO I – Documentação exigida para Habilitação</w:t>
      </w:r>
    </w:p>
    <w:p w14:paraId="2A474F29" w14:textId="77777777" w:rsidR="00385CC6" w:rsidRPr="00385CC6" w:rsidRDefault="00385CC6" w:rsidP="00385CC6">
      <w:pPr>
        <w:spacing w:before="120" w:after="120" w:line="276" w:lineRule="atLeast"/>
        <w:ind w:left="1224" w:hanging="504"/>
        <w:jc w:val="both"/>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0CB4A7B2" w14:textId="77777777" w:rsidR="00385CC6" w:rsidRPr="00385CC6" w:rsidRDefault="00385CC6" w:rsidP="00385CC6">
      <w:pPr>
        <w:spacing w:after="120" w:line="276" w:lineRule="atLeast"/>
        <w:ind w:left="360" w:right="-15"/>
        <w:jc w:val="both"/>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09921C4D" w14:textId="62E502B0" w:rsidR="00385CC6" w:rsidRPr="00385CC6" w:rsidRDefault="009E3E4E" w:rsidP="00385CC6">
      <w:pPr>
        <w:spacing w:before="120" w:after="120" w:line="240" w:lineRule="auto"/>
        <w:ind w:left="120" w:right="120"/>
        <w:jc w:val="both"/>
        <w:rPr>
          <w:rFonts w:ascii="Calibri" w:eastAsia="Times New Roman" w:hAnsi="Calibri" w:cs="Times New Roman"/>
          <w:color w:val="000000"/>
          <w:sz w:val="24"/>
          <w:szCs w:val="24"/>
          <w:lang w:eastAsia="pt-BR"/>
        </w:rPr>
      </w:pPr>
      <w:r>
        <w:rPr>
          <w:rFonts w:ascii="Calibri" w:eastAsia="Times New Roman" w:hAnsi="Calibri" w:cs="Times New Roman"/>
          <w:color w:val="000000"/>
          <w:sz w:val="24"/>
          <w:szCs w:val="24"/>
          <w:lang w:eastAsia="pt-BR"/>
        </w:rPr>
        <w:t xml:space="preserve">Recife </w:t>
      </w:r>
      <w:r w:rsidR="00EF5C8B">
        <w:rPr>
          <w:rFonts w:ascii="Calibri" w:eastAsia="Times New Roman" w:hAnsi="Calibri" w:cs="Times New Roman"/>
          <w:color w:val="000000"/>
          <w:sz w:val="24"/>
          <w:szCs w:val="24"/>
          <w:lang w:eastAsia="pt-BR"/>
        </w:rPr>
        <w:t>04</w:t>
      </w:r>
      <w:r>
        <w:rPr>
          <w:rFonts w:ascii="Calibri" w:eastAsia="Times New Roman" w:hAnsi="Calibri" w:cs="Times New Roman"/>
          <w:color w:val="000000"/>
          <w:sz w:val="24"/>
          <w:szCs w:val="24"/>
          <w:lang w:eastAsia="pt-BR"/>
        </w:rPr>
        <w:t xml:space="preserve"> de a</w:t>
      </w:r>
      <w:r w:rsidR="00EF5C8B">
        <w:rPr>
          <w:rFonts w:ascii="Calibri" w:eastAsia="Times New Roman" w:hAnsi="Calibri" w:cs="Times New Roman"/>
          <w:color w:val="000000"/>
          <w:sz w:val="24"/>
          <w:szCs w:val="24"/>
          <w:lang w:eastAsia="pt-BR"/>
        </w:rPr>
        <w:t>gosto</w:t>
      </w:r>
      <w:r>
        <w:rPr>
          <w:rFonts w:ascii="Calibri" w:eastAsia="Times New Roman" w:hAnsi="Calibri" w:cs="Times New Roman"/>
          <w:color w:val="000000"/>
          <w:sz w:val="24"/>
          <w:szCs w:val="24"/>
          <w:lang w:eastAsia="pt-BR"/>
        </w:rPr>
        <w:t xml:space="preserve"> de 2022</w:t>
      </w:r>
      <w:r w:rsidR="00385CC6" w:rsidRPr="00385CC6">
        <w:rPr>
          <w:rFonts w:ascii="Calibri" w:eastAsia="Times New Roman" w:hAnsi="Calibri" w:cs="Times New Roman"/>
          <w:color w:val="000000"/>
          <w:sz w:val="24"/>
          <w:szCs w:val="24"/>
          <w:lang w:eastAsia="pt-BR"/>
        </w:rPr>
        <w:t>.</w:t>
      </w:r>
    </w:p>
    <w:p w14:paraId="45547822"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 </w:t>
      </w:r>
    </w:p>
    <w:p w14:paraId="5491991A" w14:textId="788E5CD0" w:rsidR="00385CC6" w:rsidRDefault="00EF5C8B" w:rsidP="00385CC6">
      <w:pPr>
        <w:spacing w:before="120" w:after="120" w:line="240" w:lineRule="auto"/>
        <w:ind w:left="120" w:right="120"/>
        <w:jc w:val="both"/>
        <w:rPr>
          <w:rFonts w:ascii="Calibri" w:eastAsia="Times New Roman" w:hAnsi="Calibri" w:cs="Times New Roman"/>
          <w:b/>
          <w:bCs/>
          <w:color w:val="000000"/>
          <w:sz w:val="24"/>
          <w:szCs w:val="24"/>
          <w:lang w:eastAsia="pt-BR"/>
        </w:rPr>
      </w:pPr>
      <w:r>
        <w:rPr>
          <w:rFonts w:ascii="Calibri" w:eastAsia="Times New Roman" w:hAnsi="Calibri" w:cs="Times New Roman"/>
          <w:b/>
          <w:bCs/>
          <w:color w:val="000000"/>
          <w:sz w:val="24"/>
          <w:szCs w:val="24"/>
          <w:lang w:eastAsia="pt-BR"/>
        </w:rPr>
        <w:t>Diogo Girão</w:t>
      </w:r>
    </w:p>
    <w:p w14:paraId="70AB51BC" w14:textId="533DA286" w:rsidR="00385CC6" w:rsidRDefault="00EF5C8B" w:rsidP="00385CC6">
      <w:pPr>
        <w:spacing w:before="120" w:after="120" w:line="240" w:lineRule="auto"/>
        <w:ind w:left="120" w:right="120"/>
        <w:jc w:val="both"/>
        <w:rPr>
          <w:rFonts w:ascii="Calibri" w:eastAsia="Times New Roman" w:hAnsi="Calibri" w:cs="Times New Roman"/>
          <w:b/>
          <w:bCs/>
          <w:color w:val="000000"/>
          <w:sz w:val="24"/>
          <w:szCs w:val="24"/>
          <w:lang w:eastAsia="pt-BR"/>
        </w:rPr>
      </w:pPr>
      <w:r>
        <w:rPr>
          <w:rFonts w:ascii="Calibri" w:eastAsia="Times New Roman" w:hAnsi="Calibri" w:cs="Times New Roman"/>
          <w:b/>
          <w:bCs/>
          <w:color w:val="000000"/>
          <w:sz w:val="24"/>
          <w:szCs w:val="24"/>
          <w:lang w:eastAsia="pt-BR"/>
        </w:rPr>
        <w:t>Setor de Compras IAM</w:t>
      </w:r>
    </w:p>
    <w:p w14:paraId="7E90D46E" w14:textId="77777777" w:rsidR="00EF5C8B" w:rsidRPr="00385CC6" w:rsidRDefault="00EF5C8B" w:rsidP="00385CC6">
      <w:pPr>
        <w:spacing w:before="120" w:after="120" w:line="240" w:lineRule="auto"/>
        <w:ind w:left="120" w:right="120"/>
        <w:jc w:val="both"/>
        <w:rPr>
          <w:rFonts w:ascii="Calibri" w:eastAsia="Times New Roman" w:hAnsi="Calibri" w:cs="Times New Roman"/>
          <w:color w:val="000000"/>
          <w:sz w:val="24"/>
          <w:szCs w:val="24"/>
          <w:lang w:eastAsia="pt-BR"/>
        </w:rPr>
      </w:pPr>
    </w:p>
    <w:p w14:paraId="776B8A96"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b/>
          <w:bCs/>
          <w:color w:val="000000"/>
          <w:sz w:val="24"/>
          <w:szCs w:val="24"/>
          <w:lang w:eastAsia="pt-BR"/>
        </w:rPr>
        <w:t> </w:t>
      </w:r>
    </w:p>
    <w:p w14:paraId="73B08EE8" w14:textId="77777777" w:rsidR="00385CC6" w:rsidRPr="00385CC6" w:rsidRDefault="00385CC6" w:rsidP="00385CC6">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b/>
          <w:bCs/>
          <w:color w:val="000000"/>
          <w:sz w:val="27"/>
          <w:szCs w:val="27"/>
          <w:lang w:eastAsia="pt-BR"/>
        </w:rPr>
        <w:t> </w:t>
      </w:r>
    </w:p>
    <w:p w14:paraId="57674235" w14:textId="77777777" w:rsidR="00385CC6" w:rsidRPr="00385CC6" w:rsidRDefault="00385CC6" w:rsidP="00385CC6">
      <w:pPr>
        <w:spacing w:before="120" w:after="120" w:line="240" w:lineRule="auto"/>
        <w:ind w:left="120" w:right="120"/>
        <w:jc w:val="center"/>
        <w:rPr>
          <w:rFonts w:ascii="Calibri" w:eastAsia="Times New Roman" w:hAnsi="Calibri" w:cs="Times New Roman"/>
          <w:color w:val="000000"/>
          <w:sz w:val="24"/>
          <w:szCs w:val="24"/>
          <w:lang w:eastAsia="pt-BR"/>
        </w:rPr>
      </w:pPr>
      <w:r w:rsidRPr="00385CC6">
        <w:rPr>
          <w:rFonts w:ascii="Calibri" w:eastAsia="Times New Roman" w:hAnsi="Calibri" w:cs="Times New Roman"/>
          <w:b/>
          <w:bCs/>
          <w:color w:val="000000"/>
          <w:sz w:val="24"/>
          <w:szCs w:val="24"/>
          <w:lang w:eastAsia="pt-BR"/>
        </w:rPr>
        <w:lastRenderedPageBreak/>
        <w:t>ANEXO I – DOCUMENTAÇÃO EXIGIDA PARA HABILITAÇÃO</w:t>
      </w:r>
    </w:p>
    <w:p w14:paraId="2F63C2B2" w14:textId="77777777" w:rsidR="00385CC6" w:rsidRPr="00385CC6" w:rsidRDefault="00385CC6" w:rsidP="00385CC6">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2130FF88"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1       </w:t>
      </w:r>
      <w:r w:rsidRPr="00385CC6">
        <w:rPr>
          <w:rFonts w:ascii="Calibri" w:eastAsia="Times New Roman" w:hAnsi="Calibri" w:cs="Times New Roman"/>
          <w:b/>
          <w:bCs/>
          <w:color w:val="000000"/>
          <w:sz w:val="24"/>
          <w:szCs w:val="24"/>
          <w:lang w:eastAsia="pt-BR"/>
        </w:rPr>
        <w:t> Regularidade fiscal, social e trabalhista:</w:t>
      </w:r>
    </w:p>
    <w:p w14:paraId="6FC7C837"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1.1   prova de inscrição no Cadastro Nacional de Pessoas Jurídicas ou no Cadastro de Pessoas Físicas, conforme o caso;</w:t>
      </w:r>
    </w:p>
    <w:p w14:paraId="5E58CE94"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FF9F37D"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1.3   prova de regularidade com o Fundo de Garantia do Tempo de Serviço (FGTS);</w:t>
      </w:r>
    </w:p>
    <w:p w14:paraId="02FEAF39"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F94C2A5"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1.5   prova de inscrição no cadastro de contribuintes estadual, relativo ao domicílio ou sede do fornecedor, pertinente ao seu ramo de atividade e compatível com o objeto contratual;</w:t>
      </w:r>
    </w:p>
    <w:p w14:paraId="08FC22D7"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1.6   prova de regularidade com a Fazenda Estadual do domicílio ou sede do fornecedor, relativa à atividade em cujo exercício contrata ou concorre;</w:t>
      </w:r>
    </w:p>
    <w:p w14:paraId="4BD15611" w14:textId="77777777" w:rsidR="00385CC6" w:rsidRPr="00385CC6" w:rsidRDefault="00385CC6" w:rsidP="00385CC6">
      <w:pPr>
        <w:spacing w:before="120" w:after="120" w:line="240" w:lineRule="auto"/>
        <w:ind w:left="120" w:right="120"/>
        <w:jc w:val="both"/>
        <w:rPr>
          <w:rFonts w:ascii="Calibri" w:eastAsia="Times New Roman" w:hAnsi="Calibri" w:cs="Times New Roman"/>
          <w:color w:val="000000"/>
          <w:sz w:val="24"/>
          <w:szCs w:val="24"/>
          <w:lang w:eastAsia="pt-BR"/>
        </w:rPr>
      </w:pPr>
      <w:r w:rsidRPr="00385CC6">
        <w:rPr>
          <w:rFonts w:ascii="Calibri" w:eastAsia="Times New Roman" w:hAnsi="Calibri" w:cs="Times New Roman"/>
          <w:color w:val="000000"/>
          <w:sz w:val="24"/>
          <w:szCs w:val="24"/>
          <w:lang w:eastAsia="pt-BR"/>
        </w:rPr>
        <w:t>1.7   caso o fornecedor seja considerado isento dos tributos </w:t>
      </w:r>
      <w:r w:rsidRPr="00385CC6">
        <w:rPr>
          <w:rFonts w:ascii="Calibri" w:eastAsia="Times New Roman" w:hAnsi="Calibri" w:cs="Times New Roman"/>
          <w:i/>
          <w:iCs/>
          <w:color w:val="000000"/>
          <w:sz w:val="24"/>
          <w:szCs w:val="24"/>
          <w:lang w:eastAsia="pt-BR"/>
        </w:rPr>
        <w:t>estaduais </w:t>
      </w:r>
      <w:r w:rsidRPr="00385CC6">
        <w:rPr>
          <w:rFonts w:ascii="Calibri" w:eastAsia="Times New Roman" w:hAnsi="Calibri" w:cs="Times New Roman"/>
          <w:color w:val="000000"/>
          <w:sz w:val="24"/>
          <w:szCs w:val="24"/>
          <w:lang w:eastAsia="pt-BR"/>
        </w:rPr>
        <w:t> relacionados ao objeto contratual, deverá comprovar tal condição mediante a apresentação de declaração da Fazenda respectiva do seu domicílio ou sede, ou outra equivalente, na forma da lei;</w:t>
      </w:r>
    </w:p>
    <w:p w14:paraId="1F089F5A" w14:textId="795FBFA7" w:rsidR="00881104" w:rsidRDefault="00385CC6" w:rsidP="00385CC6">
      <w:pPr>
        <w:spacing w:before="120" w:after="120" w:line="240" w:lineRule="auto"/>
        <w:ind w:left="360" w:hanging="360"/>
        <w:rPr>
          <w:rFonts w:ascii="Times New Roman" w:eastAsia="Times New Roman" w:hAnsi="Times New Roman" w:cs="Times New Roman"/>
          <w:color w:val="000000"/>
          <w:sz w:val="27"/>
          <w:szCs w:val="27"/>
          <w:lang w:eastAsia="pt-BR"/>
        </w:rPr>
      </w:pPr>
      <w:r w:rsidRPr="00385CC6">
        <w:rPr>
          <w:rFonts w:ascii="Times New Roman" w:eastAsia="Times New Roman" w:hAnsi="Times New Roman" w:cs="Times New Roman"/>
          <w:color w:val="000000"/>
          <w:sz w:val="27"/>
          <w:szCs w:val="27"/>
          <w:lang w:eastAsia="pt-BR"/>
        </w:rPr>
        <w:t> </w:t>
      </w:r>
    </w:p>
    <w:p w14:paraId="689E414A" w14:textId="77777777" w:rsidR="00EB4C91" w:rsidRPr="00EB4C91" w:rsidRDefault="00EB4C91" w:rsidP="00EB4C91">
      <w:pPr>
        <w:pStyle w:val="NormalWeb"/>
        <w:jc w:val="both"/>
        <w:rPr>
          <w:rFonts w:asciiTheme="minorHAnsi" w:hAnsiTheme="minorHAnsi"/>
          <w:color w:val="000000"/>
        </w:rPr>
      </w:pPr>
      <w:r w:rsidRPr="00EB4C91">
        <w:rPr>
          <w:rStyle w:val="Forte"/>
          <w:rFonts w:asciiTheme="minorHAnsi" w:hAnsiTheme="minorHAnsi"/>
          <w:color w:val="000000"/>
        </w:rPr>
        <w:t>10. DOS RECURSOS ORÇAMENTÁRIOS</w:t>
      </w:r>
    </w:p>
    <w:p w14:paraId="1A3BA819"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10.1 As despesas decorrentes do presente serviço correrão à conta do exercício financeiro de 2022, a saber:</w:t>
      </w:r>
    </w:p>
    <w:p w14:paraId="7DAC965A"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Gestão/Unidade:  254421</w:t>
      </w:r>
    </w:p>
    <w:p w14:paraId="611101A4"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Fonte: ​6153000000</w:t>
      </w:r>
    </w:p>
    <w:p w14:paraId="6478CFA9"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Programa de Trabalho: ​10571502021BF0001</w:t>
      </w:r>
    </w:p>
    <w:p w14:paraId="09C3737E"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PTRES: 172792</w:t>
      </w:r>
    </w:p>
    <w:p w14:paraId="2A326E3C"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Elemento de Despesa: 449052 – Equipamento e material permanente</w:t>
      </w:r>
    </w:p>
    <w:p w14:paraId="1AA19C64" w14:textId="461D83F2" w:rsidR="00EB4C91" w:rsidRDefault="00EB4C91" w:rsidP="00EB4C91">
      <w:pPr>
        <w:pStyle w:val="textocentralizado"/>
        <w:spacing w:before="120" w:beforeAutospacing="0" w:after="120" w:afterAutospacing="0"/>
        <w:ind w:left="120" w:right="120"/>
        <w:jc w:val="both"/>
        <w:rPr>
          <w:rFonts w:asciiTheme="minorHAnsi" w:hAnsiTheme="minorHAnsi"/>
          <w:color w:val="000000"/>
        </w:rPr>
      </w:pPr>
      <w:r w:rsidRPr="00EB4C91">
        <w:rPr>
          <w:rFonts w:asciiTheme="minorHAnsi" w:hAnsiTheme="minorHAnsi"/>
          <w:color w:val="000000"/>
        </w:rPr>
        <w:lastRenderedPageBreak/>
        <w:t>ANEXO 2 – Termo de Referência</w:t>
      </w:r>
    </w:p>
    <w:p w14:paraId="755BA5FD" w14:textId="57FBDB43" w:rsidR="00EB4C91" w:rsidRDefault="00EB4C91" w:rsidP="00EB4C91">
      <w:pPr>
        <w:pStyle w:val="textocentralizado"/>
        <w:spacing w:before="120" w:beforeAutospacing="0" w:after="120" w:afterAutospacing="0"/>
        <w:ind w:left="120" w:right="120"/>
        <w:jc w:val="both"/>
        <w:rPr>
          <w:rFonts w:asciiTheme="minorHAnsi" w:hAnsiTheme="minorHAnsi"/>
          <w:color w:val="000000"/>
        </w:rPr>
      </w:pPr>
    </w:p>
    <w:p w14:paraId="49825BFE" w14:textId="46AF6FB1" w:rsidR="00EB4C91" w:rsidRPr="00EF5C8B" w:rsidRDefault="00EB4C91" w:rsidP="00EF5C8B">
      <w:pPr>
        <w:pStyle w:val="NormalWeb"/>
        <w:jc w:val="center"/>
        <w:rPr>
          <w:b/>
          <w:bCs/>
          <w:color w:val="000000"/>
          <w:sz w:val="27"/>
          <w:szCs w:val="27"/>
        </w:rPr>
      </w:pPr>
      <w:r w:rsidRPr="00EF5C8B">
        <w:rPr>
          <w:rFonts w:ascii="Calibri" w:hAnsi="Calibri"/>
          <w:b/>
          <w:bCs/>
        </w:rPr>
        <w:t>DO RECEBIMENTO E ACEITAÇÃO DO OBJETO</w:t>
      </w:r>
    </w:p>
    <w:p w14:paraId="290FF930" w14:textId="51F67B92" w:rsidR="00EB4C91" w:rsidRPr="00EF5C8B" w:rsidRDefault="00EB4C91" w:rsidP="00EB4C91">
      <w:pPr>
        <w:pStyle w:val="NormalWeb"/>
        <w:rPr>
          <w:rFonts w:ascii="Calibri" w:hAnsi="Calibri"/>
          <w:color w:val="000000"/>
        </w:rPr>
      </w:pPr>
      <w:r w:rsidRPr="00EF5C8B">
        <w:rPr>
          <w:rFonts w:ascii="Calibri" w:hAnsi="Calibri"/>
          <w:color w:val="000000"/>
        </w:rPr>
        <w:t>11.1. A emissão da Nota Fiscal deve ser precedida do recebimento definitivo dos serviços, nos termos abaixo.</w:t>
      </w:r>
    </w:p>
    <w:p w14:paraId="64D77F13" w14:textId="085885E0" w:rsidR="00EB4C91" w:rsidRPr="00EF5C8B" w:rsidRDefault="00EB4C91" w:rsidP="00EB4C91">
      <w:pPr>
        <w:pStyle w:val="NormalWeb"/>
        <w:rPr>
          <w:rFonts w:ascii="Calibri" w:hAnsi="Calibri"/>
          <w:color w:val="000000"/>
        </w:rPr>
      </w:pPr>
      <w:r w:rsidRPr="00EF5C8B">
        <w:rPr>
          <w:rFonts w:ascii="Calibri" w:hAnsi="Calibri"/>
          <w:color w:val="000000"/>
        </w:rPr>
        <w:t>11.2. No prazo de até 5 dias corridos, a CONTRATADA deverá entregar toda a documentação comprobatória do cumprimento da obrigação contratual.</w:t>
      </w:r>
    </w:p>
    <w:p w14:paraId="3A32F789" w14:textId="2E4B9C95" w:rsidR="00EB4C91" w:rsidRPr="00EF5C8B" w:rsidRDefault="00EB4C91" w:rsidP="00EB4C91">
      <w:pPr>
        <w:pStyle w:val="NormalWeb"/>
        <w:rPr>
          <w:rFonts w:ascii="Calibri" w:hAnsi="Calibri"/>
          <w:color w:val="000000"/>
        </w:rPr>
      </w:pPr>
      <w:r w:rsidRPr="00EF5C8B">
        <w:rPr>
          <w:rFonts w:ascii="Calibri" w:hAnsi="Calibri"/>
          <w:color w:val="000000"/>
        </w:rPr>
        <w:t>11.3. O recebimento provisório será realizado pelo fiscal técnico e setorial após a entrega da documentação acima, da seguinte forma:</w:t>
      </w:r>
    </w:p>
    <w:p w14:paraId="504F115E" w14:textId="7A12BF47" w:rsidR="00EB4C91" w:rsidRPr="00EF5C8B" w:rsidRDefault="00EB4C91" w:rsidP="00EB4C91">
      <w:pPr>
        <w:pStyle w:val="NormalWeb"/>
        <w:rPr>
          <w:rFonts w:ascii="Calibri" w:hAnsi="Calibri"/>
          <w:color w:val="000000"/>
        </w:rPr>
      </w:pPr>
      <w:r w:rsidRPr="00EF5C8B">
        <w:rPr>
          <w:rFonts w:ascii="Calibri" w:hAnsi="Calibri"/>
          <w:color w:val="000000"/>
        </w:rPr>
        <w:t>11.4. 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045A31BF" w14:textId="6E2D0279" w:rsidR="00EB4C91" w:rsidRPr="00EF5C8B" w:rsidRDefault="00EB4C91" w:rsidP="00EB4C91">
      <w:pPr>
        <w:pStyle w:val="NormalWeb"/>
        <w:rPr>
          <w:rFonts w:ascii="Calibri" w:hAnsi="Calibri"/>
          <w:color w:val="000000"/>
        </w:rPr>
      </w:pPr>
      <w:r w:rsidRPr="00EF5C8B">
        <w:rPr>
          <w:rFonts w:ascii="Calibri" w:hAnsi="Calibri"/>
          <w:color w:val="000000"/>
        </w:rPr>
        <w:t>11.5. No prazo de até 10 (dez) dias corridos a partir do recebimento provisório dos serviços, o Gestor do Contrato deverá providenciar o recebimento definitivo, ato que concretiza o ateste da execução dos serviços, obedecendo as seguintes diretrizes:</w:t>
      </w:r>
    </w:p>
    <w:p w14:paraId="133323C3" w14:textId="0914BED7" w:rsidR="00EB4C91" w:rsidRPr="00EF5C8B" w:rsidRDefault="00EB4C91" w:rsidP="00EB4C91">
      <w:pPr>
        <w:pStyle w:val="NormalWeb"/>
        <w:rPr>
          <w:rFonts w:ascii="Calibri" w:hAnsi="Calibri"/>
          <w:color w:val="000000"/>
        </w:rPr>
      </w:pPr>
      <w:r w:rsidRPr="00EF5C8B">
        <w:rPr>
          <w:rFonts w:ascii="Calibri" w:hAnsi="Calibri"/>
          <w:color w:val="000000"/>
        </w:rPr>
        <w:t>11.6. Na hipótese de a verificação a que se refere o subitem anterior não ser procedida dentro do prazo fixado, reputar-se-á como realizada, consumando-se o recebimento definitivo no dia do esgotamento do prazo.</w:t>
      </w:r>
    </w:p>
    <w:p w14:paraId="2BEFAC3C" w14:textId="7CA5E384" w:rsidR="00EB4C91" w:rsidRPr="00EF5C8B" w:rsidRDefault="00EB4C91" w:rsidP="00EB4C91">
      <w:pPr>
        <w:pStyle w:val="NormalWeb"/>
        <w:rPr>
          <w:rFonts w:ascii="Calibri" w:hAnsi="Calibri"/>
          <w:color w:val="000000"/>
        </w:rPr>
      </w:pPr>
      <w:r w:rsidRPr="00EF5C8B">
        <w:rPr>
          <w:rFonts w:ascii="Calibri" w:hAnsi="Calibri"/>
          <w:color w:val="000000"/>
        </w:rPr>
        <w:t>11.7. O recebimento provisório ou definitivo do objeto não exclui a responsabilidade da contratada pelos prejuízos resultantes da incorreta execução do contrato.</w:t>
      </w:r>
    </w:p>
    <w:p w14:paraId="24AF3CB6" w14:textId="4AB8F323" w:rsidR="00EB4C91" w:rsidRPr="00EF5C8B" w:rsidRDefault="00EB4C91" w:rsidP="00EB4C91">
      <w:pPr>
        <w:pStyle w:val="NormalWeb"/>
        <w:rPr>
          <w:rFonts w:ascii="Calibri" w:hAnsi="Calibri"/>
          <w:color w:val="000000"/>
        </w:rPr>
      </w:pPr>
      <w:r w:rsidRPr="00EF5C8B">
        <w:rPr>
          <w:rFonts w:ascii="Calibri" w:hAnsi="Calibri"/>
          <w:b/>
          <w:bCs/>
        </w:rPr>
        <w:t>12. DO PAGAMENTO</w:t>
      </w:r>
    </w:p>
    <w:p w14:paraId="71B8CD75" w14:textId="4D29C823" w:rsidR="00EB4C91" w:rsidRPr="00EF5C8B" w:rsidRDefault="00EB4C91" w:rsidP="00EB4C91">
      <w:pPr>
        <w:pStyle w:val="NormalWeb"/>
        <w:rPr>
          <w:rFonts w:ascii="Calibri" w:hAnsi="Calibri"/>
          <w:color w:val="000000"/>
        </w:rPr>
      </w:pPr>
      <w:r w:rsidRPr="00EF5C8B">
        <w:rPr>
          <w:rFonts w:ascii="Calibri" w:hAnsi="Calibri"/>
          <w:color w:val="000000"/>
        </w:rPr>
        <w:t>12.1. O pagamento será realizado no prazo máximo de até 5 (cinco) dias úteis, contados da data da apresentação da Nota Fiscal, através de ordem bancária, para crédito em banco, agência e conta corrente indicados pelo contratado.</w:t>
      </w:r>
    </w:p>
    <w:p w14:paraId="59AEFC4F" w14:textId="2488B9E7" w:rsidR="00EB4C91" w:rsidRPr="00EF5C8B" w:rsidRDefault="00EB4C91" w:rsidP="00EB4C91">
      <w:pPr>
        <w:pStyle w:val="NormalWeb"/>
        <w:rPr>
          <w:rFonts w:ascii="Calibri" w:hAnsi="Calibri"/>
          <w:color w:val="000000"/>
        </w:rPr>
      </w:pPr>
      <w:r w:rsidRPr="00EF5C8B">
        <w:rPr>
          <w:rFonts w:ascii="Calibri" w:hAnsi="Calibri"/>
          <w:color w:val="000000"/>
        </w:rPr>
        <w:t>12.2. Será considerada data do pagamento o dia em que constar como emitida a ordem bancária para pagamento.</w:t>
      </w:r>
    </w:p>
    <w:p w14:paraId="291257D0" w14:textId="16C74BCD" w:rsidR="00EB4C91" w:rsidRPr="00EF5C8B" w:rsidRDefault="00EB4C91" w:rsidP="00EB4C91">
      <w:pPr>
        <w:pStyle w:val="NormalWeb"/>
        <w:rPr>
          <w:rFonts w:ascii="Calibri" w:hAnsi="Calibri"/>
          <w:color w:val="000000"/>
        </w:rPr>
      </w:pPr>
      <w:r w:rsidRPr="00EF5C8B">
        <w:rPr>
          <w:rFonts w:ascii="Calibri" w:hAnsi="Calibri"/>
          <w:color w:val="000000"/>
        </w:rPr>
        <w:t>12.3. Quando do pagamento, será efetuada a retenção tributária prevista na legislação aplicável.</w:t>
      </w:r>
    </w:p>
    <w:p w14:paraId="3FBF9CBB" w14:textId="620702D4" w:rsidR="00EB4C91" w:rsidRPr="00EF5C8B" w:rsidRDefault="00EB4C91" w:rsidP="00EB4C91">
      <w:pPr>
        <w:pStyle w:val="NormalWeb"/>
        <w:rPr>
          <w:rFonts w:ascii="Calibri" w:hAnsi="Calibri"/>
          <w:color w:val="000000"/>
        </w:rPr>
      </w:pPr>
      <w:r w:rsidRPr="00EF5C8B">
        <w:rPr>
          <w:rFonts w:ascii="Calibri" w:hAnsi="Calibri"/>
          <w:color w:val="000000"/>
        </w:rPr>
        <w:t>12.3.1.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4177905" w14:textId="77777777" w:rsidR="00EB4C91" w:rsidRPr="00EB4C91" w:rsidRDefault="00EB4C91" w:rsidP="00EB4C91">
      <w:pPr>
        <w:pStyle w:val="textocentralizado"/>
        <w:spacing w:before="120" w:beforeAutospacing="0" w:after="120" w:afterAutospacing="0"/>
        <w:ind w:left="120" w:right="120"/>
        <w:jc w:val="both"/>
        <w:rPr>
          <w:rFonts w:asciiTheme="minorHAnsi" w:hAnsiTheme="minorHAnsi"/>
          <w:color w:val="000000"/>
        </w:rPr>
      </w:pPr>
    </w:p>
    <w:p w14:paraId="44F9779A" w14:textId="77777777" w:rsidR="00EB4C91" w:rsidRPr="00EB4C91" w:rsidRDefault="00EB4C91" w:rsidP="00EB4C91">
      <w:pPr>
        <w:pStyle w:val="textocentralizado"/>
        <w:spacing w:before="120" w:beforeAutospacing="0" w:after="120" w:afterAutospacing="0"/>
        <w:ind w:left="120" w:right="120"/>
        <w:jc w:val="both"/>
        <w:rPr>
          <w:rFonts w:asciiTheme="minorHAnsi" w:hAnsiTheme="minorHAnsi"/>
          <w:color w:val="000000"/>
        </w:rPr>
      </w:pPr>
      <w:r w:rsidRPr="00EB4C91">
        <w:rPr>
          <w:rFonts w:asciiTheme="minorHAnsi" w:hAnsiTheme="minorHAnsi"/>
          <w:color w:val="000000"/>
        </w:rPr>
        <w:t> </w:t>
      </w:r>
    </w:p>
    <w:p w14:paraId="316E2F87" w14:textId="77777777" w:rsidR="00EB4C91" w:rsidRPr="00EB4C91" w:rsidRDefault="00EB4C91" w:rsidP="00EB4C91">
      <w:pPr>
        <w:pStyle w:val="textocentralizado"/>
        <w:spacing w:before="120" w:beforeAutospacing="0" w:after="120" w:afterAutospacing="0"/>
        <w:ind w:left="120" w:right="120"/>
        <w:jc w:val="both"/>
        <w:rPr>
          <w:rFonts w:asciiTheme="minorHAnsi" w:hAnsiTheme="minorHAnsi"/>
          <w:color w:val="000000"/>
        </w:rPr>
      </w:pPr>
      <w:r w:rsidRPr="00EB4C91">
        <w:rPr>
          <w:rStyle w:val="Forte"/>
          <w:rFonts w:asciiTheme="minorHAnsi" w:hAnsiTheme="minorHAnsi"/>
          <w:color w:val="000000"/>
        </w:rPr>
        <w:t>MODELO DO TERMO DE RECEBIMENTO PROVISÓRIO</w:t>
      </w:r>
    </w:p>
    <w:p w14:paraId="6B222D0D"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192731DA"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OBJETIVO DO REQUISITO: Formalizar o recebimento provisório do bem de capital</w:t>
      </w:r>
    </w:p>
    <w:p w14:paraId="0FB041DA"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RESPONSÁVEL PELO PREENCHIMENTO: Fiscal do Contrato ou requisitante</w:t>
      </w:r>
    </w:p>
    <w:p w14:paraId="77DB10DF"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QUANDO PREENCHER: no processo de recebimento Provisório.</w:t>
      </w:r>
    </w:p>
    <w:p w14:paraId="2A23428F"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25BD320E" w14:textId="77777777" w:rsidR="00EB4C91" w:rsidRPr="00EB4C91" w:rsidRDefault="00EB4C91" w:rsidP="00EB4C91">
      <w:pPr>
        <w:pStyle w:val="textocentralizado"/>
        <w:spacing w:before="120" w:beforeAutospacing="0" w:after="120" w:afterAutospacing="0"/>
        <w:ind w:left="120" w:right="120"/>
        <w:jc w:val="both"/>
        <w:rPr>
          <w:rFonts w:asciiTheme="minorHAnsi" w:hAnsiTheme="minorHAnsi"/>
          <w:color w:val="000000"/>
        </w:rPr>
      </w:pPr>
      <w:r w:rsidRPr="00EB4C91">
        <w:rPr>
          <w:rStyle w:val="Forte"/>
          <w:rFonts w:asciiTheme="minorHAnsi" w:hAnsiTheme="minorHAnsi"/>
          <w:color w:val="000000"/>
        </w:rPr>
        <w:t>TERMO DE RECEBIMENTO PROVISÓRIO</w:t>
      </w:r>
    </w:p>
    <w:p w14:paraId="66360F36"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42F27970"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6B2989F6"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Processo nº: _________________________</w:t>
      </w:r>
    </w:p>
    <w:p w14:paraId="339E9F20"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Contrato nº ___/_____ (nº/ano)</w:t>
      </w:r>
    </w:p>
    <w:p w14:paraId="674B52BC"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Nota de empenho nº: __________________________</w:t>
      </w:r>
    </w:p>
    <w:p w14:paraId="4FB1D468"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Modalidade da Compra: _____________________________ nº da compra: ___/_____(nº/ano)</w:t>
      </w:r>
    </w:p>
    <w:p w14:paraId="742E7903"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Objeto:</w:t>
      </w:r>
    </w:p>
    <w:p w14:paraId="35E56320"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3C187FFE"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_____________________________________________________________________________</w:t>
      </w:r>
    </w:p>
    <w:p w14:paraId="12F3040D"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Contratado: nome e  CNPJ</w:t>
      </w:r>
    </w:p>
    <w:p w14:paraId="0FEF12DC"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Unidade contratante (nome e UASG)</w:t>
      </w:r>
    </w:p>
    <w:p w14:paraId="61B334DF"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Departamento: ________________________/Setor: ______________________________</w:t>
      </w:r>
    </w:p>
    <w:p w14:paraId="33003CA2"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2B22E2BA"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xml:space="preserve">Aos __ dias de ______ de 20__ recebemos, em caráter provisório, o(s) objeto(s) ( DESCREVER OBJETO). Após constatar que o objeto acima descrito encontra-se de acordo </w:t>
      </w:r>
      <w:r w:rsidRPr="00EB4C91">
        <w:rPr>
          <w:rFonts w:asciiTheme="minorHAnsi" w:hAnsiTheme="minorHAnsi"/>
          <w:color w:val="000000"/>
        </w:rPr>
        <w:lastRenderedPageBreak/>
        <w:t>com as condições contratuais, em quantidade e qualidade, normas técnicas em vigor e em obediência às especificações técnicas e demais elementos do Termo de Referência e/ou Projeto Básico, expediu-se o presente TERMO DE RECEBIMENTO PROVISÓRIO.</w:t>
      </w:r>
    </w:p>
    <w:p w14:paraId="7460C52C"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3F790D63"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Quantidade de Caixas/embalagens/volumes recebidos: </w:t>
      </w:r>
    </w:p>
    <w:p w14:paraId="22037817"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Condições das embalagens/caixas/volumes:</w:t>
      </w:r>
    </w:p>
    <w:p w14:paraId="7A22DE1F"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Embalagens foram abertas no momento do recebimento?</w:t>
      </w:r>
    </w:p>
    <w:p w14:paraId="26B04E50"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Conferido por:__________________________________ registro:_____________</w:t>
      </w:r>
    </w:p>
    <w:p w14:paraId="54B92110"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Data e Assinatura:</w:t>
      </w:r>
    </w:p>
    <w:p w14:paraId="5D364006"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0542FE86"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Fiscal do Contrato: (servidor)</w:t>
      </w:r>
    </w:p>
    <w:p w14:paraId="762B1412"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Data e Assinatura</w:t>
      </w:r>
    </w:p>
    <w:p w14:paraId="6DADFBFC"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46A8DFB8" w14:textId="77777777" w:rsidR="00EB4C91" w:rsidRPr="00EB4C91" w:rsidRDefault="00EB4C91" w:rsidP="00EB4C91">
      <w:pPr>
        <w:pStyle w:val="textocentralizado"/>
        <w:spacing w:before="120" w:beforeAutospacing="0" w:after="120" w:afterAutospacing="0"/>
        <w:ind w:left="120" w:right="120"/>
        <w:jc w:val="both"/>
        <w:rPr>
          <w:rFonts w:asciiTheme="minorHAnsi" w:hAnsiTheme="minorHAnsi"/>
          <w:color w:val="000000"/>
        </w:rPr>
      </w:pPr>
      <w:r w:rsidRPr="00EB4C91">
        <w:rPr>
          <w:rFonts w:asciiTheme="minorHAnsi" w:hAnsiTheme="minorHAnsi"/>
          <w:color w:val="000000"/>
        </w:rPr>
        <w:t>ANEXO 3 – Termo de Referência</w:t>
      </w:r>
    </w:p>
    <w:p w14:paraId="579B6258" w14:textId="77777777" w:rsidR="00EB4C91" w:rsidRPr="00EB4C91" w:rsidRDefault="00EB4C91" w:rsidP="00EB4C91">
      <w:pPr>
        <w:pStyle w:val="textocentralizado"/>
        <w:spacing w:before="120" w:beforeAutospacing="0" w:after="120" w:afterAutospacing="0"/>
        <w:ind w:left="120" w:right="120"/>
        <w:jc w:val="both"/>
        <w:rPr>
          <w:rFonts w:asciiTheme="minorHAnsi" w:hAnsiTheme="minorHAnsi"/>
          <w:color w:val="000000"/>
        </w:rPr>
      </w:pPr>
      <w:r w:rsidRPr="00EB4C91">
        <w:rPr>
          <w:rFonts w:asciiTheme="minorHAnsi" w:hAnsiTheme="minorHAnsi"/>
          <w:color w:val="000000"/>
        </w:rPr>
        <w:t> </w:t>
      </w:r>
    </w:p>
    <w:p w14:paraId="7F18B543" w14:textId="77777777" w:rsidR="00EB4C91" w:rsidRPr="00EB4C91" w:rsidRDefault="00EB4C91" w:rsidP="00EB4C91">
      <w:pPr>
        <w:pStyle w:val="textocentralizado"/>
        <w:spacing w:before="120" w:beforeAutospacing="0" w:after="120" w:afterAutospacing="0"/>
        <w:ind w:left="120" w:right="120"/>
        <w:jc w:val="both"/>
        <w:rPr>
          <w:rFonts w:asciiTheme="minorHAnsi" w:hAnsiTheme="minorHAnsi"/>
          <w:color w:val="000000"/>
        </w:rPr>
      </w:pPr>
      <w:r w:rsidRPr="00EB4C91">
        <w:rPr>
          <w:rStyle w:val="Forte"/>
          <w:rFonts w:asciiTheme="minorHAnsi" w:hAnsiTheme="minorHAnsi"/>
          <w:color w:val="000000"/>
        </w:rPr>
        <w:t>MODELO DO TERMO DE RECEBIMENTO DEFINITIVO</w:t>
      </w:r>
    </w:p>
    <w:p w14:paraId="71EECFBC"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71A45DFF"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49B705D5"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OBJETIVO DO REQUISITO: Formalizar o recebimento provisório do bem de capital</w:t>
      </w:r>
    </w:p>
    <w:p w14:paraId="0D67A282"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RESPONSÁVEL PELO PREENCHIMENTO: Fiscal do Contrato ou requisitante</w:t>
      </w:r>
    </w:p>
    <w:p w14:paraId="5BD21ECE"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QUANDO PREENCHER: Após testar o funcionamento dos equipamentos.</w:t>
      </w:r>
    </w:p>
    <w:p w14:paraId="26F4ACEA"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139A4BF3" w14:textId="77777777" w:rsidR="00EB4C91" w:rsidRPr="00EB4C91" w:rsidRDefault="00EB4C91" w:rsidP="00EB4C91">
      <w:pPr>
        <w:pStyle w:val="textocentralizado"/>
        <w:spacing w:before="120" w:beforeAutospacing="0" w:after="120" w:afterAutospacing="0"/>
        <w:ind w:left="120" w:right="120"/>
        <w:jc w:val="both"/>
        <w:rPr>
          <w:rFonts w:asciiTheme="minorHAnsi" w:hAnsiTheme="minorHAnsi"/>
          <w:color w:val="000000"/>
        </w:rPr>
      </w:pPr>
      <w:r w:rsidRPr="00EB4C91">
        <w:rPr>
          <w:rStyle w:val="Forte"/>
          <w:rFonts w:asciiTheme="minorHAnsi" w:hAnsiTheme="minorHAnsi"/>
          <w:color w:val="000000"/>
        </w:rPr>
        <w:t>TERMO DE RECEBIMENTO DEFINITIVO</w:t>
      </w:r>
    </w:p>
    <w:p w14:paraId="216072EF"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0C260382"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29614D0C"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Processo nº: _________________________</w:t>
      </w:r>
    </w:p>
    <w:p w14:paraId="14D58F64"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lastRenderedPageBreak/>
        <w:t>Contrato nº ___/_____ (nº/ano)</w:t>
      </w:r>
    </w:p>
    <w:p w14:paraId="5FEAB47C"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Nota de empenho nº: __________________________</w:t>
      </w:r>
    </w:p>
    <w:p w14:paraId="4A1AEBFD"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Modalidade da Compra: _____________________________ nº da compra: ___/_____(nº/ano)</w:t>
      </w:r>
    </w:p>
    <w:p w14:paraId="05DC14D1"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Objeto:</w:t>
      </w:r>
    </w:p>
    <w:p w14:paraId="67174979"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036AA5F7"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_____________________________________________________________________________</w:t>
      </w:r>
    </w:p>
    <w:p w14:paraId="2D6DA3A3"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Contratado: nome e  CNPJ</w:t>
      </w:r>
    </w:p>
    <w:p w14:paraId="622B72D0"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Unidade contratante (nome e UASG)</w:t>
      </w:r>
    </w:p>
    <w:p w14:paraId="37E08428"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Departamento: ________________________/Setor: ______________________________</w:t>
      </w:r>
    </w:p>
    <w:p w14:paraId="3B3AD044"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5A54A375"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Equipamentos/bens testados em:  ___/____/_____ Hora:__;__h por: _________________________</w:t>
      </w:r>
    </w:p>
    <w:p w14:paraId="7C0FA8C6"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Equipamentos/bens testados: _______________________________________ quant.:___________</w:t>
      </w:r>
    </w:p>
    <w:p w14:paraId="7FCABBFF"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Integridade dos equipamentos? (  ) Integros (  ) não íntegros (discriminar no campo observações)</w:t>
      </w:r>
    </w:p>
    <w:p w14:paraId="1F9B2072"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Equipamentos/bens funcionando: (    ) SIM    (     ) NÃO (discriminar no campo observações)</w:t>
      </w:r>
    </w:p>
    <w:p w14:paraId="1D38842B"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Nota Fiscal nº: _______________ Série: _____ emitida por __________ data da emissão: __________</w:t>
      </w:r>
    </w:p>
    <w:p w14:paraId="1C33156E"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6EC9CC17"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OBSERVAÇÕES:</w:t>
      </w:r>
    </w:p>
    <w:p w14:paraId="4EA771DC"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08C7E728"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77FBA206"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0B83BEBD"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lastRenderedPageBreak/>
        <w:t>Conferido por: _________________________ registro:</w:t>
      </w:r>
    </w:p>
    <w:p w14:paraId="58390431"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Data e Assinatura</w:t>
      </w:r>
    </w:p>
    <w:p w14:paraId="1E62BA19"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4C8A12F2"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Aos __ dias de ______ de 20__ recebemos, em caráter DEFINITIVO, após constatar que o(s) objeto(s) ____________ encontra(m)-se de acordo com as condições contratuais, em quantidade e qualidade, normas técnicas em vigor e em obediência às especificações técnicas e demais elementos do Termo de Referência e/ou Projeto Básico, expediu-se o presente TERMO DE RECEBIMENTO DEFINITIVO em atendimento ao Art. 73, inc II da Lei nº 8.666/1993 e ao Art. 63, § 2º, inc. III da Lei n. 4.320/64.</w:t>
      </w:r>
    </w:p>
    <w:p w14:paraId="68059ACA"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 </w:t>
      </w:r>
    </w:p>
    <w:p w14:paraId="3A101F29"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Fiscal do Contrato: (servidor)</w:t>
      </w:r>
    </w:p>
    <w:p w14:paraId="17883154" w14:textId="77777777" w:rsidR="00EB4C91" w:rsidRPr="00EB4C91" w:rsidRDefault="00EB4C91" w:rsidP="00EB4C91">
      <w:pPr>
        <w:pStyle w:val="NormalWeb"/>
        <w:jc w:val="both"/>
        <w:rPr>
          <w:rFonts w:asciiTheme="minorHAnsi" w:hAnsiTheme="minorHAnsi"/>
          <w:color w:val="000000"/>
        </w:rPr>
      </w:pPr>
      <w:r w:rsidRPr="00EB4C91">
        <w:rPr>
          <w:rFonts w:asciiTheme="minorHAnsi" w:hAnsiTheme="minorHAnsi"/>
          <w:color w:val="000000"/>
        </w:rPr>
        <w:t>Data e Assinatura</w:t>
      </w:r>
    </w:p>
    <w:p w14:paraId="69487196" w14:textId="77777777" w:rsidR="00EB4C91" w:rsidRPr="00EB4C91" w:rsidRDefault="00EB4C91" w:rsidP="00EB4C91">
      <w:pPr>
        <w:spacing w:before="120" w:after="120" w:line="240" w:lineRule="auto"/>
        <w:ind w:left="360" w:hanging="360"/>
        <w:jc w:val="both"/>
        <w:rPr>
          <w:sz w:val="24"/>
          <w:szCs w:val="24"/>
        </w:rPr>
      </w:pPr>
    </w:p>
    <w:sectPr w:rsidR="00EB4C91" w:rsidRPr="00EB4C9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42CB8"/>
    <w:multiLevelType w:val="multilevel"/>
    <w:tmpl w:val="787004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826236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CC6"/>
    <w:rsid w:val="000B6C84"/>
    <w:rsid w:val="001A136E"/>
    <w:rsid w:val="001D5EFA"/>
    <w:rsid w:val="00385CC6"/>
    <w:rsid w:val="003D0A43"/>
    <w:rsid w:val="0059048C"/>
    <w:rsid w:val="006A2A6E"/>
    <w:rsid w:val="006B79B1"/>
    <w:rsid w:val="00867C96"/>
    <w:rsid w:val="00881104"/>
    <w:rsid w:val="0095133B"/>
    <w:rsid w:val="009E3E4E"/>
    <w:rsid w:val="00C152C9"/>
    <w:rsid w:val="00C54885"/>
    <w:rsid w:val="00DB3D30"/>
    <w:rsid w:val="00E25840"/>
    <w:rsid w:val="00EB4C91"/>
    <w:rsid w:val="00EF5C8B"/>
    <w:rsid w:val="00FC6E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26E54"/>
  <w15:chartTrackingRefBased/>
  <w15:docId w15:val="{02DC4433-4105-4B9E-B968-8E9AB9913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95133B"/>
    <w:rPr>
      <w:color w:val="0563C1" w:themeColor="hyperlink"/>
      <w:u w:val="single"/>
    </w:rPr>
  </w:style>
  <w:style w:type="character" w:styleId="MenoPendente">
    <w:name w:val="Unresolved Mention"/>
    <w:basedOn w:val="Fontepargpadro"/>
    <w:uiPriority w:val="99"/>
    <w:semiHidden/>
    <w:unhideWhenUsed/>
    <w:rsid w:val="0095133B"/>
    <w:rPr>
      <w:color w:val="605E5C"/>
      <w:shd w:val="clear" w:color="auto" w:fill="E1DFDD"/>
    </w:rPr>
  </w:style>
  <w:style w:type="paragraph" w:styleId="NormalWeb">
    <w:name w:val="Normal (Web)"/>
    <w:basedOn w:val="Normal"/>
    <w:uiPriority w:val="99"/>
    <w:semiHidden/>
    <w:unhideWhenUsed/>
    <w:rsid w:val="00EB4C9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B4C91"/>
    <w:rPr>
      <w:b/>
      <w:bCs/>
    </w:rPr>
  </w:style>
  <w:style w:type="paragraph" w:customStyle="1" w:styleId="textocentralizado">
    <w:name w:val="texto_centralizado"/>
    <w:basedOn w:val="Normal"/>
    <w:rsid w:val="00EB4C91"/>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82564">
      <w:bodyDiv w:val="1"/>
      <w:marLeft w:val="0"/>
      <w:marRight w:val="0"/>
      <w:marTop w:val="0"/>
      <w:marBottom w:val="0"/>
      <w:divBdr>
        <w:top w:val="none" w:sz="0" w:space="0" w:color="auto"/>
        <w:left w:val="none" w:sz="0" w:space="0" w:color="auto"/>
        <w:bottom w:val="none" w:sz="0" w:space="0" w:color="auto"/>
        <w:right w:val="none" w:sz="0" w:space="0" w:color="auto"/>
      </w:divBdr>
    </w:div>
    <w:div w:id="530848417">
      <w:bodyDiv w:val="1"/>
      <w:marLeft w:val="0"/>
      <w:marRight w:val="0"/>
      <w:marTop w:val="0"/>
      <w:marBottom w:val="0"/>
      <w:divBdr>
        <w:top w:val="none" w:sz="0" w:space="0" w:color="auto"/>
        <w:left w:val="none" w:sz="0" w:space="0" w:color="auto"/>
        <w:bottom w:val="none" w:sz="0" w:space="0" w:color="auto"/>
        <w:right w:val="none" w:sz="0" w:space="0" w:color="auto"/>
      </w:divBdr>
    </w:div>
    <w:div w:id="687145564">
      <w:bodyDiv w:val="1"/>
      <w:marLeft w:val="0"/>
      <w:marRight w:val="0"/>
      <w:marTop w:val="0"/>
      <w:marBottom w:val="0"/>
      <w:divBdr>
        <w:top w:val="none" w:sz="0" w:space="0" w:color="auto"/>
        <w:left w:val="none" w:sz="0" w:space="0" w:color="auto"/>
        <w:bottom w:val="none" w:sz="0" w:space="0" w:color="auto"/>
        <w:right w:val="none" w:sz="0" w:space="0" w:color="auto"/>
      </w:divBdr>
      <w:divsChild>
        <w:div w:id="425228197">
          <w:marLeft w:val="0"/>
          <w:marRight w:val="0"/>
          <w:marTop w:val="0"/>
          <w:marBottom w:val="0"/>
          <w:divBdr>
            <w:top w:val="none" w:sz="0" w:space="0" w:color="auto"/>
            <w:left w:val="none" w:sz="0" w:space="0" w:color="auto"/>
            <w:bottom w:val="none" w:sz="0" w:space="0" w:color="auto"/>
            <w:right w:val="none" w:sz="0" w:space="0" w:color="auto"/>
          </w:divBdr>
        </w:div>
        <w:div w:id="388454067">
          <w:marLeft w:val="0"/>
          <w:marRight w:val="0"/>
          <w:marTop w:val="0"/>
          <w:marBottom w:val="0"/>
          <w:divBdr>
            <w:top w:val="none" w:sz="0" w:space="0" w:color="auto"/>
            <w:left w:val="none" w:sz="0" w:space="0" w:color="auto"/>
            <w:bottom w:val="none" w:sz="0" w:space="0" w:color="auto"/>
            <w:right w:val="none" w:sz="0" w:space="0" w:color="auto"/>
          </w:divBdr>
        </w:div>
        <w:div w:id="647369344">
          <w:marLeft w:val="0"/>
          <w:marRight w:val="0"/>
          <w:marTop w:val="0"/>
          <w:marBottom w:val="0"/>
          <w:divBdr>
            <w:top w:val="none" w:sz="0" w:space="0" w:color="auto"/>
            <w:left w:val="none" w:sz="0" w:space="0" w:color="auto"/>
            <w:bottom w:val="none" w:sz="0" w:space="0" w:color="auto"/>
            <w:right w:val="none" w:sz="0" w:space="0" w:color="auto"/>
          </w:divBdr>
        </w:div>
        <w:div w:id="999308090">
          <w:marLeft w:val="0"/>
          <w:marRight w:val="0"/>
          <w:marTop w:val="0"/>
          <w:marBottom w:val="0"/>
          <w:divBdr>
            <w:top w:val="none" w:sz="0" w:space="0" w:color="auto"/>
            <w:left w:val="none" w:sz="0" w:space="0" w:color="auto"/>
            <w:bottom w:val="none" w:sz="0" w:space="0" w:color="auto"/>
            <w:right w:val="none" w:sz="0" w:space="0" w:color="auto"/>
          </w:divBdr>
        </w:div>
      </w:divsChild>
    </w:div>
    <w:div w:id="707150216">
      <w:bodyDiv w:val="1"/>
      <w:marLeft w:val="0"/>
      <w:marRight w:val="0"/>
      <w:marTop w:val="0"/>
      <w:marBottom w:val="0"/>
      <w:divBdr>
        <w:top w:val="none" w:sz="0" w:space="0" w:color="auto"/>
        <w:left w:val="none" w:sz="0" w:space="0" w:color="auto"/>
        <w:bottom w:val="none" w:sz="0" w:space="0" w:color="auto"/>
        <w:right w:val="none" w:sz="0" w:space="0" w:color="auto"/>
      </w:divBdr>
    </w:div>
    <w:div w:id="978656687">
      <w:bodyDiv w:val="1"/>
      <w:marLeft w:val="0"/>
      <w:marRight w:val="0"/>
      <w:marTop w:val="0"/>
      <w:marBottom w:val="0"/>
      <w:divBdr>
        <w:top w:val="none" w:sz="0" w:space="0" w:color="auto"/>
        <w:left w:val="none" w:sz="0" w:space="0" w:color="auto"/>
        <w:bottom w:val="none" w:sz="0" w:space="0" w:color="auto"/>
        <w:right w:val="none" w:sz="0" w:space="0" w:color="auto"/>
      </w:divBdr>
    </w:div>
    <w:div w:id="1156992256">
      <w:bodyDiv w:val="1"/>
      <w:marLeft w:val="0"/>
      <w:marRight w:val="0"/>
      <w:marTop w:val="0"/>
      <w:marBottom w:val="0"/>
      <w:divBdr>
        <w:top w:val="none" w:sz="0" w:space="0" w:color="auto"/>
        <w:left w:val="none" w:sz="0" w:space="0" w:color="auto"/>
        <w:bottom w:val="none" w:sz="0" w:space="0" w:color="auto"/>
        <w:right w:val="none" w:sz="0" w:space="0" w:color="auto"/>
      </w:divBdr>
    </w:div>
    <w:div w:id="1176311020">
      <w:bodyDiv w:val="1"/>
      <w:marLeft w:val="0"/>
      <w:marRight w:val="0"/>
      <w:marTop w:val="0"/>
      <w:marBottom w:val="0"/>
      <w:divBdr>
        <w:top w:val="none" w:sz="0" w:space="0" w:color="auto"/>
        <w:left w:val="none" w:sz="0" w:space="0" w:color="auto"/>
        <w:bottom w:val="none" w:sz="0" w:space="0" w:color="auto"/>
        <w:right w:val="none" w:sz="0" w:space="0" w:color="auto"/>
      </w:divBdr>
    </w:div>
    <w:div w:id="138694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openxmlformats.org/officeDocument/2006/relationships/settings" Target="settings.xml"/><Relationship Id="rId7" Type="http://schemas.openxmlformats.org/officeDocument/2006/relationships/hyperlink" Target="mailto:TATIANA.BURLAMAQUI@FIOCRUZ.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alto.gov.br/ccivil_03/LEIS/L6404consol.htm"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6426</Words>
  <Characters>34702</Characters>
  <Application>Microsoft Office Word</Application>
  <DocSecurity>0</DocSecurity>
  <Lines>289</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dc:creator>
  <cp:keywords/>
  <dc:description/>
  <cp:lastModifiedBy>Diogo Victor Araújo Girão</cp:lastModifiedBy>
  <cp:revision>2</cp:revision>
  <cp:lastPrinted>2022-08-04T13:56:00Z</cp:lastPrinted>
  <dcterms:created xsi:type="dcterms:W3CDTF">2022-08-04T13:57:00Z</dcterms:created>
  <dcterms:modified xsi:type="dcterms:W3CDTF">2022-08-04T13:57:00Z</dcterms:modified>
</cp:coreProperties>
</file>