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C70F" w14:textId="77777777" w:rsidR="00613D96" w:rsidRPr="00613D96" w:rsidRDefault="00613D96" w:rsidP="00613D96">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bookmarkStart w:id="0" w:name="_Hlk82471863"/>
      <w:r w:rsidRPr="00613D96">
        <w:rPr>
          <w:rFonts w:ascii="Calibri" w:eastAsia="Times New Roman" w:hAnsi="Calibri" w:cs="Calibri"/>
          <w:b/>
          <w:bCs/>
          <w:color w:val="000000"/>
          <w:kern w:val="0"/>
          <w:sz w:val="27"/>
          <w:szCs w:val="27"/>
          <w:lang w:eastAsia="pt-BR"/>
          <w14:ligatures w14:val="none"/>
        </w:rPr>
        <w:t>FUNDAÇÃO OSWALDO CRUZ</w:t>
      </w:r>
      <w:bookmarkEnd w:id="0"/>
    </w:p>
    <w:p w14:paraId="49EA34C9" w14:textId="77777777" w:rsidR="00613D96" w:rsidRPr="00613D96" w:rsidRDefault="00613D96" w:rsidP="00613D96">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(Processo Administrativo n° 25067.000463/2023-22)</w:t>
      </w:r>
    </w:p>
    <w:p w14:paraId="38F7CE8C"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15BBAE4C"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1. CONDIÇÕES GERAIS DA CONTRATAÇÃO</w:t>
      </w:r>
    </w:p>
    <w:p w14:paraId="5C1A607D" w14:textId="77777777" w:rsidR="00613D96" w:rsidRPr="00613D96" w:rsidRDefault="00613D96" w:rsidP="00613D96">
      <w:pPr>
        <w:spacing w:after="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1.1. </w:t>
      </w:r>
      <w:r w:rsidRPr="00613D96">
        <w:rPr>
          <w:rFonts w:ascii="Calibri" w:eastAsia="Times New Roman" w:hAnsi="Calibri" w:cs="Calibri"/>
          <w:color w:val="000000"/>
          <w:kern w:val="0"/>
          <w:lang w:eastAsia="pt-BR"/>
          <w14:ligatures w14:val="none"/>
        </w:rPr>
        <w:t>Prestação de serviço de manutenção, revitalização e montagem da exposição "Aedes: Que mosquito é esse?" nas salas 307 e 308 do pavilhão Mourisco, </w:t>
      </w:r>
      <w:r w:rsidRPr="00613D96">
        <w:rPr>
          <w:rFonts w:ascii="Times New Roman" w:eastAsia="Times New Roman" w:hAnsi="Times New Roman" w:cs="Times New Roman"/>
          <w:color w:val="000000"/>
          <w:kern w:val="0"/>
          <w:lang w:eastAsia="pt-BR"/>
          <w14:ligatures w14:val="none"/>
        </w:rPr>
        <w:t>necessário para atender às ações de divulgação científica do Serviço de Itinerância do Museu da Vida,</w:t>
      </w:r>
      <w:r w:rsidRPr="00613D96">
        <w:rPr>
          <w:rFonts w:ascii="Times New Roman" w:eastAsia="Times New Roman" w:hAnsi="Times New Roman" w:cs="Times New Roman"/>
          <w:color w:val="000000"/>
          <w:kern w:val="0"/>
          <w:shd w:val="clear" w:color="auto" w:fill="FFFFFF"/>
          <w:lang w:eastAsia="pt-BR"/>
          <w14:ligatures w14:val="none"/>
        </w:rPr>
        <w:t xml:space="preserve"> conforme condições e exigências estabelecidas neste instrumento.</w:t>
      </w:r>
    </w:p>
    <w:tbl>
      <w:tblPr>
        <w:tblW w:w="15843" w:type="dxa"/>
        <w:tblInd w:w="135" w:type="dxa"/>
        <w:tblCellMar>
          <w:left w:w="0" w:type="dxa"/>
          <w:right w:w="0" w:type="dxa"/>
        </w:tblCellMar>
        <w:tblLook w:val="04A0" w:firstRow="1" w:lastRow="0" w:firstColumn="1" w:lastColumn="0" w:noHBand="0" w:noVBand="1"/>
      </w:tblPr>
      <w:tblGrid>
        <w:gridCol w:w="926"/>
        <w:gridCol w:w="4027"/>
        <w:gridCol w:w="4866"/>
        <w:gridCol w:w="1214"/>
        <w:gridCol w:w="1062"/>
        <w:gridCol w:w="774"/>
        <w:gridCol w:w="1426"/>
        <w:gridCol w:w="1548"/>
      </w:tblGrid>
      <w:tr w:rsidR="00613D96" w:rsidRPr="00613D96" w14:paraId="74193C6A" w14:textId="77777777" w:rsidTr="00613D96">
        <w:tc>
          <w:tcPr>
            <w:tcW w:w="926" w:type="dxa"/>
            <w:tcBorders>
              <w:top w:val="single" w:sz="12" w:space="0" w:color="2B2B2B"/>
              <w:left w:val="single" w:sz="12" w:space="0" w:color="2B2B2B"/>
              <w:bottom w:val="single" w:sz="12" w:space="0" w:color="2B2B2B"/>
              <w:right w:val="single" w:sz="12" w:space="0" w:color="2B2B2B"/>
            </w:tcBorders>
            <w:hideMark/>
          </w:tcPr>
          <w:p w14:paraId="7AF4952A" w14:textId="77777777" w:rsidR="00613D96" w:rsidRPr="00613D96" w:rsidRDefault="00613D96" w:rsidP="00613D96">
            <w:pPr>
              <w:spacing w:after="0" w:line="240" w:lineRule="auto"/>
              <w:divId w:val="37321902"/>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140B72D5"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1641118D"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ITEM</w:t>
            </w:r>
            <w:r w:rsidRPr="00613D96">
              <w:rPr>
                <w:rFonts w:ascii="Segoe UI" w:eastAsia="Times New Roman" w:hAnsi="Segoe UI" w:cs="Segoe UI"/>
                <w:color w:val="000000"/>
                <w:kern w:val="0"/>
                <w:sz w:val="18"/>
                <w:szCs w:val="18"/>
                <w:lang w:eastAsia="pt-BR"/>
                <w14:ligatures w14:val="none"/>
              </w:rPr>
              <w:t xml:space="preserve"> </w:t>
            </w:r>
          </w:p>
        </w:tc>
        <w:tc>
          <w:tcPr>
            <w:tcW w:w="4027" w:type="dxa"/>
            <w:tcBorders>
              <w:top w:val="single" w:sz="12" w:space="0" w:color="2B2B2B"/>
              <w:left w:val="single" w:sz="12" w:space="0" w:color="2B2B2B"/>
              <w:bottom w:val="single" w:sz="12" w:space="0" w:color="2B2B2B"/>
              <w:right w:val="single" w:sz="12" w:space="0" w:color="2B2B2B"/>
            </w:tcBorders>
            <w:hideMark/>
          </w:tcPr>
          <w:p w14:paraId="594AFC3A"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2CBB2B24"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2372D767"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DESCRIÇÃO</w:t>
            </w:r>
            <w:r w:rsidRPr="00613D96">
              <w:rPr>
                <w:rFonts w:ascii="Segoe UI" w:eastAsia="Times New Roman" w:hAnsi="Segoe UI" w:cs="Segoe UI"/>
                <w:color w:val="000000"/>
                <w:kern w:val="0"/>
                <w:sz w:val="18"/>
                <w:szCs w:val="18"/>
                <w:lang w:eastAsia="pt-BR"/>
                <w14:ligatures w14:val="none"/>
              </w:rPr>
              <w:t xml:space="preserve"> </w:t>
            </w:r>
          </w:p>
        </w:tc>
        <w:tc>
          <w:tcPr>
            <w:tcW w:w="4866" w:type="dxa"/>
            <w:tcBorders>
              <w:top w:val="single" w:sz="12" w:space="0" w:color="2B2B2B"/>
              <w:left w:val="single" w:sz="12" w:space="0" w:color="2B2B2B"/>
              <w:bottom w:val="single" w:sz="12" w:space="0" w:color="2B2B2B"/>
              <w:right w:val="single" w:sz="12" w:space="0" w:color="2B2B2B"/>
            </w:tcBorders>
            <w:hideMark/>
          </w:tcPr>
          <w:p w14:paraId="07BE3D4C"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28424CE6" w14:textId="77777777" w:rsidR="00613D96" w:rsidRPr="00613D96" w:rsidRDefault="00613D96" w:rsidP="00613D96">
            <w:pPr>
              <w:spacing w:after="0" w:line="240" w:lineRule="auto"/>
              <w:ind w:left="195" w:right="195"/>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Item PGC</w:t>
            </w:r>
            <w:r w:rsidRPr="00613D96">
              <w:rPr>
                <w:rFonts w:ascii="Segoe UI" w:eastAsia="Times New Roman" w:hAnsi="Segoe UI" w:cs="Segoe UI"/>
                <w:color w:val="000000"/>
                <w:kern w:val="0"/>
                <w:sz w:val="18"/>
                <w:szCs w:val="18"/>
                <w:lang w:eastAsia="pt-BR"/>
                <w14:ligatures w14:val="none"/>
              </w:rPr>
              <w:t xml:space="preserve"> </w:t>
            </w:r>
          </w:p>
        </w:tc>
        <w:tc>
          <w:tcPr>
            <w:tcW w:w="1214" w:type="dxa"/>
            <w:tcBorders>
              <w:top w:val="single" w:sz="12" w:space="0" w:color="2B2B2B"/>
              <w:left w:val="single" w:sz="12" w:space="0" w:color="2B2B2B"/>
              <w:bottom w:val="single" w:sz="12" w:space="0" w:color="2B2B2B"/>
              <w:right w:val="single" w:sz="12" w:space="0" w:color="2B2B2B"/>
            </w:tcBorders>
            <w:hideMark/>
          </w:tcPr>
          <w:p w14:paraId="128CE78D"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429BD773"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6FA53EB3" w14:textId="77777777" w:rsidR="00613D96" w:rsidRPr="00613D96" w:rsidRDefault="00613D96" w:rsidP="00613D96">
            <w:pPr>
              <w:spacing w:after="0" w:line="240" w:lineRule="auto"/>
              <w:ind w:right="45"/>
              <w:jc w:val="center"/>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CATSERV</w:t>
            </w:r>
            <w:r w:rsidRPr="00613D96">
              <w:rPr>
                <w:rFonts w:ascii="Segoe UI" w:eastAsia="Times New Roman" w:hAnsi="Segoe UI" w:cs="Segoe UI"/>
                <w:color w:val="000000"/>
                <w:kern w:val="0"/>
                <w:sz w:val="18"/>
                <w:szCs w:val="18"/>
                <w:lang w:eastAsia="pt-BR"/>
                <w14:ligatures w14:val="none"/>
              </w:rPr>
              <w:t xml:space="preserve"> </w:t>
            </w:r>
          </w:p>
        </w:tc>
        <w:tc>
          <w:tcPr>
            <w:tcW w:w="1062" w:type="dxa"/>
            <w:tcBorders>
              <w:top w:val="single" w:sz="12" w:space="0" w:color="2B2B2B"/>
              <w:left w:val="single" w:sz="12" w:space="0" w:color="2B2B2B"/>
              <w:bottom w:val="single" w:sz="12" w:space="0" w:color="2B2B2B"/>
              <w:right w:val="single" w:sz="12" w:space="0" w:color="2B2B2B"/>
            </w:tcBorders>
            <w:hideMark/>
          </w:tcPr>
          <w:p w14:paraId="316356C2"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4B042286"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Unidade de</w:t>
            </w:r>
          </w:p>
          <w:p w14:paraId="78AD448B"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Medida</w:t>
            </w:r>
            <w:r w:rsidRPr="00613D96">
              <w:rPr>
                <w:rFonts w:ascii="Segoe UI" w:eastAsia="Times New Roman" w:hAnsi="Segoe UI" w:cs="Segoe UI"/>
                <w:color w:val="000000"/>
                <w:kern w:val="0"/>
                <w:sz w:val="18"/>
                <w:szCs w:val="18"/>
                <w:lang w:eastAsia="pt-BR"/>
                <w14:ligatures w14:val="none"/>
              </w:rPr>
              <w:t xml:space="preserve"> </w:t>
            </w:r>
          </w:p>
        </w:tc>
        <w:tc>
          <w:tcPr>
            <w:tcW w:w="774" w:type="dxa"/>
            <w:tcBorders>
              <w:top w:val="single" w:sz="12" w:space="0" w:color="2B2B2B"/>
              <w:left w:val="single" w:sz="12" w:space="0" w:color="2B2B2B"/>
              <w:bottom w:val="single" w:sz="12" w:space="0" w:color="2B2B2B"/>
              <w:right w:val="single" w:sz="12" w:space="0" w:color="2B2B2B"/>
            </w:tcBorders>
            <w:hideMark/>
          </w:tcPr>
          <w:p w14:paraId="2A2B8ED8"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6413C22B"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Quant.</w:t>
            </w:r>
            <w:r w:rsidRPr="00613D96">
              <w:rPr>
                <w:rFonts w:ascii="Segoe UI" w:eastAsia="Times New Roman" w:hAnsi="Segoe UI" w:cs="Segoe UI"/>
                <w:color w:val="000000"/>
                <w:kern w:val="0"/>
                <w:sz w:val="18"/>
                <w:szCs w:val="18"/>
                <w:lang w:eastAsia="pt-BR"/>
                <w14:ligatures w14:val="none"/>
              </w:rPr>
              <w:t xml:space="preserve"> </w:t>
            </w:r>
          </w:p>
        </w:tc>
        <w:tc>
          <w:tcPr>
            <w:tcW w:w="1426" w:type="dxa"/>
            <w:tcBorders>
              <w:top w:val="single" w:sz="12" w:space="0" w:color="2B2B2B"/>
              <w:left w:val="single" w:sz="12" w:space="0" w:color="2B2B2B"/>
              <w:bottom w:val="single" w:sz="12" w:space="0" w:color="2B2B2B"/>
              <w:right w:val="single" w:sz="12" w:space="0" w:color="808080"/>
            </w:tcBorders>
            <w:hideMark/>
          </w:tcPr>
          <w:p w14:paraId="650CD352" w14:textId="77777777" w:rsidR="00613D96" w:rsidRPr="00613D96" w:rsidRDefault="00613D96" w:rsidP="00613D96">
            <w:pPr>
              <w:spacing w:after="0" w:line="240" w:lineRule="auto"/>
              <w:jc w:val="center"/>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3813D99D"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Valor unitário</w:t>
            </w:r>
            <w:r w:rsidRPr="00613D96">
              <w:rPr>
                <w:rFonts w:ascii="Segoe UI" w:eastAsia="Times New Roman" w:hAnsi="Segoe UI" w:cs="Segoe UI"/>
                <w:color w:val="000000"/>
                <w:kern w:val="0"/>
                <w:sz w:val="18"/>
                <w:szCs w:val="18"/>
                <w:lang w:eastAsia="pt-BR"/>
                <w14:ligatures w14:val="none"/>
              </w:rPr>
              <w:t xml:space="preserve"> </w:t>
            </w:r>
          </w:p>
        </w:tc>
        <w:tc>
          <w:tcPr>
            <w:tcW w:w="1548" w:type="dxa"/>
            <w:tcBorders>
              <w:top w:val="single" w:sz="12" w:space="0" w:color="2B2B2B"/>
              <w:left w:val="single" w:sz="12" w:space="0" w:color="2B2B2B"/>
              <w:bottom w:val="single" w:sz="12" w:space="0" w:color="2B2B2B"/>
              <w:right w:val="single" w:sz="12" w:space="0" w:color="808080"/>
            </w:tcBorders>
            <w:hideMark/>
          </w:tcPr>
          <w:p w14:paraId="6C903A4B" w14:textId="77777777" w:rsidR="00613D96" w:rsidRPr="00613D96" w:rsidRDefault="00613D96" w:rsidP="00613D96">
            <w:pPr>
              <w:spacing w:beforeAutospacing="1" w:after="0" w:afterAutospacing="1"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Valor total</w:t>
            </w:r>
          </w:p>
        </w:tc>
      </w:tr>
      <w:tr w:rsidR="00613D96" w:rsidRPr="00613D96" w14:paraId="0073C66E" w14:textId="77777777" w:rsidTr="00613D96">
        <w:tc>
          <w:tcPr>
            <w:tcW w:w="926" w:type="dxa"/>
            <w:tcBorders>
              <w:top w:val="single" w:sz="12" w:space="0" w:color="2B2B2B"/>
              <w:left w:val="single" w:sz="12" w:space="0" w:color="2B2B2B"/>
              <w:bottom w:val="single" w:sz="12" w:space="0" w:color="808080"/>
              <w:right w:val="single" w:sz="12" w:space="0" w:color="2B2B2B"/>
            </w:tcBorders>
            <w:hideMark/>
          </w:tcPr>
          <w:p w14:paraId="072FA160"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0</w:t>
            </w:r>
            <w:r w:rsidRPr="00613D96">
              <w:rPr>
                <w:rFonts w:ascii="Times New Roman" w:eastAsia="Times New Roman" w:hAnsi="Times New Roman" w:cs="Times New Roman"/>
                <w:color w:val="000000"/>
                <w:kern w:val="0"/>
                <w:lang w:eastAsia="pt-BR"/>
                <w14:ligatures w14:val="none"/>
              </w:rPr>
              <w:t>1</w:t>
            </w:r>
            <w:r w:rsidRPr="00613D96">
              <w:rPr>
                <w:rFonts w:ascii="Segoe UI" w:eastAsia="Times New Roman" w:hAnsi="Segoe UI" w:cs="Segoe UI"/>
                <w:color w:val="000000"/>
                <w:kern w:val="0"/>
                <w:sz w:val="18"/>
                <w:szCs w:val="18"/>
                <w:lang w:eastAsia="pt-BR"/>
                <w14:ligatures w14:val="none"/>
              </w:rPr>
              <w:t xml:space="preserve"> </w:t>
            </w:r>
          </w:p>
        </w:tc>
        <w:tc>
          <w:tcPr>
            <w:tcW w:w="4027" w:type="dxa"/>
            <w:tcBorders>
              <w:top w:val="single" w:sz="12" w:space="0" w:color="2B2B2B"/>
              <w:left w:val="single" w:sz="12" w:space="0" w:color="2B2B2B"/>
              <w:bottom w:val="single" w:sz="12" w:space="0" w:color="808080"/>
              <w:right w:val="single" w:sz="12" w:space="0" w:color="2B2B2B"/>
            </w:tcBorders>
            <w:hideMark/>
          </w:tcPr>
          <w:p w14:paraId="494EA4E2"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6918571A"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Calibri" w:eastAsia="Times New Roman" w:hAnsi="Calibri" w:cs="Calibri"/>
                <w:color w:val="000000"/>
                <w:kern w:val="0"/>
                <w:sz w:val="24"/>
                <w:szCs w:val="24"/>
                <w:shd w:val="clear" w:color="auto" w:fill="FFFFFF"/>
                <w:lang w:eastAsia="pt-BR"/>
                <w14:ligatures w14:val="none"/>
              </w:rPr>
              <w:t>PRESTAÇÃO DE SERVIÇO ESPECIALIZADO PARA REVITALIZAÇÃO DA EXPOSIÇÃO "AEDES: QUE MOSQUITO É ESSE?" DO MUSEU DA VIDA.</w:t>
            </w:r>
          </w:p>
          <w:p w14:paraId="65D27AF3"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tc>
        <w:tc>
          <w:tcPr>
            <w:tcW w:w="4866" w:type="dxa"/>
            <w:tcBorders>
              <w:top w:val="single" w:sz="12" w:space="0" w:color="2B2B2B"/>
              <w:left w:val="single" w:sz="12" w:space="0" w:color="2B2B2B"/>
              <w:bottom w:val="single" w:sz="12" w:space="0" w:color="808080"/>
              <w:right w:val="single" w:sz="12" w:space="0" w:color="2B2B2B"/>
            </w:tcBorders>
            <w:hideMark/>
          </w:tcPr>
          <w:p w14:paraId="56C3BBCE"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2E08AD85"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1DF59F6F"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72F2302D"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267/2023</w:t>
            </w:r>
          </w:p>
        </w:tc>
        <w:tc>
          <w:tcPr>
            <w:tcW w:w="1214" w:type="dxa"/>
            <w:tcBorders>
              <w:top w:val="single" w:sz="12" w:space="0" w:color="2B2B2B"/>
              <w:left w:val="single" w:sz="12" w:space="0" w:color="2B2B2B"/>
              <w:bottom w:val="single" w:sz="12" w:space="0" w:color="808080"/>
              <w:right w:val="single" w:sz="12" w:space="0" w:color="2B2B2B"/>
            </w:tcBorders>
            <w:hideMark/>
          </w:tcPr>
          <w:p w14:paraId="502F19CB"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39FD6CDE"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4A465E9C"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08A857F9"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15288</w:t>
            </w:r>
          </w:p>
        </w:tc>
        <w:tc>
          <w:tcPr>
            <w:tcW w:w="1062" w:type="dxa"/>
            <w:tcBorders>
              <w:top w:val="single" w:sz="12" w:space="0" w:color="2B2B2B"/>
              <w:left w:val="single" w:sz="12" w:space="0" w:color="2B2B2B"/>
              <w:bottom w:val="single" w:sz="12" w:space="0" w:color="808080"/>
              <w:right w:val="single" w:sz="12" w:space="0" w:color="2B2B2B"/>
            </w:tcBorders>
            <w:hideMark/>
          </w:tcPr>
          <w:p w14:paraId="3D43A201"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66AAE331"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44DABF0B"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16DFE696"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Times New Roman" w:eastAsia="Times New Roman" w:hAnsi="Times New Roman" w:cs="Times New Roman"/>
                <w:color w:val="000000"/>
                <w:kern w:val="0"/>
                <w:lang w:eastAsia="pt-BR"/>
                <w14:ligatures w14:val="none"/>
              </w:rPr>
              <w:t>Serviço</w:t>
            </w:r>
            <w:r w:rsidRPr="00613D96">
              <w:rPr>
                <w:rFonts w:ascii="Segoe UI" w:eastAsia="Times New Roman" w:hAnsi="Segoe UI" w:cs="Segoe UI"/>
                <w:color w:val="000000"/>
                <w:kern w:val="0"/>
                <w:sz w:val="18"/>
                <w:szCs w:val="18"/>
                <w:lang w:eastAsia="pt-BR"/>
                <w14:ligatures w14:val="none"/>
              </w:rPr>
              <w:t xml:space="preserve"> </w:t>
            </w:r>
          </w:p>
        </w:tc>
        <w:tc>
          <w:tcPr>
            <w:tcW w:w="774" w:type="dxa"/>
            <w:tcBorders>
              <w:top w:val="single" w:sz="12" w:space="0" w:color="2B2B2B"/>
              <w:left w:val="single" w:sz="12" w:space="0" w:color="2B2B2B"/>
              <w:bottom w:val="single" w:sz="12" w:space="0" w:color="808080"/>
              <w:right w:val="single" w:sz="12" w:space="0" w:color="2B2B2B"/>
            </w:tcBorders>
            <w:hideMark/>
          </w:tcPr>
          <w:p w14:paraId="269DB6F3"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0B80536F"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550D83EB"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028AA9DD"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1</w:t>
            </w:r>
          </w:p>
        </w:tc>
        <w:tc>
          <w:tcPr>
            <w:tcW w:w="1426" w:type="dxa"/>
            <w:tcBorders>
              <w:top w:val="single" w:sz="12" w:space="0" w:color="2B2B2B"/>
              <w:left w:val="single" w:sz="12" w:space="0" w:color="2B2B2B"/>
              <w:bottom w:val="single" w:sz="12" w:space="0" w:color="808080"/>
              <w:right w:val="single" w:sz="12" w:space="0" w:color="2B2B2B"/>
            </w:tcBorders>
            <w:hideMark/>
          </w:tcPr>
          <w:p w14:paraId="1CA32E72"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3B3996DF"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2B5DB01F"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443A5733" w14:textId="77777777" w:rsidR="00613D96" w:rsidRPr="00613D96" w:rsidRDefault="00613D96" w:rsidP="00613D96">
            <w:pPr>
              <w:spacing w:after="0"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xml:space="preserve">    R$55,460,00 </w:t>
            </w:r>
          </w:p>
        </w:tc>
        <w:tc>
          <w:tcPr>
            <w:tcW w:w="1548" w:type="dxa"/>
            <w:tcBorders>
              <w:top w:val="single" w:sz="12" w:space="0" w:color="2B2B2B"/>
              <w:left w:val="single" w:sz="12" w:space="0" w:color="2B2B2B"/>
              <w:bottom w:val="single" w:sz="12" w:space="0" w:color="808080"/>
              <w:right w:val="single" w:sz="12" w:space="0" w:color="808080"/>
            </w:tcBorders>
            <w:hideMark/>
          </w:tcPr>
          <w:p w14:paraId="0D301360" w14:textId="77777777" w:rsidR="00613D96" w:rsidRPr="00613D96" w:rsidRDefault="00613D96" w:rsidP="00613D96">
            <w:pPr>
              <w:spacing w:beforeAutospacing="1" w:after="0" w:afterAutospacing="1"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w:t>
            </w:r>
          </w:p>
          <w:p w14:paraId="0864072C" w14:textId="77777777" w:rsidR="00613D96" w:rsidRPr="00613D96" w:rsidRDefault="00613D96" w:rsidP="00613D96">
            <w:pPr>
              <w:spacing w:beforeAutospacing="1" w:after="0" w:afterAutospacing="1" w:line="240" w:lineRule="auto"/>
              <w:rPr>
                <w:rFonts w:ascii="Segoe UI" w:eastAsia="Times New Roman" w:hAnsi="Segoe UI" w:cs="Segoe UI"/>
                <w:color w:val="000000"/>
                <w:kern w:val="0"/>
                <w:sz w:val="18"/>
                <w:szCs w:val="18"/>
                <w:lang w:eastAsia="pt-BR"/>
                <w14:ligatures w14:val="none"/>
              </w:rPr>
            </w:pPr>
            <w:r w:rsidRPr="00613D96">
              <w:rPr>
                <w:rFonts w:ascii="Segoe UI" w:eastAsia="Times New Roman" w:hAnsi="Segoe UI" w:cs="Segoe UI"/>
                <w:color w:val="000000"/>
                <w:kern w:val="0"/>
                <w:sz w:val="18"/>
                <w:szCs w:val="18"/>
                <w:lang w:eastAsia="pt-BR"/>
                <w14:ligatures w14:val="none"/>
              </w:rPr>
              <w:t>  R$55,460,00</w:t>
            </w:r>
          </w:p>
        </w:tc>
      </w:tr>
    </w:tbl>
    <w:p w14:paraId="74901A36" w14:textId="77777777" w:rsidR="00613D96" w:rsidRPr="00613D96" w:rsidRDefault="00613D96" w:rsidP="00613D96">
      <w:pPr>
        <w:spacing w:after="0" w:line="240" w:lineRule="auto"/>
        <w:rPr>
          <w:rFonts w:ascii="Times New Roman" w:eastAsia="Times New Roman" w:hAnsi="Times New Roman" w:cs="Times New Roman"/>
          <w:vanish/>
          <w:kern w:val="0"/>
          <w:sz w:val="24"/>
          <w:szCs w:val="24"/>
          <w:lang w:eastAsia="pt-BR"/>
          <w14:ligatures w14:val="none"/>
        </w:rPr>
      </w:pPr>
    </w:p>
    <w:tbl>
      <w:tblPr>
        <w:tblW w:w="9540" w:type="dxa"/>
        <w:tblCellMar>
          <w:top w:w="15" w:type="dxa"/>
          <w:left w:w="15" w:type="dxa"/>
          <w:bottom w:w="15" w:type="dxa"/>
          <w:right w:w="15" w:type="dxa"/>
        </w:tblCellMar>
        <w:tblLook w:val="04A0" w:firstRow="1" w:lastRow="0" w:firstColumn="1" w:lastColumn="0" w:noHBand="0" w:noVBand="1"/>
      </w:tblPr>
      <w:tblGrid>
        <w:gridCol w:w="9540"/>
      </w:tblGrid>
      <w:tr w:rsidR="00613D96" w:rsidRPr="00613D96" w14:paraId="61739C20" w14:textId="77777777" w:rsidTr="00613D96">
        <w:tc>
          <w:tcPr>
            <w:tcW w:w="0" w:type="auto"/>
            <w:vAlign w:val="center"/>
            <w:hideMark/>
          </w:tcPr>
          <w:p w14:paraId="574A88EC" w14:textId="77777777" w:rsidR="00613D96" w:rsidRPr="00613D96" w:rsidRDefault="00613D96" w:rsidP="00613D96">
            <w:pPr>
              <w:spacing w:after="0" w:line="240" w:lineRule="auto"/>
              <w:rPr>
                <w:rFonts w:ascii="Times New Roman" w:eastAsia="Times New Roman" w:hAnsi="Times New Roman" w:cs="Times New Roman"/>
                <w:kern w:val="0"/>
                <w:sz w:val="24"/>
                <w:szCs w:val="24"/>
                <w:lang w:eastAsia="pt-BR"/>
                <w14:ligatures w14:val="none"/>
              </w:rPr>
            </w:pPr>
          </w:p>
        </w:tc>
      </w:tr>
    </w:tbl>
    <w:p w14:paraId="2B396206"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3725752"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1.2. O</w:t>
      </w:r>
      <w:r w:rsidRPr="00613D96">
        <w:rPr>
          <w:rFonts w:ascii="Calibri" w:eastAsia="Times New Roman" w:hAnsi="Calibri" w:cs="Calibri"/>
          <w:i/>
          <w:iCs/>
          <w:color w:val="000000"/>
          <w:kern w:val="0"/>
          <w:sz w:val="27"/>
          <w:szCs w:val="27"/>
          <w:lang w:eastAsia="pt-BR"/>
          <w14:ligatures w14:val="none"/>
        </w:rPr>
        <w:t> prazo de vigência da contratação é de 30(trinta) dias, contados da assinatura da Ordem de Fornecimento e Nota de Empenho, na forma do artigo 105 da Lei n° 14.133, de 2021.</w:t>
      </w:r>
    </w:p>
    <w:p w14:paraId="648CC82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1.3.</w:t>
      </w:r>
      <w:r w:rsidRPr="00613D96">
        <w:rPr>
          <w:rFonts w:ascii="Times New Roman" w:eastAsia="Times New Roman" w:hAnsi="Times New Roman" w:cs="Times New Roman"/>
          <w:color w:val="000000"/>
          <w:kern w:val="0"/>
          <w:lang w:eastAsia="pt-BR"/>
          <w14:ligatures w14:val="none"/>
        </w:rPr>
        <w:t>A presente contratação adotará como regime de execução empreitada por Preço Global</w:t>
      </w:r>
    </w:p>
    <w:p w14:paraId="07E707B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Times New Roman" w:eastAsia="Times New Roman" w:hAnsi="Times New Roman" w:cs="Times New Roman"/>
          <w:color w:val="000000"/>
          <w:kern w:val="0"/>
          <w:lang w:eastAsia="pt-BR"/>
          <w14:ligatures w14:val="none"/>
        </w:rPr>
        <w:t>1.4</w:t>
      </w:r>
      <w:r w:rsidRPr="00613D96">
        <w:rPr>
          <w:rFonts w:ascii="Calibri" w:eastAsia="Times New Roman" w:hAnsi="Calibri" w:cs="Calibri"/>
          <w:color w:val="000000"/>
          <w:kern w:val="0"/>
          <w:sz w:val="27"/>
          <w:szCs w:val="27"/>
          <w:lang w:eastAsia="pt-BR"/>
          <w14:ligatures w14:val="none"/>
        </w:rPr>
        <w:t>. O contrato oferece maior detalhamento das regras que serão aplicadas em relação à vigência da contratação.</w:t>
      </w:r>
    </w:p>
    <w:p w14:paraId="45209E6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0F69868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2. FUNDAMENTAÇÃO E DESCRIÇÃO DA NECESSIDADE DA CONTRATAÇÃO</w:t>
      </w:r>
    </w:p>
    <w:p w14:paraId="5E598F0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2.1. A Fundamentação da Contratação e de seus quantitativos encontra-se no item 3.1 deste Termo de Referência.</w:t>
      </w:r>
    </w:p>
    <w:p w14:paraId="2CCFDD2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2.2. O objeto da contratação está previsto no Plano de Contratações Anual 2023, conforme detalhamento a seguir:</w:t>
      </w:r>
    </w:p>
    <w:p w14:paraId="3D64C99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 ID PCA no PNCP:  33781055000135-0-000001/2023</w:t>
      </w:r>
    </w:p>
    <w:p w14:paraId="5E9648D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II) Data de publicação no PNCP: 20/05/2023</w:t>
      </w:r>
    </w:p>
    <w:p w14:paraId="4675800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III) Id do item no PCA: 267</w:t>
      </w:r>
    </w:p>
    <w:p w14:paraId="24BC71A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IV) Classe/Grupo: 871</w:t>
      </w:r>
    </w:p>
    <w:p w14:paraId="6C6175A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V) Identificador da Futura Contratação: 254488-50/2023</w:t>
      </w:r>
    </w:p>
    <w:p w14:paraId="71EB5AE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6D0B955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lastRenderedPageBreak/>
        <w:t>3. DESCRIÇÃO DA SOLUÇÃO COMO UM TODO CONSIDERADO O CICLO DE VIDA DO OBJETO E ESPECIFICAÇÃO DO SERVIÇO</w:t>
      </w:r>
    </w:p>
    <w:p w14:paraId="706D8F82"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3.1. A justificativa para esta contratação encontra-se no Documento de Formalização de Demanda (</w:t>
      </w:r>
      <w:hyperlink r:id="rId4" w:tgtFrame="_blank" w:history="1">
        <w:r w:rsidRPr="00613D96">
          <w:rPr>
            <w:rFonts w:ascii="Calibri" w:eastAsia="Times New Roman" w:hAnsi="Calibri" w:cs="Calibri"/>
            <w:color w:val="0000FF"/>
            <w:kern w:val="0"/>
            <w:sz w:val="27"/>
            <w:szCs w:val="27"/>
            <w:u w:val="single"/>
            <w:lang w:eastAsia="pt-BR"/>
            <w14:ligatures w14:val="none"/>
          </w:rPr>
          <w:t>3163124</w:t>
        </w:r>
      </w:hyperlink>
      <w:r w:rsidRPr="00613D96">
        <w:rPr>
          <w:rFonts w:ascii="Calibri" w:eastAsia="Times New Roman" w:hAnsi="Calibri" w:cs="Calibri"/>
          <w:color w:val="000000"/>
          <w:kern w:val="0"/>
          <w:sz w:val="27"/>
          <w:szCs w:val="27"/>
          <w:lang w:eastAsia="pt-BR"/>
          <w14:ligatures w14:val="none"/>
        </w:rPr>
        <w:t>)</w:t>
      </w:r>
    </w:p>
    <w:p w14:paraId="36276B22"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3.2. </w:t>
      </w:r>
      <w:r w:rsidRPr="00613D96">
        <w:rPr>
          <w:rFonts w:ascii="Calibri" w:eastAsia="Times New Roman" w:hAnsi="Calibri" w:cs="Calibri"/>
          <w:i/>
          <w:iCs/>
          <w:color w:val="000000"/>
          <w:kern w:val="0"/>
          <w:sz w:val="27"/>
          <w:szCs w:val="27"/>
          <w:lang w:eastAsia="pt-BR"/>
          <w14:ligatures w14:val="none"/>
        </w:rPr>
        <w:t>A descrição da solução como um todo encontra-se pormenorizada em abaixo:</w:t>
      </w:r>
    </w:p>
    <w:p w14:paraId="2145C966" w14:textId="77777777" w:rsidR="00613D96" w:rsidRPr="00613D96" w:rsidRDefault="00613D96" w:rsidP="00613D96">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613D96">
        <w:rPr>
          <w:rFonts w:ascii="Times New Roman" w:eastAsia="Times New Roman" w:hAnsi="Times New Roman" w:cs="Times New Roman"/>
          <w:color w:val="000000"/>
          <w:kern w:val="0"/>
          <w:sz w:val="24"/>
          <w:szCs w:val="24"/>
          <w:lang w:eastAsia="pt-BR"/>
          <w14:ligatures w14:val="none"/>
        </w:rPr>
        <w:t>3.2.1. Com o objetivo de difundir informações sobre o mosquito e as doenças que ele transmite, o Museu da Vida Fiocruz vai remontar a exposição "Aedes: que mosquito é esse?" nas salas 307 e 308 do pavilhão Mourisco, e para tanto se faz necessário a manutenção das peças expositivas como: painéis, suportes, pinturas e impressão com adesivagem de conteúdo gráfico que sofreram com as condições climáticas na armazenagem durante o período de pandemia 2020-2022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3D96" w:rsidRPr="00613D96" w14:paraId="3D0AF4B8" w14:textId="77777777" w:rsidTr="00613D96">
        <w:trPr>
          <w:tblCellSpacing w:w="15" w:type="dxa"/>
        </w:trPr>
        <w:tc>
          <w:tcPr>
            <w:tcW w:w="0" w:type="auto"/>
            <w:vAlign w:val="center"/>
            <w:hideMark/>
          </w:tcPr>
          <w:p w14:paraId="0D4C23ED" w14:textId="77777777" w:rsidR="00613D96" w:rsidRPr="00613D96" w:rsidRDefault="00613D96" w:rsidP="00613D96">
            <w:pPr>
              <w:spacing w:after="0" w:line="240" w:lineRule="auto"/>
              <w:rPr>
                <w:rFonts w:ascii="Calibri" w:eastAsia="Times New Roman" w:hAnsi="Calibri" w:cs="Calibri"/>
                <w:color w:val="000000"/>
                <w:kern w:val="0"/>
                <w:sz w:val="27"/>
                <w:szCs w:val="27"/>
                <w:lang w:eastAsia="pt-BR"/>
                <w14:ligatures w14:val="none"/>
              </w:rPr>
            </w:pPr>
          </w:p>
        </w:tc>
      </w:tr>
    </w:tbl>
    <w:p w14:paraId="685B047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3.3. A execução seguirá a seguinte dinâmica:</w:t>
      </w:r>
    </w:p>
    <w:p w14:paraId="06C75054" w14:textId="77777777" w:rsidR="00613D96" w:rsidRPr="00613D96" w:rsidRDefault="00613D96" w:rsidP="00613D96">
      <w:pPr>
        <w:spacing w:before="195" w:after="0" w:line="240" w:lineRule="auto"/>
        <w:ind w:left="1800" w:right="1005" w:hanging="9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4"/>
          <w:szCs w:val="24"/>
          <w:lang w:eastAsia="pt-BR"/>
          <w14:ligatures w14:val="none"/>
        </w:rPr>
        <w:t>3.3.1.</w:t>
      </w:r>
      <w:r w:rsidRPr="00613D96">
        <w:rPr>
          <w:rFonts w:ascii="Calibri" w:eastAsia="Times New Roman" w:hAnsi="Calibri" w:cs="Calibri"/>
          <w:color w:val="000000"/>
          <w:kern w:val="0"/>
          <w:lang w:eastAsia="pt-BR"/>
          <w14:ligatures w14:val="none"/>
        </w:rPr>
        <w:t> A manutenção, revitalização e montagem da exposição deverá seguir o </w:t>
      </w:r>
      <w:r w:rsidRPr="00613D96">
        <w:rPr>
          <w:rFonts w:ascii="Calibri" w:eastAsia="Times New Roman" w:hAnsi="Calibri" w:cs="Calibri"/>
          <w:b/>
          <w:bCs/>
          <w:i/>
          <w:iCs/>
          <w:color w:val="000000"/>
          <w:kern w:val="0"/>
          <w:lang w:eastAsia="pt-BR"/>
          <w14:ligatures w14:val="none"/>
        </w:rPr>
        <w:t>Manual de montagem da exposição Aedes que mosquito é esse?</w:t>
      </w:r>
      <w:r w:rsidRPr="00613D96">
        <w:rPr>
          <w:rFonts w:ascii="Calibri" w:eastAsia="Times New Roman" w:hAnsi="Calibri" w:cs="Calibri"/>
          <w:i/>
          <w:iCs/>
          <w:color w:val="000000"/>
          <w:kern w:val="0"/>
          <w:lang w:eastAsia="pt-BR"/>
          <w14:ligatures w14:val="none"/>
        </w:rPr>
        <w:t> </w:t>
      </w:r>
      <w:r w:rsidRPr="00613D96">
        <w:rPr>
          <w:rFonts w:ascii="Calibri" w:eastAsia="Times New Roman" w:hAnsi="Calibri" w:cs="Calibri"/>
          <w:color w:val="000000"/>
          <w:kern w:val="0"/>
          <w:lang w:eastAsia="pt-BR"/>
          <w14:ligatures w14:val="none"/>
        </w:rPr>
        <w:t>que se encontra neste processo, como documento SEI nº (</w:t>
      </w:r>
      <w:hyperlink r:id="rId5" w:tgtFrame="_blank" w:history="1">
        <w:r w:rsidRPr="00613D96">
          <w:rPr>
            <w:rFonts w:ascii="Calibri" w:eastAsia="Times New Roman" w:hAnsi="Calibri" w:cs="Calibri"/>
            <w:color w:val="0000FF"/>
            <w:kern w:val="0"/>
            <w:u w:val="single"/>
            <w:lang w:eastAsia="pt-BR"/>
            <w14:ligatures w14:val="none"/>
          </w:rPr>
          <w:t>3186755</w:t>
        </w:r>
      </w:hyperlink>
      <w:r w:rsidRPr="00613D96">
        <w:rPr>
          <w:rFonts w:ascii="Calibri" w:eastAsia="Times New Roman" w:hAnsi="Calibri" w:cs="Calibri"/>
          <w:color w:val="000000"/>
          <w:kern w:val="0"/>
          <w:lang w:eastAsia="pt-BR"/>
          <w14:ligatures w14:val="none"/>
        </w:rPr>
        <w:t>), que contém descrições técnicas, referências das cores usadas, assim como, formas de montagem. </w:t>
      </w:r>
    </w:p>
    <w:p w14:paraId="27616D1A" w14:textId="77777777" w:rsidR="00613D96" w:rsidRPr="00613D96" w:rsidRDefault="00613D96" w:rsidP="00613D96">
      <w:pPr>
        <w:spacing w:before="195" w:after="0" w:line="240" w:lineRule="auto"/>
        <w:ind w:left="24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 A manutenção </w:t>
      </w:r>
      <w:r w:rsidRPr="00613D96">
        <w:rPr>
          <w:rFonts w:ascii="Calibri" w:eastAsia="Times New Roman" w:hAnsi="Calibri" w:cs="Calibri"/>
          <w:color w:val="000000"/>
          <w:kern w:val="0"/>
          <w:lang w:eastAsia="pt-BR"/>
          <w14:ligatures w14:val="none"/>
        </w:rPr>
        <w:t>da parte de </w:t>
      </w:r>
      <w:r w:rsidRPr="00613D96">
        <w:rPr>
          <w:rFonts w:ascii="Calibri" w:eastAsia="Times New Roman" w:hAnsi="Calibri" w:cs="Calibri"/>
          <w:color w:val="000000"/>
          <w:kern w:val="0"/>
          <w:sz w:val="24"/>
          <w:szCs w:val="24"/>
          <w:lang w:eastAsia="pt-BR"/>
          <w14:ligatures w14:val="none"/>
        </w:rPr>
        <w:t>marcenaria, serralheria e impressão digital de parte da </w:t>
      </w:r>
      <w:r w:rsidRPr="00613D96">
        <w:rPr>
          <w:rFonts w:ascii="Calibri" w:eastAsia="Times New Roman" w:hAnsi="Calibri" w:cs="Calibri"/>
          <w:color w:val="000000"/>
          <w:kern w:val="0"/>
          <w:lang w:eastAsia="pt-BR"/>
          <w14:ligatures w14:val="none"/>
        </w:rPr>
        <w:t>e</w:t>
      </w:r>
      <w:r w:rsidRPr="00613D96">
        <w:rPr>
          <w:rFonts w:ascii="Calibri" w:eastAsia="Times New Roman" w:hAnsi="Calibri" w:cs="Calibri"/>
          <w:color w:val="000000"/>
          <w:kern w:val="0"/>
          <w:sz w:val="24"/>
          <w:szCs w:val="24"/>
          <w:lang w:eastAsia="pt-BR"/>
          <w14:ligatures w14:val="none"/>
        </w:rPr>
        <w:t>xposição Aedes: Que mosquito é esse, conforme descrito abaixo:</w:t>
      </w:r>
    </w:p>
    <w:p w14:paraId="5FA335F7"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3.3.1.1.1. Substituição e tratamento com pintura de 12 painéis em MDF de 20mm, medindo: 1,42 x 0,60 M;</w:t>
      </w:r>
    </w:p>
    <w:p w14:paraId="135A356D"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3.3.1.1.2. Substituição e tratamento com pintura de 03 painéis em MDF de 20mm, medindo: 1,95 x 2,30M;</w:t>
      </w:r>
    </w:p>
    <w:p w14:paraId="06C05145"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3.3.1.1.3. Substituição e tratamento com pintura de 04 tampos de mesa em MDF de 20mm, medindo: 1,00x 1,30M;</w:t>
      </w:r>
    </w:p>
    <w:p w14:paraId="1AFA8029"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 xml:space="preserve">3.3.1.1.4. Substituição e tratamento com pintura de 09 peças pertencentes aos tetos dos módulos 1, 2 e </w:t>
      </w:r>
      <w:proofErr w:type="gramStart"/>
      <w:r w:rsidRPr="00613D96">
        <w:rPr>
          <w:rFonts w:ascii="Calibri" w:eastAsia="Times New Roman" w:hAnsi="Calibri" w:cs="Calibri"/>
          <w:color w:val="000000"/>
          <w:kern w:val="0"/>
          <w:sz w:val="24"/>
          <w:szCs w:val="24"/>
          <w:lang w:eastAsia="pt-BR"/>
          <w14:ligatures w14:val="none"/>
        </w:rPr>
        <w:t>3 mesa</w:t>
      </w:r>
      <w:proofErr w:type="gramEnd"/>
      <w:r w:rsidRPr="00613D96">
        <w:rPr>
          <w:rFonts w:ascii="Calibri" w:eastAsia="Times New Roman" w:hAnsi="Calibri" w:cs="Calibri"/>
          <w:color w:val="000000"/>
          <w:kern w:val="0"/>
          <w:sz w:val="24"/>
          <w:szCs w:val="24"/>
          <w:lang w:eastAsia="pt-BR"/>
          <w14:ligatures w14:val="none"/>
        </w:rPr>
        <w:t xml:space="preserve"> em MDF de 20mm, medindo: 2,45x0,80M;</w:t>
      </w:r>
    </w:p>
    <w:p w14:paraId="1713724C"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3.3.1.1.5. Plotagem com recorte eletrônico de todas as peças manutenidas descritas acima, somando 25M²;</w:t>
      </w:r>
    </w:p>
    <w:p w14:paraId="6014996F" w14:textId="77777777" w:rsidR="00613D96" w:rsidRPr="00613D96" w:rsidRDefault="00613D96" w:rsidP="00613D96">
      <w:pPr>
        <w:spacing w:before="195" w:after="0" w:line="240" w:lineRule="auto"/>
        <w:ind w:left="30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3.3.1.1.6. Pintura de estrutura metálica de todas as peças manutenidas descritas acima.</w:t>
      </w:r>
    </w:p>
    <w:p w14:paraId="114F30A3" w14:textId="77777777" w:rsidR="00613D96" w:rsidRPr="00613D96" w:rsidRDefault="00613D96" w:rsidP="00613D96">
      <w:pPr>
        <w:spacing w:before="195" w:after="0" w:line="240" w:lineRule="auto"/>
        <w:ind w:left="18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3.3.2. Embalagem e transporte e montagem da exposição para as salas </w:t>
      </w:r>
      <w:r w:rsidRPr="00613D96">
        <w:rPr>
          <w:rFonts w:ascii="Times New Roman" w:eastAsia="Times New Roman" w:hAnsi="Times New Roman" w:cs="Times New Roman"/>
          <w:color w:val="000000"/>
          <w:kern w:val="0"/>
          <w:sz w:val="24"/>
          <w:szCs w:val="24"/>
          <w:lang w:eastAsia="pt-BR"/>
          <w14:ligatures w14:val="none"/>
        </w:rPr>
        <w:t>307 e 308 do pavilhão Mourisco;</w:t>
      </w:r>
    </w:p>
    <w:p w14:paraId="2609939D" w14:textId="77777777" w:rsidR="00613D96" w:rsidRPr="00613D96" w:rsidRDefault="00613D96" w:rsidP="00613D96">
      <w:pPr>
        <w:spacing w:before="195" w:after="0" w:line="240" w:lineRule="auto"/>
        <w:ind w:left="18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sz w:val="24"/>
          <w:szCs w:val="24"/>
          <w:lang w:eastAsia="pt-BR"/>
          <w14:ligatures w14:val="none"/>
        </w:rPr>
        <w:t> </w:t>
      </w:r>
      <w:r w:rsidRPr="00613D96">
        <w:rPr>
          <w:rFonts w:ascii="Calibri" w:eastAsia="Times New Roman" w:hAnsi="Calibri" w:cs="Calibri"/>
          <w:color w:val="000000"/>
          <w:kern w:val="0"/>
          <w:lang w:eastAsia="pt-BR"/>
          <w14:ligatures w14:val="none"/>
        </w:rPr>
        <w:t xml:space="preserve">3. 3.3. O transporte da exposição do Campus Manguinhos da </w:t>
      </w:r>
      <w:proofErr w:type="gramStart"/>
      <w:r w:rsidRPr="00613D96">
        <w:rPr>
          <w:rFonts w:ascii="Calibri" w:eastAsia="Times New Roman" w:hAnsi="Calibri" w:cs="Calibri"/>
          <w:color w:val="000000"/>
          <w:kern w:val="0"/>
          <w:lang w:eastAsia="pt-BR"/>
          <w14:ligatures w14:val="none"/>
        </w:rPr>
        <w:t>Fiocruz  para</w:t>
      </w:r>
      <w:proofErr w:type="gramEnd"/>
      <w:r w:rsidRPr="00613D96">
        <w:rPr>
          <w:rFonts w:ascii="Calibri" w:eastAsia="Times New Roman" w:hAnsi="Calibri" w:cs="Calibri"/>
          <w:color w:val="000000"/>
          <w:kern w:val="0"/>
          <w:lang w:eastAsia="pt-BR"/>
          <w14:ligatures w14:val="none"/>
        </w:rPr>
        <w:t xml:space="preserve"> oficina de marcenaria e Serralheria deve ser custeado pelo prestador de serviço.</w:t>
      </w:r>
    </w:p>
    <w:p w14:paraId="5870C2EE" w14:textId="77777777" w:rsidR="00613D96" w:rsidRPr="00613D96" w:rsidRDefault="00613D96" w:rsidP="00613D96">
      <w:pPr>
        <w:spacing w:before="195" w:after="0" w:line="240" w:lineRule="auto"/>
        <w:ind w:left="1800" w:right="1005" w:hanging="90"/>
        <w:rPr>
          <w:rFonts w:ascii="Times New Roman" w:eastAsia="Times New Roman" w:hAnsi="Times New Roman" w:cs="Times New Roman"/>
          <w:color w:val="000000"/>
          <w:kern w:val="0"/>
          <w:sz w:val="27"/>
          <w:szCs w:val="27"/>
          <w:lang w:eastAsia="pt-BR"/>
          <w14:ligatures w14:val="none"/>
        </w:rPr>
      </w:pPr>
      <w:r w:rsidRPr="00613D96">
        <w:rPr>
          <w:rFonts w:ascii="Calibri" w:eastAsia="Times New Roman" w:hAnsi="Calibri" w:cs="Calibri"/>
          <w:color w:val="000000"/>
          <w:kern w:val="0"/>
          <w:lang w:eastAsia="pt-BR"/>
          <w14:ligatures w14:val="none"/>
        </w:rPr>
        <w:t>3.3.4. </w:t>
      </w:r>
      <w:r w:rsidRPr="00613D96">
        <w:rPr>
          <w:rFonts w:ascii="Calibri" w:eastAsia="Times New Roman" w:hAnsi="Calibri" w:cs="Calibri"/>
          <w:color w:val="000000"/>
          <w:kern w:val="0"/>
          <w:sz w:val="24"/>
          <w:szCs w:val="24"/>
          <w:lang w:eastAsia="pt-BR"/>
          <w14:ligatures w14:val="none"/>
        </w:rPr>
        <w:t>Cabe ressaltar que é de responsabilidade do Museu da Vida, toda a parte de içamento das partes da exposição que são grandes demais para serem transportadas por dentro do pavilhão Mourisco.</w:t>
      </w:r>
    </w:p>
    <w:p w14:paraId="78F2F694" w14:textId="77777777" w:rsidR="00613D96" w:rsidRPr="00613D96" w:rsidRDefault="00613D96" w:rsidP="00613D96">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lastRenderedPageBreak/>
        <w:t> </w:t>
      </w:r>
    </w:p>
    <w:p w14:paraId="1BEA8EF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4. REQUISITOS DA CONTRATAÇÃO</w:t>
      </w:r>
    </w:p>
    <w:p w14:paraId="107B75AC"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i/>
          <w:iCs/>
          <w:color w:val="000000"/>
          <w:kern w:val="0"/>
          <w:sz w:val="27"/>
          <w:szCs w:val="27"/>
          <w:lang w:eastAsia="pt-BR"/>
          <w14:ligatures w14:val="none"/>
        </w:rPr>
        <w:t>Sustentabilidade:</w:t>
      </w:r>
    </w:p>
    <w:p w14:paraId="6B5DF61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4.1 Não </w:t>
      </w:r>
      <w:r w:rsidRPr="00613D96">
        <w:rPr>
          <w:rFonts w:ascii="Calibri" w:eastAsia="Times New Roman" w:hAnsi="Calibri" w:cs="Calibri"/>
          <w:i/>
          <w:iCs/>
          <w:color w:val="000000"/>
          <w:kern w:val="0"/>
          <w:sz w:val="27"/>
          <w:szCs w:val="27"/>
          <w:lang w:eastAsia="pt-BR"/>
          <w14:ligatures w14:val="none"/>
        </w:rPr>
        <w:t>se aplica.</w:t>
      </w:r>
    </w:p>
    <w:p w14:paraId="0EB6A973"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108F533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Subcontratação</w:t>
      </w:r>
    </w:p>
    <w:p w14:paraId="6577D51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4.16. </w:t>
      </w:r>
      <w:r w:rsidRPr="00613D96">
        <w:rPr>
          <w:rFonts w:ascii="Calibri" w:eastAsia="Times New Roman" w:hAnsi="Calibri" w:cs="Calibri"/>
          <w:i/>
          <w:iCs/>
          <w:color w:val="000000"/>
          <w:kern w:val="0"/>
          <w:sz w:val="27"/>
          <w:szCs w:val="27"/>
          <w:lang w:eastAsia="pt-BR"/>
          <w14:ligatures w14:val="none"/>
        </w:rPr>
        <w:t>Não é admitida a subcontratação do objeto contratual.</w:t>
      </w:r>
    </w:p>
    <w:p w14:paraId="4136E67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7233460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Garantia da contratação</w:t>
      </w:r>
    </w:p>
    <w:p w14:paraId="3412779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4.19. Não haverá exigência da garantia da contratação dos </w:t>
      </w:r>
      <w:hyperlink r:id="rId6" w:anchor="art96" w:history="1">
        <w:r w:rsidRPr="00613D96">
          <w:rPr>
            <w:rFonts w:ascii="Calibri" w:eastAsia="Times New Roman" w:hAnsi="Calibri" w:cs="Calibri"/>
            <w:color w:val="0000FF"/>
            <w:kern w:val="0"/>
            <w:sz w:val="27"/>
            <w:szCs w:val="27"/>
            <w:u w:val="single"/>
            <w:lang w:eastAsia="pt-BR"/>
            <w14:ligatures w14:val="none"/>
          </w:rPr>
          <w:t>artigos 96 e seguintes da Lei nº 14.133, de 2021</w:t>
        </w:r>
      </w:hyperlink>
      <w:r w:rsidRPr="00613D96">
        <w:rPr>
          <w:rFonts w:ascii="Calibri" w:eastAsia="Times New Roman" w:hAnsi="Calibri" w:cs="Calibri"/>
          <w:color w:val="000000"/>
          <w:kern w:val="0"/>
          <w:sz w:val="27"/>
          <w:szCs w:val="27"/>
          <w:lang w:eastAsia="pt-BR"/>
          <w14:ligatures w14:val="none"/>
        </w:rPr>
        <w:t>.</w:t>
      </w:r>
    </w:p>
    <w:p w14:paraId="4383089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14EC704E"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5. MODELO DE EXECUÇÃO DO OBJETO</w:t>
      </w:r>
    </w:p>
    <w:p w14:paraId="4D9D1AB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Condições de prestação de serviço</w:t>
      </w:r>
    </w:p>
    <w:p w14:paraId="1F16585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5.1. O prazo de entrega dos serviços é de 30 (trinta) dias, contados da assinatura da Ordem de Fornecimento e Nota de Empenho.</w:t>
      </w:r>
    </w:p>
    <w:p w14:paraId="3747B92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5.2. Caso não seja possível a prestação de serviço na data assinalada, a empresa deverá comunicar as razões respectivas com pelo menos 10 (dez) dias de antecedência para que qualquer pleito de prorrogação de prazo seja analisado, ressalvadas situações de caso fortuito e força maior.</w:t>
      </w:r>
    </w:p>
    <w:p w14:paraId="5595F151" w14:textId="77777777" w:rsidR="00613D96" w:rsidRPr="00613D96" w:rsidRDefault="00613D96" w:rsidP="00613D96">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613D96">
        <w:rPr>
          <w:rFonts w:ascii="Arial" w:eastAsia="Times New Roman" w:hAnsi="Arial" w:cs="Arial"/>
          <w:color w:val="FF0000"/>
          <w:kern w:val="0"/>
          <w:sz w:val="20"/>
          <w:szCs w:val="20"/>
          <w:lang w:eastAsia="pt-BR"/>
          <w14:ligatures w14:val="none"/>
        </w:rPr>
        <w:t>                   </w:t>
      </w:r>
      <w:r w:rsidRPr="00613D96">
        <w:rPr>
          <w:rFonts w:ascii="Arial" w:eastAsia="Times New Roman" w:hAnsi="Arial" w:cs="Arial"/>
          <w:color w:val="000000"/>
          <w:kern w:val="0"/>
          <w:sz w:val="20"/>
          <w:szCs w:val="20"/>
          <w:lang w:eastAsia="pt-BR"/>
          <w14:ligatures w14:val="none"/>
        </w:rPr>
        <w:t>  </w:t>
      </w:r>
    </w:p>
    <w:p w14:paraId="74579174" w14:textId="77777777" w:rsidR="00613D96" w:rsidRPr="00613D96" w:rsidRDefault="00613D96" w:rsidP="00613D96">
      <w:pPr>
        <w:spacing w:before="240" w:after="120" w:line="240" w:lineRule="auto"/>
        <w:ind w:left="1200"/>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Local e horário da prestação dos serviços</w:t>
      </w:r>
    </w:p>
    <w:p w14:paraId="5E7417F5"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5.3. Os serviços poderão ser prestados conforme o cronograma pormenorizado no tópico 3.2.1. deste Termo de Referência.</w:t>
      </w:r>
    </w:p>
    <w:p w14:paraId="26C805EB" w14:textId="77777777" w:rsidR="00613D96" w:rsidRPr="00613D96" w:rsidRDefault="00613D96" w:rsidP="00613D96">
      <w:pPr>
        <w:spacing w:before="120" w:after="120" w:line="240" w:lineRule="auto"/>
        <w:ind w:left="24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6297E222" w14:textId="77777777" w:rsidR="00613D96" w:rsidRPr="00613D96" w:rsidRDefault="00613D96" w:rsidP="00613D96">
      <w:pPr>
        <w:spacing w:after="0" w:line="240" w:lineRule="auto"/>
        <w:ind w:left="6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Informações relevantes para o dimensionamento da proposta</w:t>
      </w:r>
    </w:p>
    <w:p w14:paraId="77CB236A"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5.4. A demanda do órgão tem como base as características descritas no tópico 3.3 deste Termo de Referência.</w:t>
      </w:r>
    </w:p>
    <w:p w14:paraId="471A9D62" w14:textId="77777777" w:rsidR="00613D96" w:rsidRPr="00613D96" w:rsidRDefault="00613D96" w:rsidP="00613D96">
      <w:pPr>
        <w:spacing w:before="120" w:after="120" w:line="240" w:lineRule="auto"/>
        <w:ind w:left="1005"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63148673" w14:textId="77777777" w:rsidR="00613D96" w:rsidRPr="00613D96" w:rsidRDefault="00613D96" w:rsidP="00613D96">
      <w:pPr>
        <w:spacing w:before="120" w:after="120" w:line="240" w:lineRule="auto"/>
        <w:ind w:left="1005"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2576DF6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6. MODELO DE GESTÃO DO CONTRATO</w:t>
      </w:r>
    </w:p>
    <w:p w14:paraId="5C65C61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 O contrato deverá ser executado fielmente pelas partes, de acordo com as cláusulas avençadas e as normas da Lei nº 14.133, de 2021, e cada parte responderá pelas consequências de sua inexecução total ou parcial.</w:t>
      </w:r>
    </w:p>
    <w:p w14:paraId="476D3F5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lastRenderedPageBreak/>
        <w:t>6.2. Em caso de impedimento, ordem de paralisação ou suspensão do contrato, o cronograma de execução será prorrogado automaticamente pelo tempo correspondente, anotadas tais circunstâncias mediante simples apostila.</w:t>
      </w:r>
    </w:p>
    <w:p w14:paraId="4524B8E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6.3. As comunicações entre o órgão ou entidade e a contratada devem ser realizadas por escrito sempre que o ato exigir tal formalidade, admitindo-se o uso de mensagem eletrônica para esse fim.</w:t>
      </w:r>
    </w:p>
    <w:p w14:paraId="2CD6B29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6.4 O órgão ou entidade poderá convocar representante da empresa para adoção de providências que devam ser cumpridas de imediato.</w:t>
      </w:r>
    </w:p>
    <w:p w14:paraId="438E0C9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6.5. Após a assinatura do contrato ou instrumento equivalente</w:t>
      </w:r>
      <w:r w:rsidRPr="00613D96">
        <w:rPr>
          <w:rFonts w:ascii="Calibri" w:eastAsia="Times New Roman" w:hAnsi="Calibri" w:cs="Calibri"/>
          <w:strike/>
          <w:color w:val="000000"/>
          <w:kern w:val="0"/>
          <w:sz w:val="27"/>
          <w:szCs w:val="27"/>
          <w:lang w:eastAsia="pt-BR"/>
          <w14:ligatures w14:val="none"/>
        </w:rPr>
        <w:t>,</w:t>
      </w:r>
      <w:r w:rsidRPr="00613D96">
        <w:rPr>
          <w:rFonts w:ascii="Calibri" w:eastAsia="Times New Roman" w:hAnsi="Calibri" w:cs="Calibri"/>
          <w:color w:val="000000"/>
          <w:kern w:val="0"/>
          <w:sz w:val="27"/>
          <w:szCs w:val="27"/>
          <w:lang w:eastAsia="pt-BR"/>
          <w14:ligatures w14:val="none"/>
        </w:rPr>
        <w:t>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84FBF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6.6. A execução do contrato deverá ser acompanhada e fiscalizada pelo(s) fiscal(</w:t>
      </w:r>
      <w:proofErr w:type="spellStart"/>
      <w:r w:rsidRPr="00613D96">
        <w:rPr>
          <w:rFonts w:ascii="Calibri" w:eastAsia="Times New Roman" w:hAnsi="Calibri" w:cs="Calibri"/>
          <w:color w:val="000000"/>
          <w:kern w:val="0"/>
          <w:sz w:val="27"/>
          <w:szCs w:val="27"/>
          <w:lang w:eastAsia="pt-BR"/>
          <w14:ligatures w14:val="none"/>
        </w:rPr>
        <w:t>is</w:t>
      </w:r>
      <w:proofErr w:type="spellEnd"/>
      <w:r w:rsidRPr="00613D96">
        <w:rPr>
          <w:rFonts w:ascii="Calibri" w:eastAsia="Times New Roman" w:hAnsi="Calibri" w:cs="Calibri"/>
          <w:color w:val="000000"/>
          <w:kern w:val="0"/>
          <w:sz w:val="27"/>
          <w:szCs w:val="27"/>
          <w:lang w:eastAsia="pt-BR"/>
          <w14:ligatures w14:val="none"/>
        </w:rPr>
        <w:t>) do contrato, ou pelos respectivos substitutos (</w:t>
      </w:r>
      <w:hyperlink r:id="rId7" w:anchor="art117" w:history="1">
        <w:r w:rsidRPr="00613D96">
          <w:rPr>
            <w:rFonts w:ascii="Calibri" w:eastAsia="Times New Roman" w:hAnsi="Calibri" w:cs="Calibri"/>
            <w:color w:val="0000FF"/>
            <w:kern w:val="0"/>
            <w:sz w:val="27"/>
            <w:szCs w:val="27"/>
            <w:u w:val="single"/>
            <w:lang w:eastAsia="pt-BR"/>
            <w14:ligatures w14:val="none"/>
          </w:rPr>
          <w:t>Lei nº 14.133, de 2021, art. 117, caput</w:t>
        </w:r>
      </w:hyperlink>
      <w:r w:rsidRPr="00613D96">
        <w:rPr>
          <w:rFonts w:ascii="Calibri" w:eastAsia="Times New Roman" w:hAnsi="Calibri" w:cs="Calibri"/>
          <w:color w:val="000000"/>
          <w:kern w:val="0"/>
          <w:sz w:val="27"/>
          <w:szCs w:val="27"/>
          <w:lang w:eastAsia="pt-BR"/>
          <w14:ligatures w14:val="none"/>
        </w:rPr>
        <w:t>).</w:t>
      </w:r>
    </w:p>
    <w:p w14:paraId="77C395D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255821C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Fiscalização Técnica</w:t>
      </w:r>
    </w:p>
    <w:p w14:paraId="4114FD5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6.7 O fiscal técnico do contrato acompanhará a execução do contrato, para que sejam cumpridas todas as condições estabelecidas no contrato, de modo a assegurar os melhores resultados para a Administração. (Decreto nº 11.246, de 2022, art. 22, VI);</w:t>
      </w:r>
    </w:p>
    <w:p w14:paraId="5D483DA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6.8. O fiscal técnico do contrato anotará no histórico de gerenciamento do contrato todas as ocorrências relacionadas à execução do contrato, com a descrição do que for necessário para a regularização das faltas ou dos defeitos observados. (</w:t>
      </w:r>
      <w:hyperlink r:id="rId8" w:anchor="art117%C2%A71" w:history="1">
        <w:r w:rsidRPr="00613D96">
          <w:rPr>
            <w:rFonts w:ascii="Calibri" w:eastAsia="Times New Roman" w:hAnsi="Calibri" w:cs="Calibri"/>
            <w:color w:val="0000FF"/>
            <w:kern w:val="0"/>
            <w:sz w:val="27"/>
            <w:szCs w:val="27"/>
            <w:u w:val="single"/>
            <w:lang w:eastAsia="pt-BR"/>
            <w14:ligatures w14:val="none"/>
          </w:rPr>
          <w:t>Lei nº 14.133, de 2021, art. 117, §1º</w:t>
        </w:r>
      </w:hyperlink>
      <w:r w:rsidRPr="00613D96">
        <w:rPr>
          <w:rFonts w:ascii="Calibri" w:eastAsia="Times New Roman" w:hAnsi="Calibri" w:cs="Calibri"/>
          <w:color w:val="000000"/>
          <w:kern w:val="0"/>
          <w:sz w:val="27"/>
          <w:szCs w:val="27"/>
          <w:lang w:eastAsia="pt-BR"/>
          <w14:ligatures w14:val="none"/>
        </w:rPr>
        <w:t>, e </w:t>
      </w:r>
      <w:hyperlink r:id="rId9" w:anchor="art22" w:history="1">
        <w:r w:rsidRPr="00613D96">
          <w:rPr>
            <w:rFonts w:ascii="Calibri" w:eastAsia="Times New Roman" w:hAnsi="Calibri" w:cs="Calibri"/>
            <w:color w:val="0000FF"/>
            <w:kern w:val="0"/>
            <w:sz w:val="27"/>
            <w:szCs w:val="27"/>
            <w:u w:val="single"/>
            <w:lang w:eastAsia="pt-BR"/>
            <w14:ligatures w14:val="none"/>
          </w:rPr>
          <w:t>Decreto nº 11.246, de 2022, art. 22, II);</w:t>
        </w:r>
      </w:hyperlink>
    </w:p>
    <w:p w14:paraId="37725FA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6.9. Identificada qualquer inexatidão ou irregularidade, o fiscal técnico do contrato emitirá notificações para a correção da execução do contrato, determinando prazo para a correção. (</w:t>
      </w:r>
      <w:hyperlink r:id="rId10" w:anchor="art22" w:history="1">
        <w:r w:rsidRPr="00613D96">
          <w:rPr>
            <w:rFonts w:ascii="Calibri" w:eastAsia="Times New Roman" w:hAnsi="Calibri" w:cs="Calibri"/>
            <w:color w:val="0000FF"/>
            <w:kern w:val="0"/>
            <w:sz w:val="27"/>
            <w:szCs w:val="27"/>
            <w:u w:val="single"/>
            <w:lang w:eastAsia="pt-BR"/>
            <w14:ligatures w14:val="none"/>
          </w:rPr>
          <w:t>Decreto nº 11.246, de 2022, art. 22, III</w:t>
        </w:r>
      </w:hyperlink>
      <w:r w:rsidRPr="00613D96">
        <w:rPr>
          <w:rFonts w:ascii="Calibri" w:eastAsia="Times New Roman" w:hAnsi="Calibri" w:cs="Calibri"/>
          <w:color w:val="000000"/>
          <w:kern w:val="0"/>
          <w:sz w:val="27"/>
          <w:szCs w:val="27"/>
          <w:lang w:eastAsia="pt-BR"/>
          <w14:ligatures w14:val="none"/>
        </w:rPr>
        <w:t>);</w:t>
      </w:r>
    </w:p>
    <w:p w14:paraId="39CD3D2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6.10. O fiscal técnico do contrato informará ao gestor do contato, em tempo hábil, a situação que demandar decisão ou adoção de medidas que ultrapassem sua competência, para que adote as medidas necessárias e saneadoras, se for o caso. (</w:t>
      </w:r>
      <w:hyperlink r:id="rId11" w:anchor="art22" w:history="1">
        <w:r w:rsidRPr="00613D96">
          <w:rPr>
            <w:rFonts w:ascii="Calibri" w:eastAsia="Times New Roman" w:hAnsi="Calibri" w:cs="Calibri"/>
            <w:color w:val="0000FF"/>
            <w:kern w:val="0"/>
            <w:sz w:val="27"/>
            <w:szCs w:val="27"/>
            <w:u w:val="single"/>
            <w:lang w:eastAsia="pt-BR"/>
            <w14:ligatures w14:val="none"/>
          </w:rPr>
          <w:t>Decreto nº 11.246, de 2022, art. 22, IV</w:t>
        </w:r>
      </w:hyperlink>
      <w:r w:rsidRPr="00613D96">
        <w:rPr>
          <w:rFonts w:ascii="Calibri" w:eastAsia="Times New Roman" w:hAnsi="Calibri" w:cs="Calibri"/>
          <w:color w:val="000000"/>
          <w:kern w:val="0"/>
          <w:sz w:val="27"/>
          <w:szCs w:val="27"/>
          <w:lang w:eastAsia="pt-BR"/>
          <w14:ligatures w14:val="none"/>
        </w:rPr>
        <w:t>).</w:t>
      </w:r>
    </w:p>
    <w:p w14:paraId="11B0AC3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6.11. No caso de ocorrências que possam inviabilizar a execução do contrato nas datas aprazadas, o fiscal técnico do contrato comunicará o fato imediatamente ao gestor do contrato. (</w:t>
      </w:r>
      <w:hyperlink r:id="rId12" w:anchor="art22" w:history="1">
        <w:r w:rsidRPr="00613D96">
          <w:rPr>
            <w:rFonts w:ascii="Calibri" w:eastAsia="Times New Roman" w:hAnsi="Calibri" w:cs="Calibri"/>
            <w:color w:val="0000FF"/>
            <w:kern w:val="0"/>
            <w:sz w:val="27"/>
            <w:szCs w:val="27"/>
            <w:u w:val="single"/>
            <w:lang w:eastAsia="pt-BR"/>
            <w14:ligatures w14:val="none"/>
          </w:rPr>
          <w:t>Decreto nº 11.246, de 2022, art. 22, V</w:t>
        </w:r>
      </w:hyperlink>
      <w:r w:rsidRPr="00613D96">
        <w:rPr>
          <w:rFonts w:ascii="Calibri" w:eastAsia="Times New Roman" w:hAnsi="Calibri" w:cs="Calibri"/>
          <w:color w:val="000000"/>
          <w:kern w:val="0"/>
          <w:sz w:val="27"/>
          <w:szCs w:val="27"/>
          <w:lang w:eastAsia="pt-BR"/>
          <w14:ligatures w14:val="none"/>
        </w:rPr>
        <w:t>).</w:t>
      </w:r>
    </w:p>
    <w:p w14:paraId="41CB4452"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6.12. O fiscal técnico do contrato comunicar ao gestor do contrato, em tempo hábil, o término do contrato sob sua responsabilidade, com vistas à renovação tempestiva ou à prorrogação contratual </w:t>
      </w:r>
      <w:hyperlink r:id="rId13" w:anchor="art22" w:history="1">
        <w:r w:rsidRPr="00613D96">
          <w:rPr>
            <w:rFonts w:ascii="Calibri" w:eastAsia="Times New Roman" w:hAnsi="Calibri" w:cs="Calibri"/>
            <w:color w:val="0000FF"/>
            <w:kern w:val="0"/>
            <w:sz w:val="27"/>
            <w:szCs w:val="27"/>
            <w:u w:val="single"/>
            <w:lang w:eastAsia="pt-BR"/>
            <w14:ligatures w14:val="none"/>
          </w:rPr>
          <w:t>(Decreto nº 11.246, de 2022, art. 22, VII</w:t>
        </w:r>
      </w:hyperlink>
      <w:r w:rsidRPr="00613D96">
        <w:rPr>
          <w:rFonts w:ascii="Calibri" w:eastAsia="Times New Roman" w:hAnsi="Calibri" w:cs="Calibri"/>
          <w:color w:val="000000"/>
          <w:kern w:val="0"/>
          <w:sz w:val="27"/>
          <w:szCs w:val="27"/>
          <w:lang w:eastAsia="pt-BR"/>
          <w14:ligatures w14:val="none"/>
        </w:rPr>
        <w:t>).</w:t>
      </w:r>
    </w:p>
    <w:p w14:paraId="2E08DA2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lastRenderedPageBreak/>
        <w:t> </w:t>
      </w:r>
    </w:p>
    <w:p w14:paraId="24A6C8C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Fiscalização Administrativa</w:t>
      </w:r>
    </w:p>
    <w:p w14:paraId="2D70C79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4" w:anchor="art23" w:history="1">
        <w:r w:rsidRPr="00613D96">
          <w:rPr>
            <w:rFonts w:ascii="Calibri" w:eastAsia="Times New Roman" w:hAnsi="Calibri" w:cs="Calibri"/>
            <w:color w:val="0000FF"/>
            <w:kern w:val="0"/>
            <w:sz w:val="27"/>
            <w:szCs w:val="27"/>
            <w:u w:val="single"/>
            <w:lang w:eastAsia="pt-BR"/>
            <w14:ligatures w14:val="none"/>
          </w:rPr>
          <w:t>Art. 23, I e II, do Decreto nº 11.246, de 2022</w:t>
        </w:r>
      </w:hyperlink>
      <w:r w:rsidRPr="00613D96">
        <w:rPr>
          <w:rFonts w:ascii="Calibri" w:eastAsia="Times New Roman" w:hAnsi="Calibri" w:cs="Calibri"/>
          <w:color w:val="000000"/>
          <w:kern w:val="0"/>
          <w:sz w:val="27"/>
          <w:szCs w:val="27"/>
          <w:lang w:eastAsia="pt-BR"/>
          <w14:ligatures w14:val="none"/>
        </w:rPr>
        <w:t>).</w:t>
      </w:r>
    </w:p>
    <w:p w14:paraId="5AA4E0A3"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6.14. Caso ocorram descumprimento das obrigações contratuais, o fiscal administrativo do contrato atuará tempestivamente na solução do problema, reportando ao gestor do contrato para que tome as providências cabíveis, quando ultrapassar a sua competência; (</w:t>
      </w:r>
      <w:hyperlink r:id="rId15" w:anchor="art23" w:history="1">
        <w:r w:rsidRPr="00613D96">
          <w:rPr>
            <w:rFonts w:ascii="Calibri" w:eastAsia="Times New Roman" w:hAnsi="Calibri" w:cs="Calibri"/>
            <w:color w:val="0000FF"/>
            <w:kern w:val="0"/>
            <w:sz w:val="27"/>
            <w:szCs w:val="27"/>
            <w:u w:val="single"/>
            <w:lang w:eastAsia="pt-BR"/>
            <w14:ligatures w14:val="none"/>
          </w:rPr>
          <w:t>Decreto nº 11.246, de 2022, art. 23, IV</w:t>
        </w:r>
      </w:hyperlink>
      <w:r w:rsidRPr="00613D96">
        <w:rPr>
          <w:rFonts w:ascii="Calibri" w:eastAsia="Times New Roman" w:hAnsi="Calibri" w:cs="Calibri"/>
          <w:color w:val="000000"/>
          <w:kern w:val="0"/>
          <w:sz w:val="27"/>
          <w:szCs w:val="27"/>
          <w:lang w:eastAsia="pt-BR"/>
          <w14:ligatures w14:val="none"/>
        </w:rPr>
        <w:t>).</w:t>
      </w:r>
    </w:p>
    <w:p w14:paraId="024ABAB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07E8B3E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Gestor do Contrato</w:t>
      </w:r>
    </w:p>
    <w:p w14:paraId="05496C3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16" w:anchor="art21" w:history="1">
        <w:r w:rsidRPr="00613D96">
          <w:rPr>
            <w:rFonts w:ascii="Calibri" w:eastAsia="Times New Roman" w:hAnsi="Calibri" w:cs="Calibri"/>
            <w:color w:val="0000FF"/>
            <w:kern w:val="0"/>
            <w:sz w:val="27"/>
            <w:szCs w:val="27"/>
            <w:u w:val="single"/>
            <w:lang w:eastAsia="pt-BR"/>
            <w14:ligatures w14:val="none"/>
          </w:rPr>
          <w:t>Decreto nº 11.246, de 2022, art. 21, IV</w:t>
        </w:r>
      </w:hyperlink>
      <w:r w:rsidRPr="00613D96">
        <w:rPr>
          <w:rFonts w:ascii="Calibri" w:eastAsia="Times New Roman" w:hAnsi="Calibri" w:cs="Calibri"/>
          <w:color w:val="000000"/>
          <w:kern w:val="0"/>
          <w:sz w:val="27"/>
          <w:szCs w:val="27"/>
          <w:lang w:eastAsia="pt-BR"/>
          <w14:ligatures w14:val="none"/>
        </w:rPr>
        <w:t>).</w:t>
      </w:r>
    </w:p>
    <w:p w14:paraId="6CC99AF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6.16. 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7" w:anchor="art21" w:tgtFrame="_blank" w:history="1">
        <w:r w:rsidRPr="00613D96">
          <w:rPr>
            <w:rFonts w:ascii="Calibri" w:eastAsia="Times New Roman" w:hAnsi="Calibri" w:cs="Calibri"/>
            <w:color w:val="0000FF"/>
            <w:kern w:val="0"/>
            <w:sz w:val="27"/>
            <w:szCs w:val="27"/>
            <w:u w:val="single"/>
            <w:lang w:eastAsia="pt-BR"/>
            <w14:ligatures w14:val="none"/>
          </w:rPr>
          <w:t>Decreto nº 11.246, de 2022, art. 21, II</w:t>
        </w:r>
      </w:hyperlink>
      <w:r w:rsidRPr="00613D96">
        <w:rPr>
          <w:rFonts w:ascii="Calibri" w:eastAsia="Times New Roman" w:hAnsi="Calibri" w:cs="Calibri"/>
          <w:color w:val="000000"/>
          <w:kern w:val="0"/>
          <w:sz w:val="27"/>
          <w:szCs w:val="27"/>
          <w:lang w:eastAsia="pt-BR"/>
          <w14:ligatures w14:val="none"/>
        </w:rPr>
        <w:t>).</w:t>
      </w:r>
    </w:p>
    <w:p w14:paraId="0D4BDA1F"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6.17. 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18" w:anchor="art21" w:tgtFrame="_blank" w:history="1">
        <w:r w:rsidRPr="00613D96">
          <w:rPr>
            <w:rFonts w:ascii="Calibri" w:eastAsia="Times New Roman" w:hAnsi="Calibri" w:cs="Calibri"/>
            <w:color w:val="0000FF"/>
            <w:kern w:val="0"/>
            <w:sz w:val="27"/>
            <w:szCs w:val="27"/>
            <w:u w:val="single"/>
            <w:lang w:eastAsia="pt-BR"/>
            <w14:ligatures w14:val="none"/>
          </w:rPr>
          <w:t>Decreto nº 11.246, de 2022, art. 21, III</w:t>
        </w:r>
      </w:hyperlink>
      <w:r w:rsidRPr="00613D96">
        <w:rPr>
          <w:rFonts w:ascii="Calibri" w:eastAsia="Times New Roman" w:hAnsi="Calibri" w:cs="Calibri"/>
          <w:color w:val="000000"/>
          <w:kern w:val="0"/>
          <w:sz w:val="27"/>
          <w:szCs w:val="27"/>
          <w:lang w:eastAsia="pt-BR"/>
          <w14:ligatures w14:val="none"/>
        </w:rPr>
        <w:t>).</w:t>
      </w:r>
    </w:p>
    <w:p w14:paraId="31FB8DBC"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9" w:anchor="art21" w:history="1">
        <w:r w:rsidRPr="00613D96">
          <w:rPr>
            <w:rFonts w:ascii="Calibri" w:eastAsia="Times New Roman" w:hAnsi="Calibri" w:cs="Calibri"/>
            <w:color w:val="0000FF"/>
            <w:kern w:val="0"/>
            <w:sz w:val="27"/>
            <w:szCs w:val="27"/>
            <w:u w:val="single"/>
            <w:lang w:eastAsia="pt-BR"/>
            <w14:ligatures w14:val="none"/>
          </w:rPr>
          <w:t>Decreto nº 11.246, de 2022, art. 21, VIII</w:t>
        </w:r>
      </w:hyperlink>
      <w:r w:rsidRPr="00613D96">
        <w:rPr>
          <w:rFonts w:ascii="Calibri" w:eastAsia="Times New Roman" w:hAnsi="Calibri" w:cs="Calibri"/>
          <w:color w:val="000000"/>
          <w:kern w:val="0"/>
          <w:sz w:val="27"/>
          <w:szCs w:val="27"/>
          <w:lang w:eastAsia="pt-BR"/>
          <w14:ligatures w14:val="none"/>
        </w:rPr>
        <w:t>).</w:t>
      </w:r>
    </w:p>
    <w:p w14:paraId="1A79412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20" w:anchor="art21" w:history="1">
        <w:r w:rsidRPr="00613D96">
          <w:rPr>
            <w:rFonts w:ascii="Calibri" w:eastAsia="Times New Roman" w:hAnsi="Calibri" w:cs="Calibri"/>
            <w:color w:val="0000FF"/>
            <w:kern w:val="0"/>
            <w:sz w:val="27"/>
            <w:szCs w:val="27"/>
            <w:u w:val="single"/>
            <w:lang w:eastAsia="pt-BR"/>
            <w14:ligatures w14:val="none"/>
          </w:rPr>
          <w:t>Decreto nº 11.246, de 2022, art. 21, X</w:t>
        </w:r>
      </w:hyperlink>
      <w:r w:rsidRPr="00613D96">
        <w:rPr>
          <w:rFonts w:ascii="Calibri" w:eastAsia="Times New Roman" w:hAnsi="Calibri" w:cs="Calibri"/>
          <w:color w:val="000000"/>
          <w:kern w:val="0"/>
          <w:sz w:val="27"/>
          <w:szCs w:val="27"/>
          <w:lang w:eastAsia="pt-BR"/>
          <w14:ligatures w14:val="none"/>
        </w:rPr>
        <w:t>).</w:t>
      </w:r>
    </w:p>
    <w:p w14:paraId="38C58FE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6.20.</w:t>
      </w:r>
      <w:r w:rsidRPr="00613D96">
        <w:rPr>
          <w:rFonts w:ascii="Arial" w:eastAsia="Times New Roman" w:hAnsi="Arial" w:cs="Arial"/>
          <w:color w:val="FF0000"/>
          <w:kern w:val="0"/>
          <w:sz w:val="20"/>
          <w:szCs w:val="20"/>
          <w:lang w:eastAsia="pt-BR"/>
          <w14:ligatures w14:val="none"/>
        </w:rPr>
        <w:t> </w:t>
      </w:r>
      <w:r w:rsidRPr="00613D96">
        <w:rPr>
          <w:rFonts w:ascii="Calibri" w:eastAsia="Times New Roman" w:hAnsi="Calibri" w:cs="Calibri"/>
          <w:color w:val="000000"/>
          <w:kern w:val="0"/>
          <w:sz w:val="27"/>
          <w:szCs w:val="27"/>
          <w:lang w:eastAsia="pt-BR"/>
          <w14:ligatures w14:val="none"/>
        </w:rPr>
        <w:t xml:space="preserve">O gestor do contrato deverá elaborar relatório final com informações sobre a consecução dos objetivos que tenham justificado a contratação e eventuais condutas a serem </w:t>
      </w:r>
      <w:r w:rsidRPr="00613D96">
        <w:rPr>
          <w:rFonts w:ascii="Calibri" w:eastAsia="Times New Roman" w:hAnsi="Calibri" w:cs="Calibri"/>
          <w:color w:val="000000"/>
          <w:kern w:val="0"/>
          <w:sz w:val="27"/>
          <w:szCs w:val="27"/>
          <w:lang w:eastAsia="pt-BR"/>
          <w14:ligatures w14:val="none"/>
        </w:rPr>
        <w:lastRenderedPageBreak/>
        <w:t>adotadas para o aprimoramento das atividades da Administração. (Decreto nº 11.246, de 2022, art. 21, VI).</w:t>
      </w:r>
    </w:p>
    <w:p w14:paraId="0E2E216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6.21. O gestor do contrato deverá enviar a documentação pertinente ao setor de contratos para a formalização dos procedimentos de liquidação e pagamento, no valor dimensionado pela fiscalização e gestão nos termos do contrato.</w:t>
      </w:r>
    </w:p>
    <w:p w14:paraId="1AC444C3"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768EA63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7. CRITÉRIOS DE MEDIÇÃO E DE PAGAMENTO</w:t>
      </w:r>
    </w:p>
    <w:p w14:paraId="598C2AE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Arial" w:eastAsia="Times New Roman" w:hAnsi="Arial" w:cs="Arial"/>
          <w:color w:val="000000"/>
          <w:kern w:val="0"/>
          <w:sz w:val="20"/>
          <w:szCs w:val="20"/>
          <w:lang w:eastAsia="pt-BR"/>
          <w14:ligatures w14:val="none"/>
        </w:rPr>
        <w:t>7.1. </w:t>
      </w:r>
      <w:r w:rsidRPr="00613D96">
        <w:rPr>
          <w:rFonts w:ascii="Arial" w:eastAsia="Times New Roman" w:hAnsi="Arial" w:cs="Arial"/>
          <w:i/>
          <w:iCs/>
          <w:color w:val="000000"/>
          <w:kern w:val="0"/>
          <w:sz w:val="20"/>
          <w:szCs w:val="20"/>
          <w:lang w:eastAsia="pt-BR"/>
          <w14:ligatures w14:val="none"/>
        </w:rPr>
        <w:t>A avaliação da execução do objeto utilizará o Instrumento de Medição de Resultado (IMR), conforme previsto no Anexo I para aferição da qualidade da prestação dos serviços</w:t>
      </w:r>
      <w:r w:rsidRPr="00613D96">
        <w:rPr>
          <w:rFonts w:ascii="Arial" w:eastAsia="Times New Roman" w:hAnsi="Arial" w:cs="Arial"/>
          <w:i/>
          <w:iCs/>
          <w:color w:val="000000"/>
          <w:kern w:val="0"/>
          <w:sz w:val="20"/>
          <w:szCs w:val="20"/>
          <w:u w:val="single"/>
          <w:lang w:eastAsia="pt-BR"/>
          <w14:ligatures w14:val="none"/>
        </w:rPr>
        <w:t>.</w:t>
      </w:r>
    </w:p>
    <w:p w14:paraId="7155E6E8" w14:textId="77777777" w:rsidR="00613D96" w:rsidRPr="00613D96" w:rsidRDefault="00613D96" w:rsidP="00613D96">
      <w:pPr>
        <w:spacing w:before="120" w:after="120" w:line="240" w:lineRule="auto"/>
        <w:ind w:left="1800"/>
        <w:jc w:val="both"/>
        <w:rPr>
          <w:rFonts w:ascii="Times New Roman" w:eastAsia="Times New Roman" w:hAnsi="Times New Roman" w:cs="Times New Roman"/>
          <w:color w:val="000000"/>
          <w:kern w:val="0"/>
          <w:sz w:val="27"/>
          <w:szCs w:val="27"/>
          <w:lang w:eastAsia="pt-BR"/>
          <w14:ligatures w14:val="none"/>
        </w:rPr>
      </w:pPr>
      <w:r w:rsidRPr="00613D96">
        <w:rPr>
          <w:rFonts w:ascii="Arial" w:eastAsia="Times New Roman" w:hAnsi="Arial" w:cs="Arial"/>
          <w:color w:val="000000"/>
          <w:kern w:val="0"/>
          <w:sz w:val="20"/>
          <w:szCs w:val="20"/>
          <w:lang w:eastAsia="pt-BR"/>
          <w14:ligatures w14:val="none"/>
        </w:rPr>
        <w:t>7.1.1. Será indicada a retenção ou glosa no pagamento, proporcional à irregularidade verificada, sem prejuízo das sanções cabíveis, caso se constate que a Contratada:</w:t>
      </w:r>
    </w:p>
    <w:p w14:paraId="07884513" w14:textId="77777777" w:rsidR="00613D96" w:rsidRPr="00613D96" w:rsidRDefault="00613D96" w:rsidP="00613D96">
      <w:pPr>
        <w:spacing w:before="120" w:after="120" w:line="240" w:lineRule="auto"/>
        <w:ind w:left="3000" w:hanging="648"/>
        <w:jc w:val="both"/>
        <w:rPr>
          <w:rFonts w:ascii="Times New Roman" w:eastAsia="Times New Roman" w:hAnsi="Times New Roman" w:cs="Times New Roman"/>
          <w:color w:val="000000"/>
          <w:kern w:val="0"/>
          <w:sz w:val="27"/>
          <w:szCs w:val="27"/>
          <w:lang w:eastAsia="pt-BR"/>
          <w14:ligatures w14:val="none"/>
        </w:rPr>
      </w:pPr>
      <w:r w:rsidRPr="00613D96">
        <w:rPr>
          <w:rFonts w:ascii="Arial" w:eastAsia="Times New Roman" w:hAnsi="Arial" w:cs="Arial"/>
          <w:color w:val="000000"/>
          <w:kern w:val="0"/>
          <w:sz w:val="20"/>
          <w:szCs w:val="20"/>
          <w:lang w:eastAsia="pt-BR"/>
          <w14:ligatures w14:val="none"/>
        </w:rPr>
        <w:t>7.1.1.1. não produzir os resultados acordados,</w:t>
      </w:r>
    </w:p>
    <w:p w14:paraId="11CEA7DF" w14:textId="77777777" w:rsidR="00613D96" w:rsidRPr="00613D96" w:rsidRDefault="00613D96" w:rsidP="00613D96">
      <w:pPr>
        <w:spacing w:before="120" w:after="120" w:line="240" w:lineRule="auto"/>
        <w:ind w:left="3000" w:hanging="648"/>
        <w:jc w:val="both"/>
        <w:rPr>
          <w:rFonts w:ascii="Times New Roman" w:eastAsia="Times New Roman" w:hAnsi="Times New Roman" w:cs="Times New Roman"/>
          <w:color w:val="000000"/>
          <w:kern w:val="0"/>
          <w:sz w:val="27"/>
          <w:szCs w:val="27"/>
          <w:lang w:eastAsia="pt-BR"/>
          <w14:ligatures w14:val="none"/>
        </w:rPr>
      </w:pPr>
      <w:r w:rsidRPr="00613D96">
        <w:rPr>
          <w:rFonts w:ascii="Arial" w:eastAsia="Times New Roman" w:hAnsi="Arial" w:cs="Arial"/>
          <w:color w:val="000000"/>
          <w:kern w:val="0"/>
          <w:sz w:val="20"/>
          <w:szCs w:val="20"/>
          <w:lang w:eastAsia="pt-BR"/>
          <w14:ligatures w14:val="none"/>
        </w:rPr>
        <w:t>7.1.1.2. deixar de executar, ou não executar com a qualidade mínima exigida as atividades contratadas; ou</w:t>
      </w:r>
    </w:p>
    <w:p w14:paraId="400AD1CE" w14:textId="77777777" w:rsidR="00613D96" w:rsidRPr="00613D96" w:rsidRDefault="00613D96" w:rsidP="00613D96">
      <w:pPr>
        <w:spacing w:before="120" w:after="120" w:line="240" w:lineRule="auto"/>
        <w:ind w:left="3000" w:hanging="648"/>
        <w:jc w:val="both"/>
        <w:rPr>
          <w:rFonts w:ascii="Times New Roman" w:eastAsia="Times New Roman" w:hAnsi="Times New Roman" w:cs="Times New Roman"/>
          <w:color w:val="000000"/>
          <w:kern w:val="0"/>
          <w:sz w:val="27"/>
          <w:szCs w:val="27"/>
          <w:lang w:eastAsia="pt-BR"/>
          <w14:ligatures w14:val="none"/>
        </w:rPr>
      </w:pPr>
      <w:r w:rsidRPr="00613D96">
        <w:rPr>
          <w:rFonts w:ascii="Arial" w:eastAsia="Times New Roman" w:hAnsi="Arial" w:cs="Arial"/>
          <w:color w:val="000000"/>
          <w:kern w:val="0"/>
          <w:sz w:val="20"/>
          <w:szCs w:val="20"/>
          <w:lang w:eastAsia="pt-BR"/>
          <w14:ligatures w14:val="none"/>
        </w:rPr>
        <w:t>7.1.1.3. deixar de utilizar materiais e recursos humanos exigidos para a execução do serviço, ou utilizá-los com qualidade ou quantidade inferior à demandada</w:t>
      </w:r>
    </w:p>
    <w:p w14:paraId="7A1FA3B9" w14:textId="77777777" w:rsidR="00613D96" w:rsidRPr="00613D96" w:rsidRDefault="00613D96" w:rsidP="00613D96">
      <w:pPr>
        <w:spacing w:before="120" w:after="120" w:line="240" w:lineRule="auto"/>
        <w:ind w:left="2400" w:hanging="648"/>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 A utilização do IMR não impede a aplicação concomitante de outros mecanismos para a avaliação da prestação dos serviços.</w:t>
      </w:r>
    </w:p>
    <w:p w14:paraId="2AD8F2E2" w14:textId="77777777" w:rsidR="00613D96" w:rsidRPr="00613D96" w:rsidRDefault="00613D96" w:rsidP="00613D96">
      <w:pPr>
        <w:spacing w:before="120" w:after="120" w:line="240" w:lineRule="auto"/>
        <w:ind w:left="2400" w:hanging="648"/>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FEA998C" w14:textId="77777777" w:rsidR="00613D96" w:rsidRPr="00613D96" w:rsidRDefault="00613D96" w:rsidP="00613D96">
      <w:pPr>
        <w:spacing w:before="120" w:after="120" w:line="240" w:lineRule="auto"/>
        <w:ind w:left="2400" w:hanging="648"/>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Do recebimento</w:t>
      </w:r>
    </w:p>
    <w:p w14:paraId="46117AB5"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xml:space="preserve">7.3. Os serviços serão recebidos provisoriamente, no prazo de </w:t>
      </w:r>
      <w:proofErr w:type="gramStart"/>
      <w:r w:rsidRPr="00613D96">
        <w:rPr>
          <w:rFonts w:ascii="Times New Roman" w:eastAsia="Times New Roman" w:hAnsi="Times New Roman" w:cs="Times New Roman"/>
          <w:color w:val="000000"/>
          <w:kern w:val="0"/>
          <w:sz w:val="27"/>
          <w:szCs w:val="27"/>
          <w:lang w:eastAsia="pt-BR"/>
          <w14:ligatures w14:val="none"/>
        </w:rPr>
        <w:t>XXX.(</w:t>
      </w:r>
      <w:proofErr w:type="gramEnd"/>
      <w:r w:rsidRPr="00613D96">
        <w:rPr>
          <w:rFonts w:ascii="Times New Roman" w:eastAsia="Times New Roman" w:hAnsi="Times New Roman" w:cs="Times New Roman"/>
          <w:color w:val="000000"/>
          <w:kern w:val="0"/>
          <w:sz w:val="27"/>
          <w:szCs w:val="27"/>
          <w:lang w:eastAsia="pt-BR"/>
          <w14:ligatures w14:val="none"/>
        </w:rPr>
        <w:t>XXX) dias, pelos fiscais técnico e administrativo, mediante termos detalhados, quando verificado o cumprimento das exigências de caráter técnico e administrativo. (</w:t>
      </w:r>
      <w:hyperlink r:id="rId21" w:anchor="art140" w:tgtFrame="_blank" w:history="1">
        <w:r w:rsidRPr="00613D96">
          <w:rPr>
            <w:rFonts w:ascii="Times New Roman" w:eastAsia="Times New Roman" w:hAnsi="Times New Roman" w:cs="Times New Roman"/>
            <w:color w:val="0000FF"/>
            <w:kern w:val="0"/>
            <w:sz w:val="27"/>
            <w:szCs w:val="27"/>
            <w:u w:val="single"/>
            <w:lang w:eastAsia="pt-BR"/>
            <w14:ligatures w14:val="none"/>
          </w:rPr>
          <w:t>Art. 140, I, a , da Lei nº 14.133</w:t>
        </w:r>
      </w:hyperlink>
      <w:r w:rsidRPr="00613D96">
        <w:rPr>
          <w:rFonts w:ascii="Times New Roman" w:eastAsia="Times New Roman" w:hAnsi="Times New Roman" w:cs="Times New Roman"/>
          <w:color w:val="000000"/>
          <w:kern w:val="0"/>
          <w:sz w:val="27"/>
          <w:szCs w:val="27"/>
          <w:lang w:eastAsia="pt-BR"/>
          <w14:ligatures w14:val="none"/>
        </w:rPr>
        <w:t>, de 2021 e </w:t>
      </w:r>
      <w:proofErr w:type="spellStart"/>
      <w:r w:rsidRPr="00613D96">
        <w:rPr>
          <w:rFonts w:ascii="Times New Roman" w:eastAsia="Times New Roman" w:hAnsi="Times New Roman" w:cs="Times New Roman"/>
          <w:color w:val="000000"/>
          <w:kern w:val="0"/>
          <w:sz w:val="27"/>
          <w:szCs w:val="27"/>
          <w:lang w:eastAsia="pt-BR"/>
          <w14:ligatures w14:val="none"/>
        </w:rPr>
        <w:fldChar w:fldCharType="begin"/>
      </w:r>
      <w:r w:rsidRPr="00613D96">
        <w:rPr>
          <w:rFonts w:ascii="Times New Roman" w:eastAsia="Times New Roman" w:hAnsi="Times New Roman" w:cs="Times New Roman"/>
          <w:color w:val="000000"/>
          <w:kern w:val="0"/>
          <w:sz w:val="27"/>
          <w:szCs w:val="27"/>
          <w:lang w:eastAsia="pt-BR"/>
          <w14:ligatures w14:val="none"/>
        </w:rPr>
        <w:instrText>HYPERLINK "http://www.planalto.gov.br/ccivil_03/_ato2019-2022/2022/decreto/D11246.htm" \l "art22" \t "_blank"</w:instrText>
      </w:r>
      <w:r w:rsidRPr="00613D96">
        <w:rPr>
          <w:rFonts w:ascii="Times New Roman" w:eastAsia="Times New Roman" w:hAnsi="Times New Roman" w:cs="Times New Roman"/>
          <w:color w:val="000000"/>
          <w:kern w:val="0"/>
          <w:sz w:val="27"/>
          <w:szCs w:val="27"/>
          <w:lang w:eastAsia="pt-BR"/>
          <w14:ligatures w14:val="none"/>
        </w:rPr>
      </w:r>
      <w:r w:rsidRPr="00613D96">
        <w:rPr>
          <w:rFonts w:ascii="Times New Roman" w:eastAsia="Times New Roman" w:hAnsi="Times New Roman" w:cs="Times New Roman"/>
          <w:color w:val="000000"/>
          <w:kern w:val="0"/>
          <w:sz w:val="27"/>
          <w:szCs w:val="27"/>
          <w:lang w:eastAsia="pt-BR"/>
          <w14:ligatures w14:val="none"/>
        </w:rPr>
        <w:fldChar w:fldCharType="separate"/>
      </w:r>
      <w:r w:rsidRPr="00613D96">
        <w:rPr>
          <w:rFonts w:ascii="Times New Roman" w:eastAsia="Times New Roman" w:hAnsi="Times New Roman" w:cs="Times New Roman"/>
          <w:color w:val="0000FF"/>
          <w:kern w:val="0"/>
          <w:sz w:val="27"/>
          <w:szCs w:val="27"/>
          <w:u w:val="single"/>
          <w:lang w:eastAsia="pt-BR"/>
          <w14:ligatures w14:val="none"/>
        </w:rPr>
        <w:t>Arts</w:t>
      </w:r>
      <w:proofErr w:type="spellEnd"/>
      <w:r w:rsidRPr="00613D96">
        <w:rPr>
          <w:rFonts w:ascii="Times New Roman" w:eastAsia="Times New Roman" w:hAnsi="Times New Roman" w:cs="Times New Roman"/>
          <w:color w:val="0000FF"/>
          <w:kern w:val="0"/>
          <w:sz w:val="27"/>
          <w:szCs w:val="27"/>
          <w:u w:val="single"/>
          <w:lang w:eastAsia="pt-BR"/>
          <w14:ligatures w14:val="none"/>
        </w:rPr>
        <w:t>. 22, X e 23, X do Decreto nº 11.246, de 2022</w:t>
      </w:r>
      <w:r w:rsidRPr="00613D96">
        <w:rPr>
          <w:rFonts w:ascii="Times New Roman" w:eastAsia="Times New Roman" w:hAnsi="Times New Roman" w:cs="Times New Roman"/>
          <w:color w:val="000000"/>
          <w:kern w:val="0"/>
          <w:sz w:val="27"/>
          <w:szCs w:val="27"/>
          <w:lang w:eastAsia="pt-BR"/>
          <w14:ligatures w14:val="none"/>
        </w:rPr>
        <w:fldChar w:fldCharType="end"/>
      </w:r>
      <w:r w:rsidRPr="00613D96">
        <w:rPr>
          <w:rFonts w:ascii="Times New Roman" w:eastAsia="Times New Roman" w:hAnsi="Times New Roman" w:cs="Times New Roman"/>
          <w:color w:val="000000"/>
          <w:kern w:val="0"/>
          <w:sz w:val="27"/>
          <w:szCs w:val="27"/>
          <w:lang w:eastAsia="pt-BR"/>
          <w14:ligatures w14:val="none"/>
        </w:rPr>
        <w:t>).</w:t>
      </w:r>
      <w:bookmarkStart w:id="1" w:name="_msoanchor_1"/>
      <w:r w:rsidRPr="00613D96">
        <w:rPr>
          <w:rFonts w:ascii="Times New Roman" w:eastAsia="Times New Roman" w:hAnsi="Times New Roman" w:cs="Times New Roman"/>
          <w:color w:val="000000"/>
          <w:kern w:val="0"/>
          <w:sz w:val="27"/>
          <w:szCs w:val="27"/>
          <w:lang w:eastAsia="pt-BR"/>
          <w14:ligatures w14:val="none"/>
        </w:rPr>
        <w:fldChar w:fldCharType="begin"/>
      </w:r>
      <w:r w:rsidRPr="00613D96">
        <w:rPr>
          <w:rFonts w:ascii="Times New Roman" w:eastAsia="Times New Roman" w:hAnsi="Times New Roman" w:cs="Times New Roman"/>
          <w:color w:val="000000"/>
          <w:kern w:val="0"/>
          <w:sz w:val="27"/>
          <w:szCs w:val="27"/>
          <w:lang w:eastAsia="pt-BR"/>
          <w14:ligatures w14:val="none"/>
        </w:rPr>
        <w:instrText>HYPERLINK "https://sei.fiocruz.br/sei/controlador.php?acao=documento_visualizar&amp;acao_origem=procedimento_visualizar&amp;id_documento=3235632&amp;arvore=1&amp;infra_sistema=100000100&amp;infra_unidade_atual=110000987&amp;infra_hash=d1d04b00bc75ec93f6b00ee9874b10f564d3119fc94a303cf33afd184620f7d7" \l "_msocom_1" \t "_blank"</w:instrText>
      </w:r>
      <w:r w:rsidRPr="00613D96">
        <w:rPr>
          <w:rFonts w:ascii="Times New Roman" w:eastAsia="Times New Roman" w:hAnsi="Times New Roman" w:cs="Times New Roman"/>
          <w:color w:val="000000"/>
          <w:kern w:val="0"/>
          <w:sz w:val="27"/>
          <w:szCs w:val="27"/>
          <w:lang w:eastAsia="pt-BR"/>
          <w14:ligatures w14:val="none"/>
        </w:rPr>
      </w:r>
      <w:r w:rsidRPr="00613D96">
        <w:rPr>
          <w:rFonts w:ascii="Times New Roman" w:eastAsia="Times New Roman" w:hAnsi="Times New Roman" w:cs="Times New Roman"/>
          <w:color w:val="000000"/>
          <w:kern w:val="0"/>
          <w:sz w:val="27"/>
          <w:szCs w:val="27"/>
          <w:lang w:eastAsia="pt-BR"/>
          <w14:ligatures w14:val="none"/>
        </w:rPr>
        <w:fldChar w:fldCharType="separate"/>
      </w:r>
      <w:r w:rsidRPr="00613D96">
        <w:rPr>
          <w:rFonts w:ascii="Times New Roman" w:eastAsia="Times New Roman" w:hAnsi="Times New Roman" w:cs="Times New Roman"/>
          <w:color w:val="0000FF"/>
          <w:kern w:val="0"/>
          <w:sz w:val="27"/>
          <w:szCs w:val="27"/>
          <w:u w:val="single"/>
          <w:lang w:eastAsia="pt-BR"/>
          <w14:ligatures w14:val="none"/>
        </w:rPr>
        <w:t>[A1]</w:t>
      </w:r>
      <w:r w:rsidRPr="00613D96">
        <w:rPr>
          <w:rFonts w:ascii="Times New Roman" w:eastAsia="Times New Roman" w:hAnsi="Times New Roman" w:cs="Times New Roman"/>
          <w:color w:val="000000"/>
          <w:kern w:val="0"/>
          <w:sz w:val="27"/>
          <w:szCs w:val="27"/>
          <w:lang w:eastAsia="pt-BR"/>
          <w14:ligatures w14:val="none"/>
        </w:rPr>
        <w:fldChar w:fldCharType="end"/>
      </w:r>
      <w:bookmarkEnd w:id="1"/>
    </w:p>
    <w:p w14:paraId="279D4C58"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7.4. O prazo da disposição acima será contado do recebimento de comunicação de cobrança oriunda do contratado com a comprovação da prestação dos serviços a que se referem a parcela a ser paga.</w:t>
      </w:r>
    </w:p>
    <w:p w14:paraId="58869699"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7.5. O fiscal técnico do contrato realizará o recebimento provisório do objeto do contrato mediante termo detalhado que comprove o cumprimento das exigências de caráter técnico. (</w:t>
      </w:r>
      <w:hyperlink r:id="rId22" w:anchor="art22" w:tgtFrame="_blank" w:history="1">
        <w:r w:rsidRPr="00613D96">
          <w:rPr>
            <w:rFonts w:ascii="Times New Roman" w:eastAsia="Times New Roman" w:hAnsi="Times New Roman" w:cs="Times New Roman"/>
            <w:color w:val="0000FF"/>
            <w:kern w:val="0"/>
            <w:sz w:val="27"/>
            <w:szCs w:val="27"/>
            <w:u w:val="single"/>
            <w:lang w:eastAsia="pt-BR"/>
            <w14:ligatures w14:val="none"/>
          </w:rPr>
          <w:t>Art. 22, X, Decreto nº 11.246, de 2022</w:t>
        </w:r>
      </w:hyperlink>
      <w:r w:rsidRPr="00613D96">
        <w:rPr>
          <w:rFonts w:ascii="Times New Roman" w:eastAsia="Times New Roman" w:hAnsi="Times New Roman" w:cs="Times New Roman"/>
          <w:color w:val="000000"/>
          <w:kern w:val="0"/>
          <w:sz w:val="27"/>
          <w:szCs w:val="27"/>
          <w:lang w:eastAsia="pt-BR"/>
          <w14:ligatures w14:val="none"/>
        </w:rPr>
        <w:t>).</w:t>
      </w:r>
    </w:p>
    <w:p w14:paraId="3E4C4220"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7.6. O fiscal administrativo do contrato realizará o recebimento provisório do objeto do contrato mediante termo detalhado que comprove o cumprimento das exigências de caráter administrativo. (</w:t>
      </w:r>
      <w:hyperlink r:id="rId23" w:anchor="art23" w:tgtFrame="_blank" w:history="1">
        <w:r w:rsidRPr="00613D96">
          <w:rPr>
            <w:rFonts w:ascii="Times New Roman" w:eastAsia="Times New Roman" w:hAnsi="Times New Roman" w:cs="Times New Roman"/>
            <w:color w:val="0000FF"/>
            <w:kern w:val="0"/>
            <w:sz w:val="27"/>
            <w:szCs w:val="27"/>
            <w:u w:val="single"/>
            <w:lang w:eastAsia="pt-BR"/>
            <w14:ligatures w14:val="none"/>
          </w:rPr>
          <w:t>Art. 23, X, Decreto nº 11.246, de 2022</w:t>
        </w:r>
      </w:hyperlink>
      <w:r w:rsidRPr="00613D96">
        <w:rPr>
          <w:rFonts w:ascii="Times New Roman" w:eastAsia="Times New Roman" w:hAnsi="Times New Roman" w:cs="Times New Roman"/>
          <w:color w:val="000000"/>
          <w:kern w:val="0"/>
          <w:sz w:val="27"/>
          <w:szCs w:val="27"/>
          <w:lang w:eastAsia="pt-BR"/>
          <w14:ligatures w14:val="none"/>
        </w:rPr>
        <w:t>).</w:t>
      </w:r>
    </w:p>
    <w:p w14:paraId="0E91979A"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7.7. O fiscal setorial do contrato, quando houver, realizará o recebimento provisório sob o ponto de vista técnico e administrativo.</w:t>
      </w:r>
    </w:p>
    <w:p w14:paraId="0271977C"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lastRenderedPageBreak/>
        <w:t>7.8.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ACD2DC9"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7.9. Será considerado como ocorrido o recebimento provisório com a entrega do termo detalhado ou, em havendo mais de um a ser feito, com a entrega do último;</w:t>
      </w:r>
    </w:p>
    <w:p w14:paraId="0C626BA4"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7.10.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6C8211C"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7.11. A fiscalização não efetuará o ateste da última e/ou única medição de serviços até que sejam sanadas todas as eventuais pendências que possam vir a ser apontadas no Recebimento Provisório. (</w:t>
      </w:r>
      <w:hyperlink r:id="rId24" w:anchor="art119" w:tgtFrame="_blank" w:history="1">
        <w:r w:rsidRPr="00613D96">
          <w:rPr>
            <w:rFonts w:ascii="Times New Roman" w:eastAsia="Times New Roman" w:hAnsi="Times New Roman" w:cs="Times New Roman"/>
            <w:color w:val="000080"/>
            <w:kern w:val="0"/>
            <w:sz w:val="27"/>
            <w:szCs w:val="27"/>
            <w:u w:val="single"/>
            <w:lang w:eastAsia="pt-BR"/>
            <w14:ligatures w14:val="none"/>
          </w:rPr>
          <w:t>Art. 119 c/c art. 140 da Lei nº 14133, de 2021</w:t>
        </w:r>
      </w:hyperlink>
      <w:r w:rsidRPr="00613D96">
        <w:rPr>
          <w:rFonts w:ascii="Times New Roman" w:eastAsia="Times New Roman" w:hAnsi="Times New Roman" w:cs="Times New Roman"/>
          <w:color w:val="000000"/>
          <w:kern w:val="0"/>
          <w:sz w:val="27"/>
          <w:szCs w:val="27"/>
          <w:lang w:eastAsia="pt-BR"/>
          <w14:ligatures w14:val="none"/>
        </w:rPr>
        <w:t>)</w:t>
      </w:r>
    </w:p>
    <w:p w14:paraId="36AB014B"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7.12. O recebimento provisório também ficará sujeito, quando cabível, à conclusão de todos os testes de campo e à entrega dos Manuais e Instruções exigíveis.</w:t>
      </w:r>
    </w:p>
    <w:p w14:paraId="595D7715"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7.11. Os serviços poderão ser rejeitados, no todo ou em parte, quando em desacordo com as especificações constantes neste Termo de Referência e na proposta, sem prejuízo da aplicação das penalidades.</w:t>
      </w:r>
    </w:p>
    <w:p w14:paraId="71AE3C7D"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4537BC6"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7.13. 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51C03837"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xml:space="preserve">7.13.1.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w:t>
      </w:r>
      <w:r w:rsidRPr="00613D96">
        <w:rPr>
          <w:rFonts w:ascii="Times New Roman" w:eastAsia="Times New Roman" w:hAnsi="Times New Roman" w:cs="Times New Roman"/>
          <w:color w:val="000000"/>
          <w:kern w:val="0"/>
          <w:sz w:val="27"/>
          <w:szCs w:val="27"/>
          <w:lang w:eastAsia="pt-BR"/>
          <w14:ligatures w14:val="none"/>
        </w:rPr>
        <w:lastRenderedPageBreak/>
        <w:t>de atesto de cumprimento de obrigações, conforme regulamento (</w:t>
      </w:r>
      <w:hyperlink r:id="rId25" w:anchor="art21" w:tgtFrame="_blank" w:history="1">
        <w:r w:rsidRPr="00613D96">
          <w:rPr>
            <w:rFonts w:ascii="Times New Roman" w:eastAsia="Times New Roman" w:hAnsi="Times New Roman" w:cs="Times New Roman"/>
            <w:color w:val="0000FF"/>
            <w:kern w:val="0"/>
            <w:sz w:val="27"/>
            <w:szCs w:val="27"/>
            <w:u w:val="single"/>
            <w:lang w:eastAsia="pt-BR"/>
            <w14:ligatures w14:val="none"/>
          </w:rPr>
          <w:t>art. 21, VIII, Decreto nº 11.246, de 2022</w:t>
        </w:r>
      </w:hyperlink>
      <w:r w:rsidRPr="00613D96">
        <w:rPr>
          <w:rFonts w:ascii="Times New Roman" w:eastAsia="Times New Roman" w:hAnsi="Times New Roman" w:cs="Times New Roman"/>
          <w:color w:val="000000"/>
          <w:kern w:val="0"/>
          <w:sz w:val="27"/>
          <w:szCs w:val="27"/>
          <w:lang w:eastAsia="pt-BR"/>
          <w14:ligatures w14:val="none"/>
        </w:rPr>
        <w:t>).</w:t>
      </w:r>
    </w:p>
    <w:p w14:paraId="5639754A"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557384"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7.13.3. Emitir Termo Detalhado para efeito de recebimento definitivo dos serviços prestados, com base nos relatórios e documentações apresentadas; e</w:t>
      </w:r>
    </w:p>
    <w:p w14:paraId="6A3D94C6"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7.13.4. Comunicar a empresa para que emita a Nota Fiscal ou Fatura, com o valor exato dimensionado pela fiscalização.</w:t>
      </w:r>
    </w:p>
    <w:p w14:paraId="578159A7"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7.13.5. Enviar a documentação pertinente ao setor de contratos para a formalização dos procedimentos de liquidação e pagamento, no valor dimensionado pela fiscalização e gestão</w:t>
      </w:r>
    </w:p>
    <w:p w14:paraId="185940D3"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7.14. No caso de controvérsia sobre a execução do objeto, quanto à dimensão, qualidade e quantidade, deverá ser observado o teor do </w:t>
      </w:r>
      <w:hyperlink r:id="rId26" w:anchor="art143" w:tgtFrame="_blank" w:history="1">
        <w:r w:rsidRPr="00613D96">
          <w:rPr>
            <w:rFonts w:ascii="Times New Roman" w:eastAsia="Times New Roman" w:hAnsi="Times New Roman" w:cs="Times New Roman"/>
            <w:color w:val="0000FF"/>
            <w:kern w:val="0"/>
            <w:sz w:val="27"/>
            <w:szCs w:val="27"/>
            <w:u w:val="single"/>
            <w:lang w:eastAsia="pt-BR"/>
            <w14:ligatures w14:val="none"/>
          </w:rPr>
          <w:t>art. 143 da Lei nº 14.133, de 2021</w:t>
        </w:r>
      </w:hyperlink>
      <w:r w:rsidRPr="00613D96">
        <w:rPr>
          <w:rFonts w:ascii="Times New Roman" w:eastAsia="Times New Roman" w:hAnsi="Times New Roman" w:cs="Times New Roman"/>
          <w:color w:val="000000"/>
          <w:kern w:val="0"/>
          <w:sz w:val="27"/>
          <w:szCs w:val="27"/>
          <w:lang w:eastAsia="pt-BR"/>
          <w14:ligatures w14:val="none"/>
        </w:rPr>
        <w:t xml:space="preserve">, comunicando-se à empresa para emissão de Nota Fiscal no que </w:t>
      </w:r>
      <w:proofErr w:type="spellStart"/>
      <w:r w:rsidRPr="00613D96">
        <w:rPr>
          <w:rFonts w:ascii="Times New Roman" w:eastAsia="Times New Roman" w:hAnsi="Times New Roman" w:cs="Times New Roman"/>
          <w:color w:val="000000"/>
          <w:kern w:val="0"/>
          <w:sz w:val="27"/>
          <w:szCs w:val="27"/>
          <w:lang w:eastAsia="pt-BR"/>
          <w14:ligatures w14:val="none"/>
        </w:rPr>
        <w:t>pertine</w:t>
      </w:r>
      <w:proofErr w:type="spellEnd"/>
      <w:r w:rsidRPr="00613D96">
        <w:rPr>
          <w:rFonts w:ascii="Times New Roman" w:eastAsia="Times New Roman" w:hAnsi="Times New Roman" w:cs="Times New Roman"/>
          <w:color w:val="000000"/>
          <w:kern w:val="0"/>
          <w:sz w:val="27"/>
          <w:szCs w:val="27"/>
          <w:lang w:eastAsia="pt-BR"/>
          <w14:ligatures w14:val="none"/>
        </w:rPr>
        <w:t xml:space="preserve"> à parcela incontroversa da execução do objeto, para efeito de liquidação e pagamento.</w:t>
      </w:r>
    </w:p>
    <w:p w14:paraId="33189A5F"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7.15. Nenhum prazo de recebimento ocorrerá enquanto pendente a solução, pelo contratado, de inconsistências verificadas na execução do objeto ou no instrumento de cobrança.</w:t>
      </w:r>
    </w:p>
    <w:p w14:paraId="51E6FF6F"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7.16 O recebimento provisório ou definitivo não excluirá a responsabilidade civil pela solidez e pela segurança do serviço nem a responsabilidade ético-profissional pela perfeita execução do contrato.</w:t>
      </w:r>
    </w:p>
    <w:p w14:paraId="25E225C2" w14:textId="77777777" w:rsidR="00613D96" w:rsidRPr="00613D96" w:rsidRDefault="00613D96" w:rsidP="00613D96">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Liquidação</w:t>
      </w:r>
    </w:p>
    <w:p w14:paraId="6FCF548C"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7.17. Recebida a Nota Fiscal ou documento de cobrança equivalente, correrá o prazo de dez dias úteis para fins de liquidação, na forma desta seção, prorrogáveis por igual período, nos termos do </w:t>
      </w:r>
      <w:hyperlink r:id="rId27" w:tgtFrame="_blank" w:history="1">
        <w:r w:rsidRPr="00613D96">
          <w:rPr>
            <w:rFonts w:ascii="Times New Roman" w:eastAsia="Times New Roman" w:hAnsi="Times New Roman" w:cs="Times New Roman"/>
            <w:color w:val="0000FF"/>
            <w:kern w:val="0"/>
            <w:sz w:val="27"/>
            <w:szCs w:val="27"/>
            <w:u w:val="single"/>
            <w:lang w:eastAsia="pt-BR"/>
            <w14:ligatures w14:val="none"/>
          </w:rPr>
          <w:t>art. 7º, §2º da Instrução Normativa SEGES/ME nº 77/2022.</w:t>
        </w:r>
      </w:hyperlink>
    </w:p>
    <w:p w14:paraId="7FEB6D3A"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7.18. O prazo de que trata o item anterior será reduzido à metade, mantendo-se a possibilidade de prorrogação, nos casos de contratações decorrentes de despesas cujos valores não ultrapassem o limite de que trata o </w:t>
      </w:r>
      <w:hyperlink r:id="rId28" w:anchor="art75" w:tgtFrame="_blank" w:history="1">
        <w:r w:rsidRPr="00613D96">
          <w:rPr>
            <w:rFonts w:ascii="Times New Roman" w:eastAsia="Times New Roman" w:hAnsi="Times New Roman" w:cs="Times New Roman"/>
            <w:color w:val="0000FF"/>
            <w:kern w:val="0"/>
            <w:sz w:val="27"/>
            <w:szCs w:val="27"/>
            <w:u w:val="single"/>
            <w:lang w:eastAsia="pt-BR"/>
            <w14:ligatures w14:val="none"/>
          </w:rPr>
          <w:t>inciso II do art. 75 da Lei nº 14.133, de 2021</w:t>
        </w:r>
      </w:hyperlink>
    </w:p>
    <w:p w14:paraId="05CA3958"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lastRenderedPageBreak/>
        <w:t>7.19 Para fins de liquidação, o setor competente deve verificar se a Nota Fiscal ou Fatura apresentada expressa os elementos necessários e essenciais do documento, tais como:</w:t>
      </w:r>
    </w:p>
    <w:p w14:paraId="3A068E68"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7.19.1. o prazo de validade;</w:t>
      </w:r>
    </w:p>
    <w:p w14:paraId="2891F06B"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7.19.2. a data da emissão;</w:t>
      </w:r>
    </w:p>
    <w:p w14:paraId="01C0FB09"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7.19.3. os dados do contrato e do órgão contratante;</w:t>
      </w:r>
    </w:p>
    <w:p w14:paraId="636B4AA7"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7.19.4. o período respectivo de execução do contrato;</w:t>
      </w:r>
    </w:p>
    <w:p w14:paraId="261BE654"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7.19.5. o valor a pagar; e</w:t>
      </w:r>
    </w:p>
    <w:p w14:paraId="175FE016"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7.19. eventual destaque do valor de retenções tributárias cabíveis.</w:t>
      </w:r>
    </w:p>
    <w:p w14:paraId="54246EFA"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7.20.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4C25580"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7.21.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E56B975"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7.22.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2" w:name="_Int_T4XqlsQA"/>
      <w:r w:rsidRPr="00613D96">
        <w:rPr>
          <w:rFonts w:ascii="Times New Roman" w:eastAsia="Times New Roman" w:hAnsi="Times New Roman" w:cs="Times New Roman"/>
          <w:color w:val="000000"/>
          <w:kern w:val="0"/>
          <w:sz w:val="27"/>
          <w:szCs w:val="27"/>
          <w:lang w:eastAsia="pt-BR"/>
          <w14:ligatures w14:val="none"/>
        </w:rPr>
        <w:t>).</w:t>
      </w:r>
      <w:bookmarkEnd w:id="2"/>
    </w:p>
    <w:p w14:paraId="6015B2EA"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7DAD20"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F67709A"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lastRenderedPageBreak/>
        <w:t>7.25. Persistindo a irregularidade, o contratante deverá adotar as medidas necessárias à rescisão contratual nos autos do processo administrativo correspondente, assegurada ao contratado a ampla defesa.</w:t>
      </w:r>
    </w:p>
    <w:p w14:paraId="1E57A4D4"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7.26. Havendo a efetiva execução do objeto, os pagamentos serão realizados normalmente, até que se decida pela rescisão do contrato, caso o contratado não regularize sua situação junto ao SICAF.</w:t>
      </w:r>
    </w:p>
    <w:p w14:paraId="235B2D89"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7BEEB66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Prazo de pagamento</w:t>
      </w:r>
    </w:p>
    <w:p w14:paraId="0FD8CB97"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7.29. O pagamento será efetuado no prazo máximo de até dez dias úteis, contados da finalização da liquidação da despesa, conforme seção anterior, nos termos da Instrução Normativa SEGES/ME nº 77, de 2022.</w:t>
      </w:r>
    </w:p>
    <w:p w14:paraId="0B0713A2"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7.30.  No caso de atraso pelo Contratante, os valores devidos ao contratado serão atualizados monetariamente entre o termo final do prazo de pagamento até a data de sua efetiva realização, mediante aplicação do índice IPCA de correção monetária.</w:t>
      </w:r>
    </w:p>
    <w:p w14:paraId="2988F509"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062D232E"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Forma de pagamento</w:t>
      </w:r>
    </w:p>
    <w:p w14:paraId="0CAB4513"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7.31. O pagamento será realizado através de ordem bancária, para crédito em banco, agência e conta corrente indicados pelo contratado.</w:t>
      </w:r>
    </w:p>
    <w:p w14:paraId="2185A792"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7.32. Será considerada data do pagamento o dia em que constar como emitida a ordem bancária para pagamento.</w:t>
      </w:r>
    </w:p>
    <w:p w14:paraId="1F7A5253"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7.33. Quando do pagamento, será efetuada a retenção tributária prevista na legislação aplicável.</w:t>
      </w:r>
    </w:p>
    <w:p w14:paraId="32B4FC2A" w14:textId="77777777" w:rsidR="00613D96" w:rsidRPr="00613D96" w:rsidRDefault="00613D96" w:rsidP="00613D96">
      <w:pPr>
        <w:spacing w:before="100" w:beforeAutospacing="1" w:after="100" w:afterAutospacing="1" w:line="240" w:lineRule="auto"/>
        <w:ind w:left="24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7.33.1. Independentemente do percentual de tributo inserido na planilha, quando houver, serão retidos na fonte, quando da realização do pagamento, os percentuais estabelecidos na legislação vigente.</w:t>
      </w:r>
    </w:p>
    <w:p w14:paraId="643AB212"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7.34.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E3C13"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14E36F16"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lastRenderedPageBreak/>
        <w:t>Cessão de crédito</w:t>
      </w:r>
    </w:p>
    <w:p w14:paraId="74294BB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6F4AE2E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7.35. É admitida a cessão fiduciária de direitos creditícios com instituição financeira, nos termos e de acordo com os procedimentos previstos na </w:t>
      </w:r>
      <w:hyperlink r:id="rId29" w:history="1">
        <w:r w:rsidRPr="00613D96">
          <w:rPr>
            <w:rFonts w:ascii="Calibri" w:eastAsia="Times New Roman" w:hAnsi="Calibri" w:cs="Calibri"/>
            <w:color w:val="0000FF"/>
            <w:kern w:val="0"/>
            <w:sz w:val="27"/>
            <w:szCs w:val="27"/>
            <w:u w:val="single"/>
            <w:lang w:eastAsia="pt-BR"/>
            <w14:ligatures w14:val="none"/>
          </w:rPr>
          <w:t>Instrução Normativa SEGES/ME nº 53, de 8 de Julho de 2020</w:t>
        </w:r>
      </w:hyperlink>
      <w:r w:rsidRPr="00613D96">
        <w:rPr>
          <w:rFonts w:ascii="Calibri" w:eastAsia="Times New Roman" w:hAnsi="Calibri" w:cs="Calibri"/>
          <w:color w:val="000000"/>
          <w:kern w:val="0"/>
          <w:sz w:val="27"/>
          <w:szCs w:val="27"/>
          <w:lang w:eastAsia="pt-BR"/>
          <w14:ligatures w14:val="none"/>
        </w:rPr>
        <w:t>, conforme as regras deste presente tópico.</w:t>
      </w:r>
    </w:p>
    <w:p w14:paraId="26EFAAEF" w14:textId="77777777" w:rsidR="00613D96" w:rsidRPr="00613D96" w:rsidRDefault="00613D96" w:rsidP="00613D96">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bookmarkStart w:id="3" w:name="_Ref118216946"/>
      <w:bookmarkEnd w:id="3"/>
      <w:r w:rsidRPr="00613D96">
        <w:rPr>
          <w:rFonts w:ascii="Calibri" w:eastAsia="Times New Roman" w:hAnsi="Calibri" w:cs="Calibri"/>
          <w:color w:val="000000"/>
          <w:kern w:val="0"/>
          <w:sz w:val="27"/>
          <w:szCs w:val="27"/>
          <w:lang w:eastAsia="pt-BR"/>
          <w14:ligatures w14:val="none"/>
        </w:rPr>
        <w:t>7.35.1. As cessões de crédito não fiduciárias dependerão de prévia aprovação do contratante.</w:t>
      </w:r>
    </w:p>
    <w:p w14:paraId="537D65C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7.36. A eficácia da cessão de crédito, de qualquer natureza, em relação à Administração, está condicionada à celebração de termo aditivo ao contrato administrativo.</w:t>
      </w:r>
    </w:p>
    <w:p w14:paraId="0CB6135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7.37.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0" w:anchor=":~:text=LEI%20N%C2%BA%208.429%2C%20DE%202%20DE%20JUNHO%20DE%201992&amp;text=Disp%C3%B5e%20sobre%20as%20san%C3%A7%C3%B5es%20aplic%C3%A1veis,fundacional%20e%20d%C3%A1%20outras%20provid%C3%AAncias." w:history="1">
        <w:r w:rsidRPr="00613D96">
          <w:rPr>
            <w:rFonts w:ascii="Calibri" w:eastAsia="Times New Roman" w:hAnsi="Calibri" w:cs="Calibri"/>
            <w:color w:val="0000FF"/>
            <w:kern w:val="0"/>
            <w:sz w:val="27"/>
            <w:szCs w:val="27"/>
            <w:u w:val="single"/>
            <w:lang w:eastAsia="pt-BR"/>
            <w14:ligatures w14:val="none"/>
          </w:rPr>
          <w:t>o art. 12 da Lei nº 8.429, de 1992</w:t>
        </w:r>
      </w:hyperlink>
      <w:r w:rsidRPr="00613D96">
        <w:rPr>
          <w:rFonts w:ascii="Calibri" w:eastAsia="Times New Roman" w:hAnsi="Calibri" w:cs="Calibri"/>
          <w:color w:val="000000"/>
          <w:kern w:val="0"/>
          <w:sz w:val="27"/>
          <w:szCs w:val="27"/>
          <w:lang w:eastAsia="pt-BR"/>
          <w14:ligatures w14:val="none"/>
        </w:rPr>
        <w:t>, tudo nos termos do </w:t>
      </w:r>
      <w:hyperlink r:id="rId31" w:history="1">
        <w:r w:rsidRPr="00613D96">
          <w:rPr>
            <w:rFonts w:ascii="Calibri" w:eastAsia="Times New Roman" w:hAnsi="Calibri" w:cs="Calibri"/>
            <w:color w:val="0000FF"/>
            <w:kern w:val="0"/>
            <w:sz w:val="27"/>
            <w:szCs w:val="27"/>
            <w:u w:val="single"/>
            <w:lang w:eastAsia="pt-BR"/>
            <w14:ligatures w14:val="none"/>
          </w:rPr>
          <w:t>Parecer JL-01, de 18 de maio de 2020.</w:t>
        </w:r>
      </w:hyperlink>
      <w:bookmarkStart w:id="4" w:name="_Hlk114498447"/>
      <w:bookmarkEnd w:id="4"/>
    </w:p>
    <w:p w14:paraId="4010526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7.38.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5" w:name="_Hlk114498479"/>
      <w:bookmarkEnd w:id="5"/>
      <w:r w:rsidRPr="00613D96">
        <w:rPr>
          <w:rFonts w:ascii="Calibri" w:eastAsia="Times New Roman" w:hAnsi="Calibri" w:cs="Calibri"/>
          <w:color w:val="000000"/>
          <w:kern w:val="0"/>
          <w:sz w:val="27"/>
          <w:szCs w:val="27"/>
          <w:lang w:eastAsia="pt-BR"/>
          <w14:ligatures w14:val="none"/>
        </w:rPr>
        <w:t>.</w:t>
      </w:r>
    </w:p>
    <w:p w14:paraId="4D36584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7.39. A cessão de crédito não afetará a execução do objeto contratado, que continuará sob a integral responsabilidade do contratado.</w:t>
      </w:r>
    </w:p>
    <w:p w14:paraId="38E5058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45125AFF"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8. FORMA E CRITÉRIOS DE SELEÇÃO DO FORNECEDOR</w:t>
      </w:r>
    </w:p>
    <w:p w14:paraId="6C39B6A2"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7D20686C"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Forma de seleção e critério de julgamento da proposta</w:t>
      </w:r>
    </w:p>
    <w:p w14:paraId="5F52F5F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0CB1D806"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 O contratado será selecionado por meio da realização de procedimento de dispensa de licitação, na forma eletrônica, com fundamento na hipótese do art. 75, inciso II da Lei nº 14.133/2021.</w:t>
      </w:r>
    </w:p>
    <w:p w14:paraId="1DB91DDF" w14:textId="77777777" w:rsidR="00613D96" w:rsidRPr="00613D96" w:rsidRDefault="00613D96" w:rsidP="00613D96">
      <w:pPr>
        <w:spacing w:before="240" w:after="120" w:line="240" w:lineRule="auto"/>
        <w:ind w:left="600"/>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Regime de execução</w:t>
      </w:r>
    </w:p>
    <w:p w14:paraId="61BBB69F" w14:textId="77777777" w:rsidR="00613D96" w:rsidRPr="00613D96" w:rsidRDefault="00613D96" w:rsidP="00613D96">
      <w:pPr>
        <w:spacing w:before="100" w:beforeAutospacing="1" w:after="100" w:afterAutospacing="1" w:line="240" w:lineRule="auto"/>
        <w:ind w:left="12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lastRenderedPageBreak/>
        <w:t>       8.2. O regime de execução do contrato será por empreitada por preço global,</w:t>
      </w:r>
    </w:p>
    <w:p w14:paraId="7959DDF4" w14:textId="77777777" w:rsidR="00613D96" w:rsidRPr="00613D96" w:rsidRDefault="00613D96" w:rsidP="00613D96">
      <w:pPr>
        <w:spacing w:before="120" w:after="120" w:line="240" w:lineRule="auto"/>
        <w:ind w:left="1005"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Exigências de habilitação</w:t>
      </w:r>
    </w:p>
    <w:p w14:paraId="07A4E4F0"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5BEF7213"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a) SICAF;</w:t>
      </w:r>
    </w:p>
    <w:p w14:paraId="0BF82729"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b) Cadastro Nacional de Empresas Inidôneas e Suspensas - CEIS, mantido pela Controladoria-Geral da União (</w:t>
      </w:r>
      <w:hyperlink r:id="rId32" w:history="1">
        <w:r w:rsidRPr="00613D96">
          <w:rPr>
            <w:rFonts w:ascii="Times New Roman" w:eastAsia="Times New Roman" w:hAnsi="Times New Roman" w:cs="Times New Roman"/>
            <w:i/>
            <w:iCs/>
            <w:kern w:val="0"/>
            <w:sz w:val="27"/>
            <w:szCs w:val="27"/>
            <w:lang w:eastAsia="pt-BR"/>
            <w14:ligatures w14:val="none"/>
          </w:rPr>
          <w:t>www.portaldatransparencia.gov.br/ceis</w:t>
        </w:r>
      </w:hyperlink>
      <w:r w:rsidRPr="00613D96">
        <w:rPr>
          <w:rFonts w:ascii="Times New Roman" w:eastAsia="Times New Roman" w:hAnsi="Times New Roman" w:cs="Times New Roman"/>
          <w:i/>
          <w:iCs/>
          <w:color w:val="000000"/>
          <w:kern w:val="0"/>
          <w:sz w:val="27"/>
          <w:szCs w:val="27"/>
          <w:lang w:eastAsia="pt-BR"/>
          <w14:ligatures w14:val="none"/>
        </w:rPr>
        <w:t>); </w:t>
      </w:r>
    </w:p>
    <w:p w14:paraId="4A0304B8" w14:textId="77777777" w:rsidR="00613D96" w:rsidRPr="00613D96" w:rsidRDefault="00613D96" w:rsidP="00613D96">
      <w:pPr>
        <w:spacing w:before="100" w:beforeAutospacing="1" w:after="100" w:afterAutospacing="1" w:line="240" w:lineRule="auto"/>
        <w:ind w:left="1800"/>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c) Cadastro Nacional de Empresas Punidas – CNEP, mantido pela Controladoria-Geral da União (</w:t>
      </w:r>
      <w:hyperlink r:id="rId33" w:history="1">
        <w:r w:rsidRPr="00613D96">
          <w:rPr>
            <w:rFonts w:ascii="Times New Roman" w:eastAsia="Times New Roman" w:hAnsi="Times New Roman" w:cs="Times New Roman"/>
            <w:i/>
            <w:iCs/>
            <w:kern w:val="0"/>
            <w:sz w:val="27"/>
            <w:szCs w:val="27"/>
            <w:lang w:eastAsia="pt-BR"/>
            <w14:ligatures w14:val="none"/>
          </w:rPr>
          <w:t>https://www.portaltransparencia.gov.br/sancoes/cnep</w:t>
        </w:r>
      </w:hyperlink>
      <w:r w:rsidRPr="00613D96">
        <w:rPr>
          <w:rFonts w:ascii="Times New Roman" w:eastAsia="Times New Roman" w:hAnsi="Times New Roman" w:cs="Times New Roman"/>
          <w:i/>
          <w:iCs/>
          <w:color w:val="000000"/>
          <w:kern w:val="0"/>
          <w:sz w:val="27"/>
          <w:szCs w:val="27"/>
          <w:lang w:eastAsia="pt-BR"/>
          <w14:ligatures w14:val="none"/>
        </w:rPr>
        <w:t>)</w:t>
      </w:r>
    </w:p>
    <w:p w14:paraId="70D8E2DA"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 xml:space="preserve">   8.4. A consulta aos cadastros será realizada em nome da empresa fornecedora </w:t>
      </w:r>
      <w:proofErr w:type="gramStart"/>
      <w:r w:rsidRPr="00613D96">
        <w:rPr>
          <w:rFonts w:ascii="Times New Roman" w:eastAsia="Times New Roman" w:hAnsi="Times New Roman" w:cs="Times New Roman"/>
          <w:i/>
          <w:iCs/>
          <w:color w:val="000000"/>
          <w:kern w:val="0"/>
          <w:sz w:val="27"/>
          <w:szCs w:val="27"/>
          <w:lang w:eastAsia="pt-BR"/>
          <w14:ligatures w14:val="none"/>
        </w:rPr>
        <w:t>e também</w:t>
      </w:r>
      <w:proofErr w:type="gramEnd"/>
      <w:r w:rsidRPr="00613D96">
        <w:rPr>
          <w:rFonts w:ascii="Times New Roman" w:eastAsia="Times New Roman" w:hAnsi="Times New Roman" w:cs="Times New Roman"/>
          <w:i/>
          <w:iCs/>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B83C77F"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1989282F"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i/>
          <w:iCs/>
          <w:color w:val="000000"/>
          <w:kern w:val="0"/>
          <w:sz w:val="27"/>
          <w:szCs w:val="27"/>
          <w:lang w:eastAsia="pt-BR"/>
          <w14:ligatures w14:val="none"/>
        </w:rPr>
        <w:t>8.5. Caso conste na Consulta de Situação do interessado a existência de Ocorrências Impeditivas Indiretas, o gestor diligenciará para verificar se houve fraude por parte das empresas apontadas no Relatório de Ocorrências Impeditivas Indiretas.</w:t>
      </w:r>
    </w:p>
    <w:p w14:paraId="3DD74CC5"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07A8F62A"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8.6. A tentativa de burla será verificada por meio dos vínculos societários, linhas de fornecimento similares, dentre outros.</w:t>
      </w:r>
    </w:p>
    <w:p w14:paraId="77F85F81"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0E74C530"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8.7. O interessado será convocado para manifestação previamente a uma eventual negativa de contratação.</w:t>
      </w:r>
    </w:p>
    <w:p w14:paraId="30BD7684"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6F7862A4"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8.8. Caso atendidas as condições para contratação, a habilitação do interessado será verificada por meio do SICAF, nos documentos por ele abrangidos.</w:t>
      </w:r>
    </w:p>
    <w:p w14:paraId="786D32B9"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103FDADF"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8.9. É dever do interessado manter atualizada a respectiva documentação constante do SICAF, ou encaminhar, quando solicitado pela Administração, a respectiva documentação atualizada.</w:t>
      </w:r>
    </w:p>
    <w:p w14:paraId="7CBC53A2"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FE157A6"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8.10. Não serão aceitos documentos de habilitação com indicação de CNPJ/CPF diferentes, salvo aqueles legalmente permitidos.</w:t>
      </w:r>
    </w:p>
    <w:p w14:paraId="62EC676D"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22489E8F"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xml:space="preserve">8.11. Se o interessado for a matriz, todos os documentos deverão estar em nome da matriz, e se o fornecedor for a filial, todos os documentos deverão estar em nome da filial, exceto para atestados </w:t>
      </w:r>
      <w:r w:rsidRPr="00613D96">
        <w:rPr>
          <w:rFonts w:ascii="Times New Roman" w:eastAsia="Times New Roman" w:hAnsi="Times New Roman" w:cs="Times New Roman"/>
          <w:color w:val="000000"/>
          <w:kern w:val="0"/>
          <w:sz w:val="27"/>
          <w:szCs w:val="27"/>
          <w:lang w:eastAsia="pt-BR"/>
          <w14:ligatures w14:val="none"/>
        </w:rPr>
        <w:lastRenderedPageBreak/>
        <w:t>de capacidade técnica, caso exigidos, e no caso daqueles documentos que, pela própria natureza, comprovadamente, forem emitidos somente em nome da matriz.</w:t>
      </w:r>
    </w:p>
    <w:p w14:paraId="56F7A53F"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758B3ECB"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8.12. Serão aceitos registros de CNPJ de fornecedor matriz e filial com diferenças de números de documentos pertinentes ao CND e ao CRF/FGTS, quando for comprovada a centralização do recolhimento dessas contribuições.</w:t>
      </w:r>
    </w:p>
    <w:p w14:paraId="79F4FAF0"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464BB981"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8.13. Para fins de habilitação, deverá o interessado comprovar os seguintes requisitos, que serão exigidos conforme sua natureza jurídica:</w:t>
      </w:r>
    </w:p>
    <w:p w14:paraId="62186E7D"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E53AF70"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Habilitação jurídica</w:t>
      </w:r>
    </w:p>
    <w:p w14:paraId="4B7E4975"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46D4EB50"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8.14. </w:t>
      </w:r>
      <w:r w:rsidRPr="00613D96">
        <w:rPr>
          <w:rFonts w:ascii="Times New Roman" w:eastAsia="Times New Roman" w:hAnsi="Times New Roman" w:cs="Times New Roman"/>
          <w:b/>
          <w:bCs/>
          <w:color w:val="000000"/>
          <w:kern w:val="0"/>
          <w:sz w:val="27"/>
          <w:szCs w:val="27"/>
          <w:lang w:eastAsia="pt-BR"/>
          <w14:ligatures w14:val="none"/>
        </w:rPr>
        <w:t>Sociedade simples: </w:t>
      </w:r>
      <w:r w:rsidRPr="00613D96">
        <w:rPr>
          <w:rFonts w:ascii="Times New Roman" w:eastAsia="Times New Roman" w:hAnsi="Times New Roman" w:cs="Times New Roman"/>
          <w:color w:val="000000"/>
          <w:kern w:val="0"/>
          <w:sz w:val="27"/>
          <w:szCs w:val="27"/>
          <w:lang w:eastAsia="pt-BR"/>
          <w14:ligatures w14:val="none"/>
        </w:rPr>
        <w:t>inscrição do ato constitutivo no Registro Civil de Pessoas Jurídicas do local de sua sede, acompanhada de documento comprobatório de seus administradores;</w:t>
      </w:r>
    </w:p>
    <w:p w14:paraId="715445C9"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4906152C"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8.15. </w:t>
      </w:r>
      <w:r w:rsidRPr="00613D96">
        <w:rPr>
          <w:rFonts w:ascii="Times New Roman" w:eastAsia="Times New Roman" w:hAnsi="Times New Roman" w:cs="Times New Roman"/>
          <w:b/>
          <w:bCs/>
          <w:color w:val="000000"/>
          <w:kern w:val="0"/>
          <w:sz w:val="27"/>
          <w:szCs w:val="27"/>
          <w:lang w:eastAsia="pt-BR"/>
          <w14:ligatures w14:val="none"/>
        </w:rPr>
        <w:t>Filial, sucursal ou agência de sociedade simples ou empresária:</w:t>
      </w:r>
      <w:r w:rsidRPr="00613D96">
        <w:rPr>
          <w:rFonts w:ascii="Times New Roman" w:eastAsia="Times New Roman" w:hAnsi="Times New Roman" w:cs="Times New Roman"/>
          <w:color w:val="000000"/>
          <w:kern w:val="0"/>
          <w:sz w:val="27"/>
          <w:szCs w:val="27"/>
          <w:lang w:eastAsia="pt-BR"/>
          <w14:ligatures w14:val="none"/>
        </w:rPr>
        <w:t> inscrição do ato constitutivo da filial, sucursal ou agência da sociedade simples ou empresária, respectivamente, no Registro Civil das Pessoas Jurídicas ou no Registro Público de Empresas </w:t>
      </w:r>
      <w:bookmarkStart w:id="6" w:name="_Int_ySfCXwr4"/>
      <w:r w:rsidRPr="00613D96">
        <w:rPr>
          <w:rFonts w:ascii="Times New Roman" w:eastAsia="Times New Roman" w:hAnsi="Times New Roman" w:cs="Times New Roman"/>
          <w:color w:val="000000"/>
          <w:kern w:val="0"/>
          <w:sz w:val="27"/>
          <w:szCs w:val="27"/>
          <w:lang w:eastAsia="pt-BR"/>
          <w14:ligatures w14:val="none"/>
        </w:rPr>
        <w:t>Mercantis onde</w:t>
      </w:r>
      <w:bookmarkEnd w:id="6"/>
      <w:r w:rsidRPr="00613D96">
        <w:rPr>
          <w:rFonts w:ascii="Times New Roman" w:eastAsia="Times New Roman" w:hAnsi="Times New Roman" w:cs="Times New Roman"/>
          <w:color w:val="000000"/>
          <w:kern w:val="0"/>
          <w:sz w:val="27"/>
          <w:szCs w:val="27"/>
          <w:lang w:eastAsia="pt-BR"/>
          <w14:ligatures w14:val="none"/>
        </w:rPr>
        <w:t> opera, com averbação no Registro onde tem sede a matriz</w:t>
      </w:r>
    </w:p>
    <w:p w14:paraId="09671B38"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38BEBD7"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8.16. </w:t>
      </w:r>
      <w:r w:rsidRPr="00613D96">
        <w:rPr>
          <w:rFonts w:ascii="Times New Roman" w:eastAsia="Times New Roman" w:hAnsi="Times New Roman" w:cs="Times New Roman"/>
          <w:b/>
          <w:bCs/>
          <w:color w:val="000000"/>
          <w:kern w:val="0"/>
          <w:sz w:val="27"/>
          <w:szCs w:val="27"/>
          <w:lang w:eastAsia="pt-BR"/>
          <w14:ligatures w14:val="none"/>
        </w:rPr>
        <w:t>Sociedade cooperativa:</w:t>
      </w:r>
      <w:r w:rsidRPr="00613D96">
        <w:rPr>
          <w:rFonts w:ascii="Times New Roman" w:eastAsia="Times New Roman" w:hAnsi="Times New Roman" w:cs="Times New Roman"/>
          <w:color w:val="000000"/>
          <w:kern w:val="0"/>
          <w:sz w:val="27"/>
          <w:szCs w:val="27"/>
          <w:lang w:eastAsia="pt-BR"/>
          <w14:ligatures w14:val="none"/>
        </w:rPr>
        <w:t>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613D96">
          <w:rPr>
            <w:rFonts w:ascii="Times New Roman" w:eastAsia="Times New Roman" w:hAnsi="Times New Roman" w:cs="Times New Roman"/>
            <w:color w:val="0000FF"/>
            <w:kern w:val="0"/>
            <w:sz w:val="27"/>
            <w:szCs w:val="27"/>
            <w:u w:val="single"/>
            <w:lang w:eastAsia="pt-BR"/>
            <w14:ligatures w14:val="none"/>
          </w:rPr>
          <w:t>art. 107 da Lei nº 5.764, de 16 de dezembro 1971</w:t>
        </w:r>
      </w:hyperlink>
      <w:r w:rsidRPr="00613D96">
        <w:rPr>
          <w:rFonts w:ascii="Times New Roman" w:eastAsia="Times New Roman" w:hAnsi="Times New Roman" w:cs="Times New Roman"/>
          <w:color w:val="000000"/>
          <w:kern w:val="0"/>
          <w:sz w:val="27"/>
          <w:szCs w:val="27"/>
          <w:lang w:eastAsia="pt-BR"/>
          <w14:ligatures w14:val="none"/>
        </w:rPr>
        <w:t>.</w:t>
      </w:r>
    </w:p>
    <w:p w14:paraId="39E36F4C"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6531886E"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8.17. </w:t>
      </w:r>
      <w:r w:rsidRPr="00613D96">
        <w:rPr>
          <w:rFonts w:ascii="Times New Roman" w:eastAsia="Times New Roman" w:hAnsi="Times New Roman" w:cs="Times New Roman"/>
          <w:b/>
          <w:bCs/>
          <w:color w:val="000000"/>
          <w:kern w:val="0"/>
          <w:sz w:val="27"/>
          <w:szCs w:val="27"/>
          <w:lang w:eastAsia="pt-BR"/>
          <w14:ligatures w14:val="none"/>
        </w:rPr>
        <w:t>Agricultor familiar:</w:t>
      </w:r>
      <w:r w:rsidRPr="00613D96">
        <w:rPr>
          <w:rFonts w:ascii="Times New Roman" w:eastAsia="Times New Roman" w:hAnsi="Times New Roman" w:cs="Times New Roman"/>
          <w:color w:val="000000"/>
          <w:kern w:val="0"/>
          <w:sz w:val="27"/>
          <w:szCs w:val="27"/>
          <w:lang w:eastAsia="pt-BR"/>
          <w14:ligatures w14:val="none"/>
        </w:rPr>
        <w:t> Declaração de Aptidão ao Pronaf – DAP ou DAP-P válida, ou, ainda, outros documentos definidos pela Secretaria Especial de Agricultura Familiar e do Desenvolvimento Agrário, nos termos do</w:t>
      </w:r>
      <w:hyperlink r:id="rId35" w:anchor="art4%C2%A72" w:history="1">
        <w:r w:rsidRPr="00613D96">
          <w:rPr>
            <w:rFonts w:ascii="Times New Roman" w:eastAsia="Times New Roman" w:hAnsi="Times New Roman" w:cs="Times New Roman"/>
            <w:color w:val="0000FF"/>
            <w:kern w:val="0"/>
            <w:sz w:val="27"/>
            <w:szCs w:val="27"/>
            <w:u w:val="single"/>
            <w:lang w:eastAsia="pt-BR"/>
            <w14:ligatures w14:val="none"/>
          </w:rPr>
          <w:t> art. 4º, §2º do Decreto nº 10.880, de 2 de dezembro de 2021</w:t>
        </w:r>
      </w:hyperlink>
      <w:r w:rsidRPr="00613D96">
        <w:rPr>
          <w:rFonts w:ascii="Times New Roman" w:eastAsia="Times New Roman" w:hAnsi="Times New Roman" w:cs="Times New Roman"/>
          <w:color w:val="000000"/>
          <w:kern w:val="0"/>
          <w:sz w:val="27"/>
          <w:szCs w:val="27"/>
          <w:lang w:eastAsia="pt-BR"/>
          <w14:ligatures w14:val="none"/>
        </w:rPr>
        <w:t>.</w:t>
      </w:r>
    </w:p>
    <w:p w14:paraId="384BCB4A"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4EC29BDE"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8.18. </w:t>
      </w:r>
      <w:r w:rsidRPr="00613D96">
        <w:rPr>
          <w:rFonts w:ascii="Times New Roman" w:eastAsia="Times New Roman" w:hAnsi="Times New Roman" w:cs="Times New Roman"/>
          <w:b/>
          <w:bCs/>
          <w:color w:val="000000"/>
          <w:kern w:val="0"/>
          <w:sz w:val="27"/>
          <w:szCs w:val="27"/>
          <w:lang w:eastAsia="pt-BR"/>
          <w14:ligatures w14:val="none"/>
        </w:rPr>
        <w:t>Produtor Rural:</w:t>
      </w:r>
      <w:r w:rsidRPr="00613D96">
        <w:rPr>
          <w:rFonts w:ascii="Times New Roman" w:eastAsia="Times New Roman" w:hAnsi="Times New Roman" w:cs="Times New Roman"/>
          <w:color w:val="000000"/>
          <w:kern w:val="0"/>
          <w:sz w:val="27"/>
          <w:szCs w:val="27"/>
          <w:lang w:eastAsia="pt-BR"/>
          <w14:ligatures w14:val="none"/>
        </w:rPr>
        <w:t> matrícula no Cadastro Específico do INSS – CEI, que comprove a qualificação como produtor rural pessoa física, nos termos da </w:t>
      </w:r>
      <w:hyperlink r:id="rId36" w:history="1">
        <w:r w:rsidRPr="00613D96">
          <w:rPr>
            <w:rFonts w:ascii="Times New Roman" w:eastAsia="Times New Roman" w:hAnsi="Times New Roman" w:cs="Times New Roman"/>
            <w:color w:val="0000FF"/>
            <w:kern w:val="0"/>
            <w:sz w:val="27"/>
            <w:szCs w:val="27"/>
            <w:u w:val="single"/>
            <w:lang w:eastAsia="pt-BR"/>
            <w14:ligatures w14:val="none"/>
          </w:rPr>
          <w:t>Instrução Normativa RFB n. 971, de 13 de novembro de 2009</w:t>
        </w:r>
      </w:hyperlink>
      <w:r w:rsidRPr="00613D96">
        <w:rPr>
          <w:rFonts w:ascii="Times New Roman" w:eastAsia="Times New Roman" w:hAnsi="Times New Roman" w:cs="Times New Roman"/>
          <w:color w:val="000000"/>
          <w:kern w:val="0"/>
          <w:sz w:val="27"/>
          <w:szCs w:val="27"/>
          <w:lang w:eastAsia="pt-BR"/>
          <w14:ligatures w14:val="none"/>
        </w:rPr>
        <w:t> (</w:t>
      </w:r>
      <w:proofErr w:type="spellStart"/>
      <w:r w:rsidRPr="00613D96">
        <w:rPr>
          <w:rFonts w:ascii="Times New Roman" w:eastAsia="Times New Roman" w:hAnsi="Times New Roman" w:cs="Times New Roman"/>
          <w:color w:val="000000"/>
          <w:kern w:val="0"/>
          <w:sz w:val="27"/>
          <w:szCs w:val="27"/>
          <w:lang w:eastAsia="pt-BR"/>
          <w14:ligatures w14:val="none"/>
        </w:rPr>
        <w:t>arts</w:t>
      </w:r>
      <w:proofErr w:type="spellEnd"/>
      <w:r w:rsidRPr="00613D96">
        <w:rPr>
          <w:rFonts w:ascii="Times New Roman" w:eastAsia="Times New Roman" w:hAnsi="Times New Roman" w:cs="Times New Roman"/>
          <w:color w:val="000000"/>
          <w:kern w:val="0"/>
          <w:sz w:val="27"/>
          <w:szCs w:val="27"/>
          <w:lang w:eastAsia="pt-BR"/>
          <w14:ligatures w14:val="none"/>
        </w:rPr>
        <w:t>. 17 a 19 e 165).</w:t>
      </w:r>
    </w:p>
    <w:p w14:paraId="1AE26027"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798F7D19" w14:textId="77777777" w:rsidR="00613D96" w:rsidRPr="00613D96" w:rsidRDefault="00613D96" w:rsidP="00613D96">
      <w:pPr>
        <w:spacing w:after="0"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8.19. Os documentos apresentados deverão estar acompanhados de todas as alterações ou da consolidação respectiva.</w:t>
      </w:r>
    </w:p>
    <w:p w14:paraId="10BF2C7C"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111A430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b/>
          <w:bCs/>
          <w:color w:val="000000"/>
          <w:kern w:val="0"/>
          <w:sz w:val="27"/>
          <w:szCs w:val="27"/>
          <w:lang w:eastAsia="pt-BR"/>
          <w14:ligatures w14:val="none"/>
        </w:rPr>
        <w:t>Habilitação fiscal, social e trabalhista</w:t>
      </w:r>
    </w:p>
    <w:p w14:paraId="378A1CF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8.20. Prova de inscrição no Cadastro Nacional de Pessoas Jurídicas ou no Cadastro de Pessoas Físicas, conforme o caso;</w:t>
      </w:r>
    </w:p>
    <w:p w14:paraId="4885024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xml:space="preserve">8.21. Prova de regularidade fiscal perante a Fazenda Nacional, mediante apresentação de certidão expedida conjuntamente pela Secretaria da Receita Federal do Brasil (RFB) e pela Procuradoria-Geral da Fazenda Nacional (PGFN), referente a todos os créditos </w:t>
      </w:r>
      <w:r w:rsidRPr="00613D96">
        <w:rPr>
          <w:rFonts w:ascii="Calibri" w:eastAsia="Times New Roman" w:hAnsi="Calibri" w:cs="Calibri"/>
          <w:color w:val="000000"/>
          <w:kern w:val="0"/>
          <w:sz w:val="27"/>
          <w:szCs w:val="27"/>
          <w:lang w:eastAsia="pt-BR"/>
          <w14:ligatures w14:val="none"/>
        </w:rPr>
        <w:lastRenderedPageBreak/>
        <w:t>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B4FE2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8.22. Prova de regularidade com o Fundo de Garantia do Tempo de Serviço (FGTS);</w:t>
      </w:r>
    </w:p>
    <w:p w14:paraId="078756B8"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E1692EE"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8.24. Prova de inscrição no cadastro de contribuintes Estadual relativo ao domicílio ou sede do fornecedor, pertinente ao seu ramo de atividade e compatível com o objeto contratual;</w:t>
      </w:r>
    </w:p>
    <w:p w14:paraId="730F963D"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8.25. Prova de regularidade com a Fazenda Estadual do domicílio ou sede do fornecedor, relativa à atividade em cujo exercício contrata ou concorre;</w:t>
      </w:r>
    </w:p>
    <w:p w14:paraId="3803A403"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7EB7D8AF"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8.27.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0AA5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2A945DC5" w14:textId="77777777" w:rsidR="00613D96" w:rsidRPr="00613D96" w:rsidRDefault="00613D96" w:rsidP="00613D96">
      <w:pPr>
        <w:spacing w:after="0" w:line="240" w:lineRule="auto"/>
        <w:ind w:hanging="360"/>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9. ESTIMATIVAS DO VALOR DA CONTRATAÇÃO</w:t>
      </w:r>
    </w:p>
    <w:p w14:paraId="18DE1A06" w14:textId="77777777" w:rsidR="00613D96" w:rsidRPr="00613D96" w:rsidRDefault="00613D96" w:rsidP="00613D96">
      <w:pPr>
        <w:spacing w:before="120" w:after="120" w:line="240" w:lineRule="auto"/>
        <w:ind w:left="24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9.1. O custo estimado total da contratação é de R$ 55.460,00 (Cinquenta e cinco mil, quatrocentos e sessenta reais), conforme custos apostos na tabela do item 1.1 deste Termo de Referência.</w:t>
      </w:r>
    </w:p>
    <w:p w14:paraId="1B990849"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58DFA386" w14:textId="77777777" w:rsidR="00613D96" w:rsidRPr="00613D96" w:rsidRDefault="00613D96" w:rsidP="00613D96">
      <w:pPr>
        <w:spacing w:before="120" w:after="120" w:line="240" w:lineRule="auto"/>
        <w:ind w:left="1800" w:hanging="432"/>
        <w:jc w:val="both"/>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b/>
          <w:bCs/>
          <w:color w:val="000000"/>
          <w:kern w:val="0"/>
          <w:sz w:val="27"/>
          <w:szCs w:val="27"/>
          <w:lang w:eastAsia="pt-BR"/>
          <w14:ligatures w14:val="none"/>
        </w:rPr>
        <w:t>ADEQUAÇÃO ORÇAMENTÁRIA</w:t>
      </w:r>
    </w:p>
    <w:p w14:paraId="16911EB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9.1. As despesas decorrentes da presente contratação correrão à conta de recursos específicos consignados no Orçamento Geral da União.</w:t>
      </w:r>
    </w:p>
    <w:p w14:paraId="58539CC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9.2.  A contratação será atendida pela seguinte dotação:</w:t>
      </w:r>
    </w:p>
    <w:p w14:paraId="1AB18F40"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 Gestão/Unidade: 25201 / 254488</w:t>
      </w:r>
    </w:p>
    <w:p w14:paraId="28D15CBF"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II) Fonte de Recursos: 1002000000</w:t>
      </w:r>
    </w:p>
    <w:p w14:paraId="02DFE4B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III) Programa de Trabalho: 6179 - Comunicação e Informações para a Educação em Saúde e em Ciência e Tecnologia</w:t>
      </w:r>
    </w:p>
    <w:p w14:paraId="625594A5"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IV) Elemento de Despesa: 339039</w:t>
      </w:r>
    </w:p>
    <w:p w14:paraId="0834742F"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lastRenderedPageBreak/>
        <w:t>V) Plano Interno: A1COC</w:t>
      </w:r>
    </w:p>
    <w:p w14:paraId="5F59EB51"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17A55DC4"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9.3. A dotação relativa aos exercícios financeiros subsequentes será indicada após aprovação da Lei Orçamentária respectiva e liberação dos créditos correspondentes, mediante apostilamento.</w:t>
      </w:r>
    </w:p>
    <w:p w14:paraId="3E0AEBCA" w14:textId="77777777" w:rsidR="00613D96" w:rsidRPr="00613D96" w:rsidRDefault="00613D96" w:rsidP="00613D96">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613D96">
        <w:rPr>
          <w:rFonts w:ascii="Times New Roman" w:eastAsia="Times New Roman" w:hAnsi="Times New Roman" w:cs="Times New Roman"/>
          <w:color w:val="000000"/>
          <w:kern w:val="0"/>
          <w:sz w:val="27"/>
          <w:szCs w:val="27"/>
          <w:lang w:eastAsia="pt-BR"/>
          <w14:ligatures w14:val="none"/>
        </w:rPr>
        <w:t> </w:t>
      </w:r>
    </w:p>
    <w:p w14:paraId="44047814" w14:textId="77777777" w:rsidR="00613D96" w:rsidRPr="00613D96" w:rsidRDefault="00613D96" w:rsidP="00613D96">
      <w:pPr>
        <w:spacing w:after="0" w:line="240" w:lineRule="auto"/>
        <w:ind w:left="60" w:right="60"/>
        <w:jc w:val="right"/>
        <w:rPr>
          <w:rFonts w:ascii="Calibri" w:eastAsia="Times New Roman" w:hAnsi="Calibri" w:cs="Calibri"/>
          <w:color w:val="000000"/>
          <w:kern w:val="0"/>
          <w:lang w:eastAsia="pt-BR"/>
          <w14:ligatures w14:val="none"/>
        </w:rPr>
      </w:pPr>
      <w:r w:rsidRPr="00613D96">
        <w:rPr>
          <w:rFonts w:ascii="Calibri" w:eastAsia="Times New Roman" w:hAnsi="Calibri" w:cs="Calibri"/>
          <w:color w:val="000000"/>
          <w:kern w:val="0"/>
          <w:lang w:eastAsia="pt-BR"/>
          <w14:ligatures w14:val="none"/>
        </w:rPr>
        <w:t>Rio de Janeiro</w:t>
      </w:r>
      <w:r w:rsidRPr="00613D96">
        <w:rPr>
          <w:rFonts w:ascii="Calibri" w:eastAsia="Times New Roman" w:hAnsi="Calibri" w:cs="Calibri"/>
          <w:i/>
          <w:iCs/>
          <w:color w:val="000000"/>
          <w:kern w:val="0"/>
          <w:lang w:eastAsia="pt-BR"/>
          <w14:ligatures w14:val="none"/>
        </w:rPr>
        <w:t xml:space="preserve">, 03 de outubro </w:t>
      </w:r>
      <w:proofErr w:type="gramStart"/>
      <w:r w:rsidRPr="00613D96">
        <w:rPr>
          <w:rFonts w:ascii="Calibri" w:eastAsia="Times New Roman" w:hAnsi="Calibri" w:cs="Calibri"/>
          <w:i/>
          <w:iCs/>
          <w:color w:val="000000"/>
          <w:kern w:val="0"/>
          <w:lang w:eastAsia="pt-BR"/>
          <w14:ligatures w14:val="none"/>
        </w:rPr>
        <w:t>de  2023</w:t>
      </w:r>
      <w:proofErr w:type="gramEnd"/>
      <w:r w:rsidRPr="00613D96">
        <w:rPr>
          <w:rFonts w:ascii="Calibri" w:eastAsia="Times New Roman" w:hAnsi="Calibri" w:cs="Calibri"/>
          <w:i/>
          <w:iCs/>
          <w:color w:val="000000"/>
          <w:kern w:val="0"/>
          <w:lang w:eastAsia="pt-BR"/>
          <w14:ligatures w14:val="none"/>
        </w:rPr>
        <w:t>.</w:t>
      </w:r>
    </w:p>
    <w:p w14:paraId="7A7F6CFB"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0584D19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 </w:t>
      </w:r>
    </w:p>
    <w:p w14:paraId="53698A2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color w:val="000000"/>
          <w:kern w:val="0"/>
          <w:sz w:val="27"/>
          <w:szCs w:val="27"/>
          <w:lang w:eastAsia="pt-BR"/>
          <w14:ligatures w14:val="none"/>
        </w:rPr>
        <w:t>_____________________</w:t>
      </w:r>
    </w:p>
    <w:p w14:paraId="12E62DD9"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i/>
          <w:iCs/>
          <w:color w:val="000000"/>
          <w:kern w:val="0"/>
          <w:sz w:val="27"/>
          <w:szCs w:val="27"/>
          <w:lang w:eastAsia="pt-BR"/>
          <w14:ligatures w14:val="none"/>
        </w:rPr>
        <w:t>Ana Carolina da Silva Gonzalez</w:t>
      </w:r>
    </w:p>
    <w:p w14:paraId="2379A757"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i/>
          <w:iCs/>
          <w:color w:val="000000"/>
          <w:kern w:val="0"/>
          <w:sz w:val="27"/>
          <w:szCs w:val="27"/>
          <w:lang w:eastAsia="pt-BR"/>
          <w14:ligatures w14:val="none"/>
        </w:rPr>
        <w:t>Chefe</w:t>
      </w:r>
    </w:p>
    <w:p w14:paraId="0D156F5A" w14:textId="77777777" w:rsidR="00613D96" w:rsidRPr="00613D96" w:rsidRDefault="00613D96" w:rsidP="00613D96">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613D96">
        <w:rPr>
          <w:rFonts w:ascii="Calibri" w:eastAsia="Times New Roman" w:hAnsi="Calibri" w:cs="Calibri"/>
          <w:i/>
          <w:iCs/>
          <w:color w:val="000000"/>
          <w:kern w:val="0"/>
          <w:sz w:val="27"/>
          <w:szCs w:val="27"/>
          <w:lang w:eastAsia="pt-BR"/>
          <w14:ligatures w14:val="none"/>
        </w:rPr>
        <w:t>Depto Museu da Vida/COC </w:t>
      </w:r>
    </w:p>
    <w:p w14:paraId="078888E7" w14:textId="1B581338" w:rsidR="00566EF2" w:rsidRPr="00613D96" w:rsidRDefault="00566EF2" w:rsidP="00613D96"/>
    <w:sectPr w:rsidR="00566EF2" w:rsidRPr="00613D96" w:rsidSect="00613D96">
      <w:pgSz w:w="11906" w:h="16838"/>
      <w:pgMar w:top="1417" w:right="566"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D96"/>
    <w:rsid w:val="00566EF2"/>
    <w:rsid w:val="00613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9D77"/>
  <w15:chartTrackingRefBased/>
  <w15:docId w15:val="{D480A5FB-5C62-47A9-8E42-832CDC07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
    <w:name w:val="texto_centralizado"/>
    <w:basedOn w:val="Normal"/>
    <w:rsid w:val="00613D9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13D96"/>
    <w:rPr>
      <w:b/>
      <w:bCs/>
    </w:rPr>
  </w:style>
  <w:style w:type="paragraph" w:styleId="NormalWeb">
    <w:name w:val="Normal (Web)"/>
    <w:basedOn w:val="Normal"/>
    <w:uiPriority w:val="99"/>
    <w:semiHidden/>
    <w:unhideWhenUsed/>
    <w:rsid w:val="00613D9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613D9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extojustificadorecuoprimeiralinha1">
    <w:name w:val="texto_justificado_recuo_primeira_linha1"/>
    <w:basedOn w:val="Fontepargpadro"/>
    <w:rsid w:val="00613D96"/>
  </w:style>
  <w:style w:type="character" w:styleId="nfase">
    <w:name w:val="Emphasis"/>
    <w:basedOn w:val="Fontepargpadro"/>
    <w:uiPriority w:val="20"/>
    <w:qFormat/>
    <w:rsid w:val="00613D96"/>
    <w:rPr>
      <w:i/>
      <w:iCs/>
    </w:rPr>
  </w:style>
  <w:style w:type="character" w:styleId="Hyperlink">
    <w:name w:val="Hyperlink"/>
    <w:basedOn w:val="Fontepargpadro"/>
    <w:uiPriority w:val="99"/>
    <w:semiHidden/>
    <w:unhideWhenUsed/>
    <w:rsid w:val="00613D96"/>
    <w:rPr>
      <w:color w:val="0000FF"/>
      <w:u w:val="single"/>
    </w:rPr>
  </w:style>
  <w:style w:type="paragraph" w:customStyle="1" w:styleId="tabelatextoalinhadodireita">
    <w:name w:val="tabela_texto_alinhado_direita"/>
    <w:basedOn w:val="Normal"/>
    <w:rsid w:val="00613D9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71202">
      <w:bodyDiv w:val="1"/>
      <w:marLeft w:val="0"/>
      <w:marRight w:val="0"/>
      <w:marTop w:val="0"/>
      <w:marBottom w:val="0"/>
      <w:divBdr>
        <w:top w:val="none" w:sz="0" w:space="0" w:color="auto"/>
        <w:left w:val="none" w:sz="0" w:space="0" w:color="auto"/>
        <w:bottom w:val="none" w:sz="0" w:space="0" w:color="auto"/>
        <w:right w:val="none" w:sz="0" w:space="0" w:color="auto"/>
      </w:divBdr>
      <w:divsChild>
        <w:div w:id="37321902">
          <w:marLeft w:val="0"/>
          <w:marRight w:val="0"/>
          <w:marTop w:val="0"/>
          <w:marBottom w:val="0"/>
          <w:divBdr>
            <w:top w:val="none" w:sz="0" w:space="0" w:color="auto"/>
            <w:left w:val="none" w:sz="0" w:space="0" w:color="auto"/>
            <w:bottom w:val="none" w:sz="0" w:space="0" w:color="auto"/>
            <w:right w:val="none" w:sz="0" w:space="0" w:color="auto"/>
          </w:divBdr>
        </w:div>
        <w:div w:id="307982536">
          <w:marLeft w:val="0"/>
          <w:marRight w:val="0"/>
          <w:marTop w:val="0"/>
          <w:marBottom w:val="0"/>
          <w:divBdr>
            <w:top w:val="none" w:sz="0" w:space="0" w:color="auto"/>
            <w:left w:val="none" w:sz="0" w:space="0" w:color="auto"/>
            <w:bottom w:val="none" w:sz="0" w:space="0" w:color="auto"/>
            <w:right w:val="none" w:sz="0" w:space="0" w:color="auto"/>
          </w:divBdr>
          <w:divsChild>
            <w:div w:id="1193421340">
              <w:marLeft w:val="0"/>
              <w:marRight w:val="0"/>
              <w:marTop w:val="0"/>
              <w:marBottom w:val="0"/>
              <w:divBdr>
                <w:top w:val="none" w:sz="0" w:space="0" w:color="auto"/>
                <w:left w:val="none" w:sz="0" w:space="0" w:color="auto"/>
                <w:bottom w:val="none" w:sz="0" w:space="0" w:color="auto"/>
                <w:right w:val="none" w:sz="0" w:space="0" w:color="auto"/>
              </w:divBdr>
            </w:div>
          </w:divsChild>
        </w:div>
        <w:div w:id="1077826512">
          <w:marLeft w:val="0"/>
          <w:marRight w:val="0"/>
          <w:marTop w:val="0"/>
          <w:marBottom w:val="0"/>
          <w:divBdr>
            <w:top w:val="none" w:sz="0" w:space="0" w:color="auto"/>
            <w:left w:val="none" w:sz="0" w:space="0" w:color="auto"/>
            <w:bottom w:val="none" w:sz="0" w:space="0" w:color="auto"/>
            <w:right w:val="none" w:sz="0" w:space="0" w:color="auto"/>
          </w:divBdr>
        </w:div>
        <w:div w:id="1074624549">
          <w:marLeft w:val="0"/>
          <w:marRight w:val="0"/>
          <w:marTop w:val="0"/>
          <w:marBottom w:val="0"/>
          <w:divBdr>
            <w:top w:val="none" w:sz="0" w:space="0" w:color="auto"/>
            <w:left w:val="none" w:sz="0" w:space="0" w:color="auto"/>
            <w:bottom w:val="none" w:sz="0" w:space="0" w:color="auto"/>
            <w:right w:val="none" w:sz="0" w:space="0" w:color="auto"/>
          </w:divBdr>
          <w:divsChild>
            <w:div w:id="87897190">
              <w:marLeft w:val="0"/>
              <w:marRight w:val="0"/>
              <w:marTop w:val="0"/>
              <w:marBottom w:val="0"/>
              <w:divBdr>
                <w:top w:val="none" w:sz="0" w:space="0" w:color="auto"/>
                <w:left w:val="none" w:sz="0" w:space="0" w:color="auto"/>
                <w:bottom w:val="none" w:sz="0" w:space="0" w:color="auto"/>
                <w:right w:val="none" w:sz="0" w:space="0" w:color="auto"/>
              </w:divBdr>
            </w:div>
          </w:divsChild>
        </w:div>
        <w:div w:id="1671330884">
          <w:marLeft w:val="0"/>
          <w:marRight w:val="0"/>
          <w:marTop w:val="0"/>
          <w:marBottom w:val="0"/>
          <w:divBdr>
            <w:top w:val="none" w:sz="0" w:space="0" w:color="auto"/>
            <w:left w:val="none" w:sz="0" w:space="0" w:color="auto"/>
            <w:bottom w:val="none" w:sz="0" w:space="0" w:color="auto"/>
            <w:right w:val="none" w:sz="0" w:space="0" w:color="auto"/>
          </w:divBdr>
          <w:divsChild>
            <w:div w:id="1102381539">
              <w:marLeft w:val="0"/>
              <w:marRight w:val="0"/>
              <w:marTop w:val="0"/>
              <w:marBottom w:val="0"/>
              <w:divBdr>
                <w:top w:val="none" w:sz="0" w:space="0" w:color="auto"/>
                <w:left w:val="none" w:sz="0" w:space="0" w:color="auto"/>
                <w:bottom w:val="none" w:sz="0" w:space="0" w:color="auto"/>
                <w:right w:val="none" w:sz="0" w:space="0" w:color="auto"/>
              </w:divBdr>
            </w:div>
          </w:divsChild>
        </w:div>
        <w:div w:id="1469517339">
          <w:marLeft w:val="0"/>
          <w:marRight w:val="0"/>
          <w:marTop w:val="0"/>
          <w:marBottom w:val="0"/>
          <w:divBdr>
            <w:top w:val="none" w:sz="0" w:space="0" w:color="auto"/>
            <w:left w:val="none" w:sz="0" w:space="0" w:color="auto"/>
            <w:bottom w:val="none" w:sz="0" w:space="0" w:color="auto"/>
            <w:right w:val="none" w:sz="0" w:space="0" w:color="auto"/>
          </w:divBdr>
        </w:div>
        <w:div w:id="1096365725">
          <w:marLeft w:val="0"/>
          <w:marRight w:val="0"/>
          <w:marTop w:val="0"/>
          <w:marBottom w:val="0"/>
          <w:divBdr>
            <w:top w:val="none" w:sz="0" w:space="0" w:color="auto"/>
            <w:left w:val="none" w:sz="0" w:space="0" w:color="auto"/>
            <w:bottom w:val="none" w:sz="0" w:space="0" w:color="auto"/>
            <w:right w:val="none" w:sz="0" w:space="0" w:color="auto"/>
          </w:divBdr>
          <w:divsChild>
            <w:div w:id="777483908">
              <w:marLeft w:val="0"/>
              <w:marRight w:val="0"/>
              <w:marTop w:val="0"/>
              <w:marBottom w:val="0"/>
              <w:divBdr>
                <w:top w:val="none" w:sz="0" w:space="0" w:color="auto"/>
                <w:left w:val="none" w:sz="0" w:space="0" w:color="auto"/>
                <w:bottom w:val="none" w:sz="0" w:space="0" w:color="auto"/>
                <w:right w:val="none" w:sz="0" w:space="0" w:color="auto"/>
              </w:divBdr>
            </w:div>
          </w:divsChild>
        </w:div>
        <w:div w:id="940185367">
          <w:marLeft w:val="0"/>
          <w:marRight w:val="0"/>
          <w:marTop w:val="0"/>
          <w:marBottom w:val="0"/>
          <w:divBdr>
            <w:top w:val="none" w:sz="0" w:space="0" w:color="auto"/>
            <w:left w:val="none" w:sz="0" w:space="0" w:color="auto"/>
            <w:bottom w:val="none" w:sz="0" w:space="0" w:color="auto"/>
            <w:right w:val="none" w:sz="0" w:space="0" w:color="auto"/>
          </w:divBdr>
        </w:div>
        <w:div w:id="1848255080">
          <w:marLeft w:val="0"/>
          <w:marRight w:val="0"/>
          <w:marTop w:val="0"/>
          <w:marBottom w:val="0"/>
          <w:divBdr>
            <w:top w:val="none" w:sz="0" w:space="0" w:color="auto"/>
            <w:left w:val="none" w:sz="0" w:space="0" w:color="auto"/>
            <w:bottom w:val="none" w:sz="0" w:space="0" w:color="auto"/>
            <w:right w:val="none" w:sz="0" w:space="0" w:color="auto"/>
          </w:divBdr>
        </w:div>
        <w:div w:id="2147044476">
          <w:marLeft w:val="0"/>
          <w:marRight w:val="0"/>
          <w:marTop w:val="0"/>
          <w:marBottom w:val="0"/>
          <w:divBdr>
            <w:top w:val="none" w:sz="0" w:space="0" w:color="auto"/>
            <w:left w:val="none" w:sz="0" w:space="0" w:color="auto"/>
            <w:bottom w:val="none" w:sz="0" w:space="0" w:color="auto"/>
            <w:right w:val="none" w:sz="0" w:space="0" w:color="auto"/>
          </w:divBdr>
        </w:div>
        <w:div w:id="1335499059">
          <w:marLeft w:val="0"/>
          <w:marRight w:val="0"/>
          <w:marTop w:val="0"/>
          <w:marBottom w:val="0"/>
          <w:divBdr>
            <w:top w:val="none" w:sz="0" w:space="0" w:color="auto"/>
            <w:left w:val="none" w:sz="0" w:space="0" w:color="auto"/>
            <w:bottom w:val="none" w:sz="0" w:space="0" w:color="auto"/>
            <w:right w:val="none" w:sz="0" w:space="0" w:color="auto"/>
          </w:divBdr>
        </w:div>
        <w:div w:id="1040205553">
          <w:marLeft w:val="0"/>
          <w:marRight w:val="0"/>
          <w:marTop w:val="0"/>
          <w:marBottom w:val="0"/>
          <w:divBdr>
            <w:top w:val="none" w:sz="0" w:space="0" w:color="auto"/>
            <w:left w:val="none" w:sz="0" w:space="0" w:color="auto"/>
            <w:bottom w:val="none" w:sz="0" w:space="0" w:color="auto"/>
            <w:right w:val="none" w:sz="0" w:space="0" w:color="auto"/>
          </w:divBdr>
        </w:div>
        <w:div w:id="912156450">
          <w:marLeft w:val="0"/>
          <w:marRight w:val="0"/>
          <w:marTop w:val="0"/>
          <w:marBottom w:val="0"/>
          <w:divBdr>
            <w:top w:val="none" w:sz="0" w:space="0" w:color="auto"/>
            <w:left w:val="none" w:sz="0" w:space="0" w:color="auto"/>
            <w:bottom w:val="none" w:sz="0" w:space="0" w:color="auto"/>
            <w:right w:val="none" w:sz="0" w:space="0" w:color="auto"/>
          </w:divBdr>
        </w:div>
        <w:div w:id="779616285">
          <w:marLeft w:val="0"/>
          <w:marRight w:val="0"/>
          <w:marTop w:val="0"/>
          <w:marBottom w:val="0"/>
          <w:divBdr>
            <w:top w:val="none" w:sz="0" w:space="0" w:color="auto"/>
            <w:left w:val="none" w:sz="0" w:space="0" w:color="auto"/>
            <w:bottom w:val="none" w:sz="0" w:space="0" w:color="auto"/>
            <w:right w:val="none" w:sz="0" w:space="0" w:color="auto"/>
          </w:divBdr>
        </w:div>
        <w:div w:id="1314021193">
          <w:marLeft w:val="0"/>
          <w:marRight w:val="0"/>
          <w:marTop w:val="0"/>
          <w:marBottom w:val="0"/>
          <w:divBdr>
            <w:top w:val="none" w:sz="0" w:space="0" w:color="auto"/>
            <w:left w:val="none" w:sz="0" w:space="0" w:color="auto"/>
            <w:bottom w:val="none" w:sz="0" w:space="0" w:color="auto"/>
            <w:right w:val="none" w:sz="0" w:space="0" w:color="auto"/>
          </w:divBdr>
        </w:div>
        <w:div w:id="545946219">
          <w:marLeft w:val="0"/>
          <w:marRight w:val="0"/>
          <w:marTop w:val="0"/>
          <w:marBottom w:val="0"/>
          <w:divBdr>
            <w:top w:val="none" w:sz="0" w:space="0" w:color="auto"/>
            <w:left w:val="none" w:sz="0" w:space="0" w:color="auto"/>
            <w:bottom w:val="none" w:sz="0" w:space="0" w:color="auto"/>
            <w:right w:val="none" w:sz="0" w:space="0" w:color="auto"/>
          </w:divBdr>
        </w:div>
        <w:div w:id="158468440">
          <w:marLeft w:val="0"/>
          <w:marRight w:val="0"/>
          <w:marTop w:val="0"/>
          <w:marBottom w:val="0"/>
          <w:divBdr>
            <w:top w:val="none" w:sz="0" w:space="0" w:color="auto"/>
            <w:left w:val="none" w:sz="0" w:space="0" w:color="auto"/>
            <w:bottom w:val="none" w:sz="0" w:space="0" w:color="auto"/>
            <w:right w:val="none" w:sz="0" w:space="0" w:color="auto"/>
          </w:divBdr>
        </w:div>
        <w:div w:id="1897692481">
          <w:marLeft w:val="0"/>
          <w:marRight w:val="0"/>
          <w:marTop w:val="0"/>
          <w:marBottom w:val="0"/>
          <w:divBdr>
            <w:top w:val="none" w:sz="0" w:space="0" w:color="auto"/>
            <w:left w:val="none" w:sz="0" w:space="0" w:color="auto"/>
            <w:bottom w:val="none" w:sz="0" w:space="0" w:color="auto"/>
            <w:right w:val="none" w:sz="0" w:space="0" w:color="auto"/>
          </w:divBdr>
        </w:div>
        <w:div w:id="1721130024">
          <w:marLeft w:val="0"/>
          <w:marRight w:val="0"/>
          <w:marTop w:val="0"/>
          <w:marBottom w:val="0"/>
          <w:divBdr>
            <w:top w:val="none" w:sz="0" w:space="0" w:color="auto"/>
            <w:left w:val="none" w:sz="0" w:space="0" w:color="auto"/>
            <w:bottom w:val="none" w:sz="0" w:space="0" w:color="auto"/>
            <w:right w:val="none" w:sz="0" w:space="0" w:color="auto"/>
          </w:divBdr>
        </w:div>
        <w:div w:id="549461791">
          <w:marLeft w:val="0"/>
          <w:marRight w:val="0"/>
          <w:marTop w:val="0"/>
          <w:marBottom w:val="0"/>
          <w:divBdr>
            <w:top w:val="none" w:sz="0" w:space="0" w:color="auto"/>
            <w:left w:val="none" w:sz="0" w:space="0" w:color="auto"/>
            <w:bottom w:val="none" w:sz="0" w:space="0" w:color="auto"/>
            <w:right w:val="none" w:sz="0" w:space="0" w:color="auto"/>
          </w:divBdr>
        </w:div>
        <w:div w:id="2091197345">
          <w:marLeft w:val="0"/>
          <w:marRight w:val="0"/>
          <w:marTop w:val="0"/>
          <w:marBottom w:val="0"/>
          <w:divBdr>
            <w:top w:val="none" w:sz="0" w:space="0" w:color="auto"/>
            <w:left w:val="none" w:sz="0" w:space="0" w:color="auto"/>
            <w:bottom w:val="none" w:sz="0" w:space="0" w:color="auto"/>
            <w:right w:val="none" w:sz="0" w:space="0" w:color="auto"/>
          </w:divBdr>
        </w:div>
        <w:div w:id="1608735249">
          <w:marLeft w:val="0"/>
          <w:marRight w:val="0"/>
          <w:marTop w:val="0"/>
          <w:marBottom w:val="0"/>
          <w:divBdr>
            <w:top w:val="none" w:sz="0" w:space="0" w:color="auto"/>
            <w:left w:val="none" w:sz="0" w:space="0" w:color="auto"/>
            <w:bottom w:val="none" w:sz="0" w:space="0" w:color="auto"/>
            <w:right w:val="none" w:sz="0" w:space="0" w:color="auto"/>
          </w:divBdr>
        </w:div>
        <w:div w:id="1491288735">
          <w:marLeft w:val="0"/>
          <w:marRight w:val="0"/>
          <w:marTop w:val="0"/>
          <w:marBottom w:val="0"/>
          <w:divBdr>
            <w:top w:val="none" w:sz="0" w:space="0" w:color="auto"/>
            <w:left w:val="none" w:sz="0" w:space="0" w:color="auto"/>
            <w:bottom w:val="none" w:sz="0" w:space="0" w:color="auto"/>
            <w:right w:val="none" w:sz="0" w:space="0" w:color="auto"/>
          </w:divBdr>
        </w:div>
        <w:div w:id="1652324033">
          <w:marLeft w:val="0"/>
          <w:marRight w:val="0"/>
          <w:marTop w:val="0"/>
          <w:marBottom w:val="0"/>
          <w:divBdr>
            <w:top w:val="none" w:sz="0" w:space="0" w:color="auto"/>
            <w:left w:val="none" w:sz="0" w:space="0" w:color="auto"/>
            <w:bottom w:val="none" w:sz="0" w:space="0" w:color="auto"/>
            <w:right w:val="none" w:sz="0" w:space="0" w:color="auto"/>
          </w:divBdr>
        </w:div>
        <w:div w:id="1997148994">
          <w:marLeft w:val="0"/>
          <w:marRight w:val="0"/>
          <w:marTop w:val="0"/>
          <w:marBottom w:val="0"/>
          <w:divBdr>
            <w:top w:val="none" w:sz="0" w:space="0" w:color="auto"/>
            <w:left w:val="none" w:sz="0" w:space="0" w:color="auto"/>
            <w:bottom w:val="none" w:sz="0" w:space="0" w:color="auto"/>
            <w:right w:val="none" w:sz="0" w:space="0" w:color="auto"/>
          </w:divBdr>
        </w:div>
        <w:div w:id="1189371900">
          <w:marLeft w:val="0"/>
          <w:marRight w:val="0"/>
          <w:marTop w:val="0"/>
          <w:marBottom w:val="0"/>
          <w:divBdr>
            <w:top w:val="none" w:sz="0" w:space="0" w:color="auto"/>
            <w:left w:val="none" w:sz="0" w:space="0" w:color="auto"/>
            <w:bottom w:val="none" w:sz="0" w:space="0" w:color="auto"/>
            <w:right w:val="none" w:sz="0" w:space="0" w:color="auto"/>
          </w:divBdr>
        </w:div>
        <w:div w:id="1661274599">
          <w:marLeft w:val="0"/>
          <w:marRight w:val="0"/>
          <w:marTop w:val="0"/>
          <w:marBottom w:val="0"/>
          <w:divBdr>
            <w:top w:val="none" w:sz="0" w:space="0" w:color="auto"/>
            <w:left w:val="none" w:sz="0" w:space="0" w:color="auto"/>
            <w:bottom w:val="none" w:sz="0" w:space="0" w:color="auto"/>
            <w:right w:val="none" w:sz="0" w:space="0" w:color="auto"/>
          </w:divBdr>
        </w:div>
        <w:div w:id="1520974409">
          <w:marLeft w:val="0"/>
          <w:marRight w:val="0"/>
          <w:marTop w:val="0"/>
          <w:marBottom w:val="0"/>
          <w:divBdr>
            <w:top w:val="none" w:sz="0" w:space="0" w:color="auto"/>
            <w:left w:val="none" w:sz="0" w:space="0" w:color="auto"/>
            <w:bottom w:val="none" w:sz="0" w:space="0" w:color="auto"/>
            <w:right w:val="none" w:sz="0" w:space="0" w:color="auto"/>
          </w:divBdr>
        </w:div>
        <w:div w:id="317223744">
          <w:marLeft w:val="0"/>
          <w:marRight w:val="0"/>
          <w:marTop w:val="0"/>
          <w:marBottom w:val="0"/>
          <w:divBdr>
            <w:top w:val="none" w:sz="0" w:space="0" w:color="auto"/>
            <w:left w:val="none" w:sz="0" w:space="0" w:color="auto"/>
            <w:bottom w:val="none" w:sz="0" w:space="0" w:color="auto"/>
            <w:right w:val="none" w:sz="0" w:space="0" w:color="auto"/>
          </w:divBdr>
        </w:div>
        <w:div w:id="456342297">
          <w:marLeft w:val="0"/>
          <w:marRight w:val="0"/>
          <w:marTop w:val="0"/>
          <w:marBottom w:val="0"/>
          <w:divBdr>
            <w:top w:val="none" w:sz="0" w:space="0" w:color="auto"/>
            <w:left w:val="none" w:sz="0" w:space="0" w:color="auto"/>
            <w:bottom w:val="none" w:sz="0" w:space="0" w:color="auto"/>
            <w:right w:val="none" w:sz="0" w:space="0" w:color="auto"/>
          </w:divBdr>
        </w:div>
        <w:div w:id="1177302832">
          <w:marLeft w:val="0"/>
          <w:marRight w:val="0"/>
          <w:marTop w:val="0"/>
          <w:marBottom w:val="0"/>
          <w:divBdr>
            <w:top w:val="none" w:sz="0" w:space="0" w:color="auto"/>
            <w:left w:val="none" w:sz="0" w:space="0" w:color="auto"/>
            <w:bottom w:val="none" w:sz="0" w:space="0" w:color="auto"/>
            <w:right w:val="none" w:sz="0" w:space="0" w:color="auto"/>
          </w:divBdr>
        </w:div>
        <w:div w:id="906960875">
          <w:marLeft w:val="0"/>
          <w:marRight w:val="0"/>
          <w:marTop w:val="0"/>
          <w:marBottom w:val="0"/>
          <w:divBdr>
            <w:top w:val="none" w:sz="0" w:space="0" w:color="auto"/>
            <w:left w:val="none" w:sz="0" w:space="0" w:color="auto"/>
            <w:bottom w:val="none" w:sz="0" w:space="0" w:color="auto"/>
            <w:right w:val="none" w:sz="0" w:space="0" w:color="auto"/>
          </w:divBdr>
        </w:div>
        <w:div w:id="105545128">
          <w:marLeft w:val="0"/>
          <w:marRight w:val="0"/>
          <w:marTop w:val="0"/>
          <w:marBottom w:val="0"/>
          <w:divBdr>
            <w:top w:val="none" w:sz="0" w:space="0" w:color="auto"/>
            <w:left w:val="none" w:sz="0" w:space="0" w:color="auto"/>
            <w:bottom w:val="none" w:sz="0" w:space="0" w:color="auto"/>
            <w:right w:val="none" w:sz="0" w:space="0" w:color="auto"/>
          </w:divBdr>
        </w:div>
        <w:div w:id="1406760173">
          <w:marLeft w:val="0"/>
          <w:marRight w:val="0"/>
          <w:marTop w:val="0"/>
          <w:marBottom w:val="0"/>
          <w:divBdr>
            <w:top w:val="none" w:sz="0" w:space="0" w:color="auto"/>
            <w:left w:val="none" w:sz="0" w:space="0" w:color="auto"/>
            <w:bottom w:val="none" w:sz="0" w:space="0" w:color="auto"/>
            <w:right w:val="none" w:sz="0" w:space="0" w:color="auto"/>
          </w:divBdr>
        </w:div>
        <w:div w:id="1163859667">
          <w:marLeft w:val="0"/>
          <w:marRight w:val="0"/>
          <w:marTop w:val="0"/>
          <w:marBottom w:val="0"/>
          <w:divBdr>
            <w:top w:val="none" w:sz="0" w:space="0" w:color="auto"/>
            <w:left w:val="none" w:sz="0" w:space="0" w:color="auto"/>
            <w:bottom w:val="none" w:sz="0" w:space="0" w:color="auto"/>
            <w:right w:val="none" w:sz="0" w:space="0" w:color="auto"/>
          </w:divBdr>
        </w:div>
        <w:div w:id="2144884191">
          <w:marLeft w:val="1200"/>
          <w:marRight w:val="0"/>
          <w:marTop w:val="0"/>
          <w:marBottom w:val="0"/>
          <w:divBdr>
            <w:top w:val="none" w:sz="0" w:space="0" w:color="auto"/>
            <w:left w:val="none" w:sz="0" w:space="0" w:color="auto"/>
            <w:bottom w:val="none" w:sz="0" w:space="0" w:color="auto"/>
            <w:right w:val="none" w:sz="0" w:space="0" w:color="auto"/>
          </w:divBdr>
        </w:div>
        <w:div w:id="2105490865">
          <w:marLeft w:val="1200"/>
          <w:marRight w:val="0"/>
          <w:marTop w:val="0"/>
          <w:marBottom w:val="0"/>
          <w:divBdr>
            <w:top w:val="none" w:sz="0" w:space="0" w:color="auto"/>
            <w:left w:val="none" w:sz="0" w:space="0" w:color="auto"/>
            <w:bottom w:val="none" w:sz="0" w:space="0" w:color="auto"/>
            <w:right w:val="none" w:sz="0" w:space="0" w:color="auto"/>
          </w:divBdr>
        </w:div>
        <w:div w:id="1404722229">
          <w:marLeft w:val="1200"/>
          <w:marRight w:val="0"/>
          <w:marTop w:val="0"/>
          <w:marBottom w:val="0"/>
          <w:divBdr>
            <w:top w:val="none" w:sz="0" w:space="0" w:color="auto"/>
            <w:left w:val="none" w:sz="0" w:space="0" w:color="auto"/>
            <w:bottom w:val="none" w:sz="0" w:space="0" w:color="auto"/>
            <w:right w:val="none" w:sz="0" w:space="0" w:color="auto"/>
          </w:divBdr>
        </w:div>
        <w:div w:id="249434695">
          <w:marLeft w:val="1200"/>
          <w:marRight w:val="0"/>
          <w:marTop w:val="0"/>
          <w:marBottom w:val="0"/>
          <w:divBdr>
            <w:top w:val="none" w:sz="0" w:space="0" w:color="auto"/>
            <w:left w:val="none" w:sz="0" w:space="0" w:color="auto"/>
            <w:bottom w:val="none" w:sz="0" w:space="0" w:color="auto"/>
            <w:right w:val="none" w:sz="0" w:space="0" w:color="auto"/>
          </w:divBdr>
        </w:div>
        <w:div w:id="1047145679">
          <w:marLeft w:val="1200"/>
          <w:marRight w:val="0"/>
          <w:marTop w:val="0"/>
          <w:marBottom w:val="0"/>
          <w:divBdr>
            <w:top w:val="none" w:sz="0" w:space="0" w:color="auto"/>
            <w:left w:val="none" w:sz="0" w:space="0" w:color="auto"/>
            <w:bottom w:val="none" w:sz="0" w:space="0" w:color="auto"/>
            <w:right w:val="none" w:sz="0" w:space="0" w:color="auto"/>
          </w:divBdr>
        </w:div>
        <w:div w:id="258029113">
          <w:marLeft w:val="1200"/>
          <w:marRight w:val="0"/>
          <w:marTop w:val="0"/>
          <w:marBottom w:val="0"/>
          <w:divBdr>
            <w:top w:val="none" w:sz="0" w:space="0" w:color="auto"/>
            <w:left w:val="none" w:sz="0" w:space="0" w:color="auto"/>
            <w:bottom w:val="none" w:sz="0" w:space="0" w:color="auto"/>
            <w:right w:val="none" w:sz="0" w:space="0" w:color="auto"/>
          </w:divBdr>
        </w:div>
        <w:div w:id="895896213">
          <w:marLeft w:val="1200"/>
          <w:marRight w:val="0"/>
          <w:marTop w:val="0"/>
          <w:marBottom w:val="0"/>
          <w:divBdr>
            <w:top w:val="none" w:sz="0" w:space="0" w:color="auto"/>
            <w:left w:val="none" w:sz="0" w:space="0" w:color="auto"/>
            <w:bottom w:val="none" w:sz="0" w:space="0" w:color="auto"/>
            <w:right w:val="none" w:sz="0" w:space="0" w:color="auto"/>
          </w:divBdr>
        </w:div>
        <w:div w:id="1159610689">
          <w:marLeft w:val="1200"/>
          <w:marRight w:val="0"/>
          <w:marTop w:val="0"/>
          <w:marBottom w:val="0"/>
          <w:divBdr>
            <w:top w:val="none" w:sz="0" w:space="0" w:color="auto"/>
            <w:left w:val="none" w:sz="0" w:space="0" w:color="auto"/>
            <w:bottom w:val="none" w:sz="0" w:space="0" w:color="auto"/>
            <w:right w:val="none" w:sz="0" w:space="0" w:color="auto"/>
          </w:divBdr>
        </w:div>
        <w:div w:id="2123912317">
          <w:marLeft w:val="1200"/>
          <w:marRight w:val="0"/>
          <w:marTop w:val="0"/>
          <w:marBottom w:val="0"/>
          <w:divBdr>
            <w:top w:val="none" w:sz="0" w:space="0" w:color="auto"/>
            <w:left w:val="none" w:sz="0" w:space="0" w:color="auto"/>
            <w:bottom w:val="none" w:sz="0" w:space="0" w:color="auto"/>
            <w:right w:val="none" w:sz="0" w:space="0" w:color="auto"/>
          </w:divBdr>
        </w:div>
        <w:div w:id="1838155315">
          <w:marLeft w:val="1200"/>
          <w:marRight w:val="0"/>
          <w:marTop w:val="0"/>
          <w:marBottom w:val="0"/>
          <w:divBdr>
            <w:top w:val="none" w:sz="0" w:space="0" w:color="auto"/>
            <w:left w:val="none" w:sz="0" w:space="0" w:color="auto"/>
            <w:bottom w:val="none" w:sz="0" w:space="0" w:color="auto"/>
            <w:right w:val="none" w:sz="0" w:space="0" w:color="auto"/>
          </w:divBdr>
        </w:div>
        <w:div w:id="1654139732">
          <w:marLeft w:val="1200"/>
          <w:marRight w:val="0"/>
          <w:marTop w:val="0"/>
          <w:marBottom w:val="0"/>
          <w:divBdr>
            <w:top w:val="none" w:sz="0" w:space="0" w:color="auto"/>
            <w:left w:val="none" w:sz="0" w:space="0" w:color="auto"/>
            <w:bottom w:val="none" w:sz="0" w:space="0" w:color="auto"/>
            <w:right w:val="none" w:sz="0" w:space="0" w:color="auto"/>
          </w:divBdr>
        </w:div>
        <w:div w:id="1026365259">
          <w:marLeft w:val="1200"/>
          <w:marRight w:val="0"/>
          <w:marTop w:val="0"/>
          <w:marBottom w:val="0"/>
          <w:divBdr>
            <w:top w:val="none" w:sz="0" w:space="0" w:color="auto"/>
            <w:left w:val="none" w:sz="0" w:space="0" w:color="auto"/>
            <w:bottom w:val="none" w:sz="0" w:space="0" w:color="auto"/>
            <w:right w:val="none" w:sz="0" w:space="0" w:color="auto"/>
          </w:divBdr>
        </w:div>
        <w:div w:id="708453147">
          <w:marLeft w:val="1200"/>
          <w:marRight w:val="0"/>
          <w:marTop w:val="0"/>
          <w:marBottom w:val="0"/>
          <w:divBdr>
            <w:top w:val="none" w:sz="0" w:space="0" w:color="auto"/>
            <w:left w:val="none" w:sz="0" w:space="0" w:color="auto"/>
            <w:bottom w:val="none" w:sz="0" w:space="0" w:color="auto"/>
            <w:right w:val="none" w:sz="0" w:space="0" w:color="auto"/>
          </w:divBdr>
        </w:div>
        <w:div w:id="1207794952">
          <w:marLeft w:val="1200"/>
          <w:marRight w:val="0"/>
          <w:marTop w:val="0"/>
          <w:marBottom w:val="0"/>
          <w:divBdr>
            <w:top w:val="none" w:sz="0" w:space="0" w:color="auto"/>
            <w:left w:val="none" w:sz="0" w:space="0" w:color="auto"/>
            <w:bottom w:val="none" w:sz="0" w:space="0" w:color="auto"/>
            <w:right w:val="none" w:sz="0" w:space="0" w:color="auto"/>
          </w:divBdr>
        </w:div>
        <w:div w:id="1039669712">
          <w:marLeft w:val="1200"/>
          <w:marRight w:val="0"/>
          <w:marTop w:val="0"/>
          <w:marBottom w:val="0"/>
          <w:divBdr>
            <w:top w:val="none" w:sz="0" w:space="0" w:color="auto"/>
            <w:left w:val="none" w:sz="0" w:space="0" w:color="auto"/>
            <w:bottom w:val="none" w:sz="0" w:space="0" w:color="auto"/>
            <w:right w:val="none" w:sz="0" w:space="0" w:color="auto"/>
          </w:divBdr>
        </w:div>
        <w:div w:id="1528592479">
          <w:marLeft w:val="1200"/>
          <w:marRight w:val="0"/>
          <w:marTop w:val="0"/>
          <w:marBottom w:val="0"/>
          <w:divBdr>
            <w:top w:val="none" w:sz="0" w:space="0" w:color="auto"/>
            <w:left w:val="none" w:sz="0" w:space="0" w:color="auto"/>
            <w:bottom w:val="none" w:sz="0" w:space="0" w:color="auto"/>
            <w:right w:val="none" w:sz="0" w:space="0" w:color="auto"/>
          </w:divBdr>
        </w:div>
        <w:div w:id="126320214">
          <w:marLeft w:val="1200"/>
          <w:marRight w:val="0"/>
          <w:marTop w:val="0"/>
          <w:marBottom w:val="0"/>
          <w:divBdr>
            <w:top w:val="none" w:sz="0" w:space="0" w:color="auto"/>
            <w:left w:val="none" w:sz="0" w:space="0" w:color="auto"/>
            <w:bottom w:val="none" w:sz="0" w:space="0" w:color="auto"/>
            <w:right w:val="none" w:sz="0" w:space="0" w:color="auto"/>
          </w:divBdr>
        </w:div>
        <w:div w:id="1590384574">
          <w:marLeft w:val="1200"/>
          <w:marRight w:val="0"/>
          <w:marTop w:val="0"/>
          <w:marBottom w:val="0"/>
          <w:divBdr>
            <w:top w:val="none" w:sz="0" w:space="0" w:color="auto"/>
            <w:left w:val="none" w:sz="0" w:space="0" w:color="auto"/>
            <w:bottom w:val="none" w:sz="0" w:space="0" w:color="auto"/>
            <w:right w:val="none" w:sz="0" w:space="0" w:color="auto"/>
          </w:divBdr>
        </w:div>
        <w:div w:id="1210649127">
          <w:marLeft w:val="1200"/>
          <w:marRight w:val="0"/>
          <w:marTop w:val="0"/>
          <w:marBottom w:val="0"/>
          <w:divBdr>
            <w:top w:val="none" w:sz="0" w:space="0" w:color="auto"/>
            <w:left w:val="none" w:sz="0" w:space="0" w:color="auto"/>
            <w:bottom w:val="none" w:sz="0" w:space="0" w:color="auto"/>
            <w:right w:val="none" w:sz="0" w:space="0" w:color="auto"/>
          </w:divBdr>
        </w:div>
        <w:div w:id="2089577475">
          <w:marLeft w:val="1200"/>
          <w:marRight w:val="0"/>
          <w:marTop w:val="0"/>
          <w:marBottom w:val="0"/>
          <w:divBdr>
            <w:top w:val="none" w:sz="0" w:space="0" w:color="auto"/>
            <w:left w:val="none" w:sz="0" w:space="0" w:color="auto"/>
            <w:bottom w:val="none" w:sz="0" w:space="0" w:color="auto"/>
            <w:right w:val="none" w:sz="0" w:space="0" w:color="auto"/>
          </w:divBdr>
        </w:div>
        <w:div w:id="1269849340">
          <w:marLeft w:val="1200"/>
          <w:marRight w:val="0"/>
          <w:marTop w:val="0"/>
          <w:marBottom w:val="0"/>
          <w:divBdr>
            <w:top w:val="none" w:sz="0" w:space="0" w:color="auto"/>
            <w:left w:val="none" w:sz="0" w:space="0" w:color="auto"/>
            <w:bottom w:val="none" w:sz="0" w:space="0" w:color="auto"/>
            <w:right w:val="none" w:sz="0" w:space="0" w:color="auto"/>
          </w:divBdr>
        </w:div>
        <w:div w:id="1601909344">
          <w:marLeft w:val="1200"/>
          <w:marRight w:val="0"/>
          <w:marTop w:val="0"/>
          <w:marBottom w:val="0"/>
          <w:divBdr>
            <w:top w:val="none" w:sz="0" w:space="0" w:color="auto"/>
            <w:left w:val="none" w:sz="0" w:space="0" w:color="auto"/>
            <w:bottom w:val="none" w:sz="0" w:space="0" w:color="auto"/>
            <w:right w:val="none" w:sz="0" w:space="0" w:color="auto"/>
          </w:divBdr>
        </w:div>
        <w:div w:id="588387218">
          <w:marLeft w:val="1200"/>
          <w:marRight w:val="0"/>
          <w:marTop w:val="0"/>
          <w:marBottom w:val="0"/>
          <w:divBdr>
            <w:top w:val="none" w:sz="0" w:space="0" w:color="auto"/>
            <w:left w:val="none" w:sz="0" w:space="0" w:color="auto"/>
            <w:bottom w:val="none" w:sz="0" w:space="0" w:color="auto"/>
            <w:right w:val="none" w:sz="0" w:space="0" w:color="auto"/>
          </w:divBdr>
        </w:div>
        <w:div w:id="1164392573">
          <w:marLeft w:val="1200"/>
          <w:marRight w:val="0"/>
          <w:marTop w:val="0"/>
          <w:marBottom w:val="0"/>
          <w:divBdr>
            <w:top w:val="none" w:sz="0" w:space="0" w:color="auto"/>
            <w:left w:val="none" w:sz="0" w:space="0" w:color="auto"/>
            <w:bottom w:val="none" w:sz="0" w:space="0" w:color="auto"/>
            <w:right w:val="none" w:sz="0" w:space="0" w:color="auto"/>
          </w:divBdr>
        </w:div>
        <w:div w:id="455565665">
          <w:marLeft w:val="1200"/>
          <w:marRight w:val="0"/>
          <w:marTop w:val="0"/>
          <w:marBottom w:val="0"/>
          <w:divBdr>
            <w:top w:val="none" w:sz="0" w:space="0" w:color="auto"/>
            <w:left w:val="none" w:sz="0" w:space="0" w:color="auto"/>
            <w:bottom w:val="none" w:sz="0" w:space="0" w:color="auto"/>
            <w:right w:val="none" w:sz="0" w:space="0" w:color="auto"/>
          </w:divBdr>
        </w:div>
        <w:div w:id="1748501077">
          <w:marLeft w:val="1200"/>
          <w:marRight w:val="0"/>
          <w:marTop w:val="0"/>
          <w:marBottom w:val="0"/>
          <w:divBdr>
            <w:top w:val="none" w:sz="0" w:space="0" w:color="auto"/>
            <w:left w:val="none" w:sz="0" w:space="0" w:color="auto"/>
            <w:bottom w:val="none" w:sz="0" w:space="0" w:color="auto"/>
            <w:right w:val="none" w:sz="0" w:space="0" w:color="auto"/>
          </w:divBdr>
        </w:div>
        <w:div w:id="1914466274">
          <w:marLeft w:val="1200"/>
          <w:marRight w:val="0"/>
          <w:marTop w:val="0"/>
          <w:marBottom w:val="0"/>
          <w:divBdr>
            <w:top w:val="none" w:sz="0" w:space="0" w:color="auto"/>
            <w:left w:val="none" w:sz="0" w:space="0" w:color="auto"/>
            <w:bottom w:val="none" w:sz="0" w:space="0" w:color="auto"/>
            <w:right w:val="none" w:sz="0" w:space="0" w:color="auto"/>
          </w:divBdr>
        </w:div>
        <w:div w:id="1210997343">
          <w:marLeft w:val="1200"/>
          <w:marRight w:val="0"/>
          <w:marTop w:val="0"/>
          <w:marBottom w:val="0"/>
          <w:divBdr>
            <w:top w:val="none" w:sz="0" w:space="0" w:color="auto"/>
            <w:left w:val="none" w:sz="0" w:space="0" w:color="auto"/>
            <w:bottom w:val="none" w:sz="0" w:space="0" w:color="auto"/>
            <w:right w:val="none" w:sz="0" w:space="0" w:color="auto"/>
          </w:divBdr>
        </w:div>
        <w:div w:id="111171160">
          <w:marLeft w:val="1200"/>
          <w:marRight w:val="0"/>
          <w:marTop w:val="0"/>
          <w:marBottom w:val="0"/>
          <w:divBdr>
            <w:top w:val="none" w:sz="0" w:space="0" w:color="auto"/>
            <w:left w:val="none" w:sz="0" w:space="0" w:color="auto"/>
            <w:bottom w:val="none" w:sz="0" w:space="0" w:color="auto"/>
            <w:right w:val="none" w:sz="0" w:space="0" w:color="auto"/>
          </w:divBdr>
        </w:div>
        <w:div w:id="198934475">
          <w:marLeft w:val="1200"/>
          <w:marRight w:val="0"/>
          <w:marTop w:val="0"/>
          <w:marBottom w:val="0"/>
          <w:divBdr>
            <w:top w:val="none" w:sz="0" w:space="0" w:color="auto"/>
            <w:left w:val="none" w:sz="0" w:space="0" w:color="auto"/>
            <w:bottom w:val="none" w:sz="0" w:space="0" w:color="auto"/>
            <w:right w:val="none" w:sz="0" w:space="0" w:color="auto"/>
          </w:divBdr>
        </w:div>
        <w:div w:id="1188449827">
          <w:marLeft w:val="1200"/>
          <w:marRight w:val="0"/>
          <w:marTop w:val="0"/>
          <w:marBottom w:val="0"/>
          <w:divBdr>
            <w:top w:val="none" w:sz="0" w:space="0" w:color="auto"/>
            <w:left w:val="none" w:sz="0" w:space="0" w:color="auto"/>
            <w:bottom w:val="none" w:sz="0" w:space="0" w:color="auto"/>
            <w:right w:val="none" w:sz="0" w:space="0" w:color="auto"/>
          </w:divBdr>
        </w:div>
        <w:div w:id="884176108">
          <w:marLeft w:val="1200"/>
          <w:marRight w:val="0"/>
          <w:marTop w:val="0"/>
          <w:marBottom w:val="0"/>
          <w:divBdr>
            <w:top w:val="none" w:sz="0" w:space="0" w:color="auto"/>
            <w:left w:val="none" w:sz="0" w:space="0" w:color="auto"/>
            <w:bottom w:val="none" w:sz="0" w:space="0" w:color="auto"/>
            <w:right w:val="none" w:sz="0" w:space="0" w:color="auto"/>
          </w:divBdr>
        </w:div>
        <w:div w:id="957880121">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s://www.portaltransparencia.gov.br/sancoes/cnep"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compras/pt-br/acesso-a-informacao/legislacao/instrucoes-normativas/instrucao-normativa-no-53-de-8-de-julho-de-2020" TargetMode="External"/><Relationship Id="rId1" Type="http://schemas.openxmlformats.org/officeDocument/2006/relationships/styles" Target="styles.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atransparencia.gov.br/ceis" TargetMode="External"/><Relationship Id="rId37" Type="http://schemas.openxmlformats.org/officeDocument/2006/relationships/fontTable" Target="fontTable.xml"/><Relationship Id="rId5" Type="http://schemas.openxmlformats.org/officeDocument/2006/relationships/hyperlink" Target="https://sei.fiocruz.br/sei/controlador.php?acao=protocolo_visualizar&amp;id_protocolo=3259777&amp;id_procedimento_atual=3235629&amp;infra_sistema=100000100&amp;infra_unidade_atual=110000987&amp;infra_hash=20330413d4bdbbe003ae7ebfccefd7572831d035f86a6dc979acef0d672b53dc8f80dd86ac29ac18df4e77ac11f6e1210743d2755ae81cdb200a45b0a633f9ae3d8015aefb03fd71bb3f055f5c9453b01283e0085f0c10e2d997ebaccf14ff91" TargetMode="Externa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www.planalto.gov.br/ccivil_03/AGU/Pareceres/2019-2022/PRC-JL-01-2020.htm" TargetMode="External"/><Relationship Id="rId4" Type="http://schemas.openxmlformats.org/officeDocument/2006/relationships/hyperlink" Target="https://sei.fiocruz.br/sei/controlador.php?acao=protocolo_visualizar&amp;id_protocolo=3235631&amp;id_procedimento_atual=3235629&amp;infra_sistema=100000100&amp;infra_unidade_atual=110000987&amp;infra_hash=d605856929707a7ebce702a8d0624031e9ddff44d43cdff1aae210cbe737b9cf8f80dd86ac29ac18df4e77ac11f6e1210743d2755ae81cdb200a45b0a633f9ae3d8015aefb03fd71bb3f055f5c9453b01283e0085f0c10e2d997ebaccf14ff91" TargetMode="External"/><Relationship Id="rId9" Type="http://schemas.openxmlformats.org/officeDocument/2006/relationships/hyperlink" Target="https://www.planalto.gov.br/ccivil_03/_ato2019-2022/2022/Decreto/D11246.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s://www.gov.br/compras/pt-br/acesso-a-informacao/legislacao/instrucoes-normativas/instrucao-normativa-seges-me-no-77-de-4-de-novembro-de-2022"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9-2022/2021/decreto/d10880.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5615</Words>
  <Characters>30323</Characters>
  <Application>Microsoft Office Word</Application>
  <DocSecurity>0</DocSecurity>
  <Lines>252</Lines>
  <Paragraphs>71</Paragraphs>
  <ScaleCrop>false</ScaleCrop>
  <Company/>
  <LinksUpToDate>false</LinksUpToDate>
  <CharactersWithSpaces>35867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de Almeida Lima</dc:creator>
  <cp:keywords/>
  <dc:description/>
  <cp:lastModifiedBy>Paula de Almeida Lima</cp:lastModifiedBy>
  <cp:revision>1</cp:revision>
  <dcterms:created xsi:type="dcterms:W3CDTF">2023-10-16T15:14:00Z</dcterms:created>
  <dcterms:modified xsi:type="dcterms:W3CDTF">2023-10-16T15:16:00Z</dcterms:modified>
</cp:coreProperties>
</file>