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244B5" w14:textId="77777777" w:rsidR="003067BF" w:rsidRPr="003067BF" w:rsidRDefault="003067BF" w:rsidP="003067BF">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bookmarkStart w:id="0" w:name="_Hlk82471863"/>
      <w:r w:rsidRPr="003067BF">
        <w:rPr>
          <w:rFonts w:ascii="Calibri" w:eastAsia="Times New Roman" w:hAnsi="Calibri" w:cs="Calibri"/>
          <w:b/>
          <w:bCs/>
          <w:color w:val="000000"/>
          <w:kern w:val="0"/>
          <w:sz w:val="27"/>
          <w:szCs w:val="27"/>
          <w:lang w:eastAsia="pt-BR"/>
          <w14:ligatures w14:val="none"/>
        </w:rPr>
        <w:t>FUNDAÇÃO OSWALDO CRUZ</w:t>
      </w:r>
      <w:bookmarkEnd w:id="0"/>
    </w:p>
    <w:p w14:paraId="2362BE14" w14:textId="77777777" w:rsidR="003067BF" w:rsidRPr="003067BF" w:rsidRDefault="003067BF" w:rsidP="003067BF">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(Processo Administrativo n°25067.000185/2023-11)</w:t>
      </w:r>
    </w:p>
    <w:p w14:paraId="3963112A" w14:textId="265C3089" w:rsidR="003067BF" w:rsidRPr="003067BF" w:rsidRDefault="003067BF" w:rsidP="003067BF">
      <w:pPr>
        <w:spacing w:before="100" w:beforeAutospacing="1" w:after="100" w:afterAutospacing="1" w:line="240" w:lineRule="auto"/>
        <w:rPr>
          <w:rFonts w:ascii="Calibri" w:eastAsia="Times New Roman" w:hAnsi="Calibri" w:cs="Calibri"/>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 </w:t>
      </w:r>
      <w:r>
        <w:rPr>
          <w:rFonts w:ascii="Times New Roman" w:eastAsia="Times New Roman" w:hAnsi="Times New Roman" w:cs="Times New Roman"/>
          <w:color w:val="000000"/>
          <w:kern w:val="0"/>
          <w:sz w:val="27"/>
          <w:szCs w:val="27"/>
          <w:lang w:eastAsia="pt-BR"/>
          <w14:ligatures w14:val="none"/>
        </w:rPr>
        <w:tab/>
      </w:r>
      <w:r w:rsidRPr="003067BF">
        <w:rPr>
          <w:rFonts w:ascii="Calibri" w:eastAsia="Times New Roman" w:hAnsi="Calibri" w:cs="Calibri"/>
          <w:b/>
          <w:bCs/>
          <w:color w:val="000000"/>
          <w:kern w:val="0"/>
          <w:sz w:val="27"/>
          <w:szCs w:val="27"/>
          <w:lang w:eastAsia="pt-BR"/>
          <w14:ligatures w14:val="none"/>
        </w:rPr>
        <w:t>1. CONDIÇÕES GERAIS DA CONTRATAÇÃO</w:t>
      </w:r>
    </w:p>
    <w:p w14:paraId="28964C2E" w14:textId="77777777" w:rsidR="003067BF" w:rsidRPr="003067BF" w:rsidRDefault="003067BF" w:rsidP="003067BF">
      <w:pPr>
        <w:spacing w:after="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1.1. </w:t>
      </w:r>
      <w:r w:rsidRPr="003067BF">
        <w:rPr>
          <w:rFonts w:ascii="Times New Roman" w:eastAsia="Times New Roman" w:hAnsi="Times New Roman" w:cs="Times New Roman"/>
          <w:color w:val="00B050"/>
          <w:kern w:val="0"/>
          <w:lang w:eastAsia="pt-BR"/>
          <w14:ligatures w14:val="none"/>
        </w:rPr>
        <w:t>C</w:t>
      </w:r>
      <w:r w:rsidRPr="003067BF">
        <w:rPr>
          <w:rFonts w:ascii="Times New Roman" w:eastAsia="Times New Roman" w:hAnsi="Times New Roman" w:cs="Times New Roman"/>
          <w:color w:val="000000"/>
          <w:kern w:val="0"/>
          <w:lang w:eastAsia="pt-BR"/>
          <w14:ligatures w14:val="none"/>
        </w:rPr>
        <w:t>ontratação de empresa para prestação de serviço de evento técnico - científico necessária para realização do Congresso Internacional Rede Pop,</w:t>
      </w:r>
      <w:r w:rsidRPr="003067BF">
        <w:rPr>
          <w:rFonts w:ascii="Times New Roman" w:eastAsia="Times New Roman" w:hAnsi="Times New Roman" w:cs="Times New Roman"/>
          <w:color w:val="000000"/>
          <w:kern w:val="0"/>
          <w:shd w:val="clear" w:color="auto" w:fill="FFFFFF"/>
          <w:lang w:eastAsia="pt-BR"/>
          <w14:ligatures w14:val="none"/>
        </w:rPr>
        <w:t xml:space="preserve"> conforme condições e exigências estabelecidas neste instrumento.</w:t>
      </w:r>
    </w:p>
    <w:tbl>
      <w:tblPr>
        <w:tblW w:w="0" w:type="dxa"/>
        <w:tblInd w:w="135" w:type="dxa"/>
        <w:tblCellMar>
          <w:left w:w="0" w:type="dxa"/>
          <w:right w:w="0" w:type="dxa"/>
        </w:tblCellMar>
        <w:tblLook w:val="04A0" w:firstRow="1" w:lastRow="0" w:firstColumn="1" w:lastColumn="0" w:noHBand="0" w:noVBand="1"/>
      </w:tblPr>
      <w:tblGrid>
        <w:gridCol w:w="697"/>
        <w:gridCol w:w="1910"/>
        <w:gridCol w:w="984"/>
        <w:gridCol w:w="1785"/>
        <w:gridCol w:w="1033"/>
        <w:gridCol w:w="715"/>
        <w:gridCol w:w="1215"/>
      </w:tblGrid>
      <w:tr w:rsidR="003067BF" w:rsidRPr="003067BF" w14:paraId="62347799" w14:textId="77777777" w:rsidTr="003067BF">
        <w:tc>
          <w:tcPr>
            <w:tcW w:w="915" w:type="dxa"/>
            <w:tcBorders>
              <w:top w:val="single" w:sz="12" w:space="0" w:color="2B2B2B"/>
              <w:left w:val="single" w:sz="12" w:space="0" w:color="2B2B2B"/>
              <w:bottom w:val="single" w:sz="12" w:space="0" w:color="2B2B2B"/>
              <w:right w:val="single" w:sz="12" w:space="0" w:color="2B2B2B"/>
            </w:tcBorders>
            <w:hideMark/>
          </w:tcPr>
          <w:p w14:paraId="28F544F9" w14:textId="77777777" w:rsidR="003067BF" w:rsidRPr="003067BF" w:rsidRDefault="003067BF" w:rsidP="003067BF">
            <w:pPr>
              <w:spacing w:after="0" w:line="240" w:lineRule="auto"/>
              <w:divId w:val="1315795788"/>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6463CA23" w14:textId="77777777" w:rsidR="003067BF" w:rsidRPr="003067BF" w:rsidRDefault="003067BF" w:rsidP="003067BF">
            <w:pPr>
              <w:spacing w:after="0" w:line="240" w:lineRule="auto"/>
              <w:jc w:val="center"/>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634E9E11"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ITEM</w:t>
            </w:r>
            <w:r w:rsidRPr="003067BF">
              <w:rPr>
                <w:rFonts w:ascii="Segoe UI" w:eastAsia="Times New Roman" w:hAnsi="Segoe UI" w:cs="Segoe UI"/>
                <w:color w:val="000000"/>
                <w:kern w:val="0"/>
                <w:sz w:val="18"/>
                <w:szCs w:val="18"/>
                <w:lang w:eastAsia="pt-BR"/>
                <w14:ligatures w14:val="none"/>
              </w:rPr>
              <w:t xml:space="preserve"> </w:t>
            </w:r>
          </w:p>
        </w:tc>
        <w:tc>
          <w:tcPr>
            <w:tcW w:w="2985" w:type="dxa"/>
            <w:tcBorders>
              <w:top w:val="single" w:sz="12" w:space="0" w:color="2B2B2B"/>
              <w:left w:val="single" w:sz="12" w:space="0" w:color="2B2B2B"/>
              <w:bottom w:val="single" w:sz="12" w:space="0" w:color="2B2B2B"/>
              <w:right w:val="single" w:sz="12" w:space="0" w:color="2B2B2B"/>
            </w:tcBorders>
            <w:hideMark/>
          </w:tcPr>
          <w:p w14:paraId="5A12EDF5" w14:textId="77777777" w:rsidR="003067BF" w:rsidRPr="003067BF" w:rsidRDefault="003067BF" w:rsidP="003067BF">
            <w:pPr>
              <w:spacing w:after="0" w:line="240" w:lineRule="auto"/>
              <w:jc w:val="center"/>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233FAC8B"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5CCB107C"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DESCRIÇÃO</w:t>
            </w:r>
            <w:r w:rsidRPr="003067BF">
              <w:rPr>
                <w:rFonts w:ascii="Segoe UI" w:eastAsia="Times New Roman" w:hAnsi="Segoe UI" w:cs="Segoe UI"/>
                <w:color w:val="000000"/>
                <w:kern w:val="0"/>
                <w:sz w:val="18"/>
                <w:szCs w:val="18"/>
                <w:lang w:eastAsia="pt-BR"/>
                <w14:ligatures w14:val="none"/>
              </w:rPr>
              <w:t xml:space="preserve"> </w:t>
            </w:r>
          </w:p>
        </w:tc>
        <w:tc>
          <w:tcPr>
            <w:tcW w:w="1215" w:type="dxa"/>
            <w:tcBorders>
              <w:top w:val="single" w:sz="12" w:space="0" w:color="2B2B2B"/>
              <w:left w:val="single" w:sz="12" w:space="0" w:color="2B2B2B"/>
              <w:bottom w:val="single" w:sz="12" w:space="0" w:color="2B2B2B"/>
              <w:right w:val="single" w:sz="12" w:space="0" w:color="2B2B2B"/>
            </w:tcBorders>
            <w:hideMark/>
          </w:tcPr>
          <w:p w14:paraId="75444387" w14:textId="77777777" w:rsidR="003067BF" w:rsidRPr="003067BF" w:rsidRDefault="003067BF" w:rsidP="003067BF">
            <w:pPr>
              <w:spacing w:after="0" w:line="240" w:lineRule="auto"/>
              <w:jc w:val="center"/>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56DF941E" w14:textId="77777777" w:rsidR="003067BF" w:rsidRPr="003067BF" w:rsidRDefault="003067BF" w:rsidP="003067BF">
            <w:pPr>
              <w:spacing w:after="0" w:line="240" w:lineRule="auto"/>
              <w:ind w:left="195" w:right="195"/>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Item PGC</w:t>
            </w:r>
            <w:r w:rsidRPr="003067BF">
              <w:rPr>
                <w:rFonts w:ascii="Segoe UI" w:eastAsia="Times New Roman" w:hAnsi="Segoe UI" w:cs="Segoe UI"/>
                <w:color w:val="000000"/>
                <w:kern w:val="0"/>
                <w:sz w:val="18"/>
                <w:szCs w:val="18"/>
                <w:lang w:eastAsia="pt-BR"/>
                <w14:ligatures w14:val="none"/>
              </w:rPr>
              <w:t xml:space="preserve"> </w:t>
            </w:r>
          </w:p>
        </w:tc>
        <w:tc>
          <w:tcPr>
            <w:tcW w:w="1260" w:type="dxa"/>
            <w:tcBorders>
              <w:top w:val="single" w:sz="12" w:space="0" w:color="2B2B2B"/>
              <w:left w:val="single" w:sz="12" w:space="0" w:color="2B2B2B"/>
              <w:bottom w:val="single" w:sz="12" w:space="0" w:color="2B2B2B"/>
              <w:right w:val="single" w:sz="12" w:space="0" w:color="2B2B2B"/>
            </w:tcBorders>
            <w:hideMark/>
          </w:tcPr>
          <w:p w14:paraId="5A422953" w14:textId="77777777" w:rsidR="003067BF" w:rsidRPr="003067BF" w:rsidRDefault="003067BF" w:rsidP="003067BF">
            <w:pPr>
              <w:spacing w:after="0" w:line="240" w:lineRule="auto"/>
              <w:jc w:val="center"/>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37383A9B"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032D23E7" w14:textId="77777777" w:rsidR="003067BF" w:rsidRPr="003067BF" w:rsidRDefault="003067BF" w:rsidP="003067BF">
            <w:pPr>
              <w:spacing w:after="0" w:line="240" w:lineRule="auto"/>
              <w:ind w:right="45"/>
              <w:jc w:val="center"/>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CATSERV</w:t>
            </w:r>
            <w:r w:rsidRPr="003067BF">
              <w:rPr>
                <w:rFonts w:ascii="Segoe UI" w:eastAsia="Times New Roman" w:hAnsi="Segoe UI" w:cs="Segoe UI"/>
                <w:color w:val="000000"/>
                <w:kern w:val="0"/>
                <w:sz w:val="18"/>
                <w:szCs w:val="18"/>
                <w:lang w:eastAsia="pt-BR"/>
                <w14:ligatures w14:val="none"/>
              </w:rPr>
              <w:t xml:space="preserve"> </w:t>
            </w:r>
          </w:p>
        </w:tc>
        <w:tc>
          <w:tcPr>
            <w:tcW w:w="1470" w:type="dxa"/>
            <w:tcBorders>
              <w:top w:val="single" w:sz="12" w:space="0" w:color="2B2B2B"/>
              <w:left w:val="single" w:sz="12" w:space="0" w:color="2B2B2B"/>
              <w:bottom w:val="single" w:sz="12" w:space="0" w:color="2B2B2B"/>
              <w:right w:val="single" w:sz="12" w:space="0" w:color="2B2B2B"/>
            </w:tcBorders>
            <w:hideMark/>
          </w:tcPr>
          <w:p w14:paraId="75C7155A" w14:textId="77777777" w:rsidR="003067BF" w:rsidRPr="003067BF" w:rsidRDefault="003067BF" w:rsidP="003067BF">
            <w:pPr>
              <w:spacing w:after="0" w:line="240" w:lineRule="auto"/>
              <w:jc w:val="center"/>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718B25FD"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Unidade de Medida</w:t>
            </w:r>
            <w:r w:rsidRPr="003067BF">
              <w:rPr>
                <w:rFonts w:ascii="Segoe UI" w:eastAsia="Times New Roman" w:hAnsi="Segoe UI" w:cs="Segoe UI"/>
                <w:color w:val="000000"/>
                <w:kern w:val="0"/>
                <w:sz w:val="18"/>
                <w:szCs w:val="18"/>
                <w:lang w:eastAsia="pt-BR"/>
                <w14:ligatures w14:val="none"/>
              </w:rPr>
              <w:t xml:space="preserve"> </w:t>
            </w:r>
          </w:p>
        </w:tc>
        <w:tc>
          <w:tcPr>
            <w:tcW w:w="870" w:type="dxa"/>
            <w:tcBorders>
              <w:top w:val="single" w:sz="12" w:space="0" w:color="2B2B2B"/>
              <w:left w:val="single" w:sz="12" w:space="0" w:color="2B2B2B"/>
              <w:bottom w:val="single" w:sz="12" w:space="0" w:color="2B2B2B"/>
              <w:right w:val="single" w:sz="12" w:space="0" w:color="2B2B2B"/>
            </w:tcBorders>
            <w:hideMark/>
          </w:tcPr>
          <w:p w14:paraId="023D5B44" w14:textId="77777777" w:rsidR="003067BF" w:rsidRPr="003067BF" w:rsidRDefault="003067BF" w:rsidP="003067BF">
            <w:pPr>
              <w:spacing w:after="0" w:line="240" w:lineRule="auto"/>
              <w:jc w:val="center"/>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06E2F907"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Quant.</w:t>
            </w:r>
            <w:r w:rsidRPr="003067BF">
              <w:rPr>
                <w:rFonts w:ascii="Segoe UI" w:eastAsia="Times New Roman" w:hAnsi="Segoe UI" w:cs="Segoe UI"/>
                <w:color w:val="000000"/>
                <w:kern w:val="0"/>
                <w:sz w:val="18"/>
                <w:szCs w:val="18"/>
                <w:lang w:eastAsia="pt-BR"/>
                <w14:ligatures w14:val="none"/>
              </w:rPr>
              <w:t xml:space="preserve"> </w:t>
            </w:r>
          </w:p>
        </w:tc>
        <w:tc>
          <w:tcPr>
            <w:tcW w:w="1275" w:type="dxa"/>
            <w:tcBorders>
              <w:top w:val="single" w:sz="12" w:space="0" w:color="2B2B2B"/>
              <w:left w:val="single" w:sz="12" w:space="0" w:color="2B2B2B"/>
              <w:bottom w:val="single" w:sz="12" w:space="0" w:color="2B2B2B"/>
              <w:right w:val="single" w:sz="12" w:space="0" w:color="808080"/>
            </w:tcBorders>
            <w:hideMark/>
          </w:tcPr>
          <w:p w14:paraId="4C78334C" w14:textId="77777777" w:rsidR="003067BF" w:rsidRPr="003067BF" w:rsidRDefault="003067BF" w:rsidP="003067BF">
            <w:pPr>
              <w:spacing w:after="0" w:line="240" w:lineRule="auto"/>
              <w:jc w:val="center"/>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3A54CC75"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Valor de Referência</w:t>
            </w:r>
            <w:r w:rsidRPr="003067BF">
              <w:rPr>
                <w:rFonts w:ascii="Segoe UI" w:eastAsia="Times New Roman" w:hAnsi="Segoe UI" w:cs="Segoe UI"/>
                <w:color w:val="000000"/>
                <w:kern w:val="0"/>
                <w:sz w:val="18"/>
                <w:szCs w:val="18"/>
                <w:lang w:eastAsia="pt-BR"/>
                <w14:ligatures w14:val="none"/>
              </w:rPr>
              <w:t xml:space="preserve"> </w:t>
            </w:r>
          </w:p>
        </w:tc>
      </w:tr>
      <w:tr w:rsidR="003067BF" w:rsidRPr="003067BF" w14:paraId="189A0784" w14:textId="77777777" w:rsidTr="003067BF">
        <w:tc>
          <w:tcPr>
            <w:tcW w:w="915" w:type="dxa"/>
            <w:tcBorders>
              <w:top w:val="single" w:sz="12" w:space="0" w:color="2B2B2B"/>
              <w:left w:val="single" w:sz="12" w:space="0" w:color="2B2B2B"/>
              <w:bottom w:val="single" w:sz="12" w:space="0" w:color="808080"/>
              <w:right w:val="single" w:sz="12" w:space="0" w:color="2B2B2B"/>
            </w:tcBorders>
            <w:hideMark/>
          </w:tcPr>
          <w:p w14:paraId="11DD1348"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  01</w:t>
            </w:r>
          </w:p>
        </w:tc>
        <w:tc>
          <w:tcPr>
            <w:tcW w:w="2985" w:type="dxa"/>
            <w:tcBorders>
              <w:top w:val="single" w:sz="12" w:space="0" w:color="2B2B2B"/>
              <w:left w:val="single" w:sz="12" w:space="0" w:color="2B2B2B"/>
              <w:bottom w:val="single" w:sz="12" w:space="0" w:color="808080"/>
              <w:right w:val="single" w:sz="12" w:space="0" w:color="2B2B2B"/>
            </w:tcBorders>
            <w:hideMark/>
          </w:tcPr>
          <w:p w14:paraId="69397DCE"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5D9C4112"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Prestação de serviço dede evento técnico - científico necessária para realização do Congresso Internacional Rede Pop</w:t>
            </w:r>
          </w:p>
          <w:p w14:paraId="4E792555"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color w:val="000000"/>
                <w:kern w:val="0"/>
                <w:lang w:eastAsia="pt-BR"/>
                <w14:ligatures w14:val="none"/>
              </w:rPr>
              <w:t>.</w:t>
            </w:r>
          </w:p>
          <w:p w14:paraId="189A06E5"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tc>
        <w:tc>
          <w:tcPr>
            <w:tcW w:w="1215" w:type="dxa"/>
            <w:tcBorders>
              <w:top w:val="single" w:sz="12" w:space="0" w:color="2B2B2B"/>
              <w:left w:val="single" w:sz="12" w:space="0" w:color="2B2B2B"/>
              <w:bottom w:val="single" w:sz="12" w:space="0" w:color="808080"/>
              <w:right w:val="single" w:sz="12" w:space="0" w:color="2B2B2B"/>
            </w:tcBorders>
            <w:hideMark/>
          </w:tcPr>
          <w:p w14:paraId="680750F0"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7BB8E78B"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7F97AFF6"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794662EE" w14:textId="77777777" w:rsidR="003067BF" w:rsidRPr="003067BF" w:rsidRDefault="003067BF" w:rsidP="003067BF">
            <w:pPr>
              <w:spacing w:after="0" w:line="240" w:lineRule="auto"/>
              <w:ind w:left="195"/>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4/2022</w:t>
            </w:r>
          </w:p>
        </w:tc>
        <w:tc>
          <w:tcPr>
            <w:tcW w:w="2985" w:type="dxa"/>
            <w:tcBorders>
              <w:top w:val="single" w:sz="12" w:space="0" w:color="2B2B2B"/>
              <w:left w:val="single" w:sz="12" w:space="0" w:color="2B2B2B"/>
              <w:bottom w:val="single" w:sz="12" w:space="0" w:color="808080"/>
              <w:right w:val="single" w:sz="12" w:space="0" w:color="2B2B2B"/>
            </w:tcBorders>
            <w:hideMark/>
          </w:tcPr>
          <w:p w14:paraId="1C4E3A53"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0020515B"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72DDC34F"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409A90D5" w14:textId="77777777" w:rsidR="003067BF" w:rsidRPr="003067BF" w:rsidRDefault="003067BF" w:rsidP="003067BF">
            <w:pPr>
              <w:spacing w:after="0" w:line="240" w:lineRule="auto"/>
              <w:ind w:right="15"/>
              <w:jc w:val="center"/>
              <w:rPr>
                <w:rFonts w:ascii="Calibri" w:eastAsia="Times New Roman" w:hAnsi="Calibri" w:cs="Calibri"/>
                <w:color w:val="000000"/>
                <w:kern w:val="0"/>
                <w:sz w:val="24"/>
                <w:szCs w:val="24"/>
                <w:lang w:eastAsia="pt-BR"/>
                <w14:ligatures w14:val="none"/>
              </w:rPr>
            </w:pPr>
            <w:r w:rsidRPr="003067BF">
              <w:rPr>
                <w:rFonts w:ascii="Times New Roman" w:eastAsia="Times New Roman" w:hAnsi="Times New Roman" w:cs="Times New Roman"/>
                <w:color w:val="000000"/>
                <w:kern w:val="0"/>
                <w:lang w:eastAsia="pt-BR"/>
                <w14:ligatures w14:val="none"/>
              </w:rPr>
              <w:t>12807</w:t>
            </w:r>
          </w:p>
        </w:tc>
        <w:tc>
          <w:tcPr>
            <w:tcW w:w="1470" w:type="dxa"/>
            <w:tcBorders>
              <w:top w:val="single" w:sz="12" w:space="0" w:color="2B2B2B"/>
              <w:left w:val="single" w:sz="12" w:space="0" w:color="2B2B2B"/>
              <w:bottom w:val="single" w:sz="12" w:space="0" w:color="808080"/>
              <w:right w:val="single" w:sz="12" w:space="0" w:color="2B2B2B"/>
            </w:tcBorders>
            <w:hideMark/>
          </w:tcPr>
          <w:p w14:paraId="04B3093C"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6375EBB5"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3DE05F56"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63B64540"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lang w:eastAsia="pt-BR"/>
                <w14:ligatures w14:val="none"/>
              </w:rPr>
              <w:t>Pessoa</w:t>
            </w:r>
            <w:r w:rsidRPr="003067BF">
              <w:rPr>
                <w:rFonts w:ascii="Segoe UI" w:eastAsia="Times New Roman" w:hAnsi="Segoe UI" w:cs="Segoe UI"/>
                <w:color w:val="000000"/>
                <w:kern w:val="0"/>
                <w:sz w:val="18"/>
                <w:szCs w:val="18"/>
                <w:lang w:eastAsia="pt-BR"/>
                <w14:ligatures w14:val="none"/>
              </w:rPr>
              <w:t xml:space="preserve"> </w:t>
            </w:r>
          </w:p>
        </w:tc>
        <w:tc>
          <w:tcPr>
            <w:tcW w:w="870" w:type="dxa"/>
            <w:tcBorders>
              <w:top w:val="single" w:sz="12" w:space="0" w:color="2B2B2B"/>
              <w:left w:val="single" w:sz="12" w:space="0" w:color="2B2B2B"/>
              <w:bottom w:val="single" w:sz="12" w:space="0" w:color="808080"/>
              <w:right w:val="single" w:sz="12" w:space="0" w:color="2B2B2B"/>
            </w:tcBorders>
            <w:hideMark/>
          </w:tcPr>
          <w:p w14:paraId="628B8E60"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1EE1E8D2"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5BAD8200"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2A611F4E" w14:textId="77777777" w:rsidR="003067BF" w:rsidRPr="003067BF" w:rsidRDefault="003067BF" w:rsidP="003067BF">
            <w:pPr>
              <w:spacing w:after="0" w:line="240" w:lineRule="auto"/>
              <w:ind w:right="120"/>
              <w:jc w:val="center"/>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lang w:eastAsia="pt-BR"/>
                <w14:ligatures w14:val="none"/>
              </w:rPr>
              <w:t>400</w:t>
            </w:r>
          </w:p>
        </w:tc>
        <w:tc>
          <w:tcPr>
            <w:tcW w:w="1275" w:type="dxa"/>
            <w:tcBorders>
              <w:top w:val="single" w:sz="12" w:space="0" w:color="2B2B2B"/>
              <w:left w:val="single" w:sz="12" w:space="0" w:color="2B2B2B"/>
              <w:bottom w:val="single" w:sz="12" w:space="0" w:color="808080"/>
              <w:right w:val="single" w:sz="12" w:space="0" w:color="808080"/>
            </w:tcBorders>
            <w:hideMark/>
          </w:tcPr>
          <w:p w14:paraId="6AFABCFD"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303124F5"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686385F8"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Segoe UI" w:eastAsia="Times New Roman" w:hAnsi="Segoe UI" w:cs="Segoe UI"/>
                <w:color w:val="000000"/>
                <w:kern w:val="0"/>
                <w:sz w:val="18"/>
                <w:szCs w:val="18"/>
                <w:lang w:eastAsia="pt-BR"/>
                <w14:ligatures w14:val="none"/>
              </w:rPr>
              <w:t> </w:t>
            </w:r>
          </w:p>
          <w:p w14:paraId="4D17796C" w14:textId="77777777" w:rsidR="003067BF" w:rsidRPr="003067BF" w:rsidRDefault="003067BF" w:rsidP="003067BF">
            <w:pPr>
              <w:spacing w:after="0" w:line="240" w:lineRule="auto"/>
              <w:rPr>
                <w:rFonts w:ascii="Segoe UI" w:eastAsia="Times New Roman" w:hAnsi="Segoe UI" w:cs="Segoe UI"/>
                <w:color w:val="000000"/>
                <w:kern w:val="0"/>
                <w:sz w:val="18"/>
                <w:szCs w:val="18"/>
                <w:lang w:eastAsia="pt-BR"/>
                <w14:ligatures w14:val="none"/>
              </w:rPr>
            </w:pPr>
            <w:r w:rsidRPr="003067BF">
              <w:rPr>
                <w:rFonts w:ascii="Times New Roman" w:eastAsia="Times New Roman" w:hAnsi="Times New Roman" w:cs="Times New Roman"/>
                <w:b/>
                <w:bCs/>
                <w:color w:val="000000"/>
                <w:kern w:val="0"/>
                <w:lang w:eastAsia="pt-BR"/>
                <w14:ligatures w14:val="none"/>
              </w:rPr>
              <w:t>R$18.000,00</w:t>
            </w:r>
            <w:r w:rsidRPr="003067BF">
              <w:rPr>
                <w:rFonts w:ascii="Segoe UI" w:eastAsia="Times New Roman" w:hAnsi="Segoe UI" w:cs="Segoe UI"/>
                <w:color w:val="000000"/>
                <w:kern w:val="0"/>
                <w:sz w:val="18"/>
                <w:szCs w:val="18"/>
                <w:lang w:eastAsia="pt-BR"/>
                <w14:ligatures w14:val="none"/>
              </w:rPr>
              <w:t xml:space="preserve"> </w:t>
            </w:r>
          </w:p>
        </w:tc>
      </w:tr>
    </w:tbl>
    <w:p w14:paraId="681F2047" w14:textId="77777777" w:rsidR="003067BF" w:rsidRPr="003067BF" w:rsidRDefault="003067BF" w:rsidP="003067BF">
      <w:pPr>
        <w:spacing w:after="0" w:line="240" w:lineRule="auto"/>
        <w:rPr>
          <w:rFonts w:ascii="Times New Roman" w:eastAsia="Times New Roman" w:hAnsi="Times New Roman" w:cs="Times New Roman"/>
          <w:vanish/>
          <w:kern w:val="0"/>
          <w:sz w:val="24"/>
          <w:szCs w:val="24"/>
          <w:lang w:eastAsia="pt-BR"/>
          <w14:ligatures w14:val="none"/>
        </w:rPr>
      </w:pPr>
    </w:p>
    <w:tbl>
      <w:tblPr>
        <w:tblW w:w="9540" w:type="dxa"/>
        <w:tblCellMar>
          <w:top w:w="15" w:type="dxa"/>
          <w:left w:w="15" w:type="dxa"/>
          <w:bottom w:w="15" w:type="dxa"/>
          <w:right w:w="15" w:type="dxa"/>
        </w:tblCellMar>
        <w:tblLook w:val="04A0" w:firstRow="1" w:lastRow="0" w:firstColumn="1" w:lastColumn="0" w:noHBand="0" w:noVBand="1"/>
      </w:tblPr>
      <w:tblGrid>
        <w:gridCol w:w="9540"/>
      </w:tblGrid>
      <w:tr w:rsidR="003067BF" w:rsidRPr="003067BF" w14:paraId="0CE68386" w14:textId="77777777" w:rsidTr="003067BF">
        <w:tc>
          <w:tcPr>
            <w:tcW w:w="0" w:type="auto"/>
            <w:vAlign w:val="center"/>
            <w:hideMark/>
          </w:tcPr>
          <w:p w14:paraId="0D262F05" w14:textId="77777777" w:rsidR="003067BF" w:rsidRPr="003067BF" w:rsidRDefault="003067BF" w:rsidP="003067BF">
            <w:pPr>
              <w:spacing w:after="0" w:line="240" w:lineRule="auto"/>
              <w:rPr>
                <w:rFonts w:ascii="Times New Roman" w:eastAsia="Times New Roman" w:hAnsi="Times New Roman" w:cs="Times New Roman"/>
                <w:kern w:val="0"/>
                <w:sz w:val="24"/>
                <w:szCs w:val="24"/>
                <w:lang w:eastAsia="pt-BR"/>
                <w14:ligatures w14:val="none"/>
              </w:rPr>
            </w:pPr>
          </w:p>
        </w:tc>
      </w:tr>
    </w:tbl>
    <w:p w14:paraId="025061B5"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 </w:t>
      </w:r>
    </w:p>
    <w:p w14:paraId="60C10ECE"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1.2. O</w:t>
      </w:r>
      <w:r w:rsidRPr="003067BF">
        <w:rPr>
          <w:rFonts w:ascii="Calibri" w:eastAsia="Times New Roman" w:hAnsi="Calibri" w:cs="Calibri"/>
          <w:i/>
          <w:iCs/>
          <w:color w:val="000000"/>
          <w:kern w:val="0"/>
          <w:sz w:val="27"/>
          <w:szCs w:val="27"/>
          <w:lang w:eastAsia="pt-BR"/>
          <w14:ligatures w14:val="none"/>
        </w:rPr>
        <w:t> prazo de vigência da contratação é de 10 (dez) dias, contados da assinatura da Ordem de Fornecimento e Nota de Empenho, na forma do artigo 105 da Lei n° 14.133, de 2021.</w:t>
      </w:r>
    </w:p>
    <w:p w14:paraId="6961DB9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1.3.</w:t>
      </w:r>
      <w:r w:rsidRPr="003067BF">
        <w:rPr>
          <w:rFonts w:ascii="Times New Roman" w:eastAsia="Times New Roman" w:hAnsi="Times New Roman" w:cs="Times New Roman"/>
          <w:color w:val="000000"/>
          <w:kern w:val="0"/>
          <w:lang w:eastAsia="pt-BR"/>
          <w14:ligatures w14:val="none"/>
        </w:rPr>
        <w:t>A presente contratação adotará como regime de execução empreitada por Preço unitário</w:t>
      </w:r>
    </w:p>
    <w:p w14:paraId="6A31154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780A293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38DB4C4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2. FUNDAMENTAÇÃO E DESCRIÇÃO DA NECESSIDADE DA CONTRATAÇÃO</w:t>
      </w:r>
    </w:p>
    <w:p w14:paraId="500A86B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2.1. A Fundamentação da Contratação e de seus quantitativos encontra-se no Documento de Formalização de Demanda (2913112) e no item 3.1 deste Termo de Referência.</w:t>
      </w:r>
    </w:p>
    <w:p w14:paraId="3EDF713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2.2. O objeto da contratação está previsto no Plano de Contratações Anual 2023, conforme detalhamento a seguir:</w:t>
      </w:r>
    </w:p>
    <w:p w14:paraId="1D0787E1"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I) ID PCA no PNCP:  33781055000135-0-000001/2023</w:t>
      </w:r>
    </w:p>
    <w:p w14:paraId="44F472FE"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II) Data de publicação no PNCP: 20/05/2023</w:t>
      </w:r>
    </w:p>
    <w:p w14:paraId="70EC533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III) Id do item no PCA: 4</w:t>
      </w:r>
    </w:p>
    <w:p w14:paraId="35412FC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IV) Classe/Grupo: 859</w:t>
      </w:r>
    </w:p>
    <w:p w14:paraId="20D20A1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lastRenderedPageBreak/>
        <w:t>V) Identificador da Futura Contratação: 254488-2/2022</w:t>
      </w:r>
    </w:p>
    <w:p w14:paraId="34DA857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3E3F60B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3. DESCRIÇÃO DA SOLUÇÃO COMO UM TODO CONSIDERADO O CICLO DE VIDA DO OBJETO E ESPECIFICAÇÃO DO SERVIÇO</w:t>
      </w:r>
    </w:p>
    <w:p w14:paraId="206E9D6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xml:space="preserve">3.1. A justificativa para esta contratação encontra-se no Documento de Formalização de </w:t>
      </w:r>
      <w:proofErr w:type="spellStart"/>
      <w:r w:rsidRPr="003067BF">
        <w:rPr>
          <w:rFonts w:ascii="Calibri" w:eastAsia="Times New Roman" w:hAnsi="Calibri" w:cs="Calibri"/>
          <w:color w:val="000000"/>
          <w:kern w:val="0"/>
          <w:sz w:val="27"/>
          <w:szCs w:val="27"/>
          <w:lang w:eastAsia="pt-BR"/>
          <w14:ligatures w14:val="none"/>
        </w:rPr>
        <w:t>Demanada</w:t>
      </w:r>
      <w:proofErr w:type="spellEnd"/>
      <w:r w:rsidRPr="003067BF">
        <w:rPr>
          <w:rFonts w:ascii="Calibri" w:eastAsia="Times New Roman" w:hAnsi="Calibri" w:cs="Calibri"/>
          <w:color w:val="000000"/>
          <w:kern w:val="0"/>
          <w:sz w:val="27"/>
          <w:szCs w:val="27"/>
          <w:lang w:eastAsia="pt-BR"/>
          <w14:ligatures w14:val="none"/>
        </w:rPr>
        <w:t xml:space="preserve"> (2858576)</w:t>
      </w:r>
    </w:p>
    <w:p w14:paraId="4E987BF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3.2. </w:t>
      </w:r>
      <w:r w:rsidRPr="003067BF">
        <w:rPr>
          <w:rFonts w:ascii="Calibri" w:eastAsia="Times New Roman" w:hAnsi="Calibri" w:cs="Calibri"/>
          <w:i/>
          <w:iCs/>
          <w:color w:val="000000"/>
          <w:kern w:val="0"/>
          <w:sz w:val="27"/>
          <w:szCs w:val="27"/>
          <w:lang w:eastAsia="pt-BR"/>
          <w14:ligatures w14:val="none"/>
        </w:rPr>
        <w:t>A descrição da solução como um todo encontra-se pormenorizada em abaixo:</w:t>
      </w:r>
    </w:p>
    <w:p w14:paraId="4AD87185" w14:textId="77777777" w:rsidR="003067BF" w:rsidRPr="003067BF" w:rsidRDefault="003067BF" w:rsidP="003067BF">
      <w:pPr>
        <w:spacing w:after="0" w:line="240" w:lineRule="auto"/>
        <w:ind w:left="2400" w:right="720"/>
        <w:jc w:val="both"/>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Prestação de serviço de evento técnico científico conforme descrito abaixo:</w:t>
      </w:r>
    </w:p>
    <w:p w14:paraId="6C87DD65" w14:textId="77777777" w:rsidR="003067BF" w:rsidRPr="003067BF" w:rsidRDefault="003067BF" w:rsidP="003067BF">
      <w:pPr>
        <w:spacing w:after="0" w:line="240" w:lineRule="auto"/>
        <w:ind w:left="2400" w:right="720"/>
        <w:jc w:val="both"/>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 </w:t>
      </w:r>
    </w:p>
    <w:p w14:paraId="334562FA"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b/>
          <w:bCs/>
          <w:color w:val="000000"/>
          <w:kern w:val="0"/>
          <w:sz w:val="27"/>
          <w:szCs w:val="27"/>
          <w:lang w:eastAsia="pt-BR"/>
          <w14:ligatures w14:val="none"/>
        </w:rPr>
        <w:t>Data da execução do serviço:</w:t>
      </w:r>
      <w:r w:rsidRPr="003067BF">
        <w:rPr>
          <w:rFonts w:ascii="Times New Roman" w:eastAsia="Times New Roman" w:hAnsi="Times New Roman" w:cs="Times New Roman"/>
          <w:color w:val="000000"/>
          <w:kern w:val="0"/>
          <w:sz w:val="27"/>
          <w:szCs w:val="27"/>
          <w:lang w:eastAsia="pt-BR"/>
          <w14:ligatures w14:val="none"/>
        </w:rPr>
        <w:t> </w:t>
      </w:r>
      <w:r w:rsidRPr="003067BF">
        <w:rPr>
          <w:rFonts w:ascii="Times New Roman" w:eastAsia="Times New Roman" w:hAnsi="Times New Roman" w:cs="Times New Roman"/>
          <w:color w:val="000000"/>
          <w:kern w:val="0"/>
          <w:sz w:val="24"/>
          <w:szCs w:val="24"/>
          <w:lang w:eastAsia="pt-BR"/>
          <w14:ligatures w14:val="none"/>
        </w:rPr>
        <w:t>13/07/2023</w:t>
      </w:r>
    </w:p>
    <w:p w14:paraId="07F2F142"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b/>
          <w:bCs/>
          <w:color w:val="000000"/>
          <w:kern w:val="0"/>
          <w:sz w:val="24"/>
          <w:szCs w:val="24"/>
          <w:lang w:eastAsia="pt-BR"/>
          <w14:ligatures w14:val="none"/>
        </w:rPr>
        <w:t>Horário de início da execução do serviço: </w:t>
      </w:r>
      <w:r w:rsidRPr="003067BF">
        <w:rPr>
          <w:rFonts w:ascii="Times New Roman" w:eastAsia="Times New Roman" w:hAnsi="Times New Roman" w:cs="Times New Roman"/>
          <w:color w:val="000000"/>
          <w:kern w:val="0"/>
          <w:sz w:val="24"/>
          <w:szCs w:val="24"/>
          <w:lang w:eastAsia="pt-BR"/>
          <w14:ligatures w14:val="none"/>
        </w:rPr>
        <w:t>18h</w:t>
      </w:r>
    </w:p>
    <w:p w14:paraId="0E1E1BB0"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b/>
          <w:bCs/>
          <w:color w:val="000000"/>
          <w:kern w:val="0"/>
          <w:lang w:eastAsia="pt-BR"/>
          <w14:ligatures w14:val="none"/>
        </w:rPr>
        <w:t>Quantitativo estimado de pessoas por evento: </w:t>
      </w:r>
      <w:r w:rsidRPr="003067BF">
        <w:rPr>
          <w:rFonts w:ascii="Calibri" w:eastAsia="Times New Roman" w:hAnsi="Calibri" w:cs="Calibri"/>
          <w:color w:val="000000"/>
          <w:kern w:val="0"/>
          <w:lang w:eastAsia="pt-BR"/>
          <w14:ligatures w14:val="none"/>
        </w:rPr>
        <w:t>400 pessoas</w:t>
      </w:r>
    </w:p>
    <w:p w14:paraId="3418F6F2"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b/>
          <w:bCs/>
          <w:color w:val="000000"/>
          <w:kern w:val="0"/>
          <w:sz w:val="27"/>
          <w:szCs w:val="27"/>
          <w:lang w:eastAsia="pt-BR"/>
          <w14:ligatures w14:val="none"/>
        </w:rPr>
        <w:t>Local: </w:t>
      </w:r>
      <w:r w:rsidRPr="003067BF">
        <w:rPr>
          <w:rFonts w:ascii="Times New Roman" w:eastAsia="Times New Roman" w:hAnsi="Times New Roman" w:cs="Times New Roman"/>
          <w:color w:val="000000"/>
          <w:kern w:val="0"/>
          <w:sz w:val="27"/>
          <w:szCs w:val="27"/>
          <w:lang w:eastAsia="pt-BR"/>
          <w14:ligatures w14:val="none"/>
        </w:rPr>
        <w:t>Fundação Oswaldo Cruz - Campus Manguinhos, localizado na Avenida Brasil 4365, Manguinhos, Rio de Janeiro - RJ. CEP: 21040-360. (Centro de Recepção do Museu da Vida)</w:t>
      </w:r>
    </w:p>
    <w:p w14:paraId="3CC66ABF"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b/>
          <w:bCs/>
          <w:color w:val="000000"/>
          <w:kern w:val="0"/>
          <w:sz w:val="27"/>
          <w:szCs w:val="27"/>
          <w:lang w:eastAsia="pt-BR"/>
          <w14:ligatures w14:val="none"/>
        </w:rPr>
        <w:t>Tipo do serviço:</w:t>
      </w:r>
      <w:r w:rsidRPr="003067BF">
        <w:rPr>
          <w:rFonts w:ascii="Times New Roman" w:eastAsia="Times New Roman" w:hAnsi="Times New Roman" w:cs="Times New Roman"/>
          <w:color w:val="000000"/>
          <w:kern w:val="0"/>
          <w:sz w:val="27"/>
          <w:szCs w:val="27"/>
          <w:lang w:eastAsia="pt-BR"/>
          <w14:ligatures w14:val="none"/>
        </w:rPr>
        <w:t> </w:t>
      </w:r>
      <w:r w:rsidRPr="003067BF">
        <w:rPr>
          <w:rFonts w:ascii="Times New Roman" w:eastAsia="Times New Roman" w:hAnsi="Times New Roman" w:cs="Times New Roman"/>
          <w:b/>
          <w:bCs/>
          <w:i/>
          <w:iCs/>
          <w:color w:val="000000"/>
          <w:kern w:val="0"/>
          <w:sz w:val="27"/>
          <w:szCs w:val="27"/>
          <w:lang w:eastAsia="pt-BR"/>
          <w14:ligatures w14:val="none"/>
        </w:rPr>
        <w:t>Fornecimento de </w:t>
      </w:r>
      <w:r w:rsidRPr="003067BF">
        <w:rPr>
          <w:rFonts w:ascii="Calibri" w:eastAsia="Times New Roman" w:hAnsi="Calibri" w:cs="Calibri"/>
          <w:b/>
          <w:bCs/>
          <w:i/>
          <w:iCs/>
          <w:color w:val="000000"/>
          <w:kern w:val="0"/>
          <w:lang w:eastAsia="pt-BR"/>
          <w14:ligatures w14:val="none"/>
        </w:rPr>
        <w:t xml:space="preserve">COQUETEL </w:t>
      </w:r>
      <w:proofErr w:type="gramStart"/>
      <w:r w:rsidRPr="003067BF">
        <w:rPr>
          <w:rFonts w:ascii="Calibri" w:eastAsia="Times New Roman" w:hAnsi="Calibri" w:cs="Calibri"/>
          <w:b/>
          <w:bCs/>
          <w:i/>
          <w:iCs/>
          <w:color w:val="000000"/>
          <w:kern w:val="0"/>
          <w:lang w:eastAsia="pt-BR"/>
          <w14:ligatures w14:val="none"/>
        </w:rPr>
        <w:t>com  serviço</w:t>
      </w:r>
      <w:proofErr w:type="gramEnd"/>
      <w:r w:rsidRPr="003067BF">
        <w:rPr>
          <w:rFonts w:ascii="Calibri" w:eastAsia="Times New Roman" w:hAnsi="Calibri" w:cs="Calibri"/>
          <w:b/>
          <w:bCs/>
          <w:i/>
          <w:iCs/>
          <w:color w:val="000000"/>
          <w:kern w:val="0"/>
          <w:lang w:eastAsia="pt-BR"/>
          <w14:ligatures w14:val="none"/>
        </w:rPr>
        <w:t xml:space="preserve"> volante</w:t>
      </w:r>
    </w:p>
    <w:p w14:paraId="22F9EA25"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b/>
          <w:bCs/>
          <w:color w:val="000000"/>
          <w:kern w:val="0"/>
          <w:lang w:eastAsia="pt-BR"/>
          <w14:ligatures w14:val="none"/>
        </w:rPr>
        <w:t>Serviço frio: </w:t>
      </w:r>
    </w:p>
    <w:p w14:paraId="68984F3A"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Salgados (08 tipos diferentes) Terrines</w:t>
      </w:r>
    </w:p>
    <w:p w14:paraId="36245058"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 xml:space="preserve">01 tipos de </w:t>
      </w:r>
      <w:proofErr w:type="spellStart"/>
      <w:r w:rsidRPr="003067BF">
        <w:rPr>
          <w:rFonts w:ascii="Calibri" w:eastAsia="Times New Roman" w:hAnsi="Calibri" w:cs="Calibri"/>
          <w:color w:val="000000"/>
          <w:kern w:val="0"/>
          <w:lang w:eastAsia="pt-BR"/>
          <w14:ligatures w14:val="none"/>
        </w:rPr>
        <w:t>Sticks</w:t>
      </w:r>
      <w:proofErr w:type="spellEnd"/>
      <w:r w:rsidRPr="003067BF">
        <w:rPr>
          <w:rFonts w:ascii="Calibri" w:eastAsia="Times New Roman" w:hAnsi="Calibri" w:cs="Calibri"/>
          <w:color w:val="000000"/>
          <w:kern w:val="0"/>
          <w:lang w:eastAsia="pt-BR"/>
          <w14:ligatures w14:val="none"/>
        </w:rPr>
        <w:t xml:space="preserve"> Serviço quente:</w:t>
      </w:r>
    </w:p>
    <w:p w14:paraId="2A2B0581"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 xml:space="preserve">01 tipo de </w:t>
      </w:r>
      <w:proofErr w:type="spellStart"/>
      <w:r w:rsidRPr="003067BF">
        <w:rPr>
          <w:rFonts w:ascii="Calibri" w:eastAsia="Times New Roman" w:hAnsi="Calibri" w:cs="Calibri"/>
          <w:color w:val="000000"/>
          <w:kern w:val="0"/>
          <w:lang w:eastAsia="pt-BR"/>
          <w14:ligatures w14:val="none"/>
        </w:rPr>
        <w:t>souflee</w:t>
      </w:r>
      <w:proofErr w:type="spellEnd"/>
      <w:r w:rsidRPr="003067BF">
        <w:rPr>
          <w:rFonts w:ascii="Calibri" w:eastAsia="Times New Roman" w:hAnsi="Calibri" w:cs="Calibri"/>
          <w:color w:val="000000"/>
          <w:kern w:val="0"/>
          <w:lang w:eastAsia="pt-BR"/>
          <w14:ligatures w14:val="none"/>
        </w:rPr>
        <w:t xml:space="preserve"> 04 tipos de folhados</w:t>
      </w:r>
    </w:p>
    <w:p w14:paraId="4F7EEEEB"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 xml:space="preserve">02 tipos de </w:t>
      </w:r>
      <w:proofErr w:type="spellStart"/>
      <w:r w:rsidRPr="003067BF">
        <w:rPr>
          <w:rFonts w:ascii="Calibri" w:eastAsia="Times New Roman" w:hAnsi="Calibri" w:cs="Calibri"/>
          <w:color w:val="000000"/>
          <w:kern w:val="0"/>
          <w:lang w:eastAsia="pt-BR"/>
          <w14:ligatures w14:val="none"/>
        </w:rPr>
        <w:t>tartelletes</w:t>
      </w:r>
      <w:proofErr w:type="spellEnd"/>
    </w:p>
    <w:p w14:paraId="53A08B08"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 xml:space="preserve">02 tipos de </w:t>
      </w:r>
      <w:proofErr w:type="spellStart"/>
      <w:r w:rsidRPr="003067BF">
        <w:rPr>
          <w:rFonts w:ascii="Calibri" w:eastAsia="Times New Roman" w:hAnsi="Calibri" w:cs="Calibri"/>
          <w:color w:val="000000"/>
          <w:kern w:val="0"/>
          <w:lang w:eastAsia="pt-BR"/>
          <w14:ligatures w14:val="none"/>
        </w:rPr>
        <w:t>Mini-quiches</w:t>
      </w:r>
      <w:proofErr w:type="spellEnd"/>
    </w:p>
    <w:p w14:paraId="51028DB1"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 xml:space="preserve">01 tipo de </w:t>
      </w:r>
      <w:proofErr w:type="spellStart"/>
      <w:r w:rsidRPr="003067BF">
        <w:rPr>
          <w:rFonts w:ascii="Calibri" w:eastAsia="Times New Roman" w:hAnsi="Calibri" w:cs="Calibri"/>
          <w:color w:val="000000"/>
          <w:kern w:val="0"/>
          <w:lang w:eastAsia="pt-BR"/>
          <w14:ligatures w14:val="none"/>
        </w:rPr>
        <w:t>vol-au-vent</w:t>
      </w:r>
      <w:proofErr w:type="spellEnd"/>
    </w:p>
    <w:p w14:paraId="6A02ACB2"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Salgados de forno (08 tipos diferentes)</w:t>
      </w:r>
    </w:p>
    <w:p w14:paraId="03A80A00"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Bebidas:</w:t>
      </w:r>
    </w:p>
    <w:p w14:paraId="6094539A"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Água com e sem gás</w:t>
      </w:r>
    </w:p>
    <w:p w14:paraId="35581E3A"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02 tipos de soft drink (coquetéis com sucos de frutas, água, água com gás, xaropes sem álcool)</w:t>
      </w:r>
    </w:p>
    <w:p w14:paraId="108C6466"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02 tipos de suco tropical natural ou duas opções de água saborizada</w:t>
      </w:r>
    </w:p>
    <w:p w14:paraId="74F461E9"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 </w:t>
      </w:r>
    </w:p>
    <w:p w14:paraId="5E5D2513"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lastRenderedPageBreak/>
        <w:t>Equipe para serviço:</w:t>
      </w:r>
    </w:p>
    <w:p w14:paraId="36642671"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01 Maitre,</w:t>
      </w:r>
    </w:p>
    <w:p w14:paraId="3B237D0A"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12 garçons (1 para cada 30 pessoas)</w:t>
      </w:r>
    </w:p>
    <w:p w14:paraId="5B80C71E"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05 copeiros;</w:t>
      </w:r>
    </w:p>
    <w:p w14:paraId="7663A59C" w14:textId="77777777" w:rsidR="003067BF" w:rsidRPr="003067BF" w:rsidRDefault="003067BF" w:rsidP="003067BF">
      <w:pPr>
        <w:spacing w:after="165" w:line="240" w:lineRule="auto"/>
        <w:ind w:left="30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3 ajudantes de cozinha p/serviço de reposição</w:t>
      </w:r>
    </w:p>
    <w:p w14:paraId="67D53819"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 </w:t>
      </w:r>
    </w:p>
    <w:p w14:paraId="79D5FC9B"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b/>
          <w:bCs/>
          <w:color w:val="000000"/>
          <w:kern w:val="0"/>
          <w:lang w:eastAsia="pt-BR"/>
          <w14:ligatures w14:val="none"/>
        </w:rPr>
        <w:t>Material a ser usado:</w:t>
      </w:r>
    </w:p>
    <w:p w14:paraId="2148CB3C" w14:textId="77777777" w:rsidR="003067BF" w:rsidRPr="003067BF" w:rsidRDefault="003067BF" w:rsidP="003067BF">
      <w:pPr>
        <w:numPr>
          <w:ilvl w:val="0"/>
          <w:numId w:val="1"/>
        </w:numPr>
        <w:spacing w:before="100" w:beforeAutospacing="1" w:after="100" w:afterAutospacing="1" w:line="240" w:lineRule="auto"/>
        <w:ind w:left="312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Copos de vidro;</w:t>
      </w:r>
    </w:p>
    <w:p w14:paraId="00A97945" w14:textId="77777777" w:rsidR="003067BF" w:rsidRPr="003067BF" w:rsidRDefault="003067BF" w:rsidP="003067BF">
      <w:pPr>
        <w:numPr>
          <w:ilvl w:val="0"/>
          <w:numId w:val="1"/>
        </w:numPr>
        <w:spacing w:before="100" w:beforeAutospacing="1" w:after="100" w:afterAutospacing="1" w:line="240" w:lineRule="auto"/>
        <w:ind w:left="312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Pratos de porcelana</w:t>
      </w:r>
    </w:p>
    <w:p w14:paraId="009DEF96"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b/>
          <w:bCs/>
          <w:color w:val="000000"/>
          <w:kern w:val="0"/>
          <w:lang w:eastAsia="pt-BR"/>
          <w14:ligatures w14:val="none"/>
        </w:rPr>
        <w:t>Ambientação do local: </w:t>
      </w:r>
      <w:r w:rsidRPr="003067BF">
        <w:rPr>
          <w:rFonts w:ascii="Calibri" w:eastAsia="Times New Roman" w:hAnsi="Calibri" w:cs="Calibri"/>
          <w:color w:val="000000"/>
          <w:kern w:val="0"/>
          <w:lang w:eastAsia="pt-BR"/>
          <w14:ligatures w14:val="none"/>
        </w:rPr>
        <w:t>Arranjo simples de flores e folhagem.</w:t>
      </w:r>
    </w:p>
    <w:p w14:paraId="45FD04B7"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 </w:t>
      </w:r>
    </w:p>
    <w:p w14:paraId="16AAC0CD"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Observação:</w:t>
      </w:r>
    </w:p>
    <w:p w14:paraId="2FB33B4F" w14:textId="77777777" w:rsidR="003067BF" w:rsidRPr="003067BF" w:rsidRDefault="003067BF" w:rsidP="003067BF">
      <w:pPr>
        <w:spacing w:after="165" w:line="240" w:lineRule="auto"/>
        <w:ind w:left="2400"/>
        <w:rPr>
          <w:rFonts w:ascii="Times New Roman" w:eastAsia="Times New Roman" w:hAnsi="Times New Roman" w:cs="Times New Roman"/>
          <w:color w:val="000000"/>
          <w:kern w:val="0"/>
          <w:sz w:val="27"/>
          <w:szCs w:val="27"/>
          <w:lang w:eastAsia="pt-BR"/>
          <w14:ligatures w14:val="none"/>
        </w:rPr>
      </w:pPr>
      <w:r w:rsidRPr="003067BF">
        <w:rPr>
          <w:rFonts w:ascii="Calibri" w:eastAsia="Times New Roman" w:hAnsi="Calibri" w:cs="Calibri"/>
          <w:color w:val="000000"/>
          <w:kern w:val="0"/>
          <w:lang w:eastAsia="pt-BR"/>
          <w14:ligatures w14:val="none"/>
        </w:rPr>
        <w:t>O serviço quente não deverá conter salgados fritos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067BF" w:rsidRPr="003067BF" w14:paraId="68A44140" w14:textId="77777777" w:rsidTr="003067BF">
        <w:trPr>
          <w:tblCellSpacing w:w="15" w:type="dxa"/>
        </w:trPr>
        <w:tc>
          <w:tcPr>
            <w:tcW w:w="0" w:type="auto"/>
            <w:vAlign w:val="center"/>
            <w:hideMark/>
          </w:tcPr>
          <w:p w14:paraId="09F72071" w14:textId="77777777" w:rsidR="003067BF" w:rsidRPr="003067BF" w:rsidRDefault="003067BF" w:rsidP="003067BF">
            <w:pPr>
              <w:spacing w:after="0" w:line="240" w:lineRule="auto"/>
              <w:rPr>
                <w:rFonts w:ascii="Times New Roman" w:eastAsia="Times New Roman" w:hAnsi="Times New Roman" w:cs="Times New Roman"/>
                <w:color w:val="000000"/>
                <w:kern w:val="0"/>
                <w:sz w:val="27"/>
                <w:szCs w:val="27"/>
                <w:lang w:eastAsia="pt-BR"/>
                <w14:ligatures w14:val="none"/>
              </w:rPr>
            </w:pPr>
          </w:p>
        </w:tc>
      </w:tr>
    </w:tbl>
    <w:p w14:paraId="006828EB" w14:textId="77777777" w:rsidR="003067BF" w:rsidRPr="003067BF" w:rsidRDefault="003067BF" w:rsidP="003067BF">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36F66BBB"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4. REQUISITOS DA CONTRATAÇÃO</w:t>
      </w:r>
    </w:p>
    <w:p w14:paraId="268FACCB"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i/>
          <w:iCs/>
          <w:color w:val="000000"/>
          <w:kern w:val="0"/>
          <w:sz w:val="27"/>
          <w:szCs w:val="27"/>
          <w:lang w:eastAsia="pt-BR"/>
          <w14:ligatures w14:val="none"/>
        </w:rPr>
        <w:t>Sustentabilidade:</w:t>
      </w:r>
    </w:p>
    <w:p w14:paraId="70E4B10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4.1 Não </w:t>
      </w:r>
      <w:r w:rsidRPr="003067BF">
        <w:rPr>
          <w:rFonts w:ascii="Calibri" w:eastAsia="Times New Roman" w:hAnsi="Calibri" w:cs="Calibri"/>
          <w:i/>
          <w:iCs/>
          <w:color w:val="000000"/>
          <w:kern w:val="0"/>
          <w:sz w:val="27"/>
          <w:szCs w:val="27"/>
          <w:lang w:eastAsia="pt-BR"/>
          <w14:ligatures w14:val="none"/>
        </w:rPr>
        <w:t>se aplica.</w:t>
      </w:r>
    </w:p>
    <w:p w14:paraId="106825C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067CDFE4"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Subcontratação</w:t>
      </w:r>
    </w:p>
    <w:p w14:paraId="7FA5D69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4.16. </w:t>
      </w:r>
      <w:r w:rsidRPr="003067BF">
        <w:rPr>
          <w:rFonts w:ascii="Calibri" w:eastAsia="Times New Roman" w:hAnsi="Calibri" w:cs="Calibri"/>
          <w:i/>
          <w:iCs/>
          <w:color w:val="000000"/>
          <w:kern w:val="0"/>
          <w:sz w:val="27"/>
          <w:szCs w:val="27"/>
          <w:lang w:eastAsia="pt-BR"/>
          <w14:ligatures w14:val="none"/>
        </w:rPr>
        <w:t>Não é admitida a subcontratação do objeto contratual.</w:t>
      </w:r>
    </w:p>
    <w:p w14:paraId="18263181"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0C45E2D4"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Garantia da contratação</w:t>
      </w:r>
    </w:p>
    <w:p w14:paraId="701BA4FF"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4.19. Não haverá exigência da garantia da contratação dos </w:t>
      </w:r>
      <w:hyperlink r:id="rId5" w:anchor="art96" w:history="1">
        <w:r w:rsidRPr="003067BF">
          <w:rPr>
            <w:rFonts w:ascii="Calibri" w:eastAsia="Times New Roman" w:hAnsi="Calibri" w:cs="Calibri"/>
            <w:color w:val="0000FF"/>
            <w:kern w:val="0"/>
            <w:sz w:val="27"/>
            <w:szCs w:val="27"/>
            <w:u w:val="single"/>
            <w:lang w:eastAsia="pt-BR"/>
            <w14:ligatures w14:val="none"/>
          </w:rPr>
          <w:t>artigos 96 e seguintes da Lei nº 14.133, de 2021</w:t>
        </w:r>
      </w:hyperlink>
      <w:r w:rsidRPr="003067BF">
        <w:rPr>
          <w:rFonts w:ascii="Calibri" w:eastAsia="Times New Roman" w:hAnsi="Calibri" w:cs="Calibri"/>
          <w:color w:val="000000"/>
          <w:kern w:val="0"/>
          <w:sz w:val="27"/>
          <w:szCs w:val="27"/>
          <w:lang w:eastAsia="pt-BR"/>
          <w14:ligatures w14:val="none"/>
        </w:rPr>
        <w:t>.</w:t>
      </w:r>
    </w:p>
    <w:p w14:paraId="6F95BD8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5E93C2DF"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5. MODELO DE EXECUÇÃO DO OBJETO</w:t>
      </w:r>
    </w:p>
    <w:p w14:paraId="65A7CA1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Condições de prestação de serviço</w:t>
      </w:r>
    </w:p>
    <w:p w14:paraId="7100AF7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5.1. O prazo de entrega dos serviços é de 05 (cinco) dias, contados da assinatura da Ordem de Fornecimento e Nota de Empenho, em remessa única.</w:t>
      </w:r>
    </w:p>
    <w:p w14:paraId="425863A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xml:space="preserve">5.2. Caso não seja possível a entrega na data assinalada, a empresa deverá comunicar as razões respectivas com pelo menos 05 (cinco) </w:t>
      </w:r>
      <w:r w:rsidRPr="003067BF">
        <w:rPr>
          <w:rFonts w:ascii="Calibri" w:eastAsia="Times New Roman" w:hAnsi="Calibri" w:cs="Calibri"/>
          <w:color w:val="000000"/>
          <w:kern w:val="0"/>
          <w:sz w:val="27"/>
          <w:szCs w:val="27"/>
          <w:lang w:eastAsia="pt-BR"/>
          <w14:ligatures w14:val="none"/>
        </w:rPr>
        <w:lastRenderedPageBreak/>
        <w:t>dias de antecedência para que qualquer pleito de prorrogação de prazo seja analisado, ressalvadas situações de caso fortuito e força maior.</w:t>
      </w:r>
    </w:p>
    <w:p w14:paraId="53F34459"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5.3. O serviço será prestado no seguinte endereço: Fundação Oswaldo Cruz - Campus Manguinhos, localizado na Avenida Brasil 4365, Manguinhos, Rio de Janeiro - RJ. CEP: 21040-360. (Centro de Recepção do Museu da Vida)</w:t>
      </w:r>
    </w:p>
    <w:p w14:paraId="3691E5E5"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162D5AAF" w14:textId="77777777" w:rsidR="003067BF" w:rsidRPr="003067BF" w:rsidRDefault="003067BF" w:rsidP="003067BF">
      <w:pPr>
        <w:spacing w:before="120" w:after="120" w:line="240" w:lineRule="auto"/>
        <w:ind w:left="60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64FCB2E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6. MODELO DE GESTÃO DO CONTRATO</w:t>
      </w:r>
    </w:p>
    <w:p w14:paraId="4D68451F"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6.1. O contrato deverá ser executado fielmente pelas partes, de acordo com as cláusulas avençadas e as normas da Lei nº 14.133, de 2021, e cada parte responderá pelas consequências de sua inexecução total ou parcial.</w:t>
      </w:r>
    </w:p>
    <w:p w14:paraId="3430A41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6.2. Em caso de impedimento, ordem de paralisação ou suspensão do contrato, o cronograma de execução será prorrogado automaticamente pelo tempo correspondente, anotadas tais circunstâncias mediante simples apostila.</w:t>
      </w:r>
    </w:p>
    <w:p w14:paraId="4914849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6.3. As comunicações entre o órgão ou entidade e a contratada devem ser realizadas por escrito sempre que o ato exigir tal formalidade, admitindo-se o uso de mensagem eletrônica para esse fim.</w:t>
      </w:r>
    </w:p>
    <w:p w14:paraId="332F5419"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6.4 O órgão ou entidade poderá convocar representante da empresa para adoção de providências que devam ser cumpridas de imediato.</w:t>
      </w:r>
    </w:p>
    <w:p w14:paraId="39BA023F"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6.5. Após a assinatura do contrato ou instrumento equivalente</w:t>
      </w:r>
      <w:r w:rsidRPr="003067BF">
        <w:rPr>
          <w:rFonts w:ascii="Calibri" w:eastAsia="Times New Roman" w:hAnsi="Calibri" w:cs="Calibri"/>
          <w:strike/>
          <w:color w:val="000000"/>
          <w:kern w:val="0"/>
          <w:sz w:val="27"/>
          <w:szCs w:val="27"/>
          <w:lang w:eastAsia="pt-BR"/>
          <w14:ligatures w14:val="none"/>
        </w:rPr>
        <w:t>,</w:t>
      </w:r>
      <w:r w:rsidRPr="003067BF">
        <w:rPr>
          <w:rFonts w:ascii="Calibri" w:eastAsia="Times New Roman" w:hAnsi="Calibri" w:cs="Calibri"/>
          <w:color w:val="000000"/>
          <w:kern w:val="0"/>
          <w:sz w:val="27"/>
          <w:szCs w:val="27"/>
          <w:lang w:eastAsia="pt-BR"/>
          <w14:ligatures w14:val="none"/>
        </w:rPr>
        <w:t>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FF5097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6.6. A execução do contrato deverá ser acompanhada e fiscalizada pelo(s) fiscal(</w:t>
      </w:r>
      <w:proofErr w:type="spellStart"/>
      <w:r w:rsidRPr="003067BF">
        <w:rPr>
          <w:rFonts w:ascii="Calibri" w:eastAsia="Times New Roman" w:hAnsi="Calibri" w:cs="Calibri"/>
          <w:color w:val="000000"/>
          <w:kern w:val="0"/>
          <w:sz w:val="27"/>
          <w:szCs w:val="27"/>
          <w:lang w:eastAsia="pt-BR"/>
          <w14:ligatures w14:val="none"/>
        </w:rPr>
        <w:t>is</w:t>
      </w:r>
      <w:proofErr w:type="spellEnd"/>
      <w:r w:rsidRPr="003067BF">
        <w:rPr>
          <w:rFonts w:ascii="Calibri" w:eastAsia="Times New Roman" w:hAnsi="Calibri" w:cs="Calibri"/>
          <w:color w:val="000000"/>
          <w:kern w:val="0"/>
          <w:sz w:val="27"/>
          <w:szCs w:val="27"/>
          <w:lang w:eastAsia="pt-BR"/>
          <w14:ligatures w14:val="none"/>
        </w:rPr>
        <w:t>) do contrato, ou pelos respectivos substitutos (</w:t>
      </w:r>
      <w:hyperlink r:id="rId6" w:anchor="art117" w:history="1">
        <w:r w:rsidRPr="003067BF">
          <w:rPr>
            <w:rFonts w:ascii="Calibri" w:eastAsia="Times New Roman" w:hAnsi="Calibri" w:cs="Calibri"/>
            <w:color w:val="0000FF"/>
            <w:kern w:val="0"/>
            <w:sz w:val="27"/>
            <w:szCs w:val="27"/>
            <w:u w:val="single"/>
            <w:lang w:eastAsia="pt-BR"/>
            <w14:ligatures w14:val="none"/>
          </w:rPr>
          <w:t>Lei nº 14.133, de 2021, art. 117, caput</w:t>
        </w:r>
      </w:hyperlink>
      <w:r w:rsidRPr="003067BF">
        <w:rPr>
          <w:rFonts w:ascii="Calibri" w:eastAsia="Times New Roman" w:hAnsi="Calibri" w:cs="Calibri"/>
          <w:color w:val="000000"/>
          <w:kern w:val="0"/>
          <w:sz w:val="27"/>
          <w:szCs w:val="27"/>
          <w:lang w:eastAsia="pt-BR"/>
          <w14:ligatures w14:val="none"/>
        </w:rPr>
        <w:t>).</w:t>
      </w:r>
    </w:p>
    <w:p w14:paraId="66783D18"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6.7 O fiscal técnico do contrato acompanhará a execução do contrato, para que sejam cumpridas todas as condições estabelecidas no contrato, de modo a assegurar os melhores resultados para a Administração. (Decreto nº 11.246, de 2022, art. 22, VI);</w:t>
      </w:r>
    </w:p>
    <w:p w14:paraId="2DCCA40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lastRenderedPageBreak/>
        <w:t>6.7.1. O fiscal técnico do contrato anotará no histórico de gerenciamento do contrato todas as ocorrências relacionadas à execução do contrato, com a descrição do que for necessário para a regularização das faltas ou dos defeitos observados. (</w:t>
      </w:r>
      <w:hyperlink r:id="rId7" w:anchor="art117%C2%A71" w:history="1">
        <w:r w:rsidRPr="003067BF">
          <w:rPr>
            <w:rFonts w:ascii="Calibri" w:eastAsia="Times New Roman" w:hAnsi="Calibri" w:cs="Calibri"/>
            <w:color w:val="0000FF"/>
            <w:kern w:val="0"/>
            <w:sz w:val="27"/>
            <w:szCs w:val="27"/>
            <w:u w:val="single"/>
            <w:lang w:eastAsia="pt-BR"/>
            <w14:ligatures w14:val="none"/>
          </w:rPr>
          <w:t>Lei nº 14.133, de 2021, art. 117, §1º</w:t>
        </w:r>
      </w:hyperlink>
      <w:r w:rsidRPr="003067BF">
        <w:rPr>
          <w:rFonts w:ascii="Calibri" w:eastAsia="Times New Roman" w:hAnsi="Calibri" w:cs="Calibri"/>
          <w:color w:val="000000"/>
          <w:kern w:val="0"/>
          <w:sz w:val="27"/>
          <w:szCs w:val="27"/>
          <w:lang w:eastAsia="pt-BR"/>
          <w14:ligatures w14:val="none"/>
        </w:rPr>
        <w:t>, e </w:t>
      </w:r>
      <w:hyperlink r:id="rId8" w:anchor="art22" w:history="1">
        <w:r w:rsidRPr="003067BF">
          <w:rPr>
            <w:rFonts w:ascii="Calibri" w:eastAsia="Times New Roman" w:hAnsi="Calibri" w:cs="Calibri"/>
            <w:color w:val="0000FF"/>
            <w:kern w:val="0"/>
            <w:sz w:val="27"/>
            <w:szCs w:val="27"/>
            <w:u w:val="single"/>
            <w:lang w:eastAsia="pt-BR"/>
            <w14:ligatures w14:val="none"/>
          </w:rPr>
          <w:t>Decreto nº 11.246, de 2022, art. 22, II);</w:t>
        </w:r>
      </w:hyperlink>
    </w:p>
    <w:p w14:paraId="1EBD600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6.7.2. Identificada qualquer inexatidão ou irregularidade, o fiscal técnico do contrato emitirá notificações para a correção da execução do contrato, determinando prazo para a correção. (</w:t>
      </w:r>
      <w:hyperlink r:id="rId9" w:anchor="art22" w:history="1">
        <w:r w:rsidRPr="003067BF">
          <w:rPr>
            <w:rFonts w:ascii="Calibri" w:eastAsia="Times New Roman" w:hAnsi="Calibri" w:cs="Calibri"/>
            <w:color w:val="0000FF"/>
            <w:kern w:val="0"/>
            <w:sz w:val="27"/>
            <w:szCs w:val="27"/>
            <w:u w:val="single"/>
            <w:lang w:eastAsia="pt-BR"/>
            <w14:ligatures w14:val="none"/>
          </w:rPr>
          <w:t>Decreto nº 11.246, de 2022, art. 22, III</w:t>
        </w:r>
      </w:hyperlink>
      <w:r w:rsidRPr="003067BF">
        <w:rPr>
          <w:rFonts w:ascii="Calibri" w:eastAsia="Times New Roman" w:hAnsi="Calibri" w:cs="Calibri"/>
          <w:color w:val="000000"/>
          <w:kern w:val="0"/>
          <w:sz w:val="27"/>
          <w:szCs w:val="27"/>
          <w:lang w:eastAsia="pt-BR"/>
          <w14:ligatures w14:val="none"/>
        </w:rPr>
        <w:t>);</w:t>
      </w:r>
    </w:p>
    <w:p w14:paraId="621900CB"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6.7.3 O fiscal técnico do contrato informará ao gestor do contato, em tempo hábil, a situação que demandar decisão ou adoção de medidas que ultrapassem sua competência, para que adote as medidas necessárias e saneadoras, se for o caso. (</w:t>
      </w:r>
      <w:hyperlink r:id="rId10" w:anchor="art22" w:history="1">
        <w:r w:rsidRPr="003067BF">
          <w:rPr>
            <w:rFonts w:ascii="Calibri" w:eastAsia="Times New Roman" w:hAnsi="Calibri" w:cs="Calibri"/>
            <w:color w:val="0000FF"/>
            <w:kern w:val="0"/>
            <w:sz w:val="27"/>
            <w:szCs w:val="27"/>
            <w:u w:val="single"/>
            <w:lang w:eastAsia="pt-BR"/>
            <w14:ligatures w14:val="none"/>
          </w:rPr>
          <w:t>Decreto nº 11.246, de 2022, art. 22, IV</w:t>
        </w:r>
      </w:hyperlink>
      <w:r w:rsidRPr="003067BF">
        <w:rPr>
          <w:rFonts w:ascii="Calibri" w:eastAsia="Times New Roman" w:hAnsi="Calibri" w:cs="Calibri"/>
          <w:color w:val="000000"/>
          <w:kern w:val="0"/>
          <w:sz w:val="27"/>
          <w:szCs w:val="27"/>
          <w:lang w:eastAsia="pt-BR"/>
          <w14:ligatures w14:val="none"/>
        </w:rPr>
        <w:t>).</w:t>
      </w:r>
    </w:p>
    <w:p w14:paraId="7440644E"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6.7.4. No caso de ocorrências que possam inviabilizar a execução do contrato nas datas aprazadas, o fiscal técnico do contrato comunicará o fato imediatamente ao gestor do contrato. (</w:t>
      </w:r>
      <w:hyperlink r:id="rId11" w:anchor="art22" w:history="1">
        <w:r w:rsidRPr="003067BF">
          <w:rPr>
            <w:rFonts w:ascii="Calibri" w:eastAsia="Times New Roman" w:hAnsi="Calibri" w:cs="Calibri"/>
            <w:color w:val="0000FF"/>
            <w:kern w:val="0"/>
            <w:sz w:val="27"/>
            <w:szCs w:val="27"/>
            <w:u w:val="single"/>
            <w:lang w:eastAsia="pt-BR"/>
            <w14:ligatures w14:val="none"/>
          </w:rPr>
          <w:t>Decreto nº 11.246, de 2022, art. 22, V</w:t>
        </w:r>
      </w:hyperlink>
      <w:r w:rsidRPr="003067BF">
        <w:rPr>
          <w:rFonts w:ascii="Calibri" w:eastAsia="Times New Roman" w:hAnsi="Calibri" w:cs="Calibri"/>
          <w:color w:val="000000"/>
          <w:kern w:val="0"/>
          <w:sz w:val="27"/>
          <w:szCs w:val="27"/>
          <w:lang w:eastAsia="pt-BR"/>
          <w14:ligatures w14:val="none"/>
        </w:rPr>
        <w:t>).</w:t>
      </w:r>
    </w:p>
    <w:p w14:paraId="6554E82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6.7.5. O fiscal técnico do contrato comunicar ao gestor do contrato, em tempo hábil, o término do contrato sob sua responsabilidade, com vistas à renovação tempestiva ou à prorrogação contratual </w:t>
      </w:r>
      <w:hyperlink r:id="rId12" w:anchor="art22" w:history="1">
        <w:r w:rsidRPr="003067BF">
          <w:rPr>
            <w:rFonts w:ascii="Calibri" w:eastAsia="Times New Roman" w:hAnsi="Calibri" w:cs="Calibri"/>
            <w:color w:val="0000FF"/>
            <w:kern w:val="0"/>
            <w:sz w:val="27"/>
            <w:szCs w:val="27"/>
            <w:u w:val="single"/>
            <w:lang w:eastAsia="pt-BR"/>
            <w14:ligatures w14:val="none"/>
          </w:rPr>
          <w:t>(Decreto nº 11.246, de 2022, art. 22, VII</w:t>
        </w:r>
      </w:hyperlink>
      <w:r w:rsidRPr="003067BF">
        <w:rPr>
          <w:rFonts w:ascii="Calibri" w:eastAsia="Times New Roman" w:hAnsi="Calibri" w:cs="Calibri"/>
          <w:color w:val="000000"/>
          <w:kern w:val="0"/>
          <w:sz w:val="27"/>
          <w:szCs w:val="27"/>
          <w:lang w:eastAsia="pt-BR"/>
          <w14:ligatures w14:val="none"/>
        </w:rPr>
        <w:t>).</w:t>
      </w:r>
    </w:p>
    <w:p w14:paraId="055A84D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3" w:anchor="art23" w:history="1">
        <w:r w:rsidRPr="003067BF">
          <w:rPr>
            <w:rFonts w:ascii="Calibri" w:eastAsia="Times New Roman" w:hAnsi="Calibri" w:cs="Calibri"/>
            <w:color w:val="0000FF"/>
            <w:kern w:val="0"/>
            <w:sz w:val="27"/>
            <w:szCs w:val="27"/>
            <w:u w:val="single"/>
            <w:lang w:eastAsia="pt-BR"/>
            <w14:ligatures w14:val="none"/>
          </w:rPr>
          <w:t>Art. 23, I e II, do Decreto nº 11.246, de 2022</w:t>
        </w:r>
      </w:hyperlink>
      <w:r w:rsidRPr="003067BF">
        <w:rPr>
          <w:rFonts w:ascii="Calibri" w:eastAsia="Times New Roman" w:hAnsi="Calibri" w:cs="Calibri"/>
          <w:color w:val="000000"/>
          <w:kern w:val="0"/>
          <w:sz w:val="27"/>
          <w:szCs w:val="27"/>
          <w:lang w:eastAsia="pt-BR"/>
          <w14:ligatures w14:val="none"/>
        </w:rPr>
        <w:t>).</w:t>
      </w:r>
    </w:p>
    <w:p w14:paraId="7CA63AA9"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6.8.1. Caso ocorram descumprimento das obrigações contratuais, o fiscal administrativo do contrato atuará tempestivamente na solução do problema, reportando ao gestor do contrato para que tome as providências cabíveis, quando ultrapassar a sua competência; (</w:t>
      </w:r>
      <w:hyperlink r:id="rId14" w:anchor="art23" w:history="1">
        <w:r w:rsidRPr="003067BF">
          <w:rPr>
            <w:rFonts w:ascii="Calibri" w:eastAsia="Times New Roman" w:hAnsi="Calibri" w:cs="Calibri"/>
            <w:color w:val="0000FF"/>
            <w:kern w:val="0"/>
            <w:sz w:val="27"/>
            <w:szCs w:val="27"/>
            <w:u w:val="single"/>
            <w:lang w:eastAsia="pt-BR"/>
            <w14:ligatures w14:val="none"/>
          </w:rPr>
          <w:t>Decreto nº 11.246, de 2022, art. 23, IV</w:t>
        </w:r>
      </w:hyperlink>
      <w:r w:rsidRPr="003067BF">
        <w:rPr>
          <w:rFonts w:ascii="Calibri" w:eastAsia="Times New Roman" w:hAnsi="Calibri" w:cs="Calibri"/>
          <w:color w:val="000000"/>
          <w:kern w:val="0"/>
          <w:sz w:val="27"/>
          <w:szCs w:val="27"/>
          <w:lang w:eastAsia="pt-BR"/>
          <w14:ligatures w14:val="none"/>
        </w:rPr>
        <w:t>).</w:t>
      </w:r>
    </w:p>
    <w:p w14:paraId="1025657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3067BF">
        <w:rPr>
          <w:rFonts w:ascii="Calibri" w:eastAsia="Times New Roman" w:hAnsi="Calibri" w:cs="Calibri"/>
          <w:color w:val="000000"/>
          <w:kern w:val="0"/>
          <w:sz w:val="27"/>
          <w:szCs w:val="27"/>
          <w:lang w:eastAsia="pt-BR"/>
          <w14:ligatures w14:val="none"/>
        </w:rPr>
        <w:lastRenderedPageBreak/>
        <w:t>necessidade de adequações do contrato para fins de atendimento da finalidade da administração. (</w:t>
      </w:r>
      <w:hyperlink r:id="rId15" w:anchor="art21" w:history="1">
        <w:r w:rsidRPr="003067BF">
          <w:rPr>
            <w:rFonts w:ascii="Calibri" w:eastAsia="Times New Roman" w:hAnsi="Calibri" w:cs="Calibri"/>
            <w:color w:val="0000FF"/>
            <w:kern w:val="0"/>
            <w:sz w:val="27"/>
            <w:szCs w:val="27"/>
            <w:u w:val="single"/>
            <w:lang w:eastAsia="pt-BR"/>
            <w14:ligatures w14:val="none"/>
          </w:rPr>
          <w:t>Decreto nº 11.246, de 2022, art. 21, IV</w:t>
        </w:r>
      </w:hyperlink>
      <w:r w:rsidRPr="003067BF">
        <w:rPr>
          <w:rFonts w:ascii="Calibri" w:eastAsia="Times New Roman" w:hAnsi="Calibri" w:cs="Calibri"/>
          <w:color w:val="000000"/>
          <w:kern w:val="0"/>
          <w:sz w:val="27"/>
          <w:szCs w:val="27"/>
          <w:lang w:eastAsia="pt-BR"/>
          <w14:ligatures w14:val="none"/>
        </w:rPr>
        <w:t>).</w:t>
      </w:r>
    </w:p>
    <w:p w14:paraId="05B1B09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6.9.1. 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16" w:anchor="art21" w:history="1">
        <w:r w:rsidRPr="003067BF">
          <w:rPr>
            <w:rFonts w:ascii="Calibri" w:eastAsia="Times New Roman" w:hAnsi="Calibri" w:cs="Calibri"/>
            <w:color w:val="0000FF"/>
            <w:kern w:val="0"/>
            <w:sz w:val="27"/>
            <w:szCs w:val="27"/>
            <w:u w:val="single"/>
            <w:lang w:eastAsia="pt-BR"/>
            <w14:ligatures w14:val="none"/>
          </w:rPr>
          <w:t>Decreto nº 11.246, de 2022, art. 21, III</w:t>
        </w:r>
      </w:hyperlink>
      <w:r w:rsidRPr="003067BF">
        <w:rPr>
          <w:rFonts w:ascii="Calibri" w:eastAsia="Times New Roman" w:hAnsi="Calibri" w:cs="Calibri"/>
          <w:color w:val="000000"/>
          <w:kern w:val="0"/>
          <w:sz w:val="27"/>
          <w:szCs w:val="27"/>
          <w:lang w:eastAsia="pt-BR"/>
          <w14:ligatures w14:val="none"/>
        </w:rPr>
        <w:t>).</w:t>
      </w:r>
    </w:p>
    <w:p w14:paraId="0CD05318"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6.9.2. 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17" w:anchor="art21" w:history="1">
        <w:r w:rsidRPr="003067BF">
          <w:rPr>
            <w:rFonts w:ascii="Calibri" w:eastAsia="Times New Roman" w:hAnsi="Calibri" w:cs="Calibri"/>
            <w:color w:val="0000FF"/>
            <w:kern w:val="0"/>
            <w:sz w:val="27"/>
            <w:szCs w:val="27"/>
            <w:u w:val="single"/>
            <w:lang w:eastAsia="pt-BR"/>
            <w14:ligatures w14:val="none"/>
          </w:rPr>
          <w:t>Decreto nº 11.246, de 2022, art. 21, II</w:t>
        </w:r>
      </w:hyperlink>
      <w:r w:rsidRPr="003067BF">
        <w:rPr>
          <w:rFonts w:ascii="Calibri" w:eastAsia="Times New Roman" w:hAnsi="Calibri" w:cs="Calibri"/>
          <w:color w:val="000000"/>
          <w:kern w:val="0"/>
          <w:sz w:val="27"/>
          <w:szCs w:val="27"/>
          <w:lang w:eastAsia="pt-BR"/>
          <w14:ligatures w14:val="none"/>
        </w:rPr>
        <w:t>).</w:t>
      </w:r>
    </w:p>
    <w:p w14:paraId="2F10891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8" w:anchor="art21" w:history="1">
        <w:r w:rsidRPr="003067BF">
          <w:rPr>
            <w:rFonts w:ascii="Calibri" w:eastAsia="Times New Roman" w:hAnsi="Calibri" w:cs="Calibri"/>
            <w:color w:val="0000FF"/>
            <w:kern w:val="0"/>
            <w:sz w:val="27"/>
            <w:szCs w:val="27"/>
            <w:u w:val="single"/>
            <w:lang w:eastAsia="pt-BR"/>
            <w14:ligatures w14:val="none"/>
          </w:rPr>
          <w:t>Decreto nº 11.246, de 2022, art. 21, VIII</w:t>
        </w:r>
      </w:hyperlink>
      <w:r w:rsidRPr="003067BF">
        <w:rPr>
          <w:rFonts w:ascii="Calibri" w:eastAsia="Times New Roman" w:hAnsi="Calibri" w:cs="Calibri"/>
          <w:color w:val="000000"/>
          <w:kern w:val="0"/>
          <w:sz w:val="27"/>
          <w:szCs w:val="27"/>
          <w:lang w:eastAsia="pt-BR"/>
          <w14:ligatures w14:val="none"/>
        </w:rPr>
        <w:t>).</w:t>
      </w:r>
    </w:p>
    <w:p w14:paraId="2867711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19" w:anchor="art21" w:history="1">
        <w:r w:rsidRPr="003067BF">
          <w:rPr>
            <w:rFonts w:ascii="Calibri" w:eastAsia="Times New Roman" w:hAnsi="Calibri" w:cs="Calibri"/>
            <w:color w:val="0000FF"/>
            <w:kern w:val="0"/>
            <w:sz w:val="27"/>
            <w:szCs w:val="27"/>
            <w:u w:val="single"/>
            <w:lang w:eastAsia="pt-BR"/>
            <w14:ligatures w14:val="none"/>
          </w:rPr>
          <w:t>Decreto nº 11.246, de 2022, art. 21, X</w:t>
        </w:r>
      </w:hyperlink>
      <w:r w:rsidRPr="003067BF">
        <w:rPr>
          <w:rFonts w:ascii="Calibri" w:eastAsia="Times New Roman" w:hAnsi="Calibri" w:cs="Calibri"/>
          <w:color w:val="000000"/>
          <w:kern w:val="0"/>
          <w:sz w:val="27"/>
          <w:szCs w:val="27"/>
          <w:lang w:eastAsia="pt-BR"/>
          <w14:ligatures w14:val="none"/>
        </w:rPr>
        <w:t>).</w:t>
      </w:r>
    </w:p>
    <w:p w14:paraId="2369B135"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6.10. O fiscal administrativo do contrato comunicará ao gestor do contrato, em tempo hábil, o término do contrato sob sua responsabilidade, com vistas à tempestiva renovação ou prorrogação contratual. (</w:t>
      </w:r>
      <w:hyperlink r:id="rId20" w:anchor="art22" w:history="1">
        <w:r w:rsidRPr="003067BF">
          <w:rPr>
            <w:rFonts w:ascii="Calibri" w:eastAsia="Times New Roman" w:hAnsi="Calibri" w:cs="Calibri"/>
            <w:color w:val="0000FF"/>
            <w:kern w:val="0"/>
            <w:sz w:val="27"/>
            <w:szCs w:val="27"/>
            <w:u w:val="single"/>
            <w:lang w:eastAsia="pt-BR"/>
            <w14:ligatures w14:val="none"/>
          </w:rPr>
          <w:t>Decreto nº 11.246, de 2022, art. 22, VII</w:t>
        </w:r>
      </w:hyperlink>
      <w:r w:rsidRPr="003067BF">
        <w:rPr>
          <w:rFonts w:ascii="Calibri" w:eastAsia="Times New Roman" w:hAnsi="Calibri" w:cs="Calibri"/>
          <w:color w:val="000000"/>
          <w:kern w:val="0"/>
          <w:sz w:val="27"/>
          <w:szCs w:val="27"/>
          <w:lang w:eastAsia="pt-BR"/>
          <w14:ligatures w14:val="none"/>
        </w:rPr>
        <w:t>).</w:t>
      </w:r>
    </w:p>
    <w:p w14:paraId="28C006C9"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6.11. O gestor do contrato deverá elaborará relatório final com informações sobre a consecução dos objetivos que tenham justificado a contratação e eventuais condutas a serem adotadas para o aprimoramento das atividades da Administração. (</w:t>
      </w:r>
      <w:hyperlink r:id="rId21" w:anchor="art21" w:history="1">
        <w:r w:rsidRPr="003067BF">
          <w:rPr>
            <w:rFonts w:ascii="Calibri" w:eastAsia="Times New Roman" w:hAnsi="Calibri" w:cs="Calibri"/>
            <w:color w:val="0000FF"/>
            <w:kern w:val="0"/>
            <w:sz w:val="27"/>
            <w:szCs w:val="27"/>
            <w:u w:val="single"/>
            <w:lang w:eastAsia="pt-BR"/>
            <w14:ligatures w14:val="none"/>
          </w:rPr>
          <w:t>Decreto nº 11.246, de 2022, art. 21, VI</w:t>
        </w:r>
      </w:hyperlink>
      <w:r w:rsidRPr="003067BF">
        <w:rPr>
          <w:rFonts w:ascii="Calibri" w:eastAsia="Times New Roman" w:hAnsi="Calibri" w:cs="Calibri"/>
          <w:color w:val="000000"/>
          <w:kern w:val="0"/>
          <w:sz w:val="27"/>
          <w:szCs w:val="27"/>
          <w:lang w:eastAsia="pt-BR"/>
          <w14:ligatures w14:val="none"/>
        </w:rPr>
        <w:t>).</w:t>
      </w:r>
    </w:p>
    <w:p w14:paraId="69D1204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16CFA2F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7. CRITÉRIOS DE MEDIÇÃO E DE PAGAMENTO</w:t>
      </w:r>
    </w:p>
    <w:p w14:paraId="36AC153B"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Recebimento do Objeto</w:t>
      </w:r>
    </w:p>
    <w:p w14:paraId="02B74C0F"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xml:space="preserve">7.1. Os serviços serão recebidos provisoriamente, de forma sumária, no ato da entrega, juntamente com a nota fiscal ou instrumento de cobrança equivalente, pelo(a) responsável pelo acompanhamento e </w:t>
      </w:r>
      <w:r w:rsidRPr="003067BF">
        <w:rPr>
          <w:rFonts w:ascii="Calibri" w:eastAsia="Times New Roman" w:hAnsi="Calibri" w:cs="Calibri"/>
          <w:color w:val="000000"/>
          <w:kern w:val="0"/>
          <w:sz w:val="27"/>
          <w:szCs w:val="27"/>
          <w:lang w:eastAsia="pt-BR"/>
          <w14:ligatures w14:val="none"/>
        </w:rPr>
        <w:lastRenderedPageBreak/>
        <w:t>fiscalização do contrato, para efeito de posterior verificação de sua conformidade com as especificações constantes no Termo de Referência e na proposta.</w:t>
      </w:r>
    </w:p>
    <w:p w14:paraId="4CED83D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7.2. Os serviços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4EE77EE9"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7.3. O recebimento definitivo ocorrerá no prazo de </w:t>
      </w:r>
      <w:r w:rsidRPr="003067BF">
        <w:rPr>
          <w:rFonts w:ascii="Calibri" w:eastAsia="Times New Roman" w:hAnsi="Calibri" w:cs="Calibri"/>
          <w:color w:val="0000CD"/>
          <w:kern w:val="0"/>
          <w:sz w:val="27"/>
          <w:szCs w:val="27"/>
          <w:lang w:eastAsia="pt-BR"/>
          <w14:ligatures w14:val="none"/>
        </w:rPr>
        <w:t>10 (dez) dias úteis,</w:t>
      </w:r>
      <w:r w:rsidRPr="003067BF">
        <w:rPr>
          <w:rFonts w:ascii="Calibri" w:eastAsia="Times New Roman" w:hAnsi="Calibri" w:cs="Calibri"/>
          <w:color w:val="000000"/>
          <w:kern w:val="0"/>
          <w:sz w:val="27"/>
          <w:szCs w:val="27"/>
          <w:lang w:eastAsia="pt-BR"/>
          <w14:ligatures w14:val="none"/>
        </w:rPr>
        <w:t> a contar do recebimento da nota fiscal ou instrumento de cobrança equivalente pela Administração, após a verificação da qualidade e quantidade do material e consequente aceitação mediante termo detalhado.</w:t>
      </w:r>
    </w:p>
    <w:p w14:paraId="21FC9D25"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7.4 Para as contratações decorrentes de despesas cujos valores não ultrapassem o limite de que trata o </w:t>
      </w:r>
      <w:hyperlink r:id="rId22" w:anchor="art75" w:history="1">
        <w:r w:rsidRPr="003067BF">
          <w:rPr>
            <w:rFonts w:ascii="Calibri" w:eastAsia="Times New Roman" w:hAnsi="Calibri" w:cs="Calibri"/>
            <w:color w:val="0000FF"/>
            <w:kern w:val="0"/>
            <w:sz w:val="27"/>
            <w:szCs w:val="27"/>
            <w:u w:val="single"/>
            <w:lang w:eastAsia="pt-BR"/>
            <w14:ligatures w14:val="none"/>
          </w:rPr>
          <w:t>inciso II do art. 75 da Lei nº 14.133, de 2021</w:t>
        </w:r>
      </w:hyperlink>
      <w:r w:rsidRPr="003067BF">
        <w:rPr>
          <w:rFonts w:ascii="Calibri" w:eastAsia="Times New Roman" w:hAnsi="Calibri" w:cs="Calibri"/>
          <w:color w:val="000000"/>
          <w:kern w:val="0"/>
          <w:sz w:val="27"/>
          <w:szCs w:val="27"/>
          <w:lang w:eastAsia="pt-BR"/>
          <w14:ligatures w14:val="none"/>
        </w:rPr>
        <w:t>, o prazo máximo para o recebimento definitivo será de até 10 (dez) dias úteis.</w:t>
      </w:r>
    </w:p>
    <w:p w14:paraId="73254884"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7.5. O prazo para recebimento definitivo poderá ser excepcionalmente prorrogado, de forma justificada, por igual período, quando houver necessidade de diligências para a aferição do atendimento das exigências contratuais.</w:t>
      </w:r>
    </w:p>
    <w:p w14:paraId="785BD301"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7.6. No caso de controvérsia sobre a execução do objeto, quanto à dimensão, qualidade e quantidade, deverá ser observado o teor do </w:t>
      </w:r>
      <w:hyperlink r:id="rId23" w:anchor="art143" w:history="1">
        <w:r w:rsidRPr="003067BF">
          <w:rPr>
            <w:rFonts w:ascii="Calibri" w:eastAsia="Times New Roman" w:hAnsi="Calibri" w:cs="Calibri"/>
            <w:color w:val="0000FF"/>
            <w:kern w:val="0"/>
            <w:sz w:val="27"/>
            <w:szCs w:val="27"/>
            <w:u w:val="single"/>
            <w:lang w:eastAsia="pt-BR"/>
            <w14:ligatures w14:val="none"/>
          </w:rPr>
          <w:t>art. 143 da Lei nº 14.133, de 2021</w:t>
        </w:r>
      </w:hyperlink>
      <w:r w:rsidRPr="003067BF">
        <w:rPr>
          <w:rFonts w:ascii="Calibri" w:eastAsia="Times New Roman" w:hAnsi="Calibri" w:cs="Calibri"/>
          <w:color w:val="000000"/>
          <w:kern w:val="0"/>
          <w:sz w:val="27"/>
          <w:szCs w:val="27"/>
          <w:lang w:eastAsia="pt-BR"/>
          <w14:ligatures w14:val="none"/>
        </w:rPr>
        <w:t xml:space="preserve">, comunicando-se à empresa para emissão de Nota Fiscal no que </w:t>
      </w:r>
      <w:proofErr w:type="spellStart"/>
      <w:r w:rsidRPr="003067BF">
        <w:rPr>
          <w:rFonts w:ascii="Calibri" w:eastAsia="Times New Roman" w:hAnsi="Calibri" w:cs="Calibri"/>
          <w:color w:val="000000"/>
          <w:kern w:val="0"/>
          <w:sz w:val="27"/>
          <w:szCs w:val="27"/>
          <w:lang w:eastAsia="pt-BR"/>
          <w14:ligatures w14:val="none"/>
        </w:rPr>
        <w:t>pertine</w:t>
      </w:r>
      <w:proofErr w:type="spellEnd"/>
      <w:r w:rsidRPr="003067BF">
        <w:rPr>
          <w:rFonts w:ascii="Calibri" w:eastAsia="Times New Roman" w:hAnsi="Calibri" w:cs="Calibri"/>
          <w:color w:val="000000"/>
          <w:kern w:val="0"/>
          <w:sz w:val="27"/>
          <w:szCs w:val="27"/>
          <w:lang w:eastAsia="pt-BR"/>
          <w14:ligatures w14:val="none"/>
        </w:rPr>
        <w:t xml:space="preserve"> à parcela incontroversa da execução do objeto, para efeito de liquidação e pagamento.</w:t>
      </w:r>
    </w:p>
    <w:p w14:paraId="75BAD2A8"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B307CA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7.8 O recebimento provisório ou definitivo não excluirá a responsabilidade civil pela solidez e pela segurança do serviço nem a responsabilidade ético-profissional pela perfeita execução do contrato.</w:t>
      </w:r>
    </w:p>
    <w:p w14:paraId="2E2A013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Liquidação</w:t>
      </w:r>
    </w:p>
    <w:p w14:paraId="1C7E1EF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xml:space="preserve">7.9. Recebida a Nota Fiscal ou documento de cobrança equivalente, correrá o prazo de dez dias úteis para fins de liquidação, na </w:t>
      </w:r>
      <w:r w:rsidRPr="003067BF">
        <w:rPr>
          <w:rFonts w:ascii="Calibri" w:eastAsia="Times New Roman" w:hAnsi="Calibri" w:cs="Calibri"/>
          <w:color w:val="000000"/>
          <w:kern w:val="0"/>
          <w:sz w:val="27"/>
          <w:szCs w:val="27"/>
          <w:lang w:eastAsia="pt-BR"/>
          <w14:ligatures w14:val="none"/>
        </w:rPr>
        <w:lastRenderedPageBreak/>
        <w:t>forma desta seção, prorrogáveis por igual período, nos termos do </w:t>
      </w:r>
      <w:hyperlink r:id="rId24" w:anchor="art7%C2%A72" w:history="1">
        <w:r w:rsidRPr="003067BF">
          <w:rPr>
            <w:rFonts w:ascii="Calibri" w:eastAsia="Times New Roman" w:hAnsi="Calibri" w:cs="Calibri"/>
            <w:color w:val="0000FF"/>
            <w:kern w:val="0"/>
            <w:sz w:val="27"/>
            <w:szCs w:val="27"/>
            <w:u w:val="single"/>
            <w:lang w:eastAsia="pt-BR"/>
            <w14:ligatures w14:val="none"/>
          </w:rPr>
          <w:t>art. 7º, §2º da Instrução Normativa SEGES/ME nº 77/2022</w:t>
        </w:r>
      </w:hyperlink>
      <w:r w:rsidRPr="003067BF">
        <w:rPr>
          <w:rFonts w:ascii="Calibri" w:eastAsia="Times New Roman" w:hAnsi="Calibri" w:cs="Calibri"/>
          <w:color w:val="000000"/>
          <w:kern w:val="0"/>
          <w:sz w:val="27"/>
          <w:szCs w:val="27"/>
          <w:lang w:eastAsia="pt-BR"/>
          <w14:ligatures w14:val="none"/>
        </w:rPr>
        <w:t>.</w:t>
      </w:r>
    </w:p>
    <w:p w14:paraId="2D77684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7.9.1. O prazo de que trata o item anterior será reduzido à metade, mantendo-se a possibilidade de prorrogação, no caso de contratações decorrentes de despesas cujos valores não ultrapassem o limite de que trata o </w:t>
      </w:r>
      <w:hyperlink r:id="rId25" w:anchor="art75" w:history="1">
        <w:r w:rsidRPr="003067BF">
          <w:rPr>
            <w:rFonts w:ascii="Calibri" w:eastAsia="Times New Roman" w:hAnsi="Calibri" w:cs="Calibri"/>
            <w:color w:val="0000FF"/>
            <w:kern w:val="0"/>
            <w:sz w:val="27"/>
            <w:szCs w:val="27"/>
            <w:u w:val="single"/>
            <w:lang w:eastAsia="pt-BR"/>
            <w14:ligatures w14:val="none"/>
          </w:rPr>
          <w:t>inciso II do art. 75 da Lei nº 14.133, de 2021</w:t>
        </w:r>
      </w:hyperlink>
      <w:r w:rsidRPr="003067BF">
        <w:rPr>
          <w:rFonts w:ascii="Calibri" w:eastAsia="Times New Roman" w:hAnsi="Calibri" w:cs="Calibri"/>
          <w:color w:val="000000"/>
          <w:kern w:val="0"/>
          <w:sz w:val="27"/>
          <w:szCs w:val="27"/>
          <w:lang w:eastAsia="pt-BR"/>
          <w14:ligatures w14:val="none"/>
        </w:rPr>
        <w:t>.</w:t>
      </w:r>
    </w:p>
    <w:p w14:paraId="58E7AD74"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7.10. Para fins de liquidação, o setor competente deverá verificar se a nota fiscal ou instrumento de cobrança equivalente apresentado expressa os elementos necessários e essenciais do documento, tais como:</w:t>
      </w:r>
    </w:p>
    <w:p w14:paraId="4AF6102F"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a) o prazo de validade;</w:t>
      </w:r>
    </w:p>
    <w:p w14:paraId="5CD7BB21"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b) a data da emissão;</w:t>
      </w:r>
    </w:p>
    <w:p w14:paraId="5B32DBF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c) os dados do contrato e do órgão contratante;</w:t>
      </w:r>
    </w:p>
    <w:p w14:paraId="492CAF8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d) o período respectivo de execução do contrato;</w:t>
      </w:r>
    </w:p>
    <w:p w14:paraId="5256950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e) o valor a pagar; e</w:t>
      </w:r>
    </w:p>
    <w:p w14:paraId="5E9EFB5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f) eventual destaque do valor de retenções tributárias cabíveis.</w:t>
      </w:r>
    </w:p>
    <w:p w14:paraId="141DFAE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D2E1FE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7.12. A nota fiscal ou instrumento de cobrança equivalente deverá ser obrigatoriamente acompanhado da comprovação da regularidade fiscal, constatada por meio de consulta </w:t>
      </w:r>
      <w:r w:rsidRPr="003067BF">
        <w:rPr>
          <w:rFonts w:ascii="Calibri" w:eastAsia="Times New Roman" w:hAnsi="Calibri" w:cs="Calibri"/>
          <w:i/>
          <w:iCs/>
          <w:color w:val="000000"/>
          <w:kern w:val="0"/>
          <w:sz w:val="27"/>
          <w:szCs w:val="27"/>
          <w:lang w:eastAsia="pt-BR"/>
          <w14:ligatures w14:val="none"/>
        </w:rPr>
        <w:t>on-line</w:t>
      </w:r>
      <w:r w:rsidRPr="003067BF">
        <w:rPr>
          <w:rFonts w:ascii="Calibri" w:eastAsia="Times New Roman" w:hAnsi="Calibri" w:cs="Calibri"/>
          <w:color w:val="000000"/>
          <w:kern w:val="0"/>
          <w:sz w:val="27"/>
          <w:szCs w:val="27"/>
          <w:lang w:eastAsia="pt-BR"/>
          <w14:ligatures w14:val="none"/>
        </w:rPr>
        <w:t> ao SICAF ou, na impossibilidade de acesso ao referido Sistema, mediante consulta aos sítios eletrônicos oficiais ou à documentação mencionada no </w:t>
      </w:r>
      <w:hyperlink r:id="rId26" w:anchor="art68" w:history="1">
        <w:r w:rsidRPr="003067BF">
          <w:rPr>
            <w:rFonts w:ascii="Calibri" w:eastAsia="Times New Roman" w:hAnsi="Calibri" w:cs="Calibri"/>
            <w:color w:val="0000FF"/>
            <w:kern w:val="0"/>
            <w:sz w:val="27"/>
            <w:szCs w:val="27"/>
            <w:u w:val="single"/>
            <w:lang w:eastAsia="pt-BR"/>
            <w14:ligatures w14:val="none"/>
          </w:rPr>
          <w:t>art. 68 da Lei nº 14.133, de 2021.  </w:t>
        </w:r>
      </w:hyperlink>
      <w:r w:rsidRPr="003067BF">
        <w:rPr>
          <w:rFonts w:ascii="Calibri" w:eastAsia="Times New Roman" w:hAnsi="Calibri" w:cs="Calibri"/>
          <w:color w:val="000000"/>
          <w:kern w:val="0"/>
          <w:sz w:val="27"/>
          <w:szCs w:val="27"/>
          <w:lang w:eastAsia="pt-BR"/>
          <w14:ligatures w14:val="none"/>
        </w:rPr>
        <w:t> </w:t>
      </w:r>
    </w:p>
    <w:p w14:paraId="4D8B4B38"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7.13.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3D17CCE"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ADE665"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lastRenderedPageBreak/>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86C786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7.16. Persistindo a irregularidade, o contratante deverá adotar as medidas necessárias à rescisão contratual nos autos do processo administrativo correspondente, assegurada ao contratado a ampla defesa.</w:t>
      </w:r>
    </w:p>
    <w:p w14:paraId="1453B461"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7.17. Havendo a efetiva execução do objeto, os pagamentos serão realizados normalmente, até que se decida pela rescisão do contrato, caso o contratado não regularize sua situação junto ao SICAF. </w:t>
      </w:r>
    </w:p>
    <w:p w14:paraId="6A3BA01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0C7A5F31"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Prazo de pagamento</w:t>
      </w:r>
    </w:p>
    <w:p w14:paraId="4DA2886E"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7.18. O pagamento será efetuado no prazo de até 10 (dez) dias úteis contados da finalização da liquidação da despesa, conforme seção anterior, nos termos da </w:t>
      </w:r>
      <w:hyperlink r:id="rId27" w:history="1">
        <w:r w:rsidRPr="003067BF">
          <w:rPr>
            <w:rFonts w:ascii="Calibri" w:eastAsia="Times New Roman" w:hAnsi="Calibri" w:cs="Calibri"/>
            <w:color w:val="0000FF"/>
            <w:kern w:val="0"/>
            <w:sz w:val="27"/>
            <w:szCs w:val="27"/>
            <w:u w:val="single"/>
            <w:lang w:eastAsia="pt-BR"/>
            <w14:ligatures w14:val="none"/>
          </w:rPr>
          <w:t>Instrução Normativa SEGES/ME nº 77, de 2022</w:t>
        </w:r>
      </w:hyperlink>
      <w:r w:rsidRPr="003067BF">
        <w:rPr>
          <w:rFonts w:ascii="Calibri" w:eastAsia="Times New Roman" w:hAnsi="Calibri" w:cs="Calibri"/>
          <w:color w:val="000000"/>
          <w:kern w:val="0"/>
          <w:sz w:val="27"/>
          <w:szCs w:val="27"/>
          <w:lang w:eastAsia="pt-BR"/>
          <w14:ligatures w14:val="none"/>
        </w:rPr>
        <w:t>.</w:t>
      </w:r>
    </w:p>
    <w:p w14:paraId="6F58D58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7.19. No caso de atraso pelo Contratante, os valores devidos ao contratado serão atualizados monetariamente entre o termo final do prazo de pagamento até a data de sua efetiva realização, mediante aplicação do índice </w:t>
      </w:r>
      <w:r w:rsidRPr="003067BF">
        <w:rPr>
          <w:rFonts w:ascii="Calibri" w:eastAsia="Times New Roman" w:hAnsi="Calibri" w:cs="Calibri"/>
          <w:i/>
          <w:iCs/>
          <w:color w:val="000000"/>
          <w:kern w:val="0"/>
          <w:sz w:val="27"/>
          <w:szCs w:val="27"/>
          <w:lang w:eastAsia="pt-BR"/>
          <w14:ligatures w14:val="none"/>
        </w:rPr>
        <w:t>XXXX</w:t>
      </w:r>
      <w:r w:rsidRPr="003067BF">
        <w:rPr>
          <w:rFonts w:ascii="Calibri" w:eastAsia="Times New Roman" w:hAnsi="Calibri" w:cs="Calibri"/>
          <w:color w:val="000000"/>
          <w:kern w:val="0"/>
          <w:sz w:val="27"/>
          <w:szCs w:val="27"/>
          <w:lang w:eastAsia="pt-BR"/>
          <w14:ligatures w14:val="none"/>
        </w:rPr>
        <w:t> de correção monetária.</w:t>
      </w:r>
    </w:p>
    <w:p w14:paraId="3E056A2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70C60B3E"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Forma de pagamento</w:t>
      </w:r>
    </w:p>
    <w:p w14:paraId="78AA48C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37B5D81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7.20. O pagamento será realizado por meio de ordem bancária, para crédito em banco, agência e conta corrente indicados pelo contratado.</w:t>
      </w:r>
    </w:p>
    <w:p w14:paraId="562F212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7.21. Será considerada data do pagamento o dia em que constar como emitida a ordem bancária para pagamento.</w:t>
      </w:r>
    </w:p>
    <w:p w14:paraId="69179D3F"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7.22. Quando do pagamento, será efetuada a retenção tributária prevista na legislação aplicável.</w:t>
      </w:r>
    </w:p>
    <w:p w14:paraId="49F8700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7.22.1. Independentemente do percentual de tributo inserido na planilha, quando houver, serão retidos na fonte, quando da realização do pagamento, os percentuais estabelecidos na legislação vigente.</w:t>
      </w:r>
    </w:p>
    <w:p w14:paraId="5AEF675B"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7.23. O contratado regularmente optante pelo Simples Nacional, nos termos da </w:t>
      </w:r>
      <w:hyperlink r:id="rId28" w:history="1">
        <w:r w:rsidRPr="003067BF">
          <w:rPr>
            <w:rFonts w:ascii="Calibri" w:eastAsia="Times New Roman" w:hAnsi="Calibri" w:cs="Calibri"/>
            <w:color w:val="0000FF"/>
            <w:kern w:val="0"/>
            <w:sz w:val="27"/>
            <w:szCs w:val="27"/>
            <w:u w:val="single"/>
            <w:lang w:eastAsia="pt-BR"/>
            <w14:ligatures w14:val="none"/>
          </w:rPr>
          <w:t>Lei Complementar nº 123, de 2006</w:t>
        </w:r>
      </w:hyperlink>
      <w:r w:rsidRPr="003067BF">
        <w:rPr>
          <w:rFonts w:ascii="Calibri" w:eastAsia="Times New Roman" w:hAnsi="Calibri" w:cs="Calibri"/>
          <w:color w:val="000000"/>
          <w:kern w:val="0"/>
          <w:sz w:val="27"/>
          <w:szCs w:val="27"/>
          <w:lang w:eastAsia="pt-BR"/>
          <w14:ligatures w14:val="none"/>
        </w:rPr>
        <w:t xml:space="preserve">, não sofrerá a retenção tributária quanto aos impostos e contribuições abrangidos por aquele regime. No entanto, o pagamento ficará condicionado à </w:t>
      </w:r>
      <w:r w:rsidRPr="003067BF">
        <w:rPr>
          <w:rFonts w:ascii="Calibri" w:eastAsia="Times New Roman" w:hAnsi="Calibri" w:cs="Calibri"/>
          <w:color w:val="000000"/>
          <w:kern w:val="0"/>
          <w:sz w:val="27"/>
          <w:szCs w:val="27"/>
          <w:lang w:eastAsia="pt-BR"/>
          <w14:ligatures w14:val="none"/>
        </w:rPr>
        <w:lastRenderedPageBreak/>
        <w:t>apresentação de comprovação, por meio de documento oficial, de que faz jus ao tratamento tributário favorecido previsto na referida Lei Complementar.</w:t>
      </w:r>
    </w:p>
    <w:p w14:paraId="2D5CF69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626C9AE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Cessão de crédito</w:t>
      </w:r>
    </w:p>
    <w:p w14:paraId="7B7E810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3F28DAD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7.33. É admitida a cessão fiduciária de direitos creditícios com instituição financeira, nos termos e de acordo com os procedimentos previstos na </w:t>
      </w:r>
      <w:hyperlink r:id="rId29" w:history="1">
        <w:r w:rsidRPr="003067BF">
          <w:rPr>
            <w:rFonts w:ascii="Calibri" w:eastAsia="Times New Roman" w:hAnsi="Calibri" w:cs="Calibri"/>
            <w:color w:val="0000FF"/>
            <w:kern w:val="0"/>
            <w:sz w:val="27"/>
            <w:szCs w:val="27"/>
            <w:u w:val="single"/>
            <w:lang w:eastAsia="pt-BR"/>
            <w14:ligatures w14:val="none"/>
          </w:rPr>
          <w:t>Instrução Normativa SEGES/ME nº 53, de 8 de Julho de 2020</w:t>
        </w:r>
      </w:hyperlink>
      <w:r w:rsidRPr="003067BF">
        <w:rPr>
          <w:rFonts w:ascii="Calibri" w:eastAsia="Times New Roman" w:hAnsi="Calibri" w:cs="Calibri"/>
          <w:color w:val="000000"/>
          <w:kern w:val="0"/>
          <w:sz w:val="27"/>
          <w:szCs w:val="27"/>
          <w:lang w:eastAsia="pt-BR"/>
          <w14:ligatures w14:val="none"/>
        </w:rPr>
        <w:t>, conforme as regras deste presente tópico.</w:t>
      </w:r>
    </w:p>
    <w:p w14:paraId="1D600FC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bookmarkStart w:id="1" w:name="_Ref118216946"/>
      <w:bookmarkEnd w:id="1"/>
      <w:r w:rsidRPr="003067BF">
        <w:rPr>
          <w:rFonts w:ascii="Calibri" w:eastAsia="Times New Roman" w:hAnsi="Calibri" w:cs="Calibri"/>
          <w:color w:val="000000"/>
          <w:kern w:val="0"/>
          <w:sz w:val="27"/>
          <w:szCs w:val="27"/>
          <w:lang w:eastAsia="pt-BR"/>
          <w14:ligatures w14:val="none"/>
        </w:rPr>
        <w:t>7.33.1. As cessões de crédito não fiduciárias dependerão de prévia aprovação do contratante.</w:t>
      </w:r>
    </w:p>
    <w:p w14:paraId="094AC69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7.34. A eficácia da cessão de crédito, de qualquer natureza, em relação à Administração, está condicionada à celebração de termo aditivo ao contrato administrativo.</w:t>
      </w:r>
    </w:p>
    <w:p w14:paraId="14B1ABF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7.35.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0" w:anchor=":~:text=LEI%20N%C2%BA%208.429%2C%20DE%202%20DE%20JUNHO%20DE%201992&amp;text=Disp%C3%B5e%20sobre%20as%20san%C3%A7%C3%B5es%20aplic%C3%A1veis,fundacional%20e%20d%C3%A1%20outras%20provid%C3%AAncias." w:history="1">
        <w:r w:rsidRPr="003067BF">
          <w:rPr>
            <w:rFonts w:ascii="Calibri" w:eastAsia="Times New Roman" w:hAnsi="Calibri" w:cs="Calibri"/>
            <w:color w:val="0000FF"/>
            <w:kern w:val="0"/>
            <w:sz w:val="27"/>
            <w:szCs w:val="27"/>
            <w:u w:val="single"/>
            <w:lang w:eastAsia="pt-BR"/>
            <w14:ligatures w14:val="none"/>
          </w:rPr>
          <w:t>o art. 12 da Lei nº 8.429, de 1992</w:t>
        </w:r>
      </w:hyperlink>
      <w:r w:rsidRPr="003067BF">
        <w:rPr>
          <w:rFonts w:ascii="Calibri" w:eastAsia="Times New Roman" w:hAnsi="Calibri" w:cs="Calibri"/>
          <w:color w:val="000000"/>
          <w:kern w:val="0"/>
          <w:sz w:val="27"/>
          <w:szCs w:val="27"/>
          <w:lang w:eastAsia="pt-BR"/>
          <w14:ligatures w14:val="none"/>
        </w:rPr>
        <w:t>, tudo nos termos do </w:t>
      </w:r>
      <w:hyperlink r:id="rId31" w:history="1">
        <w:r w:rsidRPr="003067BF">
          <w:rPr>
            <w:rFonts w:ascii="Calibri" w:eastAsia="Times New Roman" w:hAnsi="Calibri" w:cs="Calibri"/>
            <w:color w:val="0000FF"/>
            <w:kern w:val="0"/>
            <w:sz w:val="27"/>
            <w:szCs w:val="27"/>
            <w:u w:val="single"/>
            <w:lang w:eastAsia="pt-BR"/>
            <w14:ligatures w14:val="none"/>
          </w:rPr>
          <w:t>Parecer JL-01, de 18 de maio de 2020.</w:t>
        </w:r>
      </w:hyperlink>
      <w:bookmarkStart w:id="2" w:name="_Hlk114498447"/>
      <w:bookmarkEnd w:id="2"/>
    </w:p>
    <w:p w14:paraId="7F1F923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7.36.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bookmarkStart w:id="3" w:name="_Hlk114498479"/>
      <w:bookmarkEnd w:id="3"/>
      <w:r w:rsidRPr="003067BF">
        <w:rPr>
          <w:rFonts w:ascii="Calibri" w:eastAsia="Times New Roman" w:hAnsi="Calibri" w:cs="Calibri"/>
          <w:color w:val="000000"/>
          <w:kern w:val="0"/>
          <w:sz w:val="27"/>
          <w:szCs w:val="27"/>
          <w:lang w:eastAsia="pt-BR"/>
          <w14:ligatures w14:val="none"/>
        </w:rPr>
        <w:t>.</w:t>
      </w:r>
    </w:p>
    <w:p w14:paraId="79389C7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7.37. A cessão de crédito não afetará a execução do objeto contratado, que continuará sob a integral responsabilidade do contratado.</w:t>
      </w:r>
    </w:p>
    <w:p w14:paraId="0BD6AD3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45C0BF5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8. FORMA E CRITÉRIOS DE SELEÇÃO DO FORNECEDOR</w:t>
      </w:r>
    </w:p>
    <w:p w14:paraId="0E78958B"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430DA66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lastRenderedPageBreak/>
        <w:t>Forma de seleção e critério de julgamento da proposta</w:t>
      </w:r>
    </w:p>
    <w:p w14:paraId="7DB66E86"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8.1. Previamente à celebração da formalização da contratação, a Administração verificará o eventual descumprimento das condições para contratação, especialmente quanto à existência de sanção que a impeça, mediante a consulta a cadastros informativos oficiais, tais como: </w:t>
      </w:r>
    </w:p>
    <w:p w14:paraId="5ABAFD18"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a) SICAF;</w:t>
      </w:r>
    </w:p>
    <w:p w14:paraId="528C69A5"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b) Cadastro Nacional de Empresas Inidôneas e Suspensas - CEIS, mantido pela Controladoria-Geral da União (</w:t>
      </w:r>
      <w:hyperlink r:id="rId32" w:history="1">
        <w:r w:rsidRPr="003067BF">
          <w:rPr>
            <w:rFonts w:ascii="Times New Roman" w:eastAsia="Times New Roman" w:hAnsi="Times New Roman" w:cs="Times New Roman"/>
            <w:i/>
            <w:iCs/>
            <w:kern w:val="0"/>
            <w:sz w:val="27"/>
            <w:szCs w:val="27"/>
            <w:lang w:eastAsia="pt-BR"/>
            <w14:ligatures w14:val="none"/>
          </w:rPr>
          <w:t>www.portaldatransparencia.gov.br/ceis</w:t>
        </w:r>
      </w:hyperlink>
      <w:r w:rsidRPr="003067BF">
        <w:rPr>
          <w:rFonts w:ascii="Times New Roman" w:eastAsia="Times New Roman" w:hAnsi="Times New Roman" w:cs="Times New Roman"/>
          <w:i/>
          <w:iCs/>
          <w:color w:val="000000"/>
          <w:kern w:val="0"/>
          <w:sz w:val="27"/>
          <w:szCs w:val="27"/>
          <w:lang w:eastAsia="pt-BR"/>
          <w14:ligatures w14:val="none"/>
        </w:rPr>
        <w:t>); </w:t>
      </w:r>
    </w:p>
    <w:p w14:paraId="6FBDB64E"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c) Cadastro Nacional de Empresas Punidas – CNEP, mantido pela Controladoria-Geral da União (</w:t>
      </w:r>
      <w:hyperlink r:id="rId33" w:history="1">
        <w:r w:rsidRPr="003067BF">
          <w:rPr>
            <w:rFonts w:ascii="Times New Roman" w:eastAsia="Times New Roman" w:hAnsi="Times New Roman" w:cs="Times New Roman"/>
            <w:i/>
            <w:iCs/>
            <w:kern w:val="0"/>
            <w:sz w:val="27"/>
            <w:szCs w:val="27"/>
            <w:lang w:eastAsia="pt-BR"/>
            <w14:ligatures w14:val="none"/>
          </w:rPr>
          <w:t>https://www.portaltransparencia.gov.br/sancoes/cnep</w:t>
        </w:r>
      </w:hyperlink>
      <w:r w:rsidRPr="003067BF">
        <w:rPr>
          <w:rFonts w:ascii="Times New Roman" w:eastAsia="Times New Roman" w:hAnsi="Times New Roman" w:cs="Times New Roman"/>
          <w:i/>
          <w:iCs/>
          <w:color w:val="000000"/>
          <w:kern w:val="0"/>
          <w:sz w:val="27"/>
          <w:szCs w:val="27"/>
          <w:lang w:eastAsia="pt-BR"/>
          <w14:ligatures w14:val="none"/>
        </w:rPr>
        <w:t>)</w:t>
      </w:r>
    </w:p>
    <w:p w14:paraId="5C07C698" w14:textId="77777777" w:rsidR="003067BF" w:rsidRPr="003067BF" w:rsidRDefault="003067BF" w:rsidP="003067BF">
      <w:pPr>
        <w:spacing w:after="0"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 </w:t>
      </w:r>
    </w:p>
    <w:p w14:paraId="315AA397"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 xml:space="preserve">8.2. A consulta aos cadastros será realizada em nome da empresa fornecedora </w:t>
      </w:r>
      <w:proofErr w:type="gramStart"/>
      <w:r w:rsidRPr="003067BF">
        <w:rPr>
          <w:rFonts w:ascii="Times New Roman" w:eastAsia="Times New Roman" w:hAnsi="Times New Roman" w:cs="Times New Roman"/>
          <w:i/>
          <w:iCs/>
          <w:color w:val="000000"/>
          <w:kern w:val="0"/>
          <w:sz w:val="27"/>
          <w:szCs w:val="27"/>
          <w:lang w:eastAsia="pt-BR"/>
          <w14:ligatures w14:val="none"/>
        </w:rPr>
        <w:t>e também</w:t>
      </w:r>
      <w:proofErr w:type="gramEnd"/>
      <w:r w:rsidRPr="003067BF">
        <w:rPr>
          <w:rFonts w:ascii="Times New Roman" w:eastAsia="Times New Roman" w:hAnsi="Times New Roman" w:cs="Times New Roman"/>
          <w:i/>
          <w:iCs/>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D42A0AF"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8.3. Caso conste na Consulta de Situação do Fornecedor a existência de Ocorrências Impeditivas Indiretas, o gestor diligenciará para verificar se houve fraude por parte das empresas apontadas no Relatório de Ocorrências Impeditivas Indiretas.</w:t>
      </w:r>
    </w:p>
    <w:p w14:paraId="001B48B2"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8.4. O fornecedor será convocado para manifestação previamente a uma eventual negativa de contratação.</w:t>
      </w:r>
    </w:p>
    <w:p w14:paraId="31C09687"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8.5. Caso atendidas as condições para contratação, a habilitação do fornecedor será verificada por meio do SICAF, nos documentos por ele abrangidos.</w:t>
      </w:r>
    </w:p>
    <w:p w14:paraId="445B85EC"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8.6. Não serão aceitos documentos de habilitação com indicação de CNPJ/CPF diferentes, salvo aqueles legalmente permitidos.</w:t>
      </w:r>
    </w:p>
    <w:p w14:paraId="062D7E89"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i/>
          <w:iCs/>
          <w:color w:val="000000"/>
          <w:kern w:val="0"/>
          <w:sz w:val="27"/>
          <w:szCs w:val="27"/>
          <w:lang w:eastAsia="pt-BR"/>
          <w14:ligatures w14:val="none"/>
        </w:rPr>
        <w:t>8.7.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A5C1268"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lastRenderedPageBreak/>
        <w:t> </w:t>
      </w:r>
    </w:p>
    <w:p w14:paraId="593AE1F1"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Habilitação jurídica</w:t>
      </w:r>
    </w:p>
    <w:p w14:paraId="42FAC34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bookmarkStart w:id="4" w:name="_Ref115800561"/>
      <w:bookmarkEnd w:id="4"/>
      <w:r w:rsidRPr="003067BF">
        <w:rPr>
          <w:rFonts w:ascii="Calibri" w:eastAsia="Times New Roman" w:hAnsi="Calibri" w:cs="Calibri"/>
          <w:color w:val="000000"/>
          <w:kern w:val="0"/>
          <w:sz w:val="27"/>
          <w:szCs w:val="27"/>
          <w:lang w:eastAsia="pt-BR"/>
          <w14:ligatures w14:val="none"/>
        </w:rPr>
        <w:t>8.8. </w:t>
      </w:r>
      <w:r w:rsidRPr="003067BF">
        <w:rPr>
          <w:rFonts w:ascii="Calibri" w:eastAsia="Times New Roman" w:hAnsi="Calibri" w:cs="Calibri"/>
          <w:b/>
          <w:bCs/>
          <w:color w:val="000000"/>
          <w:kern w:val="0"/>
          <w:sz w:val="27"/>
          <w:szCs w:val="27"/>
          <w:lang w:eastAsia="pt-BR"/>
          <w14:ligatures w14:val="none"/>
        </w:rPr>
        <w:t>Pessoa física:</w:t>
      </w:r>
      <w:r w:rsidRPr="003067BF">
        <w:rPr>
          <w:rFonts w:ascii="Calibri" w:eastAsia="Times New Roman" w:hAnsi="Calibri" w:cs="Calibri"/>
          <w:color w:val="000000"/>
          <w:kern w:val="0"/>
          <w:sz w:val="27"/>
          <w:szCs w:val="27"/>
          <w:lang w:eastAsia="pt-BR"/>
          <w14:ligatures w14:val="none"/>
        </w:rPr>
        <w:t> cédula de identidade (RG) ou documento equivalente que, por força de lei, tenha validade para fins de identificação em todo o território nacional;</w:t>
      </w:r>
    </w:p>
    <w:p w14:paraId="29233844"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8.9. </w:t>
      </w:r>
      <w:r w:rsidRPr="003067BF">
        <w:rPr>
          <w:rFonts w:ascii="Calibri" w:eastAsia="Times New Roman" w:hAnsi="Calibri" w:cs="Calibri"/>
          <w:b/>
          <w:bCs/>
          <w:color w:val="000000"/>
          <w:kern w:val="0"/>
          <w:sz w:val="27"/>
          <w:szCs w:val="27"/>
          <w:lang w:eastAsia="pt-BR"/>
          <w14:ligatures w14:val="none"/>
        </w:rPr>
        <w:t>Empresário individual:</w:t>
      </w:r>
      <w:r w:rsidRPr="003067BF">
        <w:rPr>
          <w:rFonts w:ascii="Calibri" w:eastAsia="Times New Roman" w:hAnsi="Calibri" w:cs="Calibri"/>
          <w:color w:val="000000"/>
          <w:kern w:val="0"/>
          <w:sz w:val="27"/>
          <w:szCs w:val="27"/>
          <w:lang w:eastAsia="pt-BR"/>
          <w14:ligatures w14:val="none"/>
        </w:rPr>
        <w:t> inscrição no Registro Público de Empresas Mercantis, a cargo da Junta Comercial da respectiva sede;</w:t>
      </w:r>
    </w:p>
    <w:p w14:paraId="473253A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8.10. </w:t>
      </w:r>
      <w:r w:rsidRPr="003067BF">
        <w:rPr>
          <w:rFonts w:ascii="Calibri" w:eastAsia="Times New Roman" w:hAnsi="Calibri" w:cs="Calibri"/>
          <w:b/>
          <w:bCs/>
          <w:color w:val="000000"/>
          <w:kern w:val="0"/>
          <w:sz w:val="27"/>
          <w:szCs w:val="27"/>
          <w:lang w:eastAsia="pt-BR"/>
          <w14:ligatures w14:val="none"/>
        </w:rPr>
        <w:t>Microempreendedor Individual - MEI:</w:t>
      </w:r>
      <w:r w:rsidRPr="003067BF">
        <w:rPr>
          <w:rFonts w:ascii="Calibri" w:eastAsia="Times New Roman" w:hAnsi="Calibri" w:cs="Calibri"/>
          <w:color w:val="000000"/>
          <w:kern w:val="0"/>
          <w:sz w:val="27"/>
          <w:szCs w:val="27"/>
          <w:lang w:eastAsia="pt-BR"/>
          <w14:ligatures w14:val="none"/>
        </w:rPr>
        <w:t> Certificado da Condição de Microempreendedor Individual - CCMEI, cuja aceitação ficará condicionada à verificação da autenticidade no sítio </w:t>
      </w:r>
      <w:hyperlink r:id="rId34" w:history="1">
        <w:r w:rsidRPr="003067BF">
          <w:rPr>
            <w:rFonts w:ascii="Calibri" w:eastAsia="Times New Roman" w:hAnsi="Calibri" w:cs="Calibri"/>
            <w:color w:val="0000FF"/>
            <w:kern w:val="0"/>
            <w:sz w:val="27"/>
            <w:szCs w:val="27"/>
            <w:u w:val="single"/>
            <w:lang w:eastAsia="pt-BR"/>
            <w14:ligatures w14:val="none"/>
          </w:rPr>
          <w:t>https://www.gov.br/empresas-e-</w:t>
        </w:r>
        <w:proofErr w:type="spellStart"/>
        <w:r w:rsidRPr="003067BF">
          <w:rPr>
            <w:rFonts w:ascii="Calibri" w:eastAsia="Times New Roman" w:hAnsi="Calibri" w:cs="Calibri"/>
            <w:color w:val="0000FF"/>
            <w:kern w:val="0"/>
            <w:sz w:val="27"/>
            <w:szCs w:val="27"/>
            <w:u w:val="single"/>
            <w:lang w:eastAsia="pt-BR"/>
            <w14:ligatures w14:val="none"/>
          </w:rPr>
          <w:t>negocios</w:t>
        </w:r>
        <w:proofErr w:type="spellEnd"/>
        <w:r w:rsidRPr="003067BF">
          <w:rPr>
            <w:rFonts w:ascii="Calibri" w:eastAsia="Times New Roman" w:hAnsi="Calibri" w:cs="Calibri"/>
            <w:color w:val="0000FF"/>
            <w:kern w:val="0"/>
            <w:sz w:val="27"/>
            <w:szCs w:val="27"/>
            <w:u w:val="single"/>
            <w:lang w:eastAsia="pt-BR"/>
            <w14:ligatures w14:val="none"/>
          </w:rPr>
          <w:t>/</w:t>
        </w:r>
        <w:proofErr w:type="spellStart"/>
        <w:r w:rsidRPr="003067BF">
          <w:rPr>
            <w:rFonts w:ascii="Calibri" w:eastAsia="Times New Roman" w:hAnsi="Calibri" w:cs="Calibri"/>
            <w:color w:val="0000FF"/>
            <w:kern w:val="0"/>
            <w:sz w:val="27"/>
            <w:szCs w:val="27"/>
            <w:u w:val="single"/>
            <w:lang w:eastAsia="pt-BR"/>
            <w14:ligatures w14:val="none"/>
          </w:rPr>
          <w:t>pt-br</w:t>
        </w:r>
        <w:proofErr w:type="spellEnd"/>
        <w:r w:rsidRPr="003067BF">
          <w:rPr>
            <w:rFonts w:ascii="Calibri" w:eastAsia="Times New Roman" w:hAnsi="Calibri" w:cs="Calibri"/>
            <w:color w:val="0000FF"/>
            <w:kern w:val="0"/>
            <w:sz w:val="27"/>
            <w:szCs w:val="27"/>
            <w:u w:val="single"/>
            <w:lang w:eastAsia="pt-BR"/>
            <w14:ligatures w14:val="none"/>
          </w:rPr>
          <w:t>/empreendedor</w:t>
        </w:r>
      </w:hyperlink>
      <w:r w:rsidRPr="003067BF">
        <w:rPr>
          <w:rFonts w:ascii="Calibri" w:eastAsia="Times New Roman" w:hAnsi="Calibri" w:cs="Calibri"/>
          <w:color w:val="000000"/>
          <w:kern w:val="0"/>
          <w:sz w:val="27"/>
          <w:szCs w:val="27"/>
          <w:lang w:eastAsia="pt-BR"/>
          <w14:ligatures w14:val="none"/>
        </w:rPr>
        <w:t>;</w:t>
      </w:r>
    </w:p>
    <w:p w14:paraId="70BF39E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8.11. </w:t>
      </w:r>
      <w:r w:rsidRPr="003067BF">
        <w:rPr>
          <w:rFonts w:ascii="Calibri" w:eastAsia="Times New Roman" w:hAnsi="Calibri" w:cs="Calibri"/>
          <w:b/>
          <w:bCs/>
          <w:color w:val="000000"/>
          <w:kern w:val="0"/>
          <w:sz w:val="27"/>
          <w:szCs w:val="27"/>
          <w:lang w:eastAsia="pt-BR"/>
          <w14:ligatures w14:val="none"/>
        </w:rPr>
        <w:t>Sociedade empresária, sociedade limitada unipessoal – SLU ou sociedade identificada como empresa individual de responsabilidade limitada - EIRELI:</w:t>
      </w:r>
      <w:r w:rsidRPr="003067BF">
        <w:rPr>
          <w:rFonts w:ascii="Calibri" w:eastAsia="Times New Roman" w:hAnsi="Calibri" w:cs="Calibri"/>
          <w:color w:val="000000"/>
          <w:kern w:val="0"/>
          <w:sz w:val="27"/>
          <w:szCs w:val="27"/>
          <w:lang w:eastAsia="pt-BR"/>
          <w14:ligatures w14:val="none"/>
        </w:rPr>
        <w:t> inscrição do ato constitutivo, estatuto ou contrato social no Registro Público de Empresas Mercantis, a cargo da Junta Comercial da respectiva sede, acompanhada de documento comprobatório de seus administradores;</w:t>
      </w:r>
    </w:p>
    <w:p w14:paraId="731D3AC4"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8.12. </w:t>
      </w:r>
      <w:r w:rsidRPr="003067BF">
        <w:rPr>
          <w:rFonts w:ascii="Calibri" w:eastAsia="Times New Roman" w:hAnsi="Calibri" w:cs="Calibri"/>
          <w:b/>
          <w:bCs/>
          <w:color w:val="000000"/>
          <w:kern w:val="0"/>
          <w:sz w:val="27"/>
          <w:szCs w:val="27"/>
          <w:lang w:eastAsia="pt-BR"/>
          <w14:ligatures w14:val="none"/>
        </w:rPr>
        <w:t>Sociedade empresária estrangeira:</w:t>
      </w:r>
      <w:r w:rsidRPr="003067BF">
        <w:rPr>
          <w:rFonts w:ascii="Calibri" w:eastAsia="Times New Roman" w:hAnsi="Calibri" w:cs="Calibri"/>
          <w:color w:val="000000"/>
          <w:kern w:val="0"/>
          <w:sz w:val="27"/>
          <w:szCs w:val="27"/>
          <w:lang w:eastAsia="pt-BR"/>
          <w14:ligatures w14:val="none"/>
        </w:rPr>
        <w:t>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5" w:history="1">
        <w:r w:rsidRPr="003067BF">
          <w:rPr>
            <w:rFonts w:ascii="Calibri" w:eastAsia="Times New Roman" w:hAnsi="Calibri" w:cs="Calibri"/>
            <w:color w:val="0000FF"/>
            <w:kern w:val="0"/>
            <w:sz w:val="27"/>
            <w:szCs w:val="27"/>
            <w:u w:val="single"/>
            <w:lang w:eastAsia="pt-BR"/>
            <w14:ligatures w14:val="none"/>
          </w:rPr>
          <w:t>Normativa DREI/ME n.º 77, de 18 de março de 2020</w:t>
        </w:r>
      </w:hyperlink>
      <w:r w:rsidRPr="003067BF">
        <w:rPr>
          <w:rFonts w:ascii="Calibri" w:eastAsia="Times New Roman" w:hAnsi="Calibri" w:cs="Calibri"/>
          <w:color w:val="000000"/>
          <w:kern w:val="0"/>
          <w:sz w:val="27"/>
          <w:szCs w:val="27"/>
          <w:lang w:eastAsia="pt-BR"/>
          <w14:ligatures w14:val="none"/>
        </w:rPr>
        <w:t>.</w:t>
      </w:r>
    </w:p>
    <w:p w14:paraId="4364681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8.13. </w:t>
      </w:r>
      <w:r w:rsidRPr="003067BF">
        <w:rPr>
          <w:rFonts w:ascii="Calibri" w:eastAsia="Times New Roman" w:hAnsi="Calibri" w:cs="Calibri"/>
          <w:b/>
          <w:bCs/>
          <w:color w:val="000000"/>
          <w:kern w:val="0"/>
          <w:sz w:val="27"/>
          <w:szCs w:val="27"/>
          <w:lang w:eastAsia="pt-BR"/>
          <w14:ligatures w14:val="none"/>
        </w:rPr>
        <w:t>Sociedade simples: </w:t>
      </w:r>
      <w:r w:rsidRPr="003067BF">
        <w:rPr>
          <w:rFonts w:ascii="Calibri" w:eastAsia="Times New Roman" w:hAnsi="Calibri" w:cs="Calibri"/>
          <w:color w:val="000000"/>
          <w:kern w:val="0"/>
          <w:sz w:val="27"/>
          <w:szCs w:val="27"/>
          <w:lang w:eastAsia="pt-BR"/>
          <w14:ligatures w14:val="none"/>
        </w:rPr>
        <w:t>inscrição do ato constitutivo no Registro Civil de Pessoas Jurídicas do local de sua sede, acompanhada de documento comprobatório de seus administradores;</w:t>
      </w:r>
    </w:p>
    <w:p w14:paraId="7DFB049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8.14. </w:t>
      </w:r>
      <w:r w:rsidRPr="003067BF">
        <w:rPr>
          <w:rFonts w:ascii="Calibri" w:eastAsia="Times New Roman" w:hAnsi="Calibri" w:cs="Calibri"/>
          <w:b/>
          <w:bCs/>
          <w:color w:val="000000"/>
          <w:kern w:val="0"/>
          <w:sz w:val="27"/>
          <w:szCs w:val="27"/>
          <w:lang w:eastAsia="pt-BR"/>
          <w14:ligatures w14:val="none"/>
        </w:rPr>
        <w:t>Filial, sucursal ou agência de sociedade simples ou empresária:</w:t>
      </w:r>
      <w:r w:rsidRPr="003067BF">
        <w:rPr>
          <w:rFonts w:ascii="Calibri" w:eastAsia="Times New Roman" w:hAnsi="Calibri" w:cs="Calibri"/>
          <w:color w:val="000000"/>
          <w:kern w:val="0"/>
          <w:sz w:val="27"/>
          <w:szCs w:val="27"/>
          <w:lang w:eastAsia="pt-BR"/>
          <w14:ligatures w14:val="none"/>
        </w:rPr>
        <w:t> inscrição do ato constitutivo da filial, sucursal ou agência da sociedade simples ou empresária, respectivamente, no Registro Civil das Pessoas Jurídicas ou no Registro Público de Empresas </w:t>
      </w:r>
      <w:bookmarkStart w:id="5" w:name="_Int_ySfCXwr4"/>
      <w:r w:rsidRPr="003067BF">
        <w:rPr>
          <w:rFonts w:ascii="Calibri" w:eastAsia="Times New Roman" w:hAnsi="Calibri" w:cs="Calibri"/>
          <w:color w:val="000000"/>
          <w:kern w:val="0"/>
          <w:sz w:val="27"/>
          <w:szCs w:val="27"/>
          <w:lang w:eastAsia="pt-BR"/>
          <w14:ligatures w14:val="none"/>
        </w:rPr>
        <w:t>Mercantis onde</w:t>
      </w:r>
      <w:bookmarkEnd w:id="5"/>
      <w:r w:rsidRPr="003067BF">
        <w:rPr>
          <w:rFonts w:ascii="Calibri" w:eastAsia="Times New Roman" w:hAnsi="Calibri" w:cs="Calibri"/>
          <w:color w:val="000000"/>
          <w:kern w:val="0"/>
          <w:sz w:val="27"/>
          <w:szCs w:val="27"/>
          <w:lang w:eastAsia="pt-BR"/>
          <w14:ligatures w14:val="none"/>
        </w:rPr>
        <w:t> opera, com averbação no Registro onde tem sede a matriz</w:t>
      </w:r>
    </w:p>
    <w:p w14:paraId="21EAF4F6"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8.15. </w:t>
      </w:r>
      <w:r w:rsidRPr="003067BF">
        <w:rPr>
          <w:rFonts w:ascii="Calibri" w:eastAsia="Times New Roman" w:hAnsi="Calibri" w:cs="Calibri"/>
          <w:b/>
          <w:bCs/>
          <w:color w:val="000000"/>
          <w:kern w:val="0"/>
          <w:sz w:val="27"/>
          <w:szCs w:val="27"/>
          <w:lang w:eastAsia="pt-BR"/>
          <w14:ligatures w14:val="none"/>
        </w:rPr>
        <w:t>Sociedade cooperativa:</w:t>
      </w:r>
      <w:r w:rsidRPr="003067BF">
        <w:rPr>
          <w:rFonts w:ascii="Calibri" w:eastAsia="Times New Roman" w:hAnsi="Calibri" w:cs="Calibri"/>
          <w:color w:val="000000"/>
          <w:kern w:val="0"/>
          <w:sz w:val="27"/>
          <w:szCs w:val="27"/>
          <w:lang w:eastAsia="pt-BR"/>
          <w14:ligatures w14:val="none"/>
        </w:rPr>
        <w:t> ata de fundação e estatuto social, com a ata da assembleia que o aprovou, devidamente arquivado na Junta Comercial ou inscrito no Registro Civil das Pessoas Jurídicas da respectiva sede, além do registro de que trata o </w:t>
      </w:r>
      <w:hyperlink r:id="rId36" w:anchor="art107" w:history="1">
        <w:r w:rsidRPr="003067BF">
          <w:rPr>
            <w:rFonts w:ascii="Calibri" w:eastAsia="Times New Roman" w:hAnsi="Calibri" w:cs="Calibri"/>
            <w:color w:val="0000FF"/>
            <w:kern w:val="0"/>
            <w:sz w:val="27"/>
            <w:szCs w:val="27"/>
            <w:u w:val="single"/>
            <w:lang w:eastAsia="pt-BR"/>
            <w14:ligatures w14:val="none"/>
          </w:rPr>
          <w:t>art. 107 da Lei nº 5.764, de 16 de dezembro 1971</w:t>
        </w:r>
      </w:hyperlink>
      <w:r w:rsidRPr="003067BF">
        <w:rPr>
          <w:rFonts w:ascii="Calibri" w:eastAsia="Times New Roman" w:hAnsi="Calibri" w:cs="Calibri"/>
          <w:color w:val="000000"/>
          <w:kern w:val="0"/>
          <w:sz w:val="27"/>
          <w:szCs w:val="27"/>
          <w:lang w:eastAsia="pt-BR"/>
          <w14:ligatures w14:val="none"/>
        </w:rPr>
        <w:t>.</w:t>
      </w:r>
    </w:p>
    <w:p w14:paraId="4DC44387"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8.16. </w:t>
      </w:r>
      <w:r w:rsidRPr="003067BF">
        <w:rPr>
          <w:rFonts w:ascii="Calibri" w:eastAsia="Times New Roman" w:hAnsi="Calibri" w:cs="Calibri"/>
          <w:b/>
          <w:bCs/>
          <w:color w:val="000000"/>
          <w:kern w:val="0"/>
          <w:sz w:val="27"/>
          <w:szCs w:val="27"/>
          <w:lang w:eastAsia="pt-BR"/>
          <w14:ligatures w14:val="none"/>
        </w:rPr>
        <w:t>Agricultor familiar:</w:t>
      </w:r>
      <w:r w:rsidRPr="003067BF">
        <w:rPr>
          <w:rFonts w:ascii="Calibri" w:eastAsia="Times New Roman" w:hAnsi="Calibri" w:cs="Calibri"/>
          <w:color w:val="000000"/>
          <w:kern w:val="0"/>
          <w:sz w:val="27"/>
          <w:szCs w:val="27"/>
          <w:lang w:eastAsia="pt-BR"/>
          <w14:ligatures w14:val="none"/>
        </w:rPr>
        <w:t xml:space="preserve"> Declaração de Aptidão ao Pronaf – DAP ou DAP-P válida, ou, ainda, outros documentos definidos pela </w:t>
      </w:r>
      <w:r w:rsidRPr="003067BF">
        <w:rPr>
          <w:rFonts w:ascii="Calibri" w:eastAsia="Times New Roman" w:hAnsi="Calibri" w:cs="Calibri"/>
          <w:color w:val="000000"/>
          <w:kern w:val="0"/>
          <w:sz w:val="27"/>
          <w:szCs w:val="27"/>
          <w:lang w:eastAsia="pt-BR"/>
          <w14:ligatures w14:val="none"/>
        </w:rPr>
        <w:lastRenderedPageBreak/>
        <w:t>Secretaria Especial de Agricultura Familiar e do Desenvolvimento Agrário, nos termos do</w:t>
      </w:r>
      <w:hyperlink r:id="rId37" w:anchor="art4%C2%A72" w:history="1">
        <w:r w:rsidRPr="003067BF">
          <w:rPr>
            <w:rFonts w:ascii="Calibri" w:eastAsia="Times New Roman" w:hAnsi="Calibri" w:cs="Calibri"/>
            <w:color w:val="0000FF"/>
            <w:kern w:val="0"/>
            <w:sz w:val="27"/>
            <w:szCs w:val="27"/>
            <w:u w:val="single"/>
            <w:lang w:eastAsia="pt-BR"/>
            <w14:ligatures w14:val="none"/>
          </w:rPr>
          <w:t> art. 4º, §2º do Decreto nº 10.880, de 2 de dezembro de 2021</w:t>
        </w:r>
      </w:hyperlink>
      <w:r w:rsidRPr="003067BF">
        <w:rPr>
          <w:rFonts w:ascii="Calibri" w:eastAsia="Times New Roman" w:hAnsi="Calibri" w:cs="Calibri"/>
          <w:color w:val="000000"/>
          <w:kern w:val="0"/>
          <w:sz w:val="27"/>
          <w:szCs w:val="27"/>
          <w:lang w:eastAsia="pt-BR"/>
          <w14:ligatures w14:val="none"/>
        </w:rPr>
        <w:t>.</w:t>
      </w:r>
    </w:p>
    <w:p w14:paraId="7D5F7AC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8.17. </w:t>
      </w:r>
      <w:r w:rsidRPr="003067BF">
        <w:rPr>
          <w:rFonts w:ascii="Calibri" w:eastAsia="Times New Roman" w:hAnsi="Calibri" w:cs="Calibri"/>
          <w:b/>
          <w:bCs/>
          <w:color w:val="000000"/>
          <w:kern w:val="0"/>
          <w:sz w:val="27"/>
          <w:szCs w:val="27"/>
          <w:lang w:eastAsia="pt-BR"/>
          <w14:ligatures w14:val="none"/>
        </w:rPr>
        <w:t>Produtor Rural:</w:t>
      </w:r>
      <w:r w:rsidRPr="003067BF">
        <w:rPr>
          <w:rFonts w:ascii="Calibri" w:eastAsia="Times New Roman" w:hAnsi="Calibri" w:cs="Calibri"/>
          <w:color w:val="000000"/>
          <w:kern w:val="0"/>
          <w:sz w:val="27"/>
          <w:szCs w:val="27"/>
          <w:lang w:eastAsia="pt-BR"/>
          <w14:ligatures w14:val="none"/>
        </w:rPr>
        <w:t> matrícula no Cadastro Específico do INSS – CEI, que comprove a qualificação como produtor rural pessoa física, nos termos da </w:t>
      </w:r>
      <w:hyperlink r:id="rId38" w:history="1">
        <w:r w:rsidRPr="003067BF">
          <w:rPr>
            <w:rFonts w:ascii="Calibri" w:eastAsia="Times New Roman" w:hAnsi="Calibri" w:cs="Calibri"/>
            <w:color w:val="0000FF"/>
            <w:kern w:val="0"/>
            <w:sz w:val="27"/>
            <w:szCs w:val="27"/>
            <w:u w:val="single"/>
            <w:lang w:eastAsia="pt-BR"/>
            <w14:ligatures w14:val="none"/>
          </w:rPr>
          <w:t>Instrução Normativa RFB n. 971, de 13 de novembro de 2009</w:t>
        </w:r>
      </w:hyperlink>
      <w:r w:rsidRPr="003067BF">
        <w:rPr>
          <w:rFonts w:ascii="Calibri" w:eastAsia="Times New Roman" w:hAnsi="Calibri" w:cs="Calibri"/>
          <w:color w:val="000000"/>
          <w:kern w:val="0"/>
          <w:sz w:val="27"/>
          <w:szCs w:val="27"/>
          <w:lang w:eastAsia="pt-BR"/>
          <w14:ligatures w14:val="none"/>
        </w:rPr>
        <w:t> (</w:t>
      </w:r>
      <w:proofErr w:type="spellStart"/>
      <w:r w:rsidRPr="003067BF">
        <w:rPr>
          <w:rFonts w:ascii="Calibri" w:eastAsia="Times New Roman" w:hAnsi="Calibri" w:cs="Calibri"/>
          <w:color w:val="000000"/>
          <w:kern w:val="0"/>
          <w:sz w:val="27"/>
          <w:szCs w:val="27"/>
          <w:lang w:eastAsia="pt-BR"/>
          <w14:ligatures w14:val="none"/>
        </w:rPr>
        <w:t>arts</w:t>
      </w:r>
      <w:proofErr w:type="spellEnd"/>
      <w:r w:rsidRPr="003067BF">
        <w:rPr>
          <w:rFonts w:ascii="Calibri" w:eastAsia="Times New Roman" w:hAnsi="Calibri" w:cs="Calibri"/>
          <w:color w:val="000000"/>
          <w:kern w:val="0"/>
          <w:sz w:val="27"/>
          <w:szCs w:val="27"/>
          <w:lang w:eastAsia="pt-BR"/>
          <w14:ligatures w14:val="none"/>
        </w:rPr>
        <w:t>. 17 a 19 e 165).</w:t>
      </w:r>
    </w:p>
    <w:p w14:paraId="52F69509"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8.18. Os documentos apresentados deverão estar acompanhados de todas as alterações ou da consolidação respectiva.</w:t>
      </w:r>
    </w:p>
    <w:p w14:paraId="58C06BA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68EE1F3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Habilitação fiscal, social e trabalhista</w:t>
      </w:r>
    </w:p>
    <w:p w14:paraId="12312488"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8.19. Prova de inscrição no Cadastro Nacional de Pessoas Jurídicas ou no Cadastro de Pessoas Físicas, conforme o caso;</w:t>
      </w:r>
    </w:p>
    <w:p w14:paraId="02531FD2"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8.20.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9F8676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8.21. Prova de regularidade com o Fundo de Garantia do Tempo de Serviço (FGTS);</w:t>
      </w:r>
    </w:p>
    <w:p w14:paraId="59A4738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8.22.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4F1C67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8.23. Prova de inscrição no cadastro de contribuintes Estadual relativo ao domicílio ou sede do fornecedor, pertinente ao seu ramo de atividade e compatível com o objeto contratual;</w:t>
      </w:r>
    </w:p>
    <w:p w14:paraId="1A5849DB"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8.24. Prova de regularidade com a Fazenda </w:t>
      </w:r>
      <w:proofErr w:type="gramStart"/>
      <w:r w:rsidRPr="003067BF">
        <w:rPr>
          <w:rFonts w:ascii="Calibri" w:eastAsia="Times New Roman" w:hAnsi="Calibri" w:cs="Calibri"/>
          <w:color w:val="000000"/>
          <w:kern w:val="0"/>
          <w:sz w:val="27"/>
          <w:szCs w:val="27"/>
          <w:lang w:eastAsia="pt-BR"/>
          <w14:ligatures w14:val="none"/>
        </w:rPr>
        <w:t>Estadual  do</w:t>
      </w:r>
      <w:proofErr w:type="gramEnd"/>
      <w:r w:rsidRPr="003067BF">
        <w:rPr>
          <w:rFonts w:ascii="Calibri" w:eastAsia="Times New Roman" w:hAnsi="Calibri" w:cs="Calibri"/>
          <w:color w:val="000000"/>
          <w:kern w:val="0"/>
          <w:sz w:val="27"/>
          <w:szCs w:val="27"/>
          <w:lang w:eastAsia="pt-BR"/>
          <w14:ligatures w14:val="none"/>
        </w:rPr>
        <w:t xml:space="preserve"> domicílio ou sede do fornecedor, relativa à atividade em cujo exercício contrata ou concorre;</w:t>
      </w:r>
    </w:p>
    <w:p w14:paraId="481622FC"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8.25. Caso o fornecedor seja considerado isento dos tributos </w:t>
      </w:r>
      <w:proofErr w:type="gramStart"/>
      <w:r w:rsidRPr="003067BF">
        <w:rPr>
          <w:rFonts w:ascii="Calibri" w:eastAsia="Times New Roman" w:hAnsi="Calibri" w:cs="Calibri"/>
          <w:color w:val="000000"/>
          <w:kern w:val="0"/>
          <w:sz w:val="27"/>
          <w:szCs w:val="27"/>
          <w:lang w:eastAsia="pt-BR"/>
          <w14:ligatures w14:val="none"/>
        </w:rPr>
        <w:t>Estadual  relacionados</w:t>
      </w:r>
      <w:proofErr w:type="gramEnd"/>
      <w:r w:rsidRPr="003067BF">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144901E1"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lastRenderedPageBreak/>
        <w:t>8.26.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D9D088"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7221C94B"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b/>
          <w:bCs/>
          <w:color w:val="000000"/>
          <w:kern w:val="0"/>
          <w:sz w:val="27"/>
          <w:szCs w:val="27"/>
          <w:lang w:eastAsia="pt-BR"/>
          <w14:ligatures w14:val="none"/>
        </w:rPr>
        <w:t>9.  ADEQUAÇÃO ORÇAMENTÁRIA</w:t>
      </w:r>
    </w:p>
    <w:p w14:paraId="153444ED"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9.1. As despesas decorrentes da presente contratação correrão à conta de recursos específicos consignados no Orçamento Geral da União.</w:t>
      </w:r>
    </w:p>
    <w:p w14:paraId="1144E32F"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9.2.  A contratação será atendida pela seguinte dotação:</w:t>
      </w:r>
    </w:p>
    <w:p w14:paraId="1ACC4690"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I) Gestão/Unidade: 25201 / 254488</w:t>
      </w:r>
    </w:p>
    <w:p w14:paraId="29BBB68A"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II) Fonte de Recursos: 1002000000</w:t>
      </w:r>
    </w:p>
    <w:p w14:paraId="215696C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III) Programa de Trabalho: 6179 - Comunicação e Informações para a Educação em Saúde e em Ciência e Tecnologia</w:t>
      </w:r>
    </w:p>
    <w:p w14:paraId="11E28D6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IV) Elemento de Despesa: 339039</w:t>
      </w:r>
    </w:p>
    <w:p w14:paraId="3B56BA93"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V) Plano Interno: A1COC</w:t>
      </w:r>
    </w:p>
    <w:p w14:paraId="0940684E"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 </w:t>
      </w:r>
    </w:p>
    <w:p w14:paraId="06EE3615" w14:textId="77777777" w:rsidR="003067BF" w:rsidRPr="003067BF" w:rsidRDefault="003067BF" w:rsidP="003067BF">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3067BF">
        <w:rPr>
          <w:rFonts w:ascii="Calibri" w:eastAsia="Times New Roman" w:hAnsi="Calibri" w:cs="Calibri"/>
          <w:color w:val="000000"/>
          <w:kern w:val="0"/>
          <w:sz w:val="27"/>
          <w:szCs w:val="27"/>
          <w:lang w:eastAsia="pt-BR"/>
          <w14:ligatures w14:val="none"/>
        </w:rPr>
        <w:t>9.3. A dotação relativa aos exercícios financeiros subsequentes será indicada após aprovação da Lei Orçamentária respectiva e liberação dos créditos correspondentes, mediante apostilamento.</w:t>
      </w:r>
    </w:p>
    <w:p w14:paraId="7B9D6A83" w14:textId="77777777" w:rsidR="003067BF" w:rsidRPr="003067BF" w:rsidRDefault="003067BF" w:rsidP="003067BF">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3067BF">
        <w:rPr>
          <w:rFonts w:ascii="Times New Roman" w:eastAsia="Times New Roman" w:hAnsi="Times New Roman" w:cs="Times New Roman"/>
          <w:color w:val="000000"/>
          <w:kern w:val="0"/>
          <w:sz w:val="27"/>
          <w:szCs w:val="27"/>
          <w:lang w:eastAsia="pt-BR"/>
          <w14:ligatures w14:val="none"/>
        </w:rPr>
        <w:t> </w:t>
      </w:r>
    </w:p>
    <w:p w14:paraId="1DF76AFD" w14:textId="77777777" w:rsidR="00566EF2" w:rsidRDefault="00566EF2"/>
    <w:sectPr w:rsidR="00566E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06415"/>
    <w:multiLevelType w:val="multilevel"/>
    <w:tmpl w:val="9FD6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121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BF"/>
    <w:rsid w:val="003067BF"/>
    <w:rsid w:val="00566E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0EF6"/>
  <w15:chartTrackingRefBased/>
  <w15:docId w15:val="{B91965E8-5E0F-46BF-B395-1D13F27AB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
    <w:name w:val="texto_centralizado"/>
    <w:basedOn w:val="Normal"/>
    <w:rsid w:val="003067B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3067BF"/>
    <w:rPr>
      <w:b/>
      <w:bCs/>
    </w:rPr>
  </w:style>
  <w:style w:type="paragraph" w:styleId="NormalWeb">
    <w:name w:val="Normal (Web)"/>
    <w:basedOn w:val="Normal"/>
    <w:uiPriority w:val="99"/>
    <w:semiHidden/>
    <w:unhideWhenUsed/>
    <w:rsid w:val="003067B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3067B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extojustificadorecuoprimeiralinha1">
    <w:name w:val="texto_justificado_recuo_primeira_linha1"/>
    <w:basedOn w:val="Fontepargpadro"/>
    <w:rsid w:val="003067BF"/>
  </w:style>
  <w:style w:type="character" w:styleId="nfase">
    <w:name w:val="Emphasis"/>
    <w:basedOn w:val="Fontepargpadro"/>
    <w:uiPriority w:val="20"/>
    <w:qFormat/>
    <w:rsid w:val="003067BF"/>
    <w:rPr>
      <w:i/>
      <w:iCs/>
    </w:rPr>
  </w:style>
  <w:style w:type="character" w:styleId="Hyperlink">
    <w:name w:val="Hyperlink"/>
    <w:basedOn w:val="Fontepargpadro"/>
    <w:uiPriority w:val="99"/>
    <w:semiHidden/>
    <w:unhideWhenUsed/>
    <w:rsid w:val="003067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75237">
      <w:bodyDiv w:val="1"/>
      <w:marLeft w:val="0"/>
      <w:marRight w:val="0"/>
      <w:marTop w:val="0"/>
      <w:marBottom w:val="0"/>
      <w:divBdr>
        <w:top w:val="none" w:sz="0" w:space="0" w:color="auto"/>
        <w:left w:val="none" w:sz="0" w:space="0" w:color="auto"/>
        <w:bottom w:val="none" w:sz="0" w:space="0" w:color="auto"/>
        <w:right w:val="none" w:sz="0" w:space="0" w:color="auto"/>
      </w:divBdr>
      <w:divsChild>
        <w:div w:id="1315795788">
          <w:marLeft w:val="0"/>
          <w:marRight w:val="0"/>
          <w:marTop w:val="0"/>
          <w:marBottom w:val="0"/>
          <w:divBdr>
            <w:top w:val="none" w:sz="0" w:space="0" w:color="auto"/>
            <w:left w:val="none" w:sz="0" w:space="0" w:color="auto"/>
            <w:bottom w:val="none" w:sz="0" w:space="0" w:color="auto"/>
            <w:right w:val="none" w:sz="0" w:space="0" w:color="auto"/>
          </w:divBdr>
        </w:div>
        <w:div w:id="2072073537">
          <w:marLeft w:val="0"/>
          <w:marRight w:val="0"/>
          <w:marTop w:val="0"/>
          <w:marBottom w:val="0"/>
          <w:divBdr>
            <w:top w:val="none" w:sz="0" w:space="0" w:color="auto"/>
            <w:left w:val="none" w:sz="0" w:space="0" w:color="auto"/>
            <w:bottom w:val="none" w:sz="0" w:space="0" w:color="auto"/>
            <w:right w:val="none" w:sz="0" w:space="0" w:color="auto"/>
          </w:divBdr>
          <w:divsChild>
            <w:div w:id="1719429534">
              <w:marLeft w:val="0"/>
              <w:marRight w:val="0"/>
              <w:marTop w:val="0"/>
              <w:marBottom w:val="0"/>
              <w:divBdr>
                <w:top w:val="none" w:sz="0" w:space="0" w:color="auto"/>
                <w:left w:val="none" w:sz="0" w:space="0" w:color="auto"/>
                <w:bottom w:val="none" w:sz="0" w:space="0" w:color="auto"/>
                <w:right w:val="none" w:sz="0" w:space="0" w:color="auto"/>
              </w:divBdr>
            </w:div>
          </w:divsChild>
        </w:div>
        <w:div w:id="1232500839">
          <w:marLeft w:val="0"/>
          <w:marRight w:val="0"/>
          <w:marTop w:val="0"/>
          <w:marBottom w:val="0"/>
          <w:divBdr>
            <w:top w:val="none" w:sz="0" w:space="0" w:color="auto"/>
            <w:left w:val="none" w:sz="0" w:space="0" w:color="auto"/>
            <w:bottom w:val="none" w:sz="0" w:space="0" w:color="auto"/>
            <w:right w:val="none" w:sz="0" w:space="0" w:color="auto"/>
          </w:divBdr>
        </w:div>
        <w:div w:id="2035960352">
          <w:marLeft w:val="0"/>
          <w:marRight w:val="0"/>
          <w:marTop w:val="0"/>
          <w:marBottom w:val="0"/>
          <w:divBdr>
            <w:top w:val="none" w:sz="0" w:space="0" w:color="auto"/>
            <w:left w:val="none" w:sz="0" w:space="0" w:color="auto"/>
            <w:bottom w:val="none" w:sz="0" w:space="0" w:color="auto"/>
            <w:right w:val="none" w:sz="0" w:space="0" w:color="auto"/>
          </w:divBdr>
          <w:divsChild>
            <w:div w:id="1106847049">
              <w:marLeft w:val="0"/>
              <w:marRight w:val="0"/>
              <w:marTop w:val="0"/>
              <w:marBottom w:val="0"/>
              <w:divBdr>
                <w:top w:val="none" w:sz="0" w:space="0" w:color="auto"/>
                <w:left w:val="none" w:sz="0" w:space="0" w:color="auto"/>
                <w:bottom w:val="none" w:sz="0" w:space="0" w:color="auto"/>
                <w:right w:val="none" w:sz="0" w:space="0" w:color="auto"/>
              </w:divBdr>
            </w:div>
          </w:divsChild>
        </w:div>
        <w:div w:id="2117166868">
          <w:marLeft w:val="0"/>
          <w:marRight w:val="0"/>
          <w:marTop w:val="0"/>
          <w:marBottom w:val="0"/>
          <w:divBdr>
            <w:top w:val="none" w:sz="0" w:space="0" w:color="auto"/>
            <w:left w:val="none" w:sz="0" w:space="0" w:color="auto"/>
            <w:bottom w:val="none" w:sz="0" w:space="0" w:color="auto"/>
            <w:right w:val="none" w:sz="0" w:space="0" w:color="auto"/>
          </w:divBdr>
          <w:divsChild>
            <w:div w:id="1184827542">
              <w:marLeft w:val="0"/>
              <w:marRight w:val="0"/>
              <w:marTop w:val="0"/>
              <w:marBottom w:val="0"/>
              <w:divBdr>
                <w:top w:val="none" w:sz="0" w:space="0" w:color="auto"/>
                <w:left w:val="none" w:sz="0" w:space="0" w:color="auto"/>
                <w:bottom w:val="none" w:sz="0" w:space="0" w:color="auto"/>
                <w:right w:val="none" w:sz="0" w:space="0" w:color="auto"/>
              </w:divBdr>
            </w:div>
          </w:divsChild>
        </w:div>
        <w:div w:id="261572047">
          <w:marLeft w:val="0"/>
          <w:marRight w:val="0"/>
          <w:marTop w:val="0"/>
          <w:marBottom w:val="0"/>
          <w:divBdr>
            <w:top w:val="none" w:sz="0" w:space="0" w:color="auto"/>
            <w:left w:val="none" w:sz="0" w:space="0" w:color="auto"/>
            <w:bottom w:val="none" w:sz="0" w:space="0" w:color="auto"/>
            <w:right w:val="none" w:sz="0" w:space="0" w:color="auto"/>
          </w:divBdr>
        </w:div>
        <w:div w:id="755589019">
          <w:marLeft w:val="0"/>
          <w:marRight w:val="0"/>
          <w:marTop w:val="0"/>
          <w:marBottom w:val="0"/>
          <w:divBdr>
            <w:top w:val="none" w:sz="0" w:space="0" w:color="auto"/>
            <w:left w:val="none" w:sz="0" w:space="0" w:color="auto"/>
            <w:bottom w:val="none" w:sz="0" w:space="0" w:color="auto"/>
            <w:right w:val="none" w:sz="0" w:space="0" w:color="auto"/>
          </w:divBdr>
          <w:divsChild>
            <w:div w:id="964434213">
              <w:marLeft w:val="0"/>
              <w:marRight w:val="0"/>
              <w:marTop w:val="0"/>
              <w:marBottom w:val="0"/>
              <w:divBdr>
                <w:top w:val="none" w:sz="0" w:space="0" w:color="auto"/>
                <w:left w:val="none" w:sz="0" w:space="0" w:color="auto"/>
                <w:bottom w:val="none" w:sz="0" w:space="0" w:color="auto"/>
                <w:right w:val="none" w:sz="0" w:space="0" w:color="auto"/>
              </w:divBdr>
            </w:div>
          </w:divsChild>
        </w:div>
        <w:div w:id="1610352734">
          <w:marLeft w:val="0"/>
          <w:marRight w:val="0"/>
          <w:marTop w:val="0"/>
          <w:marBottom w:val="0"/>
          <w:divBdr>
            <w:top w:val="none" w:sz="0" w:space="0" w:color="auto"/>
            <w:left w:val="none" w:sz="0" w:space="0" w:color="auto"/>
            <w:bottom w:val="none" w:sz="0" w:space="0" w:color="auto"/>
            <w:right w:val="none" w:sz="0" w:space="0" w:color="auto"/>
          </w:divBdr>
        </w:div>
        <w:div w:id="407120672">
          <w:marLeft w:val="0"/>
          <w:marRight w:val="0"/>
          <w:marTop w:val="0"/>
          <w:marBottom w:val="0"/>
          <w:divBdr>
            <w:top w:val="none" w:sz="0" w:space="0" w:color="auto"/>
            <w:left w:val="none" w:sz="0" w:space="0" w:color="auto"/>
            <w:bottom w:val="none" w:sz="0" w:space="0" w:color="auto"/>
            <w:right w:val="none" w:sz="0" w:space="0" w:color="auto"/>
          </w:divBdr>
        </w:div>
        <w:div w:id="1827236298">
          <w:marLeft w:val="0"/>
          <w:marRight w:val="0"/>
          <w:marTop w:val="0"/>
          <w:marBottom w:val="0"/>
          <w:divBdr>
            <w:top w:val="none" w:sz="0" w:space="0" w:color="auto"/>
            <w:left w:val="none" w:sz="0" w:space="0" w:color="auto"/>
            <w:bottom w:val="none" w:sz="0" w:space="0" w:color="auto"/>
            <w:right w:val="none" w:sz="0" w:space="0" w:color="auto"/>
          </w:divBdr>
        </w:div>
        <w:div w:id="328797137">
          <w:marLeft w:val="0"/>
          <w:marRight w:val="0"/>
          <w:marTop w:val="0"/>
          <w:marBottom w:val="0"/>
          <w:divBdr>
            <w:top w:val="none" w:sz="0" w:space="0" w:color="auto"/>
            <w:left w:val="none" w:sz="0" w:space="0" w:color="auto"/>
            <w:bottom w:val="none" w:sz="0" w:space="0" w:color="auto"/>
            <w:right w:val="none" w:sz="0" w:space="0" w:color="auto"/>
          </w:divBdr>
        </w:div>
        <w:div w:id="1416315998">
          <w:marLeft w:val="0"/>
          <w:marRight w:val="0"/>
          <w:marTop w:val="0"/>
          <w:marBottom w:val="0"/>
          <w:divBdr>
            <w:top w:val="none" w:sz="0" w:space="0" w:color="auto"/>
            <w:left w:val="none" w:sz="0" w:space="0" w:color="auto"/>
            <w:bottom w:val="none" w:sz="0" w:space="0" w:color="auto"/>
            <w:right w:val="none" w:sz="0" w:space="0" w:color="auto"/>
          </w:divBdr>
        </w:div>
        <w:div w:id="1736901052">
          <w:marLeft w:val="0"/>
          <w:marRight w:val="0"/>
          <w:marTop w:val="0"/>
          <w:marBottom w:val="0"/>
          <w:divBdr>
            <w:top w:val="none" w:sz="0" w:space="0" w:color="auto"/>
            <w:left w:val="none" w:sz="0" w:space="0" w:color="auto"/>
            <w:bottom w:val="none" w:sz="0" w:space="0" w:color="auto"/>
            <w:right w:val="none" w:sz="0" w:space="0" w:color="auto"/>
          </w:divBdr>
        </w:div>
        <w:div w:id="617176894">
          <w:marLeft w:val="0"/>
          <w:marRight w:val="0"/>
          <w:marTop w:val="0"/>
          <w:marBottom w:val="0"/>
          <w:divBdr>
            <w:top w:val="none" w:sz="0" w:space="0" w:color="auto"/>
            <w:left w:val="none" w:sz="0" w:space="0" w:color="auto"/>
            <w:bottom w:val="none" w:sz="0" w:space="0" w:color="auto"/>
            <w:right w:val="none" w:sz="0" w:space="0" w:color="auto"/>
          </w:divBdr>
        </w:div>
        <w:div w:id="1933852100">
          <w:marLeft w:val="0"/>
          <w:marRight w:val="0"/>
          <w:marTop w:val="0"/>
          <w:marBottom w:val="0"/>
          <w:divBdr>
            <w:top w:val="none" w:sz="0" w:space="0" w:color="auto"/>
            <w:left w:val="none" w:sz="0" w:space="0" w:color="auto"/>
            <w:bottom w:val="none" w:sz="0" w:space="0" w:color="auto"/>
            <w:right w:val="none" w:sz="0" w:space="0" w:color="auto"/>
          </w:divBdr>
        </w:div>
        <w:div w:id="432895514">
          <w:marLeft w:val="0"/>
          <w:marRight w:val="0"/>
          <w:marTop w:val="0"/>
          <w:marBottom w:val="0"/>
          <w:divBdr>
            <w:top w:val="none" w:sz="0" w:space="0" w:color="auto"/>
            <w:left w:val="none" w:sz="0" w:space="0" w:color="auto"/>
            <w:bottom w:val="none" w:sz="0" w:space="0" w:color="auto"/>
            <w:right w:val="none" w:sz="0" w:space="0" w:color="auto"/>
          </w:divBdr>
        </w:div>
        <w:div w:id="2010477272">
          <w:marLeft w:val="0"/>
          <w:marRight w:val="0"/>
          <w:marTop w:val="0"/>
          <w:marBottom w:val="0"/>
          <w:divBdr>
            <w:top w:val="none" w:sz="0" w:space="0" w:color="auto"/>
            <w:left w:val="none" w:sz="0" w:space="0" w:color="auto"/>
            <w:bottom w:val="none" w:sz="0" w:space="0" w:color="auto"/>
            <w:right w:val="none" w:sz="0" w:space="0" w:color="auto"/>
          </w:divBdr>
        </w:div>
        <w:div w:id="436174317">
          <w:marLeft w:val="0"/>
          <w:marRight w:val="0"/>
          <w:marTop w:val="0"/>
          <w:marBottom w:val="0"/>
          <w:divBdr>
            <w:top w:val="none" w:sz="0" w:space="0" w:color="auto"/>
            <w:left w:val="none" w:sz="0" w:space="0" w:color="auto"/>
            <w:bottom w:val="none" w:sz="0" w:space="0" w:color="auto"/>
            <w:right w:val="none" w:sz="0" w:space="0" w:color="auto"/>
          </w:divBdr>
          <w:divsChild>
            <w:div w:id="1723870518">
              <w:marLeft w:val="0"/>
              <w:marRight w:val="0"/>
              <w:marTop w:val="0"/>
              <w:marBottom w:val="0"/>
              <w:divBdr>
                <w:top w:val="none" w:sz="0" w:space="0" w:color="auto"/>
                <w:left w:val="none" w:sz="0" w:space="0" w:color="auto"/>
                <w:bottom w:val="none" w:sz="0" w:space="0" w:color="auto"/>
                <w:right w:val="none" w:sz="0" w:space="0" w:color="auto"/>
              </w:divBdr>
            </w:div>
            <w:div w:id="135996366">
              <w:marLeft w:val="0"/>
              <w:marRight w:val="0"/>
              <w:marTop w:val="0"/>
              <w:marBottom w:val="0"/>
              <w:divBdr>
                <w:top w:val="none" w:sz="0" w:space="0" w:color="auto"/>
                <w:left w:val="none" w:sz="0" w:space="0" w:color="auto"/>
                <w:bottom w:val="none" w:sz="0" w:space="0" w:color="auto"/>
                <w:right w:val="none" w:sz="0" w:space="0" w:color="auto"/>
              </w:divBdr>
            </w:div>
          </w:divsChild>
        </w:div>
        <w:div w:id="313607657">
          <w:marLeft w:val="0"/>
          <w:marRight w:val="0"/>
          <w:marTop w:val="0"/>
          <w:marBottom w:val="0"/>
          <w:divBdr>
            <w:top w:val="none" w:sz="0" w:space="0" w:color="auto"/>
            <w:left w:val="none" w:sz="0" w:space="0" w:color="auto"/>
            <w:bottom w:val="none" w:sz="0" w:space="0" w:color="auto"/>
            <w:right w:val="none" w:sz="0" w:space="0" w:color="auto"/>
          </w:divBdr>
        </w:div>
        <w:div w:id="433669462">
          <w:marLeft w:val="0"/>
          <w:marRight w:val="0"/>
          <w:marTop w:val="0"/>
          <w:marBottom w:val="0"/>
          <w:divBdr>
            <w:top w:val="none" w:sz="0" w:space="0" w:color="auto"/>
            <w:left w:val="none" w:sz="0" w:space="0" w:color="auto"/>
            <w:bottom w:val="none" w:sz="0" w:space="0" w:color="auto"/>
            <w:right w:val="none" w:sz="0" w:space="0" w:color="auto"/>
          </w:divBdr>
        </w:div>
        <w:div w:id="2044211930">
          <w:marLeft w:val="0"/>
          <w:marRight w:val="0"/>
          <w:marTop w:val="0"/>
          <w:marBottom w:val="0"/>
          <w:divBdr>
            <w:top w:val="none" w:sz="0" w:space="0" w:color="auto"/>
            <w:left w:val="none" w:sz="0" w:space="0" w:color="auto"/>
            <w:bottom w:val="none" w:sz="0" w:space="0" w:color="auto"/>
            <w:right w:val="none" w:sz="0" w:space="0" w:color="auto"/>
          </w:divBdr>
          <w:divsChild>
            <w:div w:id="11685018">
              <w:marLeft w:val="0"/>
              <w:marRight w:val="0"/>
              <w:marTop w:val="0"/>
              <w:marBottom w:val="0"/>
              <w:divBdr>
                <w:top w:val="none" w:sz="0" w:space="0" w:color="auto"/>
                <w:left w:val="none" w:sz="0" w:space="0" w:color="auto"/>
                <w:bottom w:val="none" w:sz="0" w:space="0" w:color="auto"/>
                <w:right w:val="none" w:sz="0" w:space="0" w:color="auto"/>
              </w:divBdr>
            </w:div>
            <w:div w:id="1137531183">
              <w:marLeft w:val="0"/>
              <w:marRight w:val="0"/>
              <w:marTop w:val="0"/>
              <w:marBottom w:val="0"/>
              <w:divBdr>
                <w:top w:val="none" w:sz="0" w:space="0" w:color="auto"/>
                <w:left w:val="none" w:sz="0" w:space="0" w:color="auto"/>
                <w:bottom w:val="none" w:sz="0" w:space="0" w:color="auto"/>
                <w:right w:val="none" w:sz="0" w:space="0" w:color="auto"/>
              </w:divBdr>
            </w:div>
          </w:divsChild>
        </w:div>
        <w:div w:id="1828403514">
          <w:marLeft w:val="0"/>
          <w:marRight w:val="0"/>
          <w:marTop w:val="0"/>
          <w:marBottom w:val="0"/>
          <w:divBdr>
            <w:top w:val="none" w:sz="0" w:space="0" w:color="auto"/>
            <w:left w:val="none" w:sz="0" w:space="0" w:color="auto"/>
            <w:bottom w:val="none" w:sz="0" w:space="0" w:color="auto"/>
            <w:right w:val="none" w:sz="0" w:space="0" w:color="auto"/>
          </w:divBdr>
        </w:div>
        <w:div w:id="302546005">
          <w:marLeft w:val="0"/>
          <w:marRight w:val="0"/>
          <w:marTop w:val="0"/>
          <w:marBottom w:val="0"/>
          <w:divBdr>
            <w:top w:val="none" w:sz="0" w:space="0" w:color="auto"/>
            <w:left w:val="none" w:sz="0" w:space="0" w:color="auto"/>
            <w:bottom w:val="none" w:sz="0" w:space="0" w:color="auto"/>
            <w:right w:val="none" w:sz="0" w:space="0" w:color="auto"/>
          </w:divBdr>
        </w:div>
        <w:div w:id="506676082">
          <w:marLeft w:val="0"/>
          <w:marRight w:val="0"/>
          <w:marTop w:val="0"/>
          <w:marBottom w:val="0"/>
          <w:divBdr>
            <w:top w:val="none" w:sz="0" w:space="0" w:color="auto"/>
            <w:left w:val="none" w:sz="0" w:space="0" w:color="auto"/>
            <w:bottom w:val="none" w:sz="0" w:space="0" w:color="auto"/>
            <w:right w:val="none" w:sz="0" w:space="0" w:color="auto"/>
          </w:divBdr>
          <w:divsChild>
            <w:div w:id="2090031865">
              <w:marLeft w:val="0"/>
              <w:marRight w:val="0"/>
              <w:marTop w:val="0"/>
              <w:marBottom w:val="0"/>
              <w:divBdr>
                <w:top w:val="none" w:sz="0" w:space="0" w:color="auto"/>
                <w:left w:val="none" w:sz="0" w:space="0" w:color="auto"/>
                <w:bottom w:val="none" w:sz="0" w:space="0" w:color="auto"/>
                <w:right w:val="none" w:sz="0" w:space="0" w:color="auto"/>
              </w:divBdr>
            </w:div>
            <w:div w:id="852651196">
              <w:marLeft w:val="0"/>
              <w:marRight w:val="0"/>
              <w:marTop w:val="0"/>
              <w:marBottom w:val="0"/>
              <w:divBdr>
                <w:top w:val="none" w:sz="0" w:space="0" w:color="auto"/>
                <w:left w:val="none" w:sz="0" w:space="0" w:color="auto"/>
                <w:bottom w:val="none" w:sz="0" w:space="0" w:color="auto"/>
                <w:right w:val="none" w:sz="0" w:space="0" w:color="auto"/>
              </w:divBdr>
            </w:div>
          </w:divsChild>
        </w:div>
        <w:div w:id="2129544820">
          <w:marLeft w:val="0"/>
          <w:marRight w:val="0"/>
          <w:marTop w:val="0"/>
          <w:marBottom w:val="0"/>
          <w:divBdr>
            <w:top w:val="none" w:sz="0" w:space="0" w:color="auto"/>
            <w:left w:val="none" w:sz="0" w:space="0" w:color="auto"/>
            <w:bottom w:val="none" w:sz="0" w:space="0" w:color="auto"/>
            <w:right w:val="none" w:sz="0" w:space="0" w:color="auto"/>
          </w:divBdr>
        </w:div>
        <w:div w:id="2046563086">
          <w:marLeft w:val="0"/>
          <w:marRight w:val="0"/>
          <w:marTop w:val="0"/>
          <w:marBottom w:val="0"/>
          <w:divBdr>
            <w:top w:val="none" w:sz="0" w:space="0" w:color="auto"/>
            <w:left w:val="none" w:sz="0" w:space="0" w:color="auto"/>
            <w:bottom w:val="none" w:sz="0" w:space="0" w:color="auto"/>
            <w:right w:val="none" w:sz="0" w:space="0" w:color="auto"/>
          </w:divBdr>
        </w:div>
        <w:div w:id="1160660895">
          <w:marLeft w:val="0"/>
          <w:marRight w:val="0"/>
          <w:marTop w:val="0"/>
          <w:marBottom w:val="0"/>
          <w:divBdr>
            <w:top w:val="none" w:sz="0" w:space="0" w:color="auto"/>
            <w:left w:val="none" w:sz="0" w:space="0" w:color="auto"/>
            <w:bottom w:val="none" w:sz="0" w:space="0" w:color="auto"/>
            <w:right w:val="none" w:sz="0" w:space="0" w:color="auto"/>
          </w:divBdr>
          <w:divsChild>
            <w:div w:id="2064481173">
              <w:marLeft w:val="0"/>
              <w:marRight w:val="0"/>
              <w:marTop w:val="0"/>
              <w:marBottom w:val="0"/>
              <w:divBdr>
                <w:top w:val="none" w:sz="0" w:space="0" w:color="auto"/>
                <w:left w:val="none" w:sz="0" w:space="0" w:color="auto"/>
                <w:bottom w:val="none" w:sz="0" w:space="0" w:color="auto"/>
                <w:right w:val="none" w:sz="0" w:space="0" w:color="auto"/>
              </w:divBdr>
            </w:div>
            <w:div w:id="900487256">
              <w:marLeft w:val="0"/>
              <w:marRight w:val="0"/>
              <w:marTop w:val="0"/>
              <w:marBottom w:val="0"/>
              <w:divBdr>
                <w:top w:val="none" w:sz="0" w:space="0" w:color="auto"/>
                <w:left w:val="none" w:sz="0" w:space="0" w:color="auto"/>
                <w:bottom w:val="none" w:sz="0" w:space="0" w:color="auto"/>
                <w:right w:val="none" w:sz="0" w:space="0" w:color="auto"/>
              </w:divBdr>
            </w:div>
          </w:divsChild>
        </w:div>
        <w:div w:id="837505744">
          <w:marLeft w:val="0"/>
          <w:marRight w:val="0"/>
          <w:marTop w:val="0"/>
          <w:marBottom w:val="0"/>
          <w:divBdr>
            <w:top w:val="none" w:sz="0" w:space="0" w:color="auto"/>
            <w:left w:val="none" w:sz="0" w:space="0" w:color="auto"/>
            <w:bottom w:val="none" w:sz="0" w:space="0" w:color="auto"/>
            <w:right w:val="none" w:sz="0" w:space="0" w:color="auto"/>
          </w:divBdr>
        </w:div>
        <w:div w:id="544025541">
          <w:marLeft w:val="0"/>
          <w:marRight w:val="0"/>
          <w:marTop w:val="0"/>
          <w:marBottom w:val="0"/>
          <w:divBdr>
            <w:top w:val="none" w:sz="0" w:space="0" w:color="auto"/>
            <w:left w:val="none" w:sz="0" w:space="0" w:color="auto"/>
            <w:bottom w:val="none" w:sz="0" w:space="0" w:color="auto"/>
            <w:right w:val="none" w:sz="0" w:space="0" w:color="auto"/>
          </w:divBdr>
        </w:div>
        <w:div w:id="773593185">
          <w:marLeft w:val="0"/>
          <w:marRight w:val="0"/>
          <w:marTop w:val="0"/>
          <w:marBottom w:val="0"/>
          <w:divBdr>
            <w:top w:val="none" w:sz="0" w:space="0" w:color="auto"/>
            <w:left w:val="none" w:sz="0" w:space="0" w:color="auto"/>
            <w:bottom w:val="none" w:sz="0" w:space="0" w:color="auto"/>
            <w:right w:val="none" w:sz="0" w:space="0" w:color="auto"/>
          </w:divBdr>
          <w:divsChild>
            <w:div w:id="1188644245">
              <w:marLeft w:val="0"/>
              <w:marRight w:val="0"/>
              <w:marTop w:val="0"/>
              <w:marBottom w:val="0"/>
              <w:divBdr>
                <w:top w:val="none" w:sz="0" w:space="0" w:color="auto"/>
                <w:left w:val="none" w:sz="0" w:space="0" w:color="auto"/>
                <w:bottom w:val="none" w:sz="0" w:space="0" w:color="auto"/>
                <w:right w:val="none" w:sz="0" w:space="0" w:color="auto"/>
              </w:divBdr>
            </w:div>
            <w:div w:id="1934588647">
              <w:marLeft w:val="0"/>
              <w:marRight w:val="0"/>
              <w:marTop w:val="0"/>
              <w:marBottom w:val="0"/>
              <w:divBdr>
                <w:top w:val="none" w:sz="0" w:space="0" w:color="auto"/>
                <w:left w:val="none" w:sz="0" w:space="0" w:color="auto"/>
                <w:bottom w:val="none" w:sz="0" w:space="0" w:color="auto"/>
                <w:right w:val="none" w:sz="0" w:space="0" w:color="auto"/>
              </w:divBdr>
            </w:div>
          </w:divsChild>
        </w:div>
        <w:div w:id="880239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s://www.gov.br/empresas-e-negocios/pt-br/empreendedor"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styles" Target="style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gov.br/compras/pt-br/acesso-a-informacao/legislacao/instrucoes-normativas/instrucao-normativa-no-53-de-8-de-julho-de-2020"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2/Decreto/D11246.htm" TargetMode="External"/><Relationship Id="rId24" Type="http://schemas.openxmlformats.org/officeDocument/2006/relationships/hyperlink" Target="https://in.gov.br/en/web/dou/-/instrucao-normativa-seges/me-n-77-de-4-de-novembro-de-2022-441681061" TargetMode="External"/><Relationship Id="rId32" Type="http://schemas.openxmlformats.org/officeDocument/2006/relationships/hyperlink" Target="http://www.portaldatransparencia.gov.br/ceis" TargetMode="External"/><Relationship Id="rId37" Type="http://schemas.openxmlformats.org/officeDocument/2006/relationships/hyperlink" Target="https://www.planalto.gov.br/ccivil_03/_ato2019-2022/2021/decreto/d10880.htm" TargetMode="External"/><Relationship Id="rId40" Type="http://schemas.openxmlformats.org/officeDocument/2006/relationships/theme" Target="theme/theme1.xm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www.planalto.gov.br/ccivil_03/_ato2019-2022/2022/Decreto/D11246.htm"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www.planalto.gov.br/ccivil_03/AGU/Pareceres/2019-2022/PRC-JL-01-2020.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2/Decreto/D11246.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in.gov.br/en/web/dou/-/instrucao-normativa-seges/me-n-77-de-4-de-novembro-de-2022-441681061"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economia/pt-br/assuntos/drei/legislacao/arquivos/legislacoes-federais/indrei772020.pdf" TargetMode="External"/><Relationship Id="rId8" Type="http://schemas.openxmlformats.org/officeDocument/2006/relationships/hyperlink" Target="https://www.planalto.gov.br/ccivil_03/_ato2019-2022/2022/Decreto/D11246.htm" TargetMode="External"/><Relationship Id="rId3"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4635</Words>
  <Characters>25030</Characters>
  <Application>Microsoft Office Word</Application>
  <DocSecurity>0</DocSecurity>
  <Lines>208</Lines>
  <Paragraphs>59</Paragraphs>
  <ScaleCrop>false</ScaleCrop>
  <Company/>
  <LinksUpToDate>false</LinksUpToDate>
  <CharactersWithSpaces>29606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de Almeida Lima</dc:creator>
  <cp:keywords/>
  <dc:description/>
  <cp:lastModifiedBy>Paula de Almeida Lima</cp:lastModifiedBy>
  <cp:revision>1</cp:revision>
  <dcterms:created xsi:type="dcterms:W3CDTF">2023-07-13T13:26:00Z</dcterms:created>
  <dcterms:modified xsi:type="dcterms:W3CDTF">2023-07-13T13:26:00Z</dcterms:modified>
</cp:coreProperties>
</file>