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6600DF5A"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00066/2023</w:t>
      </w:r>
      <w:r w:rsidR="00E16754">
        <w:rPr>
          <w:rFonts w:ascii="Calibri" w:eastAsia="Times New Roman" w:hAnsi="Calibri" w:cs="Calibri"/>
          <w:b/>
          <w:bCs/>
          <w:color w:val="000000"/>
          <w:kern w:val="0"/>
          <w:sz w:val="27"/>
          <w:szCs w:val="27"/>
          <w:lang w:eastAsia="pt-BR"/>
          <w14:ligatures w14:val="none"/>
        </w:rPr>
        <w:t>-88</w:t>
      </w:r>
    </w:p>
    <w:p w14:paraId="0550898A" w14:textId="0F739BB0"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762A3D">
        <w:rPr>
          <w:rFonts w:ascii="Calibri" w:eastAsia="Times New Roman" w:hAnsi="Calibri" w:cs="Calibri"/>
          <w:b/>
          <w:bCs/>
          <w:color w:val="000000"/>
          <w:kern w:val="0"/>
          <w:sz w:val="27"/>
          <w:szCs w:val="27"/>
          <w:lang w:eastAsia="pt-BR"/>
          <w14:ligatures w14:val="none"/>
        </w:rPr>
        <w:t>7/2023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proofErr w:type="spellStart"/>
      <w:r w:rsidR="00E16754">
        <w:rPr>
          <w:rFonts w:ascii="Calibri" w:eastAsia="Times New Roman" w:hAnsi="Calibri" w:cs="Calibri"/>
          <w:color w:val="000000"/>
          <w:kern w:val="0"/>
          <w:sz w:val="27"/>
          <w:szCs w:val="27"/>
          <w:lang w:eastAsia="pt-BR"/>
          <w14:ligatures w14:val="none"/>
        </w:rPr>
        <w:t>Aggeu</w:t>
      </w:r>
      <w:proofErr w:type="spellEnd"/>
      <w:r w:rsidR="00E16754">
        <w:rPr>
          <w:rFonts w:ascii="Calibri" w:eastAsia="Times New Roman" w:hAnsi="Calibri" w:cs="Calibri"/>
          <w:color w:val="000000"/>
          <w:kern w:val="0"/>
          <w:sz w:val="27"/>
          <w:szCs w:val="27"/>
          <w:lang w:eastAsia="pt-BR"/>
          <w14:ligatures w14:val="none"/>
        </w:rPr>
        <w:t xml:space="preserve"> Magalhães</w:t>
      </w:r>
    </w:p>
    <w:p w14:paraId="09C9FC4B" w14:textId="40DB0010"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E93695" w:rsidRPr="00364FF1">
        <w:rPr>
          <w:rFonts w:ascii="Calibri" w:eastAsia="Times New Roman" w:hAnsi="Calibri" w:cs="Calibri"/>
          <w:color w:val="000000"/>
          <w:kern w:val="0"/>
          <w:sz w:val="27"/>
          <w:szCs w:val="27"/>
          <w:lang w:eastAsia="pt-BR"/>
          <w14:ligatures w14:val="none"/>
        </w:rPr>
        <w:t xml:space="preserve">Contratação de serviço de engenharia de fiscalização de obra de execução dos serviços de Recuperação das cobertas dos Blocos B, D e impermeabilização do subsolo do Bloco G do Instituto </w:t>
      </w:r>
      <w:proofErr w:type="spellStart"/>
      <w:r w:rsidR="00E93695" w:rsidRPr="00364FF1">
        <w:rPr>
          <w:rFonts w:ascii="Calibri" w:eastAsia="Times New Roman" w:hAnsi="Calibri" w:cs="Calibri"/>
          <w:color w:val="000000"/>
          <w:kern w:val="0"/>
          <w:sz w:val="27"/>
          <w:szCs w:val="27"/>
          <w:lang w:eastAsia="pt-BR"/>
          <w14:ligatures w14:val="none"/>
        </w:rPr>
        <w:t>Aggeu</w:t>
      </w:r>
      <w:proofErr w:type="spellEnd"/>
      <w:r w:rsidR="00E93695" w:rsidRPr="00364FF1">
        <w:rPr>
          <w:rFonts w:ascii="Calibri" w:eastAsia="Times New Roman" w:hAnsi="Calibri" w:cs="Calibri"/>
          <w:color w:val="000000"/>
          <w:kern w:val="0"/>
          <w:sz w:val="27"/>
          <w:szCs w:val="27"/>
          <w:lang w:eastAsia="pt-BR"/>
          <w14:ligatures w14:val="none"/>
        </w:rPr>
        <w:t xml:space="preserve"> Magalhães (IAM), nos </w:t>
      </w:r>
      <w:r w:rsidR="00AE5CCA">
        <w:rPr>
          <w:rFonts w:ascii="Calibri" w:eastAsia="Times New Roman" w:hAnsi="Calibri" w:cs="Calibri"/>
          <w:color w:val="000000"/>
          <w:kern w:val="0"/>
          <w:sz w:val="27"/>
          <w:szCs w:val="27"/>
          <w:lang w:eastAsia="pt-BR"/>
          <w14:ligatures w14:val="none"/>
        </w:rPr>
        <w:t>termos estabelecidos neste instrumento</w:t>
      </w:r>
      <w:r w:rsidR="00E93695" w:rsidRPr="00364FF1">
        <w:rPr>
          <w:rFonts w:ascii="Calibri" w:eastAsia="Times New Roman" w:hAnsi="Calibri" w:cs="Calibri"/>
          <w:color w:val="000000"/>
          <w:kern w:val="0"/>
          <w:sz w:val="27"/>
          <w:szCs w:val="27"/>
          <w:lang w:eastAsia="pt-BR"/>
          <w14:ligatures w14:val="none"/>
        </w:rPr>
        <w:t>.</w:t>
      </w:r>
    </w:p>
    <w:p w14:paraId="23DFB924" w14:textId="3E1D5B87"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10/03/2023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OBJETO DA CONTRATAÇÃO DIRETA</w:t>
      </w:r>
    </w:p>
    <w:p w14:paraId="499DB3BB" w14:textId="1BE2659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AE5CCA" w:rsidRPr="00364FF1">
        <w:rPr>
          <w:rFonts w:ascii="Calibri" w:eastAsia="Times New Roman" w:hAnsi="Calibri" w:cs="Calibri"/>
          <w:color w:val="000000"/>
          <w:kern w:val="0"/>
          <w:sz w:val="27"/>
          <w:szCs w:val="27"/>
          <w:lang w:eastAsia="pt-BR"/>
          <w14:ligatures w14:val="none"/>
        </w:rPr>
        <w:t xml:space="preserve">Contratação de serviço de engenharia de fiscalização de obra de execução dos serviços de Recuperação das cobertas dos Blocos B, D e impermeabilização do subsolo do Bloco G do Instituto </w:t>
      </w:r>
      <w:proofErr w:type="spellStart"/>
      <w:r w:rsidR="00AE5CCA" w:rsidRPr="00364FF1">
        <w:rPr>
          <w:rFonts w:ascii="Calibri" w:eastAsia="Times New Roman" w:hAnsi="Calibri" w:cs="Calibri"/>
          <w:color w:val="000000"/>
          <w:kern w:val="0"/>
          <w:sz w:val="27"/>
          <w:szCs w:val="27"/>
          <w:lang w:eastAsia="pt-BR"/>
          <w14:ligatures w14:val="none"/>
        </w:rPr>
        <w:t>Aggeu</w:t>
      </w:r>
      <w:proofErr w:type="spellEnd"/>
      <w:r w:rsidR="00AE5CCA" w:rsidRPr="00364FF1">
        <w:rPr>
          <w:rFonts w:ascii="Calibri" w:eastAsia="Times New Roman" w:hAnsi="Calibri" w:cs="Calibri"/>
          <w:color w:val="000000"/>
          <w:kern w:val="0"/>
          <w:sz w:val="27"/>
          <w:szCs w:val="27"/>
          <w:lang w:eastAsia="pt-BR"/>
          <w14:ligatures w14:val="none"/>
        </w:rPr>
        <w:t xml:space="preserve"> Magalhães (IAM), nos </w:t>
      </w:r>
      <w:r w:rsidR="00AE5CCA">
        <w:rPr>
          <w:rFonts w:ascii="Calibri" w:eastAsia="Times New Roman" w:hAnsi="Calibri" w:cs="Calibri"/>
          <w:color w:val="000000"/>
          <w:kern w:val="0"/>
          <w:sz w:val="27"/>
          <w:szCs w:val="27"/>
          <w:lang w:eastAsia="pt-BR"/>
          <w14:ligatures w14:val="none"/>
        </w:rPr>
        <w:t>termos estabelecidos neste instrumento</w:t>
      </w:r>
    </w:p>
    <w:p w14:paraId="60488E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4"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fornecedor interessado, após a divulgação do aviso de contratação direta, encaminhará, exclusivamente por meio do Sistema de Dispensa Eletrônica, a proposta com a descrição do objeto ofertado, a marca do produto, quando </w:t>
      </w:r>
      <w:r w:rsidRPr="00880579">
        <w:rPr>
          <w:rFonts w:ascii="Calibri" w:eastAsia="Times New Roman" w:hAnsi="Calibri" w:cs="Calibri"/>
          <w:color w:val="000000"/>
          <w:kern w:val="0"/>
          <w:sz w:val="27"/>
          <w:szCs w:val="27"/>
          <w:lang w:eastAsia="pt-BR"/>
          <w14:ligatures w14:val="none"/>
        </w:rPr>
        <w:lastRenderedPageBreak/>
        <w:t>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5"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6"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7"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w:t>
      </w:r>
      <w:r w:rsidRPr="00880579">
        <w:rPr>
          <w:rFonts w:ascii="Calibri" w:eastAsia="Times New Roman" w:hAnsi="Calibri" w:cs="Calibri"/>
          <w:color w:val="000000"/>
          <w:kern w:val="0"/>
          <w:sz w:val="27"/>
          <w:szCs w:val="27"/>
          <w:lang w:eastAsia="pt-BR"/>
          <w14:ligatures w14:val="none"/>
        </w:rPr>
        <w:lastRenderedPageBreak/>
        <w:t>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aplicação de qualquer das penalidades previstas realizar-se-á em processo administrativo que assegurará o contraditório e a ampla defesa ao </w:t>
      </w:r>
      <w:r w:rsidRPr="00880579">
        <w:rPr>
          <w:rFonts w:ascii="Calibri" w:eastAsia="Times New Roman" w:hAnsi="Calibri" w:cs="Calibri"/>
          <w:color w:val="000000"/>
          <w:kern w:val="0"/>
          <w:sz w:val="27"/>
          <w:szCs w:val="27"/>
          <w:lang w:eastAsia="pt-BR"/>
          <w14:ligatures w14:val="none"/>
        </w:rPr>
        <w:lastRenderedPageBreak/>
        <w:t>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Não havendo expediente ou ocorrendo qualquer fato superveniente que impeça a realização do certame na data marcada, a sessão será automaticamente transferida para o primeiro dia útil subsequente, no </w:t>
      </w:r>
      <w:r w:rsidRPr="00880579">
        <w:rPr>
          <w:rFonts w:ascii="Calibri" w:eastAsia="Times New Roman" w:hAnsi="Calibri" w:cs="Calibri"/>
          <w:color w:val="000000"/>
          <w:kern w:val="0"/>
          <w:sz w:val="27"/>
          <w:szCs w:val="27"/>
          <w:lang w:eastAsia="pt-BR"/>
          <w14:ligatures w14:val="none"/>
        </w:rPr>
        <w:lastRenderedPageBreak/>
        <w:t>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336C0D20"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07 de março de </w:t>
      </w:r>
      <w:r w:rsidRPr="00880579">
        <w:rPr>
          <w:rFonts w:ascii="Calibri" w:eastAsia="Times New Roman" w:hAnsi="Calibri" w:cs="Calibri"/>
          <w:color w:val="000000"/>
          <w:kern w:val="0"/>
          <w:sz w:val="27"/>
          <w:szCs w:val="27"/>
          <w:lang w:eastAsia="pt-BR"/>
          <w14:ligatures w14:val="none"/>
        </w:rPr>
        <w:t>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5AD3BD52"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Tatiana Almeida</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6414F17A" w14:textId="33C4E34A" w:rsidR="00880579" w:rsidRPr="00880579"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1280BEBF" w14:textId="77777777" w:rsidR="00880579" w:rsidRPr="00880579" w:rsidRDefault="00880579" w:rsidP="00880579">
      <w:pPr>
        <w:spacing w:after="0"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11D4610" w14:textId="77777777" w:rsidR="006D1B04" w:rsidRPr="006D1B04" w:rsidRDefault="006D1B04" w:rsidP="006D1B04">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TERMO DE REFERÊNCIA – LEI 14.133/21</w:t>
      </w:r>
    </w:p>
    <w:p w14:paraId="0B15BCF1" w14:textId="77777777" w:rsidR="006D1B04" w:rsidRPr="006D1B04" w:rsidRDefault="006D1B04" w:rsidP="006D1B04">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SERVIÇO COMUM DE ENGENHARIA – CONTRATAÇÃO DIRETA</w:t>
      </w:r>
    </w:p>
    <w:p w14:paraId="5BFE170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DC6719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1. DAS CONDIÇÕES GERAIS DA CONTRATAÇÃO (art. 6º, XXIII, “a” e “i” da Lei n. 14.133/2021).</w:t>
      </w:r>
    </w:p>
    <w:p w14:paraId="00FF6B1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1.1.  Contratação de serviço de engenharia de fiscalização de obra de execução dos serviços de Recuperação das cobertas dos Blocos B, D e impermeabilização do subsolo do Bloco G do Instituto </w:t>
      </w:r>
      <w:proofErr w:type="spellStart"/>
      <w:r w:rsidRPr="006D1B04">
        <w:rPr>
          <w:rFonts w:ascii="Calibri" w:eastAsia="Times New Roman" w:hAnsi="Calibri" w:cs="Calibri"/>
          <w:color w:val="000000"/>
          <w:kern w:val="0"/>
          <w:sz w:val="27"/>
          <w:szCs w:val="27"/>
          <w:lang w:eastAsia="pt-BR"/>
          <w14:ligatures w14:val="none"/>
        </w:rPr>
        <w:t>Aggeu</w:t>
      </w:r>
      <w:proofErr w:type="spellEnd"/>
      <w:r w:rsidRPr="006D1B04">
        <w:rPr>
          <w:rFonts w:ascii="Calibri" w:eastAsia="Times New Roman" w:hAnsi="Calibri" w:cs="Calibri"/>
          <w:color w:val="000000"/>
          <w:kern w:val="0"/>
          <w:sz w:val="27"/>
          <w:szCs w:val="27"/>
          <w:lang w:eastAsia="pt-BR"/>
          <w14:ligatures w14:val="none"/>
        </w:rPr>
        <w:t xml:space="preserve"> Magalhães (IAM), nos termos da tabela abaixo, conforme condições e exigências estabelecidas neste instrumento.</w:t>
      </w:r>
    </w:p>
    <w:p w14:paraId="61BD348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tbl>
      <w:tblPr>
        <w:tblW w:w="0" w:type="auto"/>
        <w:tblCellSpacing w:w="6"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804"/>
        <w:gridCol w:w="2274"/>
        <w:gridCol w:w="1040"/>
        <w:gridCol w:w="1223"/>
        <w:gridCol w:w="1642"/>
        <w:gridCol w:w="1505"/>
      </w:tblGrid>
      <w:tr w:rsidR="006D1B04" w:rsidRPr="006D1B04" w14:paraId="0FA503FB" w14:textId="77777777" w:rsidTr="006D1B04">
        <w:trPr>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9484E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06BB1B7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ESPECIFICAÇÃO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84DC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CATSER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66CF76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UNIDADE DE MEDIDA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C0D0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QUANTIDADE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4F6C7A8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b/>
                <w:bCs/>
                <w:color w:val="000000"/>
                <w:kern w:val="0"/>
                <w:sz w:val="24"/>
                <w:szCs w:val="24"/>
                <w:lang w:eastAsia="pt-BR"/>
                <w14:ligatures w14:val="none"/>
              </w:rPr>
              <w:t>VALOR DE REFERÊNCIA</w:t>
            </w:r>
          </w:p>
        </w:tc>
      </w:tr>
      <w:tr w:rsidR="006D1B04" w:rsidRPr="006D1B04" w14:paraId="08D76D7D" w14:textId="77777777" w:rsidTr="006D1B04">
        <w:trPr>
          <w:tblCellSpacing w:w="6"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96687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32EA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xml:space="preserve">Serviço de engenharia de </w:t>
            </w:r>
            <w:proofErr w:type="gramStart"/>
            <w:r w:rsidRPr="006D1B04">
              <w:rPr>
                <w:rFonts w:ascii="Calibri" w:eastAsia="Times New Roman" w:hAnsi="Calibri" w:cs="Calibri"/>
                <w:color w:val="000000"/>
                <w:kern w:val="0"/>
                <w:sz w:val="24"/>
                <w:szCs w:val="24"/>
                <w:lang w:eastAsia="pt-BR"/>
                <w14:ligatures w14:val="none"/>
              </w:rPr>
              <w:t>fiscalização  de</w:t>
            </w:r>
            <w:proofErr w:type="gramEnd"/>
            <w:r w:rsidRPr="006D1B04">
              <w:rPr>
                <w:rFonts w:ascii="Calibri" w:eastAsia="Times New Roman" w:hAnsi="Calibri" w:cs="Calibri"/>
                <w:color w:val="000000"/>
                <w:kern w:val="0"/>
                <w:sz w:val="24"/>
                <w:szCs w:val="24"/>
                <w:lang w:eastAsia="pt-BR"/>
                <w14:ligatures w14:val="none"/>
              </w:rPr>
              <w:t xml:space="preserve"> obra de execução dos serviços de Recuperação das cobertas dos Blocos </w:t>
            </w:r>
            <w:r w:rsidRPr="006D1B04">
              <w:rPr>
                <w:rFonts w:ascii="Calibri" w:eastAsia="Times New Roman" w:hAnsi="Calibri" w:cs="Calibri"/>
                <w:color w:val="000000"/>
                <w:kern w:val="0"/>
                <w:sz w:val="24"/>
                <w:szCs w:val="24"/>
                <w:lang w:eastAsia="pt-BR"/>
                <w14:ligatures w14:val="none"/>
              </w:rPr>
              <w:lastRenderedPageBreak/>
              <w:t xml:space="preserve">B, D e impermeabilização do subsolo do Bloco G do Instituto </w:t>
            </w:r>
            <w:proofErr w:type="spellStart"/>
            <w:r w:rsidRPr="006D1B04">
              <w:rPr>
                <w:rFonts w:ascii="Calibri" w:eastAsia="Times New Roman" w:hAnsi="Calibri" w:cs="Calibri"/>
                <w:color w:val="000000"/>
                <w:kern w:val="0"/>
                <w:sz w:val="24"/>
                <w:szCs w:val="24"/>
                <w:lang w:eastAsia="pt-BR"/>
                <w14:ligatures w14:val="none"/>
              </w:rPr>
              <w:t>Aggeu</w:t>
            </w:r>
            <w:proofErr w:type="spellEnd"/>
            <w:r w:rsidRPr="006D1B04">
              <w:rPr>
                <w:rFonts w:ascii="Calibri" w:eastAsia="Times New Roman" w:hAnsi="Calibri" w:cs="Calibri"/>
                <w:color w:val="000000"/>
                <w:kern w:val="0"/>
                <w:sz w:val="24"/>
                <w:szCs w:val="24"/>
                <w:lang w:eastAsia="pt-BR"/>
                <w14:ligatures w14:val="none"/>
              </w:rPr>
              <w:t xml:space="preserve"> Magalhães (IAM)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91425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lastRenderedPageBreak/>
              <w:t>    1341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BBC2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serviço</w:t>
            </w:r>
          </w:p>
        </w:tc>
        <w:tc>
          <w:tcPr>
            <w:tcW w:w="0" w:type="auto"/>
            <w:tcBorders>
              <w:top w:val="outset" w:sz="6" w:space="0" w:color="auto"/>
              <w:left w:val="outset" w:sz="6" w:space="0" w:color="auto"/>
              <w:bottom w:val="outset" w:sz="6" w:space="0" w:color="auto"/>
              <w:right w:val="outset" w:sz="6" w:space="0" w:color="auto"/>
            </w:tcBorders>
            <w:vAlign w:val="center"/>
            <w:hideMark/>
          </w:tcPr>
          <w:p w14:paraId="515D2FB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FCE86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w:t>
            </w:r>
          </w:p>
          <w:p w14:paraId="476DB97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w:t>
            </w:r>
          </w:p>
          <w:p w14:paraId="5770436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w:t>
            </w:r>
          </w:p>
        </w:tc>
      </w:tr>
    </w:tbl>
    <w:p w14:paraId="4B90136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1460D3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776084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1.2. O prazo de vigência da contratação é de 4 meses contados da assinatura da ordem de serviço, na forma do artigo 105 da Lei n° 14.133/2021.</w:t>
      </w:r>
    </w:p>
    <w:p w14:paraId="7627FA5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1.3. O custo estimado total da contratação será estimado pelo Setor de Compras.</w:t>
      </w:r>
    </w:p>
    <w:p w14:paraId="76BB82B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1.4. O critério de aceitabilidade de preços será o valor global estimado para a contratação.</w:t>
      </w:r>
    </w:p>
    <w:p w14:paraId="12929FC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1.5. O proponente, ou, havendo dispensa eletrônica, aquele que estiver mais bem colocado na disputa, deverá apresentar à Administração, por meio eletrônico, planilha que contenha o preço global, os quantitativos e os preços unitários tidos como relevantes, conforme modelo de planilha elaborada pela Administração no Anexo A, para efeito de avaliação de exequibilidade (art. 59, §3º, da Lei nº 14.133/2021).</w:t>
      </w:r>
    </w:p>
    <w:p w14:paraId="1E08E53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64E713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2. FUNDAMENTAÇÃO E DESCRIÇÃO DA NECESSIDADE DA CONTRATAÇÃO (art. 6º, inciso XXIII, alínea ‘b’ da Lei n. 14.133/2021).</w:t>
      </w:r>
    </w:p>
    <w:p w14:paraId="1A59CC4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O Serviço de Infraestrutura e Manutenção (SEINFRA) do IAM dispõe de apenas 01 Engenheiro Civil para atuar nas áreas </w:t>
      </w:r>
      <w:proofErr w:type="gramStart"/>
      <w:r w:rsidRPr="006D1B04">
        <w:rPr>
          <w:rFonts w:ascii="Calibri" w:eastAsia="Times New Roman" w:hAnsi="Calibri" w:cs="Calibri"/>
          <w:color w:val="000000"/>
          <w:kern w:val="0"/>
          <w:sz w:val="27"/>
          <w:szCs w:val="27"/>
          <w:lang w:eastAsia="pt-BR"/>
          <w14:ligatures w14:val="none"/>
        </w:rPr>
        <w:t>de  gestão</w:t>
      </w:r>
      <w:proofErr w:type="gramEnd"/>
      <w:r w:rsidRPr="006D1B04">
        <w:rPr>
          <w:rFonts w:ascii="Calibri" w:eastAsia="Times New Roman" w:hAnsi="Calibri" w:cs="Calibri"/>
          <w:color w:val="000000"/>
          <w:kern w:val="0"/>
          <w:sz w:val="27"/>
          <w:szCs w:val="27"/>
          <w:lang w:eastAsia="pt-BR"/>
          <w14:ligatures w14:val="none"/>
        </w:rPr>
        <w:t xml:space="preserve"> e fiscalização técnica dos  contratos contínuos de  manutenção predial, abastecimento de água e elevadores; gestão e fiscalização técnica de obras, além de desenvolvimento de projetos, planilhas e termos de referência para novas licitações de obras e serviços de engenharia. Portanto, um único profissional se tona insuficiente para abranger todas essas atividades.</w:t>
      </w:r>
    </w:p>
    <w:p w14:paraId="01FDB6D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Com o início da execução do serviço de engenharia de Recuperação das cobertas dos blocos B, D e impermeabilização do subsolo do Bloco G, contratado pela FIOTEC, que possui características que requer acompanhamento constante, além de ser um serviço disperso e simultâneo em vários blocos do IAM; torna-se impraticável, a fiscalização dos </w:t>
      </w:r>
      <w:proofErr w:type="gramStart"/>
      <w:r w:rsidRPr="006D1B04">
        <w:rPr>
          <w:rFonts w:ascii="Calibri" w:eastAsia="Times New Roman" w:hAnsi="Calibri" w:cs="Calibri"/>
          <w:color w:val="000000"/>
          <w:kern w:val="0"/>
          <w:sz w:val="27"/>
          <w:szCs w:val="27"/>
          <w:lang w:eastAsia="pt-BR"/>
          <w14:ligatures w14:val="none"/>
        </w:rPr>
        <w:t>serviços  em</w:t>
      </w:r>
      <w:proofErr w:type="gramEnd"/>
      <w:r w:rsidRPr="006D1B04">
        <w:rPr>
          <w:rFonts w:ascii="Calibri" w:eastAsia="Times New Roman" w:hAnsi="Calibri" w:cs="Calibri"/>
          <w:color w:val="000000"/>
          <w:kern w:val="0"/>
          <w:sz w:val="27"/>
          <w:szCs w:val="27"/>
          <w:lang w:eastAsia="pt-BR"/>
          <w14:ligatures w14:val="none"/>
        </w:rPr>
        <w:t xml:space="preserve"> paralelo à  execução das demais atribuições citadas no parágrafo anterior pelo único profissional do quadro habilitado para essa finalidade. Portanto, se faz necessário a contratação de um profissional que </w:t>
      </w:r>
      <w:r w:rsidRPr="006D1B04">
        <w:rPr>
          <w:rFonts w:ascii="Calibri" w:eastAsia="Times New Roman" w:hAnsi="Calibri" w:cs="Calibri"/>
          <w:color w:val="000000"/>
          <w:kern w:val="0"/>
          <w:sz w:val="27"/>
          <w:szCs w:val="27"/>
          <w:lang w:eastAsia="pt-BR"/>
          <w14:ligatures w14:val="none"/>
        </w:rPr>
        <w:lastRenderedPageBreak/>
        <w:t>venha a contribuir na fiscalização destes serviços de acordo com este Termo de Referência.</w:t>
      </w:r>
    </w:p>
    <w:p w14:paraId="7D5B94F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D6FB40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3. DESCRIÇÃO DA SOLUÇÃO COMO UM TODO CONSIDERADO O CICLO DE VIDA DO OBJETO (art. 6º, inciso XXIII, alínea ‘c’, da Lei n. 14.133/2021).</w:t>
      </w:r>
    </w:p>
    <w:p w14:paraId="015A8D1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9E2B02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A Fiscalização da Obra compreenderá, conforme será detalhado adiante, um conjunto de ações que envolverão o acompanhamento sistemático do planejamento e da execução da obra, as medições, a verificação de conformidades e não conformidades com os projetos e especificações, além do controle da qualidade, do prazo, custo de cada obra e respectivos comissionamentos.</w:t>
      </w:r>
    </w:p>
    <w:p w14:paraId="588D708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Todos os serviços deverão ser realizados por profissional devidamente habilitado cabendo ao mesmo informar à CONTRATANTE toda e qualquer intercorrência relativa à execução da obra, propondo soluções e estimando os respectivos impactos de custo e prazo, se for o caso.</w:t>
      </w:r>
    </w:p>
    <w:p w14:paraId="45221F7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91E713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3.1 </w:t>
      </w:r>
      <w:r w:rsidRPr="006D1B04">
        <w:rPr>
          <w:rFonts w:ascii="Calibri" w:eastAsia="Times New Roman" w:hAnsi="Calibri" w:cs="Calibri"/>
          <w:b/>
          <w:bCs/>
          <w:color w:val="000000"/>
          <w:kern w:val="0"/>
          <w:sz w:val="27"/>
          <w:szCs w:val="27"/>
          <w:lang w:eastAsia="pt-BR"/>
          <w14:ligatures w14:val="none"/>
        </w:rPr>
        <w:t>Data para início da execução do objeto: </w:t>
      </w:r>
      <w:r w:rsidRPr="006D1B04">
        <w:rPr>
          <w:rFonts w:ascii="Calibri" w:eastAsia="Times New Roman" w:hAnsi="Calibri" w:cs="Calibri"/>
          <w:color w:val="000000"/>
          <w:kern w:val="0"/>
          <w:sz w:val="27"/>
          <w:szCs w:val="27"/>
          <w:lang w:eastAsia="pt-BR"/>
          <w14:ligatures w14:val="none"/>
        </w:rPr>
        <w:t>imediatamente após emissão da ordem de serviço</w:t>
      </w:r>
    </w:p>
    <w:p w14:paraId="2FEA72B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3.2 </w:t>
      </w:r>
      <w:r w:rsidRPr="006D1B04">
        <w:rPr>
          <w:rFonts w:ascii="Calibri" w:eastAsia="Times New Roman" w:hAnsi="Calibri" w:cs="Calibri"/>
          <w:b/>
          <w:bCs/>
          <w:color w:val="000000"/>
          <w:kern w:val="0"/>
          <w:sz w:val="27"/>
          <w:szCs w:val="27"/>
          <w:lang w:eastAsia="pt-BR"/>
          <w14:ligatures w14:val="none"/>
        </w:rPr>
        <w:t xml:space="preserve">Rotinas, </w:t>
      </w:r>
      <w:proofErr w:type="gramStart"/>
      <w:r w:rsidRPr="006D1B04">
        <w:rPr>
          <w:rFonts w:ascii="Calibri" w:eastAsia="Times New Roman" w:hAnsi="Calibri" w:cs="Calibri"/>
          <w:b/>
          <w:bCs/>
          <w:color w:val="000000"/>
          <w:kern w:val="0"/>
          <w:sz w:val="27"/>
          <w:szCs w:val="27"/>
          <w:lang w:eastAsia="pt-BR"/>
          <w14:ligatures w14:val="none"/>
        </w:rPr>
        <w:t>etapas  e</w:t>
      </w:r>
      <w:proofErr w:type="gramEnd"/>
      <w:r w:rsidRPr="006D1B04">
        <w:rPr>
          <w:rFonts w:ascii="Calibri" w:eastAsia="Times New Roman" w:hAnsi="Calibri" w:cs="Calibri"/>
          <w:b/>
          <w:bCs/>
          <w:color w:val="000000"/>
          <w:kern w:val="0"/>
          <w:sz w:val="27"/>
          <w:szCs w:val="27"/>
          <w:lang w:eastAsia="pt-BR"/>
          <w14:ligatures w14:val="none"/>
        </w:rPr>
        <w:t> procedimentos relacionadas à execução do trabalho</w:t>
      </w:r>
      <w:r w:rsidRPr="006D1B04">
        <w:rPr>
          <w:rFonts w:ascii="Calibri" w:eastAsia="Times New Roman" w:hAnsi="Calibri" w:cs="Calibri"/>
          <w:color w:val="000000"/>
          <w:kern w:val="0"/>
          <w:sz w:val="27"/>
          <w:szCs w:val="27"/>
          <w:lang w:eastAsia="pt-BR"/>
          <w14:ligatures w14:val="none"/>
        </w:rPr>
        <w:t>: estão indicadas no item 6.</w:t>
      </w:r>
    </w:p>
    <w:p w14:paraId="5040D77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3.3 </w:t>
      </w:r>
      <w:r w:rsidRPr="006D1B04">
        <w:rPr>
          <w:rFonts w:ascii="Calibri" w:eastAsia="Times New Roman" w:hAnsi="Calibri" w:cs="Calibri"/>
          <w:b/>
          <w:bCs/>
          <w:color w:val="000000"/>
          <w:kern w:val="0"/>
          <w:sz w:val="27"/>
          <w:szCs w:val="27"/>
          <w:lang w:eastAsia="pt-BR"/>
          <w14:ligatures w14:val="none"/>
        </w:rPr>
        <w:t>Frequência e a periodicidade dos serviços: </w:t>
      </w:r>
      <w:r w:rsidRPr="006D1B04">
        <w:rPr>
          <w:rFonts w:ascii="Calibri" w:eastAsia="Times New Roman" w:hAnsi="Calibri" w:cs="Calibri"/>
          <w:color w:val="000000"/>
          <w:kern w:val="0"/>
          <w:sz w:val="27"/>
          <w:szCs w:val="27"/>
          <w:lang w:eastAsia="pt-BR"/>
          <w14:ligatures w14:val="none"/>
        </w:rPr>
        <w:t>8 horas diárias</w:t>
      </w:r>
    </w:p>
    <w:p w14:paraId="6296AE0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3.4 </w:t>
      </w:r>
      <w:r w:rsidRPr="006D1B04">
        <w:rPr>
          <w:rFonts w:ascii="Calibri" w:eastAsia="Times New Roman" w:hAnsi="Calibri" w:cs="Calibri"/>
          <w:b/>
          <w:bCs/>
          <w:color w:val="000000"/>
          <w:kern w:val="0"/>
          <w:sz w:val="27"/>
          <w:szCs w:val="27"/>
          <w:lang w:eastAsia="pt-BR"/>
          <w14:ligatures w14:val="none"/>
        </w:rPr>
        <w:t>Local da prestação do serviço:</w:t>
      </w:r>
      <w:r w:rsidRPr="006D1B04">
        <w:rPr>
          <w:rFonts w:ascii="Calibri" w:eastAsia="Times New Roman" w:hAnsi="Calibri" w:cs="Calibri"/>
          <w:color w:val="000000"/>
          <w:kern w:val="0"/>
          <w:sz w:val="27"/>
          <w:szCs w:val="27"/>
          <w:lang w:eastAsia="pt-BR"/>
          <w14:ligatures w14:val="none"/>
        </w:rPr>
        <w:t xml:space="preserve"> Instituto </w:t>
      </w:r>
      <w:proofErr w:type="spellStart"/>
      <w:r w:rsidRPr="006D1B04">
        <w:rPr>
          <w:rFonts w:ascii="Calibri" w:eastAsia="Times New Roman" w:hAnsi="Calibri" w:cs="Calibri"/>
          <w:color w:val="000000"/>
          <w:kern w:val="0"/>
          <w:sz w:val="27"/>
          <w:szCs w:val="27"/>
          <w:lang w:eastAsia="pt-BR"/>
          <w14:ligatures w14:val="none"/>
        </w:rPr>
        <w:t>Aggeu</w:t>
      </w:r>
      <w:proofErr w:type="spellEnd"/>
      <w:r w:rsidRPr="006D1B04">
        <w:rPr>
          <w:rFonts w:ascii="Calibri" w:eastAsia="Times New Roman" w:hAnsi="Calibri" w:cs="Calibri"/>
          <w:color w:val="000000"/>
          <w:kern w:val="0"/>
          <w:sz w:val="27"/>
          <w:szCs w:val="27"/>
          <w:lang w:eastAsia="pt-BR"/>
          <w14:ligatures w14:val="none"/>
        </w:rPr>
        <w:t xml:space="preserve"> Magalhães, Av. Prof. Moraes Rego, S/N Campus da UFPE – Cidade Universitária – Recife-PE.</w:t>
      </w:r>
    </w:p>
    <w:p w14:paraId="499FD69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3.5 </w:t>
      </w:r>
      <w:r w:rsidRPr="006D1B04">
        <w:rPr>
          <w:rFonts w:ascii="Calibri" w:eastAsia="Times New Roman" w:hAnsi="Calibri" w:cs="Calibri"/>
          <w:b/>
          <w:bCs/>
          <w:color w:val="000000"/>
          <w:kern w:val="0"/>
          <w:sz w:val="27"/>
          <w:szCs w:val="27"/>
          <w:lang w:eastAsia="pt-BR"/>
          <w14:ligatures w14:val="none"/>
        </w:rPr>
        <w:t>Horários da prestação dos serviços: </w:t>
      </w:r>
      <w:r w:rsidRPr="006D1B04">
        <w:rPr>
          <w:rFonts w:ascii="Calibri" w:eastAsia="Times New Roman" w:hAnsi="Calibri" w:cs="Calibri"/>
          <w:color w:val="000000"/>
          <w:kern w:val="0"/>
          <w:sz w:val="27"/>
          <w:szCs w:val="27"/>
          <w:lang w:eastAsia="pt-BR"/>
          <w14:ligatures w14:val="none"/>
        </w:rPr>
        <w:t>qualquer serviço a ser realizado nas dependências do IAM deverá ocorrer de segunda a sexta–feira, das 8:00 às 12:00h e 13:00 às 17:00h.</w:t>
      </w:r>
    </w:p>
    <w:p w14:paraId="13F7CBE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456121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4. REQUISITOS DA CONTRATAÇÃO (art. 6º, XXIII, alínea ‘d’ da Lei nº 14.133/21)</w:t>
      </w:r>
    </w:p>
    <w:p w14:paraId="1501E16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43080A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4.1 Além dos critérios de sustentabilidade eventualmente inseridos na descrição do objeto, devem ser atendidos os seguintes requisitos, que se baseiam no Guia Nacional de Contratações Sustentáveis:</w:t>
      </w:r>
    </w:p>
    <w:p w14:paraId="53C4AA3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4.2 Não será admitida a subcontratação do objeto contratual.</w:t>
      </w:r>
    </w:p>
    <w:p w14:paraId="3AC3ADA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lastRenderedPageBreak/>
        <w:t xml:space="preserve">4.3 Não haverá exigência da garantia da contratação dos </w:t>
      </w:r>
      <w:proofErr w:type="spellStart"/>
      <w:r w:rsidRPr="006D1B04">
        <w:rPr>
          <w:rFonts w:ascii="Calibri" w:eastAsia="Times New Roman" w:hAnsi="Calibri" w:cs="Calibri"/>
          <w:color w:val="000000"/>
          <w:kern w:val="0"/>
          <w:sz w:val="27"/>
          <w:szCs w:val="27"/>
          <w:lang w:eastAsia="pt-BR"/>
          <w14:ligatures w14:val="none"/>
        </w:rPr>
        <w:t>arts</w:t>
      </w:r>
      <w:proofErr w:type="spellEnd"/>
      <w:r w:rsidRPr="006D1B04">
        <w:rPr>
          <w:rFonts w:ascii="Calibri" w:eastAsia="Times New Roman" w:hAnsi="Calibri" w:cs="Calibri"/>
          <w:color w:val="000000"/>
          <w:kern w:val="0"/>
          <w:sz w:val="27"/>
          <w:szCs w:val="27"/>
          <w:lang w:eastAsia="pt-BR"/>
          <w14:ligatures w14:val="none"/>
        </w:rPr>
        <w:t>. 96 e seguintes da Lei nº 14.133/21, pelo fato se ser uma contratação de produção intelectual sem a aplicação de materiais onde a exigência da garantia oneraria desnecessariamente o contrato.  A garantia não suprimiria a falta de execução contratual. </w:t>
      </w:r>
    </w:p>
    <w:p w14:paraId="7FE9515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4E2F5A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5. VISTORIA</w:t>
      </w:r>
    </w:p>
    <w:p w14:paraId="01F739E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5.1 Para a elaboração da proposta, a empresa interessada em prestar o serviço poderá realizar vistoria nas instalações do local de execução dos serviços, acompanhado por servidor designado para esse fim, de segunda à sexta-feira, das 09 horas às 16 horas.</w:t>
      </w:r>
    </w:p>
    <w:p w14:paraId="0475F14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5.2 Para a vistoria o licitante, ou o seu representante legal, deverá estar devidamente identificado, apresentando documento de identidade civil e documento expedido pela empresa comprovando sua habilitação para a realização da vistoria.</w:t>
      </w:r>
    </w:p>
    <w:p w14:paraId="3BB6ACE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5.3 Para marcar a vistoria o licitante deverá agendar previamente pelo número (81) 2101-2626 ou (81) 2101-2513, de segunda à sexta-feira, das 08 horas às 16 horas.</w:t>
      </w:r>
    </w:p>
    <w:p w14:paraId="6A14F96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1B08B8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6. MODELO DE EXECUÇÃO CONTRATUAL (</w:t>
      </w:r>
      <w:proofErr w:type="spellStart"/>
      <w:r w:rsidRPr="006D1B04">
        <w:rPr>
          <w:rFonts w:ascii="Calibri" w:eastAsia="Times New Roman" w:hAnsi="Calibri" w:cs="Calibri"/>
          <w:b/>
          <w:bCs/>
          <w:color w:val="000000"/>
          <w:kern w:val="0"/>
          <w:sz w:val="27"/>
          <w:szCs w:val="27"/>
          <w:lang w:eastAsia="pt-BR"/>
          <w14:ligatures w14:val="none"/>
        </w:rPr>
        <w:t>arts</w:t>
      </w:r>
      <w:proofErr w:type="spellEnd"/>
      <w:r w:rsidRPr="006D1B04">
        <w:rPr>
          <w:rFonts w:ascii="Calibri" w:eastAsia="Times New Roman" w:hAnsi="Calibri" w:cs="Calibri"/>
          <w:b/>
          <w:bCs/>
          <w:color w:val="000000"/>
          <w:kern w:val="0"/>
          <w:sz w:val="27"/>
          <w:szCs w:val="27"/>
          <w:lang w:eastAsia="pt-BR"/>
          <w14:ligatures w14:val="none"/>
        </w:rPr>
        <w:t>. 6º, XXIII, alínea “e” da Lei nº 14.133/2021).</w:t>
      </w:r>
    </w:p>
    <w:p w14:paraId="2CE5B33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6D1B04">
        <w:rPr>
          <w:rFonts w:ascii="Calibri" w:eastAsia="Times New Roman" w:hAnsi="Calibri" w:cs="Calibri"/>
          <w:color w:val="000000"/>
          <w:kern w:val="0"/>
          <w:sz w:val="27"/>
          <w:szCs w:val="27"/>
          <w:lang w:eastAsia="pt-BR"/>
          <w14:ligatures w14:val="none"/>
        </w:rPr>
        <w:t>6.1  A</w:t>
      </w:r>
      <w:proofErr w:type="gramEnd"/>
      <w:r w:rsidRPr="006D1B04">
        <w:rPr>
          <w:rFonts w:ascii="Calibri" w:eastAsia="Times New Roman" w:hAnsi="Calibri" w:cs="Calibri"/>
          <w:color w:val="000000"/>
          <w:kern w:val="0"/>
          <w:sz w:val="27"/>
          <w:szCs w:val="27"/>
          <w:lang w:eastAsia="pt-BR"/>
          <w14:ligatures w14:val="none"/>
        </w:rPr>
        <w:t xml:space="preserve"> execução do objeto seguirá a seguinte dinâmica:   </w:t>
      </w:r>
    </w:p>
    <w:p w14:paraId="0318A0B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2DA699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 Elaborar relatório fotográfico dos locais onde serão realizados os serviços;</w:t>
      </w:r>
    </w:p>
    <w:p w14:paraId="7012A3C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 Manter um arquivo completo e atualizado de toda a documentação atinente ao serviço, como cópias do contrato, projetos, memoriais descritivos, orçamentos, cronogramas, coletânea de catálogos de todos os tipos de materiais e equipamentos aplicados na edificação e outros;</w:t>
      </w:r>
    </w:p>
    <w:p w14:paraId="1621B77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6.1.3 Analisar e interpretar os documentos constantes do arquivo, providenciando as informações complementares e necessárias para a perfeita execução dos serviços;</w:t>
      </w:r>
    </w:p>
    <w:p w14:paraId="26878C6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6.1.4 Convocar a empresa executora da obra para 1ª reunião com a Fiscalização, para formalizar o início do serviço, onde serão informados os procedimentos necessários para implantação do canteiro; placas; retirada de entulho; trabalhos em horários fora do expediente; retirada de material da firma; folha de medição; diário de obra; PAE (procedimento de avaliação </w:t>
      </w:r>
      <w:r w:rsidRPr="006D1B04">
        <w:rPr>
          <w:rFonts w:ascii="Calibri" w:eastAsia="Times New Roman" w:hAnsi="Calibri" w:cs="Calibri"/>
          <w:color w:val="000000"/>
          <w:kern w:val="0"/>
          <w:sz w:val="27"/>
          <w:szCs w:val="27"/>
          <w:lang w:eastAsia="pt-BR"/>
          <w14:ligatures w14:val="none"/>
        </w:rPr>
        <w:lastRenderedPageBreak/>
        <w:t>da empresa); manual de operação, uso e manutenção da edificação; programação semanal dos serviços; livro de ocorrência e crachá;</w:t>
      </w:r>
    </w:p>
    <w:p w14:paraId="3922D65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6.1.5 Recomendar ao Engenheiro da empresa responsável pelo serviço, que </w:t>
      </w:r>
      <w:proofErr w:type="gramStart"/>
      <w:r w:rsidRPr="006D1B04">
        <w:rPr>
          <w:rFonts w:ascii="Calibri" w:eastAsia="Times New Roman" w:hAnsi="Calibri" w:cs="Calibri"/>
          <w:color w:val="000000"/>
          <w:kern w:val="0"/>
          <w:sz w:val="27"/>
          <w:szCs w:val="27"/>
          <w:lang w:eastAsia="pt-BR"/>
          <w14:ligatures w14:val="none"/>
        </w:rPr>
        <w:t>se  faça</w:t>
      </w:r>
      <w:proofErr w:type="gramEnd"/>
      <w:r w:rsidRPr="006D1B04">
        <w:rPr>
          <w:rFonts w:ascii="Calibri" w:eastAsia="Times New Roman" w:hAnsi="Calibri" w:cs="Calibri"/>
          <w:color w:val="000000"/>
          <w:kern w:val="0"/>
          <w:sz w:val="27"/>
          <w:szCs w:val="27"/>
          <w:lang w:eastAsia="pt-BR"/>
          <w14:ligatures w14:val="none"/>
        </w:rPr>
        <w:t xml:space="preserve"> uma leitura prévia das especificações, edital e elabore o plano de trabalho detalhado, a programação de serviços, o diagrama PERT–CPM (</w:t>
      </w:r>
      <w:proofErr w:type="spellStart"/>
      <w:r w:rsidRPr="006D1B04">
        <w:rPr>
          <w:rFonts w:ascii="Calibri" w:eastAsia="Times New Roman" w:hAnsi="Calibri" w:cs="Calibri"/>
          <w:color w:val="000000"/>
          <w:kern w:val="0"/>
          <w:sz w:val="27"/>
          <w:szCs w:val="27"/>
          <w:lang w:eastAsia="pt-BR"/>
          <w14:ligatures w14:val="none"/>
        </w:rPr>
        <w:t>Program</w:t>
      </w:r>
      <w:proofErr w:type="spellEnd"/>
      <w:r w:rsidRPr="006D1B04">
        <w:rPr>
          <w:rFonts w:ascii="Calibri" w:eastAsia="Times New Roman" w:hAnsi="Calibri" w:cs="Calibri"/>
          <w:color w:val="000000"/>
          <w:kern w:val="0"/>
          <w:sz w:val="27"/>
          <w:szCs w:val="27"/>
          <w:lang w:eastAsia="pt-BR"/>
          <w14:ligatures w14:val="none"/>
        </w:rPr>
        <w:t xml:space="preserve"> </w:t>
      </w:r>
      <w:proofErr w:type="spellStart"/>
      <w:r w:rsidRPr="006D1B04">
        <w:rPr>
          <w:rFonts w:ascii="Calibri" w:eastAsia="Times New Roman" w:hAnsi="Calibri" w:cs="Calibri"/>
          <w:color w:val="000000"/>
          <w:kern w:val="0"/>
          <w:sz w:val="27"/>
          <w:szCs w:val="27"/>
          <w:lang w:eastAsia="pt-BR"/>
          <w14:ligatures w14:val="none"/>
        </w:rPr>
        <w:t>Evaluation</w:t>
      </w:r>
      <w:proofErr w:type="spellEnd"/>
      <w:r w:rsidRPr="006D1B04">
        <w:rPr>
          <w:rFonts w:ascii="Calibri" w:eastAsia="Times New Roman" w:hAnsi="Calibri" w:cs="Calibri"/>
          <w:color w:val="000000"/>
          <w:kern w:val="0"/>
          <w:sz w:val="27"/>
          <w:szCs w:val="27"/>
          <w:lang w:eastAsia="pt-BR"/>
          <w14:ligatures w14:val="none"/>
        </w:rPr>
        <w:t xml:space="preserve"> </w:t>
      </w:r>
      <w:proofErr w:type="spellStart"/>
      <w:r w:rsidRPr="006D1B04">
        <w:rPr>
          <w:rFonts w:ascii="Calibri" w:eastAsia="Times New Roman" w:hAnsi="Calibri" w:cs="Calibri"/>
          <w:color w:val="000000"/>
          <w:kern w:val="0"/>
          <w:sz w:val="27"/>
          <w:szCs w:val="27"/>
          <w:lang w:eastAsia="pt-BR"/>
          <w14:ligatures w14:val="none"/>
        </w:rPr>
        <w:t>and</w:t>
      </w:r>
      <w:proofErr w:type="spellEnd"/>
      <w:r w:rsidRPr="006D1B04">
        <w:rPr>
          <w:rFonts w:ascii="Calibri" w:eastAsia="Times New Roman" w:hAnsi="Calibri" w:cs="Calibri"/>
          <w:color w:val="000000"/>
          <w:kern w:val="0"/>
          <w:sz w:val="27"/>
          <w:szCs w:val="27"/>
          <w:lang w:eastAsia="pt-BR"/>
          <w14:ligatures w14:val="none"/>
        </w:rPr>
        <w:t xml:space="preserve"> </w:t>
      </w:r>
      <w:proofErr w:type="spellStart"/>
      <w:r w:rsidRPr="006D1B04">
        <w:rPr>
          <w:rFonts w:ascii="Calibri" w:eastAsia="Times New Roman" w:hAnsi="Calibri" w:cs="Calibri"/>
          <w:color w:val="000000"/>
          <w:kern w:val="0"/>
          <w:sz w:val="27"/>
          <w:szCs w:val="27"/>
          <w:lang w:eastAsia="pt-BR"/>
          <w14:ligatures w14:val="none"/>
        </w:rPr>
        <w:t>Rewiew</w:t>
      </w:r>
      <w:proofErr w:type="spellEnd"/>
      <w:r w:rsidRPr="006D1B04">
        <w:rPr>
          <w:rFonts w:ascii="Calibri" w:eastAsia="Times New Roman" w:hAnsi="Calibri" w:cs="Calibri"/>
          <w:color w:val="000000"/>
          <w:kern w:val="0"/>
          <w:sz w:val="27"/>
          <w:szCs w:val="27"/>
          <w:lang w:eastAsia="pt-BR"/>
          <w14:ligatures w14:val="none"/>
        </w:rPr>
        <w:t xml:space="preserve"> </w:t>
      </w:r>
      <w:proofErr w:type="spellStart"/>
      <w:r w:rsidRPr="006D1B04">
        <w:rPr>
          <w:rFonts w:ascii="Calibri" w:eastAsia="Times New Roman" w:hAnsi="Calibri" w:cs="Calibri"/>
          <w:color w:val="000000"/>
          <w:kern w:val="0"/>
          <w:sz w:val="27"/>
          <w:szCs w:val="27"/>
          <w:lang w:eastAsia="pt-BR"/>
          <w14:ligatures w14:val="none"/>
        </w:rPr>
        <w:t>Techique</w:t>
      </w:r>
      <w:proofErr w:type="spellEnd"/>
      <w:r w:rsidRPr="006D1B04">
        <w:rPr>
          <w:rFonts w:ascii="Calibri" w:eastAsia="Times New Roman" w:hAnsi="Calibri" w:cs="Calibri"/>
          <w:color w:val="000000"/>
          <w:kern w:val="0"/>
          <w:sz w:val="27"/>
          <w:szCs w:val="27"/>
          <w:lang w:eastAsia="pt-BR"/>
          <w14:ligatures w14:val="none"/>
        </w:rPr>
        <w:t xml:space="preserve"> – </w:t>
      </w:r>
      <w:proofErr w:type="spellStart"/>
      <w:r w:rsidRPr="006D1B04">
        <w:rPr>
          <w:rFonts w:ascii="Calibri" w:eastAsia="Times New Roman" w:hAnsi="Calibri" w:cs="Calibri"/>
          <w:color w:val="000000"/>
          <w:kern w:val="0"/>
          <w:sz w:val="27"/>
          <w:szCs w:val="27"/>
          <w:lang w:eastAsia="pt-BR"/>
          <w14:ligatures w14:val="none"/>
        </w:rPr>
        <w:t>Critical</w:t>
      </w:r>
      <w:proofErr w:type="spellEnd"/>
      <w:r w:rsidRPr="006D1B04">
        <w:rPr>
          <w:rFonts w:ascii="Calibri" w:eastAsia="Times New Roman" w:hAnsi="Calibri" w:cs="Calibri"/>
          <w:color w:val="000000"/>
          <w:kern w:val="0"/>
          <w:sz w:val="27"/>
          <w:szCs w:val="27"/>
          <w:lang w:eastAsia="pt-BR"/>
          <w14:ligatures w14:val="none"/>
        </w:rPr>
        <w:t xml:space="preserve"> Path </w:t>
      </w:r>
      <w:proofErr w:type="spellStart"/>
      <w:r w:rsidRPr="006D1B04">
        <w:rPr>
          <w:rFonts w:ascii="Calibri" w:eastAsia="Times New Roman" w:hAnsi="Calibri" w:cs="Calibri"/>
          <w:color w:val="000000"/>
          <w:kern w:val="0"/>
          <w:sz w:val="27"/>
          <w:szCs w:val="27"/>
          <w:lang w:eastAsia="pt-BR"/>
          <w14:ligatures w14:val="none"/>
        </w:rPr>
        <w:t>Method</w:t>
      </w:r>
      <w:proofErr w:type="spellEnd"/>
      <w:r w:rsidRPr="006D1B04">
        <w:rPr>
          <w:rFonts w:ascii="Calibri" w:eastAsia="Times New Roman" w:hAnsi="Calibri" w:cs="Calibri"/>
          <w:color w:val="000000"/>
          <w:kern w:val="0"/>
          <w:sz w:val="27"/>
          <w:szCs w:val="27"/>
          <w:lang w:eastAsia="pt-BR"/>
          <w14:ligatures w14:val="none"/>
        </w:rPr>
        <w:t>), o PCMSO (Programa de Controle Médico de Saúde Ocupacional), PPRA (Programa de Prevenção e Riscos Ambientais, PCMAT ( Programa das Condições e Meio Ambiente do Trabalho na Indústria da Construção);</w:t>
      </w:r>
    </w:p>
    <w:p w14:paraId="0884950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6.1.6 Acompanhar a Implantação do Canteiro;</w:t>
      </w:r>
    </w:p>
    <w:p w14:paraId="6156F35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6.1.7 Controlar a qualidade dos trabalhos de fabricação, construção e montagem, a fim de verificar sua conformidade com as normas e especificações técnicas;</w:t>
      </w:r>
    </w:p>
    <w:p w14:paraId="5FC1D50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6.1.8 Solicitar, analisar e aprovar, previamente, o plano de trabalho preparado pela empresa executora da obra, que deverá conter todos os processos e métodos de execução;</w:t>
      </w:r>
    </w:p>
    <w:p w14:paraId="2A163C8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6.1.9 Exigir da empresa executora da obra o uso de equipamentos de segurança de acordo com os serviços que estão sendo executados;</w:t>
      </w:r>
    </w:p>
    <w:p w14:paraId="321C7F0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6.1.10 Acompanhar o prazo de execução do serviço, iniciando a sua contagem da data da assinatura do contrato ou Ordem de Serviço;</w:t>
      </w:r>
    </w:p>
    <w:p w14:paraId="0A41F8A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6.1.11 Exercer rigoroso controle do prazo de execução elaborados e atualizados pela empresa executora da obra, informando a </w:t>
      </w:r>
      <w:proofErr w:type="gramStart"/>
      <w:r w:rsidRPr="006D1B04">
        <w:rPr>
          <w:rFonts w:ascii="Calibri" w:eastAsia="Times New Roman" w:hAnsi="Calibri" w:cs="Calibri"/>
          <w:color w:val="000000"/>
          <w:kern w:val="0"/>
          <w:sz w:val="27"/>
          <w:szCs w:val="27"/>
          <w:lang w:eastAsia="pt-BR"/>
          <w14:ligatures w14:val="none"/>
        </w:rPr>
        <w:t>tempo  ao</w:t>
      </w:r>
      <w:proofErr w:type="gramEnd"/>
      <w:r w:rsidRPr="006D1B04">
        <w:rPr>
          <w:rFonts w:ascii="Calibri" w:eastAsia="Times New Roman" w:hAnsi="Calibri" w:cs="Calibri"/>
          <w:color w:val="000000"/>
          <w:kern w:val="0"/>
          <w:sz w:val="27"/>
          <w:szCs w:val="27"/>
          <w:lang w:eastAsia="pt-BR"/>
          <w14:ligatures w14:val="none"/>
        </w:rPr>
        <w:t xml:space="preserve"> Fiscal do Contrato, toda previsão ou constatação de atrasos na conclusão das etapas do serviços;</w:t>
      </w:r>
    </w:p>
    <w:p w14:paraId="1FEDC31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6.1.12 Promover reuniões semanais de avaliação, onde o Engenheiro responsável pelo serviço, </w:t>
      </w:r>
      <w:proofErr w:type="gramStart"/>
      <w:r w:rsidRPr="006D1B04">
        <w:rPr>
          <w:rFonts w:ascii="Calibri" w:eastAsia="Times New Roman" w:hAnsi="Calibri" w:cs="Calibri"/>
          <w:color w:val="000000"/>
          <w:kern w:val="0"/>
          <w:sz w:val="27"/>
          <w:szCs w:val="27"/>
          <w:lang w:eastAsia="pt-BR"/>
          <w14:ligatures w14:val="none"/>
        </w:rPr>
        <w:t>deverá  apresentar</w:t>
      </w:r>
      <w:proofErr w:type="gramEnd"/>
      <w:r w:rsidRPr="006D1B04">
        <w:rPr>
          <w:rFonts w:ascii="Calibri" w:eastAsia="Times New Roman" w:hAnsi="Calibri" w:cs="Calibri"/>
          <w:color w:val="000000"/>
          <w:kern w:val="0"/>
          <w:sz w:val="27"/>
          <w:szCs w:val="27"/>
          <w:lang w:eastAsia="pt-BR"/>
          <w14:ligatures w14:val="none"/>
        </w:rPr>
        <w:t xml:space="preserve"> a programação detalhada para a semana seguinte;</w:t>
      </w:r>
    </w:p>
    <w:p w14:paraId="7F63073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6.1.13 Registrar no livro de ocorrência, todos os fatos relacionados ao andamento do serviço;</w:t>
      </w:r>
    </w:p>
    <w:p w14:paraId="15181D4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6.1.14 Sugerir a aplicação de multas e demais sanções contratuais estabelecidas no ajuste, quando cabíveis;</w:t>
      </w:r>
    </w:p>
    <w:p w14:paraId="5928CA7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6.1.15 Adotar medidas corretivas necessárias, quando surgirem situações que desviem os programas inicialmente previstos, para que a obra volte a estabelecer os padrões inicialmente programados;</w:t>
      </w:r>
    </w:p>
    <w:p w14:paraId="0CED347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6.1.16 Verificar e aprovar a equivalência dos materiais, dos equipamentos e dos serviços aos especificados no projeto;</w:t>
      </w:r>
    </w:p>
    <w:p w14:paraId="03029A4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lastRenderedPageBreak/>
        <w:t>6.1.17 Verificar se durante a execução dos serviços a empresa executora da obra observa as Normas estabelecidas e se os procedimentos empregados são eficazes para garantir a qualidade final dos trabalhos;</w:t>
      </w:r>
    </w:p>
    <w:p w14:paraId="15E4DEC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6.1.18 Exigir que a empresa executora da obra a corrija, refaça ou reconstrua as partes dos trabalhos executados com erros ou imperfeições;</w:t>
      </w:r>
    </w:p>
    <w:p w14:paraId="0844058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6.1.19 Autorizar a saída ou transferência de materiais, máquinas e equipamentos das dependências, assim como determinar a remoção de materiais ou equipamentos considerados inservíveis ou que estejam em desacordo com as exigências contratuais;</w:t>
      </w:r>
    </w:p>
    <w:p w14:paraId="3494556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6.1.20 Cumprir e fazer cumprir, no que lhe compete, as disposições contidas nesse documento, Edital (quando cabível) e no Contrato;</w:t>
      </w:r>
    </w:p>
    <w:p w14:paraId="399DDA1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6.1.21 Avaliar a firma empresa executora da obra através de critérios preestabelecidos de pontuação para os seguintes quesitos: (PAE - Procedimento de Avaliação do Empreiteiro);</w:t>
      </w:r>
    </w:p>
    <w:p w14:paraId="77C5681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6.1.22 Elaborar relatórios mensais em duas vias (uma original e uma cópia) contendo também um relatório fotográfico com a descrição da situação atual do serviço e avaliação da firma empresa executora da obra. Os relatórios mensais do acompanhamento da obra deverão ser entregues ao Fiscal do Contrato juntamente com a medição da Contratada no prazo de até</w:t>
      </w:r>
      <w:r w:rsidRPr="006D1B04">
        <w:rPr>
          <w:rFonts w:ascii="Calibri" w:eastAsia="Times New Roman" w:hAnsi="Calibri" w:cs="Calibri"/>
          <w:b/>
          <w:bCs/>
          <w:color w:val="000000"/>
          <w:kern w:val="0"/>
          <w:sz w:val="27"/>
          <w:szCs w:val="27"/>
          <w:lang w:eastAsia="pt-BR"/>
          <w14:ligatures w14:val="none"/>
        </w:rPr>
        <w:t> 5 dias</w:t>
      </w:r>
      <w:r w:rsidRPr="006D1B04">
        <w:rPr>
          <w:rFonts w:ascii="Calibri" w:eastAsia="Times New Roman" w:hAnsi="Calibri" w:cs="Calibri"/>
          <w:color w:val="000000"/>
          <w:kern w:val="0"/>
          <w:sz w:val="27"/>
          <w:szCs w:val="27"/>
          <w:lang w:eastAsia="pt-BR"/>
          <w14:ligatures w14:val="none"/>
        </w:rPr>
        <w:t> após o encerramento da respectiva etapa; </w:t>
      </w:r>
    </w:p>
    <w:p w14:paraId="6B38421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6.1.23 Providenciar a execução dos desenhos, denominados “modificações de campo”, para atender às alterações que se fizerem necessárias ou as modificações de projeto ocorridas durante a realização da obra. Tal procedimento dará origem, através da inclusão destas modificações nos desenhos originais, ao projeto “as </w:t>
      </w:r>
      <w:proofErr w:type="spellStart"/>
      <w:r w:rsidRPr="006D1B04">
        <w:rPr>
          <w:rFonts w:ascii="Calibri" w:eastAsia="Times New Roman" w:hAnsi="Calibri" w:cs="Calibri"/>
          <w:color w:val="000000"/>
          <w:kern w:val="0"/>
          <w:sz w:val="27"/>
          <w:szCs w:val="27"/>
          <w:lang w:eastAsia="pt-BR"/>
          <w14:ligatures w14:val="none"/>
        </w:rPr>
        <w:t>built</w:t>
      </w:r>
      <w:proofErr w:type="spellEnd"/>
      <w:r w:rsidRPr="006D1B04">
        <w:rPr>
          <w:rFonts w:ascii="Calibri" w:eastAsia="Times New Roman" w:hAnsi="Calibri" w:cs="Calibri"/>
          <w:color w:val="000000"/>
          <w:kern w:val="0"/>
          <w:sz w:val="27"/>
          <w:szCs w:val="27"/>
          <w:lang w:eastAsia="pt-BR"/>
          <w14:ligatures w14:val="none"/>
        </w:rPr>
        <w:t>”;</w:t>
      </w:r>
    </w:p>
    <w:p w14:paraId="684BEAC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6.1.24 Executar os testes necessários para verificar a perfeita execução dos serviços, comprovando a sua qualidade, resistência, operatividade e conformidade com as especificações;</w:t>
      </w:r>
    </w:p>
    <w:p w14:paraId="437ADBB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6.1.25 Avaliar a situação dos serviços a serem concluídos, relacionando os itens pendentes em cada área e elaborando juntamente com a empresa executora da obra uma nova programação para a sua execução, incluídos a limpeza e reparos, para que não haja atraso no prazo previsto para entrega do serviço, na etapa de </w:t>
      </w:r>
      <w:proofErr w:type="spellStart"/>
      <w:proofErr w:type="gramStart"/>
      <w:r w:rsidRPr="006D1B04">
        <w:rPr>
          <w:rFonts w:ascii="Calibri" w:eastAsia="Times New Roman" w:hAnsi="Calibri" w:cs="Calibri"/>
          <w:color w:val="000000"/>
          <w:kern w:val="0"/>
          <w:sz w:val="27"/>
          <w:szCs w:val="27"/>
          <w:lang w:eastAsia="pt-BR"/>
          <w14:ligatures w14:val="none"/>
        </w:rPr>
        <w:t>pré</w:t>
      </w:r>
      <w:proofErr w:type="spellEnd"/>
      <w:r w:rsidRPr="006D1B04">
        <w:rPr>
          <w:rFonts w:ascii="Calibri" w:eastAsia="Times New Roman" w:hAnsi="Calibri" w:cs="Calibri"/>
          <w:color w:val="000000"/>
          <w:kern w:val="0"/>
          <w:sz w:val="27"/>
          <w:szCs w:val="27"/>
          <w:lang w:eastAsia="pt-BR"/>
          <w14:ligatures w14:val="none"/>
        </w:rPr>
        <w:t xml:space="preserve"> operação</w:t>
      </w:r>
      <w:proofErr w:type="gramEnd"/>
      <w:r w:rsidRPr="006D1B04">
        <w:rPr>
          <w:rFonts w:ascii="Calibri" w:eastAsia="Times New Roman" w:hAnsi="Calibri" w:cs="Calibri"/>
          <w:color w:val="000000"/>
          <w:kern w:val="0"/>
          <w:sz w:val="27"/>
          <w:szCs w:val="27"/>
          <w:lang w:eastAsia="pt-BR"/>
          <w14:ligatures w14:val="none"/>
        </w:rPr>
        <w:t>;</w:t>
      </w:r>
    </w:p>
    <w:p w14:paraId="5B4AD16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6.1.26 Orientar a elaboração do manual de operação, uso e manutenção;</w:t>
      </w:r>
    </w:p>
    <w:p w14:paraId="604FDD1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6.1.27 Elaborar as medições periódicas dos serviços executados em conjunto com o Contratado;</w:t>
      </w:r>
    </w:p>
    <w:p w14:paraId="72E1AD8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6.1.28 Validar a aptidão para o recebimento provisório do serviço por parte do fiscal do contrato da execução da obra em até 15(quinze) dias após a </w:t>
      </w:r>
      <w:r w:rsidRPr="006D1B04">
        <w:rPr>
          <w:rFonts w:ascii="Calibri" w:eastAsia="Times New Roman" w:hAnsi="Calibri" w:cs="Calibri"/>
          <w:color w:val="000000"/>
          <w:kern w:val="0"/>
          <w:sz w:val="27"/>
          <w:szCs w:val="27"/>
          <w:lang w:eastAsia="pt-BR"/>
          <w14:ligatures w14:val="none"/>
        </w:rPr>
        <w:lastRenderedPageBreak/>
        <w:t xml:space="preserve">solicitação por escrito do contratado, inspecionando-a criteriosamente e elaborando </w:t>
      </w:r>
      <w:proofErr w:type="spellStart"/>
      <w:r w:rsidRPr="006D1B04">
        <w:rPr>
          <w:rFonts w:ascii="Calibri" w:eastAsia="Times New Roman" w:hAnsi="Calibri" w:cs="Calibri"/>
          <w:color w:val="000000"/>
          <w:kern w:val="0"/>
          <w:sz w:val="27"/>
          <w:szCs w:val="27"/>
          <w:lang w:eastAsia="pt-BR"/>
          <w14:ligatures w14:val="none"/>
        </w:rPr>
        <w:t>Check-List</w:t>
      </w:r>
      <w:proofErr w:type="spellEnd"/>
      <w:r w:rsidRPr="006D1B04">
        <w:rPr>
          <w:rFonts w:ascii="Calibri" w:eastAsia="Times New Roman" w:hAnsi="Calibri" w:cs="Calibri"/>
          <w:color w:val="000000"/>
          <w:kern w:val="0"/>
          <w:sz w:val="27"/>
          <w:szCs w:val="27"/>
          <w:lang w:eastAsia="pt-BR"/>
          <w14:ligatures w14:val="none"/>
        </w:rPr>
        <w:t xml:space="preserve"> com os serviços pendentes e definindo um prazo para a sua execução;</w:t>
      </w:r>
    </w:p>
    <w:p w14:paraId="56CBA6C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6.1.29 Assessorar a Comissão de Recebimento Definitivo, quando da vistoria da entrega do </w:t>
      </w:r>
      <w:proofErr w:type="gramStart"/>
      <w:r w:rsidRPr="006D1B04">
        <w:rPr>
          <w:rFonts w:ascii="Calibri" w:eastAsia="Times New Roman" w:hAnsi="Calibri" w:cs="Calibri"/>
          <w:color w:val="000000"/>
          <w:kern w:val="0"/>
          <w:sz w:val="27"/>
          <w:szCs w:val="27"/>
          <w:lang w:eastAsia="pt-BR"/>
          <w14:ligatures w14:val="none"/>
        </w:rPr>
        <w:t>serviço  Definitivamente</w:t>
      </w:r>
      <w:proofErr w:type="gramEnd"/>
      <w:r w:rsidRPr="006D1B04">
        <w:rPr>
          <w:rFonts w:ascii="Calibri" w:eastAsia="Times New Roman" w:hAnsi="Calibri" w:cs="Calibri"/>
          <w:color w:val="000000"/>
          <w:kern w:val="0"/>
          <w:sz w:val="27"/>
          <w:szCs w:val="27"/>
          <w:lang w:eastAsia="pt-BR"/>
          <w14:ligatures w14:val="none"/>
        </w:rPr>
        <w:t>, após a empresa executora da obra ter cumprido todas as exigências contidas no termo de recebimento provisório;</w:t>
      </w:r>
    </w:p>
    <w:p w14:paraId="5DCB09A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6.1.30 Acompanhar a execução dos serviços solicitados pela Comissão e encaminhar para o Fiscal do Contrato a medição do item Aceite Definitivo do serviço, anexando a esta, cópia do Recebimento Definito, assinado e datado pelos membros da comissão e pelo responsável da empresa executora da obra;</w:t>
      </w:r>
    </w:p>
    <w:p w14:paraId="513EE75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6.1.31 Acompanhar e garantir que a empresa responsável pela execução da obra adote os critérios de sustentabilidade definidos na respectiva contratação;</w:t>
      </w:r>
    </w:p>
    <w:p w14:paraId="753E0F5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6.1.32 Encaminhar para o fiscal do contrato da execução da obra, juntamente com validação da aptidão </w:t>
      </w:r>
      <w:proofErr w:type="gramStart"/>
      <w:r w:rsidRPr="006D1B04">
        <w:rPr>
          <w:rFonts w:ascii="Calibri" w:eastAsia="Times New Roman" w:hAnsi="Calibri" w:cs="Calibri"/>
          <w:color w:val="000000"/>
          <w:kern w:val="0"/>
          <w:sz w:val="27"/>
          <w:szCs w:val="27"/>
          <w:lang w:eastAsia="pt-BR"/>
          <w14:ligatures w14:val="none"/>
        </w:rPr>
        <w:t>para  o</w:t>
      </w:r>
      <w:proofErr w:type="gramEnd"/>
      <w:r w:rsidRPr="006D1B04">
        <w:rPr>
          <w:rFonts w:ascii="Calibri" w:eastAsia="Times New Roman" w:hAnsi="Calibri" w:cs="Calibri"/>
          <w:color w:val="000000"/>
          <w:kern w:val="0"/>
          <w:sz w:val="27"/>
          <w:szCs w:val="27"/>
          <w:lang w:eastAsia="pt-BR"/>
          <w14:ligatures w14:val="none"/>
        </w:rPr>
        <w:t xml:space="preserve"> aceite definitivo do serviço, a primeira via das folhas do livro de ocorrências, para que seja anexado ao processo pelo fiscal de contratos.</w:t>
      </w:r>
    </w:p>
    <w:p w14:paraId="68DF0D1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00603B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6.2 Cronograma Físico-Financeiro</w:t>
      </w:r>
    </w:p>
    <w:p w14:paraId="11C8A36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O prazo de execução desta contratação está compatível com o prazo de execução da obra objeto da fiscalização e o cronograma físico-financeiro se dará em 4 etapas, uma para cada mês de serviço refletindo cada etapa o percentual de 1/4 do valor total da contratação.</w:t>
      </w:r>
    </w:p>
    <w:p w14:paraId="5932455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89A218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6.3 Não será permitida a contratação de profissional autônomo </w:t>
      </w:r>
      <w:proofErr w:type="gramStart"/>
      <w:r w:rsidRPr="006D1B04">
        <w:rPr>
          <w:rFonts w:ascii="Calibri" w:eastAsia="Times New Roman" w:hAnsi="Calibri" w:cs="Calibri"/>
          <w:color w:val="000000"/>
          <w:kern w:val="0"/>
          <w:sz w:val="27"/>
          <w:szCs w:val="27"/>
          <w:lang w:eastAsia="pt-BR"/>
          <w14:ligatures w14:val="none"/>
        </w:rPr>
        <w:t>como Contratada</w:t>
      </w:r>
      <w:proofErr w:type="gramEnd"/>
      <w:r w:rsidRPr="006D1B04">
        <w:rPr>
          <w:rFonts w:ascii="Calibri" w:eastAsia="Times New Roman" w:hAnsi="Calibri" w:cs="Calibri"/>
          <w:color w:val="000000"/>
          <w:kern w:val="0"/>
          <w:sz w:val="27"/>
          <w:szCs w:val="27"/>
          <w:lang w:eastAsia="pt-BR"/>
          <w14:ligatures w14:val="none"/>
        </w:rPr>
        <w:t xml:space="preserve"> pelo do prazo da vigência ser maior que 3(três) meses.</w:t>
      </w:r>
    </w:p>
    <w:p w14:paraId="4C04D72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0BE423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6.4 Registrar em folha de ponto a presença do engenheiro civil nas instalações do IAM para fins de aferição da frequência e assiduidade por parte da fiscalização do contrato.</w:t>
      </w:r>
    </w:p>
    <w:p w14:paraId="4E0006E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215F01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7. </w:t>
      </w:r>
      <w:r w:rsidRPr="006D1B04">
        <w:rPr>
          <w:rFonts w:ascii="Calibri" w:eastAsia="Times New Roman" w:hAnsi="Calibri" w:cs="Calibri"/>
          <w:b/>
          <w:bCs/>
          <w:color w:val="000000"/>
          <w:kern w:val="0"/>
          <w:sz w:val="27"/>
          <w:szCs w:val="27"/>
          <w:lang w:eastAsia="pt-BR"/>
          <w14:ligatures w14:val="none"/>
        </w:rPr>
        <w:t>MATERIAIS A SEREM DISPONIBILIZADOS</w:t>
      </w:r>
    </w:p>
    <w:p w14:paraId="4EA854D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Não há especificação de disponibilização por parte da Contratada de materiais, equipamentos, ferramentas e utensílios, ficando ao critério da </w:t>
      </w:r>
      <w:r w:rsidRPr="006D1B04">
        <w:rPr>
          <w:rFonts w:ascii="Calibri" w:eastAsia="Times New Roman" w:hAnsi="Calibri" w:cs="Calibri"/>
          <w:color w:val="000000"/>
          <w:kern w:val="0"/>
          <w:sz w:val="27"/>
          <w:szCs w:val="27"/>
          <w:lang w:eastAsia="pt-BR"/>
          <w14:ligatures w14:val="none"/>
        </w:rPr>
        <w:lastRenderedPageBreak/>
        <w:t>mesma esta disponibilização assim como e estimativa de suas quantidades e qualidades.</w:t>
      </w:r>
    </w:p>
    <w:p w14:paraId="2ACC3FE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8BB914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 8. INFORMAÇÕES RELEVANTES PARA O DIMENSIONAMENTO DA PROPOSTA</w:t>
      </w:r>
    </w:p>
    <w:p w14:paraId="4EC111E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FD8C54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8.1.1. Os serviços de recuperação das cobertas dos Blocos B, D e G do Instituto </w:t>
      </w:r>
      <w:proofErr w:type="spellStart"/>
      <w:r w:rsidRPr="006D1B04">
        <w:rPr>
          <w:rFonts w:ascii="Calibri" w:eastAsia="Times New Roman" w:hAnsi="Calibri" w:cs="Calibri"/>
          <w:color w:val="000000"/>
          <w:kern w:val="0"/>
          <w:sz w:val="27"/>
          <w:szCs w:val="27"/>
          <w:lang w:eastAsia="pt-BR"/>
          <w14:ligatures w14:val="none"/>
        </w:rPr>
        <w:t>Aggeu</w:t>
      </w:r>
      <w:proofErr w:type="spellEnd"/>
      <w:r w:rsidRPr="006D1B04">
        <w:rPr>
          <w:rFonts w:ascii="Calibri" w:eastAsia="Times New Roman" w:hAnsi="Calibri" w:cs="Calibri"/>
          <w:color w:val="000000"/>
          <w:kern w:val="0"/>
          <w:sz w:val="27"/>
          <w:szCs w:val="27"/>
          <w:lang w:eastAsia="pt-BR"/>
          <w14:ligatures w14:val="none"/>
        </w:rPr>
        <w:t xml:space="preserve"> Magalhães (IAM) são objeto do contrato firmado entre FIOTEC e a Empresa TOP Engenharia, oriundo da RCC nº10086648, demandada através do projeto n°VPGDI-020-ARC-20-2-14-39. </w:t>
      </w:r>
    </w:p>
    <w:p w14:paraId="1A15000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2AEA7B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8.1.2. Segue abaixo dimensões das cobertas </w:t>
      </w:r>
    </w:p>
    <w:p w14:paraId="7165FB6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A Coberta do Bloco D possui Área </w:t>
      </w:r>
      <w:proofErr w:type="gramStart"/>
      <w:r w:rsidRPr="006D1B04">
        <w:rPr>
          <w:rFonts w:ascii="Calibri" w:eastAsia="Times New Roman" w:hAnsi="Calibri" w:cs="Calibri"/>
          <w:color w:val="000000"/>
          <w:kern w:val="0"/>
          <w:sz w:val="27"/>
          <w:szCs w:val="27"/>
          <w:lang w:eastAsia="pt-BR"/>
          <w14:ligatures w14:val="none"/>
        </w:rPr>
        <w:t>de  229</w:t>
      </w:r>
      <w:proofErr w:type="gramEnd"/>
      <w:r w:rsidRPr="006D1B04">
        <w:rPr>
          <w:rFonts w:ascii="Calibri" w:eastAsia="Times New Roman" w:hAnsi="Calibri" w:cs="Calibri"/>
          <w:color w:val="000000"/>
          <w:kern w:val="0"/>
          <w:sz w:val="27"/>
          <w:szCs w:val="27"/>
          <w:lang w:eastAsia="pt-BR"/>
          <w14:ligatures w14:val="none"/>
        </w:rPr>
        <w:t>,80 m²</w:t>
      </w:r>
    </w:p>
    <w:p w14:paraId="7069FD3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A Coberta do Bloco B possui Área </w:t>
      </w:r>
      <w:proofErr w:type="gramStart"/>
      <w:r w:rsidRPr="006D1B04">
        <w:rPr>
          <w:rFonts w:ascii="Calibri" w:eastAsia="Times New Roman" w:hAnsi="Calibri" w:cs="Calibri"/>
          <w:color w:val="000000"/>
          <w:kern w:val="0"/>
          <w:sz w:val="27"/>
          <w:szCs w:val="27"/>
          <w:lang w:eastAsia="pt-BR"/>
          <w14:ligatures w14:val="none"/>
        </w:rPr>
        <w:t>de  1.127</w:t>
      </w:r>
      <w:proofErr w:type="gramEnd"/>
      <w:r w:rsidRPr="006D1B04">
        <w:rPr>
          <w:rFonts w:ascii="Calibri" w:eastAsia="Times New Roman" w:hAnsi="Calibri" w:cs="Calibri"/>
          <w:color w:val="000000"/>
          <w:kern w:val="0"/>
          <w:sz w:val="27"/>
          <w:szCs w:val="27"/>
          <w:lang w:eastAsia="pt-BR"/>
          <w14:ligatures w14:val="none"/>
        </w:rPr>
        <w:t>,85 m²</w:t>
      </w:r>
    </w:p>
    <w:p w14:paraId="2D24621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A Área de impermeabilização do Subsolo Bloco G é de 834 m</w:t>
      </w:r>
      <w:r w:rsidRPr="006D1B04">
        <w:rPr>
          <w:rFonts w:ascii="Calibri" w:eastAsia="Times New Roman" w:hAnsi="Calibri" w:cs="Calibri"/>
          <w:color w:val="000000"/>
          <w:kern w:val="0"/>
          <w:sz w:val="27"/>
          <w:szCs w:val="27"/>
          <w:vertAlign w:val="superscript"/>
          <w:lang w:eastAsia="pt-BR"/>
          <w14:ligatures w14:val="none"/>
        </w:rPr>
        <w:t>2</w:t>
      </w:r>
    </w:p>
    <w:p w14:paraId="67D3622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36A01B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8.1.3. A jornada diária do Engenheiro de é de 8 horas de Fiscalização de </w:t>
      </w:r>
      <w:proofErr w:type="gramStart"/>
      <w:r w:rsidRPr="006D1B04">
        <w:rPr>
          <w:rFonts w:ascii="Calibri" w:eastAsia="Times New Roman" w:hAnsi="Calibri" w:cs="Calibri"/>
          <w:color w:val="000000"/>
          <w:kern w:val="0"/>
          <w:sz w:val="27"/>
          <w:szCs w:val="27"/>
          <w:lang w:eastAsia="pt-BR"/>
          <w14:ligatures w14:val="none"/>
        </w:rPr>
        <w:t>Obra .</w:t>
      </w:r>
      <w:proofErr w:type="gramEnd"/>
      <w:r w:rsidRPr="006D1B04">
        <w:rPr>
          <w:rFonts w:ascii="Calibri" w:eastAsia="Times New Roman" w:hAnsi="Calibri" w:cs="Calibri"/>
          <w:color w:val="000000"/>
          <w:kern w:val="0"/>
          <w:sz w:val="27"/>
          <w:szCs w:val="27"/>
          <w:lang w:eastAsia="pt-BR"/>
          <w14:ligatures w14:val="none"/>
        </w:rPr>
        <w:t> </w:t>
      </w:r>
    </w:p>
    <w:p w14:paraId="04D060C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91DC54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9. MODELO DE GESTÃO DO CONTRATO (art. 6º, XXIII, alínea “f” da Lei nº 14.133/21).</w:t>
      </w:r>
    </w:p>
    <w:p w14:paraId="1627035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9.1 ROTINAS DE FISCALIZAÇÃO CONTRATUAL</w:t>
      </w:r>
    </w:p>
    <w:p w14:paraId="71B8482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9.1.1. O contrato deverá ser executado fielmente pelas partes, de acordo com as cláusulas avençadas e as normas da Lei nº 14.133, de 2021, e cada parte responderá pelas consequências de sua inexecução total ou parcial (Lei nº 14.133/2021, art. 115, </w:t>
      </w:r>
      <w:r w:rsidRPr="006D1B04">
        <w:rPr>
          <w:rFonts w:ascii="Calibri" w:eastAsia="Times New Roman" w:hAnsi="Calibri" w:cs="Calibri"/>
          <w:i/>
          <w:iCs/>
          <w:color w:val="000000"/>
          <w:kern w:val="0"/>
          <w:sz w:val="27"/>
          <w:szCs w:val="27"/>
          <w:lang w:eastAsia="pt-BR"/>
          <w14:ligatures w14:val="none"/>
        </w:rPr>
        <w:t>caput</w:t>
      </w:r>
      <w:r w:rsidRPr="006D1B04">
        <w:rPr>
          <w:rFonts w:ascii="Calibri" w:eastAsia="Times New Roman" w:hAnsi="Calibri" w:cs="Calibri"/>
          <w:color w:val="000000"/>
          <w:kern w:val="0"/>
          <w:sz w:val="27"/>
          <w:szCs w:val="27"/>
          <w:lang w:eastAsia="pt-BR"/>
          <w14:ligatures w14:val="none"/>
        </w:rPr>
        <w:t>).</w:t>
      </w:r>
    </w:p>
    <w:p w14:paraId="45B492F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9.1.2. Em caso de impedimento, ordem de paralisação ou suspensão do contrato, o cronograma de execução será prorrogado automaticamente pelo tempo correspondente, anotadas tais circunstâncias mediante simples apostila (Lei nº 14.133/2021, art. 115, §5º).</w:t>
      </w:r>
    </w:p>
    <w:p w14:paraId="3B774B1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9.1.3. A execução do contrato deverá ser acompanhada e fiscalizada pelo(s) fiscal(</w:t>
      </w:r>
      <w:proofErr w:type="spellStart"/>
      <w:r w:rsidRPr="006D1B04">
        <w:rPr>
          <w:rFonts w:ascii="Calibri" w:eastAsia="Times New Roman" w:hAnsi="Calibri" w:cs="Calibri"/>
          <w:color w:val="000000"/>
          <w:kern w:val="0"/>
          <w:sz w:val="27"/>
          <w:szCs w:val="27"/>
          <w:lang w:eastAsia="pt-BR"/>
          <w14:ligatures w14:val="none"/>
        </w:rPr>
        <w:t>is</w:t>
      </w:r>
      <w:proofErr w:type="spellEnd"/>
      <w:r w:rsidRPr="006D1B04">
        <w:rPr>
          <w:rFonts w:ascii="Calibri" w:eastAsia="Times New Roman" w:hAnsi="Calibri" w:cs="Calibri"/>
          <w:color w:val="000000"/>
          <w:kern w:val="0"/>
          <w:sz w:val="27"/>
          <w:szCs w:val="27"/>
          <w:lang w:eastAsia="pt-BR"/>
          <w14:ligatures w14:val="none"/>
        </w:rPr>
        <w:t>) do contrato, ou pelos respectivos substitutos (Lei nº 14.133/2021, art. 117, caput).</w:t>
      </w:r>
    </w:p>
    <w:p w14:paraId="6A87F1F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            9.1.3.1. O fiscal do contrato anotará em registro próprio todas as ocorrências relacionadas à execução do contrato, determinando o que for </w:t>
      </w:r>
      <w:r w:rsidRPr="006D1B04">
        <w:rPr>
          <w:rFonts w:ascii="Calibri" w:eastAsia="Times New Roman" w:hAnsi="Calibri" w:cs="Calibri"/>
          <w:color w:val="000000"/>
          <w:kern w:val="0"/>
          <w:sz w:val="27"/>
          <w:szCs w:val="27"/>
          <w:lang w:eastAsia="pt-BR"/>
          <w14:ligatures w14:val="none"/>
        </w:rPr>
        <w:lastRenderedPageBreak/>
        <w:t>necessário para a regularização das faltas ou dos defeitos observados (Lei nº 14.133/2021, art. 117, §1º).</w:t>
      </w:r>
    </w:p>
    <w:p w14:paraId="7C5A774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9.1.3.2. O fiscal do contrato informará a seus superiores, em tempo hábil para a adoção das medidas convenientes, a situação que demandar decisão ou providência que ultrapasse sua competência (Lei nº 14.133/2021, art. 117, §2º).</w:t>
      </w:r>
    </w:p>
    <w:p w14:paraId="359FDEB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9.1.4.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13054E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9.1.5. Somente o contratado será responsável pelos encargos trabalhistas, previdenciários, fiscais e comerciais resultantes da execução do contrato (Lei nº 14.133/2021, art. 121, caput).</w:t>
      </w:r>
    </w:p>
    <w:p w14:paraId="4636A2E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9.1.5.1. A inadimplência do contratado em relação aos encargos trabalhistas, fiscais e comerciais não transferirá à Administração a responsabilidade pelo seu pagamento e não poderá onerar o objeto do contrato (Lei nº 14.133/2021, art. 121, §1º).</w:t>
      </w:r>
    </w:p>
    <w:p w14:paraId="391512A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9.1.6. As comunicações entre o órgão ou entidade e a contratada devem ser realizadas por escrito sempre que o ato exigir tal formalidade, admitindo-se, excepcionalmente, o uso de mensagem eletrônica para esse fim (IN 5/2017, art. 44, §2º).</w:t>
      </w:r>
    </w:p>
    <w:p w14:paraId="7878444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9.1.7. O órgão ou entidade poderá convocar representante da empresa para adoção de providências que devam ser cumpridas de imediato (IN 5/2017, art. 44, §3º).</w:t>
      </w:r>
    </w:p>
    <w:p w14:paraId="38DFAAC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9.1.8. Após a assinatura do contrato ou instrumento equivalente, será convocado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77A6CE6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9.1.9. Antes do pagamento da nota fiscal ou da fatura, deverá ser consultada a situação da empresa junto ao SICAF.</w:t>
      </w:r>
    </w:p>
    <w:p w14:paraId="554873B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9.1.10.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78D40D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0FCC1B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lastRenderedPageBreak/>
        <w:t>9.2. DOS CRITÉRIOS DE AFERIÇÃO E MEDIÇÃO PARA FATURAMENTO</w:t>
      </w:r>
    </w:p>
    <w:p w14:paraId="5BA01B8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84D4E5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9.2.1 A avaliação da execução do objeto utilizará o Instrumento de Medição de Resultado (IMR), conforme previsto no Anexo</w:t>
      </w:r>
      <w:r w:rsidRPr="006D1B04">
        <w:rPr>
          <w:rFonts w:ascii="Calibri" w:eastAsia="Times New Roman" w:hAnsi="Calibri" w:cs="Calibri"/>
          <w:i/>
          <w:iCs/>
          <w:color w:val="000000"/>
          <w:kern w:val="0"/>
          <w:sz w:val="27"/>
          <w:szCs w:val="27"/>
          <w:lang w:eastAsia="pt-BR"/>
          <w14:ligatures w14:val="none"/>
        </w:rPr>
        <w:t> </w:t>
      </w:r>
      <w:proofErr w:type="gramStart"/>
      <w:r w:rsidRPr="006D1B04">
        <w:rPr>
          <w:rFonts w:ascii="Calibri" w:eastAsia="Times New Roman" w:hAnsi="Calibri" w:cs="Calibri"/>
          <w:color w:val="000000"/>
          <w:kern w:val="0"/>
          <w:sz w:val="27"/>
          <w:szCs w:val="27"/>
          <w:lang w:eastAsia="pt-BR"/>
          <w14:ligatures w14:val="none"/>
        </w:rPr>
        <w:t>B</w:t>
      </w:r>
      <w:r w:rsidRPr="006D1B04">
        <w:rPr>
          <w:rFonts w:ascii="Calibri" w:eastAsia="Times New Roman" w:hAnsi="Calibri" w:cs="Calibri"/>
          <w:i/>
          <w:iCs/>
          <w:color w:val="000000"/>
          <w:kern w:val="0"/>
          <w:sz w:val="27"/>
          <w:szCs w:val="27"/>
          <w:lang w:eastAsia="pt-BR"/>
          <w14:ligatures w14:val="none"/>
        </w:rPr>
        <w:t>, </w:t>
      </w:r>
      <w:r w:rsidRPr="006D1B04">
        <w:rPr>
          <w:rFonts w:ascii="Calibri" w:eastAsia="Times New Roman" w:hAnsi="Calibri" w:cs="Calibri"/>
          <w:color w:val="000000"/>
          <w:kern w:val="0"/>
          <w:sz w:val="27"/>
          <w:szCs w:val="27"/>
          <w:lang w:eastAsia="pt-BR"/>
          <w14:ligatures w14:val="none"/>
        </w:rPr>
        <w:t> devendo</w:t>
      </w:r>
      <w:proofErr w:type="gramEnd"/>
      <w:r w:rsidRPr="006D1B04">
        <w:rPr>
          <w:rFonts w:ascii="Calibri" w:eastAsia="Times New Roman" w:hAnsi="Calibri" w:cs="Calibri"/>
          <w:color w:val="000000"/>
          <w:kern w:val="0"/>
          <w:sz w:val="27"/>
          <w:szCs w:val="27"/>
          <w:lang w:eastAsia="pt-BR"/>
          <w14:ligatures w14:val="none"/>
        </w:rPr>
        <w:t xml:space="preserve"> haver o redimensionamento no pagamento com base nos indicadores estabelecidos, sempre que a CONTRATADA:</w:t>
      </w:r>
    </w:p>
    <w:p w14:paraId="38C3CF0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a) não produzir os resultados, deixar de executar, ou não executar com a qualidade mínima exigida as atividades contratadas; ou</w:t>
      </w:r>
    </w:p>
    <w:p w14:paraId="4AE919F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b) deixar de utilizar materiais e recursos humanos exigidos para a execução do serviço, ou utilizá-los com qualidade ou quantidade inferior à demandada.</w:t>
      </w:r>
    </w:p>
    <w:p w14:paraId="6B956F2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9.2.2 A utilização do IMR não impede a aplicação concomitante de outros mecanismos para a avaliação da prestação dos serviços.</w:t>
      </w:r>
    </w:p>
    <w:p w14:paraId="5ED5BF8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9.2.3 Nos termos do item 1, do Anexo VIII-A da Instrução Normativa SEGES/MP nº 05, de 2017, será indicada a retenção ou glosa no pagamento, proporcional à irregularidade verificada, sem prejuízo das sanções cabíveis, caso se constate que a Contratada:</w:t>
      </w:r>
    </w:p>
    <w:p w14:paraId="4922474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a) não produziu os resultados acordados;</w:t>
      </w:r>
    </w:p>
    <w:p w14:paraId="431584C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b) deixou de executar as atividades contratadas, ou não as executou com a qualidade mínima exigida;</w:t>
      </w:r>
    </w:p>
    <w:p w14:paraId="2B9478A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c) deixou de utilizar os materiais e recursos humanos exigidos para a execução do serviço, ou utilizou-os com qualidade ou quantidade inferior à demandada.</w:t>
      </w:r>
    </w:p>
    <w:p w14:paraId="79E6544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143BC99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9.3. DO RECEBIMENTO</w:t>
      </w:r>
    </w:p>
    <w:p w14:paraId="54B1565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249E8B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9.3.1 Ao final de cada etapa da execução contratual, conforme previsto no Cronograma Físico-Financeiro, a contratada apresentará relatório mensal dos serviços constando a medição prévia dos serviços executados no período, por meio de planilha, memória de cálculo detalhada e relatório fotográfico.</w:t>
      </w:r>
    </w:p>
    <w:p w14:paraId="5871E5F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9.3.2 Os serviços poderão ser rejeitados, no todo ou em parte, quando em desacordo com as especificações constantes neste Termo de Referência e na proposta, devendo ser corrigidos/refeitos/substituídos no prazo estipulado pelo fiscal, a contar da notificação da contratada, às suas custas, sem prejuízo da aplicação das penalidades.</w:t>
      </w:r>
    </w:p>
    <w:p w14:paraId="2490DA2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lastRenderedPageBreak/>
        <w:t>9.3.3 Os serviços serão recebidos definitivamente pelo fiscal do contratado no prazo de 10 (dez) dias, contados do recebimento do relatório mensal, após a verificação da qualidade e quantidade do serviço e consequente aceitação mediante termo, obedecendo as seguintes diretrizes:</w:t>
      </w:r>
    </w:p>
    <w:p w14:paraId="640DC955" w14:textId="77777777" w:rsidR="006D1B04" w:rsidRPr="006D1B04" w:rsidRDefault="006D1B04" w:rsidP="006D1B04">
      <w:pPr>
        <w:spacing w:before="120" w:after="120" w:line="240" w:lineRule="auto"/>
        <w:ind w:left="60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9.3.3.1 Realizar a análise dos relatórios e de toda a documentação apresentada pela Contratada e, caso haja irregularidades que impeçam a liquidação e o pagamento da despesa, indicar as cláusulas contratuais pertinentes, solicitando à CONTRATADA, por escrito, as respectivas correções;</w:t>
      </w:r>
    </w:p>
    <w:p w14:paraId="7FF1A06F" w14:textId="77777777" w:rsidR="006D1B04" w:rsidRPr="006D1B04" w:rsidRDefault="006D1B04" w:rsidP="006D1B04">
      <w:pPr>
        <w:spacing w:before="120" w:after="120" w:line="240" w:lineRule="auto"/>
        <w:ind w:left="60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9.3.3.2 Emitir Termo Circunstanciado para efeito de recebimento definitivo dos serviços prestados, com base nos relatórios e documentações apresentadas; e</w:t>
      </w:r>
    </w:p>
    <w:p w14:paraId="73A4CB5E" w14:textId="77777777" w:rsidR="006D1B04" w:rsidRPr="006D1B04" w:rsidRDefault="006D1B04" w:rsidP="006D1B04">
      <w:pPr>
        <w:spacing w:before="120" w:after="120" w:line="240" w:lineRule="auto"/>
        <w:ind w:left="60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9.3.3.3 Comunicar a empresa para que emita a Nota Fiscal ou Fatura, com o valor exato dimensionado pela fiscalização</w:t>
      </w:r>
      <w:r w:rsidRPr="006D1B04">
        <w:rPr>
          <w:rFonts w:ascii="Calibri" w:eastAsia="Times New Roman" w:hAnsi="Calibri" w:cs="Calibri"/>
          <w:i/>
          <w:iCs/>
          <w:color w:val="000000"/>
          <w:kern w:val="0"/>
          <w:sz w:val="27"/>
          <w:szCs w:val="27"/>
          <w:lang w:eastAsia="pt-BR"/>
          <w14:ligatures w14:val="none"/>
        </w:rPr>
        <w:t>, com base no Instrumento de Medição de Resultado (IMR).</w:t>
      </w:r>
    </w:p>
    <w:p w14:paraId="141AB78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FFFA2EA" w14:textId="77777777" w:rsidR="006D1B04" w:rsidRPr="006D1B04" w:rsidRDefault="006D1B04" w:rsidP="006D1B04">
      <w:pPr>
        <w:spacing w:before="120" w:after="120" w:line="240" w:lineRule="auto"/>
        <w:ind w:left="60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9.3.3.4 O recebimento definitivo não excluirá a responsabilidade civil pela solidez e pela segurança do serviço nem a responsabilidade ético-profissional pela perfeita execução do contrato.</w:t>
      </w:r>
    </w:p>
    <w:p w14:paraId="6D19C1E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6D1B04">
        <w:rPr>
          <w:rFonts w:ascii="Calibri" w:eastAsia="Times New Roman" w:hAnsi="Calibri" w:cs="Calibri"/>
          <w:color w:val="000000"/>
          <w:kern w:val="0"/>
          <w:sz w:val="24"/>
          <w:szCs w:val="24"/>
          <w:lang w:eastAsia="pt-BR"/>
          <w14:ligatures w14:val="none"/>
        </w:rPr>
        <w:t> </w:t>
      </w:r>
    </w:p>
    <w:p w14:paraId="10316F8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3912E9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10. ESPECIFICAÇÃO DA GARANTIA CONTRATUAL EXIGIDA E DAS CONDIÇÕES DE MANUTENÇÃO E ASSISTÊNCIA TÉCNICA (art. 18, III, da Lei n. 14.133/2021)</w:t>
      </w:r>
    </w:p>
    <w:p w14:paraId="03B543C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Não se aplica conforme justificativa do item 4.3.</w:t>
      </w:r>
    </w:p>
    <w:p w14:paraId="5BF6ED5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AFCACC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11. FORMA E CRITÉRIOS DE SELEÇÃO DO FORNECEDOR MEDIANTE O USO DO SISTEMA DE DISPENSA ELETRÔNICA (art. 6º, inciso XXIII, alínea ‘h’, da Lei n. 14.133/2021).</w:t>
      </w:r>
    </w:p>
    <w:p w14:paraId="3A7C22C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11.1. O fornecedor será selecionado por meio da realização de procedimento de dispensa de licitação, na forma eletrônica, com fundamento na hipótese do art. 75, inciso I da Lei n.º 14.133/</w:t>
      </w:r>
      <w:proofErr w:type="gramStart"/>
      <w:r w:rsidRPr="006D1B04">
        <w:rPr>
          <w:rFonts w:ascii="Calibri" w:eastAsia="Times New Roman" w:hAnsi="Calibri" w:cs="Calibri"/>
          <w:color w:val="000000"/>
          <w:kern w:val="0"/>
          <w:sz w:val="27"/>
          <w:szCs w:val="27"/>
          <w:lang w:eastAsia="pt-BR"/>
          <w14:ligatures w14:val="none"/>
        </w:rPr>
        <w:t>2021 )</w:t>
      </w:r>
      <w:proofErr w:type="gramEnd"/>
      <w:r w:rsidRPr="006D1B04">
        <w:rPr>
          <w:rFonts w:ascii="Calibri" w:eastAsia="Times New Roman" w:hAnsi="Calibri" w:cs="Calibri"/>
          <w:color w:val="000000"/>
          <w:kern w:val="0"/>
          <w:sz w:val="27"/>
          <w:szCs w:val="27"/>
          <w:lang w:eastAsia="pt-BR"/>
          <w14:ligatures w14:val="none"/>
        </w:rPr>
        <w:t>, que culminará com a seleção da proposta de menor preço global.</w:t>
      </w:r>
    </w:p>
    <w:p w14:paraId="474F351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11.2. As exigências de habilitação jurídica, fiscal, social e trabalhista são as usuais para a generalidade dos objetos, conforme disciplinado no Anexo I do Aviso de Contratação Direta.</w:t>
      </w:r>
    </w:p>
    <w:p w14:paraId="44B566F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lastRenderedPageBreak/>
        <w:t>11.3. Os critérios de habilitação econômico-financeira a serem atendidos pelo fornecedor estão previstos no Anexo I do Aviso de Contratação Direta.</w:t>
      </w:r>
    </w:p>
    <w:p w14:paraId="7E3AD10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11.4. Os critérios de habilitação técnica a serem atendidos pelo fornecedor serão:</w:t>
      </w:r>
    </w:p>
    <w:p w14:paraId="3171596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11.4.1. Apresentação do profissional abaixo indicado, devidamente registrado no conselho profissional competente, detentor de atestado de responsabilidade técnica por execução de obra ou serviço de características semelhantes, também abaixo indicado(s):</w:t>
      </w:r>
    </w:p>
    <w:p w14:paraId="647F7AE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11.4.1.1 Engenheiro Civil.</w:t>
      </w:r>
    </w:p>
    <w:p w14:paraId="099A58B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11.4.2. O profissional indicado na forma supra deverá participar da obra ou serviço objeto do contrato, e será admitida a sua substituição por profissionais de experiência equivalente ou superior, desde que aprovada pela Administração.</w:t>
      </w:r>
    </w:p>
    <w:p w14:paraId="01494C4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11.4.3. Comprovação de aptidão para a execução de obras ou serviços similares de complexidade tecnológica e operacional equivalente ou superior, por meio da apresentação de certidões ou atestados, regularmente emitidos pelo conselho profissional competente.</w:t>
      </w:r>
    </w:p>
    <w:p w14:paraId="7401032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     11.4.3.1. Para fins da comprovação de que trata este subitem, os atestados deverão dizer respeito a contratos executados com as seguintes características mínimas: Acompanhamento </w:t>
      </w:r>
      <w:proofErr w:type="gramStart"/>
      <w:r w:rsidRPr="006D1B04">
        <w:rPr>
          <w:rFonts w:ascii="Calibri" w:eastAsia="Times New Roman" w:hAnsi="Calibri" w:cs="Calibri"/>
          <w:color w:val="000000"/>
          <w:kern w:val="0"/>
          <w:sz w:val="27"/>
          <w:szCs w:val="27"/>
          <w:lang w:eastAsia="pt-BR"/>
          <w14:ligatures w14:val="none"/>
        </w:rPr>
        <w:t>de  serviços</w:t>
      </w:r>
      <w:proofErr w:type="gramEnd"/>
      <w:r w:rsidRPr="006D1B04">
        <w:rPr>
          <w:rFonts w:ascii="Calibri" w:eastAsia="Times New Roman" w:hAnsi="Calibri" w:cs="Calibri"/>
          <w:color w:val="000000"/>
          <w:kern w:val="0"/>
          <w:sz w:val="27"/>
          <w:szCs w:val="27"/>
          <w:lang w:eastAsia="pt-BR"/>
          <w14:ligatures w14:val="none"/>
        </w:rPr>
        <w:t xml:space="preserve"> de  recuperação das cobertas de</w:t>
      </w:r>
      <w:r w:rsidRPr="006D1B04">
        <w:rPr>
          <w:rFonts w:ascii="Calibri" w:eastAsia="Times New Roman" w:hAnsi="Calibri" w:cs="Calibri"/>
          <w:color w:val="FF0000"/>
          <w:kern w:val="0"/>
          <w:sz w:val="27"/>
          <w:szCs w:val="27"/>
          <w:lang w:eastAsia="pt-BR"/>
          <w14:ligatures w14:val="none"/>
        </w:rPr>
        <w:t> </w:t>
      </w:r>
      <w:r w:rsidRPr="006D1B04">
        <w:rPr>
          <w:rFonts w:ascii="Calibri" w:eastAsia="Times New Roman" w:hAnsi="Calibri" w:cs="Calibri"/>
          <w:color w:val="000000"/>
          <w:kern w:val="0"/>
          <w:sz w:val="27"/>
          <w:szCs w:val="27"/>
          <w:lang w:eastAsia="pt-BR"/>
          <w14:ligatures w14:val="none"/>
        </w:rPr>
        <w:t>área igual ou superior a 680m².</w:t>
      </w:r>
    </w:p>
    <w:p w14:paraId="65E3FA6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11.4.3.2. Será admitida, para fins de comprovação de quantitativo mínimo do serviço, a apresentação de diferentes atestados de serviços executados de forma concomitante.</w:t>
      </w:r>
    </w:p>
    <w:p w14:paraId="760A9FE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    11.4.4. O profissional deverá </w:t>
      </w:r>
      <w:proofErr w:type="spellStart"/>
      <w:proofErr w:type="gramStart"/>
      <w:r w:rsidRPr="006D1B04">
        <w:rPr>
          <w:rFonts w:ascii="Calibri" w:eastAsia="Times New Roman" w:hAnsi="Calibri" w:cs="Calibri"/>
          <w:color w:val="000000"/>
          <w:kern w:val="0"/>
          <w:sz w:val="27"/>
          <w:szCs w:val="27"/>
          <w:lang w:eastAsia="pt-BR"/>
          <w14:ligatures w14:val="none"/>
        </w:rPr>
        <w:t>está</w:t>
      </w:r>
      <w:proofErr w:type="spellEnd"/>
      <w:proofErr w:type="gramEnd"/>
      <w:r w:rsidRPr="006D1B04">
        <w:rPr>
          <w:rFonts w:ascii="Calibri" w:eastAsia="Times New Roman" w:hAnsi="Calibri" w:cs="Calibri"/>
          <w:color w:val="000000"/>
          <w:kern w:val="0"/>
          <w:sz w:val="27"/>
          <w:szCs w:val="27"/>
          <w:lang w:eastAsia="pt-BR"/>
          <w14:ligatures w14:val="none"/>
        </w:rPr>
        <w:t xml:space="preserve"> devidamente habilitado de acordo com NR-35 e a NR-33. Deverá ser apresentado o certificado validado e em dias, comprovando a realização dos treinamentos. Deverá ser apresentado o ASO de exames específicos para trabalho em altura (Acuidade visual, Audiometria ocupacional, Eletrocardiograma, Eletroencefalograma, Glicemia de jejum, Hemograma completo) e o profissional deverá estar munido de todos os EPIs necessários ao desenvolvimento do serviço.</w:t>
      </w:r>
    </w:p>
    <w:p w14:paraId="10A45FB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11.4.5. Registro ou inscrição da empresa contratada no conselho profissional competente.</w:t>
      </w:r>
    </w:p>
    <w:p w14:paraId="0CF9D02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11.4.6. Os atestados de capacidade técnica poderão ser apresentados em nome da matriz ou da filial do Contratado.</w:t>
      </w:r>
    </w:p>
    <w:p w14:paraId="66B3DAC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    11.4.7. O Contratado disponibilizará todas as informações necessárias à comprovação da legitimidade dos atestados, apresentando, quando solicitado pelo Contratante, cópia do contrato que deu suporte à </w:t>
      </w:r>
      <w:r w:rsidRPr="006D1B04">
        <w:rPr>
          <w:rFonts w:ascii="Calibri" w:eastAsia="Times New Roman" w:hAnsi="Calibri" w:cs="Calibri"/>
          <w:color w:val="000000"/>
          <w:kern w:val="0"/>
          <w:sz w:val="27"/>
          <w:szCs w:val="27"/>
          <w:lang w:eastAsia="pt-BR"/>
          <w14:ligatures w14:val="none"/>
        </w:rPr>
        <w:lastRenderedPageBreak/>
        <w:t>contratação, endereço atual da empresa que a contratou e local em que foi executado o objeto contratado, dentre outros documentos.</w:t>
      </w:r>
    </w:p>
    <w:p w14:paraId="1CDD30B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CA2418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b/>
          <w:bCs/>
          <w:color w:val="000000"/>
          <w:kern w:val="0"/>
          <w:sz w:val="27"/>
          <w:szCs w:val="27"/>
          <w:lang w:eastAsia="pt-BR"/>
          <w14:ligatures w14:val="none"/>
        </w:rPr>
        <w:t>12 ADEQUAÇÃO ORÇAMENTÁRIA</w:t>
      </w:r>
    </w:p>
    <w:p w14:paraId="27B7E31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12.1 As despesas decorrentes da presente contratação correrão à conta de recursos específicos consignados no Orçamento Geral da União.</w:t>
      </w:r>
    </w:p>
    <w:p w14:paraId="548F61C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12.1.1. A contratação será atendida pela seguinte dotação:</w:t>
      </w:r>
    </w:p>
    <w:p w14:paraId="1BA74EF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C8CFF4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Gestão/Unidade: 254421</w:t>
      </w:r>
    </w:p>
    <w:p w14:paraId="4829D3F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Fonte de Recursos: 1002</w:t>
      </w:r>
    </w:p>
    <w:p w14:paraId="07B61CD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Programa de Trabalho: 10571502021BF0001</w:t>
      </w:r>
    </w:p>
    <w:p w14:paraId="707C9FE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Elemento de Despesa: 339039 </w:t>
      </w:r>
    </w:p>
    <w:p w14:paraId="780FEF5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Plano Interno: A1IAM</w:t>
      </w:r>
    </w:p>
    <w:p w14:paraId="165D7E8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1BCCA5A4"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12.2. A dotação relativa aos exercícios financeiros subsequentes será indicada após aprovação da Lei Orçamentária respectiva e liberação dos créditos correspondentes, mediante apostilamento.</w:t>
      </w:r>
    </w:p>
    <w:p w14:paraId="14FB43D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6658E75"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Anexo A</w:t>
      </w:r>
    </w:p>
    <w:p w14:paraId="0116D6B4"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Modelo de planilha de custo</w:t>
      </w:r>
    </w:p>
    <w:p w14:paraId="643773B5"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w:t>
      </w:r>
    </w:p>
    <w:p w14:paraId="3E5EC910"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23"/>
        <w:gridCol w:w="1008"/>
        <w:gridCol w:w="1257"/>
      </w:tblGrid>
      <w:tr w:rsidR="006D1B04" w:rsidRPr="006D1B04" w14:paraId="2FC7B283"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5435BD"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Descrição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E8614"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Valor mensal</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A6EC1"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Valor total (4 meses)</w:t>
            </w:r>
          </w:p>
        </w:tc>
      </w:tr>
      <w:tr w:rsidR="006D1B04" w:rsidRPr="006D1B04" w14:paraId="1459EC69"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18219C"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xml:space="preserve">Serviço de Engenharia de </w:t>
            </w:r>
            <w:proofErr w:type="gramStart"/>
            <w:r w:rsidRPr="006D1B04">
              <w:rPr>
                <w:rFonts w:ascii="Calibri" w:eastAsia="Times New Roman" w:hAnsi="Calibri" w:cs="Calibri"/>
                <w:color w:val="000000"/>
                <w:kern w:val="0"/>
                <w:lang w:eastAsia="pt-BR"/>
                <w14:ligatures w14:val="none"/>
              </w:rPr>
              <w:t>Fiscalização  de</w:t>
            </w:r>
            <w:proofErr w:type="gramEnd"/>
            <w:r w:rsidRPr="006D1B04">
              <w:rPr>
                <w:rFonts w:ascii="Calibri" w:eastAsia="Times New Roman" w:hAnsi="Calibri" w:cs="Calibri"/>
                <w:color w:val="000000"/>
                <w:kern w:val="0"/>
                <w:lang w:eastAsia="pt-BR"/>
                <w14:ligatures w14:val="none"/>
              </w:rPr>
              <w:t xml:space="preserve"> obra de Execução dos serviços de recuperação das cobertas dos Blocos B, D e G do Instituto </w:t>
            </w:r>
            <w:proofErr w:type="spellStart"/>
            <w:r w:rsidRPr="006D1B04">
              <w:rPr>
                <w:rFonts w:ascii="Calibri" w:eastAsia="Times New Roman" w:hAnsi="Calibri" w:cs="Calibri"/>
                <w:color w:val="000000"/>
                <w:kern w:val="0"/>
                <w:lang w:eastAsia="pt-BR"/>
                <w14:ligatures w14:val="none"/>
              </w:rPr>
              <w:t>Aggeu</w:t>
            </w:r>
            <w:proofErr w:type="spellEnd"/>
            <w:r w:rsidRPr="006D1B04">
              <w:rPr>
                <w:rFonts w:ascii="Calibri" w:eastAsia="Times New Roman" w:hAnsi="Calibri" w:cs="Calibri"/>
                <w:color w:val="000000"/>
                <w:kern w:val="0"/>
                <w:lang w:eastAsia="pt-BR"/>
                <w14:ligatures w14:val="none"/>
              </w:rPr>
              <w:t xml:space="preserve"> Magalhães (IAM)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CE253B"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770DD2"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w:t>
            </w:r>
          </w:p>
        </w:tc>
      </w:tr>
      <w:tr w:rsidR="006D1B04" w:rsidRPr="006D1B04" w14:paraId="6758BE59"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CF37AF"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Valor global da proposta</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80F9D"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xml:space="preserve">       - </w:t>
            </w:r>
            <w:proofErr w:type="gramStart"/>
            <w:r w:rsidRPr="006D1B04">
              <w:rPr>
                <w:rFonts w:ascii="Calibri" w:eastAsia="Times New Roman" w:hAnsi="Calibri" w:cs="Calibri"/>
                <w:color w:val="000000"/>
                <w:kern w:val="0"/>
                <w:lang w:eastAsia="pt-BR"/>
                <w14:ligatures w14:val="none"/>
              </w:rPr>
              <w:t>x</w:t>
            </w:r>
            <w:proofErr w:type="gramEnd"/>
            <w:r w:rsidRPr="006D1B04">
              <w:rPr>
                <w:rFonts w:ascii="Calibri" w:eastAsia="Times New Roman" w:hAnsi="Calibri" w:cs="Calibri"/>
                <w:color w:val="000000"/>
                <w:kern w:val="0"/>
                <w:lang w:eastAsia="pt-BR"/>
                <w14:ligatures w14:val="none"/>
              </w:rPr>
              <w:t xml:space="preserve"> -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BC81D"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 </w:t>
            </w:r>
          </w:p>
        </w:tc>
      </w:tr>
    </w:tbl>
    <w:p w14:paraId="528B56EA"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b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
        <w:gridCol w:w="98"/>
      </w:tblGrid>
      <w:tr w:rsidR="006D1B04" w:rsidRPr="006D1B04" w14:paraId="0CC09312"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922F24" w14:textId="77777777" w:rsidR="006D1B04" w:rsidRPr="006D1B04" w:rsidRDefault="006D1B04" w:rsidP="006D1B04">
            <w:pPr>
              <w:spacing w:after="0" w:line="240" w:lineRule="auto"/>
              <w:rPr>
                <w:rFonts w:ascii="Times New Roman" w:eastAsia="Times New Roman" w:hAnsi="Times New Roman" w:cs="Times New Roman"/>
                <w:color w:val="000000"/>
                <w:kern w:val="0"/>
                <w:sz w:val="27"/>
                <w:szCs w:val="27"/>
                <w:lang w:eastAsia="pt-BR"/>
                <w14:ligatures w14:val="none"/>
              </w:rPr>
            </w:pPr>
            <w:r w:rsidRPr="006D1B04">
              <w:rPr>
                <w:rFonts w:ascii="Times New Roman" w:eastAsia="Times New Roman" w:hAnsi="Times New Roman" w:cs="Times New Roman"/>
                <w:color w:val="000000"/>
                <w:kern w:val="0"/>
                <w:sz w:val="27"/>
                <w:szCs w:val="27"/>
                <w:lang w:eastAsia="pt-BR"/>
                <w14:ligatures w14:val="none"/>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753A3" w14:textId="77777777" w:rsidR="006D1B04" w:rsidRPr="006D1B04" w:rsidRDefault="006D1B04" w:rsidP="006D1B04">
            <w:pPr>
              <w:spacing w:after="0" w:line="240" w:lineRule="auto"/>
              <w:rPr>
                <w:rFonts w:ascii="Times New Roman" w:eastAsia="Times New Roman" w:hAnsi="Times New Roman" w:cs="Times New Roman"/>
                <w:color w:val="000000"/>
                <w:kern w:val="0"/>
                <w:sz w:val="27"/>
                <w:szCs w:val="27"/>
                <w:lang w:eastAsia="pt-BR"/>
                <w14:ligatures w14:val="none"/>
              </w:rPr>
            </w:pPr>
            <w:r w:rsidRPr="006D1B04">
              <w:rPr>
                <w:rFonts w:ascii="Times New Roman" w:eastAsia="Times New Roman" w:hAnsi="Times New Roman" w:cs="Times New Roman"/>
                <w:color w:val="000000"/>
                <w:kern w:val="0"/>
                <w:sz w:val="27"/>
                <w:szCs w:val="27"/>
                <w:lang w:eastAsia="pt-BR"/>
                <w14:ligatures w14:val="none"/>
              </w:rPr>
              <w:t> </w:t>
            </w:r>
          </w:p>
        </w:tc>
      </w:tr>
    </w:tbl>
    <w:p w14:paraId="52D6E0F2"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Anexo B</w:t>
      </w:r>
    </w:p>
    <w:p w14:paraId="188081BA" w14:textId="77777777" w:rsidR="006D1B04" w:rsidRPr="006D1B04" w:rsidRDefault="006D1B04" w:rsidP="006D1B04">
      <w:pPr>
        <w:spacing w:after="0" w:line="240" w:lineRule="auto"/>
        <w:ind w:left="60" w:right="60"/>
        <w:jc w:val="center"/>
        <w:rPr>
          <w:rFonts w:ascii="Calibri" w:eastAsia="Times New Roman" w:hAnsi="Calibri" w:cs="Calibri"/>
          <w:color w:val="000000"/>
          <w:kern w:val="0"/>
          <w:lang w:eastAsia="pt-BR"/>
          <w14:ligatures w14:val="none"/>
        </w:rPr>
      </w:pPr>
      <w:r w:rsidRPr="006D1B04">
        <w:rPr>
          <w:rFonts w:ascii="Calibri" w:eastAsia="Times New Roman" w:hAnsi="Calibri" w:cs="Calibri"/>
          <w:b/>
          <w:bCs/>
          <w:color w:val="000000"/>
          <w:kern w:val="0"/>
          <w:lang w:eastAsia="pt-BR"/>
          <w14:ligatures w14:val="none"/>
        </w:rPr>
        <w:t>Instrumento de Medição de Resultado</w:t>
      </w:r>
    </w:p>
    <w:p w14:paraId="14FD7FE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C21B29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xml:space="preserve">1. O Instrumento de Medição de Resultados (IMR) define metas quantificáveis a serem cumpridas pela CONTRATADA na execução do Contrato. Para tanto, são definidos indicadores objetivamente mensuráveis </w:t>
      </w:r>
      <w:r w:rsidRPr="006D1B04">
        <w:rPr>
          <w:rFonts w:ascii="Calibri" w:eastAsia="Times New Roman" w:hAnsi="Calibri" w:cs="Calibri"/>
          <w:color w:val="000000"/>
          <w:kern w:val="0"/>
          <w:sz w:val="27"/>
          <w:szCs w:val="27"/>
          <w:lang w:eastAsia="pt-BR"/>
          <w14:ligatures w14:val="none"/>
        </w:rPr>
        <w:lastRenderedPageBreak/>
        <w:t>que buscam aferir e avaliar a qualidade da prestação dos serviços contratados.</w:t>
      </w:r>
    </w:p>
    <w:p w14:paraId="13CE131F"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2. O cumprimento do Instrumento de Medição de Resultados (IMR) condiciona o pagamento dos serviços prestados.</w:t>
      </w:r>
    </w:p>
    <w:p w14:paraId="63C036D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 Indicadores da qualidade do serviço.</w:t>
      </w:r>
    </w:p>
    <w:p w14:paraId="6003F6B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3.1 Indicadores definem a qualidade do serviço inicialmente exigido e que deve ser cumprido pela CONTRATADA. A qualquer tempo, no decorrer da vigência do contrato, os indicadores poderão ser revistos, mediante acordo entre as partes.</w:t>
      </w:r>
    </w:p>
    <w:p w14:paraId="131CE84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3.2 A avaliação do nível de serviço será feita pela CONTRATANTE por meio do indicador denominado “Nota de Avaliação do Serviço” (NAS).</w:t>
      </w:r>
    </w:p>
    <w:p w14:paraId="5707DA2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3.3 A Nota Mensal de Avaliação será calculada a partir do registro de ocorrências, que determinará a perda de pontos por parte da CONTRATADA considerando o impacto de criticidade de cada ocorrência, conforme a fórmula abaixo e a tabela de ocorrências a seguir:</w:t>
      </w:r>
    </w:p>
    <w:p w14:paraId="6349461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D12A91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NAS = 10 - ∑ Pontos Perdidos</w:t>
      </w:r>
    </w:p>
    <w:p w14:paraId="1FEE7F5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
        <w:gridCol w:w="4611"/>
        <w:gridCol w:w="1894"/>
        <w:gridCol w:w="1418"/>
      </w:tblGrid>
      <w:tr w:rsidR="006D1B04" w:rsidRPr="006D1B04" w14:paraId="1F6EB410"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975910"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08059"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Descrição da ocorrência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D889F62"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Incidência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7769F"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Pontos perdidos</w:t>
            </w:r>
          </w:p>
        </w:tc>
      </w:tr>
      <w:tr w:rsidR="006D1B04" w:rsidRPr="006D1B04" w14:paraId="3CC7175B"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FE9EDA"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1179D"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Frequência e assiduidade não cumpridas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3DD24"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Por hora não cumprida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729798A0"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0,1</w:t>
            </w:r>
          </w:p>
        </w:tc>
      </w:tr>
      <w:tr w:rsidR="006D1B04" w:rsidRPr="006D1B04" w14:paraId="2AA5FDD2"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D7C0D2"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C0D0C0F"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Relatório mensal entregue fora do prazo</w:t>
            </w:r>
          </w:p>
        </w:tc>
        <w:tc>
          <w:tcPr>
            <w:tcW w:w="0" w:type="auto"/>
            <w:tcBorders>
              <w:top w:val="outset" w:sz="6" w:space="0" w:color="auto"/>
              <w:left w:val="outset" w:sz="6" w:space="0" w:color="auto"/>
              <w:bottom w:val="outset" w:sz="6" w:space="0" w:color="auto"/>
              <w:right w:val="outset" w:sz="6" w:space="0" w:color="auto"/>
            </w:tcBorders>
            <w:vAlign w:val="center"/>
            <w:hideMark/>
          </w:tcPr>
          <w:p w14:paraId="5B947822"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Por dia de atraso</w:t>
            </w:r>
          </w:p>
        </w:tc>
        <w:tc>
          <w:tcPr>
            <w:tcW w:w="0" w:type="auto"/>
            <w:tcBorders>
              <w:top w:val="outset" w:sz="6" w:space="0" w:color="auto"/>
              <w:left w:val="outset" w:sz="6" w:space="0" w:color="auto"/>
              <w:bottom w:val="outset" w:sz="6" w:space="0" w:color="auto"/>
              <w:right w:val="outset" w:sz="6" w:space="0" w:color="auto"/>
            </w:tcBorders>
            <w:vAlign w:val="center"/>
            <w:hideMark/>
          </w:tcPr>
          <w:p w14:paraId="69D1A4A3"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0,5</w:t>
            </w:r>
          </w:p>
        </w:tc>
      </w:tr>
      <w:tr w:rsidR="006D1B04" w:rsidRPr="006D1B04" w14:paraId="50A34DA1"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073DC0"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9D8CE22"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Solicitação do fiscal não atendida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6D68D0F4"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Por ocorrência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69252257"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0,5</w:t>
            </w:r>
          </w:p>
        </w:tc>
      </w:tr>
      <w:tr w:rsidR="006D1B04" w:rsidRPr="006D1B04" w14:paraId="31600356"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E5F427"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7D44DC4"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Não cumprimento de ações previstas no item 6 do TR</w:t>
            </w:r>
          </w:p>
        </w:tc>
        <w:tc>
          <w:tcPr>
            <w:tcW w:w="0" w:type="auto"/>
            <w:tcBorders>
              <w:top w:val="outset" w:sz="6" w:space="0" w:color="auto"/>
              <w:left w:val="outset" w:sz="6" w:space="0" w:color="auto"/>
              <w:bottom w:val="outset" w:sz="6" w:space="0" w:color="auto"/>
              <w:right w:val="outset" w:sz="6" w:space="0" w:color="auto"/>
            </w:tcBorders>
            <w:vAlign w:val="center"/>
            <w:hideMark/>
          </w:tcPr>
          <w:p w14:paraId="36B82AA0"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Por ocorrência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2480E78"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0,2</w:t>
            </w:r>
          </w:p>
        </w:tc>
      </w:tr>
      <w:tr w:rsidR="006D1B04" w:rsidRPr="006D1B04" w14:paraId="6FEDCDEB" w14:textId="77777777" w:rsidTr="006D1B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6CC9BE"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844D26"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Não usar equipamentos de segurança requerido para a situação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19907D74"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Por ocorrência</w:t>
            </w:r>
          </w:p>
        </w:tc>
        <w:tc>
          <w:tcPr>
            <w:tcW w:w="0" w:type="auto"/>
            <w:tcBorders>
              <w:top w:val="outset" w:sz="6" w:space="0" w:color="auto"/>
              <w:left w:val="outset" w:sz="6" w:space="0" w:color="auto"/>
              <w:bottom w:val="outset" w:sz="6" w:space="0" w:color="auto"/>
              <w:right w:val="outset" w:sz="6" w:space="0" w:color="auto"/>
            </w:tcBorders>
            <w:vAlign w:val="center"/>
            <w:hideMark/>
          </w:tcPr>
          <w:p w14:paraId="57298C07" w14:textId="77777777" w:rsidR="006D1B04" w:rsidRPr="006D1B04" w:rsidRDefault="006D1B04" w:rsidP="006D1B04">
            <w:pPr>
              <w:spacing w:after="0" w:line="240" w:lineRule="auto"/>
              <w:ind w:left="60" w:right="60"/>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0,5</w:t>
            </w:r>
          </w:p>
        </w:tc>
      </w:tr>
    </w:tbl>
    <w:p w14:paraId="1101A75C" w14:textId="77777777" w:rsidR="006D1B04" w:rsidRPr="006D1B04" w:rsidRDefault="006D1B04" w:rsidP="006D1B04">
      <w:pPr>
        <w:spacing w:before="100" w:beforeAutospacing="1" w:after="100" w:afterAutospacing="1" w:line="240" w:lineRule="auto"/>
        <w:rPr>
          <w:rFonts w:ascii="Times New Roman" w:eastAsia="Times New Roman" w:hAnsi="Times New Roman" w:cs="Times New Roman"/>
          <w:color w:val="000000"/>
          <w:kern w:val="0"/>
          <w:sz w:val="20"/>
          <w:szCs w:val="20"/>
          <w:lang w:eastAsia="pt-BR"/>
          <w14:ligatures w14:val="none"/>
        </w:rPr>
      </w:pPr>
      <w:r w:rsidRPr="006D1B04">
        <w:rPr>
          <w:rFonts w:ascii="Times New Roman" w:eastAsia="Times New Roman" w:hAnsi="Times New Roman" w:cs="Times New Roman"/>
          <w:color w:val="000000"/>
          <w:kern w:val="0"/>
          <w:sz w:val="20"/>
          <w:szCs w:val="20"/>
          <w:lang w:eastAsia="pt-BR"/>
          <w14:ligatures w14:val="none"/>
        </w:rPr>
        <w:t> </w:t>
      </w:r>
    </w:p>
    <w:p w14:paraId="077E38FC"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3.4 </w:t>
      </w:r>
      <w:r w:rsidRPr="006D1B04">
        <w:rPr>
          <w:rFonts w:ascii="Calibri" w:eastAsia="Times New Roman" w:hAnsi="Calibri" w:cs="Calibri"/>
          <w:b/>
          <w:bCs/>
          <w:color w:val="000000"/>
          <w:kern w:val="0"/>
          <w:sz w:val="27"/>
          <w:szCs w:val="27"/>
          <w:lang w:eastAsia="pt-BR"/>
          <w14:ligatures w14:val="none"/>
        </w:rPr>
        <w:t>A meta a ser cumprida pela CONTRATADA será a obtenção de uma Nota de Avaliação de Serviço (NAS) maior ou igual a 9,0.</w:t>
      </w:r>
    </w:p>
    <w:p w14:paraId="105CD6B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4. A adequação do pagamento pelo não atendimento das metas estabelecidas dar-se-á de acordo com a Nota Mensal de Avaliação obtida pela CONTRATADA, considerando os critérios definidos a seguir:</w:t>
      </w:r>
    </w:p>
    <w:p w14:paraId="54A6FD8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4.2 Desconto de 0,5% do valor mensal da prestação do serviço a cada 0,5 ponto perdido, quando a NAS for menor que 9,0 e maior ou igual a 5,0;</w:t>
      </w:r>
    </w:p>
    <w:p w14:paraId="2559215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lastRenderedPageBreak/>
        <w:t>4.3 Desconto de 5% do valor mensal da prestação do serviço, quando a NAS for inferior a 5,0 e sujeita a aplicação de sanções conforme contrato.</w:t>
      </w:r>
    </w:p>
    <w:p w14:paraId="67603B9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4.4 Os descontos acima definidos incidirão sobre o valor mensal da prestação do serviço.</w:t>
      </w:r>
    </w:p>
    <w:p w14:paraId="71DB639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888F0E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88F6FD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1C175DA"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5D2E64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6D88FC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D10A46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727EE3F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8FC8CE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BB6D588"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102AAB2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FF4F4D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3610D96"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3D52D92E"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E62A190"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18DCE1B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CCBD92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355DB45"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6FC9D1E3"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C85D9E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2605C7F1"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6D42B89"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4970F72"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423858BD"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06B119B7"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533426CB" w14:textId="77777777" w:rsidR="006D1B04" w:rsidRPr="006D1B04" w:rsidRDefault="006D1B04" w:rsidP="006D1B04">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6D1B04">
        <w:rPr>
          <w:rFonts w:ascii="Calibri" w:eastAsia="Times New Roman" w:hAnsi="Calibri" w:cs="Calibri"/>
          <w:color w:val="000000"/>
          <w:kern w:val="0"/>
          <w:sz w:val="27"/>
          <w:szCs w:val="27"/>
          <w:lang w:eastAsia="pt-BR"/>
          <w14:ligatures w14:val="none"/>
        </w:rPr>
        <w:t> </w:t>
      </w:r>
    </w:p>
    <w:p w14:paraId="12C1251F" w14:textId="77777777" w:rsidR="006D1B04" w:rsidRPr="006D1B04" w:rsidRDefault="006D1B04" w:rsidP="006D1B04">
      <w:pPr>
        <w:spacing w:before="100" w:beforeAutospacing="1" w:after="100" w:afterAutospacing="1" w:line="240" w:lineRule="auto"/>
        <w:rPr>
          <w:rFonts w:ascii="Times New Roman" w:eastAsia="Times New Roman" w:hAnsi="Times New Roman" w:cs="Times New Roman"/>
          <w:color w:val="000000"/>
          <w:kern w:val="0"/>
          <w:sz w:val="20"/>
          <w:szCs w:val="20"/>
          <w:lang w:eastAsia="pt-BR"/>
          <w14:ligatures w14:val="none"/>
        </w:rPr>
      </w:pPr>
      <w:r w:rsidRPr="006D1B04">
        <w:rPr>
          <w:rFonts w:ascii="Times New Roman" w:eastAsia="Times New Roman" w:hAnsi="Times New Roman" w:cs="Times New Roman"/>
          <w:color w:val="000000"/>
          <w:kern w:val="0"/>
          <w:sz w:val="20"/>
          <w:szCs w:val="20"/>
          <w:lang w:eastAsia="pt-BR"/>
          <w14:ligatures w14:val="none"/>
        </w:rPr>
        <w:t> </w:t>
      </w:r>
    </w:p>
    <w:p w14:paraId="16B9D4E8" w14:textId="77777777" w:rsidR="006D1B04" w:rsidRPr="006D1B04" w:rsidRDefault="00000000" w:rsidP="006D1B04">
      <w:pPr>
        <w:spacing w:after="60"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pict w14:anchorId="2BD2B3C1">
          <v:rect id="_x0000_i1025"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7"/>
        <w:gridCol w:w="7097"/>
      </w:tblGrid>
      <w:tr w:rsidR="006D1B04" w:rsidRPr="006D1B04" w14:paraId="7B9B82A6" w14:textId="77777777" w:rsidTr="006D1B04">
        <w:trPr>
          <w:tblCellSpacing w:w="15" w:type="dxa"/>
        </w:trPr>
        <w:tc>
          <w:tcPr>
            <w:tcW w:w="0" w:type="auto"/>
            <w:vAlign w:val="center"/>
            <w:hideMark/>
          </w:tcPr>
          <w:p w14:paraId="7229760F" w14:textId="77777777" w:rsidR="006D1B04" w:rsidRPr="006D1B04" w:rsidRDefault="006D1B04" w:rsidP="006D1B04">
            <w:pPr>
              <w:spacing w:after="0" w:line="240" w:lineRule="auto"/>
              <w:rPr>
                <w:rFonts w:ascii="Times New Roman" w:eastAsia="Times New Roman" w:hAnsi="Times New Roman" w:cs="Times New Roman"/>
                <w:color w:val="000000"/>
                <w:kern w:val="0"/>
                <w:sz w:val="27"/>
                <w:szCs w:val="27"/>
                <w:lang w:eastAsia="pt-BR"/>
                <w14:ligatures w14:val="none"/>
              </w:rPr>
            </w:pPr>
            <w:r w:rsidRPr="006D1B04">
              <w:rPr>
                <w:rFonts w:ascii="Calibri" w:eastAsia="Times New Roman" w:hAnsi="Calibri" w:cs="Calibri"/>
                <w:b/>
                <w:bCs/>
                <w:noProof/>
                <w:color w:val="000000"/>
                <w:kern w:val="0"/>
                <w:sz w:val="27"/>
                <w:szCs w:val="27"/>
                <w:lang w:eastAsia="pt-BR"/>
                <w14:ligatures w14:val="none"/>
              </w:rPr>
              <w:drawing>
                <wp:inline distT="0" distB="0" distL="0" distR="0" wp14:anchorId="7CC1AC70" wp14:editId="2D013EE6">
                  <wp:extent cx="845820" cy="571500"/>
                  <wp:effectExtent l="0" t="0" r="0" b="0"/>
                  <wp:docPr id="17" name="Imagem 17"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Interface gráfica do usuário&#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5820" cy="571500"/>
                          </a:xfrm>
                          <a:prstGeom prst="rect">
                            <a:avLst/>
                          </a:prstGeom>
                          <a:noFill/>
                          <a:ln>
                            <a:noFill/>
                          </a:ln>
                        </pic:spPr>
                      </pic:pic>
                    </a:graphicData>
                  </a:graphic>
                </wp:inline>
              </w:drawing>
            </w:r>
          </w:p>
        </w:tc>
        <w:tc>
          <w:tcPr>
            <w:tcW w:w="0" w:type="auto"/>
            <w:vAlign w:val="center"/>
            <w:hideMark/>
          </w:tcPr>
          <w:p w14:paraId="3BA31CFA" w14:textId="77777777" w:rsidR="006D1B04" w:rsidRPr="006D1B04" w:rsidRDefault="006D1B04" w:rsidP="006D1B04">
            <w:pPr>
              <w:spacing w:after="0" w:line="240" w:lineRule="auto"/>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Documento assinado eletronicamente por </w:t>
            </w:r>
            <w:r w:rsidRPr="006D1B04">
              <w:rPr>
                <w:rFonts w:ascii="Calibri" w:eastAsia="Times New Roman" w:hAnsi="Calibri" w:cs="Calibri"/>
                <w:b/>
                <w:bCs/>
                <w:color w:val="000000"/>
                <w:kern w:val="0"/>
                <w:lang w:eastAsia="pt-BR"/>
                <w14:ligatures w14:val="none"/>
              </w:rPr>
              <w:t>Ivan Gomes Marinho Filho</w:t>
            </w:r>
            <w:r w:rsidRPr="006D1B04">
              <w:rPr>
                <w:rFonts w:ascii="Calibri" w:eastAsia="Times New Roman" w:hAnsi="Calibri" w:cs="Calibri"/>
                <w:color w:val="000000"/>
                <w:kern w:val="0"/>
                <w:lang w:eastAsia="pt-BR"/>
                <w14:ligatures w14:val="none"/>
              </w:rPr>
              <w:t>, </w:t>
            </w:r>
            <w:r w:rsidRPr="006D1B04">
              <w:rPr>
                <w:rFonts w:ascii="Calibri" w:eastAsia="Times New Roman" w:hAnsi="Calibri" w:cs="Calibri"/>
                <w:b/>
                <w:bCs/>
                <w:color w:val="000000"/>
                <w:kern w:val="0"/>
                <w:lang w:eastAsia="pt-BR"/>
                <w14:ligatures w14:val="none"/>
              </w:rPr>
              <w:t>Tecnologista em Saúde Pública</w:t>
            </w:r>
            <w:r w:rsidRPr="006D1B04">
              <w:rPr>
                <w:rFonts w:ascii="Calibri" w:eastAsia="Times New Roman" w:hAnsi="Calibri" w:cs="Calibri"/>
                <w:color w:val="000000"/>
                <w:kern w:val="0"/>
                <w:lang w:eastAsia="pt-BR"/>
                <w14:ligatures w14:val="none"/>
              </w:rPr>
              <w:t>, em 09/02/2023, às 09:40, conforme horário oficial de Brasília, com fundamento no art. 6º, § 1º, do </w:t>
            </w:r>
            <w:hyperlink r:id="rId9" w:tgtFrame="_blank" w:tooltip="Acesse o Decreto" w:history="1">
              <w:r w:rsidRPr="006D1B04">
                <w:rPr>
                  <w:rFonts w:ascii="Calibri" w:eastAsia="Times New Roman" w:hAnsi="Calibri" w:cs="Calibri"/>
                  <w:color w:val="000080"/>
                  <w:kern w:val="0"/>
                  <w:u w:val="single"/>
                  <w:lang w:eastAsia="pt-BR"/>
                  <w14:ligatures w14:val="none"/>
                </w:rPr>
                <w:t>Decreto nº 8.539, de 8 de outubro de 2015</w:t>
              </w:r>
            </w:hyperlink>
            <w:r w:rsidRPr="006D1B04">
              <w:rPr>
                <w:rFonts w:ascii="Calibri" w:eastAsia="Times New Roman" w:hAnsi="Calibri" w:cs="Calibri"/>
                <w:color w:val="000000"/>
                <w:kern w:val="0"/>
                <w:lang w:eastAsia="pt-BR"/>
                <w14:ligatures w14:val="none"/>
              </w:rPr>
              <w:t>.</w:t>
            </w:r>
          </w:p>
        </w:tc>
      </w:tr>
    </w:tbl>
    <w:p w14:paraId="17F026B9" w14:textId="77777777" w:rsidR="006D1B04" w:rsidRPr="006D1B04" w:rsidRDefault="00000000" w:rsidP="006D1B04">
      <w:pPr>
        <w:spacing w:after="60"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pict w14:anchorId="4D46C59C">
          <v:rect id="_x0000_i1026"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7"/>
        <w:gridCol w:w="7097"/>
      </w:tblGrid>
      <w:tr w:rsidR="006D1B04" w:rsidRPr="006D1B04" w14:paraId="49DD351F" w14:textId="77777777" w:rsidTr="006D1B04">
        <w:trPr>
          <w:tblCellSpacing w:w="15" w:type="dxa"/>
        </w:trPr>
        <w:tc>
          <w:tcPr>
            <w:tcW w:w="0" w:type="auto"/>
            <w:vAlign w:val="center"/>
            <w:hideMark/>
          </w:tcPr>
          <w:p w14:paraId="730A49F7" w14:textId="77777777" w:rsidR="006D1B04" w:rsidRPr="006D1B04" w:rsidRDefault="006D1B04" w:rsidP="006D1B04">
            <w:pPr>
              <w:spacing w:after="0" w:line="240" w:lineRule="auto"/>
              <w:rPr>
                <w:rFonts w:ascii="Times New Roman" w:eastAsia="Times New Roman" w:hAnsi="Times New Roman" w:cs="Times New Roman"/>
                <w:color w:val="000000"/>
                <w:kern w:val="0"/>
                <w:sz w:val="27"/>
                <w:szCs w:val="27"/>
                <w:lang w:eastAsia="pt-BR"/>
                <w14:ligatures w14:val="none"/>
              </w:rPr>
            </w:pPr>
            <w:r w:rsidRPr="006D1B04">
              <w:rPr>
                <w:rFonts w:ascii="Calibri" w:eastAsia="Times New Roman" w:hAnsi="Calibri" w:cs="Calibri"/>
                <w:b/>
                <w:bCs/>
                <w:noProof/>
                <w:color w:val="000000"/>
                <w:kern w:val="0"/>
                <w:sz w:val="27"/>
                <w:szCs w:val="27"/>
                <w:lang w:eastAsia="pt-BR"/>
                <w14:ligatures w14:val="none"/>
              </w:rPr>
              <w:drawing>
                <wp:inline distT="0" distB="0" distL="0" distR="0" wp14:anchorId="23D6BAEC" wp14:editId="7FCDC081">
                  <wp:extent cx="845820" cy="571500"/>
                  <wp:effectExtent l="0" t="0" r="0" b="0"/>
                  <wp:docPr id="19" name="Imagem 19"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descr="Interface gráfica do usuário&#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5820" cy="571500"/>
                          </a:xfrm>
                          <a:prstGeom prst="rect">
                            <a:avLst/>
                          </a:prstGeom>
                          <a:noFill/>
                          <a:ln>
                            <a:noFill/>
                          </a:ln>
                        </pic:spPr>
                      </pic:pic>
                    </a:graphicData>
                  </a:graphic>
                </wp:inline>
              </w:drawing>
            </w:r>
          </w:p>
        </w:tc>
        <w:tc>
          <w:tcPr>
            <w:tcW w:w="0" w:type="auto"/>
            <w:vAlign w:val="center"/>
            <w:hideMark/>
          </w:tcPr>
          <w:p w14:paraId="6CC482DC" w14:textId="77777777" w:rsidR="006D1B04" w:rsidRPr="006D1B04" w:rsidRDefault="006D1B04" w:rsidP="006D1B04">
            <w:pPr>
              <w:spacing w:after="0" w:line="240" w:lineRule="auto"/>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Documento assinado eletronicamente por </w:t>
            </w:r>
            <w:proofErr w:type="spellStart"/>
            <w:r w:rsidRPr="006D1B04">
              <w:rPr>
                <w:rFonts w:ascii="Calibri" w:eastAsia="Times New Roman" w:hAnsi="Calibri" w:cs="Calibri"/>
                <w:b/>
                <w:bCs/>
                <w:color w:val="000000"/>
                <w:kern w:val="0"/>
                <w:lang w:eastAsia="pt-BR"/>
                <w14:ligatures w14:val="none"/>
              </w:rPr>
              <w:t>Patricia</w:t>
            </w:r>
            <w:proofErr w:type="spellEnd"/>
            <w:r w:rsidRPr="006D1B04">
              <w:rPr>
                <w:rFonts w:ascii="Calibri" w:eastAsia="Times New Roman" w:hAnsi="Calibri" w:cs="Calibri"/>
                <w:b/>
                <w:bCs/>
                <w:color w:val="000000"/>
                <w:kern w:val="0"/>
                <w:lang w:eastAsia="pt-BR"/>
                <w14:ligatures w14:val="none"/>
              </w:rPr>
              <w:t xml:space="preserve"> Martins Torres de Macedo</w:t>
            </w:r>
            <w:r w:rsidRPr="006D1B04">
              <w:rPr>
                <w:rFonts w:ascii="Calibri" w:eastAsia="Times New Roman" w:hAnsi="Calibri" w:cs="Calibri"/>
                <w:color w:val="000000"/>
                <w:kern w:val="0"/>
                <w:lang w:eastAsia="pt-BR"/>
                <w14:ligatures w14:val="none"/>
              </w:rPr>
              <w:t>, </w:t>
            </w:r>
            <w:r w:rsidRPr="006D1B04">
              <w:rPr>
                <w:rFonts w:ascii="Calibri" w:eastAsia="Times New Roman" w:hAnsi="Calibri" w:cs="Calibri"/>
                <w:b/>
                <w:bCs/>
                <w:color w:val="000000"/>
                <w:kern w:val="0"/>
                <w:lang w:eastAsia="pt-BR"/>
                <w14:ligatures w14:val="none"/>
              </w:rPr>
              <w:t>Tecnologista em Saúde Pública</w:t>
            </w:r>
            <w:r w:rsidRPr="006D1B04">
              <w:rPr>
                <w:rFonts w:ascii="Calibri" w:eastAsia="Times New Roman" w:hAnsi="Calibri" w:cs="Calibri"/>
                <w:color w:val="000000"/>
                <w:kern w:val="0"/>
                <w:lang w:eastAsia="pt-BR"/>
                <w14:ligatures w14:val="none"/>
              </w:rPr>
              <w:t>, em 09/02/2023, às 13:13, conforme horário oficial de Brasília, com fundamento no art. 6º, § 1º, do </w:t>
            </w:r>
            <w:hyperlink r:id="rId10" w:tgtFrame="_blank" w:tooltip="Acesse o Decreto" w:history="1">
              <w:r w:rsidRPr="006D1B04">
                <w:rPr>
                  <w:rFonts w:ascii="Calibri" w:eastAsia="Times New Roman" w:hAnsi="Calibri" w:cs="Calibri"/>
                  <w:color w:val="000080"/>
                  <w:kern w:val="0"/>
                  <w:u w:val="single"/>
                  <w:lang w:eastAsia="pt-BR"/>
                  <w14:ligatures w14:val="none"/>
                </w:rPr>
                <w:t>Decreto nº 8.539, de 8 de outubro de 2015</w:t>
              </w:r>
            </w:hyperlink>
            <w:r w:rsidRPr="006D1B04">
              <w:rPr>
                <w:rFonts w:ascii="Calibri" w:eastAsia="Times New Roman" w:hAnsi="Calibri" w:cs="Calibri"/>
                <w:color w:val="000000"/>
                <w:kern w:val="0"/>
                <w:lang w:eastAsia="pt-BR"/>
                <w14:ligatures w14:val="none"/>
              </w:rPr>
              <w:t>.</w:t>
            </w:r>
          </w:p>
        </w:tc>
      </w:tr>
    </w:tbl>
    <w:p w14:paraId="464BC233" w14:textId="77777777" w:rsidR="006D1B04" w:rsidRPr="006D1B04" w:rsidRDefault="00000000" w:rsidP="006D1B04">
      <w:pPr>
        <w:spacing w:after="60"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pict w14:anchorId="2F17CAFD">
          <v:rect id="_x0000_i1027"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2"/>
        <w:gridCol w:w="7472"/>
      </w:tblGrid>
      <w:tr w:rsidR="006D1B04" w:rsidRPr="006D1B04" w14:paraId="4D8311C9" w14:textId="77777777" w:rsidTr="006D1B04">
        <w:trPr>
          <w:tblCellSpacing w:w="15" w:type="dxa"/>
        </w:trPr>
        <w:tc>
          <w:tcPr>
            <w:tcW w:w="0" w:type="auto"/>
            <w:vAlign w:val="center"/>
            <w:hideMark/>
          </w:tcPr>
          <w:p w14:paraId="6365F37F" w14:textId="77777777" w:rsidR="006D1B04" w:rsidRPr="006D1B04" w:rsidRDefault="006D1B04" w:rsidP="006D1B04">
            <w:pPr>
              <w:spacing w:after="0" w:line="240" w:lineRule="auto"/>
              <w:rPr>
                <w:rFonts w:ascii="Times New Roman" w:eastAsia="Times New Roman" w:hAnsi="Times New Roman" w:cs="Times New Roman"/>
                <w:color w:val="000000"/>
                <w:kern w:val="0"/>
                <w:sz w:val="27"/>
                <w:szCs w:val="27"/>
                <w:lang w:eastAsia="pt-BR"/>
                <w14:ligatures w14:val="none"/>
              </w:rPr>
            </w:pPr>
            <w:r w:rsidRPr="006D1B04">
              <w:rPr>
                <w:rFonts w:ascii="Calibri" w:eastAsia="Times New Roman" w:hAnsi="Calibri" w:cs="Calibri"/>
                <w:b/>
                <w:bCs/>
                <w:noProof/>
                <w:color w:val="000000"/>
                <w:kern w:val="0"/>
                <w:sz w:val="27"/>
                <w:szCs w:val="27"/>
                <w:lang w:eastAsia="pt-BR"/>
                <w14:ligatures w14:val="none"/>
              </w:rPr>
              <w:drawing>
                <wp:inline distT="0" distB="0" distL="0" distR="0" wp14:anchorId="135F0DBA" wp14:editId="409E4B99">
                  <wp:extent cx="822960" cy="822960"/>
                  <wp:effectExtent l="0" t="0" r="0" b="0"/>
                  <wp:docPr id="21" name="Imagem 21" descr="Código Q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Código QR&#10;&#10;Descrição gerad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960" cy="822960"/>
                          </a:xfrm>
                          <a:prstGeom prst="rect">
                            <a:avLst/>
                          </a:prstGeom>
                          <a:noFill/>
                          <a:ln>
                            <a:noFill/>
                          </a:ln>
                        </pic:spPr>
                      </pic:pic>
                    </a:graphicData>
                  </a:graphic>
                </wp:inline>
              </w:drawing>
            </w:r>
          </w:p>
        </w:tc>
        <w:tc>
          <w:tcPr>
            <w:tcW w:w="0" w:type="auto"/>
            <w:vAlign w:val="center"/>
            <w:hideMark/>
          </w:tcPr>
          <w:p w14:paraId="593B283A" w14:textId="77777777" w:rsidR="006D1B04" w:rsidRPr="006D1B04" w:rsidRDefault="006D1B04" w:rsidP="006D1B04">
            <w:pPr>
              <w:spacing w:after="0" w:line="240" w:lineRule="auto"/>
              <w:rPr>
                <w:rFonts w:ascii="Calibri" w:eastAsia="Times New Roman" w:hAnsi="Calibri" w:cs="Calibri"/>
                <w:color w:val="000000"/>
                <w:kern w:val="0"/>
                <w:lang w:eastAsia="pt-BR"/>
                <w14:ligatures w14:val="none"/>
              </w:rPr>
            </w:pPr>
            <w:r w:rsidRPr="006D1B04">
              <w:rPr>
                <w:rFonts w:ascii="Calibri" w:eastAsia="Times New Roman" w:hAnsi="Calibri" w:cs="Calibri"/>
                <w:color w:val="000000"/>
                <w:kern w:val="0"/>
                <w:lang w:eastAsia="pt-BR"/>
                <w14:ligatures w14:val="none"/>
              </w:rPr>
              <w:t>A autenticidade deste documento pode ser conferida no site </w:t>
            </w:r>
            <w:hyperlink r:id="rId12" w:tgtFrame="_blank" w:tooltip="Página de Autenticidade de Documentos" w:history="1">
              <w:r w:rsidRPr="006D1B04">
                <w:rPr>
                  <w:rFonts w:ascii="Calibri" w:eastAsia="Times New Roman" w:hAnsi="Calibri" w:cs="Calibri"/>
                  <w:color w:val="000080"/>
                  <w:kern w:val="0"/>
                  <w:u w:val="single"/>
                  <w:lang w:eastAsia="pt-BR"/>
                  <w14:ligatures w14:val="none"/>
                </w:rPr>
                <w:t>http://sei.fiocruz.br/sei/controlador_externo.php?acao=documento_conferir&amp;id_orgao_acesso_externo=0</w:t>
              </w:r>
            </w:hyperlink>
            <w:r w:rsidRPr="006D1B04">
              <w:rPr>
                <w:rFonts w:ascii="Calibri" w:eastAsia="Times New Roman" w:hAnsi="Calibri" w:cs="Calibri"/>
                <w:color w:val="000000"/>
                <w:kern w:val="0"/>
                <w:lang w:eastAsia="pt-BR"/>
                <w14:ligatures w14:val="none"/>
              </w:rPr>
              <w:t>, informando o código verificador </w:t>
            </w:r>
            <w:r w:rsidRPr="006D1B04">
              <w:rPr>
                <w:rFonts w:ascii="Calibri" w:eastAsia="Times New Roman" w:hAnsi="Calibri" w:cs="Calibri"/>
                <w:b/>
                <w:bCs/>
                <w:color w:val="000000"/>
                <w:kern w:val="0"/>
                <w:lang w:eastAsia="pt-BR"/>
                <w14:ligatures w14:val="none"/>
              </w:rPr>
              <w:t>2462222</w:t>
            </w:r>
            <w:r w:rsidRPr="006D1B04">
              <w:rPr>
                <w:rFonts w:ascii="Calibri" w:eastAsia="Times New Roman" w:hAnsi="Calibri" w:cs="Calibri"/>
                <w:color w:val="000000"/>
                <w:kern w:val="0"/>
                <w:lang w:eastAsia="pt-BR"/>
                <w14:ligatures w14:val="none"/>
              </w:rPr>
              <w:t> e o código CRC </w:t>
            </w:r>
            <w:r w:rsidRPr="006D1B04">
              <w:rPr>
                <w:rFonts w:ascii="Calibri" w:eastAsia="Times New Roman" w:hAnsi="Calibri" w:cs="Calibri"/>
                <w:b/>
                <w:bCs/>
                <w:color w:val="000000"/>
                <w:kern w:val="0"/>
                <w:lang w:eastAsia="pt-BR"/>
                <w14:ligatures w14:val="none"/>
              </w:rPr>
              <w:t>3FE2045F</w:t>
            </w:r>
            <w:r w:rsidRPr="006D1B04">
              <w:rPr>
                <w:rFonts w:ascii="Calibri" w:eastAsia="Times New Roman" w:hAnsi="Calibri" w:cs="Calibri"/>
                <w:color w:val="000000"/>
                <w:kern w:val="0"/>
                <w:lang w:eastAsia="pt-BR"/>
                <w14:ligatures w14:val="none"/>
              </w:rPr>
              <w:t>.</w:t>
            </w:r>
          </w:p>
        </w:tc>
      </w:tr>
    </w:tbl>
    <w:p w14:paraId="384E2842" w14:textId="77777777" w:rsidR="006D1B04" w:rsidRPr="006D1B04" w:rsidRDefault="00000000" w:rsidP="006D1B04">
      <w:pPr>
        <w:spacing w:before="15" w:after="15"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pict w14:anchorId="3ED3132B">
          <v:rect id="_x0000_i1028" style="width:0;height:1.5pt" o:hralign="center" o:hrstd="t" o:hrnoshade="t" o:hr="t" fillcolor="black" stroked="f"/>
        </w:pict>
      </w:r>
    </w:p>
    <w:p w14:paraId="296B3675" w14:textId="77777777" w:rsidR="006D1B04" w:rsidRPr="006D1B04" w:rsidRDefault="006D1B04" w:rsidP="006D1B04">
      <w:pPr>
        <w:spacing w:before="15" w:after="15" w:line="240" w:lineRule="auto"/>
        <w:rPr>
          <w:rFonts w:ascii="Times New Roman" w:eastAsia="Times New Roman" w:hAnsi="Times New Roman" w:cs="Times New Roman"/>
          <w:kern w:val="0"/>
          <w:sz w:val="24"/>
          <w:szCs w:val="24"/>
          <w:lang w:eastAsia="pt-BR"/>
          <w14:ligatures w14:val="none"/>
        </w:rPr>
      </w:pPr>
      <w:r w:rsidRPr="006D1B04">
        <w:rPr>
          <w:rFonts w:ascii="Times New Roman" w:eastAsia="Times New Roman" w:hAnsi="Times New Roman" w:cs="Times New Roman"/>
          <w:color w:val="000000"/>
          <w:kern w:val="0"/>
          <w:sz w:val="27"/>
          <w:szCs w:val="27"/>
          <w:lang w:eastAsia="pt-BR"/>
          <w14:ligatures w14:val="none"/>
        </w:rPr>
        <w:br/>
      </w:r>
    </w:p>
    <w:p w14:paraId="1114EF1D" w14:textId="77777777" w:rsidR="006D1B04" w:rsidRPr="006D1B04" w:rsidRDefault="006D1B04" w:rsidP="006D1B04">
      <w:pPr>
        <w:spacing w:after="0" w:line="240" w:lineRule="auto"/>
        <w:ind w:left="60" w:right="60"/>
        <w:rPr>
          <w:rFonts w:ascii="Calibri" w:eastAsia="Times New Roman" w:hAnsi="Calibri" w:cs="Calibri"/>
          <w:color w:val="000000"/>
          <w:kern w:val="0"/>
          <w:sz w:val="16"/>
          <w:szCs w:val="16"/>
          <w:lang w:eastAsia="pt-BR"/>
          <w14:ligatures w14:val="none"/>
        </w:rPr>
      </w:pPr>
      <w:r w:rsidRPr="006D1B04">
        <w:rPr>
          <w:rFonts w:ascii="Calibri" w:eastAsia="Times New Roman" w:hAnsi="Calibri" w:cs="Calibri"/>
          <w:color w:val="000000"/>
          <w:kern w:val="0"/>
          <w:sz w:val="16"/>
          <w:szCs w:val="16"/>
          <w:lang w:eastAsia="pt-BR"/>
          <w14:ligatures w14:val="none"/>
        </w:rPr>
        <w:t>Câmara Nacional de Modelos de Licitações e Contratos Administrativos da Consultoria-Geral da União</w:t>
      </w:r>
    </w:p>
    <w:p w14:paraId="6B25DF62" w14:textId="77777777" w:rsidR="006D1B04" w:rsidRPr="006D1B04" w:rsidRDefault="006D1B04" w:rsidP="006D1B04">
      <w:pPr>
        <w:spacing w:after="0" w:line="240" w:lineRule="auto"/>
        <w:ind w:left="60" w:right="60"/>
        <w:rPr>
          <w:rFonts w:ascii="Calibri" w:eastAsia="Times New Roman" w:hAnsi="Calibri" w:cs="Calibri"/>
          <w:color w:val="000000"/>
          <w:kern w:val="0"/>
          <w:sz w:val="16"/>
          <w:szCs w:val="16"/>
          <w:lang w:eastAsia="pt-BR"/>
          <w14:ligatures w14:val="none"/>
        </w:rPr>
      </w:pPr>
      <w:r w:rsidRPr="006D1B04">
        <w:rPr>
          <w:rFonts w:ascii="Calibri" w:eastAsia="Times New Roman" w:hAnsi="Calibri" w:cs="Calibri"/>
          <w:color w:val="000000"/>
          <w:kern w:val="0"/>
          <w:sz w:val="16"/>
          <w:szCs w:val="16"/>
          <w:lang w:eastAsia="pt-BR"/>
          <w14:ligatures w14:val="none"/>
        </w:rPr>
        <w:t>Termo de Referência - Modelo para Pregão Eletrônico: Serviços Não Continuados</w:t>
      </w:r>
    </w:p>
    <w:p w14:paraId="26F7A71E" w14:textId="77777777" w:rsidR="006D1B04" w:rsidRPr="006D1B04" w:rsidRDefault="006D1B04" w:rsidP="006D1B04">
      <w:pPr>
        <w:spacing w:after="0" w:line="240" w:lineRule="auto"/>
        <w:ind w:left="60" w:right="60"/>
        <w:rPr>
          <w:rFonts w:ascii="Calibri" w:eastAsia="Times New Roman" w:hAnsi="Calibri" w:cs="Calibri"/>
          <w:color w:val="000000"/>
          <w:kern w:val="0"/>
          <w:sz w:val="16"/>
          <w:szCs w:val="16"/>
          <w:lang w:eastAsia="pt-BR"/>
          <w14:ligatures w14:val="none"/>
        </w:rPr>
      </w:pPr>
      <w:r w:rsidRPr="006D1B04">
        <w:rPr>
          <w:rFonts w:ascii="Calibri" w:eastAsia="Times New Roman" w:hAnsi="Calibri" w:cs="Calibri"/>
          <w:color w:val="000000"/>
          <w:kern w:val="0"/>
          <w:sz w:val="16"/>
          <w:szCs w:val="16"/>
          <w:lang w:eastAsia="pt-BR"/>
          <w14:ligatures w14:val="none"/>
        </w:rPr>
        <w:t>Atualização Junho/2021</w:t>
      </w:r>
    </w:p>
    <w:p w14:paraId="05D2EEC3" w14:textId="77777777" w:rsidR="006D1B04" w:rsidRPr="006D1B04" w:rsidRDefault="006D1B04" w:rsidP="006D1B04">
      <w:pPr>
        <w:spacing w:after="0" w:line="240" w:lineRule="auto"/>
        <w:ind w:left="60" w:right="60"/>
        <w:rPr>
          <w:rFonts w:ascii="Calibri" w:eastAsia="Times New Roman" w:hAnsi="Calibri" w:cs="Calibri"/>
          <w:color w:val="000000"/>
          <w:kern w:val="0"/>
          <w:sz w:val="16"/>
          <w:szCs w:val="16"/>
          <w:lang w:eastAsia="pt-BR"/>
          <w14:ligatures w14:val="none"/>
        </w:rPr>
      </w:pPr>
      <w:r w:rsidRPr="006D1B04">
        <w:rPr>
          <w:rFonts w:ascii="Calibri" w:eastAsia="Times New Roman" w:hAnsi="Calibri" w:cs="Calibri"/>
          <w:color w:val="FF0000"/>
          <w:kern w:val="0"/>
          <w:sz w:val="16"/>
          <w:szCs w:val="16"/>
          <w:lang w:eastAsia="pt-BR"/>
          <w14:ligatures w14:val="none"/>
        </w:rPr>
        <w:t>*A AGU poderá atualizar os modelos dos documentos em seu site a qualquer momento</w:t>
      </w:r>
    </w:p>
    <w:p w14:paraId="081E5F8C" w14:textId="77777777" w:rsidR="006D1B04" w:rsidRPr="006D1B04" w:rsidRDefault="00000000" w:rsidP="006D1B04">
      <w:pPr>
        <w:spacing w:before="75" w:after="0"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pict w14:anchorId="4293287F">
          <v:rect id="_x0000_i1029" style="width:0;height:1.5pt" o:hralign="center" o:hrstd="t" o:hrnoshade="t" o:hr="t" fillcolor="black" stroked="f"/>
        </w:pict>
      </w:r>
    </w:p>
    <w:tbl>
      <w:tblPr>
        <w:tblW w:w="5000" w:type="pct"/>
        <w:tblCellSpacing w:w="0" w:type="dxa"/>
        <w:tblCellMar>
          <w:top w:w="24" w:type="dxa"/>
          <w:left w:w="24" w:type="dxa"/>
          <w:bottom w:w="24" w:type="dxa"/>
          <w:right w:w="24" w:type="dxa"/>
        </w:tblCellMar>
        <w:tblLook w:val="04A0" w:firstRow="1" w:lastRow="0" w:firstColumn="1" w:lastColumn="0" w:noHBand="0" w:noVBand="1"/>
      </w:tblPr>
      <w:tblGrid>
        <w:gridCol w:w="4252"/>
        <w:gridCol w:w="4252"/>
      </w:tblGrid>
      <w:tr w:rsidR="006D1B04" w:rsidRPr="006D1B04" w14:paraId="164FD7AF" w14:textId="77777777" w:rsidTr="006D1B04">
        <w:trPr>
          <w:tblCellSpacing w:w="0" w:type="dxa"/>
        </w:trPr>
        <w:tc>
          <w:tcPr>
            <w:tcW w:w="2500" w:type="pct"/>
            <w:tcBorders>
              <w:top w:val="nil"/>
              <w:left w:val="nil"/>
              <w:bottom w:val="nil"/>
              <w:right w:val="nil"/>
            </w:tcBorders>
            <w:vAlign w:val="center"/>
            <w:hideMark/>
          </w:tcPr>
          <w:p w14:paraId="104433E3" w14:textId="77777777" w:rsidR="006D1B04" w:rsidRPr="006D1B04" w:rsidRDefault="006D1B04" w:rsidP="006D1B04">
            <w:pPr>
              <w:spacing w:after="0" w:line="240" w:lineRule="auto"/>
              <w:rPr>
                <w:rFonts w:ascii="Calibri" w:eastAsia="Times New Roman" w:hAnsi="Calibri" w:cs="Calibri"/>
                <w:color w:val="000000"/>
                <w:kern w:val="0"/>
                <w:sz w:val="18"/>
                <w:szCs w:val="18"/>
                <w:lang w:eastAsia="pt-BR"/>
                <w14:ligatures w14:val="none"/>
              </w:rPr>
            </w:pPr>
            <w:r w:rsidRPr="006D1B04">
              <w:rPr>
                <w:rFonts w:ascii="Calibri" w:eastAsia="Times New Roman" w:hAnsi="Calibri" w:cs="Calibri"/>
                <w:b/>
                <w:bCs/>
                <w:color w:val="000000"/>
                <w:kern w:val="0"/>
                <w:sz w:val="18"/>
                <w:szCs w:val="18"/>
                <w:lang w:eastAsia="pt-BR"/>
                <w14:ligatures w14:val="none"/>
              </w:rPr>
              <w:t>Referência:</w:t>
            </w:r>
            <w:r w:rsidRPr="006D1B04">
              <w:rPr>
                <w:rFonts w:ascii="Calibri" w:eastAsia="Times New Roman" w:hAnsi="Calibri" w:cs="Calibri"/>
                <w:color w:val="000000"/>
                <w:kern w:val="0"/>
                <w:sz w:val="18"/>
                <w:szCs w:val="18"/>
                <w:lang w:eastAsia="pt-BR"/>
                <w14:ligatures w14:val="none"/>
              </w:rPr>
              <w:t> Processo nº 25382.000066/2023-88</w:t>
            </w:r>
          </w:p>
        </w:tc>
        <w:tc>
          <w:tcPr>
            <w:tcW w:w="2500" w:type="pct"/>
            <w:tcBorders>
              <w:top w:val="nil"/>
              <w:left w:val="nil"/>
              <w:bottom w:val="nil"/>
              <w:right w:val="nil"/>
            </w:tcBorders>
            <w:vAlign w:val="center"/>
            <w:hideMark/>
          </w:tcPr>
          <w:p w14:paraId="23873D85" w14:textId="77777777" w:rsidR="006D1B04" w:rsidRPr="006D1B04" w:rsidRDefault="006D1B04" w:rsidP="006D1B04">
            <w:pPr>
              <w:spacing w:after="0" w:line="240" w:lineRule="auto"/>
              <w:jc w:val="right"/>
              <w:rPr>
                <w:rFonts w:ascii="Calibri" w:eastAsia="Times New Roman" w:hAnsi="Calibri" w:cs="Calibri"/>
                <w:color w:val="000000"/>
                <w:kern w:val="0"/>
                <w:sz w:val="18"/>
                <w:szCs w:val="18"/>
                <w:lang w:eastAsia="pt-BR"/>
                <w14:ligatures w14:val="none"/>
              </w:rPr>
            </w:pPr>
            <w:r w:rsidRPr="006D1B04">
              <w:rPr>
                <w:rFonts w:ascii="Calibri" w:eastAsia="Times New Roman" w:hAnsi="Calibri" w:cs="Calibri"/>
                <w:color w:val="000000"/>
                <w:kern w:val="0"/>
                <w:sz w:val="18"/>
                <w:szCs w:val="18"/>
                <w:lang w:eastAsia="pt-BR"/>
                <w14:ligatures w14:val="none"/>
              </w:rPr>
              <w:t>SEI nº 2462222</w:t>
            </w:r>
          </w:p>
        </w:tc>
      </w:tr>
    </w:tbl>
    <w:p w14:paraId="1012092D" w14:textId="77777777" w:rsidR="006D1B04" w:rsidRPr="006D1B04" w:rsidRDefault="00000000" w:rsidP="006D1B04">
      <w:pPr>
        <w:spacing w:before="75" w:after="0" w:line="240" w:lineRule="auto"/>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pict w14:anchorId="22855BBE">
          <v:rect id="_x0000_i1030" style="width:0;height:1.5pt" o:hralign="center" o:hrstd="t" o:hrnoshade="t" o:hr="t" fillcolor="black" stroked="f"/>
        </w:pict>
      </w:r>
    </w:p>
    <w:p w14:paraId="70226EAA" w14:textId="618EA30D" w:rsidR="00880579" w:rsidRPr="00880579" w:rsidRDefault="006D1B04" w:rsidP="006D1B04">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6D1B04">
        <w:rPr>
          <w:rFonts w:ascii="Times New Roman" w:eastAsia="Times New Roman" w:hAnsi="Times New Roman" w:cs="Times New Roman"/>
          <w:color w:val="000000"/>
          <w:kern w:val="0"/>
          <w:sz w:val="27"/>
          <w:szCs w:val="27"/>
          <w:lang w:eastAsia="pt-BR"/>
          <w14:ligatures w14:val="none"/>
        </w:rPr>
        <w:t>Criado por </w:t>
      </w:r>
      <w:proofErr w:type="spellStart"/>
      <w:proofErr w:type="gramStart"/>
      <w:r w:rsidRPr="006D1B04">
        <w:rPr>
          <w:rFonts w:ascii="Times New Roman" w:eastAsia="Times New Roman" w:hAnsi="Times New Roman" w:cs="Times New Roman"/>
          <w:kern w:val="0"/>
          <w:sz w:val="24"/>
          <w:szCs w:val="24"/>
          <w:lang w:eastAsia="pt-BR"/>
          <w14:ligatures w14:val="none"/>
        </w:rPr>
        <w:t>ivan.filho</w:t>
      </w:r>
      <w:proofErr w:type="spellEnd"/>
      <w:proofErr w:type="gramEnd"/>
      <w:r w:rsidRPr="006D1B04">
        <w:rPr>
          <w:rFonts w:ascii="Times New Roman" w:eastAsia="Times New Roman" w:hAnsi="Times New Roman" w:cs="Times New Roman"/>
          <w:color w:val="000000"/>
          <w:kern w:val="0"/>
          <w:sz w:val="27"/>
          <w:szCs w:val="27"/>
          <w:lang w:eastAsia="pt-BR"/>
          <w14:ligatures w14:val="none"/>
        </w:rPr>
        <w:t>, versão 125 por </w:t>
      </w:r>
      <w:proofErr w:type="spellStart"/>
      <w:r w:rsidRPr="006D1B04">
        <w:rPr>
          <w:rFonts w:ascii="Times New Roman" w:eastAsia="Times New Roman" w:hAnsi="Times New Roman" w:cs="Times New Roman"/>
          <w:kern w:val="0"/>
          <w:sz w:val="24"/>
          <w:szCs w:val="24"/>
          <w:lang w:eastAsia="pt-BR"/>
          <w14:ligatures w14:val="none"/>
        </w:rPr>
        <w:t>ivan.filho</w:t>
      </w:r>
      <w:proofErr w:type="spellEnd"/>
      <w:r w:rsidRPr="006D1B04">
        <w:rPr>
          <w:rFonts w:ascii="Times New Roman" w:eastAsia="Times New Roman" w:hAnsi="Times New Roman" w:cs="Times New Roman"/>
          <w:color w:val="000000"/>
          <w:kern w:val="0"/>
          <w:sz w:val="27"/>
          <w:szCs w:val="27"/>
          <w:lang w:eastAsia="pt-BR"/>
          <w14:ligatures w14:val="none"/>
        </w:rPr>
        <w:t> em 09/02/2023 09:33:25.</w:t>
      </w:r>
    </w:p>
    <w:sectPr w:rsidR="00880579" w:rsidRPr="0088057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6D1B04"/>
    <w:rsid w:val="00762A3D"/>
    <w:rsid w:val="00880579"/>
    <w:rsid w:val="00AE5CCA"/>
    <w:rsid w:val="00AE7F05"/>
    <w:rsid w:val="00D62840"/>
    <w:rsid w:val="00E16754"/>
    <w:rsid w:val="00E93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lanalto.gov.br/ccivil_03/_Ato2011-2014/2013/Lei/L12846.htm" TargetMode="External"/><Relationship Id="rId12" Type="http://schemas.openxmlformats.org/officeDocument/2006/relationships/hyperlink" Target="http://sei.fiocruz.br/sei/controlador_externo.php?acao=documento_conferir&amp;id_orgao_acesso_externo=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nj.jus.br/improbidade_adm/consultar_requerido.php" TargetMode="External"/><Relationship Id="rId11" Type="http://schemas.openxmlformats.org/officeDocument/2006/relationships/image" Target="media/image2.png"/><Relationship Id="rId5" Type="http://schemas.openxmlformats.org/officeDocument/2006/relationships/hyperlink" Target="http://www.portaldatransparencia.gov.br/ceis" TargetMode="External"/><Relationship Id="rId10" Type="http://schemas.openxmlformats.org/officeDocument/2006/relationships/hyperlink" Target="http://www.planalto.gov.br/ccivil_03/_Ato2015-2018/2015/Decreto/D8539.htm" TargetMode="External"/><Relationship Id="rId4"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5-2018/2015/Decreto/D8539.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31</Pages>
  <Words>9180</Words>
  <Characters>49578</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Tatiana Behrsing Bulamarqui de Almeida</cp:lastModifiedBy>
  <cp:revision>9</cp:revision>
  <dcterms:created xsi:type="dcterms:W3CDTF">2023-03-05T18:05:00Z</dcterms:created>
  <dcterms:modified xsi:type="dcterms:W3CDTF">2023-03-07T13:49:00Z</dcterms:modified>
</cp:coreProperties>
</file>