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1792B" w14:textId="77777777" w:rsidR="00880579" w:rsidRPr="00880579" w:rsidRDefault="00880579" w:rsidP="00880579">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880579">
        <w:rPr>
          <w:rFonts w:ascii="Calibri" w:eastAsia="Times New Roman" w:hAnsi="Calibri" w:cs="Calibri"/>
          <w:b/>
          <w:bCs/>
          <w:caps/>
          <w:color w:val="000000"/>
          <w:kern w:val="0"/>
          <w:sz w:val="26"/>
          <w:szCs w:val="26"/>
          <w:lang w:eastAsia="pt-BR"/>
          <w14:ligatures w14:val="none"/>
        </w:rPr>
        <w:t> AVISO DE CONTRATAÇÃO DIRETA</w:t>
      </w:r>
    </w:p>
    <w:p w14:paraId="1E3228B6" w14:textId="3B30C84D"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Processo Administrativo 253</w:t>
      </w:r>
      <w:r>
        <w:rPr>
          <w:rFonts w:ascii="Calibri" w:eastAsia="Times New Roman" w:hAnsi="Calibri" w:cs="Calibri"/>
          <w:b/>
          <w:bCs/>
          <w:color w:val="000000"/>
          <w:kern w:val="0"/>
          <w:sz w:val="27"/>
          <w:szCs w:val="27"/>
          <w:lang w:eastAsia="pt-BR"/>
          <w14:ligatures w14:val="none"/>
        </w:rPr>
        <w:t>82</w:t>
      </w:r>
      <w:r w:rsidR="001C3018">
        <w:rPr>
          <w:rFonts w:ascii="Calibri" w:eastAsia="Times New Roman" w:hAnsi="Calibri" w:cs="Calibri"/>
          <w:b/>
          <w:bCs/>
          <w:color w:val="000000"/>
          <w:kern w:val="0"/>
          <w:sz w:val="27"/>
          <w:szCs w:val="27"/>
          <w:lang w:eastAsia="pt-BR"/>
          <w14:ligatures w14:val="none"/>
        </w:rPr>
        <w:t>00</w:t>
      </w:r>
      <w:r w:rsidR="00983F70">
        <w:rPr>
          <w:rFonts w:ascii="Calibri" w:eastAsia="Times New Roman" w:hAnsi="Calibri" w:cs="Calibri"/>
          <w:b/>
          <w:bCs/>
          <w:color w:val="000000"/>
          <w:kern w:val="0"/>
          <w:sz w:val="27"/>
          <w:szCs w:val="27"/>
          <w:lang w:eastAsia="pt-BR"/>
          <w14:ligatures w14:val="none"/>
        </w:rPr>
        <w:t>346</w:t>
      </w:r>
      <w:r w:rsidR="001C3018">
        <w:rPr>
          <w:rFonts w:ascii="Calibri" w:eastAsia="Times New Roman" w:hAnsi="Calibri" w:cs="Calibri"/>
          <w:b/>
          <w:bCs/>
          <w:color w:val="000000"/>
          <w:kern w:val="0"/>
          <w:sz w:val="27"/>
          <w:szCs w:val="27"/>
          <w:lang w:eastAsia="pt-BR"/>
          <w14:ligatures w14:val="none"/>
        </w:rPr>
        <w:t>/2023</w:t>
      </w:r>
      <w:r w:rsidR="00E16754">
        <w:rPr>
          <w:rFonts w:ascii="Calibri" w:eastAsia="Times New Roman" w:hAnsi="Calibri" w:cs="Calibri"/>
          <w:b/>
          <w:bCs/>
          <w:color w:val="000000"/>
          <w:kern w:val="0"/>
          <w:sz w:val="27"/>
          <w:szCs w:val="27"/>
          <w:lang w:eastAsia="pt-BR"/>
          <w14:ligatures w14:val="none"/>
        </w:rPr>
        <w:t>-</w:t>
      </w:r>
      <w:r w:rsidR="000A21F3">
        <w:rPr>
          <w:rFonts w:ascii="Calibri" w:eastAsia="Times New Roman" w:hAnsi="Calibri" w:cs="Calibri"/>
          <w:b/>
          <w:bCs/>
          <w:color w:val="000000"/>
          <w:kern w:val="0"/>
          <w:sz w:val="27"/>
          <w:szCs w:val="27"/>
          <w:lang w:eastAsia="pt-BR"/>
          <w14:ligatures w14:val="none"/>
        </w:rPr>
        <w:t>23</w:t>
      </w:r>
    </w:p>
    <w:p w14:paraId="0550898A" w14:textId="26D3CB89"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Dispensa de licitação n. </w:t>
      </w:r>
      <w:r w:rsidR="00E16754">
        <w:rPr>
          <w:rFonts w:ascii="Calibri" w:eastAsia="Times New Roman" w:hAnsi="Calibri" w:cs="Calibri"/>
          <w:b/>
          <w:bCs/>
          <w:color w:val="000000"/>
          <w:kern w:val="0"/>
          <w:sz w:val="27"/>
          <w:szCs w:val="27"/>
          <w:lang w:eastAsia="pt-BR"/>
          <w14:ligatures w14:val="none"/>
        </w:rPr>
        <w:t xml:space="preserve">  </w:t>
      </w:r>
      <w:r w:rsidR="000A21F3">
        <w:rPr>
          <w:rFonts w:ascii="Calibri" w:eastAsia="Times New Roman" w:hAnsi="Calibri" w:cs="Calibri"/>
          <w:b/>
          <w:bCs/>
          <w:color w:val="000000"/>
          <w:kern w:val="0"/>
          <w:sz w:val="27"/>
          <w:szCs w:val="27"/>
          <w:lang w:eastAsia="pt-BR"/>
          <w14:ligatures w14:val="none"/>
        </w:rPr>
        <w:t>5</w:t>
      </w:r>
      <w:r w:rsidR="003B5021">
        <w:rPr>
          <w:rFonts w:ascii="Calibri" w:eastAsia="Times New Roman" w:hAnsi="Calibri" w:cs="Calibri"/>
          <w:b/>
          <w:bCs/>
          <w:color w:val="000000"/>
          <w:kern w:val="0"/>
          <w:sz w:val="27"/>
          <w:szCs w:val="27"/>
          <w:lang w:eastAsia="pt-BR"/>
          <w14:ligatures w14:val="none"/>
        </w:rPr>
        <w:t>7</w:t>
      </w:r>
      <w:r w:rsidR="00762A3D">
        <w:rPr>
          <w:rFonts w:ascii="Calibri" w:eastAsia="Times New Roman" w:hAnsi="Calibri" w:cs="Calibri"/>
          <w:b/>
          <w:bCs/>
          <w:color w:val="000000"/>
          <w:kern w:val="0"/>
          <w:sz w:val="27"/>
          <w:szCs w:val="27"/>
          <w:lang w:eastAsia="pt-BR"/>
          <w14:ligatures w14:val="none"/>
        </w:rPr>
        <w:t>/2023</w:t>
      </w:r>
      <w:r w:rsidR="00E16754">
        <w:rPr>
          <w:rFonts w:ascii="Calibri" w:eastAsia="Times New Roman" w:hAnsi="Calibri" w:cs="Calibri"/>
          <w:b/>
          <w:bCs/>
          <w:color w:val="000000"/>
          <w:kern w:val="0"/>
          <w:sz w:val="27"/>
          <w:szCs w:val="27"/>
          <w:lang w:eastAsia="pt-BR"/>
          <w14:ligatures w14:val="none"/>
        </w:rPr>
        <w:t xml:space="preserve">  </w:t>
      </w:r>
    </w:p>
    <w:p w14:paraId="7DB9282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43475DA1" w14:textId="7FAA2AC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CONTRATANTE (UASG): </w:t>
      </w:r>
      <w:r w:rsidRPr="00880579">
        <w:rPr>
          <w:rFonts w:ascii="Calibri" w:eastAsia="Times New Roman" w:hAnsi="Calibri" w:cs="Calibri"/>
          <w:color w:val="000000"/>
          <w:kern w:val="0"/>
          <w:sz w:val="27"/>
          <w:szCs w:val="27"/>
          <w:lang w:eastAsia="pt-BR"/>
          <w14:ligatures w14:val="none"/>
        </w:rPr>
        <w:t xml:space="preserve">Fundação Oswaldo Cruz/Instituto </w:t>
      </w:r>
      <w:r w:rsidR="00E16754">
        <w:rPr>
          <w:rFonts w:ascii="Calibri" w:eastAsia="Times New Roman" w:hAnsi="Calibri" w:cs="Calibri"/>
          <w:color w:val="000000"/>
          <w:kern w:val="0"/>
          <w:sz w:val="27"/>
          <w:szCs w:val="27"/>
          <w:lang w:eastAsia="pt-BR"/>
          <w14:ligatures w14:val="none"/>
        </w:rPr>
        <w:t>Aggeu Magalhães</w:t>
      </w:r>
    </w:p>
    <w:p w14:paraId="56F8CA68" w14:textId="7BF3459D" w:rsidR="00E83906"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OBJETO: </w:t>
      </w:r>
      <w:r w:rsidR="00E83906" w:rsidRPr="00E83906">
        <w:rPr>
          <w:rFonts w:ascii="Calibri" w:eastAsia="Times New Roman" w:hAnsi="Calibri" w:cs="Calibri"/>
          <w:color w:val="000000"/>
          <w:kern w:val="0"/>
          <w:sz w:val="27"/>
          <w:szCs w:val="27"/>
          <w:lang w:eastAsia="pt-BR"/>
          <w14:ligatures w14:val="none"/>
        </w:rPr>
        <w:t xml:space="preserve">Aquisição de </w:t>
      </w:r>
      <w:r w:rsidR="00983F70" w:rsidRPr="00983F70">
        <w:rPr>
          <w:rFonts w:ascii="Calibri" w:eastAsia="Times New Roman" w:hAnsi="Calibri" w:cs="Calibri"/>
          <w:color w:val="000000"/>
          <w:kern w:val="0"/>
          <w:sz w:val="27"/>
          <w:szCs w:val="27"/>
          <w:lang w:eastAsia="pt-BR"/>
          <w14:ligatures w14:val="none"/>
        </w:rPr>
        <w:t>Folha de Eucatex na cor natural (MARROM) Dimensões 2,75</w:t>
      </w:r>
      <w:r w:rsidR="00983F70">
        <w:rPr>
          <w:rFonts w:ascii="Calibri" w:eastAsia="Times New Roman" w:hAnsi="Calibri" w:cs="Calibri"/>
          <w:color w:val="000000"/>
          <w:kern w:val="0"/>
          <w:sz w:val="27"/>
          <w:szCs w:val="27"/>
          <w:lang w:eastAsia="pt-BR"/>
          <w14:ligatures w14:val="none"/>
        </w:rPr>
        <w:t>m</w:t>
      </w:r>
      <w:r w:rsidR="00983F70" w:rsidRPr="00983F70">
        <w:rPr>
          <w:rFonts w:ascii="Calibri" w:eastAsia="Times New Roman" w:hAnsi="Calibri" w:cs="Calibri"/>
          <w:color w:val="000000"/>
          <w:kern w:val="0"/>
          <w:sz w:val="27"/>
          <w:szCs w:val="27"/>
          <w:lang w:eastAsia="pt-BR"/>
          <w14:ligatures w14:val="none"/>
        </w:rPr>
        <w:t xml:space="preserve"> x 1,22</w:t>
      </w:r>
      <w:r w:rsidR="00983F70">
        <w:rPr>
          <w:rFonts w:ascii="Calibri" w:eastAsia="Times New Roman" w:hAnsi="Calibri" w:cs="Calibri"/>
          <w:color w:val="000000"/>
          <w:kern w:val="0"/>
          <w:sz w:val="27"/>
          <w:szCs w:val="27"/>
          <w:lang w:eastAsia="pt-BR"/>
          <w14:ligatures w14:val="none"/>
        </w:rPr>
        <w:t>m</w:t>
      </w:r>
      <w:r w:rsidR="00983F70" w:rsidRPr="00983F70">
        <w:rPr>
          <w:rFonts w:ascii="Calibri" w:eastAsia="Times New Roman" w:hAnsi="Calibri" w:cs="Calibri"/>
          <w:color w:val="000000"/>
          <w:kern w:val="0"/>
          <w:sz w:val="27"/>
          <w:szCs w:val="27"/>
          <w:lang w:eastAsia="pt-BR"/>
          <w14:ligatures w14:val="none"/>
        </w:rPr>
        <w:t xml:space="preserve"> X 2,5</w:t>
      </w:r>
      <w:r w:rsidR="00983F70">
        <w:rPr>
          <w:rFonts w:ascii="Calibri" w:eastAsia="Times New Roman" w:hAnsi="Calibri" w:cs="Calibri"/>
          <w:color w:val="000000"/>
          <w:kern w:val="0"/>
          <w:sz w:val="27"/>
          <w:szCs w:val="27"/>
          <w:lang w:eastAsia="pt-BR"/>
          <w14:ligatures w14:val="none"/>
        </w:rPr>
        <w:t>mm</w:t>
      </w:r>
      <w:r w:rsidR="00E83906" w:rsidRPr="00E83906">
        <w:rPr>
          <w:rFonts w:ascii="Calibri" w:eastAsia="Times New Roman" w:hAnsi="Calibri" w:cs="Calibri"/>
          <w:color w:val="000000"/>
          <w:kern w:val="0"/>
          <w:sz w:val="27"/>
          <w:szCs w:val="27"/>
          <w:lang w:eastAsia="pt-BR"/>
          <w14:ligatures w14:val="none"/>
        </w:rPr>
        <w:t>.</w:t>
      </w:r>
    </w:p>
    <w:p w14:paraId="23DFB924" w14:textId="5D5A9E21" w:rsidR="00880579" w:rsidRPr="00880579" w:rsidRDefault="00AE7F05"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AE7F05">
        <w:rPr>
          <w:rFonts w:ascii="Calibri" w:eastAsia="Times New Roman" w:hAnsi="Calibri" w:cs="Calibri"/>
          <w:b/>
          <w:bCs/>
          <w:color w:val="000000"/>
          <w:kern w:val="0"/>
          <w:sz w:val="27"/>
          <w:szCs w:val="27"/>
          <w:lang w:eastAsia="pt-BR"/>
          <w14:ligatures w14:val="none"/>
        </w:rPr>
        <w:t xml:space="preserve">DATA </w:t>
      </w:r>
      <w:r>
        <w:rPr>
          <w:rFonts w:ascii="Calibri" w:eastAsia="Times New Roman" w:hAnsi="Calibri" w:cs="Calibri"/>
          <w:color w:val="000000"/>
          <w:kern w:val="0"/>
          <w:sz w:val="27"/>
          <w:szCs w:val="27"/>
          <w:lang w:eastAsia="pt-BR"/>
          <w14:ligatures w14:val="none"/>
        </w:rPr>
        <w:t xml:space="preserve">: </w:t>
      </w:r>
      <w:r w:rsidR="00983F70">
        <w:rPr>
          <w:rFonts w:ascii="Calibri" w:eastAsia="Times New Roman" w:hAnsi="Calibri" w:cs="Calibri"/>
          <w:color w:val="000000"/>
          <w:kern w:val="0"/>
          <w:sz w:val="27"/>
          <w:szCs w:val="27"/>
          <w:lang w:eastAsia="pt-BR"/>
          <w14:ligatures w14:val="none"/>
        </w:rPr>
        <w:t>0</w:t>
      </w:r>
      <w:r w:rsidR="003B5021">
        <w:rPr>
          <w:rFonts w:ascii="Calibri" w:eastAsia="Times New Roman" w:hAnsi="Calibri" w:cs="Calibri"/>
          <w:color w:val="000000"/>
          <w:kern w:val="0"/>
          <w:sz w:val="27"/>
          <w:szCs w:val="27"/>
          <w:lang w:eastAsia="pt-BR"/>
          <w14:ligatures w14:val="none"/>
        </w:rPr>
        <w:t>9</w:t>
      </w:r>
      <w:r>
        <w:rPr>
          <w:rFonts w:ascii="Calibri" w:eastAsia="Times New Roman" w:hAnsi="Calibri" w:cs="Calibri"/>
          <w:color w:val="000000"/>
          <w:kern w:val="0"/>
          <w:sz w:val="27"/>
          <w:szCs w:val="27"/>
          <w:lang w:eastAsia="pt-BR"/>
          <w14:ligatures w14:val="none"/>
        </w:rPr>
        <w:t>/0</w:t>
      </w:r>
      <w:r w:rsidR="00983F70">
        <w:rPr>
          <w:rFonts w:ascii="Calibri" w:eastAsia="Times New Roman" w:hAnsi="Calibri" w:cs="Calibri"/>
          <w:color w:val="000000"/>
          <w:kern w:val="0"/>
          <w:sz w:val="27"/>
          <w:szCs w:val="27"/>
          <w:lang w:eastAsia="pt-BR"/>
          <w14:ligatures w14:val="none"/>
        </w:rPr>
        <w:t>8</w:t>
      </w:r>
      <w:r>
        <w:rPr>
          <w:rFonts w:ascii="Calibri" w:eastAsia="Times New Roman" w:hAnsi="Calibri" w:cs="Calibri"/>
          <w:color w:val="000000"/>
          <w:kern w:val="0"/>
          <w:sz w:val="27"/>
          <w:szCs w:val="27"/>
          <w:lang w:eastAsia="pt-BR"/>
          <w14:ligatures w14:val="none"/>
        </w:rPr>
        <w:t>/2023</w:t>
      </w:r>
    </w:p>
    <w:p w14:paraId="58CE50C6" w14:textId="27B8C9CE"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HORÁRIO DA FASE DE LANCES: </w:t>
      </w:r>
      <w:r w:rsidRPr="00880579">
        <w:rPr>
          <w:rFonts w:ascii="Calibri" w:eastAsia="Times New Roman" w:hAnsi="Calibri" w:cs="Calibri"/>
          <w:color w:val="000000"/>
          <w:kern w:val="0"/>
          <w:sz w:val="27"/>
          <w:szCs w:val="27"/>
          <w:lang w:eastAsia="pt-BR"/>
          <w14:ligatures w14:val="none"/>
        </w:rPr>
        <w:t xml:space="preserve">Das 8h até </w:t>
      </w:r>
      <w:r w:rsidR="001C568A">
        <w:rPr>
          <w:rFonts w:ascii="Calibri" w:eastAsia="Times New Roman" w:hAnsi="Calibri" w:cs="Calibri"/>
          <w:color w:val="000000"/>
          <w:kern w:val="0"/>
          <w:sz w:val="27"/>
          <w:szCs w:val="27"/>
          <w:lang w:eastAsia="pt-BR"/>
          <w14:ligatures w14:val="none"/>
        </w:rPr>
        <w:t>18:00</w:t>
      </w:r>
    </w:p>
    <w:p w14:paraId="7DFDAC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PREFERÊNCIA ME/EPP/EQUIPARADAS: </w:t>
      </w:r>
      <w:r w:rsidRPr="00880579">
        <w:rPr>
          <w:rFonts w:ascii="Calibri" w:eastAsia="Times New Roman" w:hAnsi="Calibri" w:cs="Calibri"/>
          <w:color w:val="000000"/>
          <w:kern w:val="0"/>
          <w:sz w:val="27"/>
          <w:szCs w:val="27"/>
          <w:lang w:eastAsia="pt-BR"/>
          <w14:ligatures w14:val="none"/>
        </w:rPr>
        <w:t>SIM</w:t>
      </w:r>
    </w:p>
    <w:p w14:paraId="07D710A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i/>
          <w:iCs/>
          <w:color w:val="000000"/>
          <w:kern w:val="0"/>
          <w:sz w:val="27"/>
          <w:szCs w:val="27"/>
          <w:lang w:eastAsia="pt-BR"/>
          <w14:ligatures w14:val="none"/>
        </w:rPr>
        <w:t>  </w:t>
      </w:r>
    </w:p>
    <w:p w14:paraId="60A728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SUMÁRIO</w:t>
      </w:r>
    </w:p>
    <w:p w14:paraId="07B9EE8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1. OBJETO DA CONTRATAÇÃO DIRETA</w:t>
      </w:r>
    </w:p>
    <w:p w14:paraId="02FF46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2. PARTICIPAÇÃO NA DISPENSA ELETRÔNICA</w:t>
      </w:r>
    </w:p>
    <w:p w14:paraId="163E41C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3. INGRESSO NA DISPENSA ELETRÔNICA E CADASTRAMENTO DA PROPOSTA INICIAL</w:t>
      </w:r>
    </w:p>
    <w:p w14:paraId="6D6D67B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4. FASE DE LANCES</w:t>
      </w:r>
    </w:p>
    <w:p w14:paraId="19320B0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5. JULGAMENTO DAS PROPOSTAS DE PREÇO</w:t>
      </w:r>
    </w:p>
    <w:p w14:paraId="2FDE53D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6. HABILITAÇÃO</w:t>
      </w:r>
    </w:p>
    <w:p w14:paraId="7F42B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7. CONTRATAÇÃO</w:t>
      </w:r>
    </w:p>
    <w:p w14:paraId="3CF2B3A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8. INFRAÇÕES E SANÇÕES ADMINISTRATIVAS</w:t>
      </w:r>
    </w:p>
    <w:p w14:paraId="45E3117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9. DAS DISPOSIÇÕES GERAIS</w:t>
      </w:r>
    </w:p>
    <w:p w14:paraId="3321EF7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880579">
        <w:rPr>
          <w:rFonts w:ascii="Calibri" w:eastAsia="Times New Roman" w:hAnsi="Calibri" w:cs="Calibri"/>
          <w:color w:val="000000"/>
          <w:kern w:val="0"/>
          <w:sz w:val="24"/>
          <w:szCs w:val="24"/>
          <w:lang w:eastAsia="pt-BR"/>
          <w14:ligatures w14:val="none"/>
        </w:rPr>
        <w:t> </w:t>
      </w:r>
    </w:p>
    <w:p w14:paraId="37ECEEB7" w14:textId="241872A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Torna-se público que a FUNDAÇÃO OSWALDO CRUZ, por meio do INSTITUTO </w:t>
      </w:r>
      <w:r>
        <w:rPr>
          <w:rFonts w:ascii="Calibri" w:eastAsia="Times New Roman" w:hAnsi="Calibri" w:cs="Calibri"/>
          <w:color w:val="000000"/>
          <w:kern w:val="0"/>
          <w:sz w:val="27"/>
          <w:szCs w:val="27"/>
          <w:lang w:eastAsia="pt-BR"/>
          <w14:ligatures w14:val="none"/>
        </w:rPr>
        <w:t>AGGE</w:t>
      </w:r>
      <w:r w:rsidR="00D62840">
        <w:rPr>
          <w:rFonts w:ascii="Calibri" w:eastAsia="Times New Roman" w:hAnsi="Calibri" w:cs="Calibri"/>
          <w:color w:val="000000"/>
          <w:kern w:val="0"/>
          <w:sz w:val="27"/>
          <w:szCs w:val="27"/>
          <w:lang w:eastAsia="pt-BR"/>
          <w14:ligatures w14:val="none"/>
        </w:rPr>
        <w:t>U</w:t>
      </w:r>
      <w:r>
        <w:rPr>
          <w:rFonts w:ascii="Calibri" w:eastAsia="Times New Roman" w:hAnsi="Calibri" w:cs="Calibri"/>
          <w:color w:val="000000"/>
          <w:kern w:val="0"/>
          <w:sz w:val="27"/>
          <w:szCs w:val="27"/>
          <w:lang w:eastAsia="pt-BR"/>
          <w14:ligatures w14:val="none"/>
        </w:rPr>
        <w:t xml:space="preserve"> MAGALHAES</w:t>
      </w:r>
      <w:r w:rsidRPr="00880579">
        <w:rPr>
          <w:rFonts w:ascii="Calibri" w:eastAsia="Times New Roman" w:hAnsi="Calibri" w:cs="Calibri"/>
          <w:color w:val="000000"/>
          <w:kern w:val="0"/>
          <w:sz w:val="27"/>
          <w:szCs w:val="27"/>
          <w:lang w:eastAsia="pt-BR"/>
          <w14:ligatures w14:val="none"/>
        </w:rPr>
        <w:t>, </w:t>
      </w:r>
      <w:proofErr w:type="spellStart"/>
      <w:r w:rsidRPr="00880579">
        <w:rPr>
          <w:rFonts w:ascii="Calibri" w:eastAsia="Times New Roman" w:hAnsi="Calibri" w:cs="Calibri"/>
          <w:b/>
          <w:bCs/>
          <w:color w:val="000000"/>
          <w:kern w:val="0"/>
          <w:sz w:val="27"/>
          <w:szCs w:val="27"/>
          <w:lang w:eastAsia="pt-BR"/>
          <w14:ligatures w14:val="none"/>
        </w:rPr>
        <w:t>Cnpj</w:t>
      </w:r>
      <w:proofErr w:type="spellEnd"/>
      <w:r w:rsidRPr="00880579">
        <w:rPr>
          <w:rFonts w:ascii="Calibri" w:eastAsia="Times New Roman" w:hAnsi="Calibri" w:cs="Calibri"/>
          <w:b/>
          <w:bCs/>
          <w:color w:val="000000"/>
          <w:kern w:val="0"/>
          <w:sz w:val="27"/>
          <w:szCs w:val="27"/>
          <w:lang w:eastAsia="pt-BR"/>
          <w14:ligatures w14:val="none"/>
        </w:rPr>
        <w:t>: 33.781.055/000</w:t>
      </w:r>
      <w:r>
        <w:rPr>
          <w:rFonts w:ascii="Calibri" w:eastAsia="Times New Roman" w:hAnsi="Calibri" w:cs="Calibri"/>
          <w:b/>
          <w:bCs/>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xml:space="preserve">, localizado na Av. </w:t>
      </w:r>
      <w:r>
        <w:rPr>
          <w:rFonts w:ascii="Calibri" w:eastAsia="Times New Roman" w:hAnsi="Calibri" w:cs="Calibri"/>
          <w:color w:val="000000"/>
          <w:kern w:val="0"/>
          <w:sz w:val="27"/>
          <w:szCs w:val="27"/>
          <w:lang w:eastAsia="pt-BR"/>
          <w14:ligatures w14:val="none"/>
        </w:rPr>
        <w:t xml:space="preserve">Professor Moraes Rego s/n, Campus da </w:t>
      </w:r>
      <w:proofErr w:type="gramStart"/>
      <w:r>
        <w:rPr>
          <w:rFonts w:ascii="Calibri" w:eastAsia="Times New Roman" w:hAnsi="Calibri" w:cs="Calibri"/>
          <w:color w:val="000000"/>
          <w:kern w:val="0"/>
          <w:sz w:val="27"/>
          <w:szCs w:val="27"/>
          <w:lang w:eastAsia="pt-BR"/>
          <w14:ligatures w14:val="none"/>
        </w:rPr>
        <w:t xml:space="preserve">UPFE </w:t>
      </w:r>
      <w:r w:rsidRPr="00880579">
        <w:rPr>
          <w:rFonts w:ascii="Calibri" w:eastAsia="Times New Roman" w:hAnsi="Calibri" w:cs="Calibri"/>
          <w:color w:val="000000"/>
          <w:kern w:val="0"/>
          <w:sz w:val="27"/>
          <w:szCs w:val="27"/>
          <w:lang w:eastAsia="pt-BR"/>
          <w14:ligatures w14:val="none"/>
        </w:rPr>
        <w:t>,</w:t>
      </w:r>
      <w:proofErr w:type="gramEnd"/>
      <w:r w:rsidRPr="00880579">
        <w:rPr>
          <w:rFonts w:ascii="Calibri" w:eastAsia="Times New Roman" w:hAnsi="Calibri" w:cs="Calibri"/>
          <w:color w:val="000000"/>
          <w:kern w:val="0"/>
          <w:sz w:val="27"/>
          <w:szCs w:val="27"/>
          <w:lang w:eastAsia="pt-BR"/>
          <w14:ligatures w14:val="none"/>
        </w:rPr>
        <w:t xml:space="preserve"> bairro </w:t>
      </w:r>
      <w:r>
        <w:rPr>
          <w:rFonts w:ascii="Calibri" w:eastAsia="Times New Roman" w:hAnsi="Calibri" w:cs="Calibri"/>
          <w:color w:val="000000"/>
          <w:kern w:val="0"/>
          <w:sz w:val="27"/>
          <w:szCs w:val="27"/>
          <w:lang w:eastAsia="pt-BR"/>
          <w14:ligatures w14:val="none"/>
        </w:rPr>
        <w:t>VÁRZEA</w:t>
      </w:r>
      <w:r w:rsidRPr="00880579">
        <w:rPr>
          <w:rFonts w:ascii="Calibri" w:eastAsia="Times New Roman" w:hAnsi="Calibri" w:cs="Calibri"/>
          <w:color w:val="000000"/>
          <w:kern w:val="0"/>
          <w:sz w:val="27"/>
          <w:szCs w:val="27"/>
          <w:lang w:eastAsia="pt-BR"/>
          <w14:ligatures w14:val="none"/>
        </w:rPr>
        <w:t>,</w:t>
      </w:r>
      <w:r w:rsidR="00AE5CCA">
        <w:rPr>
          <w:rFonts w:ascii="Calibri" w:eastAsia="Times New Roman" w:hAnsi="Calibri" w:cs="Calibri"/>
          <w:color w:val="000000"/>
          <w:kern w:val="0"/>
          <w:sz w:val="27"/>
          <w:szCs w:val="27"/>
          <w:lang w:eastAsia="pt-BR"/>
          <w14:ligatures w14:val="none"/>
        </w:rPr>
        <w:t xml:space="preserve"> </w:t>
      </w:r>
      <w:r>
        <w:rPr>
          <w:rFonts w:ascii="Calibri" w:eastAsia="Times New Roman" w:hAnsi="Calibri" w:cs="Calibri"/>
          <w:color w:val="000000"/>
          <w:kern w:val="0"/>
          <w:sz w:val="27"/>
          <w:szCs w:val="27"/>
          <w:lang w:eastAsia="pt-BR"/>
          <w14:ligatures w14:val="none"/>
        </w:rPr>
        <w:t>Recife PE</w:t>
      </w:r>
      <w:r w:rsidRPr="00880579">
        <w:rPr>
          <w:rFonts w:ascii="Calibri" w:eastAsia="Times New Roman" w:hAnsi="Calibri" w:cs="Calibri"/>
          <w:color w:val="000000"/>
          <w:kern w:val="0"/>
          <w:sz w:val="27"/>
          <w:szCs w:val="27"/>
          <w:lang w:eastAsia="pt-BR"/>
          <w14:ligatures w14:val="none"/>
        </w:rPr>
        <w:t xml:space="preserve"> Cep. </w:t>
      </w:r>
      <w:r>
        <w:rPr>
          <w:rFonts w:ascii="Calibri" w:eastAsia="Times New Roman" w:hAnsi="Calibri" w:cs="Calibri"/>
          <w:color w:val="000000"/>
          <w:kern w:val="0"/>
          <w:sz w:val="27"/>
          <w:szCs w:val="27"/>
          <w:lang w:eastAsia="pt-BR"/>
          <w14:ligatures w14:val="none"/>
        </w:rPr>
        <w:t>50640</w:t>
      </w:r>
      <w:r w:rsidR="00D62840">
        <w:rPr>
          <w:rFonts w:ascii="Calibri" w:eastAsia="Times New Roman" w:hAnsi="Calibri" w:cs="Calibri"/>
          <w:color w:val="000000"/>
          <w:kern w:val="0"/>
          <w:sz w:val="27"/>
          <w:szCs w:val="27"/>
          <w:lang w:eastAsia="pt-BR"/>
          <w14:ligatures w14:val="none"/>
        </w:rPr>
        <w:t>-</w:t>
      </w:r>
      <w:r>
        <w:rPr>
          <w:rFonts w:ascii="Calibri" w:eastAsia="Times New Roman" w:hAnsi="Calibri" w:cs="Calibri"/>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realizará Dispensa Eletrônica</w:t>
      </w:r>
      <w:r w:rsidR="00D62840">
        <w:rPr>
          <w:rFonts w:ascii="Calibri" w:eastAsia="Times New Roman" w:hAnsi="Calibri" w:cs="Calibri"/>
          <w:color w:val="000000"/>
          <w:kern w:val="0"/>
          <w:sz w:val="27"/>
          <w:szCs w:val="27"/>
          <w:lang w:eastAsia="pt-BR"/>
          <w14:ligatures w14:val="none"/>
        </w:rPr>
        <w:t xml:space="preserve"> N 7/2023</w:t>
      </w:r>
      <w:r w:rsidRPr="00880579">
        <w:rPr>
          <w:rFonts w:ascii="Calibri" w:eastAsia="Times New Roman" w:hAnsi="Calibri" w:cs="Calibri"/>
          <w:color w:val="000000"/>
          <w:kern w:val="0"/>
          <w:sz w:val="27"/>
          <w:szCs w:val="27"/>
          <w:lang w:eastAsia="pt-BR"/>
          <w14:ligatures w14:val="none"/>
        </w:rPr>
        <w:t>, com </w:t>
      </w:r>
      <w:r w:rsidRPr="00880579">
        <w:rPr>
          <w:rFonts w:ascii="Calibri" w:eastAsia="Times New Roman" w:hAnsi="Calibri" w:cs="Calibri"/>
          <w:b/>
          <w:bCs/>
          <w:color w:val="000000"/>
          <w:kern w:val="0"/>
          <w:sz w:val="27"/>
          <w:szCs w:val="27"/>
          <w:u w:val="single"/>
          <w:lang w:eastAsia="pt-BR"/>
          <w14:ligatures w14:val="none"/>
        </w:rPr>
        <w:t>critério de julgamento menor preço</w:t>
      </w:r>
      <w:r w:rsidRPr="00880579">
        <w:rPr>
          <w:rFonts w:ascii="Calibri" w:eastAsia="Times New Roman" w:hAnsi="Calibri" w:cs="Calibri"/>
          <w:b/>
          <w:bCs/>
          <w:color w:val="000000"/>
          <w:kern w:val="0"/>
          <w:sz w:val="27"/>
          <w:szCs w:val="27"/>
          <w:lang w:eastAsia="pt-BR"/>
          <w14:ligatures w14:val="none"/>
        </w:rPr>
        <w:t>, </w:t>
      </w:r>
      <w:r w:rsidRPr="00880579">
        <w:rPr>
          <w:rFonts w:ascii="Calibri" w:eastAsia="Times New Roman" w:hAnsi="Calibri" w:cs="Calibri"/>
          <w:color w:val="000000"/>
          <w:kern w:val="0"/>
          <w:sz w:val="27"/>
          <w:szCs w:val="27"/>
          <w:lang w:eastAsia="pt-BR"/>
          <w14:ligatures w14:val="none"/>
        </w:rPr>
        <w:t>na hipótese do art. 75, inciso II,</w:t>
      </w:r>
      <w:r w:rsidRPr="00880579">
        <w:rPr>
          <w:rFonts w:ascii="Calibri" w:eastAsia="Times New Roman" w:hAnsi="Calibri" w:cs="Calibri"/>
          <w:i/>
          <w:iCs/>
          <w:color w:val="000000"/>
          <w:kern w:val="0"/>
          <w:sz w:val="27"/>
          <w:szCs w:val="27"/>
          <w:lang w:eastAsia="pt-BR"/>
          <w14:ligatures w14:val="none"/>
        </w:rPr>
        <w:t> n</w:t>
      </w:r>
      <w:r w:rsidRPr="00880579">
        <w:rPr>
          <w:rFonts w:ascii="Calibri" w:eastAsia="Times New Roman" w:hAnsi="Calibri" w:cs="Calibri"/>
          <w:color w:val="000000"/>
          <w:kern w:val="0"/>
          <w:sz w:val="27"/>
          <w:szCs w:val="27"/>
          <w:lang w:eastAsia="pt-BR"/>
          <w14:ligatures w14:val="none"/>
        </w:rPr>
        <w:t>os termos da Lei nº 14.133, de 1º de abril de 2021, da Instrução Normativa SEGES/ME nº 67/2021 e demais legislação aplicável.</w:t>
      </w:r>
    </w:p>
    <w:p w14:paraId="178EC2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CFBC7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OBJETO DA CONTRATAÇÃO DIRETA</w:t>
      </w:r>
    </w:p>
    <w:p w14:paraId="499DB3BB" w14:textId="16A8C536" w:rsidR="00880579" w:rsidRDefault="00880579" w:rsidP="00983F70">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 xml:space="preserve">O </w:t>
      </w:r>
      <w:r>
        <w:rPr>
          <w:rFonts w:ascii="Calibri" w:eastAsia="Times New Roman" w:hAnsi="Calibri" w:cs="Calibri"/>
          <w:color w:val="000000"/>
          <w:kern w:val="0"/>
          <w:sz w:val="27"/>
          <w:szCs w:val="27"/>
          <w:lang w:eastAsia="pt-BR"/>
          <w14:ligatures w14:val="none"/>
        </w:rPr>
        <w:t>OBJETO DA LICITAÇÃO:</w:t>
      </w:r>
      <w:r w:rsidR="00AE5CCA">
        <w:rPr>
          <w:rFonts w:ascii="Calibri" w:eastAsia="Times New Roman" w:hAnsi="Calibri" w:cs="Calibri"/>
          <w:color w:val="000000"/>
          <w:kern w:val="0"/>
          <w:sz w:val="27"/>
          <w:szCs w:val="27"/>
          <w:lang w:eastAsia="pt-BR"/>
          <w14:ligatures w14:val="none"/>
        </w:rPr>
        <w:t xml:space="preserve"> </w:t>
      </w:r>
      <w:r w:rsidR="00983F70" w:rsidRPr="00983F70">
        <w:rPr>
          <w:rFonts w:ascii="Calibri" w:eastAsia="Times New Roman" w:hAnsi="Calibri" w:cs="Calibri"/>
          <w:color w:val="000000"/>
          <w:kern w:val="0"/>
          <w:sz w:val="27"/>
          <w:szCs w:val="27"/>
          <w:lang w:eastAsia="pt-BR"/>
          <w14:ligatures w14:val="none"/>
        </w:rPr>
        <w:t>Folha de Eucatex na cor natural (MARROM) Dimensões 2,75</w:t>
      </w:r>
      <w:r w:rsidR="00983F70">
        <w:rPr>
          <w:rFonts w:ascii="Calibri" w:eastAsia="Times New Roman" w:hAnsi="Calibri" w:cs="Calibri"/>
          <w:color w:val="000000"/>
          <w:kern w:val="0"/>
          <w:sz w:val="27"/>
          <w:szCs w:val="27"/>
          <w:lang w:eastAsia="pt-BR"/>
          <w14:ligatures w14:val="none"/>
        </w:rPr>
        <w:t>m</w:t>
      </w:r>
      <w:r w:rsidR="00983F70" w:rsidRPr="00983F70">
        <w:rPr>
          <w:rFonts w:ascii="Calibri" w:eastAsia="Times New Roman" w:hAnsi="Calibri" w:cs="Calibri"/>
          <w:color w:val="000000"/>
          <w:kern w:val="0"/>
          <w:sz w:val="27"/>
          <w:szCs w:val="27"/>
          <w:lang w:eastAsia="pt-BR"/>
          <w14:ligatures w14:val="none"/>
        </w:rPr>
        <w:t xml:space="preserve"> x 1,22</w:t>
      </w:r>
      <w:r w:rsidR="00983F70">
        <w:rPr>
          <w:rFonts w:ascii="Calibri" w:eastAsia="Times New Roman" w:hAnsi="Calibri" w:cs="Calibri"/>
          <w:color w:val="000000"/>
          <w:kern w:val="0"/>
          <w:sz w:val="27"/>
          <w:szCs w:val="27"/>
          <w:lang w:eastAsia="pt-BR"/>
          <w14:ligatures w14:val="none"/>
        </w:rPr>
        <w:t>m</w:t>
      </w:r>
      <w:r w:rsidR="00983F70" w:rsidRPr="00983F70">
        <w:rPr>
          <w:rFonts w:ascii="Calibri" w:eastAsia="Times New Roman" w:hAnsi="Calibri" w:cs="Calibri"/>
          <w:color w:val="000000"/>
          <w:kern w:val="0"/>
          <w:sz w:val="27"/>
          <w:szCs w:val="27"/>
          <w:lang w:eastAsia="pt-BR"/>
          <w14:ligatures w14:val="none"/>
        </w:rPr>
        <w:t xml:space="preserve"> X 2,5</w:t>
      </w:r>
      <w:r w:rsidR="00983F70">
        <w:rPr>
          <w:rFonts w:ascii="Calibri" w:eastAsia="Times New Roman" w:hAnsi="Calibri" w:cs="Calibri"/>
          <w:color w:val="000000"/>
          <w:kern w:val="0"/>
          <w:sz w:val="27"/>
          <w:szCs w:val="27"/>
          <w:lang w:eastAsia="pt-BR"/>
          <w14:ligatures w14:val="none"/>
        </w:rPr>
        <w:t>mm</w:t>
      </w:r>
    </w:p>
    <w:p w14:paraId="32EFDDEC" w14:textId="77777777" w:rsidR="00983F70" w:rsidRDefault="00983F70" w:rsidP="00983F70">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4A430EBD" w14:textId="2D4FE484" w:rsidR="00983F70" w:rsidRDefault="00983F70" w:rsidP="00983F70">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noProof/>
        </w:rPr>
        <w:drawing>
          <wp:inline distT="0" distB="0" distL="0" distR="0" wp14:anchorId="6CFE7497" wp14:editId="16D9642E">
            <wp:extent cx="5400040" cy="2211705"/>
            <wp:effectExtent l="0" t="0" r="0" b="0"/>
            <wp:docPr id="1963311809" name="Imagem 1"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311809" name="Imagem 1" descr="Interface gráfica do usuário, Texto, Aplicativo, Email&#10;&#10;Descrição gerada automaticamente"/>
                    <pic:cNvPicPr/>
                  </pic:nvPicPr>
                  <pic:blipFill>
                    <a:blip r:embed="rId4"/>
                    <a:stretch>
                      <a:fillRect/>
                    </a:stretch>
                  </pic:blipFill>
                  <pic:spPr>
                    <a:xfrm>
                      <a:off x="0" y="0"/>
                      <a:ext cx="5400040" cy="2211705"/>
                    </a:xfrm>
                    <a:prstGeom prst="rect">
                      <a:avLst/>
                    </a:prstGeom>
                  </pic:spPr>
                </pic:pic>
              </a:graphicData>
            </a:graphic>
          </wp:inline>
        </w:drawing>
      </w:r>
    </w:p>
    <w:p w14:paraId="1C5F6CCA" w14:textId="77777777" w:rsidR="00983F70" w:rsidRPr="00880579" w:rsidRDefault="00983F70" w:rsidP="00983F70">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60488E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7F9BE9"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PARTICIPAÇÃO NA DISPENSA ELETRÔNICA.</w:t>
      </w:r>
    </w:p>
    <w:p w14:paraId="6C8D23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participação na presente dispensa eletrônica se dará mediante Sistema de Dispensa Eletrônica integrante do Sistema de Compras do Governo Federal –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disponível no endereço eletrônico www.compras.gov.br.</w:t>
      </w:r>
    </w:p>
    <w:p w14:paraId="7D8A12B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deverão atender aos procedimentos previstos no Manual do Sistema de Dispensa Eletrônica, disponível no Portal de Compras do Governo Federal, para acesso ao sistema e operacionalização.</w:t>
      </w:r>
    </w:p>
    <w:p w14:paraId="34FBD87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CABD7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poderão participar desta dispensa os fornecedores:</w:t>
      </w:r>
    </w:p>
    <w:p w14:paraId="277138D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atendam às condições deste Aviso de Contratação Direta e seu(s) anexo(s);</w:t>
      </w:r>
    </w:p>
    <w:p w14:paraId="3D9D685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estrangeiros que não tenham representação legal no Brasil com poderes expressos para receber citação e responder administrativa ou judicialmente;</w:t>
      </w:r>
    </w:p>
    <w:p w14:paraId="5AB8B73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se enquadrem nas seguintes vedações:</w:t>
      </w:r>
    </w:p>
    <w:p w14:paraId="7B5951C7"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autor do anteprojeto, do projeto básico ou do projeto executivo, pessoa física ou jurídica, quando a contratação versar sobre obra, serviços ou fornecimento de bens a ele relacionados;</w:t>
      </w:r>
    </w:p>
    <w:p w14:paraId="2CA3443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7CD4D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se encontre, ao tempo da contratação, impossibilitada de contratar em decorrência de sanção que lhe foi imposta;</w:t>
      </w:r>
    </w:p>
    <w:p w14:paraId="65FCF97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FA41A3"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empresas controladoras, controladas ou coligadas, nos termos da </w:t>
      </w:r>
      <w:hyperlink r:id="rId5" w:tgtFrame="_blank" w:history="1">
        <w:r w:rsidRPr="00880579">
          <w:rPr>
            <w:rFonts w:ascii="Calibri" w:eastAsia="Times New Roman" w:hAnsi="Calibri" w:cs="Calibri"/>
            <w:color w:val="0000FF"/>
            <w:kern w:val="0"/>
            <w:sz w:val="27"/>
            <w:szCs w:val="27"/>
            <w:u w:val="single"/>
            <w:lang w:eastAsia="pt-BR"/>
            <w14:ligatures w14:val="none"/>
          </w:rPr>
          <w:t>Lei nº 6.404, de 15 de dezembro de 1976</w:t>
        </w:r>
      </w:hyperlink>
      <w:r w:rsidRPr="00880579">
        <w:rPr>
          <w:rFonts w:ascii="Calibri" w:eastAsia="Times New Roman" w:hAnsi="Calibri" w:cs="Calibri"/>
          <w:color w:val="000000"/>
          <w:kern w:val="0"/>
          <w:sz w:val="27"/>
          <w:szCs w:val="27"/>
          <w:lang w:eastAsia="pt-BR"/>
          <w14:ligatures w14:val="none"/>
        </w:rPr>
        <w:t>, concorrendo entre si;</w:t>
      </w:r>
    </w:p>
    <w:p w14:paraId="7FB4DF0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8DD276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Equiparam-se aos autores do projeto as empresas integrantes do mesmo grupo econômico;</w:t>
      </w:r>
    </w:p>
    <w:p w14:paraId="373E3B4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7482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organizações da Sociedade Civil de Interesse Público - OSCIP, atuando nessa condição (Acórdão nº 746/2014-TCU-Plenário); e</w:t>
      </w:r>
    </w:p>
    <w:p w14:paraId="35B22C4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0" w:name="_Hlk519667815"/>
      <w:r w:rsidRPr="00880579">
        <w:rPr>
          <w:rFonts w:ascii="Calibri" w:eastAsia="Times New Roman" w:hAnsi="Calibri" w:cs="Calibri"/>
          <w:color w:val="000000"/>
          <w:kern w:val="0"/>
          <w:sz w:val="27"/>
          <w:szCs w:val="27"/>
          <w:lang w:eastAsia="pt-BR"/>
          <w14:ligatures w14:val="none"/>
        </w:rPr>
        <w:t>sociedades cooperativas.</w:t>
      </w:r>
      <w:bookmarkEnd w:id="0"/>
    </w:p>
    <w:p w14:paraId="0F5A2B7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1413AA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lastRenderedPageBreak/>
        <w:t>INGRESSO NA DISPENSA ELETRÔNICA E CADASTRAMENTO DA PROPOSTA INICIAL</w:t>
      </w:r>
    </w:p>
    <w:p w14:paraId="0E73359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ingresso do fornecedor na disputa da dispensa eletrônica se dará com o cadastramento de sua proposta inicial, na forma deste item.</w:t>
      </w:r>
    </w:p>
    <w:p w14:paraId="74DC9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E7D28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B8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Todas as especificações do objeto contidas na proposta, em especial o preço, vinculam a Contratada.</w:t>
      </w:r>
    </w:p>
    <w:p w14:paraId="0EE6B7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Nos valores propostos estarão inclusos todos os custos operacionais, encargos previdenciários, trabalhistas, tributários, comerciais e quaisquer outros que incidam direta ou indiretamente na prestação dos serviços;</w:t>
      </w:r>
    </w:p>
    <w:p w14:paraId="441E103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preços ofertados, tanto na proposta inicial, quanto na etapa de lances, serão de exclusiva responsabilidade do fornecedor, não lhe assistindo o direito de pleitear qualquer alteração, sob alegação de erro, omissão ou qualquer outro pretexto.</w:t>
      </w:r>
    </w:p>
    <w:p w14:paraId="506111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o regime tributário da empresa implicar o recolhimento de tributos em percentuais variáveis, a cotação adequada será a que corresponde à média dos efetivos recolhimentos da empresa nos últimos doze meses.</w:t>
      </w:r>
    </w:p>
    <w:p w14:paraId="36EB4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Independentemente do percentual de tributo inserido na planilha, no pagamento serão retidos na fonte os percentuais estabelecidos na legislação vigente.</w:t>
      </w:r>
    </w:p>
    <w:p w14:paraId="7BF2FFD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4E5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Uma vez enviada a proposta no sistema, os fornecedores </w:t>
      </w:r>
      <w:r w:rsidRPr="00880579">
        <w:rPr>
          <w:rFonts w:ascii="Calibri" w:eastAsia="Times New Roman" w:hAnsi="Calibri" w:cs="Calibri"/>
          <w:b/>
          <w:bCs/>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poderão retirá-la, substituí-la ou modificá-la;</w:t>
      </w:r>
    </w:p>
    <w:p w14:paraId="3BEBA7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No cadastramento da proposta inicial, o fornecedor deverá, também, assinalar “sim” ou “não” em campo próprio do sistema eletrônico, às seguintes declarações:​</w:t>
      </w:r>
    </w:p>
    <w:p w14:paraId="5A8F3D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que cumpre os requisitos estabelecidos no artigo 3° da Lei Complementar nº 123, de 2006, estando apto a usufruir do tratamento favorecido estabelecido em seus </w:t>
      </w:r>
      <w:proofErr w:type="spellStart"/>
      <w:r w:rsidRPr="00880579">
        <w:rPr>
          <w:rFonts w:ascii="Calibri" w:eastAsia="Times New Roman" w:hAnsi="Calibri" w:cs="Calibri"/>
          <w:color w:val="000000"/>
          <w:kern w:val="0"/>
          <w:sz w:val="27"/>
          <w:szCs w:val="27"/>
          <w:lang w:eastAsia="pt-BR"/>
          <w14:ligatures w14:val="none"/>
        </w:rPr>
        <w:t>arts</w:t>
      </w:r>
      <w:proofErr w:type="spellEnd"/>
      <w:r w:rsidRPr="00880579">
        <w:rPr>
          <w:rFonts w:ascii="Calibri" w:eastAsia="Times New Roman" w:hAnsi="Calibri" w:cs="Calibri"/>
          <w:color w:val="000000"/>
          <w:kern w:val="0"/>
          <w:sz w:val="27"/>
          <w:szCs w:val="27"/>
          <w:lang w:eastAsia="pt-BR"/>
          <w14:ligatures w14:val="none"/>
        </w:rPr>
        <w:t>. 42 a 49.</w:t>
      </w:r>
    </w:p>
    <w:p w14:paraId="442ACBA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inexistem fatos impeditivos para sua habilitação no certame, ciente da obrigatoriedade de declarar ocorrências posteriores;</w:t>
      </w:r>
    </w:p>
    <w:p w14:paraId="38D48E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está ciente e concorda com as condições contidas no Aviso de Contratação Direta e seus anexos;</w:t>
      </w:r>
    </w:p>
    <w:p w14:paraId="4D5894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assume a responsabilidade pelas transações que forem efetuadas no sistema, assumindo como firmes e verdadeiras;</w:t>
      </w:r>
    </w:p>
    <w:p w14:paraId="5A3C5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as exigências de reserva de cargos para pessoa com deficiência e para reabilitado da Previdência Social, de que trata o art. 93 da Lei nº 8.213/91.</w:t>
      </w:r>
    </w:p>
    <w:p w14:paraId="58EC1E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emprega menor de 18 anos em trabalho noturno, perigoso ou insalubre e não emprega menor de 16 anos, salvo menor, a partir de 14 anos, na condição de aprendiz, nos termos do artigo 7°, XXXIII, da Constituição;</w:t>
      </w:r>
    </w:p>
    <w:p w14:paraId="755CA557"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E3FFB8E"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FASE DE LANCES</w:t>
      </w:r>
    </w:p>
    <w:p w14:paraId="77A267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C6F4F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Iniciada a etapa competitiva, os fornecedores deverão encaminhar lances exclusivamente por meio de sistema eletrônico, sendo imediatamente informados do seu recebimento e do valor consignado no registro.</w:t>
      </w:r>
    </w:p>
    <w:p w14:paraId="4540458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lance deverá ser ofertado pelo valor total do item.</w:t>
      </w:r>
    </w:p>
    <w:p w14:paraId="4DB75E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somente poderá oferecer valor inferior ou maior percentual de desconto em relação ao último lance por ele ofertado e registrado pelo sistema.</w:t>
      </w:r>
    </w:p>
    <w:p w14:paraId="0EAB59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fornecedor poderá oferecer lances sucessivos iguais ou superiores ao lance que esteja vencendo o certame, desde que inferiores ao menor por </w:t>
      </w:r>
      <w:r w:rsidRPr="00880579">
        <w:rPr>
          <w:rFonts w:ascii="Calibri" w:eastAsia="Times New Roman" w:hAnsi="Calibri" w:cs="Calibri"/>
          <w:color w:val="000000"/>
          <w:kern w:val="0"/>
          <w:sz w:val="27"/>
          <w:szCs w:val="27"/>
          <w:lang w:eastAsia="pt-BR"/>
          <w14:ligatures w14:val="none"/>
        </w:rPr>
        <w:lastRenderedPageBreak/>
        <w:t>ele ofertado e registrado pelo sistema, sendo tais lances definidos como “lances intermediários” para os fins deste Aviso de Contratação Direta.</w:t>
      </w:r>
    </w:p>
    <w:p w14:paraId="5E88A27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intervalo mínimo de diferença de valores ou percentuais entre os lances, que incidirá tanto em relação aos lances intermediários quanto em relação ao que cobrir a melhor oferta é de</w:t>
      </w:r>
      <w:r w:rsidRPr="00880579">
        <w:rPr>
          <w:rFonts w:ascii="Calibri" w:eastAsia="Times New Roman" w:hAnsi="Calibri" w:cs="Calibri"/>
          <w:i/>
          <w:iCs/>
          <w:color w:val="000000"/>
          <w:kern w:val="0"/>
          <w:sz w:val="27"/>
          <w:szCs w:val="27"/>
          <w:lang w:eastAsia="pt-BR"/>
          <w14:ligatures w14:val="none"/>
        </w:rPr>
        <w:t> 0,5%.</w:t>
      </w:r>
    </w:p>
    <w:p w14:paraId="3ACE3D0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lances iguais ao menor já ofertado, prevalecerá aquele que for recebido e registrado primeiro no sistema.</w:t>
      </w:r>
    </w:p>
    <w:p w14:paraId="1508D2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não apresente lances, concorrerá com o valor de sua proposta.</w:t>
      </w:r>
    </w:p>
    <w:p w14:paraId="0E8303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Durante o procedimento, os fornecedores serão informados, em tempo real, do valor do menor lance registrado, vedada a identificação do fornecedor.</w:t>
      </w:r>
    </w:p>
    <w:p w14:paraId="53257F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Imediatamente após o término do prazo estabelecido para a fase de lances, haverá o seu encerramento, com o ordenamento e divulgação dos lances, pelo sistema, em ordem crescente de classificação.</w:t>
      </w:r>
    </w:p>
    <w:p w14:paraId="60AC38B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encerramento da fase de lances ocorrerá de forma automática pontualmente no horário indicado, sem qualquer possibilidade de prorrogação e não havendo tempo aleatório ou mecanismo similar.</w:t>
      </w:r>
    </w:p>
    <w:p w14:paraId="4A08D7F0"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050FE02"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JULGAMENTO DAS PROPOSTAS DE PREÇO</w:t>
      </w:r>
    </w:p>
    <w:p w14:paraId="4E2D7B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fase de lances, será verificada a conformidade da proposta classificada em primeiro lugar quanto à adequação do objeto e à compatibilidade do preço em relação ao estipulado para a contratação.</w:t>
      </w:r>
    </w:p>
    <w:p w14:paraId="41DB4F2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o preço da proposta vencedora estar acima do estimado pela Administração, poderá haver a negociação de condições mais vantajosas.</w:t>
      </w:r>
    </w:p>
    <w:p w14:paraId="157780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Neste caso, será encaminhada contraproposta ao fornecedor que tenha apresentado o melhor preço, para que seja obtida </w:t>
      </w:r>
      <w:proofErr w:type="gramStart"/>
      <w:r w:rsidRPr="00880579">
        <w:rPr>
          <w:rFonts w:ascii="Calibri" w:eastAsia="Times New Roman" w:hAnsi="Calibri" w:cs="Calibri"/>
          <w:color w:val="000000"/>
          <w:kern w:val="0"/>
          <w:sz w:val="27"/>
          <w:szCs w:val="27"/>
          <w:lang w:eastAsia="pt-BR"/>
          <w14:ligatures w14:val="none"/>
        </w:rPr>
        <w:t>melhor</w:t>
      </w:r>
      <w:proofErr w:type="gramEnd"/>
      <w:r w:rsidRPr="00880579">
        <w:rPr>
          <w:rFonts w:ascii="Calibri" w:eastAsia="Times New Roman" w:hAnsi="Calibri" w:cs="Calibri"/>
          <w:color w:val="000000"/>
          <w:kern w:val="0"/>
          <w:sz w:val="27"/>
          <w:szCs w:val="27"/>
          <w:lang w:eastAsia="pt-BR"/>
          <w14:ligatures w14:val="none"/>
        </w:rPr>
        <w:t xml:space="preserve"> proposta com preço compatível ao estimado pela Administração.</w:t>
      </w:r>
    </w:p>
    <w:p w14:paraId="2485B9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93C550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qualquer caso, concluída a negociação, o resultado será registrado na ata do procedimento da dispensa eletrônica.</w:t>
      </w:r>
    </w:p>
    <w:p w14:paraId="5A96E9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Estando o preço compatível, será solicitado o envio da proposta e, se necessário, de documentos complementares, adequada ao último lance.</w:t>
      </w:r>
    </w:p>
    <w:p w14:paraId="6A9BD08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u w:val="single"/>
          <w:lang w:eastAsia="pt-BR"/>
          <w14:ligatures w14:val="none"/>
        </w:rPr>
        <w:lastRenderedPageBreak/>
        <w:t>Enviar PROPOSTA COMERCIAL (incluindo a marca e referências ofertadas);</w:t>
      </w:r>
    </w:p>
    <w:p w14:paraId="769B8C4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de validade da proposta não será inferior a 60 (sessenta) dias</w:t>
      </w:r>
      <w:r w:rsidRPr="00880579">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color w:val="000000"/>
          <w:kern w:val="0"/>
          <w:sz w:val="27"/>
          <w:szCs w:val="27"/>
          <w:lang w:eastAsia="pt-BR"/>
          <w14:ligatures w14:val="none"/>
        </w:rPr>
        <w:t> a contar da data de sua apresentação.</w:t>
      </w:r>
    </w:p>
    <w:p w14:paraId="48626E3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desclassificada a proposta vencedora que:</w:t>
      </w:r>
    </w:p>
    <w:p w14:paraId="032A305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contiver vícios insanáveis;</w:t>
      </w:r>
    </w:p>
    <w:p w14:paraId="048D01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obedecer às especificações técnicas pormenorizadas neste aviso ou em seus anexos;</w:t>
      </w:r>
    </w:p>
    <w:p w14:paraId="3075BBF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preços inexequíveis ou permanecerem acima do preço máximo definido para a contratação;</w:t>
      </w:r>
    </w:p>
    <w:p w14:paraId="2FB890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tiverem sua exequibilidade demonstrada, quando exigido pela Administração;</w:t>
      </w:r>
    </w:p>
    <w:p w14:paraId="56855AB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desconformidade com quaisquer outras exigências deste aviso ou seus anexos, desde que insanável.</w:t>
      </w:r>
    </w:p>
    <w:p w14:paraId="54F5F42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Quando o fornecedor não conseguir comprovar que possui ou possuirá recursos suficientes para executar a contento o objeto, será considerada inexequível a proposta de preços ou menor lance que:</w:t>
      </w:r>
    </w:p>
    <w:p w14:paraId="7AA4AA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31AA6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houver indícios de inexequibilidade da proposta de preço, ou em caso da necessidade de esclarecimentos complementares, poderão ser efetuadas diligências, para que a empresa comprove a exequibilidade da proposta. </w:t>
      </w:r>
    </w:p>
    <w:p w14:paraId="7E628D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Erros no preenchimento da proposta </w:t>
      </w:r>
      <w:proofErr w:type="spellStart"/>
      <w:r w:rsidRPr="00880579">
        <w:rPr>
          <w:rFonts w:ascii="Calibri" w:eastAsia="Times New Roman" w:hAnsi="Calibri" w:cs="Calibri"/>
          <w:color w:val="000000"/>
          <w:kern w:val="0"/>
          <w:sz w:val="27"/>
          <w:szCs w:val="27"/>
          <w:lang w:eastAsia="pt-BR"/>
          <w14:ligatures w14:val="none"/>
        </w:rPr>
        <w:t>não</w:t>
      </w:r>
      <w:proofErr w:type="spellEnd"/>
      <w:r w:rsidRPr="00880579">
        <w:rPr>
          <w:rFonts w:ascii="Calibri" w:eastAsia="Times New Roman" w:hAnsi="Calibri" w:cs="Calibri"/>
          <w:color w:val="000000"/>
          <w:kern w:val="0"/>
          <w:sz w:val="27"/>
          <w:szCs w:val="27"/>
          <w:lang w:eastAsia="pt-BR"/>
          <w14:ligatures w14:val="none"/>
        </w:rPr>
        <w:t xml:space="preserve"> constituem motivo para a </w:t>
      </w:r>
      <w:proofErr w:type="spellStart"/>
      <w:r w:rsidRPr="00880579">
        <w:rPr>
          <w:rFonts w:ascii="Calibri" w:eastAsia="Times New Roman" w:hAnsi="Calibri" w:cs="Calibri"/>
          <w:color w:val="000000"/>
          <w:kern w:val="0"/>
          <w:sz w:val="27"/>
          <w:szCs w:val="27"/>
          <w:lang w:eastAsia="pt-BR"/>
          <w14:ligatures w14:val="none"/>
        </w:rPr>
        <w:t>desclassificação</w:t>
      </w:r>
      <w:proofErr w:type="spellEnd"/>
      <w:r w:rsidRPr="00880579">
        <w:rPr>
          <w:rFonts w:ascii="Calibri" w:eastAsia="Times New Roman" w:hAnsi="Calibri" w:cs="Calibri"/>
          <w:color w:val="000000"/>
          <w:kern w:val="0"/>
          <w:sz w:val="27"/>
          <w:szCs w:val="27"/>
          <w:lang w:eastAsia="pt-BR"/>
          <w14:ligatures w14:val="none"/>
        </w:rPr>
        <w:t xml:space="preserve"> da proposta. A proposta </w:t>
      </w:r>
      <w:proofErr w:type="spellStart"/>
      <w:r w:rsidRPr="00880579">
        <w:rPr>
          <w:rFonts w:ascii="Calibri" w:eastAsia="Times New Roman" w:hAnsi="Calibri" w:cs="Calibri"/>
          <w:color w:val="000000"/>
          <w:kern w:val="0"/>
          <w:sz w:val="27"/>
          <w:szCs w:val="27"/>
          <w:lang w:eastAsia="pt-BR"/>
          <w14:ligatures w14:val="none"/>
        </w:rPr>
        <w:t>podera</w:t>
      </w:r>
      <w:proofErr w:type="spellEnd"/>
      <w:r w:rsidRPr="00880579">
        <w:rPr>
          <w:rFonts w:ascii="Calibri" w:eastAsia="Times New Roman" w:hAnsi="Calibri" w:cs="Calibri"/>
          <w:color w:val="000000"/>
          <w:kern w:val="0"/>
          <w:sz w:val="27"/>
          <w:szCs w:val="27"/>
          <w:lang w:eastAsia="pt-BR"/>
          <w14:ligatures w14:val="none"/>
        </w:rPr>
        <w:t>́ ser ajustada pelo fornecedor, no prazo indicado pelo sistema, desde que não haja majoração do preço.</w:t>
      </w:r>
    </w:p>
    <w:p w14:paraId="25CB0E6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ajuste de que trata este dispositivo se limita a sanar erros ou falhas que não alterem a substância das propostas;</w:t>
      </w:r>
    </w:p>
    <w:p w14:paraId="79F58D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fins de análise da proposta quanto ao cumprimento das especificações do objeto, poderá ser colhida a manifestação escrita do setor requisitante do serviço ou da área especializada no objeto.</w:t>
      </w:r>
    </w:p>
    <w:p w14:paraId="5C542E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Se a proposta ou lance vencedor for desclassificado, será examinada a proposta ou lance subsequente, e, assim sucessivamente, na ordem de classificação.</w:t>
      </w:r>
    </w:p>
    <w:p w14:paraId="247C282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a sessão será suspensa, informando-se no “chat” a nova data e horário para a sua continuidade.</w:t>
      </w:r>
    </w:p>
    <w:p w14:paraId="4A1C1AC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análise quanto à aceitação da proposta, se iniciará a fase de habilitação, observado o disposto neste Aviso de Contratação Direta. </w:t>
      </w:r>
    </w:p>
    <w:p w14:paraId="333D401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FD11B8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HABILITAÇÃO</w:t>
      </w:r>
    </w:p>
    <w:p w14:paraId="241A147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documentos a serem exigidos para fins de habilitação constam do </w:t>
      </w:r>
      <w:r w:rsidRPr="00880579">
        <w:rPr>
          <w:rFonts w:ascii="Calibri" w:eastAsia="Times New Roman" w:hAnsi="Calibri" w:cs="Calibri"/>
          <w:b/>
          <w:bCs/>
          <w:color w:val="000000"/>
          <w:kern w:val="0"/>
          <w:sz w:val="27"/>
          <w:szCs w:val="27"/>
          <w:lang w:eastAsia="pt-BR"/>
          <w14:ligatures w14:val="none"/>
        </w:rPr>
        <w:t>ANEXO I – DOCUMENTAÇÃO EXIGIDA PARA HABILITAÇÃO </w:t>
      </w:r>
      <w:r w:rsidRPr="00880579">
        <w:rPr>
          <w:rFonts w:ascii="Calibri" w:eastAsia="Times New Roman" w:hAnsi="Calibri" w:cs="Calibri"/>
          <w:color w:val="000000"/>
          <w:kern w:val="0"/>
          <w:sz w:val="27"/>
          <w:szCs w:val="27"/>
          <w:lang w:eastAsia="pt-BR"/>
          <w14:ligatures w14:val="none"/>
        </w:rPr>
        <w:t>deste aviso e serão solicitados do fornecedor mais bem classificado da fase de lances.</w:t>
      </w:r>
    </w:p>
    <w:p w14:paraId="178ED2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D405C7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SICAF;</w:t>
      </w:r>
    </w:p>
    <w:p w14:paraId="09284269"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Empresas Inidôneas e Suspensas - CEIS, mantido pela Controladoria-Geral da União (</w:t>
      </w:r>
      <w:hyperlink r:id="rId6" w:tgtFrame="_blank" w:history="1">
        <w:r w:rsidRPr="00880579">
          <w:rPr>
            <w:rFonts w:ascii="Calibri" w:eastAsia="Times New Roman" w:hAnsi="Calibri" w:cs="Calibri"/>
            <w:color w:val="0000FF"/>
            <w:kern w:val="0"/>
            <w:sz w:val="27"/>
            <w:szCs w:val="27"/>
            <w:u w:val="single"/>
            <w:lang w:eastAsia="pt-BR"/>
            <w14:ligatures w14:val="none"/>
          </w:rPr>
          <w:t>www.portaldatransparencia.gov.br/ceis</w:t>
        </w:r>
      </w:hyperlink>
      <w:r w:rsidRPr="00880579">
        <w:rPr>
          <w:rFonts w:ascii="Calibri" w:eastAsia="Times New Roman" w:hAnsi="Calibri" w:cs="Calibri"/>
          <w:color w:val="000000"/>
          <w:kern w:val="0"/>
          <w:sz w:val="27"/>
          <w:szCs w:val="27"/>
          <w:lang w:eastAsia="pt-BR"/>
          <w14:ligatures w14:val="none"/>
        </w:rPr>
        <w:t>); </w:t>
      </w:r>
    </w:p>
    <w:p w14:paraId="68886F5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Condenações Cíveis por Atos de Improbidade Administrativa, mantido pelo Conselho Nacional de Justiça (</w:t>
      </w:r>
      <w:hyperlink r:id="rId7" w:tgtFrame="_blank" w:history="1">
        <w:r w:rsidRPr="00880579">
          <w:rPr>
            <w:rFonts w:ascii="Calibri" w:eastAsia="Times New Roman" w:hAnsi="Calibri" w:cs="Calibri"/>
            <w:color w:val="0000FF"/>
            <w:kern w:val="0"/>
            <w:sz w:val="27"/>
            <w:szCs w:val="27"/>
            <w:u w:val="single"/>
            <w:lang w:eastAsia="pt-BR"/>
            <w14:ligatures w14:val="none"/>
          </w:rPr>
          <w:t>www.cnj.jus.br/improbidade_adm/consultar_requerido.php</w:t>
        </w:r>
      </w:hyperlink>
      <w:r w:rsidRPr="00880579">
        <w:rPr>
          <w:rFonts w:ascii="Calibri" w:eastAsia="Times New Roman" w:hAnsi="Calibri" w:cs="Calibri"/>
          <w:color w:val="000000"/>
          <w:kern w:val="0"/>
          <w:sz w:val="27"/>
          <w:szCs w:val="27"/>
          <w:lang w:eastAsia="pt-BR"/>
          <w14:ligatures w14:val="none"/>
        </w:rPr>
        <w:t>). </w:t>
      </w:r>
    </w:p>
    <w:p w14:paraId="5523409B"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Lista de Inidôneos mantida pelo Tribunal de Contas da União - TCU;</w:t>
      </w:r>
    </w:p>
    <w:p w14:paraId="44724D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a consulta de fornecedores pessoa jurídica poderá haver a substituição das consultas das alíneas “b”, “c” e “d” acima pela Consulta Consolidada de Pessoa Jurídica do TCU (https://certidoesapf.apps.tcu.gov.br/).</w:t>
      </w:r>
    </w:p>
    <w:p w14:paraId="7010531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consulta aos cadastros será realizada em nome da empresa fornecedora </w:t>
      </w:r>
      <w:proofErr w:type="gramStart"/>
      <w:r w:rsidRPr="00880579">
        <w:rPr>
          <w:rFonts w:ascii="Calibri" w:eastAsia="Times New Roman" w:hAnsi="Calibri" w:cs="Calibri"/>
          <w:color w:val="000000"/>
          <w:kern w:val="0"/>
          <w:sz w:val="27"/>
          <w:szCs w:val="27"/>
          <w:lang w:eastAsia="pt-BR"/>
          <w14:ligatures w14:val="none"/>
        </w:rPr>
        <w:t>e também</w:t>
      </w:r>
      <w:proofErr w:type="gramEnd"/>
      <w:r w:rsidRPr="00880579">
        <w:rPr>
          <w:rFonts w:ascii="Calibri" w:eastAsia="Times New Roman" w:hAnsi="Calibri" w:cs="Calibri"/>
          <w:color w:val="000000"/>
          <w:kern w:val="0"/>
          <w:sz w:val="27"/>
          <w:szCs w:val="27"/>
          <w:lang w:eastAsia="pt-BR"/>
          <w14:ligatures w14:val="none"/>
        </w:rPr>
        <w:t xml:space="preserve"> de seu sócio majoritário, por força do artigo 12 da Lei n° 8.429, de 1992, que prevê, dentre as sanções impostas ao responsável pela prática de ato de improbidade administrativa, a proibição de contratar com o Poder </w:t>
      </w:r>
      <w:r w:rsidRPr="00880579">
        <w:rPr>
          <w:rFonts w:ascii="Calibri" w:eastAsia="Times New Roman" w:hAnsi="Calibri" w:cs="Calibri"/>
          <w:color w:val="000000"/>
          <w:kern w:val="0"/>
          <w:sz w:val="27"/>
          <w:szCs w:val="27"/>
          <w:lang w:eastAsia="pt-BR"/>
          <w14:ligatures w14:val="none"/>
        </w:rPr>
        <w:lastRenderedPageBreak/>
        <w:t>Público, inclusive por intermédio de pessoa jurídica da qual seja sócio majoritário.</w:t>
      </w:r>
    </w:p>
    <w:p w14:paraId="3D5172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conste na Consulta de Situação do Fornecedor a existência de Ocorrências Impeditivas Indiretas, o gestor diligenciará para verificar se houve fraude por parte das empresas apontadas no Relatório de Ocorrências Impeditivas Indiretas.</w:t>
      </w:r>
    </w:p>
    <w:p w14:paraId="78A45E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tentativa de burla será verificada por meio dos vínculos societários, linhas de fornecimento similares, dentre outros.</w:t>
      </w:r>
    </w:p>
    <w:p w14:paraId="54BD74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será convocado para manifestação previamente à sua desclassificação</w:t>
      </w:r>
    </w:p>
    <w:p w14:paraId="0326A8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Constatada a existência de sanção, o fornecedor será reputado inabilitado, por falta de condição de participação.</w:t>
      </w:r>
    </w:p>
    <w:p w14:paraId="7D20A1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atendidas as condições de participação, a habilitação dos fornecedores será verificada por meio do SICAF, nos documentos por ele abrangidos.</w:t>
      </w:r>
    </w:p>
    <w:p w14:paraId="67F3AE9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É dever do fornecedor atualizar previamente as comprovações constantes do SICAF para que estejam vigentes na data da abertura da sessão pública, ou encaminhar, quando solicitado, a respectiva documentação atualizada.</w:t>
      </w:r>
    </w:p>
    <w:p w14:paraId="0A7DF0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descumprimento do subitem acima implicará a inabilitação do fornecedor, exceto se a consulta aos sítios eletrônicos oficiais emissores de certidões lograr êxito em encontrar a(s) certidão(</w:t>
      </w:r>
      <w:proofErr w:type="spellStart"/>
      <w:r w:rsidRPr="00880579">
        <w:rPr>
          <w:rFonts w:ascii="Calibri" w:eastAsia="Times New Roman" w:hAnsi="Calibri" w:cs="Calibri"/>
          <w:color w:val="000000"/>
          <w:kern w:val="0"/>
          <w:sz w:val="27"/>
          <w:szCs w:val="27"/>
          <w:lang w:eastAsia="pt-BR"/>
          <w14:ligatures w14:val="none"/>
        </w:rPr>
        <w:t>ões</w:t>
      </w:r>
      <w:proofErr w:type="spellEnd"/>
      <w:r w:rsidRPr="00880579">
        <w:rPr>
          <w:rFonts w:ascii="Calibri" w:eastAsia="Times New Roman" w:hAnsi="Calibri" w:cs="Calibri"/>
          <w:color w:val="000000"/>
          <w:kern w:val="0"/>
          <w:sz w:val="27"/>
          <w:szCs w:val="27"/>
          <w:lang w:eastAsia="pt-BR"/>
          <w14:ligatures w14:val="none"/>
        </w:rPr>
        <w:t>) válida(s).</w:t>
      </w:r>
    </w:p>
    <w:p w14:paraId="1C8CFFA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837C50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Somente haverá a necessidade de comprovação do preenchimento de requisitos mediante apresentação dos documentos originais </w:t>
      </w:r>
      <w:proofErr w:type="spellStart"/>
      <w:r w:rsidRPr="00880579">
        <w:rPr>
          <w:rFonts w:ascii="Calibri" w:eastAsia="Times New Roman" w:hAnsi="Calibri" w:cs="Calibri"/>
          <w:color w:val="000000"/>
          <w:kern w:val="0"/>
          <w:sz w:val="27"/>
          <w:szCs w:val="27"/>
          <w:lang w:eastAsia="pt-BR"/>
          <w14:ligatures w14:val="none"/>
        </w:rPr>
        <w:t>não-digitais</w:t>
      </w:r>
      <w:proofErr w:type="spellEnd"/>
      <w:r w:rsidRPr="00880579">
        <w:rPr>
          <w:rFonts w:ascii="Calibri" w:eastAsia="Times New Roman" w:hAnsi="Calibri" w:cs="Calibri"/>
          <w:color w:val="000000"/>
          <w:kern w:val="0"/>
          <w:sz w:val="27"/>
          <w:szCs w:val="27"/>
          <w:lang w:eastAsia="pt-BR"/>
          <w14:ligatures w14:val="none"/>
        </w:rPr>
        <w:t xml:space="preserve"> quando houver dúvida em relação à integridade do documento digital.</w:t>
      </w:r>
    </w:p>
    <w:p w14:paraId="3E8EEC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1951E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de analisar minuciosamente os documentos exigidos, a sessão será suspensa, sendo informada a nova data e horário para a sua continuidade.</w:t>
      </w:r>
    </w:p>
    <w:p w14:paraId="4266F9B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Será inabilitado o fornecedor que não comprovar sua habilitação, seja por não apresentar quaisquer dos documentos exigidos, ou apresentá-los em desacordo com o estabelecido neste Aviso de Contratação Direta.</w:t>
      </w:r>
    </w:p>
    <w:p w14:paraId="03866DD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730D02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Constatado o atendimento às exigências de habilitação, o fornecedor será habilitado.</w:t>
      </w:r>
    </w:p>
    <w:p w14:paraId="06AF775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481028B"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CONTRATAÇÃO</w:t>
      </w:r>
    </w:p>
    <w:p w14:paraId="344B571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Após a homologação e adjudicação, caso se conclua pela contratação, será emitida a nota de empenho e a ordem de fornecimento.</w:t>
      </w:r>
    </w:p>
    <w:p w14:paraId="49595AA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3F7D38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previsto para aceitação da nota de empenho e da ordem de fornecimento poderá ser prorrogado pela Administração.</w:t>
      </w:r>
    </w:p>
    <w:p w14:paraId="557B66A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Aceite da Nota de Empenho ou do instrumento equivalente, emitida à empresa adjudicada, implica no reconhecimento de que:</w:t>
      </w:r>
    </w:p>
    <w:p w14:paraId="7A1D98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referida Nota está substituindo o contrato, aplicando-se à relação de negócios ali estabelecida as disposições da Lei nº 14.133, de 2021;</w:t>
      </w:r>
    </w:p>
    <w:p w14:paraId="5C5E98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se vincula à sua proposta e às previsões contidas no Aviso de Contratação Direta e seus anexos;</w:t>
      </w:r>
    </w:p>
    <w:p w14:paraId="33FF751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reconhece que as hipóteses de rescisão são aquelas previstas nos artigos 137 e 138 da Lei nº 14.133/21 e reconhece os direitos da Administração previstos nos artigos 137 a 139 da mesma Lei.</w:t>
      </w:r>
    </w:p>
    <w:p w14:paraId="6A3CEA2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emissão da nota de empenho será exigida a comprovação das condições de habilitação e contratação consignadas neste aviso, que deverão ser mantidas pelo fornecedor durante a vigência do contrato.</w:t>
      </w:r>
    </w:p>
    <w:p w14:paraId="3DEF7D03"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79BA15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SANÇÕES</w:t>
      </w:r>
    </w:p>
    <w:p w14:paraId="1888C0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Comete infração administrativa o fornecedor que cometer quaisquer das infrações previstas no art. 155 da Lei nº 14.133, de 2021, quais sejam:</w:t>
      </w:r>
    </w:p>
    <w:p w14:paraId="51555AC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dar causa à inexecução parcial do contrato;</w:t>
      </w:r>
    </w:p>
    <w:p w14:paraId="5289917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 que cause grave dano à Administração, ao funcionamento dos serviços públicos ou ao interesse coletivo;</w:t>
      </w:r>
    </w:p>
    <w:p w14:paraId="029F3D8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total do contrato;</w:t>
      </w:r>
    </w:p>
    <w:p w14:paraId="32084B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deixar de entregar a documentação exigida para o certame;</w:t>
      </w:r>
    </w:p>
    <w:p w14:paraId="0334C20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manter a proposta, salvo em decorrência de fato superveniente devidamente justificado;</w:t>
      </w:r>
    </w:p>
    <w:p w14:paraId="1A03E1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celebrar o contrato ou não entregar a documentação exigida para a contratação, quando convocado dentro do prazo de validade de sua proposta;</w:t>
      </w:r>
    </w:p>
    <w:p w14:paraId="21DE9D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ensejar o retardamento da execução ou da entrega do objeto da licitação sem motivo justificado;</w:t>
      </w:r>
    </w:p>
    <w:p w14:paraId="7439E6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declaração ou documentação falsa exigida para o certame ou prestar declaração falsa durante a dispensa eletrônica ou a execução do contrato;</w:t>
      </w:r>
    </w:p>
    <w:p w14:paraId="6C4FDD4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fraudar a dispensa eletrônica ou praticar ato fraudulento na execução do contrato;</w:t>
      </w:r>
    </w:p>
    <w:p w14:paraId="4EEA113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comportar-se de modo inidôneo ou cometer fraude de qualquer natureza;</w:t>
      </w:r>
    </w:p>
    <w:p w14:paraId="04A34C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A7F1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atos ilícitos com vistas a frustrar os objetivos deste certame.</w:t>
      </w:r>
    </w:p>
    <w:p w14:paraId="50EA554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 lesivo previsto no </w:t>
      </w:r>
      <w:hyperlink r:id="rId8" w:anchor="art5" w:tgtFrame="_blank" w:history="1">
        <w:r w:rsidRPr="00880579">
          <w:rPr>
            <w:rFonts w:ascii="Calibri" w:eastAsia="Times New Roman" w:hAnsi="Calibri" w:cs="Calibri"/>
            <w:color w:val="0000FF"/>
            <w:kern w:val="0"/>
            <w:sz w:val="27"/>
            <w:szCs w:val="27"/>
            <w:u w:val="single"/>
            <w:lang w:eastAsia="pt-BR"/>
            <w14:ligatures w14:val="none"/>
          </w:rPr>
          <w:t>art. 5º da Lei nº 12.846, de 1º de agosto de 2013.</w:t>
        </w:r>
      </w:hyperlink>
    </w:p>
    <w:p w14:paraId="48D5B72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que cometer qualquer das infrações discriminadas nos subitens anteriores ficará sujeito, sem prejuízo da responsabilidade civil e criminal, às seguintes sanções:</w:t>
      </w:r>
    </w:p>
    <w:p w14:paraId="49E0BF9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Advertência pela falta do subitem 8.1.1 deste Aviso de Contratação Direta, quando não se justificar a imposição de penalidade mais grave;</w:t>
      </w:r>
    </w:p>
    <w:p w14:paraId="4E21FA7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Multa de 5% (cinco por cento) sobre o valor estimado do(s) item(s) prejudicado(s) pela conduta do fornecedor, por qualquer das infrações dos subitens 8.1.1 a 8.1.12;</w:t>
      </w:r>
    </w:p>
    <w:p w14:paraId="08916F96"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4E72794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8A269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aplicação das sanções serão considerados:</w:t>
      </w:r>
    </w:p>
    <w:p w14:paraId="29A64CD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natureza e a gravidade da infração cometida;</w:t>
      </w:r>
    </w:p>
    <w:p w14:paraId="6BDF3B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peculiaridades do caso concreto;</w:t>
      </w:r>
    </w:p>
    <w:p w14:paraId="6DFCBA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circunstâncias agravantes ou atenuantes;</w:t>
      </w:r>
    </w:p>
    <w:p w14:paraId="137E8F3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danos que dela provierem para a Administração Pública;</w:t>
      </w:r>
    </w:p>
    <w:p w14:paraId="7949D0A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implantação ou o aperfeiçoamento de programa de integridade, conforme normas e orientações dos órgãos de controle.</w:t>
      </w:r>
    </w:p>
    <w:p w14:paraId="1FD596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1" w:name="art156§6"/>
      <w:bookmarkStart w:id="2" w:name="art156§7"/>
      <w:bookmarkStart w:id="3" w:name="art156§8"/>
      <w:bookmarkEnd w:id="1"/>
      <w:bookmarkEnd w:id="2"/>
      <w:bookmarkEnd w:id="3"/>
      <w:r w:rsidRPr="00880579">
        <w:rPr>
          <w:rFonts w:ascii="Calibri" w:eastAsia="Times New Roman" w:hAnsi="Calibri" w:cs="Calibri"/>
          <w:color w:val="000000"/>
          <w:kern w:val="0"/>
          <w:sz w:val="27"/>
          <w:szCs w:val="27"/>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FD15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4" w:name="art156§9"/>
      <w:bookmarkEnd w:id="4"/>
      <w:r w:rsidRPr="00880579">
        <w:rPr>
          <w:rFonts w:ascii="Calibri" w:eastAsia="Times New Roman" w:hAnsi="Calibri" w:cs="Calibri"/>
          <w:color w:val="000000"/>
          <w:kern w:val="0"/>
          <w:sz w:val="27"/>
          <w:szCs w:val="27"/>
          <w:lang w:eastAsia="pt-BR"/>
          <w14:ligatures w14:val="none"/>
        </w:rPr>
        <w:t>A aplicação das sanções previstas neste Aviso de Contratação Direta, em hipótese alguma, a obrigação de reparação integral do dano causado à Administração Pública.</w:t>
      </w:r>
    </w:p>
    <w:p w14:paraId="0B2558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penalidade de multa pode ser aplicada cumulativamente com as demais sanções.</w:t>
      </w:r>
    </w:p>
    <w:p w14:paraId="32CA74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3CAD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18FD4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4B8A97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B490D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sanções por atos praticados no decorrer da contratação estão previstas nos anexos a este Aviso.</w:t>
      </w:r>
    </w:p>
    <w:p w14:paraId="7C874E2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6DCDBCC7"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DAS DISPOSIÇÕES GERAIS</w:t>
      </w:r>
    </w:p>
    <w:p w14:paraId="08D008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procedimento será divulgado no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e no Portal Nacional de Contratações Públicas - PNCP, e encaminhado automaticamente aos fornecedores registrados no Sistema de Registro Cadastral Unificado - </w:t>
      </w:r>
      <w:proofErr w:type="spellStart"/>
      <w:r w:rsidRPr="00880579">
        <w:rPr>
          <w:rFonts w:ascii="Calibri" w:eastAsia="Times New Roman" w:hAnsi="Calibri" w:cs="Calibri"/>
          <w:color w:val="000000"/>
          <w:kern w:val="0"/>
          <w:sz w:val="27"/>
          <w:szCs w:val="27"/>
          <w:lang w:eastAsia="pt-BR"/>
          <w14:ligatures w14:val="none"/>
        </w:rPr>
        <w:t>Sicaf</w:t>
      </w:r>
      <w:proofErr w:type="spellEnd"/>
      <w:r w:rsidRPr="00880579">
        <w:rPr>
          <w:rFonts w:ascii="Calibri" w:eastAsia="Times New Roman" w:hAnsi="Calibri" w:cs="Calibri"/>
          <w:color w:val="000000"/>
          <w:kern w:val="0"/>
          <w:sz w:val="27"/>
          <w:szCs w:val="27"/>
          <w:lang w:eastAsia="pt-BR"/>
          <w14:ligatures w14:val="none"/>
        </w:rPr>
        <w:t>, por mensagem eletrônica, na correspondente linha de fornecimento que pretende atender.</w:t>
      </w:r>
    </w:p>
    <w:p w14:paraId="2FDBE6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todos os fornecedores restarem desclassificados ou inabilitados (procedimento fracassado), a Administração poderá:</w:t>
      </w:r>
    </w:p>
    <w:p w14:paraId="2219B1D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republicar o presente aviso com uma nova data;</w:t>
      </w:r>
    </w:p>
    <w:p w14:paraId="4EC7B9F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valer-se, para a contratação, de proposta obtida na pesquisa de preços que serviu de base ao procedimento, se houver, privilegiando-se os menores preços, sempre que possível, e desde que atendidas às condições de habilitação exigidas.</w:t>
      </w:r>
    </w:p>
    <w:p w14:paraId="5F35985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do subitem anterior, a contratação será operacionalizada fora deste procedimento.</w:t>
      </w:r>
    </w:p>
    <w:p w14:paraId="2622EF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fixar prazo para que possa haver adequação das propostas ou da documentação de habilitação, conforme o caso.</w:t>
      </w:r>
    </w:p>
    <w:p w14:paraId="255047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providências dos subitens 9.2.1 e 9.2.2 acima poderão ser utilizadas se não houver o comparecimento de quaisquer fornecedores interessados (procedimento deserto)</w:t>
      </w:r>
    </w:p>
    <w:p w14:paraId="13E0ADB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2D76131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Caberá ao fornecedor acompanhar as operações, ficando responsável pelo ônus decorrente da perda do negócio diante da inobservância de quaisquer mensagens emitidas pela Administração ou de sua desconexão.</w:t>
      </w:r>
    </w:p>
    <w:p w14:paraId="25C619C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D73C9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horários estabelecidos na divulgação deste procedimento e durante o envio de lances observarão o horário de Brasília-DF, inclusive para contagem de tempo e registro no Sistema e na documentação relativa ao procedimento.</w:t>
      </w:r>
    </w:p>
    <w:p w14:paraId="4B3C0BC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9D91F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CF65A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assumem todos os custos de preparação e apresentação de suas propostas e a Administração não será, em nenhum caso, responsável por esses custos, independentemente da condução ou do resultado do processo de contratação.</w:t>
      </w:r>
    </w:p>
    <w:p w14:paraId="61FD6D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caso de divergência entre disposições deste Aviso de Contratação Direta e de seus anexos ou demais peças que compõem o processo, prevalecerá as deste Aviso.</w:t>
      </w:r>
    </w:p>
    <w:p w14:paraId="526663F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 sessão pública será divulgada Ata no sistema eletrônico.</w:t>
      </w:r>
    </w:p>
    <w:p w14:paraId="3D16B3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Integram este Aviso de Contratação Direta, para todos os fins e efeitos, os seguintes anexos:</w:t>
      </w:r>
    </w:p>
    <w:p w14:paraId="2AEA963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 – Documentação exigida para Habilitação</w:t>
      </w:r>
    </w:p>
    <w:p w14:paraId="0491FA7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II - Termo de Referência;</w:t>
      </w:r>
    </w:p>
    <w:p w14:paraId="6F41DD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lastRenderedPageBreak/>
        <w:t> </w:t>
      </w:r>
    </w:p>
    <w:p w14:paraId="4CD2BBEB" w14:textId="6ECA878A"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 xml:space="preserve">Recife </w:t>
      </w:r>
      <w:r w:rsidR="00983F70">
        <w:rPr>
          <w:rFonts w:ascii="Calibri" w:eastAsia="Times New Roman" w:hAnsi="Calibri" w:cs="Calibri"/>
          <w:color w:val="000000"/>
          <w:kern w:val="0"/>
          <w:sz w:val="27"/>
          <w:szCs w:val="27"/>
          <w:lang w:eastAsia="pt-BR"/>
          <w14:ligatures w14:val="none"/>
        </w:rPr>
        <w:t>28</w:t>
      </w:r>
      <w:r>
        <w:rPr>
          <w:rFonts w:ascii="Calibri" w:eastAsia="Times New Roman" w:hAnsi="Calibri" w:cs="Calibri"/>
          <w:color w:val="000000"/>
          <w:kern w:val="0"/>
          <w:sz w:val="27"/>
          <w:szCs w:val="27"/>
          <w:lang w:eastAsia="pt-BR"/>
          <w14:ligatures w14:val="none"/>
        </w:rPr>
        <w:t xml:space="preserve"> de </w:t>
      </w:r>
      <w:proofErr w:type="gramStart"/>
      <w:r w:rsidR="00E83906">
        <w:rPr>
          <w:rFonts w:ascii="Calibri" w:eastAsia="Times New Roman" w:hAnsi="Calibri" w:cs="Calibri"/>
          <w:color w:val="000000"/>
          <w:kern w:val="0"/>
          <w:sz w:val="27"/>
          <w:szCs w:val="27"/>
          <w:lang w:eastAsia="pt-BR"/>
          <w14:ligatures w14:val="none"/>
        </w:rPr>
        <w:t>Julho</w:t>
      </w:r>
      <w:proofErr w:type="gramEnd"/>
      <w:r>
        <w:rPr>
          <w:rFonts w:ascii="Calibri" w:eastAsia="Times New Roman" w:hAnsi="Calibri" w:cs="Calibri"/>
          <w:color w:val="000000"/>
          <w:kern w:val="0"/>
          <w:sz w:val="27"/>
          <w:szCs w:val="27"/>
          <w:lang w:eastAsia="pt-BR"/>
          <w14:ligatures w14:val="none"/>
        </w:rPr>
        <w:t xml:space="preserve"> de </w:t>
      </w:r>
      <w:r w:rsidRPr="00880579">
        <w:rPr>
          <w:rFonts w:ascii="Calibri" w:eastAsia="Times New Roman" w:hAnsi="Calibri" w:cs="Calibri"/>
          <w:color w:val="000000"/>
          <w:kern w:val="0"/>
          <w:sz w:val="27"/>
          <w:szCs w:val="27"/>
          <w:lang w:eastAsia="pt-BR"/>
          <w14:ligatures w14:val="none"/>
        </w:rPr>
        <w:t>2023.</w:t>
      </w:r>
    </w:p>
    <w:p w14:paraId="4B7FF9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0780F5B5" w14:textId="19C32401" w:rsidR="00880579" w:rsidRDefault="00E83906"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Diogo Girão</w:t>
      </w:r>
    </w:p>
    <w:p w14:paraId="0812D71F" w14:textId="7700304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Compras FIOCRUZ IAM</w:t>
      </w:r>
    </w:p>
    <w:p w14:paraId="795EDFC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7BB5930" w14:textId="77777777"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ANEXO I – DOCUMENTAÇÃO EXIGIDA PARA HABILITAÇÃO</w:t>
      </w:r>
    </w:p>
    <w:p w14:paraId="7959715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75EB7F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Habilitação jurídica:</w:t>
      </w:r>
    </w:p>
    <w:p w14:paraId="07C4DED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empresário individual, inscrição no Registro Público de Empresas Mercantis, a cargo da Junta Comercial da respectiva sede;</w:t>
      </w:r>
    </w:p>
    <w:p w14:paraId="26A5C3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se tratando de Microempreendedor Individual – MEI: Certificado da Condição de Microempreendedor Individual - CCMEI, cuja aceitação ficará condicionada à verificação da autenticidade no sítio www.portaldoempreendedor.gov.br;</w:t>
      </w:r>
    </w:p>
    <w:p w14:paraId="4037FD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F02DB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inscrição no Registro Público de Empresas Mercantis onde opera, com averbação no Registro onde tem sede a matriz, no caso de ser o participante sucursal, filial ou agência;</w:t>
      </w:r>
    </w:p>
    <w:p w14:paraId="6BB341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simples: inscrição do ato constitutivo no Registro Civil das Pessoas Jurídicas do local de sua sede, acompanhada de prova da indicação dos seus administradores;</w:t>
      </w:r>
    </w:p>
    <w:p w14:paraId="56DE5BE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decreto de autorização, em se tratando de sociedade empresária estrangeira em funcionamento no País;</w:t>
      </w:r>
    </w:p>
    <w:p w14:paraId="2B77A6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832959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Regularidade fiscal, social e trabalhista:</w:t>
      </w:r>
    </w:p>
    <w:p w14:paraId="37A254C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Nacional de Pessoas Jurídicas ou no Cadastro de Pessoas Físicas, conforme o caso;</w:t>
      </w:r>
    </w:p>
    <w:p w14:paraId="699ACDE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2D9E39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o Fundo de Garantia do Tempo de Serviço (FGTS);</w:t>
      </w:r>
    </w:p>
    <w:p w14:paraId="2BFC2AE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07029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de contribuintes </w:t>
      </w:r>
      <w:r w:rsidRPr="00880579">
        <w:rPr>
          <w:rFonts w:ascii="Calibri" w:eastAsia="Times New Roman" w:hAnsi="Calibri" w:cs="Calibri"/>
          <w:i/>
          <w:iCs/>
          <w:color w:val="000000"/>
          <w:kern w:val="0"/>
          <w:sz w:val="27"/>
          <w:szCs w:val="27"/>
          <w:lang w:eastAsia="pt-BR"/>
          <w14:ligatures w14:val="none"/>
        </w:rPr>
        <w:t>estadual</w:t>
      </w:r>
      <w:r w:rsidRPr="00880579">
        <w:rPr>
          <w:rFonts w:ascii="Calibri" w:eastAsia="Times New Roman" w:hAnsi="Calibri" w:cs="Calibri"/>
          <w:color w:val="000000"/>
          <w:kern w:val="0"/>
          <w:sz w:val="27"/>
          <w:szCs w:val="27"/>
          <w:lang w:eastAsia="pt-BR"/>
          <w14:ligatures w14:val="none"/>
        </w:rPr>
        <w:t>, relativo ao domicílio ou sede do fornecedor, pertinente ao seu ramo de atividade e compatível com o objeto contratual;</w:t>
      </w:r>
    </w:p>
    <w:p w14:paraId="1BFB1B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a Fazenda </w:t>
      </w:r>
      <w:r w:rsidRPr="00880579">
        <w:rPr>
          <w:rFonts w:ascii="Calibri" w:eastAsia="Times New Roman" w:hAnsi="Calibri" w:cs="Calibri"/>
          <w:i/>
          <w:iCs/>
          <w:color w:val="000000"/>
          <w:kern w:val="0"/>
          <w:sz w:val="27"/>
          <w:szCs w:val="27"/>
          <w:lang w:eastAsia="pt-BR"/>
          <w14:ligatures w14:val="none"/>
        </w:rPr>
        <w:t>Estadual </w:t>
      </w:r>
      <w:r w:rsidRPr="00880579">
        <w:rPr>
          <w:rFonts w:ascii="Calibri" w:eastAsia="Times New Roman" w:hAnsi="Calibri" w:cs="Calibri"/>
          <w:color w:val="000000"/>
          <w:kern w:val="0"/>
          <w:sz w:val="27"/>
          <w:szCs w:val="27"/>
          <w:lang w:eastAsia="pt-BR"/>
          <w14:ligatures w14:val="none"/>
        </w:rPr>
        <w:t>do domicílio ou sede do fornecedor, relativa à atividade em cujo exercício contrata ou concorre;</w:t>
      </w:r>
    </w:p>
    <w:p w14:paraId="0B58ADEC" w14:textId="77777777"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seja considerado isento dos tributos </w:t>
      </w:r>
      <w:proofErr w:type="gramStart"/>
      <w:r w:rsidRPr="00880579">
        <w:rPr>
          <w:rFonts w:ascii="Calibri" w:eastAsia="Times New Roman" w:hAnsi="Calibri" w:cs="Calibri"/>
          <w:i/>
          <w:iCs/>
          <w:color w:val="000000"/>
          <w:kern w:val="0"/>
          <w:sz w:val="27"/>
          <w:szCs w:val="27"/>
          <w:lang w:eastAsia="pt-BR"/>
          <w14:ligatures w14:val="none"/>
        </w:rPr>
        <w:t>estaduais </w:t>
      </w:r>
      <w:r w:rsidRPr="00880579">
        <w:rPr>
          <w:rFonts w:ascii="Calibri" w:eastAsia="Times New Roman" w:hAnsi="Calibri" w:cs="Calibri"/>
          <w:color w:val="000000"/>
          <w:kern w:val="0"/>
          <w:sz w:val="27"/>
          <w:szCs w:val="27"/>
          <w:lang w:eastAsia="pt-BR"/>
          <w14:ligatures w14:val="none"/>
        </w:rPr>
        <w:t> relacionados</w:t>
      </w:r>
      <w:proofErr w:type="gramEnd"/>
      <w:r w:rsidRPr="00880579">
        <w:rPr>
          <w:rFonts w:ascii="Calibri" w:eastAsia="Times New Roman" w:hAnsi="Calibri" w:cs="Calibri"/>
          <w:color w:val="000000"/>
          <w:kern w:val="0"/>
          <w:sz w:val="27"/>
          <w:szCs w:val="27"/>
          <w:lang w:eastAsia="pt-BR"/>
          <w14:ligatures w14:val="none"/>
        </w:rPr>
        <w:t xml:space="preserve"> ao objeto contratual, deverá comprovar tal condição mediante a apresentação de declaração da Fazenda respectiva do seu domicílio ou sede, ou outra equivalente, na forma da lei;</w:t>
      </w:r>
    </w:p>
    <w:p w14:paraId="6C7F1F82" w14:textId="77777777" w:rsidR="00983F70" w:rsidRDefault="00983F70"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6ED38243" w14:textId="77777777" w:rsidR="00983F70" w:rsidRDefault="00983F70"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061E84CC" w14:textId="77777777" w:rsidR="00983F70" w:rsidRPr="00880579" w:rsidRDefault="00983F70"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280BEBF" w14:textId="5291F503" w:rsidR="00880579" w:rsidRDefault="006D1B04" w:rsidP="00983F70">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lastRenderedPageBreak/>
        <w:t xml:space="preserve">                                </w:t>
      </w:r>
      <w:r w:rsidR="00880579" w:rsidRPr="00880579">
        <w:rPr>
          <w:rFonts w:ascii="Times New Roman" w:eastAsia="Times New Roman" w:hAnsi="Times New Roman" w:cs="Times New Roman"/>
          <w:color w:val="000000"/>
          <w:kern w:val="0"/>
          <w:sz w:val="27"/>
          <w:szCs w:val="27"/>
          <w:lang w:eastAsia="pt-BR"/>
          <w14:ligatures w14:val="none"/>
        </w:rPr>
        <w:t> </w:t>
      </w:r>
      <w:r w:rsidR="00983F70">
        <w:rPr>
          <w:noProof/>
        </w:rPr>
        <w:drawing>
          <wp:inline distT="0" distB="0" distL="0" distR="0" wp14:anchorId="44714A7B" wp14:editId="6B08FD07">
            <wp:extent cx="5400040" cy="2710815"/>
            <wp:effectExtent l="0" t="0" r="0" b="0"/>
            <wp:docPr id="1311909166" name="Imagem 1"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909166" name="Imagem 1" descr="Interface gráfica do usuário, Texto, Aplicativo, Email&#10;&#10;Descrição gerada automaticamente"/>
                    <pic:cNvPicPr/>
                  </pic:nvPicPr>
                  <pic:blipFill>
                    <a:blip r:embed="rId9"/>
                    <a:stretch>
                      <a:fillRect/>
                    </a:stretch>
                  </pic:blipFill>
                  <pic:spPr>
                    <a:xfrm>
                      <a:off x="0" y="0"/>
                      <a:ext cx="5400040" cy="2710815"/>
                    </a:xfrm>
                    <a:prstGeom prst="rect">
                      <a:avLst/>
                    </a:prstGeom>
                  </pic:spPr>
                </pic:pic>
              </a:graphicData>
            </a:graphic>
          </wp:inline>
        </w:drawing>
      </w:r>
    </w:p>
    <w:p w14:paraId="71235D53" w14:textId="1CD61CDB" w:rsidR="00983F70" w:rsidRDefault="00983F70" w:rsidP="00983F70">
      <w:pPr>
        <w:spacing w:before="100" w:beforeAutospacing="1" w:after="100" w:afterAutospacing="1" w:line="240" w:lineRule="auto"/>
        <w:rPr>
          <w:rFonts w:ascii="Calibri" w:eastAsia="Times New Roman" w:hAnsi="Calibri" w:cs="Calibri"/>
          <w:color w:val="000000"/>
          <w:kern w:val="0"/>
          <w:sz w:val="27"/>
          <w:szCs w:val="27"/>
          <w:lang w:eastAsia="pt-BR"/>
          <w14:ligatures w14:val="none"/>
        </w:rPr>
      </w:pPr>
      <w:r>
        <w:rPr>
          <w:noProof/>
        </w:rPr>
        <w:drawing>
          <wp:inline distT="0" distB="0" distL="0" distR="0" wp14:anchorId="5D1DCFC1" wp14:editId="33056356">
            <wp:extent cx="5400040" cy="2980055"/>
            <wp:effectExtent l="0" t="0" r="0" b="0"/>
            <wp:docPr id="2029924837" name="Imagem 1"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924837" name="Imagem 1" descr="Interface gráfica do usuário, Texto, Aplicativo, Email&#10;&#10;Descrição gerada automaticamente"/>
                    <pic:cNvPicPr/>
                  </pic:nvPicPr>
                  <pic:blipFill>
                    <a:blip r:embed="rId10"/>
                    <a:stretch>
                      <a:fillRect/>
                    </a:stretch>
                  </pic:blipFill>
                  <pic:spPr>
                    <a:xfrm>
                      <a:off x="0" y="0"/>
                      <a:ext cx="5400040" cy="2980055"/>
                    </a:xfrm>
                    <a:prstGeom prst="rect">
                      <a:avLst/>
                    </a:prstGeom>
                  </pic:spPr>
                </pic:pic>
              </a:graphicData>
            </a:graphic>
          </wp:inline>
        </w:drawing>
      </w:r>
    </w:p>
    <w:p w14:paraId="287C4153" w14:textId="711CDEA4" w:rsidR="00983F70" w:rsidRPr="00E83906" w:rsidRDefault="00983F70" w:rsidP="00983F70">
      <w:pPr>
        <w:spacing w:before="100" w:beforeAutospacing="1" w:after="100" w:afterAutospacing="1" w:line="240" w:lineRule="auto"/>
        <w:rPr>
          <w:rFonts w:ascii="Calibri" w:eastAsia="Times New Roman" w:hAnsi="Calibri" w:cs="Calibri"/>
          <w:color w:val="000000"/>
          <w:kern w:val="0"/>
          <w:sz w:val="27"/>
          <w:szCs w:val="27"/>
          <w:lang w:eastAsia="pt-BR"/>
          <w14:ligatures w14:val="none"/>
        </w:rPr>
      </w:pPr>
      <w:r>
        <w:rPr>
          <w:noProof/>
        </w:rPr>
        <w:lastRenderedPageBreak/>
        <w:drawing>
          <wp:inline distT="0" distB="0" distL="0" distR="0" wp14:anchorId="7B96362E" wp14:editId="07A34B5D">
            <wp:extent cx="5400040" cy="2945765"/>
            <wp:effectExtent l="0" t="0" r="0" b="6985"/>
            <wp:docPr id="678434750" name="Imagem 1"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434750" name="Imagem 1" descr="Interface gráfica do usuário, Texto, Aplicativo, Email&#10;&#10;Descrição gerada automaticamente"/>
                    <pic:cNvPicPr/>
                  </pic:nvPicPr>
                  <pic:blipFill>
                    <a:blip r:embed="rId11"/>
                    <a:stretch>
                      <a:fillRect/>
                    </a:stretch>
                  </pic:blipFill>
                  <pic:spPr>
                    <a:xfrm>
                      <a:off x="0" y="0"/>
                      <a:ext cx="5400040" cy="2945765"/>
                    </a:xfrm>
                    <a:prstGeom prst="rect">
                      <a:avLst/>
                    </a:prstGeom>
                  </pic:spPr>
                </pic:pic>
              </a:graphicData>
            </a:graphic>
          </wp:inline>
        </w:drawing>
      </w:r>
    </w:p>
    <w:sectPr w:rsidR="00983F70" w:rsidRPr="00E8390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79"/>
    <w:rsid w:val="000A21F3"/>
    <w:rsid w:val="001C3018"/>
    <w:rsid w:val="001C568A"/>
    <w:rsid w:val="003B5021"/>
    <w:rsid w:val="006D1B04"/>
    <w:rsid w:val="00762A3D"/>
    <w:rsid w:val="00880579"/>
    <w:rsid w:val="008C4B84"/>
    <w:rsid w:val="00983F70"/>
    <w:rsid w:val="00AE5CCA"/>
    <w:rsid w:val="00AE7F05"/>
    <w:rsid w:val="00D62840"/>
    <w:rsid w:val="00E16754"/>
    <w:rsid w:val="00E83906"/>
    <w:rsid w:val="00E93695"/>
    <w:rsid w:val="00FA5C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FDF15"/>
  <w15:chartTrackingRefBased/>
  <w15:docId w15:val="{2E90D87B-4412-41C3-82DD-45EB52C0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elatextoalinhadoesquerda">
    <w:name w:val="tabela_texto_alinhado_esquerda"/>
    <w:basedOn w:val="Normal"/>
    <w:rsid w:val="00E8390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E83906"/>
    <w:rPr>
      <w:b/>
      <w:bCs/>
    </w:rPr>
  </w:style>
  <w:style w:type="paragraph" w:styleId="NormalWeb">
    <w:name w:val="Normal (Web)"/>
    <w:basedOn w:val="Normal"/>
    <w:uiPriority w:val="99"/>
    <w:semiHidden/>
    <w:unhideWhenUsed/>
    <w:rsid w:val="00E8390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semiHidden/>
    <w:unhideWhenUsed/>
    <w:rsid w:val="00E839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270631">
      <w:bodyDiv w:val="1"/>
      <w:marLeft w:val="0"/>
      <w:marRight w:val="0"/>
      <w:marTop w:val="0"/>
      <w:marBottom w:val="0"/>
      <w:divBdr>
        <w:top w:val="none" w:sz="0" w:space="0" w:color="auto"/>
        <w:left w:val="none" w:sz="0" w:space="0" w:color="auto"/>
        <w:bottom w:val="none" w:sz="0" w:space="0" w:color="auto"/>
        <w:right w:val="none" w:sz="0" w:space="0" w:color="auto"/>
      </w:divBdr>
      <w:divsChild>
        <w:div w:id="1186363173">
          <w:marLeft w:val="0"/>
          <w:marRight w:val="0"/>
          <w:marTop w:val="0"/>
          <w:marBottom w:val="0"/>
          <w:divBdr>
            <w:top w:val="none" w:sz="0" w:space="0" w:color="auto"/>
            <w:left w:val="none" w:sz="0" w:space="0" w:color="auto"/>
            <w:bottom w:val="none" w:sz="0" w:space="0" w:color="auto"/>
            <w:right w:val="none" w:sz="0" w:space="0" w:color="auto"/>
          </w:divBdr>
        </w:div>
      </w:divsChild>
    </w:div>
    <w:div w:id="448282432">
      <w:bodyDiv w:val="1"/>
      <w:marLeft w:val="0"/>
      <w:marRight w:val="0"/>
      <w:marTop w:val="0"/>
      <w:marBottom w:val="0"/>
      <w:divBdr>
        <w:top w:val="none" w:sz="0" w:space="0" w:color="auto"/>
        <w:left w:val="none" w:sz="0" w:space="0" w:color="auto"/>
        <w:bottom w:val="none" w:sz="0" w:space="0" w:color="auto"/>
        <w:right w:val="none" w:sz="0" w:space="0" w:color="auto"/>
      </w:divBdr>
    </w:div>
    <w:div w:id="648443753">
      <w:bodyDiv w:val="1"/>
      <w:marLeft w:val="0"/>
      <w:marRight w:val="0"/>
      <w:marTop w:val="0"/>
      <w:marBottom w:val="0"/>
      <w:divBdr>
        <w:top w:val="none" w:sz="0" w:space="0" w:color="auto"/>
        <w:left w:val="none" w:sz="0" w:space="0" w:color="auto"/>
        <w:bottom w:val="none" w:sz="0" w:space="0" w:color="auto"/>
        <w:right w:val="none" w:sz="0" w:space="0" w:color="auto"/>
      </w:divBdr>
      <w:divsChild>
        <w:div w:id="2137482797">
          <w:marLeft w:val="0"/>
          <w:marRight w:val="0"/>
          <w:marTop w:val="0"/>
          <w:marBottom w:val="0"/>
          <w:divBdr>
            <w:top w:val="none" w:sz="0" w:space="0" w:color="auto"/>
            <w:left w:val="none" w:sz="0" w:space="0" w:color="auto"/>
            <w:bottom w:val="none" w:sz="0" w:space="0" w:color="auto"/>
            <w:right w:val="none" w:sz="0" w:space="0" w:color="auto"/>
          </w:divBdr>
        </w:div>
        <w:div w:id="1677878943">
          <w:marLeft w:val="0"/>
          <w:marRight w:val="0"/>
          <w:marTop w:val="0"/>
          <w:marBottom w:val="0"/>
          <w:divBdr>
            <w:top w:val="none" w:sz="0" w:space="0" w:color="auto"/>
            <w:left w:val="none" w:sz="0" w:space="0" w:color="auto"/>
            <w:bottom w:val="none" w:sz="0" w:space="0" w:color="auto"/>
            <w:right w:val="none" w:sz="0" w:space="0" w:color="auto"/>
          </w:divBdr>
        </w:div>
      </w:divsChild>
    </w:div>
    <w:div w:id="722949230">
      <w:bodyDiv w:val="1"/>
      <w:marLeft w:val="0"/>
      <w:marRight w:val="0"/>
      <w:marTop w:val="0"/>
      <w:marBottom w:val="0"/>
      <w:divBdr>
        <w:top w:val="none" w:sz="0" w:space="0" w:color="auto"/>
        <w:left w:val="none" w:sz="0" w:space="0" w:color="auto"/>
        <w:bottom w:val="none" w:sz="0" w:space="0" w:color="auto"/>
        <w:right w:val="none" w:sz="0" w:space="0" w:color="auto"/>
      </w:divBdr>
    </w:div>
    <w:div w:id="1738553598">
      <w:bodyDiv w:val="1"/>
      <w:marLeft w:val="0"/>
      <w:marRight w:val="0"/>
      <w:marTop w:val="0"/>
      <w:marBottom w:val="0"/>
      <w:divBdr>
        <w:top w:val="none" w:sz="0" w:space="0" w:color="auto"/>
        <w:left w:val="none" w:sz="0" w:space="0" w:color="auto"/>
        <w:bottom w:val="none" w:sz="0" w:space="0" w:color="auto"/>
        <w:right w:val="none" w:sz="0" w:space="0" w:color="auto"/>
      </w:divBdr>
    </w:div>
    <w:div w:id="1894194787">
      <w:bodyDiv w:val="1"/>
      <w:marLeft w:val="0"/>
      <w:marRight w:val="0"/>
      <w:marTop w:val="0"/>
      <w:marBottom w:val="0"/>
      <w:divBdr>
        <w:top w:val="none" w:sz="0" w:space="0" w:color="auto"/>
        <w:left w:val="none" w:sz="0" w:space="0" w:color="auto"/>
        <w:bottom w:val="none" w:sz="0" w:space="0" w:color="auto"/>
        <w:right w:val="none" w:sz="0" w:space="0" w:color="auto"/>
      </w:divBdr>
    </w:div>
    <w:div w:id="1917743121">
      <w:bodyDiv w:val="1"/>
      <w:marLeft w:val="0"/>
      <w:marRight w:val="0"/>
      <w:marTop w:val="0"/>
      <w:marBottom w:val="0"/>
      <w:divBdr>
        <w:top w:val="none" w:sz="0" w:space="0" w:color="auto"/>
        <w:left w:val="none" w:sz="0" w:space="0" w:color="auto"/>
        <w:bottom w:val="none" w:sz="0" w:space="0" w:color="auto"/>
        <w:right w:val="none" w:sz="0" w:space="0" w:color="auto"/>
      </w:divBdr>
    </w:div>
    <w:div w:id="20520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cnj.jus.br/improbidade_adm/consultar_requerido.php"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ortaldatransparencia.gov.br/ceis" TargetMode="External"/><Relationship Id="rId11" Type="http://schemas.openxmlformats.org/officeDocument/2006/relationships/image" Target="media/image4.png"/><Relationship Id="rId5" Type="http://schemas.openxmlformats.org/officeDocument/2006/relationships/hyperlink" Target="http://www.planalto.gov.br/ccivil_03/LEIS/L6404consol.htm" TargetMode="External"/><Relationship Id="rId10" Type="http://schemas.openxmlformats.org/officeDocument/2006/relationships/image" Target="media/image3.png"/><Relationship Id="rId4" Type="http://schemas.openxmlformats.org/officeDocument/2006/relationships/image" Target="media/image1.png"/><Relationship Id="rId9"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4747</Words>
  <Characters>25640</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Behrsing Bulamarqui de Almeida</dc:creator>
  <cp:keywords/>
  <dc:description/>
  <cp:lastModifiedBy>Diogo Victor Araújo Girão</cp:lastModifiedBy>
  <cp:revision>3</cp:revision>
  <dcterms:created xsi:type="dcterms:W3CDTF">2023-08-04T17:29:00Z</dcterms:created>
  <dcterms:modified xsi:type="dcterms:W3CDTF">2023-08-04T17:29:00Z</dcterms:modified>
</cp:coreProperties>
</file>