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5598EF" w14:textId="0CEF6B1E" w:rsidR="000D2D1D" w:rsidRDefault="000D2D1D" w:rsidP="000D2D1D">
      <w:pPr>
        <w:pStyle w:val="SemEspaamento"/>
        <w:spacing w:before="120" w:after="120" w:line="360" w:lineRule="auto"/>
        <w:jc w:val="center"/>
        <w:rPr>
          <w:rFonts w:ascii="Arial" w:hAnsi="Arial" w:cs="Arial"/>
          <w:sz w:val="20"/>
          <w:szCs w:val="20"/>
        </w:rPr>
      </w:pPr>
      <w:r>
        <w:rPr>
          <w:rFonts w:ascii="Arial" w:hAnsi="Arial" w:cs="Arial"/>
          <w:sz w:val="20"/>
          <w:szCs w:val="20"/>
        </w:rPr>
        <w:t>TRIBUNAL DE CONTAS DO ESTADO DO AMAPÁ</w:t>
      </w:r>
    </w:p>
    <w:p w14:paraId="4FD8DF4A" w14:textId="77777777" w:rsidR="000D2D1D" w:rsidRDefault="000D2D1D" w:rsidP="000D2D1D">
      <w:pPr>
        <w:spacing w:line="360" w:lineRule="auto"/>
        <w:jc w:val="center"/>
        <w:rPr>
          <w:rFonts w:ascii="Arial" w:eastAsia="Lucida Sans Unicode" w:hAnsi="Arial" w:cs="Arial"/>
          <w:b/>
          <w:caps/>
          <w:kern w:val="3"/>
          <w:sz w:val="20"/>
          <w:szCs w:val="20"/>
        </w:rPr>
      </w:pPr>
      <w:r>
        <w:rPr>
          <w:rFonts w:ascii="Arial" w:eastAsia="Lucida Sans Unicode" w:hAnsi="Arial" w:cs="Arial"/>
          <w:b/>
          <w:caps/>
          <w:kern w:val="3"/>
          <w:sz w:val="20"/>
          <w:szCs w:val="20"/>
        </w:rPr>
        <w:t>COOORDENADORIA DE COMPRAS E CONTRATOS</w:t>
      </w:r>
    </w:p>
    <w:p w14:paraId="4DFB0B40" w14:textId="6BA30088" w:rsidR="000D2D1D" w:rsidRDefault="000D2D1D" w:rsidP="000D2D1D">
      <w:pPr>
        <w:tabs>
          <w:tab w:val="left" w:pos="9498"/>
        </w:tabs>
        <w:spacing w:before="120" w:after="120" w:line="276" w:lineRule="auto"/>
        <w:jc w:val="both"/>
        <w:rPr>
          <w:rFonts w:ascii="Arial" w:hAnsi="Arial" w:cs="Arial"/>
          <w:b/>
          <w:sz w:val="20"/>
          <w:szCs w:val="20"/>
        </w:rPr>
      </w:pPr>
      <w:r>
        <w:rPr>
          <w:rFonts w:ascii="Arial" w:hAnsi="Arial" w:cs="Arial"/>
          <w:b/>
          <w:sz w:val="20"/>
          <w:szCs w:val="20"/>
        </w:rPr>
        <w:t>JUSTIFICATIVA Nº: 1</w:t>
      </w:r>
      <w:r w:rsidR="00F51909">
        <w:rPr>
          <w:rFonts w:ascii="Arial" w:hAnsi="Arial" w:cs="Arial"/>
          <w:b/>
          <w:sz w:val="20"/>
          <w:szCs w:val="20"/>
        </w:rPr>
        <w:t>6</w:t>
      </w:r>
      <w:r>
        <w:rPr>
          <w:rFonts w:ascii="Arial" w:hAnsi="Arial" w:cs="Arial"/>
          <w:b/>
          <w:sz w:val="20"/>
          <w:szCs w:val="20"/>
        </w:rPr>
        <w:t>/2026 – CPL/TCE/AP</w:t>
      </w:r>
    </w:p>
    <w:p w14:paraId="32EB6946" w14:textId="5ABD5081" w:rsidR="000D2D1D" w:rsidRDefault="000D2D1D" w:rsidP="000D2D1D">
      <w:pPr>
        <w:tabs>
          <w:tab w:val="left" w:pos="9498"/>
        </w:tabs>
        <w:spacing w:before="120" w:after="120" w:line="276" w:lineRule="auto"/>
        <w:jc w:val="both"/>
        <w:rPr>
          <w:rFonts w:ascii="Arial" w:hAnsi="Arial" w:cs="Arial"/>
          <w:sz w:val="20"/>
          <w:szCs w:val="20"/>
        </w:rPr>
      </w:pPr>
      <w:r>
        <w:rPr>
          <w:rFonts w:ascii="Arial" w:hAnsi="Arial" w:cs="Arial"/>
          <w:b/>
          <w:sz w:val="20"/>
          <w:szCs w:val="20"/>
        </w:rPr>
        <w:t>Processo Eletrônico nº: 00</w:t>
      </w:r>
      <w:r w:rsidR="00F51909">
        <w:rPr>
          <w:rFonts w:ascii="Arial" w:hAnsi="Arial" w:cs="Arial"/>
          <w:b/>
          <w:sz w:val="20"/>
          <w:szCs w:val="20"/>
        </w:rPr>
        <w:t>3167</w:t>
      </w:r>
      <w:r>
        <w:rPr>
          <w:rFonts w:ascii="Arial" w:hAnsi="Arial" w:cs="Arial"/>
          <w:b/>
          <w:sz w:val="20"/>
          <w:szCs w:val="20"/>
        </w:rPr>
        <w:t>/2026</w:t>
      </w:r>
    </w:p>
    <w:p w14:paraId="0C325FCD" w14:textId="77777777" w:rsidR="000D2D1D" w:rsidRDefault="000D2D1D" w:rsidP="000D2D1D">
      <w:pPr>
        <w:tabs>
          <w:tab w:val="left" w:pos="9498"/>
        </w:tabs>
        <w:spacing w:before="120" w:after="120" w:line="276" w:lineRule="auto"/>
        <w:jc w:val="both"/>
        <w:rPr>
          <w:rFonts w:ascii="Arial" w:hAnsi="Arial" w:cs="Arial"/>
          <w:b/>
          <w:bCs/>
          <w:iCs/>
          <w:sz w:val="20"/>
          <w:szCs w:val="20"/>
        </w:rPr>
      </w:pPr>
      <w:r>
        <w:rPr>
          <w:rFonts w:ascii="Arial" w:hAnsi="Arial" w:cs="Arial"/>
          <w:b/>
          <w:bCs/>
          <w:iCs/>
          <w:sz w:val="20"/>
          <w:szCs w:val="20"/>
        </w:rPr>
        <w:t xml:space="preserve">Fundamento Legal: </w:t>
      </w:r>
      <w:r>
        <w:rPr>
          <w:rFonts w:ascii="Arial" w:hAnsi="Arial" w:cs="Arial"/>
          <w:bCs/>
          <w:iCs/>
          <w:sz w:val="20"/>
          <w:szCs w:val="20"/>
        </w:rPr>
        <w:t>Art. 74, III, da Lei nº 14.133/2021</w:t>
      </w:r>
    </w:p>
    <w:p w14:paraId="47A3BCDD" w14:textId="77777777" w:rsidR="007128BC" w:rsidRDefault="000D2D1D" w:rsidP="007128BC">
      <w:pPr>
        <w:tabs>
          <w:tab w:val="left" w:pos="9498"/>
        </w:tabs>
        <w:spacing w:before="120" w:after="120" w:line="276" w:lineRule="auto"/>
        <w:jc w:val="both"/>
        <w:rPr>
          <w:rFonts w:ascii="Arial" w:hAnsi="Arial" w:cs="Arial"/>
          <w:b/>
          <w:bCs/>
          <w:sz w:val="20"/>
          <w:szCs w:val="20"/>
        </w:rPr>
      </w:pPr>
      <w:r>
        <w:rPr>
          <w:rFonts w:ascii="Arial" w:hAnsi="Arial" w:cs="Arial"/>
          <w:b/>
          <w:bCs/>
          <w:iCs/>
          <w:sz w:val="20"/>
          <w:szCs w:val="20"/>
        </w:rPr>
        <w:t xml:space="preserve">Valor total: </w:t>
      </w:r>
      <w:bookmarkStart w:id="0" w:name="_Hlk227049752"/>
      <w:r>
        <w:rPr>
          <w:rFonts w:ascii="Arial" w:hAnsi="Arial" w:cs="Arial"/>
          <w:b/>
          <w:bCs/>
          <w:iCs/>
          <w:sz w:val="20"/>
          <w:szCs w:val="20"/>
        </w:rPr>
        <w:t xml:space="preserve">R$ </w:t>
      </w:r>
      <w:r w:rsidR="007128BC" w:rsidRPr="007128BC">
        <w:rPr>
          <w:rFonts w:ascii="Arial" w:hAnsi="Arial" w:cs="Arial"/>
          <w:b/>
          <w:bCs/>
          <w:sz w:val="20"/>
          <w:szCs w:val="20"/>
        </w:rPr>
        <w:t>4.290,00 (quatro mil, duzentos e noventa reais)</w:t>
      </w:r>
    </w:p>
    <w:bookmarkEnd w:id="0"/>
    <w:p w14:paraId="4991DBEF" w14:textId="79A84674" w:rsidR="00ED0EB2" w:rsidRDefault="000D2D1D" w:rsidP="007128BC">
      <w:pPr>
        <w:tabs>
          <w:tab w:val="left" w:pos="9498"/>
        </w:tabs>
        <w:spacing w:before="120" w:after="120" w:line="276" w:lineRule="auto"/>
        <w:jc w:val="both"/>
      </w:pPr>
      <w:r>
        <w:rPr>
          <w:rFonts w:ascii="Arial" w:hAnsi="Arial" w:cs="Arial"/>
          <w:b/>
          <w:bCs/>
          <w:color w:val="000000"/>
          <w:sz w:val="20"/>
          <w:szCs w:val="20"/>
        </w:rPr>
        <w:t>Contratada:</w:t>
      </w:r>
      <w:r>
        <w:rPr>
          <w:rFonts w:ascii="Arial" w:eastAsiaTheme="minorHAnsi" w:hAnsi="Arial" w:cs="Arial"/>
          <w:b/>
          <w:bCs/>
          <w:sz w:val="20"/>
          <w:szCs w:val="20"/>
          <w:lang w:eastAsia="en-US"/>
        </w:rPr>
        <w:t xml:space="preserve"> </w:t>
      </w:r>
      <w:r w:rsidR="00ED0EB2" w:rsidRPr="00ED0EB2">
        <w:rPr>
          <w:rFonts w:ascii="Arial" w:hAnsi="Arial" w:cs="Arial"/>
          <w:b/>
          <w:bCs/>
          <w:sz w:val="18"/>
          <w:szCs w:val="18"/>
        </w:rPr>
        <w:t>ESAFI - ESCOLA DE ADMINISTRAÇÃ</w:t>
      </w:r>
      <w:bookmarkStart w:id="1" w:name="_GoBack"/>
      <w:bookmarkEnd w:id="1"/>
      <w:r w:rsidR="00ED0EB2" w:rsidRPr="00ED0EB2">
        <w:rPr>
          <w:rFonts w:ascii="Arial" w:hAnsi="Arial" w:cs="Arial"/>
          <w:b/>
          <w:bCs/>
          <w:sz w:val="18"/>
          <w:szCs w:val="18"/>
        </w:rPr>
        <w:t>O E TREINAMENTO</w:t>
      </w:r>
      <w:r w:rsidR="00ED0EB2" w:rsidRPr="00ED0EB2">
        <w:rPr>
          <w:b/>
          <w:bCs/>
          <w:sz w:val="18"/>
          <w:szCs w:val="18"/>
        </w:rPr>
        <w:t xml:space="preserve"> LTDA</w:t>
      </w:r>
    </w:p>
    <w:p w14:paraId="47D783E5" w14:textId="314A7457" w:rsidR="000D2D1D" w:rsidRDefault="000D2D1D" w:rsidP="000D2D1D">
      <w:pPr>
        <w:tabs>
          <w:tab w:val="left" w:pos="9498"/>
        </w:tabs>
        <w:spacing w:line="360" w:lineRule="auto"/>
        <w:jc w:val="both"/>
        <w:rPr>
          <w:rFonts w:ascii="Arial" w:hAnsi="Arial" w:cs="Arial"/>
          <w:b/>
          <w:bCs/>
          <w:sz w:val="20"/>
          <w:szCs w:val="20"/>
        </w:rPr>
      </w:pPr>
      <w:r>
        <w:rPr>
          <w:rFonts w:ascii="Arial" w:hAnsi="Arial" w:cs="Arial"/>
          <w:b/>
          <w:bCs/>
          <w:sz w:val="20"/>
          <w:szCs w:val="20"/>
        </w:rPr>
        <w:t xml:space="preserve">CNPJ: </w:t>
      </w:r>
      <w:r w:rsidR="00ED0EB2" w:rsidRPr="00ED0EB2">
        <w:rPr>
          <w:rFonts w:ascii="Arial" w:hAnsi="Arial" w:cs="Arial"/>
          <w:b/>
          <w:bCs/>
          <w:sz w:val="20"/>
          <w:szCs w:val="20"/>
        </w:rPr>
        <w:t>35.963.479/0001-46</w:t>
      </w:r>
    </w:p>
    <w:p w14:paraId="31EBD5D0" w14:textId="77777777" w:rsidR="000D2D1D" w:rsidRDefault="000D2D1D" w:rsidP="000D2D1D">
      <w:pPr>
        <w:tabs>
          <w:tab w:val="left" w:pos="9498"/>
        </w:tabs>
        <w:spacing w:line="360" w:lineRule="auto"/>
        <w:jc w:val="both"/>
        <w:rPr>
          <w:rFonts w:ascii="Arial" w:eastAsiaTheme="minorHAnsi" w:hAnsi="Arial" w:cs="Arial"/>
          <w:b/>
          <w:bCs/>
          <w:sz w:val="16"/>
          <w:szCs w:val="16"/>
          <w:lang w:eastAsia="en-US"/>
        </w:rPr>
      </w:pPr>
    </w:p>
    <w:p w14:paraId="3F765C70" w14:textId="77777777" w:rsidR="000D2D1D" w:rsidRDefault="000D2D1D" w:rsidP="000D2D1D">
      <w:pPr>
        <w:tabs>
          <w:tab w:val="left" w:pos="4111"/>
        </w:tabs>
        <w:spacing w:before="120" w:after="120" w:line="360" w:lineRule="auto"/>
        <w:jc w:val="center"/>
        <w:rPr>
          <w:rFonts w:ascii="Arial" w:hAnsi="Arial" w:cs="Arial"/>
          <w:b/>
          <w:sz w:val="20"/>
          <w:szCs w:val="20"/>
        </w:rPr>
      </w:pPr>
      <w:r>
        <w:rPr>
          <w:rFonts w:ascii="Arial" w:hAnsi="Arial" w:cs="Arial"/>
          <w:b/>
          <w:sz w:val="20"/>
          <w:szCs w:val="20"/>
        </w:rPr>
        <w:t>Assunto: JUSTIFICATIVA PARA INEXIGIBILIDADE DE LICITAÇÃO</w:t>
      </w:r>
    </w:p>
    <w:p w14:paraId="3AC5004A" w14:textId="77777777" w:rsidR="000D2D1D" w:rsidRDefault="000D2D1D" w:rsidP="000D2D1D">
      <w:pPr>
        <w:tabs>
          <w:tab w:val="left" w:pos="4111"/>
        </w:tabs>
        <w:spacing w:before="120" w:after="120" w:line="360" w:lineRule="auto"/>
        <w:jc w:val="center"/>
        <w:rPr>
          <w:rFonts w:ascii="Arial" w:hAnsi="Arial" w:cs="Arial"/>
          <w:b/>
          <w:sz w:val="20"/>
          <w:szCs w:val="20"/>
        </w:rPr>
      </w:pPr>
    </w:p>
    <w:p w14:paraId="32A8FB4A" w14:textId="77777777" w:rsidR="000D2D1D" w:rsidRDefault="000D2D1D" w:rsidP="000D2D1D">
      <w:pPr>
        <w:tabs>
          <w:tab w:val="center" w:pos="4419"/>
          <w:tab w:val="right" w:pos="8838"/>
          <w:tab w:val="left" w:pos="9498"/>
        </w:tabs>
        <w:spacing w:before="120" w:after="120" w:line="360" w:lineRule="auto"/>
        <w:ind w:firstLine="567"/>
        <w:jc w:val="both"/>
        <w:rPr>
          <w:rFonts w:ascii="Arial" w:hAnsi="Arial" w:cs="Arial"/>
          <w:sz w:val="20"/>
          <w:szCs w:val="20"/>
        </w:rPr>
      </w:pPr>
      <w:r>
        <w:rPr>
          <w:rFonts w:ascii="Arial" w:hAnsi="Arial" w:cs="Arial"/>
          <w:sz w:val="20"/>
          <w:szCs w:val="20"/>
        </w:rPr>
        <w:t>A Equipe de Contratação-TCE/AP vem apresentar as considerações abaixo, a fim de justificar a escolha da modalidade acima mencionada.</w:t>
      </w:r>
    </w:p>
    <w:p w14:paraId="4A0175B6" w14:textId="77777777" w:rsidR="000D2D1D" w:rsidRDefault="000D2D1D" w:rsidP="000D2D1D">
      <w:pPr>
        <w:tabs>
          <w:tab w:val="left" w:pos="0"/>
          <w:tab w:val="center" w:pos="4419"/>
          <w:tab w:val="right" w:pos="8838"/>
          <w:tab w:val="left" w:pos="9498"/>
        </w:tabs>
        <w:spacing w:before="120" w:after="120" w:line="360" w:lineRule="auto"/>
        <w:jc w:val="both"/>
        <w:rPr>
          <w:rFonts w:ascii="Arial" w:hAnsi="Arial" w:cs="Arial"/>
          <w:b/>
          <w:sz w:val="20"/>
          <w:szCs w:val="20"/>
        </w:rPr>
      </w:pPr>
      <w:r>
        <w:rPr>
          <w:rFonts w:ascii="Arial" w:hAnsi="Arial" w:cs="Arial"/>
          <w:b/>
          <w:sz w:val="20"/>
          <w:szCs w:val="20"/>
        </w:rPr>
        <w:t>I - OBJETO</w:t>
      </w:r>
    </w:p>
    <w:p w14:paraId="6B1D0DE5" w14:textId="22D9975C" w:rsidR="00ED0EB2" w:rsidRDefault="000D2D1D" w:rsidP="00ED0EB2">
      <w:pPr>
        <w:shd w:val="clear" w:color="auto" w:fill="FFFFFF"/>
        <w:tabs>
          <w:tab w:val="left" w:pos="9498"/>
        </w:tabs>
        <w:spacing w:before="120" w:after="120" w:line="360" w:lineRule="auto"/>
        <w:ind w:firstLine="567"/>
        <w:jc w:val="both"/>
        <w:rPr>
          <w:rFonts w:ascii="Arial" w:eastAsia="Arial" w:hAnsi="Arial" w:cs="Arial"/>
          <w:color w:val="000000"/>
          <w:sz w:val="20"/>
          <w:szCs w:val="20"/>
        </w:rPr>
      </w:pPr>
      <w:r>
        <w:rPr>
          <w:rFonts w:ascii="Arial" w:eastAsia="Arial" w:hAnsi="Arial" w:cs="Arial"/>
          <w:color w:val="000000"/>
          <w:sz w:val="20"/>
          <w:szCs w:val="20"/>
        </w:rPr>
        <w:t xml:space="preserve">A presente justificativa refere-se </w:t>
      </w:r>
      <w:r w:rsidR="00ED0EB2">
        <w:rPr>
          <w:rFonts w:ascii="Arial" w:eastAsia="Arial" w:hAnsi="Arial" w:cs="Arial"/>
          <w:color w:val="000000"/>
          <w:sz w:val="20"/>
          <w:szCs w:val="20"/>
        </w:rPr>
        <w:t>à inscrição</w:t>
      </w:r>
      <w:r>
        <w:rPr>
          <w:rFonts w:ascii="Arial" w:eastAsia="Arial" w:hAnsi="Arial" w:cs="Arial"/>
          <w:color w:val="000000"/>
          <w:sz w:val="20"/>
          <w:szCs w:val="20"/>
        </w:rPr>
        <w:t xml:space="preserve"> do </w:t>
      </w:r>
      <w:r w:rsidR="00ED0EB2">
        <w:rPr>
          <w:rFonts w:ascii="Arial" w:eastAsia="Arial" w:hAnsi="Arial" w:cs="Arial"/>
          <w:color w:val="000000"/>
          <w:sz w:val="20"/>
          <w:szCs w:val="20"/>
        </w:rPr>
        <w:t>servidor deste</w:t>
      </w:r>
      <w:r>
        <w:rPr>
          <w:rFonts w:ascii="Arial" w:eastAsia="Arial" w:hAnsi="Arial" w:cs="Arial"/>
          <w:color w:val="000000"/>
          <w:sz w:val="20"/>
          <w:szCs w:val="20"/>
        </w:rPr>
        <w:t xml:space="preserve"> Tribunal de Contas</w:t>
      </w:r>
      <w:r w:rsidR="00ED0EB2">
        <w:rPr>
          <w:rFonts w:ascii="Arial" w:eastAsia="Arial" w:hAnsi="Arial" w:cs="Arial"/>
          <w:color w:val="000000"/>
          <w:sz w:val="20"/>
          <w:szCs w:val="20"/>
        </w:rPr>
        <w:t>,</w:t>
      </w:r>
      <w:r>
        <w:rPr>
          <w:rFonts w:ascii="Arial" w:eastAsia="Arial" w:hAnsi="Arial" w:cs="Arial"/>
          <w:color w:val="000000"/>
          <w:sz w:val="20"/>
          <w:szCs w:val="20"/>
        </w:rPr>
        <w:t xml:space="preserve"> </w:t>
      </w:r>
      <w:r w:rsidR="00ED0EB2" w:rsidRPr="00451414">
        <w:rPr>
          <w:rFonts w:ascii="Arial" w:hAnsi="Arial" w:cs="Arial"/>
          <w:b/>
          <w:bCs/>
          <w:i/>
          <w:iCs/>
          <w:sz w:val="20"/>
          <w:szCs w:val="20"/>
        </w:rPr>
        <w:t>José Carlos Carvalho Barbosa Junior,</w:t>
      </w:r>
      <w:r w:rsidR="00ED0EB2">
        <w:rPr>
          <w:rFonts w:ascii="Arial" w:hAnsi="Arial" w:cs="Arial"/>
          <w:b/>
          <w:bCs/>
          <w:sz w:val="20"/>
          <w:szCs w:val="20"/>
        </w:rPr>
        <w:t xml:space="preserve"> </w:t>
      </w:r>
      <w:r w:rsidR="00ED0EB2" w:rsidRPr="00ED0EB2">
        <w:rPr>
          <w:rFonts w:ascii="Arial" w:hAnsi="Arial" w:cs="Arial"/>
          <w:sz w:val="20"/>
          <w:szCs w:val="20"/>
        </w:rPr>
        <w:t>no</w:t>
      </w:r>
      <w:r w:rsidR="00ED0EB2" w:rsidRPr="00ED0EB2">
        <w:t xml:space="preserve"> </w:t>
      </w:r>
      <w:r w:rsidR="00ED0EB2" w:rsidRPr="00ED0EB2">
        <w:rPr>
          <w:rFonts w:ascii="Arial" w:hAnsi="Arial" w:cs="Arial"/>
          <w:sz w:val="20"/>
          <w:szCs w:val="20"/>
        </w:rPr>
        <w:t>curso “Contratação Direta, Dispensa e Inexigibilidade de Licitação – Procedimentos: as inovações e mudanças da Lei nº 14.133/2021”, a ser realizado no período de 27 a 29 de abril de 2026, na cidade de São Paulo/SP</w:t>
      </w:r>
      <w:r w:rsidR="00ED0EB2">
        <w:t xml:space="preserve">. </w:t>
      </w:r>
    </w:p>
    <w:p w14:paraId="6751E3C2" w14:textId="0882F63D" w:rsidR="000D2D1D" w:rsidRDefault="000D2D1D" w:rsidP="000D2D1D">
      <w:pPr>
        <w:shd w:val="clear" w:color="auto" w:fill="FFFFFF"/>
        <w:tabs>
          <w:tab w:val="left" w:pos="9498"/>
        </w:tabs>
        <w:spacing w:before="120" w:after="120" w:line="360" w:lineRule="auto"/>
        <w:ind w:firstLine="567"/>
        <w:jc w:val="both"/>
        <w:rPr>
          <w:rFonts w:ascii="Arial" w:hAnsi="Arial" w:cs="Arial"/>
          <w:sz w:val="20"/>
          <w:szCs w:val="20"/>
        </w:rPr>
      </w:pPr>
      <w:r>
        <w:rPr>
          <w:rFonts w:ascii="Arial" w:hAnsi="Arial" w:cs="Arial"/>
          <w:sz w:val="20"/>
          <w:szCs w:val="20"/>
        </w:rPr>
        <w:t>A demanda foi formalmente apresentada pela Secretaria de Gestão de Pessoas (Comunicação Interna nº 0</w:t>
      </w:r>
      <w:r w:rsidR="00ED0EB2">
        <w:rPr>
          <w:rFonts w:ascii="Arial" w:hAnsi="Arial" w:cs="Arial"/>
          <w:sz w:val="20"/>
          <w:szCs w:val="20"/>
        </w:rPr>
        <w:t>90</w:t>
      </w:r>
      <w:r>
        <w:rPr>
          <w:rFonts w:ascii="Arial" w:hAnsi="Arial" w:cs="Arial"/>
          <w:sz w:val="20"/>
          <w:szCs w:val="20"/>
        </w:rPr>
        <w:t>/2026–SEGEP/TCE/AP).</w:t>
      </w:r>
    </w:p>
    <w:p w14:paraId="3A173197" w14:textId="77777777" w:rsidR="0095108E" w:rsidRDefault="0095108E" w:rsidP="000D2D1D">
      <w:pPr>
        <w:shd w:val="clear" w:color="auto" w:fill="FFFFFF"/>
        <w:tabs>
          <w:tab w:val="left" w:pos="9498"/>
        </w:tabs>
        <w:spacing w:before="120" w:after="120" w:line="360" w:lineRule="auto"/>
        <w:ind w:firstLine="567"/>
        <w:jc w:val="both"/>
        <w:rPr>
          <w:rFonts w:ascii="Arial" w:hAnsi="Arial" w:cs="Arial"/>
          <w:sz w:val="20"/>
          <w:szCs w:val="20"/>
        </w:rPr>
      </w:pPr>
    </w:p>
    <w:p w14:paraId="2873B018" w14:textId="77777777" w:rsidR="000D2D1D" w:rsidRDefault="000D2D1D" w:rsidP="000D2D1D">
      <w:pPr>
        <w:shd w:val="clear" w:color="auto" w:fill="FFFFFF"/>
        <w:tabs>
          <w:tab w:val="left" w:pos="9498"/>
        </w:tabs>
        <w:spacing w:before="120" w:after="120" w:line="360" w:lineRule="auto"/>
        <w:jc w:val="both"/>
        <w:rPr>
          <w:rFonts w:ascii="Arial" w:hAnsi="Arial" w:cs="Arial"/>
          <w:b/>
          <w:bCs/>
          <w:sz w:val="20"/>
          <w:szCs w:val="20"/>
        </w:rPr>
      </w:pPr>
      <w:r>
        <w:rPr>
          <w:rFonts w:ascii="Arial" w:hAnsi="Arial" w:cs="Arial"/>
          <w:b/>
          <w:bCs/>
          <w:sz w:val="20"/>
          <w:szCs w:val="20"/>
        </w:rPr>
        <w:t>II – DA JUSTIFICATIVA E FINALIDADE</w:t>
      </w:r>
    </w:p>
    <w:p w14:paraId="608113EF" w14:textId="306D827B" w:rsidR="00ED0EB2" w:rsidRPr="00ED0EB2" w:rsidRDefault="000D2D1D" w:rsidP="000D2D1D">
      <w:pPr>
        <w:spacing w:line="360" w:lineRule="auto"/>
        <w:ind w:firstLine="567"/>
        <w:jc w:val="both"/>
        <w:rPr>
          <w:rFonts w:ascii="Arial" w:hAnsi="Arial" w:cs="Arial"/>
          <w:sz w:val="16"/>
          <w:szCs w:val="16"/>
        </w:rPr>
      </w:pPr>
      <w:r>
        <w:rPr>
          <w:rFonts w:ascii="Arial" w:hAnsi="Arial" w:cs="Arial"/>
          <w:sz w:val="20"/>
          <w:szCs w:val="20"/>
        </w:rPr>
        <w:t xml:space="preserve">A participação </w:t>
      </w:r>
      <w:r w:rsidR="00ED0EB2">
        <w:rPr>
          <w:rFonts w:ascii="Arial" w:hAnsi="Arial" w:cs="Arial"/>
          <w:sz w:val="20"/>
          <w:szCs w:val="20"/>
        </w:rPr>
        <w:t xml:space="preserve">do servidor é </w:t>
      </w:r>
      <w:r w:rsidR="00CC7D8D">
        <w:rPr>
          <w:rFonts w:ascii="Arial" w:hAnsi="Arial" w:cs="Arial"/>
          <w:sz w:val="20"/>
          <w:szCs w:val="20"/>
        </w:rPr>
        <w:t>indispensável</w:t>
      </w:r>
      <w:r w:rsidR="00ED0EB2">
        <w:rPr>
          <w:rFonts w:ascii="Arial" w:hAnsi="Arial" w:cs="Arial"/>
          <w:sz w:val="20"/>
          <w:szCs w:val="20"/>
        </w:rPr>
        <w:t xml:space="preserve"> levando em </w:t>
      </w:r>
      <w:r w:rsidR="00ED0EB2" w:rsidRPr="00ED0EB2">
        <w:rPr>
          <w:rFonts w:ascii="Arial" w:hAnsi="Arial" w:cs="Arial"/>
          <w:sz w:val="20"/>
          <w:szCs w:val="20"/>
        </w:rPr>
        <w:t>considera</w:t>
      </w:r>
      <w:r w:rsidR="00ED0EB2">
        <w:rPr>
          <w:rFonts w:ascii="Arial" w:hAnsi="Arial" w:cs="Arial"/>
          <w:sz w:val="20"/>
          <w:szCs w:val="20"/>
        </w:rPr>
        <w:t xml:space="preserve">ção </w:t>
      </w:r>
      <w:r w:rsidR="00CC7D8D">
        <w:rPr>
          <w:rFonts w:ascii="Arial" w:hAnsi="Arial" w:cs="Arial"/>
          <w:sz w:val="20"/>
          <w:szCs w:val="20"/>
        </w:rPr>
        <w:t xml:space="preserve">a necessidade continua da </w:t>
      </w:r>
      <w:r w:rsidR="00ED0EB2">
        <w:rPr>
          <w:rFonts w:ascii="Arial" w:hAnsi="Arial" w:cs="Arial"/>
          <w:sz w:val="20"/>
          <w:szCs w:val="20"/>
        </w:rPr>
        <w:t xml:space="preserve"> capacitação técnica</w:t>
      </w:r>
      <w:r w:rsidR="00CC7D8D">
        <w:rPr>
          <w:rFonts w:ascii="Arial" w:hAnsi="Arial" w:cs="Arial"/>
          <w:sz w:val="20"/>
          <w:szCs w:val="20"/>
        </w:rPr>
        <w:t xml:space="preserve"> dos agentes públicos </w:t>
      </w:r>
      <w:r w:rsidR="00ED0EB2" w:rsidRPr="00ED0EB2">
        <w:rPr>
          <w:rFonts w:ascii="Arial" w:hAnsi="Arial" w:cs="Arial"/>
          <w:sz w:val="20"/>
          <w:szCs w:val="20"/>
        </w:rPr>
        <w:t xml:space="preserve"> que atuam na área de contratações, diante das relevantes inovações introduzidas pela nova Lei de Licitações, as quais exigem elevado nível de qualificação técnica para adequada instrução dos processos, mitigação de riscos e garantia de conformidade normativa, de modo a fortalecer a eficiência administrativa, a segurança jurídica e a governança das contratações no âmbito do Tribunal de Contas do Estado do Amapá.</w:t>
      </w:r>
    </w:p>
    <w:p w14:paraId="67C82D9C" w14:textId="77777777" w:rsidR="00ED0EB2" w:rsidRDefault="00ED0EB2" w:rsidP="000D2D1D">
      <w:pPr>
        <w:spacing w:line="360" w:lineRule="auto"/>
        <w:ind w:firstLine="567"/>
        <w:jc w:val="both"/>
        <w:rPr>
          <w:rFonts w:ascii="Arial" w:hAnsi="Arial" w:cs="Arial"/>
          <w:sz w:val="20"/>
          <w:szCs w:val="20"/>
        </w:rPr>
      </w:pPr>
    </w:p>
    <w:p w14:paraId="0D4C560B" w14:textId="306B6E44" w:rsidR="000D2D1D" w:rsidRDefault="000D2D1D" w:rsidP="000D2D1D">
      <w:pPr>
        <w:spacing w:line="360" w:lineRule="auto"/>
        <w:ind w:firstLine="567"/>
        <w:jc w:val="both"/>
        <w:rPr>
          <w:rFonts w:ascii="Arial" w:hAnsi="Arial" w:cs="Arial"/>
          <w:sz w:val="20"/>
          <w:szCs w:val="20"/>
        </w:rPr>
      </w:pPr>
      <w:r>
        <w:rPr>
          <w:rFonts w:ascii="Arial" w:hAnsi="Arial" w:cs="Arial"/>
          <w:sz w:val="20"/>
          <w:szCs w:val="20"/>
        </w:rPr>
        <w:t xml:space="preserve">O </w:t>
      </w:r>
      <w:r w:rsidR="007128BC">
        <w:rPr>
          <w:rFonts w:ascii="Arial" w:hAnsi="Arial" w:cs="Arial"/>
          <w:sz w:val="20"/>
          <w:szCs w:val="20"/>
        </w:rPr>
        <w:t>curso</w:t>
      </w:r>
      <w:r>
        <w:rPr>
          <w:rFonts w:ascii="Arial" w:hAnsi="Arial" w:cs="Arial"/>
          <w:sz w:val="20"/>
          <w:szCs w:val="20"/>
        </w:rPr>
        <w:t xml:space="preserve"> é aberto   e o valor proposto pelo realizador e aceito por esta Administração, detalhado no ETP(Mov.</w:t>
      </w:r>
      <w:r w:rsidR="007128BC">
        <w:rPr>
          <w:rFonts w:ascii="Arial" w:hAnsi="Arial" w:cs="Arial"/>
          <w:sz w:val="20"/>
          <w:szCs w:val="20"/>
        </w:rPr>
        <w:t>9</w:t>
      </w:r>
      <w:r>
        <w:rPr>
          <w:rFonts w:ascii="Arial" w:hAnsi="Arial" w:cs="Arial"/>
          <w:sz w:val="20"/>
          <w:szCs w:val="20"/>
        </w:rPr>
        <w:t>), é considerado justo, razoável e compatível, representando o preço de mercado. Satisfazendo assim o princípio da economicidade ao garantir um investimento em uma capacitação de elevado retorno qualitativo e estratégico para esta instituição.</w:t>
      </w:r>
    </w:p>
    <w:p w14:paraId="790EF8E4" w14:textId="306BB488" w:rsidR="007128BC" w:rsidRDefault="000D2D1D" w:rsidP="000D2D1D">
      <w:pPr>
        <w:tabs>
          <w:tab w:val="left" w:pos="9498"/>
        </w:tabs>
        <w:spacing w:before="120" w:after="120" w:line="360" w:lineRule="auto"/>
        <w:ind w:firstLine="567"/>
        <w:jc w:val="both"/>
        <w:rPr>
          <w:rFonts w:ascii="Arial" w:hAnsi="Arial" w:cs="Arial"/>
          <w:sz w:val="20"/>
          <w:szCs w:val="20"/>
        </w:rPr>
      </w:pPr>
      <w:r>
        <w:rPr>
          <w:rFonts w:ascii="Arial" w:hAnsi="Arial" w:cs="Arial"/>
          <w:sz w:val="20"/>
          <w:szCs w:val="20"/>
        </w:rPr>
        <w:t xml:space="preserve">Registra-se que o </w:t>
      </w:r>
      <w:r w:rsidR="007128BC">
        <w:rPr>
          <w:rFonts w:ascii="Arial" w:hAnsi="Arial" w:cs="Arial"/>
          <w:sz w:val="20"/>
          <w:szCs w:val="20"/>
        </w:rPr>
        <w:t>curso será ministrado pelo</w:t>
      </w:r>
      <w:r w:rsidR="007128BC" w:rsidRPr="007128BC">
        <w:t xml:space="preserve"> </w:t>
      </w:r>
      <w:r w:rsidR="007128BC" w:rsidRPr="007128BC">
        <w:rPr>
          <w:rFonts w:ascii="Arial" w:hAnsi="Arial" w:cs="Arial"/>
          <w:sz w:val="20"/>
          <w:szCs w:val="20"/>
        </w:rPr>
        <w:t xml:space="preserve">Professor Daniel Barral Procurador Federal da Advocacia-Geral da União (AGU). Já atuou como Secretário de Coordenação de Transportes na Secretaria Especial do Programa de Parcerias de Investimentos da Secretaria de Governo da Presidência da República; Atuou como chefe de divisão e responsável pela consultoria e assessoramento jurídico pela </w:t>
      </w:r>
      <w:r w:rsidR="007128BC" w:rsidRPr="007128BC">
        <w:rPr>
          <w:rFonts w:ascii="Arial" w:hAnsi="Arial" w:cs="Arial"/>
          <w:sz w:val="20"/>
          <w:szCs w:val="20"/>
        </w:rPr>
        <w:lastRenderedPageBreak/>
        <w:t>Procuradoria Federal junto à Agência Espacial Brasileira.</w:t>
      </w:r>
    </w:p>
    <w:p w14:paraId="0AD2829C" w14:textId="77777777" w:rsidR="0095108E" w:rsidRPr="007128BC" w:rsidRDefault="0095108E" w:rsidP="000D2D1D">
      <w:pPr>
        <w:tabs>
          <w:tab w:val="left" w:pos="9498"/>
        </w:tabs>
        <w:spacing w:before="120" w:after="120" w:line="360" w:lineRule="auto"/>
        <w:ind w:firstLine="567"/>
        <w:jc w:val="both"/>
        <w:rPr>
          <w:rFonts w:ascii="Arial" w:hAnsi="Arial" w:cs="Arial"/>
          <w:sz w:val="16"/>
          <w:szCs w:val="16"/>
        </w:rPr>
      </w:pPr>
    </w:p>
    <w:p w14:paraId="0962D2D4" w14:textId="078A4C6D" w:rsidR="000D2D1D" w:rsidRDefault="000D2D1D" w:rsidP="000D2D1D">
      <w:pPr>
        <w:tabs>
          <w:tab w:val="left" w:pos="9498"/>
        </w:tabs>
        <w:spacing w:before="120" w:after="120" w:line="360" w:lineRule="auto"/>
        <w:jc w:val="both"/>
        <w:rPr>
          <w:rFonts w:ascii="Arial" w:hAnsi="Arial" w:cs="Arial"/>
          <w:b/>
          <w:sz w:val="20"/>
          <w:szCs w:val="20"/>
        </w:rPr>
      </w:pPr>
      <w:r>
        <w:rPr>
          <w:rFonts w:ascii="Arial" w:hAnsi="Arial" w:cs="Arial"/>
          <w:b/>
          <w:sz w:val="20"/>
          <w:szCs w:val="20"/>
        </w:rPr>
        <w:t>III - DA DOCUMENTAÇÃO</w:t>
      </w:r>
    </w:p>
    <w:p w14:paraId="2F3EBE5F" w14:textId="77777777" w:rsidR="000D2D1D" w:rsidRDefault="000D2D1D" w:rsidP="000D2D1D">
      <w:pPr>
        <w:tabs>
          <w:tab w:val="left" w:pos="9498"/>
        </w:tabs>
        <w:spacing w:before="120" w:after="120" w:line="360" w:lineRule="auto"/>
        <w:ind w:firstLine="567"/>
        <w:jc w:val="both"/>
        <w:rPr>
          <w:rFonts w:ascii="Arial" w:hAnsi="Arial" w:cs="Arial"/>
          <w:sz w:val="20"/>
          <w:szCs w:val="20"/>
        </w:rPr>
      </w:pPr>
      <w:r>
        <w:rPr>
          <w:rFonts w:ascii="Arial" w:hAnsi="Arial" w:cs="Arial"/>
          <w:sz w:val="20"/>
          <w:szCs w:val="20"/>
        </w:rPr>
        <w:t>Encontram-se acostados nos autos os documentos abaixo:</w:t>
      </w:r>
      <w:r>
        <w:rPr>
          <w:rFonts w:ascii="Arial" w:hAnsi="Arial" w:cs="Arial"/>
          <w:bCs/>
          <w:sz w:val="20"/>
          <w:szCs w:val="20"/>
        </w:rPr>
        <w:t xml:space="preserve"> </w:t>
      </w:r>
    </w:p>
    <w:p w14:paraId="151A1490" w14:textId="60549E9A" w:rsidR="000D2D1D" w:rsidRDefault="000D2D1D" w:rsidP="000D2D1D">
      <w:pPr>
        <w:pStyle w:val="PargrafodaLista"/>
        <w:numPr>
          <w:ilvl w:val="0"/>
          <w:numId w:val="1"/>
        </w:numPr>
        <w:tabs>
          <w:tab w:val="left" w:pos="9498"/>
        </w:tabs>
        <w:spacing w:before="120" w:after="120" w:line="360" w:lineRule="auto"/>
        <w:ind w:left="714" w:hanging="357"/>
        <w:jc w:val="both"/>
        <w:rPr>
          <w:rFonts w:ascii="Arial" w:hAnsi="Arial" w:cs="Arial"/>
          <w:sz w:val="20"/>
          <w:szCs w:val="20"/>
        </w:rPr>
      </w:pPr>
      <w:r>
        <w:rPr>
          <w:rFonts w:ascii="Arial" w:hAnsi="Arial" w:cs="Arial"/>
          <w:sz w:val="20"/>
          <w:szCs w:val="20"/>
        </w:rPr>
        <w:t>Comunicação Interna [MOV. 1. n.º 0</w:t>
      </w:r>
      <w:r w:rsidR="007128BC">
        <w:rPr>
          <w:rFonts w:ascii="Arial" w:hAnsi="Arial" w:cs="Arial"/>
          <w:sz w:val="20"/>
          <w:szCs w:val="20"/>
        </w:rPr>
        <w:t>90</w:t>
      </w:r>
      <w:r>
        <w:rPr>
          <w:rFonts w:ascii="Arial" w:hAnsi="Arial" w:cs="Arial"/>
          <w:sz w:val="20"/>
          <w:szCs w:val="20"/>
        </w:rPr>
        <w:t>/2026-SEGEP/TCE/AP];</w:t>
      </w:r>
    </w:p>
    <w:p w14:paraId="249387D2" w14:textId="7823E5F0" w:rsidR="000D2D1D" w:rsidRDefault="000D2D1D" w:rsidP="002923F0">
      <w:pPr>
        <w:pStyle w:val="PargrafodaLista"/>
        <w:numPr>
          <w:ilvl w:val="0"/>
          <w:numId w:val="1"/>
        </w:numPr>
        <w:tabs>
          <w:tab w:val="left" w:pos="9498"/>
        </w:tabs>
        <w:spacing w:before="120" w:after="120" w:line="360" w:lineRule="auto"/>
        <w:ind w:left="714" w:hanging="357"/>
        <w:rPr>
          <w:rFonts w:ascii="Arial" w:hAnsi="Arial" w:cs="Arial"/>
          <w:sz w:val="20"/>
          <w:szCs w:val="20"/>
        </w:rPr>
      </w:pPr>
      <w:r>
        <w:rPr>
          <w:rFonts w:ascii="Arial" w:hAnsi="Arial" w:cs="Arial"/>
          <w:sz w:val="20"/>
          <w:szCs w:val="20"/>
        </w:rPr>
        <w:t>Solicitação, Disponibilidade orçamentária e autorização do Presidente do TCE/AP [</w:t>
      </w:r>
      <w:r w:rsidRPr="002923F0">
        <w:rPr>
          <w:rFonts w:ascii="Arial" w:hAnsi="Arial" w:cs="Arial"/>
          <w:sz w:val="18"/>
          <w:szCs w:val="18"/>
        </w:rPr>
        <w:t xml:space="preserve">MOV. 2. </w:t>
      </w:r>
      <w:r w:rsidRPr="002923F0">
        <w:rPr>
          <w:rFonts w:ascii="Arial" w:hAnsi="Arial" w:cs="Arial"/>
          <w:sz w:val="20"/>
          <w:szCs w:val="20"/>
        </w:rPr>
        <w:t>SOLICITAÇÃO</w:t>
      </w:r>
      <w:r w:rsidR="002923F0" w:rsidRPr="002923F0">
        <w:rPr>
          <w:rFonts w:ascii="Arial" w:hAnsi="Arial" w:cs="Arial"/>
          <w:sz w:val="20"/>
          <w:szCs w:val="20"/>
        </w:rPr>
        <w:t xml:space="preserve"> </w:t>
      </w:r>
      <w:r w:rsidRPr="002923F0">
        <w:rPr>
          <w:rFonts w:ascii="Arial" w:hAnsi="Arial" w:cs="Arial"/>
          <w:sz w:val="20"/>
          <w:szCs w:val="20"/>
        </w:rPr>
        <w:t>DE</w:t>
      </w:r>
      <w:r w:rsidR="002923F0" w:rsidRPr="002923F0">
        <w:rPr>
          <w:rFonts w:ascii="Arial" w:hAnsi="Arial" w:cs="Arial"/>
          <w:sz w:val="20"/>
          <w:szCs w:val="20"/>
        </w:rPr>
        <w:t xml:space="preserve"> </w:t>
      </w:r>
      <w:r w:rsidRPr="002923F0">
        <w:rPr>
          <w:rFonts w:ascii="Arial" w:hAnsi="Arial" w:cs="Arial"/>
          <w:sz w:val="20"/>
          <w:szCs w:val="20"/>
        </w:rPr>
        <w:t>VIAGEM/DIÁRIA/INSCRIÇÕES/PASSAGENS /SEGEP</w:t>
      </w:r>
      <w:r>
        <w:rPr>
          <w:rFonts w:ascii="Arial" w:hAnsi="Arial" w:cs="Arial"/>
          <w:sz w:val="20"/>
          <w:szCs w:val="20"/>
        </w:rPr>
        <w:t>];</w:t>
      </w:r>
    </w:p>
    <w:p w14:paraId="4ACE3CE9" w14:textId="1423F35C" w:rsidR="000D2D1D" w:rsidRDefault="000D2D1D" w:rsidP="000D2D1D">
      <w:pPr>
        <w:pStyle w:val="PargrafodaLista"/>
        <w:numPr>
          <w:ilvl w:val="0"/>
          <w:numId w:val="1"/>
        </w:numPr>
        <w:tabs>
          <w:tab w:val="left" w:pos="9498"/>
        </w:tabs>
        <w:spacing w:before="120" w:after="120" w:line="360" w:lineRule="auto"/>
        <w:ind w:left="714" w:hanging="357"/>
        <w:jc w:val="both"/>
        <w:rPr>
          <w:rFonts w:ascii="Arial" w:hAnsi="Arial" w:cs="Arial"/>
          <w:sz w:val="20"/>
          <w:szCs w:val="20"/>
        </w:rPr>
      </w:pPr>
      <w:bookmarkStart w:id="2" w:name="_Hlk221781391"/>
      <w:r>
        <w:rPr>
          <w:rFonts w:ascii="Arial" w:hAnsi="Arial" w:cs="Arial"/>
          <w:sz w:val="20"/>
          <w:szCs w:val="20"/>
        </w:rPr>
        <w:t xml:space="preserve">Programação [MOV. </w:t>
      </w:r>
      <w:r w:rsidR="002923F0">
        <w:rPr>
          <w:rFonts w:ascii="Arial" w:hAnsi="Arial" w:cs="Arial"/>
          <w:sz w:val="20"/>
          <w:szCs w:val="20"/>
        </w:rPr>
        <w:t>4</w:t>
      </w:r>
      <w:r>
        <w:rPr>
          <w:rFonts w:ascii="Arial" w:hAnsi="Arial" w:cs="Arial"/>
          <w:sz w:val="20"/>
          <w:szCs w:val="20"/>
        </w:rPr>
        <w:t>. ANEXO</w:t>
      </w:r>
      <w:bookmarkStart w:id="3" w:name="_Hlk227049303"/>
      <w:r>
        <w:rPr>
          <w:rFonts w:ascii="Arial" w:hAnsi="Arial" w:cs="Arial"/>
          <w:sz w:val="20"/>
          <w:szCs w:val="20"/>
        </w:rPr>
        <w:t>];</w:t>
      </w:r>
    </w:p>
    <w:bookmarkEnd w:id="2"/>
    <w:bookmarkEnd w:id="3"/>
    <w:p w14:paraId="7FBA5A7A" w14:textId="77777777" w:rsidR="002923F0" w:rsidRDefault="000D2D1D" w:rsidP="002923F0">
      <w:pPr>
        <w:pStyle w:val="PargrafodaLista"/>
        <w:numPr>
          <w:ilvl w:val="0"/>
          <w:numId w:val="1"/>
        </w:numPr>
        <w:tabs>
          <w:tab w:val="left" w:pos="9498"/>
        </w:tabs>
        <w:spacing w:before="120" w:after="120" w:line="360" w:lineRule="auto"/>
        <w:jc w:val="both"/>
        <w:rPr>
          <w:rFonts w:ascii="Arial" w:hAnsi="Arial" w:cs="Arial"/>
          <w:sz w:val="20"/>
          <w:szCs w:val="20"/>
        </w:rPr>
      </w:pPr>
      <w:r w:rsidRPr="002923F0">
        <w:rPr>
          <w:rFonts w:ascii="Arial" w:hAnsi="Arial" w:cs="Arial"/>
          <w:sz w:val="20"/>
          <w:szCs w:val="20"/>
        </w:rPr>
        <w:t>Estudo Técnico Preliminar [</w:t>
      </w:r>
      <w:r w:rsidRPr="002923F0">
        <w:rPr>
          <w:rFonts w:ascii="Arial" w:hAnsi="Arial" w:cs="Arial"/>
          <w:sz w:val="18"/>
          <w:szCs w:val="18"/>
        </w:rPr>
        <w:t xml:space="preserve">MOV. </w:t>
      </w:r>
      <w:r w:rsidR="002923F0" w:rsidRPr="002923F0">
        <w:rPr>
          <w:rFonts w:ascii="Arial" w:hAnsi="Arial" w:cs="Arial"/>
          <w:sz w:val="18"/>
          <w:szCs w:val="18"/>
        </w:rPr>
        <w:t>9</w:t>
      </w:r>
      <w:r w:rsidRPr="002923F0">
        <w:rPr>
          <w:rFonts w:ascii="Arial" w:hAnsi="Arial" w:cs="Arial"/>
          <w:sz w:val="18"/>
          <w:szCs w:val="18"/>
        </w:rPr>
        <w:t xml:space="preserve"> ESTUDO TÉCNICO PRELIMINAR </w:t>
      </w:r>
      <w:r w:rsidRPr="002923F0">
        <w:rPr>
          <w:rFonts w:ascii="Arial" w:hAnsi="Arial" w:cs="Arial"/>
          <w:sz w:val="20"/>
          <w:szCs w:val="20"/>
        </w:rPr>
        <w:t xml:space="preserve">n.º </w:t>
      </w:r>
      <w:r w:rsidR="002923F0" w:rsidRPr="002923F0">
        <w:rPr>
          <w:rFonts w:ascii="Arial" w:hAnsi="Arial" w:cs="Arial"/>
          <w:sz w:val="20"/>
          <w:szCs w:val="20"/>
        </w:rPr>
        <w:t>12</w:t>
      </w:r>
      <w:r w:rsidRPr="002923F0">
        <w:rPr>
          <w:rFonts w:ascii="Arial" w:hAnsi="Arial" w:cs="Arial"/>
          <w:sz w:val="20"/>
          <w:szCs w:val="20"/>
        </w:rPr>
        <w:t>/2026-Div. PLAN. DAS CONTRATAÇÕE</w:t>
      </w:r>
      <w:r w:rsidR="002923F0">
        <w:rPr>
          <w:rFonts w:ascii="Arial" w:hAnsi="Arial" w:cs="Arial"/>
          <w:sz w:val="20"/>
          <w:szCs w:val="20"/>
        </w:rPr>
        <w:t>S];</w:t>
      </w:r>
    </w:p>
    <w:p w14:paraId="6C72DA9A" w14:textId="55019DEC" w:rsidR="002923F0" w:rsidRPr="002923F0" w:rsidRDefault="002923F0" w:rsidP="002923F0">
      <w:pPr>
        <w:pStyle w:val="PargrafodaLista"/>
        <w:numPr>
          <w:ilvl w:val="0"/>
          <w:numId w:val="1"/>
        </w:numPr>
        <w:tabs>
          <w:tab w:val="left" w:pos="9498"/>
        </w:tabs>
        <w:spacing w:before="120" w:after="120" w:line="360" w:lineRule="auto"/>
        <w:jc w:val="both"/>
        <w:rPr>
          <w:rFonts w:ascii="Arial" w:hAnsi="Arial" w:cs="Arial"/>
          <w:sz w:val="20"/>
          <w:szCs w:val="20"/>
        </w:rPr>
      </w:pPr>
      <w:r w:rsidRPr="002923F0">
        <w:rPr>
          <w:rFonts w:ascii="Arial" w:hAnsi="Arial" w:cs="Arial"/>
          <w:sz w:val="20"/>
          <w:szCs w:val="20"/>
        </w:rPr>
        <w:t xml:space="preserve"> H</w:t>
      </w:r>
      <w:r>
        <w:rPr>
          <w:rFonts w:ascii="Arial" w:hAnsi="Arial" w:cs="Arial"/>
          <w:sz w:val="20"/>
          <w:szCs w:val="20"/>
        </w:rPr>
        <w:t>abilitação</w:t>
      </w:r>
      <w:r w:rsidRPr="002923F0">
        <w:rPr>
          <w:rFonts w:ascii="Arial" w:hAnsi="Arial" w:cs="Arial"/>
          <w:sz w:val="20"/>
          <w:szCs w:val="20"/>
        </w:rPr>
        <w:t xml:space="preserve"> [</w:t>
      </w:r>
      <w:r>
        <w:rPr>
          <w:rFonts w:ascii="Arial" w:hAnsi="Arial" w:cs="Arial"/>
          <w:sz w:val="20"/>
          <w:szCs w:val="20"/>
        </w:rPr>
        <w:t>HABILITAÇÃO - 21/2026</w:t>
      </w:r>
      <w:r w:rsidRPr="002923F0">
        <w:rPr>
          <w:rFonts w:ascii="Arial" w:hAnsi="Arial" w:cs="Arial"/>
          <w:sz w:val="18"/>
          <w:szCs w:val="18"/>
        </w:rPr>
        <w:t>-DIV. PLAN. DAS CONTRATAÇÕES]</w:t>
      </w:r>
      <w:r w:rsidRPr="002923F0">
        <w:rPr>
          <w:rFonts w:ascii="Arial" w:hAnsi="Arial" w:cs="Arial"/>
          <w:sz w:val="20"/>
          <w:szCs w:val="20"/>
        </w:rPr>
        <w:t>;</w:t>
      </w:r>
    </w:p>
    <w:p w14:paraId="48FB1E0E" w14:textId="77777777" w:rsidR="000D2D1D" w:rsidRDefault="000D2D1D" w:rsidP="000D2D1D">
      <w:pPr>
        <w:tabs>
          <w:tab w:val="left" w:pos="9498"/>
        </w:tabs>
        <w:spacing w:before="120" w:after="120" w:line="360" w:lineRule="auto"/>
        <w:jc w:val="both"/>
        <w:rPr>
          <w:rFonts w:ascii="Arial" w:hAnsi="Arial" w:cs="Arial"/>
          <w:b/>
          <w:sz w:val="20"/>
          <w:szCs w:val="20"/>
        </w:rPr>
      </w:pPr>
      <w:r>
        <w:rPr>
          <w:rFonts w:ascii="Arial" w:hAnsi="Arial" w:cs="Arial"/>
          <w:b/>
          <w:sz w:val="20"/>
          <w:szCs w:val="20"/>
        </w:rPr>
        <w:t>IV- DA FUNDAMENTAÇÃO LEGAL</w:t>
      </w:r>
    </w:p>
    <w:p w14:paraId="64BCDCF8" w14:textId="2B270087" w:rsidR="000D2D1D" w:rsidRDefault="000D2D1D" w:rsidP="000D2D1D">
      <w:pPr>
        <w:autoSpaceDE w:val="0"/>
        <w:autoSpaceDN w:val="0"/>
        <w:adjustRightInd w:val="0"/>
        <w:spacing w:before="120" w:after="120" w:line="360" w:lineRule="auto"/>
        <w:ind w:firstLine="567"/>
        <w:jc w:val="both"/>
        <w:rPr>
          <w:rFonts w:ascii="Arial" w:hAnsi="Arial" w:cs="Arial"/>
          <w:bCs/>
          <w:sz w:val="20"/>
          <w:szCs w:val="20"/>
        </w:rPr>
      </w:pPr>
      <w:r>
        <w:rPr>
          <w:rFonts w:ascii="Arial" w:hAnsi="Arial" w:cs="Arial"/>
          <w:bCs/>
          <w:sz w:val="20"/>
          <w:szCs w:val="20"/>
        </w:rPr>
        <w:t xml:space="preserve">A contratação direta para a participação </w:t>
      </w:r>
      <w:r w:rsidR="002923F0">
        <w:rPr>
          <w:rFonts w:ascii="Arial" w:hAnsi="Arial" w:cs="Arial"/>
          <w:bCs/>
          <w:sz w:val="20"/>
          <w:szCs w:val="20"/>
        </w:rPr>
        <w:t>do servidor</w:t>
      </w:r>
      <w:r>
        <w:rPr>
          <w:rFonts w:ascii="Arial" w:hAnsi="Arial" w:cs="Arial"/>
          <w:bCs/>
          <w:sz w:val="20"/>
          <w:szCs w:val="20"/>
        </w:rPr>
        <w:t xml:space="preserve"> no </w:t>
      </w:r>
      <w:r w:rsidR="002923F0">
        <w:rPr>
          <w:rFonts w:ascii="Arial" w:hAnsi="Arial" w:cs="Arial"/>
          <w:bCs/>
          <w:sz w:val="20"/>
          <w:szCs w:val="20"/>
        </w:rPr>
        <w:t>curso</w:t>
      </w:r>
      <w:r>
        <w:rPr>
          <w:rFonts w:ascii="Arial" w:hAnsi="Arial" w:cs="Arial"/>
          <w:bCs/>
          <w:sz w:val="20"/>
          <w:szCs w:val="20"/>
        </w:rPr>
        <w:t xml:space="preserve"> mencionado </w:t>
      </w:r>
      <w:r>
        <w:rPr>
          <w:rFonts w:ascii="Arial" w:eastAsia="Arial" w:hAnsi="Arial" w:cs="Arial"/>
          <w:color w:val="000000"/>
          <w:sz w:val="20"/>
          <w:szCs w:val="20"/>
        </w:rPr>
        <w:t xml:space="preserve">está protegida </w:t>
      </w:r>
      <w:r>
        <w:rPr>
          <w:rFonts w:ascii="Arial" w:hAnsi="Arial" w:cs="Arial"/>
          <w:bCs/>
          <w:sz w:val="20"/>
          <w:szCs w:val="20"/>
        </w:rPr>
        <w:t>pelo Art. 74, inciso III, da Lei nº 14.133/2021, que prevê a inexigibilidade de licitação para:</w:t>
      </w:r>
    </w:p>
    <w:p w14:paraId="3C7606C9" w14:textId="77777777" w:rsidR="000D2D1D" w:rsidRDefault="000D2D1D" w:rsidP="000D2D1D">
      <w:pPr>
        <w:autoSpaceDE w:val="0"/>
        <w:autoSpaceDN w:val="0"/>
        <w:adjustRightInd w:val="0"/>
        <w:spacing w:before="120" w:after="120"/>
        <w:ind w:left="567"/>
        <w:jc w:val="both"/>
        <w:rPr>
          <w:rFonts w:ascii="Arial" w:hAnsi="Arial" w:cs="Arial"/>
          <w:bCs/>
          <w:sz w:val="20"/>
          <w:szCs w:val="20"/>
        </w:rPr>
      </w:pPr>
      <w:r>
        <w:rPr>
          <w:rFonts w:ascii="Arial" w:hAnsi="Arial" w:cs="Arial"/>
          <w:bCs/>
          <w:sz w:val="20"/>
          <w:szCs w:val="20"/>
        </w:rPr>
        <w:t>Art. 74. É inexigível a licitação quando inviável a competição, em especial nos casos de:</w:t>
      </w:r>
    </w:p>
    <w:p w14:paraId="16EF2E0E" w14:textId="77777777" w:rsidR="000D2D1D" w:rsidRDefault="000D2D1D" w:rsidP="000D2D1D">
      <w:pPr>
        <w:autoSpaceDE w:val="0"/>
        <w:autoSpaceDN w:val="0"/>
        <w:adjustRightInd w:val="0"/>
        <w:spacing w:before="120" w:after="120"/>
        <w:ind w:left="567"/>
        <w:jc w:val="both"/>
        <w:rPr>
          <w:rFonts w:ascii="Arial" w:hAnsi="Arial" w:cs="Arial"/>
          <w:bCs/>
          <w:sz w:val="20"/>
          <w:szCs w:val="20"/>
        </w:rPr>
      </w:pPr>
      <w:r>
        <w:rPr>
          <w:rFonts w:ascii="Arial" w:hAnsi="Arial" w:cs="Arial"/>
          <w:bCs/>
          <w:sz w:val="20"/>
          <w:szCs w:val="20"/>
        </w:rPr>
        <w:t>(...)</w:t>
      </w:r>
    </w:p>
    <w:p w14:paraId="70C68B2D" w14:textId="77777777" w:rsidR="000D2D1D" w:rsidRDefault="000D2D1D" w:rsidP="000D2D1D">
      <w:pPr>
        <w:autoSpaceDE w:val="0"/>
        <w:autoSpaceDN w:val="0"/>
        <w:adjustRightInd w:val="0"/>
        <w:spacing w:before="120" w:after="120"/>
        <w:ind w:left="567"/>
        <w:jc w:val="both"/>
        <w:rPr>
          <w:rFonts w:ascii="Arial" w:hAnsi="Arial" w:cs="Arial"/>
          <w:bCs/>
          <w:sz w:val="20"/>
          <w:szCs w:val="20"/>
        </w:rPr>
      </w:pPr>
      <w:r>
        <w:rPr>
          <w:rFonts w:ascii="Arial" w:hAnsi="Arial" w:cs="Arial"/>
          <w:bCs/>
          <w:sz w:val="20"/>
          <w:szCs w:val="20"/>
        </w:rPr>
        <w:t>III - contratação dos seguintes serviços técnicos especializados de natureza predominantemente intelectual com profissionais ou empresas de notória especialização, vedada a inexigibilidade para serviços de publicidade e divulgação:</w:t>
      </w:r>
    </w:p>
    <w:p w14:paraId="0BD6311E" w14:textId="77777777" w:rsidR="000D2D1D" w:rsidRDefault="000D2D1D" w:rsidP="000D2D1D">
      <w:pPr>
        <w:autoSpaceDE w:val="0"/>
        <w:autoSpaceDN w:val="0"/>
        <w:adjustRightInd w:val="0"/>
        <w:spacing w:before="120" w:after="120"/>
        <w:ind w:left="567"/>
        <w:jc w:val="both"/>
        <w:rPr>
          <w:rFonts w:ascii="Arial" w:hAnsi="Arial" w:cs="Arial"/>
          <w:bCs/>
          <w:sz w:val="20"/>
          <w:szCs w:val="20"/>
        </w:rPr>
      </w:pPr>
    </w:p>
    <w:p w14:paraId="3326F170" w14:textId="77777777" w:rsidR="000D2D1D" w:rsidRDefault="000D2D1D" w:rsidP="000D2D1D">
      <w:pPr>
        <w:autoSpaceDE w:val="0"/>
        <w:autoSpaceDN w:val="0"/>
        <w:adjustRightInd w:val="0"/>
        <w:spacing w:before="120" w:after="120" w:line="360" w:lineRule="auto"/>
        <w:ind w:firstLine="567"/>
        <w:jc w:val="both"/>
        <w:rPr>
          <w:rFonts w:ascii="Arial" w:hAnsi="Arial" w:cs="Arial"/>
          <w:bCs/>
          <w:sz w:val="20"/>
          <w:szCs w:val="20"/>
        </w:rPr>
      </w:pPr>
      <w:r>
        <w:rPr>
          <w:rFonts w:ascii="Arial" w:hAnsi="Arial" w:cs="Arial"/>
          <w:bCs/>
          <w:sz w:val="20"/>
          <w:szCs w:val="20"/>
        </w:rPr>
        <w:t xml:space="preserve">À vista disso, justifica-se a presente contratação pelo tema específico, cuja relevância é notória, diante da necessidade de aperfeiçoamento dos agentes e servidores públicos, onde esta instituição   vem, cada vez mais, investindo em capacitação visando a excelência nos serviços ofertados. </w:t>
      </w:r>
    </w:p>
    <w:p w14:paraId="78092F99" w14:textId="77777777" w:rsidR="000D2D1D" w:rsidRDefault="000D2D1D" w:rsidP="000D2D1D">
      <w:pPr>
        <w:autoSpaceDE w:val="0"/>
        <w:autoSpaceDN w:val="0"/>
        <w:adjustRightInd w:val="0"/>
        <w:spacing w:before="120" w:after="120" w:line="360" w:lineRule="auto"/>
        <w:ind w:firstLine="567"/>
        <w:jc w:val="both"/>
        <w:rPr>
          <w:rFonts w:ascii="Arial" w:eastAsiaTheme="minorHAnsi" w:hAnsi="Arial" w:cs="Arial"/>
          <w:sz w:val="20"/>
          <w:szCs w:val="20"/>
          <w:lang w:eastAsia="en-US"/>
        </w:rPr>
      </w:pPr>
      <w:r>
        <w:rPr>
          <w:rFonts w:ascii="Arial" w:hAnsi="Arial" w:cs="Arial"/>
          <w:bCs/>
          <w:sz w:val="20"/>
          <w:szCs w:val="20"/>
        </w:rPr>
        <w:t>Como aponta o Tribunal de Contas da União (TCU), a notória especialização caracteriza-se pela comprovação de singularidade técnica e capacidade diferenciada, capaz de proporcionar resultados superiores e de qualidade em relação a alternativas disponíveis (Manual de Licitações e Contratos, 5ª Ed., 2023). Nesse contexto, a contratação direta torna-se a alternativa mais apropriada e legalmente amparada, atendendo aos princípios de eficiência e economicidade que regem a Administração Pública.</w:t>
      </w:r>
    </w:p>
    <w:p w14:paraId="1373FF97" w14:textId="77777777" w:rsidR="000D2D1D" w:rsidRDefault="000D2D1D" w:rsidP="000D2D1D">
      <w:pPr>
        <w:autoSpaceDE w:val="0"/>
        <w:autoSpaceDN w:val="0"/>
        <w:adjustRightInd w:val="0"/>
        <w:spacing w:before="120" w:after="120" w:line="360" w:lineRule="auto"/>
        <w:ind w:firstLine="567"/>
        <w:jc w:val="both"/>
        <w:rPr>
          <w:rFonts w:ascii="Arial" w:eastAsiaTheme="minorHAnsi" w:hAnsi="Arial" w:cs="Arial"/>
          <w:sz w:val="20"/>
          <w:szCs w:val="20"/>
          <w:lang w:eastAsia="en-US"/>
        </w:rPr>
      </w:pPr>
      <w:r>
        <w:rPr>
          <w:rFonts w:ascii="Arial" w:eastAsiaTheme="minorHAnsi" w:hAnsi="Arial" w:cs="Arial"/>
          <w:sz w:val="20"/>
          <w:szCs w:val="20"/>
          <w:lang w:eastAsia="en-US"/>
        </w:rPr>
        <w:t>Anotamos, ainda, que pelo enquadramento do dispositivo legal, há necessidade de análise do órgão de assessoramento jurídico, conforme preconiza o art. 53, da Lei 14.133/2021:</w:t>
      </w:r>
    </w:p>
    <w:p w14:paraId="6420F2D5" w14:textId="77777777" w:rsidR="000D2D1D" w:rsidRDefault="000D2D1D" w:rsidP="000D2D1D">
      <w:pPr>
        <w:autoSpaceDE w:val="0"/>
        <w:autoSpaceDN w:val="0"/>
        <w:adjustRightInd w:val="0"/>
        <w:spacing w:before="120" w:after="120"/>
        <w:ind w:left="567"/>
        <w:jc w:val="both"/>
        <w:rPr>
          <w:rFonts w:ascii="Arial" w:eastAsiaTheme="minorHAnsi" w:hAnsi="Arial" w:cs="Arial"/>
          <w:sz w:val="20"/>
          <w:szCs w:val="20"/>
          <w:lang w:eastAsia="en-US"/>
        </w:rPr>
      </w:pPr>
      <w:r>
        <w:rPr>
          <w:rFonts w:ascii="Arial" w:eastAsiaTheme="minorHAnsi" w:hAnsi="Arial" w:cs="Arial"/>
          <w:sz w:val="20"/>
          <w:szCs w:val="20"/>
          <w:lang w:eastAsia="en-US"/>
        </w:rPr>
        <w:t>Art. 53. (...)</w:t>
      </w:r>
    </w:p>
    <w:p w14:paraId="5F10D14F" w14:textId="77777777" w:rsidR="000D2D1D" w:rsidRDefault="000D2D1D" w:rsidP="000D2D1D">
      <w:pPr>
        <w:autoSpaceDE w:val="0"/>
        <w:autoSpaceDN w:val="0"/>
        <w:adjustRightInd w:val="0"/>
        <w:spacing w:before="120" w:after="120"/>
        <w:ind w:left="567"/>
        <w:jc w:val="both"/>
        <w:rPr>
          <w:rFonts w:ascii="Arial" w:eastAsiaTheme="minorHAnsi" w:hAnsi="Arial" w:cs="Arial"/>
          <w:sz w:val="20"/>
          <w:szCs w:val="20"/>
          <w:lang w:eastAsia="en-US"/>
        </w:rPr>
      </w:pPr>
      <w:r>
        <w:rPr>
          <w:rFonts w:ascii="Arial" w:eastAsiaTheme="minorHAnsi" w:hAnsi="Arial" w:cs="Arial"/>
          <w:sz w:val="20"/>
          <w:szCs w:val="20"/>
          <w:lang w:eastAsia="en-US"/>
        </w:rPr>
        <w:t>§ 4º Na forma deste artigo, o órgão de assessoramento jurídico da Administração também realizará controle prévio de legalidade de contratações diretas, acordos, termos de cooperação, convênios, ajustes, adesões a atas de registro de preços, outros instrumentos congêneres e de seus termos aditivos.</w:t>
      </w:r>
    </w:p>
    <w:p w14:paraId="233AAE2D" w14:textId="77777777" w:rsidR="000D2D1D" w:rsidRDefault="000D2D1D" w:rsidP="000D2D1D">
      <w:pPr>
        <w:autoSpaceDE w:val="0"/>
        <w:autoSpaceDN w:val="0"/>
        <w:adjustRightInd w:val="0"/>
        <w:spacing w:before="120" w:after="120"/>
        <w:ind w:left="567"/>
        <w:jc w:val="both"/>
        <w:rPr>
          <w:rFonts w:ascii="Arial" w:eastAsiaTheme="minorHAnsi" w:hAnsi="Arial" w:cs="Arial"/>
          <w:sz w:val="20"/>
          <w:szCs w:val="20"/>
          <w:lang w:eastAsia="en-US"/>
        </w:rPr>
      </w:pPr>
    </w:p>
    <w:p w14:paraId="1D38AC19" w14:textId="77777777" w:rsidR="000D2D1D" w:rsidRDefault="000D2D1D" w:rsidP="000D2D1D">
      <w:pPr>
        <w:tabs>
          <w:tab w:val="left" w:pos="9498"/>
        </w:tabs>
        <w:spacing w:before="120" w:after="120" w:line="360" w:lineRule="auto"/>
        <w:jc w:val="both"/>
        <w:rPr>
          <w:rFonts w:ascii="Arial" w:hAnsi="Arial" w:cs="Arial"/>
          <w:b/>
          <w:sz w:val="20"/>
          <w:szCs w:val="20"/>
        </w:rPr>
      </w:pPr>
      <w:r>
        <w:rPr>
          <w:rFonts w:ascii="Arial" w:hAnsi="Arial" w:cs="Arial"/>
          <w:b/>
          <w:sz w:val="20"/>
          <w:szCs w:val="20"/>
        </w:rPr>
        <w:t>V- CONCLUSÃO</w:t>
      </w:r>
    </w:p>
    <w:p w14:paraId="222EF3F4" w14:textId="24BB8DF5" w:rsidR="000D2D1D" w:rsidRPr="0095108E" w:rsidRDefault="000D2D1D" w:rsidP="0095108E">
      <w:pPr>
        <w:tabs>
          <w:tab w:val="left" w:pos="9498"/>
        </w:tabs>
        <w:spacing w:before="120" w:after="120" w:line="360" w:lineRule="auto"/>
        <w:ind w:firstLine="567"/>
        <w:jc w:val="both"/>
        <w:rPr>
          <w:rFonts w:ascii="Arial" w:hAnsi="Arial" w:cs="Arial"/>
          <w:color w:val="000000"/>
          <w:sz w:val="20"/>
          <w:szCs w:val="20"/>
        </w:rPr>
      </w:pPr>
      <w:r w:rsidRPr="0095108E">
        <w:rPr>
          <w:rFonts w:ascii="Arial" w:hAnsi="Arial" w:cs="Arial"/>
          <w:bCs/>
          <w:sz w:val="20"/>
          <w:szCs w:val="20"/>
        </w:rPr>
        <w:lastRenderedPageBreak/>
        <w:t>Diante das justificativas apresentadas e do atendimento aos requisitos legais, conclui-se pela viabilidade da contratação direta por inexigibilidade de licitação, com fundamento no Art. 74, inciso III, da Lei nº 14.133/2021, com o</w:t>
      </w:r>
      <w:r w:rsidR="002923F0" w:rsidRPr="0095108E">
        <w:rPr>
          <w:rFonts w:ascii="Arial" w:hAnsi="Arial" w:cs="Arial"/>
          <w:b/>
          <w:bCs/>
          <w:sz w:val="20"/>
          <w:szCs w:val="20"/>
        </w:rPr>
        <w:t xml:space="preserve"> ESAFI - ESCOLA DE ADMINISTRAÇÃO E TREINAMENTO LTDA, CNPJ: 35.963.479/0001-46,</w:t>
      </w:r>
      <w:r w:rsidR="0095108E" w:rsidRPr="0095108E">
        <w:rPr>
          <w:rFonts w:ascii="Arial" w:hAnsi="Arial" w:cs="Arial"/>
          <w:b/>
          <w:bCs/>
          <w:sz w:val="20"/>
          <w:szCs w:val="20"/>
        </w:rPr>
        <w:t xml:space="preserve"> </w:t>
      </w:r>
      <w:r w:rsidR="0095108E" w:rsidRPr="0095108E">
        <w:rPr>
          <w:rFonts w:ascii="Arial" w:hAnsi="Arial" w:cs="Arial"/>
          <w:sz w:val="20"/>
          <w:szCs w:val="20"/>
        </w:rPr>
        <w:t>no valor total de</w:t>
      </w:r>
      <w:r w:rsidR="0095108E" w:rsidRPr="0095108E">
        <w:rPr>
          <w:rFonts w:ascii="Arial" w:hAnsi="Arial" w:cs="Arial"/>
          <w:b/>
          <w:bCs/>
          <w:iCs/>
          <w:sz w:val="20"/>
          <w:szCs w:val="20"/>
        </w:rPr>
        <w:t xml:space="preserve"> R$ </w:t>
      </w:r>
      <w:r w:rsidR="0095108E" w:rsidRPr="0095108E">
        <w:rPr>
          <w:rFonts w:ascii="Arial" w:hAnsi="Arial" w:cs="Arial"/>
          <w:b/>
          <w:bCs/>
          <w:sz w:val="20"/>
          <w:szCs w:val="20"/>
        </w:rPr>
        <w:t xml:space="preserve">4.290,00 (quatro mil, duzentos e noventa reais), </w:t>
      </w:r>
      <w:r w:rsidRPr="0095108E">
        <w:rPr>
          <w:rFonts w:ascii="Arial" w:hAnsi="Arial" w:cs="Arial"/>
          <w:color w:val="000000"/>
          <w:sz w:val="20"/>
          <w:szCs w:val="20"/>
        </w:rPr>
        <w:t>que se encontra devidamente habilitado.</w:t>
      </w:r>
    </w:p>
    <w:p w14:paraId="1E4C3648" w14:textId="77777777" w:rsidR="000D2D1D" w:rsidRDefault="000D2D1D" w:rsidP="000D2D1D">
      <w:pPr>
        <w:tabs>
          <w:tab w:val="left" w:pos="9498"/>
        </w:tabs>
        <w:spacing w:line="360" w:lineRule="auto"/>
        <w:ind w:left="-284" w:firstLine="851"/>
        <w:jc w:val="both"/>
        <w:rPr>
          <w:rFonts w:ascii="Arial" w:hAnsi="Arial" w:cs="Arial"/>
          <w:color w:val="000000"/>
          <w:sz w:val="20"/>
          <w:szCs w:val="20"/>
        </w:rPr>
      </w:pPr>
      <w:r>
        <w:rPr>
          <w:rFonts w:ascii="Arial" w:hAnsi="Arial" w:cs="Arial"/>
          <w:color w:val="000000"/>
          <w:sz w:val="20"/>
          <w:szCs w:val="20"/>
        </w:rPr>
        <w:t>Para fins de garantir a ampla publicidade, transparência e a conformidade normativa este ato, a</w:t>
      </w:r>
      <w:r>
        <w:rPr>
          <w:rFonts w:ascii="Arial" w:hAnsi="Arial" w:cs="Arial"/>
          <w:bCs/>
          <w:sz w:val="20"/>
          <w:szCs w:val="20"/>
        </w:rPr>
        <w:t xml:space="preserve">pós aprovação pela Presidência, </w:t>
      </w:r>
      <w:r>
        <w:rPr>
          <w:rFonts w:ascii="Arial" w:hAnsi="Arial" w:cs="Arial"/>
          <w:color w:val="000000"/>
          <w:sz w:val="20"/>
          <w:szCs w:val="20"/>
        </w:rPr>
        <w:t xml:space="preserve">que autoriza a inexigibilidade de licitação, junto com os demais documentos constantes deste processo, será divulgado no prazo legal: </w:t>
      </w:r>
      <w:r>
        <w:rPr>
          <w:rFonts w:ascii="Arial" w:hAnsi="Arial" w:cs="Arial"/>
          <w:b/>
          <w:bCs/>
          <w:color w:val="000000"/>
          <w:sz w:val="20"/>
          <w:szCs w:val="20"/>
        </w:rPr>
        <w:t>I</w:t>
      </w:r>
      <w:r>
        <w:rPr>
          <w:rFonts w:ascii="Arial" w:hAnsi="Arial" w:cs="Arial"/>
          <w:color w:val="000000"/>
          <w:sz w:val="20"/>
          <w:szCs w:val="20"/>
        </w:rPr>
        <w:t xml:space="preserve"> – Portal </w:t>
      </w:r>
      <w:r>
        <w:rPr>
          <w:rFonts w:ascii="Arial" w:hAnsi="Arial" w:cs="Arial"/>
          <w:bCs/>
          <w:sz w:val="20"/>
          <w:szCs w:val="20"/>
        </w:rPr>
        <w:t xml:space="preserve">Nacional de Contratações Públicas (PNCP); </w:t>
      </w:r>
      <w:r>
        <w:rPr>
          <w:rFonts w:ascii="Arial" w:hAnsi="Arial" w:cs="Arial"/>
          <w:b/>
          <w:bCs/>
          <w:color w:val="000000"/>
          <w:sz w:val="20"/>
          <w:szCs w:val="20"/>
        </w:rPr>
        <w:t>II</w:t>
      </w:r>
      <w:r>
        <w:rPr>
          <w:rFonts w:ascii="Arial" w:hAnsi="Arial" w:cs="Arial"/>
          <w:color w:val="000000"/>
          <w:sz w:val="20"/>
          <w:szCs w:val="20"/>
        </w:rPr>
        <w:t xml:space="preserve"> – Site Eletrônico Oficial; III - Diário Oficial Eletrônico do TCE/AP.</w:t>
      </w:r>
    </w:p>
    <w:p w14:paraId="6CCB2B11" w14:textId="77777777" w:rsidR="000D2D1D" w:rsidRDefault="000D2D1D" w:rsidP="000D2D1D">
      <w:pPr>
        <w:tabs>
          <w:tab w:val="left" w:pos="9498"/>
        </w:tabs>
        <w:spacing w:line="360" w:lineRule="auto"/>
        <w:ind w:left="-284" w:firstLine="993"/>
        <w:jc w:val="both"/>
        <w:rPr>
          <w:rFonts w:ascii="Arial" w:hAnsi="Arial" w:cs="Arial"/>
          <w:b/>
          <w:bCs/>
          <w:color w:val="000000"/>
          <w:sz w:val="20"/>
          <w:szCs w:val="20"/>
        </w:rPr>
      </w:pPr>
    </w:p>
    <w:p w14:paraId="49400CE2" w14:textId="3EC68116" w:rsidR="000D2D1D" w:rsidRDefault="000D2D1D" w:rsidP="000D2D1D">
      <w:pPr>
        <w:tabs>
          <w:tab w:val="left" w:pos="9498"/>
        </w:tabs>
        <w:spacing w:before="120" w:after="120" w:line="360" w:lineRule="auto"/>
        <w:rPr>
          <w:rFonts w:ascii="Arial" w:hAnsi="Arial" w:cs="Arial"/>
          <w:bCs/>
          <w:sz w:val="20"/>
          <w:szCs w:val="20"/>
        </w:rPr>
      </w:pPr>
      <w:r>
        <w:rPr>
          <w:rFonts w:ascii="Arial" w:hAnsi="Arial" w:cs="Arial"/>
          <w:bCs/>
          <w:sz w:val="20"/>
          <w:szCs w:val="20"/>
        </w:rPr>
        <w:t xml:space="preserve">Macapá-AP, </w:t>
      </w:r>
      <w:r w:rsidR="00680F61">
        <w:rPr>
          <w:rFonts w:ascii="Arial" w:hAnsi="Arial" w:cs="Arial"/>
          <w:bCs/>
          <w:sz w:val="20"/>
          <w:szCs w:val="20"/>
        </w:rPr>
        <w:t>14</w:t>
      </w:r>
      <w:r>
        <w:rPr>
          <w:rFonts w:ascii="Arial" w:hAnsi="Arial" w:cs="Arial"/>
          <w:bCs/>
          <w:sz w:val="20"/>
          <w:szCs w:val="20"/>
        </w:rPr>
        <w:t xml:space="preserve"> de abril de 2026.</w:t>
      </w:r>
    </w:p>
    <w:p w14:paraId="72F37937" w14:textId="77777777" w:rsidR="000D2D1D" w:rsidRPr="00A45485" w:rsidRDefault="000D2D1D" w:rsidP="000D2D1D">
      <w:pPr>
        <w:pStyle w:val="SemEspaamento"/>
        <w:jc w:val="center"/>
        <w:rPr>
          <w:rFonts w:ascii="Arial" w:hAnsi="Arial" w:cs="Arial"/>
          <w:b/>
          <w:bCs/>
          <w:i/>
          <w:iCs/>
          <w:sz w:val="20"/>
          <w:szCs w:val="20"/>
        </w:rPr>
      </w:pPr>
      <w:r w:rsidRPr="00A45485">
        <w:rPr>
          <w:rFonts w:ascii="Monotype Corsiva" w:hAnsi="Monotype Corsiva" w:cs="Arial"/>
          <w:b/>
          <w:bCs/>
          <w:i/>
          <w:iCs/>
        </w:rPr>
        <w:t>M</w:t>
      </w:r>
      <w:r w:rsidRPr="00A45485">
        <w:rPr>
          <w:rFonts w:ascii="Arial" w:hAnsi="Arial" w:cs="Arial"/>
          <w:b/>
          <w:bCs/>
          <w:i/>
          <w:iCs/>
          <w:sz w:val="20"/>
          <w:szCs w:val="20"/>
        </w:rPr>
        <w:t xml:space="preserve">aria </w:t>
      </w:r>
      <w:r w:rsidRPr="00A45485">
        <w:rPr>
          <w:rFonts w:ascii="Monotype Corsiva" w:hAnsi="Monotype Corsiva" w:cs="Arial"/>
          <w:b/>
          <w:bCs/>
          <w:i/>
          <w:iCs/>
        </w:rPr>
        <w:t>O</w:t>
      </w:r>
      <w:r w:rsidRPr="00A45485">
        <w:rPr>
          <w:rFonts w:ascii="Arial" w:hAnsi="Arial" w:cs="Arial"/>
          <w:b/>
          <w:bCs/>
          <w:i/>
          <w:iCs/>
          <w:sz w:val="20"/>
          <w:szCs w:val="20"/>
        </w:rPr>
        <w:t xml:space="preserve">rlandina </w:t>
      </w:r>
      <w:r w:rsidRPr="00A45485">
        <w:rPr>
          <w:rFonts w:ascii="Monotype Corsiva" w:hAnsi="Monotype Corsiva" w:cs="Arial"/>
          <w:b/>
          <w:bCs/>
          <w:i/>
          <w:iCs/>
        </w:rPr>
        <w:t>F</w:t>
      </w:r>
      <w:r w:rsidRPr="00A45485">
        <w:rPr>
          <w:rFonts w:ascii="Arial" w:hAnsi="Arial" w:cs="Arial"/>
          <w:b/>
          <w:bCs/>
          <w:i/>
          <w:iCs/>
          <w:sz w:val="20"/>
          <w:szCs w:val="20"/>
        </w:rPr>
        <w:t xml:space="preserve">erreira </w:t>
      </w:r>
      <w:r w:rsidRPr="00A45485">
        <w:rPr>
          <w:rFonts w:ascii="Monotype Corsiva" w:hAnsi="Monotype Corsiva" w:cs="Arial"/>
          <w:b/>
          <w:bCs/>
          <w:i/>
          <w:iCs/>
        </w:rPr>
        <w:t>T</w:t>
      </w:r>
      <w:r w:rsidRPr="00A45485">
        <w:rPr>
          <w:rFonts w:ascii="Arial" w:hAnsi="Arial" w:cs="Arial"/>
          <w:b/>
          <w:bCs/>
          <w:i/>
          <w:iCs/>
          <w:sz w:val="20"/>
          <w:szCs w:val="20"/>
        </w:rPr>
        <w:t>eles</w:t>
      </w:r>
    </w:p>
    <w:p w14:paraId="017E1B23" w14:textId="77777777" w:rsidR="000D2D1D" w:rsidRDefault="000D2D1D" w:rsidP="000D2D1D">
      <w:pPr>
        <w:jc w:val="center"/>
        <w:rPr>
          <w:rFonts w:ascii="Arial" w:hAnsi="Arial" w:cs="Arial"/>
          <w:b/>
          <w:bCs/>
          <w:sz w:val="20"/>
          <w:szCs w:val="20"/>
        </w:rPr>
      </w:pPr>
      <w:r>
        <w:rPr>
          <w:rFonts w:ascii="Arial" w:hAnsi="Arial" w:cs="Arial"/>
          <w:b/>
          <w:bCs/>
          <w:sz w:val="20"/>
          <w:szCs w:val="20"/>
        </w:rPr>
        <w:t>Tec. de Cont. Externo</w:t>
      </w:r>
    </w:p>
    <w:p w14:paraId="5DE3AD68" w14:textId="77777777" w:rsidR="000D2D1D" w:rsidRDefault="000D2D1D" w:rsidP="000D2D1D">
      <w:pPr>
        <w:jc w:val="center"/>
        <w:rPr>
          <w:rFonts w:ascii="Arial" w:hAnsi="Arial" w:cs="Arial"/>
          <w:bCs/>
          <w:sz w:val="20"/>
          <w:szCs w:val="20"/>
        </w:rPr>
      </w:pPr>
      <w:r>
        <w:rPr>
          <w:rFonts w:ascii="Arial" w:hAnsi="Arial" w:cs="Arial"/>
          <w:bCs/>
          <w:sz w:val="20"/>
          <w:szCs w:val="20"/>
        </w:rPr>
        <w:t>Mat.081</w:t>
      </w:r>
    </w:p>
    <w:p w14:paraId="0280689F" w14:textId="77777777" w:rsidR="000D2D1D" w:rsidRDefault="000D2D1D" w:rsidP="000D2D1D">
      <w:pPr>
        <w:jc w:val="center"/>
        <w:rPr>
          <w:rFonts w:ascii="Arial" w:hAnsi="Arial" w:cs="Arial"/>
          <w:bCs/>
          <w:sz w:val="20"/>
          <w:szCs w:val="20"/>
        </w:rPr>
      </w:pPr>
    </w:p>
    <w:p w14:paraId="133A41AE" w14:textId="77777777" w:rsidR="000D2D1D" w:rsidRDefault="000D2D1D" w:rsidP="000D2D1D">
      <w:pPr>
        <w:jc w:val="center"/>
        <w:rPr>
          <w:rFonts w:ascii="Arial" w:hAnsi="Arial" w:cs="Arial"/>
          <w:bCs/>
          <w:sz w:val="20"/>
          <w:szCs w:val="20"/>
        </w:rPr>
      </w:pPr>
    </w:p>
    <w:p w14:paraId="3CF6603E" w14:textId="77777777" w:rsidR="000D2D1D" w:rsidRDefault="000D2D1D" w:rsidP="000D2D1D">
      <w:pPr>
        <w:shd w:val="clear" w:color="auto" w:fill="FFFFFF" w:themeFill="background1"/>
        <w:ind w:left="720"/>
        <w:rPr>
          <w:rFonts w:ascii="Arial" w:hAnsi="Arial" w:cs="Arial"/>
          <w:b/>
          <w:bCs/>
          <w:i/>
          <w:iCs/>
          <w:sz w:val="20"/>
          <w:szCs w:val="20"/>
        </w:rPr>
      </w:pPr>
      <w:r>
        <w:rPr>
          <w:rFonts w:ascii="Arial" w:hAnsi="Arial" w:cs="Arial"/>
          <w:b/>
          <w:bCs/>
          <w:i/>
          <w:iCs/>
          <w:sz w:val="20"/>
          <w:szCs w:val="20"/>
        </w:rPr>
        <w:t>Danielly de Queiroz Pereira</w:t>
      </w:r>
    </w:p>
    <w:p w14:paraId="52D7058F" w14:textId="77777777" w:rsidR="000D2D1D" w:rsidRDefault="000D2D1D" w:rsidP="000D2D1D">
      <w:pPr>
        <w:shd w:val="clear" w:color="auto" w:fill="FFFFFF" w:themeFill="background1"/>
        <w:ind w:left="720"/>
        <w:jc w:val="center"/>
        <w:rPr>
          <w:rFonts w:ascii="Arial" w:hAnsi="Arial" w:cs="Arial"/>
          <w:sz w:val="20"/>
          <w:szCs w:val="20"/>
        </w:rPr>
      </w:pPr>
      <w:r>
        <w:rPr>
          <w:rFonts w:ascii="Arial" w:hAnsi="Arial" w:cs="Arial"/>
          <w:sz w:val="20"/>
          <w:szCs w:val="20"/>
        </w:rPr>
        <w:t>Coordenadora de Compras e   Contratos</w:t>
      </w:r>
    </w:p>
    <w:p w14:paraId="1DFD3364" w14:textId="77777777" w:rsidR="000D2D1D" w:rsidRDefault="000D2D1D" w:rsidP="000D2D1D">
      <w:pPr>
        <w:shd w:val="clear" w:color="auto" w:fill="FFFFFF" w:themeFill="background1"/>
        <w:ind w:left="720"/>
        <w:rPr>
          <w:rFonts w:ascii="Arial" w:hAnsi="Arial" w:cs="Arial"/>
          <w:sz w:val="20"/>
          <w:szCs w:val="20"/>
        </w:rPr>
      </w:pPr>
      <w:r>
        <w:rPr>
          <w:rFonts w:ascii="Arial" w:hAnsi="Arial" w:cs="Arial"/>
          <w:sz w:val="20"/>
          <w:szCs w:val="20"/>
        </w:rPr>
        <w:t>Portaria n. 1397/2025-TCE/AP</w:t>
      </w:r>
    </w:p>
    <w:p w14:paraId="5DE11AEC" w14:textId="77777777" w:rsidR="000D2D1D" w:rsidRDefault="000D2D1D" w:rsidP="000D2D1D">
      <w:pPr>
        <w:tabs>
          <w:tab w:val="left" w:pos="9498"/>
        </w:tabs>
        <w:spacing w:before="120" w:after="120" w:line="360" w:lineRule="auto"/>
        <w:rPr>
          <w:rFonts w:ascii="Arial" w:hAnsi="Arial" w:cs="Arial"/>
          <w:bCs/>
          <w:sz w:val="20"/>
          <w:szCs w:val="20"/>
        </w:rPr>
      </w:pPr>
    </w:p>
    <w:p w14:paraId="42214059" w14:textId="77777777" w:rsidR="000D2D1D" w:rsidRDefault="000D2D1D"/>
    <w:sectPr w:rsidR="000D2D1D" w:rsidSect="000D2D1D">
      <w:headerReference w:type="default" r:id="rId7"/>
      <w:pgSz w:w="11906" w:h="16838"/>
      <w:pgMar w:top="1417" w:right="1701" w:bottom="1417"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2B0801" w14:textId="77777777" w:rsidR="000D2D1D" w:rsidRDefault="000D2D1D" w:rsidP="000D2D1D">
      <w:r>
        <w:separator/>
      </w:r>
    </w:p>
  </w:endnote>
  <w:endnote w:type="continuationSeparator" w:id="0">
    <w:p w14:paraId="2608F0BA" w14:textId="77777777" w:rsidR="000D2D1D" w:rsidRDefault="000D2D1D" w:rsidP="000D2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onotype Corsiva">
    <w:panose1 w:val="03010101010201010101"/>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667DC" w14:textId="77777777" w:rsidR="000D2D1D" w:rsidRDefault="000D2D1D" w:rsidP="000D2D1D">
      <w:r>
        <w:separator/>
      </w:r>
    </w:p>
  </w:footnote>
  <w:footnote w:type="continuationSeparator" w:id="0">
    <w:p w14:paraId="40A93333" w14:textId="77777777" w:rsidR="000D2D1D" w:rsidRDefault="000D2D1D" w:rsidP="000D2D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C4E8D6" w14:textId="2202E1B4" w:rsidR="000D2D1D" w:rsidRDefault="000D2D1D">
    <w:pPr>
      <w:pStyle w:val="Cabealho"/>
    </w:pPr>
    <w:r w:rsidRPr="002F3E62">
      <w:rPr>
        <w:noProof/>
      </w:rPr>
      <w:drawing>
        <wp:inline distT="0" distB="0" distL="0" distR="0" wp14:anchorId="67630958" wp14:editId="5D6A5E77">
          <wp:extent cx="2352675" cy="695960"/>
          <wp:effectExtent l="0" t="0" r="9525" b="8890"/>
          <wp:docPr id="1712997866" name="Imagem 1712997866" descr="C:\Users\juliano.andrade\Downloads\Nova Logo T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no.andrade\Downloads\Nova Logo TC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95" cy="701616"/>
                  </a:xfrm>
                  <a:prstGeom prst="rect">
                    <a:avLst/>
                  </a:prstGeom>
                  <a:noFill/>
                  <a:ln>
                    <a:noFill/>
                  </a:ln>
                </pic:spPr>
              </pic:pic>
            </a:graphicData>
          </a:graphic>
        </wp:inline>
      </w:drawing>
    </w:r>
  </w:p>
  <w:p w14:paraId="4C57067C" w14:textId="77777777" w:rsidR="000D2D1D" w:rsidRDefault="000D2D1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EF1403"/>
    <w:multiLevelType w:val="hybridMultilevel"/>
    <w:tmpl w:val="6A4EBDE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D1D"/>
    <w:rsid w:val="000B02C8"/>
    <w:rsid w:val="000D2D1D"/>
    <w:rsid w:val="002923F0"/>
    <w:rsid w:val="00451414"/>
    <w:rsid w:val="00680F61"/>
    <w:rsid w:val="007128BC"/>
    <w:rsid w:val="0095108E"/>
    <w:rsid w:val="009576C2"/>
    <w:rsid w:val="00CC7D8D"/>
    <w:rsid w:val="00ED0EB2"/>
    <w:rsid w:val="00F519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E735A"/>
  <w15:chartTrackingRefBased/>
  <w15:docId w15:val="{A4FD2DBA-8CA0-4019-976B-60B080FA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D1D"/>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0D2D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0D2D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D2D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D2D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D2D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D2D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D2D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D2D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D2D1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D2D1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0D2D1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D2D1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D2D1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D2D1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D2D1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D2D1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D2D1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D2D1D"/>
    <w:rPr>
      <w:rFonts w:eastAsiaTheme="majorEastAsia" w:cstheme="majorBidi"/>
      <w:color w:val="272727" w:themeColor="text1" w:themeTint="D8"/>
    </w:rPr>
  </w:style>
  <w:style w:type="paragraph" w:styleId="Ttulo">
    <w:name w:val="Title"/>
    <w:basedOn w:val="Normal"/>
    <w:next w:val="Normal"/>
    <w:link w:val="TtuloChar"/>
    <w:uiPriority w:val="10"/>
    <w:qFormat/>
    <w:rsid w:val="000D2D1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D2D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D2D1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D2D1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D2D1D"/>
    <w:pPr>
      <w:spacing w:before="160"/>
      <w:jc w:val="center"/>
    </w:pPr>
    <w:rPr>
      <w:i/>
      <w:iCs/>
      <w:color w:val="404040" w:themeColor="text1" w:themeTint="BF"/>
    </w:rPr>
  </w:style>
  <w:style w:type="character" w:customStyle="1" w:styleId="CitaoChar">
    <w:name w:val="Citação Char"/>
    <w:basedOn w:val="Fontepargpadro"/>
    <w:link w:val="Citao"/>
    <w:uiPriority w:val="29"/>
    <w:rsid w:val="000D2D1D"/>
    <w:rPr>
      <w:i/>
      <w:iCs/>
      <w:color w:val="404040" w:themeColor="text1" w:themeTint="BF"/>
    </w:rPr>
  </w:style>
  <w:style w:type="paragraph" w:styleId="PargrafodaLista">
    <w:name w:val="List Paragraph"/>
    <w:basedOn w:val="Normal"/>
    <w:uiPriority w:val="34"/>
    <w:qFormat/>
    <w:rsid w:val="000D2D1D"/>
    <w:pPr>
      <w:ind w:left="720"/>
      <w:contextualSpacing/>
    </w:pPr>
  </w:style>
  <w:style w:type="character" w:styleId="nfaseIntensa">
    <w:name w:val="Intense Emphasis"/>
    <w:basedOn w:val="Fontepargpadro"/>
    <w:uiPriority w:val="21"/>
    <w:qFormat/>
    <w:rsid w:val="000D2D1D"/>
    <w:rPr>
      <w:i/>
      <w:iCs/>
      <w:color w:val="2F5496" w:themeColor="accent1" w:themeShade="BF"/>
    </w:rPr>
  </w:style>
  <w:style w:type="paragraph" w:styleId="CitaoIntensa">
    <w:name w:val="Intense Quote"/>
    <w:basedOn w:val="Normal"/>
    <w:next w:val="Normal"/>
    <w:link w:val="CitaoIntensaChar"/>
    <w:uiPriority w:val="30"/>
    <w:qFormat/>
    <w:rsid w:val="000D2D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D2D1D"/>
    <w:rPr>
      <w:i/>
      <w:iCs/>
      <w:color w:val="2F5496" w:themeColor="accent1" w:themeShade="BF"/>
    </w:rPr>
  </w:style>
  <w:style w:type="character" w:styleId="RefernciaIntensa">
    <w:name w:val="Intense Reference"/>
    <w:basedOn w:val="Fontepargpadro"/>
    <w:uiPriority w:val="32"/>
    <w:qFormat/>
    <w:rsid w:val="000D2D1D"/>
    <w:rPr>
      <w:b/>
      <w:bCs/>
      <w:smallCaps/>
      <w:color w:val="2F5496" w:themeColor="accent1" w:themeShade="BF"/>
      <w:spacing w:val="5"/>
    </w:rPr>
  </w:style>
  <w:style w:type="paragraph" w:styleId="SemEspaamento">
    <w:name w:val="No Spacing"/>
    <w:uiPriority w:val="1"/>
    <w:qFormat/>
    <w:rsid w:val="000D2D1D"/>
    <w:pPr>
      <w:spacing w:after="0" w:line="240" w:lineRule="auto"/>
    </w:pPr>
    <w:rPr>
      <w:rFonts w:ascii="Times New Roman" w:eastAsia="Times New Roman" w:hAnsi="Times New Roman" w:cs="Times New Roman"/>
      <w:kern w:val="0"/>
      <w:lang w:eastAsia="pt-BR"/>
      <w14:ligatures w14:val="none"/>
    </w:rPr>
  </w:style>
  <w:style w:type="character" w:styleId="Forte">
    <w:name w:val="Strong"/>
    <w:basedOn w:val="Fontepargpadro"/>
    <w:uiPriority w:val="22"/>
    <w:qFormat/>
    <w:rsid w:val="000D2D1D"/>
    <w:rPr>
      <w:b/>
      <w:bCs/>
    </w:rPr>
  </w:style>
  <w:style w:type="paragraph" w:styleId="Cabealho">
    <w:name w:val="header"/>
    <w:basedOn w:val="Normal"/>
    <w:link w:val="CabealhoChar"/>
    <w:uiPriority w:val="99"/>
    <w:unhideWhenUsed/>
    <w:rsid w:val="000D2D1D"/>
    <w:pPr>
      <w:tabs>
        <w:tab w:val="center" w:pos="4252"/>
        <w:tab w:val="right" w:pos="8504"/>
      </w:tabs>
    </w:pPr>
  </w:style>
  <w:style w:type="character" w:customStyle="1" w:styleId="CabealhoChar">
    <w:name w:val="Cabeçalho Char"/>
    <w:basedOn w:val="Fontepargpadro"/>
    <w:link w:val="Cabealho"/>
    <w:uiPriority w:val="99"/>
    <w:rsid w:val="000D2D1D"/>
    <w:rPr>
      <w:rFonts w:ascii="Times New Roman" w:eastAsia="Times New Roman" w:hAnsi="Times New Roman" w:cs="Times New Roman"/>
      <w:kern w:val="0"/>
      <w:lang w:eastAsia="pt-BR"/>
      <w14:ligatures w14:val="none"/>
    </w:rPr>
  </w:style>
  <w:style w:type="paragraph" w:styleId="Rodap">
    <w:name w:val="footer"/>
    <w:basedOn w:val="Normal"/>
    <w:link w:val="RodapChar"/>
    <w:uiPriority w:val="99"/>
    <w:unhideWhenUsed/>
    <w:rsid w:val="000D2D1D"/>
    <w:pPr>
      <w:tabs>
        <w:tab w:val="center" w:pos="4252"/>
        <w:tab w:val="right" w:pos="8504"/>
      </w:tabs>
    </w:pPr>
  </w:style>
  <w:style w:type="character" w:customStyle="1" w:styleId="RodapChar">
    <w:name w:val="Rodapé Char"/>
    <w:basedOn w:val="Fontepargpadro"/>
    <w:link w:val="Rodap"/>
    <w:uiPriority w:val="99"/>
    <w:rsid w:val="000D2D1D"/>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893</Words>
  <Characters>4826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Orlandina Ferreira Teles</dc:creator>
  <cp:keywords/>
  <dc:description/>
  <cp:lastModifiedBy>Juliano de Andrade Araujo</cp:lastModifiedBy>
  <cp:revision>6</cp:revision>
  <dcterms:created xsi:type="dcterms:W3CDTF">2026-04-14T11:19:00Z</dcterms:created>
  <dcterms:modified xsi:type="dcterms:W3CDTF">2026-04-14T12:17:00Z</dcterms:modified>
</cp:coreProperties>
</file>