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media/image3.jpeg" ContentType="image/jpeg"/>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1.xml.rels" ContentType="application/vnd.openxmlformats-package.relationships+xml"/>
  <Override PartName="/word/_rels/header4.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360"/>
        <w:jc w:val="center"/>
        <w:rPr>
          <w:b/>
          <w:b/>
          <w:u w:val="single"/>
          <w:lang w:eastAsia="ar-SA"/>
        </w:rPr>
      </w:pPr>
      <w:bookmarkStart w:id="0" w:name="_Hlk532543390"/>
      <w:bookmarkEnd w:id="0"/>
      <w:r>
        <w:rPr>
          <w:b/>
          <w:u w:val="single"/>
          <w:lang w:eastAsia="ar-SA"/>
        </w:rPr>
        <w:t xml:space="preserve"> </w:t>
      </w:r>
      <w:r>
        <w:rPr>
          <w:b/>
          <w:u w:val="single"/>
          <w:lang w:eastAsia="ar-SA"/>
        </w:rPr>
        <w:t>TERMO DE REFERÊNCIA</w:t>
      </w:r>
    </w:p>
    <w:p>
      <w:pPr>
        <w:pStyle w:val="Normal"/>
        <w:suppressAutoHyphens w:val="true"/>
        <w:spacing w:before="0" w:after="360"/>
        <w:ind w:left="3969" w:hanging="0"/>
        <w:jc w:val="both"/>
        <w:rPr>
          <w:lang w:eastAsia="ar-SA"/>
        </w:rPr>
      </w:pPr>
      <w:r>
        <w:rPr>
          <w:lang w:eastAsia="ar-SA"/>
        </w:rPr>
        <w:t xml:space="preserve">AQUISIÇÃO DE </w:t>
      </w:r>
      <w:r>
        <w:rPr>
          <w:rFonts w:eastAsia="Times New Roman" w:cs="Times New Roman"/>
          <w:color w:val="auto"/>
          <w:kern w:val="0"/>
          <w:sz w:val="24"/>
          <w:szCs w:val="24"/>
          <w:lang w:val="pt-BR" w:eastAsia="ar-SA" w:bidi="ar-SA"/>
        </w:rPr>
        <w:t>UTENSÍLIOS DE COZINHA PARA ATENDER AS UNIDADES ESCOLARES QUE INTEGRAM O PROGRAMA ESCOLA EM TEMPO INTEGRAL, PARA ATENDIMENTO AOS ALUNOS MATRICULADOS – Categorias de despesas incluídas no inciso V do art. 70 da LDB. Manual de Execução Tempo Integral.</w:t>
      </w:r>
    </w:p>
    <w:p>
      <w:pPr>
        <w:pStyle w:val="ListParagraph"/>
        <w:widowControl w:val="false"/>
        <w:numPr>
          <w:ilvl w:val="0"/>
          <w:numId w:val="2"/>
        </w:numPr>
        <w:suppressAutoHyphens w:val="true"/>
        <w:jc w:val="both"/>
        <w:rPr/>
      </w:pPr>
      <w:r>
        <w:rPr>
          <w:rStyle w:val="Strong"/>
        </w:rPr>
        <w:t>OBJETO</w:t>
      </w:r>
    </w:p>
    <w:p>
      <w:pPr>
        <w:pStyle w:val="ListParagraph"/>
        <w:widowControl w:val="false"/>
        <w:suppressAutoHyphens w:val="true"/>
        <w:ind w:left="0" w:hanging="0"/>
        <w:jc w:val="both"/>
        <w:rPr/>
      </w:pPr>
      <w:r>
        <w:rPr/>
      </w:r>
    </w:p>
    <w:p>
      <w:pPr>
        <w:pStyle w:val="ListParagraph"/>
        <w:widowControl w:val="false"/>
        <w:numPr>
          <w:ilvl w:val="1"/>
          <w:numId w:val="2"/>
        </w:numPr>
        <w:suppressAutoHyphens w:val="true"/>
        <w:spacing w:before="0" w:after="120"/>
        <w:jc w:val="both"/>
        <w:rPr/>
      </w:pPr>
      <w:r>
        <w:rPr>
          <w:color w:val="000000"/>
        </w:rPr>
        <w:t xml:space="preserve">Aquisição de </w:t>
      </w:r>
      <w:r>
        <w:rPr>
          <w:rFonts w:eastAsia="Times New Roman" w:cs="Times New Roman"/>
          <w:color w:val="000000"/>
          <w:kern w:val="0"/>
          <w:sz w:val="24"/>
          <w:szCs w:val="24"/>
          <w:lang w:val="pt-BR" w:eastAsia="pt-BR" w:bidi="ar-SA"/>
        </w:rPr>
        <w:t>utensílios de cozinha para auxiliar</w:t>
      </w:r>
      <w:r>
        <w:rPr>
          <w:color w:val="000000"/>
        </w:rPr>
        <w:t xml:space="preserve"> nas refeições fornecidas na alimentação escolar para as Unidades Escolares integradas ao Programa Escola de Tempo Integral no município de Vassouras fornecida, conforme especificações e previsão de quantidades estabelecidas no </w:t>
      </w:r>
      <w:r>
        <w:rPr>
          <w:b/>
          <w:bCs/>
          <w:color w:val="000000"/>
        </w:rPr>
        <w:t>ANEXO I</w:t>
      </w:r>
      <w:r>
        <w:rPr>
          <w:color w:val="000000"/>
        </w:rPr>
        <w:t>:</w:t>
      </w:r>
    </w:p>
    <w:p>
      <w:pPr>
        <w:pStyle w:val="ListParagraph"/>
        <w:widowControl w:val="false"/>
        <w:numPr>
          <w:ilvl w:val="1"/>
          <w:numId w:val="2"/>
        </w:numPr>
        <w:suppressAutoHyphens w:val="true"/>
        <w:spacing w:before="0" w:after="120"/>
        <w:jc w:val="both"/>
        <w:rPr/>
      </w:pPr>
      <w:r>
        <w:rPr/>
        <w:t>O presente termo foi estimado para o período de 12 meses, assim como as quantidades para suprir as refeições elaboradas nas unidades.</w:t>
      </w:r>
    </w:p>
    <w:p>
      <w:pPr>
        <w:pStyle w:val="ListParagraph"/>
        <w:widowControl w:val="false"/>
        <w:numPr>
          <w:ilvl w:val="1"/>
          <w:numId w:val="2"/>
        </w:numPr>
        <w:suppressAutoHyphens w:val="true"/>
        <w:spacing w:before="0" w:after="120"/>
        <w:jc w:val="both"/>
        <w:rPr/>
      </w:pPr>
      <w:r>
        <w:rPr/>
        <w:t>O quantitativo está dentro do necessário para atender ambas Unidades Escolares e foram calculados de acordo com o número de alunos e refeições quentes preparadas diariamente para os alunos matriculados nessas Unidades Escolares.</w:t>
      </w:r>
    </w:p>
    <w:p>
      <w:pPr>
        <w:pStyle w:val="ListParagraph"/>
        <w:widowControl w:val="false"/>
        <w:numPr>
          <w:ilvl w:val="0"/>
          <w:numId w:val="0"/>
        </w:numPr>
        <w:suppressAutoHyphens w:val="true"/>
        <w:spacing w:before="0" w:after="120"/>
        <w:ind w:left="992" w:hanging="0"/>
        <w:jc w:val="both"/>
        <w:rPr/>
      </w:pPr>
      <w:r>
        <w:rPr>
          <w:rFonts w:eastAsia="SimSun;宋体" w:cs="Times New Roman"/>
          <w:b/>
          <w:color w:val="auto"/>
          <w:sz w:val="22"/>
          <w:szCs w:val="22"/>
          <w:lang w:val="pt-BR" w:bidi="ar-SA"/>
        </w:rPr>
        <w:t>1. Creche Municipal Santa Rita</w:t>
      </w:r>
    </w:p>
    <w:p>
      <w:pPr>
        <w:pStyle w:val="ListParagraph"/>
        <w:widowControl w:val="false"/>
        <w:numPr>
          <w:ilvl w:val="0"/>
          <w:numId w:val="0"/>
        </w:numPr>
        <w:suppressAutoHyphens w:val="true"/>
        <w:spacing w:before="0" w:after="120"/>
        <w:ind w:left="992" w:hanging="0"/>
        <w:jc w:val="both"/>
        <w:rPr>
          <w:rFonts w:ascii="Times New Roman" w:hAnsi="Times New Roman" w:cs="Times New Roman"/>
          <w:b w:val="false"/>
          <w:b w:val="false"/>
          <w:bCs w:val="false"/>
          <w:sz w:val="22"/>
          <w:szCs w:val="22"/>
        </w:rPr>
      </w:pPr>
      <w:r>
        <w:rPr>
          <w:rFonts w:cs="Times New Roman"/>
          <w:b w:val="false"/>
          <w:bCs w:val="false"/>
          <w:sz w:val="22"/>
          <w:szCs w:val="22"/>
        </w:rPr>
        <w:t>Endereço: Av. Marechal Paulo Torres, 647, Centro -Vassouras – 48 matrículas</w:t>
      </w:r>
    </w:p>
    <w:p>
      <w:pPr>
        <w:pStyle w:val="Normal"/>
        <w:widowControl/>
        <w:numPr>
          <w:ilvl w:val="0"/>
          <w:numId w:val="2"/>
        </w:numPr>
        <w:suppressAutoHyphens w:val="true"/>
        <w:bidi w:val="0"/>
        <w:spacing w:lineRule="auto" w:line="240" w:before="0" w:after="0"/>
        <w:ind w:left="1020" w:right="0" w:hanging="0"/>
        <w:jc w:val="left"/>
        <w:rPr>
          <w:rFonts w:ascii="Times New Roman" w:hAnsi="Times New Roman" w:cs="Times New Roman"/>
          <w:b/>
          <w:b/>
          <w:sz w:val="22"/>
          <w:szCs w:val="22"/>
        </w:rPr>
      </w:pPr>
      <w:r>
        <w:rPr>
          <w:rFonts w:cs="Times New Roman"/>
          <w:b/>
          <w:sz w:val="22"/>
          <w:szCs w:val="22"/>
        </w:rPr>
        <w:t>Escola Municipal Joaquim Pinto e Souza</w:t>
      </w:r>
    </w:p>
    <w:p>
      <w:pPr>
        <w:pStyle w:val="Normal"/>
        <w:widowControl w:val="false"/>
        <w:numPr>
          <w:ilvl w:val="0"/>
          <w:numId w:val="0"/>
        </w:numPr>
        <w:suppressAutoHyphens w:val="true"/>
        <w:bidi w:val="0"/>
        <w:spacing w:before="0" w:after="120"/>
        <w:ind w:left="1020" w:right="0" w:hanging="0"/>
        <w:jc w:val="both"/>
        <w:rPr>
          <w:rFonts w:ascii="Times New Roman" w:hAnsi="Times New Roman" w:cs="Times New Roman"/>
          <w:b w:val="false"/>
          <w:b w:val="false"/>
          <w:bCs w:val="false"/>
          <w:sz w:val="22"/>
          <w:szCs w:val="22"/>
        </w:rPr>
      </w:pPr>
      <w:r>
        <w:rPr>
          <w:rFonts w:cs="Times New Roman"/>
          <w:b w:val="false"/>
          <w:bCs w:val="false"/>
          <w:sz w:val="22"/>
          <w:szCs w:val="22"/>
        </w:rPr>
        <w:t>Estrada Barra do Pirai/Mendes, nº 6464 Ipiranga – Vassouras – 69 matrículas</w:t>
      </w:r>
    </w:p>
    <w:p>
      <w:pPr>
        <w:pStyle w:val="Normal"/>
        <w:widowControl w:val="false"/>
        <w:numPr>
          <w:ilvl w:val="0"/>
          <w:numId w:val="0"/>
        </w:numPr>
        <w:suppressAutoHyphens w:val="true"/>
        <w:bidi w:val="0"/>
        <w:spacing w:before="0" w:after="120"/>
        <w:ind w:left="1020" w:right="0" w:hanging="0"/>
        <w:jc w:val="both"/>
        <w:rPr>
          <w:rFonts w:ascii="Times New Roman" w:hAnsi="Times New Roman" w:cs="Times New Roman"/>
          <w:b w:val="false"/>
          <w:b w:val="false"/>
          <w:bCs w:val="false"/>
          <w:sz w:val="22"/>
          <w:szCs w:val="22"/>
        </w:rPr>
      </w:pPr>
      <w:r>
        <w:rPr>
          <w:rFonts w:cs="Times New Roman"/>
          <w:b w:val="false"/>
          <w:bCs w:val="false"/>
          <w:sz w:val="22"/>
          <w:szCs w:val="22"/>
        </w:rPr>
      </w:r>
    </w:p>
    <w:p>
      <w:pPr>
        <w:pStyle w:val="ListParagraph"/>
        <w:widowControl w:val="false"/>
        <w:numPr>
          <w:ilvl w:val="0"/>
          <w:numId w:val="2"/>
        </w:numPr>
        <w:suppressAutoHyphens w:val="true"/>
        <w:spacing w:before="0" w:after="120"/>
        <w:jc w:val="both"/>
        <w:rPr/>
      </w:pPr>
      <w:r>
        <w:rPr>
          <w:b/>
        </w:rPr>
        <w:t>FUNDAMENTAÇÃO LEGAL E ENQUADRAMENTO</w:t>
      </w:r>
    </w:p>
    <w:p>
      <w:pPr>
        <w:pStyle w:val="ListParagraph"/>
        <w:widowControl w:val="false"/>
        <w:numPr>
          <w:ilvl w:val="1"/>
          <w:numId w:val="2"/>
        </w:numPr>
        <w:tabs>
          <w:tab w:val="clear" w:pos="720"/>
          <w:tab w:val="left" w:pos="851" w:leader="none"/>
        </w:tabs>
        <w:suppressAutoHyphens w:val="true"/>
        <w:spacing w:before="0" w:after="120"/>
        <w:jc w:val="both"/>
        <w:rPr/>
      </w:pPr>
      <w:r>
        <w:rPr/>
        <w:t xml:space="preserve">O processo licitatório se dará através da modalidade de DISPENSA DE LICITAÇÃO, com critério de julgamento do MENOR PREÇO GLOBAL, art. 33, I e nas condições estabelecidas neste Termo de Referência, fundamentado pelo art. 75, inciso II, da Lei nº 14.133/2021, face ao valor global se enquadrar nos limites. Levantamento de valor para justificativa, </w:t>
      </w:r>
      <w:r>
        <w:rPr>
          <w:b/>
        </w:rPr>
        <w:t>ANEXO I</w:t>
      </w:r>
      <w:r>
        <w:rPr/>
        <w:t>.</w:t>
      </w:r>
    </w:p>
    <w:p>
      <w:pPr>
        <w:pStyle w:val="Normal"/>
        <w:widowControl w:val="false"/>
        <w:numPr>
          <w:ilvl w:val="1"/>
          <w:numId w:val="2"/>
        </w:numPr>
        <w:tabs>
          <w:tab w:val="clear" w:pos="720"/>
          <w:tab w:val="left" w:pos="851" w:leader="none"/>
        </w:tabs>
        <w:suppressAutoHyphens w:val="true"/>
        <w:jc w:val="both"/>
        <w:rPr/>
      </w:pPr>
      <w:r>
        <w:rPr>
          <w:rFonts w:eastAsia="Arial"/>
          <w:color w:val="000000"/>
        </w:rPr>
        <w:t>Considerando tratar-se de uma contratação simplificada, cujo serviço possui características comuns, capaz de serem objetivamente no termo de referência os padrões de qualidade e de execução dos serviços, a Secretária Ordenadora, nos termos do art. 10 do Decreto Municipal 5.527 de 09 de novembro de 2023, opta pela dispensa da elaboração do ETP – estudo técnico preliminar, na presente contratação</w:t>
      </w:r>
    </w:p>
    <w:p>
      <w:pPr>
        <w:pStyle w:val="Normal"/>
        <w:widowControl w:val="false"/>
        <w:numPr>
          <w:ilvl w:val="0"/>
          <w:numId w:val="2"/>
        </w:numPr>
        <w:suppressAutoHyphens w:val="true"/>
        <w:spacing w:before="240" w:after="120"/>
        <w:jc w:val="both"/>
        <w:rPr/>
      </w:pPr>
      <w:r>
        <w:rPr>
          <w:rStyle w:val="Strong"/>
        </w:rPr>
        <w:t>JUSTIFICATIVA</w:t>
      </w:r>
    </w:p>
    <w:p>
      <w:pPr>
        <w:pStyle w:val="ListParagraph"/>
        <w:widowControl w:val="false"/>
        <w:numPr>
          <w:ilvl w:val="1"/>
          <w:numId w:val="2"/>
        </w:numPr>
        <w:suppressAutoHyphens w:val="true"/>
        <w:spacing w:before="240" w:after="120"/>
        <w:jc w:val="both"/>
        <w:rPr/>
      </w:pPr>
      <w:r>
        <w:rPr>
          <w:color w:val="000000"/>
        </w:rPr>
        <w:t xml:space="preserve">O quantitativo do material solicitado, </w:t>
      </w:r>
      <w:r>
        <w:rPr>
          <w:b/>
          <w:color w:val="000000"/>
        </w:rPr>
        <w:t>ANEXO I,</w:t>
      </w:r>
      <w:r>
        <w:rPr>
          <w:color w:val="000000"/>
        </w:rPr>
        <w:t xml:space="preserve"> faz jus à necessidade em atender </w:t>
      </w:r>
      <w:r>
        <w:rPr>
          <w:b w:val="false"/>
          <w:bCs w:val="false"/>
          <w:color w:val="000000"/>
        </w:rPr>
        <w:t>as Unidades ao longo do ano, face o uso contínuo e de longo período, necessitando de um quantitativo capaz de manter o bom serviço;</w:t>
      </w:r>
    </w:p>
    <w:p>
      <w:pPr>
        <w:pStyle w:val="ListParagraph"/>
        <w:numPr>
          <w:ilvl w:val="1"/>
          <w:numId w:val="2"/>
        </w:numPr>
        <w:suppressAutoHyphens w:val="true"/>
        <w:jc w:val="both"/>
        <w:rPr/>
      </w:pPr>
      <w:r>
        <w:rPr>
          <w:color w:val="000000"/>
        </w:rPr>
        <w:t>O material é de extrema necessidade, uma vez que devemos cumprir às necessidades das Unidades que atendem aos alunos em horário integral.</w:t>
      </w:r>
    </w:p>
    <w:p>
      <w:pPr>
        <w:pStyle w:val="ListParagraph"/>
        <w:numPr>
          <w:ilvl w:val="0"/>
          <w:numId w:val="0"/>
        </w:numPr>
        <w:suppressAutoHyphens w:val="true"/>
        <w:ind w:left="992" w:hanging="0"/>
        <w:jc w:val="both"/>
        <w:rPr>
          <w:color w:val="000000"/>
        </w:rPr>
      </w:pPr>
      <w:r>
        <w:rPr/>
      </w:r>
    </w:p>
    <w:p>
      <w:pPr>
        <w:pStyle w:val="ListParagraph"/>
        <w:numPr>
          <w:ilvl w:val="1"/>
          <w:numId w:val="2"/>
        </w:numPr>
        <w:suppressAutoHyphens w:val="true"/>
        <w:jc w:val="both"/>
        <w:rPr/>
      </w:pPr>
      <w:r>
        <w:rPr>
          <w:rFonts w:cs="Arial" w:ascii="Times New Roman" w:hAnsi="Times New Roman"/>
          <w:sz w:val="24"/>
          <w:szCs w:val="24"/>
        </w:rPr>
        <w:t xml:space="preserve">De acordo com as quantidades informadas pelo Departamento de Nutrição da Secretaria Municipal de Educação, de forma a permitir aos licitantes formular suas propostas, a especificação mínima e quantidades do objeto para atender as Unidades Ensino </w:t>
      </w:r>
      <w:r>
        <w:rPr>
          <w:rFonts w:cs="Arial" w:ascii="Times New Roman" w:hAnsi="Times New Roman"/>
          <w:sz w:val="24"/>
          <w:szCs w:val="24"/>
        </w:rPr>
        <w:t>que integram o Programa Escola em Tempo Integral</w:t>
      </w:r>
      <w:r>
        <w:rPr>
          <w:rFonts w:cs="Arial" w:ascii="Times New Roman" w:hAnsi="Times New Roman"/>
          <w:sz w:val="24"/>
          <w:szCs w:val="24"/>
        </w:rPr>
        <w:t xml:space="preserve">, atendendo ao art. 40, V, A, da Lei 14.133/2021, conforme os itens vão sendo disponibilizados: </w:t>
      </w:r>
      <w:r>
        <w:rPr>
          <w:rFonts w:eastAsia="Times New Roman" w:cs="Arial" w:ascii="Times New Roman" w:hAnsi="Times New Roman"/>
          <w:color w:val="auto"/>
          <w:kern w:val="0"/>
          <w:sz w:val="24"/>
          <w:szCs w:val="24"/>
          <w:lang w:val="pt-BR" w:eastAsia="pt-BR" w:bidi="ar-SA"/>
        </w:rPr>
        <w:t>os ite</w:t>
      </w:r>
      <w:r>
        <w:rPr>
          <w:rFonts w:eastAsia="Times New Roman" w:cs="Arial" w:ascii="Times New Roman" w:hAnsi="Times New Roman"/>
          <w:color w:val="auto"/>
          <w:kern w:val="0"/>
          <w:sz w:val="24"/>
          <w:szCs w:val="24"/>
          <w:lang w:val="pt-BR" w:eastAsia="pt-BR" w:bidi="ar-SA"/>
        </w:rPr>
        <w:t>ns</w:t>
      </w:r>
      <w:r>
        <w:rPr>
          <w:rFonts w:eastAsia="Times New Roman" w:cs="Arial" w:ascii="Times New Roman" w:hAnsi="Times New Roman"/>
          <w:color w:val="auto"/>
          <w:kern w:val="0"/>
          <w:sz w:val="24"/>
          <w:szCs w:val="24"/>
          <w:lang w:val="pt-BR" w:eastAsia="pt-BR" w:bidi="ar-SA"/>
        </w:rPr>
        <w:t xml:space="preserve"> solicitados</w:t>
      </w:r>
      <w:r>
        <w:rPr>
          <w:rFonts w:cs="Arial" w:ascii="Times New Roman" w:hAnsi="Times New Roman"/>
          <w:sz w:val="24"/>
          <w:szCs w:val="24"/>
        </w:rPr>
        <w:t xml:space="preserve"> neste processo ainda não teve sua padronização definida sob os critérios do PNCP.</w:t>
      </w:r>
    </w:p>
    <w:p>
      <w:pPr>
        <w:pStyle w:val="ListParagraph"/>
        <w:widowControl/>
        <w:numPr>
          <w:ilvl w:val="1"/>
          <w:numId w:val="2"/>
        </w:numPr>
        <w:suppressAutoHyphens w:val="true"/>
        <w:bidi w:val="0"/>
        <w:spacing w:before="0" w:after="0"/>
        <w:ind w:left="397" w:right="57" w:hanging="0"/>
        <w:jc w:val="both"/>
        <w:rPr>
          <w:rFonts w:ascii="Times New Roman" w:hAnsi="Times New Roman" w:cs="Arial"/>
          <w:sz w:val="24"/>
          <w:szCs w:val="24"/>
        </w:rPr>
      </w:pPr>
      <w:r>
        <w:rPr>
          <w:rFonts w:cs="Arial" w:ascii="Times New Roman" w:hAnsi="Times New Roman"/>
          <w:sz w:val="24"/>
          <w:szCs w:val="24"/>
        </w:rPr>
        <w:t>As quantidades obedecem a per capita aluno/escola, mediante a instauração de mais Unidades de Escola em Tempo Integral o que aumentaria o número de matrículas.</w:t>
      </w:r>
    </w:p>
    <w:p>
      <w:pPr>
        <w:pStyle w:val="ListParagraph"/>
        <w:suppressAutoHyphens w:val="true"/>
        <w:jc w:val="both"/>
        <w:rPr>
          <w:color w:val="000000"/>
        </w:rPr>
      </w:pPr>
      <w:r>
        <w:rPr>
          <w:color w:val="000000"/>
        </w:rPr>
      </w:r>
    </w:p>
    <w:p>
      <w:pPr>
        <w:pStyle w:val="ListParagraph"/>
        <w:numPr>
          <w:ilvl w:val="0"/>
          <w:numId w:val="2"/>
        </w:numPr>
        <w:suppressAutoHyphens w:val="true"/>
        <w:jc w:val="both"/>
        <w:rPr/>
      </w:pPr>
      <w:r>
        <w:rPr>
          <w:rStyle w:val="Strong"/>
        </w:rPr>
        <w:t>MÉTODOS E ESTRATÉGIAS DE SUPRIMENTO (requisitos de contratação)</w:t>
      </w:r>
    </w:p>
    <w:p>
      <w:pPr>
        <w:pStyle w:val="ListParagraph"/>
        <w:numPr>
          <w:ilvl w:val="1"/>
          <w:numId w:val="2"/>
        </w:numPr>
        <w:suppressAutoHyphens w:val="true"/>
        <w:spacing w:lineRule="auto" w:line="240" w:before="69" w:after="69"/>
        <w:jc w:val="both"/>
        <w:rPr/>
      </w:pPr>
      <w:r>
        <w:rPr/>
        <w:t xml:space="preserve">O objeto do presente termo de referência </w:t>
      </w:r>
      <w:r>
        <w:rPr>
          <w:b/>
          <w:sz w:val="28"/>
          <w:szCs w:val="28"/>
          <w:u w:val="single"/>
        </w:rPr>
        <w:t>terá entrega em parcelas</w:t>
      </w:r>
      <w:r>
        <w:rPr/>
        <w:t xml:space="preserve"> e </w:t>
      </w:r>
      <w:r>
        <w:rPr>
          <w:b/>
          <w:bCs/>
          <w:sz w:val="28"/>
          <w:szCs w:val="28"/>
          <w:u w:val="single"/>
        </w:rPr>
        <w:t xml:space="preserve">deverá ser realizada nas </w:t>
      </w:r>
      <w:r>
        <w:rPr>
          <w:rFonts w:eastAsia="Times New Roman" w:cs="Times New Roman"/>
          <w:b/>
          <w:bCs/>
          <w:color w:val="auto"/>
          <w:kern w:val="0"/>
          <w:sz w:val="28"/>
          <w:szCs w:val="28"/>
          <w:u w:val="single"/>
          <w:lang w:val="pt-BR" w:eastAsia="pt-BR" w:bidi="ar-SA"/>
        </w:rPr>
        <w:t>UNIDADES ESCOLARES</w:t>
      </w:r>
      <w:r>
        <w:rPr>
          <w:b/>
          <w:bCs/>
          <w:sz w:val="28"/>
          <w:szCs w:val="28"/>
          <w:u w:val="single"/>
        </w:rPr>
        <w:t xml:space="preserve"> (Município de Vassouras)</w:t>
      </w:r>
      <w:r>
        <w:rPr>
          <w:b/>
        </w:rPr>
        <w:t>,</w:t>
      </w:r>
      <w:r>
        <w:rPr/>
        <w:t xml:space="preserve"> com prazo não superior a 30 (trinta) dias corridos após recebimento da nota de empenho, ao responsável da Unidade Escolar, sendo o frete, carga e descarga por conta do fornecedor até o local indicado, constante no item 1; </w:t>
      </w:r>
    </w:p>
    <w:p>
      <w:pPr>
        <w:pStyle w:val="ListParagraph"/>
        <w:numPr>
          <w:ilvl w:val="1"/>
          <w:numId w:val="2"/>
        </w:numPr>
        <w:suppressAutoHyphens w:val="true"/>
        <w:spacing w:lineRule="auto" w:line="240" w:before="126" w:after="126"/>
        <w:jc w:val="both"/>
        <w:rPr/>
      </w:pPr>
      <w:r>
        <w:rPr/>
        <w:t>As entregas serão feitas acompanhadas de notas fiscais em 03 (três) vias, sendo 01 para a Unidade Escolar, 01 para a Secretaria Municipal de Educação e 01 para a empresa, como comprovação da entrega.</w:t>
      </w:r>
    </w:p>
    <w:p>
      <w:pPr>
        <w:pStyle w:val="ListParagraph"/>
        <w:numPr>
          <w:ilvl w:val="1"/>
          <w:numId w:val="2"/>
        </w:numPr>
        <w:suppressAutoHyphens w:val="true"/>
        <w:spacing w:lineRule="auto" w:line="240" w:before="126" w:after="126"/>
        <w:jc w:val="both"/>
        <w:rPr/>
      </w:pPr>
      <w:r>
        <w:rPr/>
        <w:t>Não há necessidade de fracionamento/lote da contratação por se tratar de objetos e sua utilização pelas Unidades Escolares. Art. 40, §3°, I, Lei 14.133/2021.</w:t>
      </w:r>
    </w:p>
    <w:p>
      <w:pPr>
        <w:pStyle w:val="ListParagraph"/>
        <w:numPr>
          <w:ilvl w:val="1"/>
          <w:numId w:val="2"/>
        </w:numPr>
        <w:suppressAutoHyphens w:val="true"/>
        <w:spacing w:lineRule="auto" w:line="240" w:before="240" w:after="240"/>
        <w:jc w:val="both"/>
        <w:rPr/>
      </w:pPr>
      <w:r>
        <w:rPr/>
        <w:t>As quantidades foram estimadas devido as intensas atividades pedagógicas e alimentares, por se tratar de Escola de Tempo Integral.</w:t>
      </w:r>
    </w:p>
    <w:p>
      <w:pPr>
        <w:pStyle w:val="Normal"/>
        <w:widowControl w:val="false"/>
        <w:numPr>
          <w:ilvl w:val="1"/>
          <w:numId w:val="2"/>
        </w:numPr>
        <w:suppressAutoHyphens w:val="true"/>
        <w:spacing w:lineRule="auto" w:line="240" w:before="0" w:after="120"/>
        <w:jc w:val="both"/>
        <w:rPr/>
      </w:pPr>
      <w:r>
        <w:rPr/>
        <w:t xml:space="preserve">Os itens deverão ter prazo de garantia mínimo de </w:t>
      </w:r>
      <w:r>
        <w:rPr>
          <w:b/>
        </w:rPr>
        <w:t>180</w:t>
      </w:r>
      <w:r>
        <w:rPr>
          <w:b/>
          <w:bCs/>
        </w:rPr>
        <w:t xml:space="preserve"> (cento e oitenta) dias</w:t>
      </w:r>
      <w:r>
        <w:rPr/>
        <w:t>, conforme Legislação em vigor, optando pela garantia do fabricante, quando maior, a contar da data de entrega;</w:t>
      </w:r>
    </w:p>
    <w:p>
      <w:pPr>
        <w:pStyle w:val="ListParagraph"/>
        <w:numPr>
          <w:ilvl w:val="1"/>
          <w:numId w:val="2"/>
        </w:numPr>
        <w:suppressAutoHyphens w:val="true"/>
        <w:spacing w:before="126" w:after="126"/>
        <w:jc w:val="both"/>
        <w:rPr/>
      </w:pPr>
      <w:r>
        <w:rPr/>
        <w:t>O não cumprimento do disposto no item 4.1 do presente termo poderá, a critério da Administração Pública, acarretar na anulação do empenho bem como a aplicação das penalidades previstas no edital e a convocação do fornecedor subsequente considerando a ordem de classificação do certame.</w:t>
      </w:r>
    </w:p>
    <w:p>
      <w:pPr>
        <w:pStyle w:val="Normal"/>
        <w:numPr>
          <w:ilvl w:val="1"/>
          <w:numId w:val="2"/>
        </w:numPr>
        <w:tabs>
          <w:tab w:val="clear" w:pos="720"/>
          <w:tab w:val="left" w:pos="851" w:leader="none"/>
        </w:tabs>
        <w:suppressAutoHyphens w:val="true"/>
        <w:jc w:val="both"/>
        <w:rPr/>
      </w:pPr>
      <w:r>
        <w:rPr/>
        <w:t>Caso a entrega não seja feita em sua integralidade, em conformidade com o solicitado feito pela Administração, não serão aceitas Notas Fiscais com apenas parte do pedido;</w:t>
      </w:r>
    </w:p>
    <w:p>
      <w:pPr>
        <w:pStyle w:val="ListParagraph"/>
        <w:numPr>
          <w:ilvl w:val="1"/>
          <w:numId w:val="2"/>
        </w:numPr>
        <w:suppressAutoHyphens w:val="true"/>
        <w:spacing w:before="240" w:after="240"/>
        <w:jc w:val="both"/>
        <w:rPr/>
      </w:pPr>
      <w:r>
        <w:rPr/>
        <w:t>Não serão aceitos documentos com rasuras de qualquer espécie;</w:t>
      </w:r>
    </w:p>
    <w:p>
      <w:pPr>
        <w:pStyle w:val="ListParagraph"/>
        <w:numPr>
          <w:ilvl w:val="1"/>
          <w:numId w:val="2"/>
        </w:numPr>
        <w:suppressAutoHyphens w:val="true"/>
        <w:spacing w:before="0" w:after="0"/>
        <w:jc w:val="both"/>
        <w:rPr/>
      </w:pPr>
      <w:r>
        <w:rPr/>
        <w:t>Na eventualidade de se verificar desacordo na entrega dos produtos com o empenho a empresa será notificada pelo gestor do contrato e deverá corrigir no prazo de 24(vinte e quatro) horas corridos;</w:t>
      </w:r>
    </w:p>
    <w:p>
      <w:pPr>
        <w:pStyle w:val="ListParagraph"/>
        <w:numPr>
          <w:ilvl w:val="1"/>
          <w:numId w:val="2"/>
        </w:numPr>
        <w:suppressAutoHyphens w:val="true"/>
        <w:spacing w:before="240" w:after="240"/>
        <w:jc w:val="both"/>
        <w:rPr/>
      </w:pPr>
      <w:r>
        <w:rPr/>
        <w:t>A administração rejeitará, no todo ou em parte, o fornecimento executado em desacordo com os termos acima elencados, sendo observadas as devidas sanções estabelecidas no Art. 150 da Lei n.º 14.133/2021.</w:t>
      </w:r>
    </w:p>
    <w:p>
      <w:pPr>
        <w:pStyle w:val="ListParagraph"/>
        <w:numPr>
          <w:ilvl w:val="0"/>
          <w:numId w:val="2"/>
        </w:numPr>
        <w:suppressAutoHyphens w:val="true"/>
        <w:spacing w:before="240" w:after="240"/>
        <w:jc w:val="both"/>
        <w:rPr/>
      </w:pPr>
      <w:r>
        <w:rPr>
          <w:b/>
        </w:rPr>
        <w:t>CONDIÇÕES DE GUARDA E ARMAZENAMENTO</w:t>
      </w:r>
    </w:p>
    <w:p>
      <w:pPr>
        <w:pStyle w:val="ListParagraph"/>
        <w:numPr>
          <w:ilvl w:val="1"/>
          <w:numId w:val="2"/>
        </w:numPr>
        <w:suppressAutoHyphens w:val="true"/>
        <w:spacing w:before="69" w:after="69"/>
        <w:jc w:val="both"/>
        <w:rPr/>
      </w:pPr>
      <w:r>
        <w:rPr/>
        <w:t>A guarda e o armazenamento são de responsabilidade da Unidade Escolar que receber os itens, os quais ficarão em recinto fechado e trancado, sem acesso de pessoas estranhas e de forma que mantenha o objeto íntegro;</w:t>
      </w:r>
    </w:p>
    <w:p>
      <w:pPr>
        <w:pStyle w:val="ListParagraph"/>
        <w:numPr>
          <w:ilvl w:val="1"/>
          <w:numId w:val="2"/>
        </w:numPr>
        <w:suppressAutoHyphens w:val="true"/>
        <w:spacing w:before="240" w:after="240"/>
        <w:jc w:val="both"/>
        <w:rPr/>
      </w:pPr>
      <w:r>
        <w:rPr/>
        <w:t xml:space="preserve">Informações de prazo de validade do produto, segundo fabricantes, até 180 (cento e oitenta) meses; </w:t>
      </w:r>
    </w:p>
    <w:p>
      <w:pPr>
        <w:pStyle w:val="ListParagraph"/>
        <w:numPr>
          <w:ilvl w:val="1"/>
          <w:numId w:val="2"/>
        </w:numPr>
        <w:suppressAutoHyphens w:val="true"/>
        <w:spacing w:before="126" w:after="126"/>
        <w:jc w:val="both"/>
        <w:rPr/>
      </w:pPr>
      <w:r>
        <w:rPr/>
        <w:t>O descarte será feito pelas Unidades Escolares que utilizam a coleta seletiva existente como projeto da Gestão municipal junto as Unidades;</w:t>
      </w:r>
    </w:p>
    <w:p>
      <w:pPr>
        <w:pStyle w:val="ListParagraph"/>
        <w:numPr>
          <w:ilvl w:val="1"/>
          <w:numId w:val="2"/>
        </w:numPr>
        <w:suppressAutoHyphens w:val="true"/>
        <w:spacing w:before="126" w:after="126"/>
        <w:jc w:val="both"/>
        <w:rPr/>
      </w:pPr>
      <w:r>
        <w:rPr/>
        <w:t xml:space="preserve">Quanto a descrição da solução como um todo – ciclo de vida, manutenção do objeto, o mesmo será </w:t>
      </w:r>
      <w:r>
        <w:rPr>
          <w:rFonts w:eastAsia="Times New Roman" w:cs="Times New Roman"/>
          <w:color w:val="auto"/>
          <w:kern w:val="0"/>
          <w:sz w:val="24"/>
          <w:szCs w:val="24"/>
          <w:lang w:val="pt-BR" w:eastAsia="pt-BR" w:bidi="ar-SA"/>
        </w:rPr>
        <w:t>utilizado</w:t>
      </w:r>
      <w:r>
        <w:rPr/>
        <w:t xml:space="preserve"> integralmente no ato do uso, ao longo do período letivo, o que fará com que não precise estimar o tempo de permanência. Art. 6º, XXIII, c, da Lei 14.133/2021;</w:t>
      </w:r>
    </w:p>
    <w:p>
      <w:pPr>
        <w:pStyle w:val="ListParagraph"/>
        <w:numPr>
          <w:ilvl w:val="1"/>
          <w:numId w:val="2"/>
        </w:numPr>
        <w:suppressAutoHyphens w:val="true"/>
        <w:spacing w:before="69" w:after="69"/>
        <w:jc w:val="both"/>
        <w:rPr/>
      </w:pPr>
      <w:r>
        <w:rPr/>
        <w:t>Os critérios de sustentabilidade encontram-se de acordo com o Guia de Contratações Sustentáveis.</w:t>
      </w:r>
    </w:p>
    <w:p>
      <w:pPr>
        <w:pStyle w:val="ListParagraph"/>
        <w:widowControl/>
        <w:numPr>
          <w:ilvl w:val="0"/>
          <w:numId w:val="2"/>
        </w:numPr>
        <w:suppressAutoHyphens w:val="true"/>
        <w:bidi w:val="0"/>
        <w:spacing w:before="69" w:after="69"/>
        <w:jc w:val="both"/>
        <w:rPr/>
      </w:pPr>
      <w:r>
        <w:rPr>
          <w:rFonts w:cs="Arial" w:ascii="Times New Roman" w:hAnsi="Times New Roman"/>
          <w:b/>
          <w:bCs/>
          <w:sz w:val="24"/>
          <w:szCs w:val="24"/>
          <w:lang w:eastAsia="ar-SA"/>
        </w:rPr>
        <w:t xml:space="preserve"> </w:t>
      </w:r>
      <w:r>
        <w:rPr>
          <w:rFonts w:cs="Arial" w:ascii="Times New Roman" w:hAnsi="Times New Roman"/>
          <w:b/>
          <w:bCs/>
          <w:sz w:val="24"/>
          <w:szCs w:val="24"/>
          <w:lang w:eastAsia="ar-SA"/>
        </w:rPr>
        <w:t>QUALIFICAÇÃO ECONÔMICO-FINANCEIRA</w:t>
      </w:r>
    </w:p>
    <w:p>
      <w:pPr>
        <w:pStyle w:val="ListParagraph"/>
        <w:widowControl/>
        <w:suppressAutoHyphens w:val="true"/>
        <w:bidi w:val="0"/>
        <w:spacing w:lineRule="auto" w:line="240" w:before="69" w:after="69"/>
        <w:ind w:left="340" w:right="0" w:hanging="0"/>
        <w:jc w:val="both"/>
        <w:rPr>
          <w:rFonts w:ascii="Times New Roman" w:hAnsi="Times New Roman"/>
          <w:b w:val="false"/>
          <w:b w:val="false"/>
          <w:bCs w:val="false"/>
          <w:sz w:val="24"/>
          <w:szCs w:val="24"/>
        </w:rPr>
      </w:pPr>
      <w:r>
        <w:rPr>
          <w:rFonts w:cs="Arial" w:ascii="Times New Roman" w:hAnsi="Times New Roman"/>
          <w:b w:val="false"/>
          <w:bCs w:val="false"/>
          <w:sz w:val="24"/>
          <w:szCs w:val="24"/>
          <w:lang w:eastAsia="ar-SA"/>
        </w:rPr>
        <w:t xml:space="preserve">A comprovação da qualificação econômico-financeira dos licitantes se dará através da exigência de comprovação de </w:t>
      </w:r>
      <w:r>
        <w:rPr>
          <w:rFonts w:eastAsia="SimSun;宋体" w:cs="Arial" w:ascii="Times New Roman" w:hAnsi="Times New Roman"/>
          <w:b w:val="false"/>
          <w:bCs w:val="false"/>
          <w:color w:val="auto"/>
          <w:sz w:val="24"/>
          <w:szCs w:val="24"/>
          <w:lang w:val="pt-BR" w:eastAsia="ar-SA" w:bidi="ar-SA"/>
        </w:rPr>
        <w:t xml:space="preserve">Certidão Negativa de Falência, Concordata ou Recuperação Judicial </w:t>
      </w:r>
      <w:r>
        <w:rPr>
          <w:rFonts w:cs="Arial" w:ascii="Times New Roman" w:hAnsi="Times New Roman"/>
          <w:b w:val="false"/>
          <w:bCs w:val="false"/>
          <w:sz w:val="24"/>
          <w:szCs w:val="24"/>
          <w:lang w:eastAsia="ar-SA"/>
        </w:rPr>
        <w:t xml:space="preserve">(Lei nº 11.101/2005), em vigor, expedida pelo distribuidor da comarca da pessoa jurídica. </w:t>
      </w:r>
    </w:p>
    <w:p>
      <w:pPr>
        <w:pStyle w:val="Corpodotexto"/>
        <w:widowControl/>
        <w:suppressAutoHyphens w:val="true"/>
        <w:bidi w:val="0"/>
        <w:spacing w:lineRule="auto" w:line="240" w:before="69" w:after="69"/>
        <w:ind w:left="340" w:right="0" w:hanging="0"/>
        <w:jc w:val="both"/>
        <w:rPr>
          <w:rFonts w:ascii="Times New Roman" w:hAnsi="Times New Roman"/>
          <w:b w:val="false"/>
          <w:b w:val="false"/>
          <w:bCs w:val="false"/>
          <w:i w:val="false"/>
          <w:caps w:val="false"/>
          <w:smallCaps w:val="false"/>
          <w:color w:val="000000"/>
          <w:spacing w:val="0"/>
          <w:sz w:val="24"/>
          <w:szCs w:val="24"/>
        </w:rPr>
      </w:pPr>
      <w:r>
        <w:rPr>
          <w:rFonts w:cs="Arial" w:ascii="Times New Roman" w:hAnsi="Times New Roman"/>
          <w:b w:val="false"/>
          <w:bCs w:val="false"/>
          <w:i w:val="false"/>
          <w:caps w:val="false"/>
          <w:smallCaps w:val="false"/>
          <w:color w:val="000000"/>
          <w:spacing w:val="0"/>
          <w:sz w:val="24"/>
          <w:szCs w:val="24"/>
          <w:lang w:eastAsia="ar-SA"/>
        </w:rPr>
        <w:t>A exigência de comprovação da qualificação econômico-financeira dos licitantes, por meio de Certidão Negativa de Falência, Concordata ou Recuperação Judicial, fundamenta-se na necessidade de assegurar a idoneidade e a capacidade financeira das empresas participantes do processo licitatório. Tal medida visa garantir que os licitantes estejam em situação regular perante a Justiça, demonstrando solidez e estabilidade financeira, essenciais para o cumprimento integral das obrigações assumidas no contrato.</w:t>
      </w:r>
    </w:p>
    <w:p>
      <w:pPr>
        <w:pStyle w:val="Corpodotexto"/>
        <w:widowControl/>
        <w:suppressAutoHyphens w:val="true"/>
        <w:bidi w:val="0"/>
        <w:spacing w:lineRule="auto" w:line="240" w:before="0" w:after="140"/>
        <w:ind w:left="283" w:right="0" w:hanging="0"/>
        <w:jc w:val="both"/>
        <w:rPr>
          <w:rFonts w:ascii="Times New Roman" w:hAnsi="Times New Roman"/>
          <w:b w:val="false"/>
          <w:i w:val="false"/>
          <w:caps w:val="false"/>
          <w:smallCaps w:val="false"/>
          <w:color w:val="000000"/>
          <w:spacing w:val="0"/>
          <w:sz w:val="24"/>
        </w:rPr>
      </w:pPr>
      <w:r>
        <w:rPr>
          <w:rFonts w:ascii="Times New Roman" w:hAnsi="Times New Roman"/>
          <w:b w:val="false"/>
          <w:i w:val="false"/>
          <w:caps w:val="false"/>
          <w:smallCaps w:val="false"/>
          <w:color w:val="000000"/>
          <w:spacing w:val="0"/>
          <w:sz w:val="24"/>
        </w:rPr>
        <w:t>A adoção dessa exigência busca prevenir riscos de inadimplência, garantir a continuidade e a qualidade na execução do objeto licitatório, além de promover a transparência e a segurança jurídica do procedimento. Dessa forma, assegura-se que a contratação seja realizada com empresas aptas a cumprir suas obrigações, contribuindo para a eficiência e a integridade do processo licitatório.</w:t>
      </w:r>
    </w:p>
    <w:p>
      <w:pPr>
        <w:pStyle w:val="ListParagraph"/>
        <w:widowControl/>
        <w:numPr>
          <w:ilvl w:val="0"/>
          <w:numId w:val="2"/>
        </w:numPr>
        <w:tabs>
          <w:tab w:val="clear" w:pos="720"/>
          <w:tab w:val="left" w:pos="345" w:leader="none"/>
        </w:tabs>
        <w:suppressAutoHyphens w:val="true"/>
        <w:bidi w:val="0"/>
        <w:spacing w:before="240" w:after="240"/>
        <w:ind w:left="170" w:right="0" w:hanging="0"/>
        <w:jc w:val="both"/>
        <w:rPr/>
      </w:pPr>
      <w:r>
        <w:rPr>
          <w:rStyle w:val="Strong"/>
        </w:rPr>
        <w:t>ACOMPANHAMENTO DA EXECUÇÃO E FISCALIZAÇÃO</w:t>
      </w:r>
      <w:bookmarkStart w:id="1" w:name="_Hlk535403995"/>
      <w:bookmarkEnd w:id="1"/>
    </w:p>
    <w:p>
      <w:pPr>
        <w:pStyle w:val="ListParagraph"/>
        <w:numPr>
          <w:ilvl w:val="1"/>
          <w:numId w:val="2"/>
        </w:numPr>
        <w:suppressAutoHyphens w:val="true"/>
        <w:spacing w:before="126" w:after="126"/>
        <w:jc w:val="both"/>
        <w:rPr/>
      </w:pPr>
      <w:r>
        <w:rPr/>
        <w:t>O acompanhamento e a fiscalização dos contratos firmados com o licitante vencedor serão feitos pelo Gestor do Contrato e Fiscais, respectivamente, formalmente designados, em conformidade com o disposto no art. 117 da Lei n.º 14.133/2021, pela contratante, sendo a Gestora: Luciana de Jesus Santos, 101626-1.</w:t>
      </w:r>
    </w:p>
    <w:p>
      <w:pPr>
        <w:pStyle w:val="ListParagraph"/>
        <w:numPr>
          <w:ilvl w:val="1"/>
          <w:numId w:val="2"/>
        </w:numPr>
        <w:suppressAutoHyphens w:val="true"/>
        <w:spacing w:before="126" w:after="126"/>
        <w:jc w:val="both"/>
        <w:rPr/>
      </w:pPr>
      <w:r>
        <w:rPr/>
        <w:t>Os fiscais de contrato terão suas atribuições vinculadas a execução do contrato em campo, tendo como atribuições, dentre outras: sendo ela:</w:t>
      </w:r>
      <w:r>
        <w:rPr>
          <w:b/>
          <w:sz w:val="20"/>
          <w:szCs w:val="20"/>
        </w:rPr>
        <w:t xml:space="preserve"> </w:t>
      </w:r>
      <w:r>
        <w:rPr/>
        <w:t>Michele Guedes Duarte matrícula 100770-0.</w:t>
      </w:r>
    </w:p>
    <w:p>
      <w:pPr>
        <w:pStyle w:val="ListParagraph"/>
        <w:numPr>
          <w:ilvl w:val="2"/>
          <w:numId w:val="2"/>
        </w:numPr>
        <w:suppressAutoHyphens w:val="true"/>
        <w:spacing w:before="126" w:after="126"/>
        <w:jc w:val="both"/>
        <w:rPr/>
      </w:pPr>
      <w:r>
        <w:rPr/>
        <w:t>Verificar a conformidade do objeto com o Termo de Referência;</w:t>
      </w:r>
    </w:p>
    <w:p>
      <w:pPr>
        <w:pStyle w:val="ListParagraph"/>
        <w:numPr>
          <w:ilvl w:val="2"/>
          <w:numId w:val="2"/>
        </w:numPr>
        <w:suppressAutoHyphens w:val="true"/>
        <w:spacing w:before="126" w:after="126"/>
        <w:jc w:val="both"/>
        <w:rPr/>
      </w:pPr>
      <w:r>
        <w:rPr/>
        <w:t>Comunicar-se com o preposto da empresa fornecedora para a resolução de inadequações verificadas;</w:t>
      </w:r>
    </w:p>
    <w:p>
      <w:pPr>
        <w:pStyle w:val="ListParagraph"/>
        <w:numPr>
          <w:ilvl w:val="2"/>
          <w:numId w:val="2"/>
        </w:numPr>
        <w:suppressAutoHyphens w:val="true"/>
        <w:spacing w:before="126" w:after="126"/>
        <w:jc w:val="both"/>
        <w:rPr/>
      </w:pPr>
      <w:r>
        <w:rPr/>
        <w:t>Registrar as ocorrências;</w:t>
      </w:r>
    </w:p>
    <w:p>
      <w:pPr>
        <w:pStyle w:val="ListParagraph"/>
        <w:numPr>
          <w:ilvl w:val="1"/>
          <w:numId w:val="2"/>
        </w:numPr>
        <w:suppressAutoHyphens w:val="true"/>
        <w:spacing w:before="126" w:after="126"/>
        <w:jc w:val="both"/>
        <w:rPr/>
      </w:pPr>
      <w:r>
        <w:rPr/>
        <w:t>O recebimento do objeto terá caráter provisório, para verificação das especificações, qualidade e integridade e será definitivo após o prazo de 15 (quinze) da entrega;</w:t>
      </w:r>
    </w:p>
    <w:p>
      <w:pPr>
        <w:pStyle w:val="ListParagraph"/>
        <w:numPr>
          <w:ilvl w:val="1"/>
          <w:numId w:val="2"/>
        </w:numPr>
        <w:suppressAutoHyphens w:val="true"/>
        <w:spacing w:before="126" w:after="126"/>
        <w:jc w:val="both"/>
        <w:rPr/>
      </w:pPr>
      <w:r>
        <w:rPr/>
        <w:t>O Gestor do Contrato terá suas atribuições vinculadas aos termos contratuais, tendo como atribuições, dentre outras:</w:t>
      </w:r>
    </w:p>
    <w:p>
      <w:pPr>
        <w:pStyle w:val="ListParagraph"/>
        <w:numPr>
          <w:ilvl w:val="2"/>
          <w:numId w:val="2"/>
        </w:numPr>
        <w:suppressAutoHyphens w:val="true"/>
        <w:spacing w:before="126" w:after="126"/>
        <w:jc w:val="both"/>
        <w:rPr/>
      </w:pPr>
      <w:r>
        <w:rPr/>
        <w:t>Aplicar e/ou propor as aplicações de penalidade;</w:t>
      </w:r>
    </w:p>
    <w:p>
      <w:pPr>
        <w:pStyle w:val="ListParagraph"/>
        <w:numPr>
          <w:ilvl w:val="0"/>
          <w:numId w:val="2"/>
        </w:numPr>
        <w:suppressAutoHyphens w:val="true"/>
        <w:spacing w:before="240" w:after="240"/>
        <w:jc w:val="both"/>
        <w:rPr/>
      </w:pPr>
      <w:r>
        <w:rPr>
          <w:rStyle w:val="Strong"/>
        </w:rPr>
        <w:t>OBRIGAÇÕES DA CONTRATADA</w:t>
      </w:r>
    </w:p>
    <w:p>
      <w:pPr>
        <w:pStyle w:val="ListParagraph"/>
        <w:numPr>
          <w:ilvl w:val="1"/>
          <w:numId w:val="2"/>
        </w:numPr>
        <w:suppressAutoHyphens w:val="true"/>
        <w:jc w:val="both"/>
        <w:rPr/>
      </w:pPr>
      <w:r>
        <w:rPr/>
        <w:t>Efetuar a entrega dos itens em perfeitas condições, na quantidade, no prazo e local indicado pela Administração, em estrita observância das especificações do termo e da proposta, acompanhado da respectiva nota fiscal constando detalhadamente as indicações da marca, fabricante, modelo, tipo, procedência e prazo de garantia;</w:t>
      </w:r>
    </w:p>
    <w:p>
      <w:pPr>
        <w:pStyle w:val="ListParagraph"/>
        <w:numPr>
          <w:ilvl w:val="1"/>
          <w:numId w:val="2"/>
        </w:numPr>
        <w:suppressAutoHyphens w:val="true"/>
        <w:spacing w:before="240" w:after="240"/>
        <w:jc w:val="both"/>
        <w:rPr/>
      </w:pPr>
      <w:r>
        <w:rPr/>
        <w:t>Entregar o objeto do contrato sem qualquer ônus para o CONTRATANTE, estando incluído no valor do pagamento todas e quaisquer despesas, tais como tributos, frete, seguro e descarregamento das mercadorias, dentre outras;</w:t>
      </w:r>
    </w:p>
    <w:p>
      <w:pPr>
        <w:pStyle w:val="ListParagraph"/>
        <w:numPr>
          <w:ilvl w:val="1"/>
          <w:numId w:val="2"/>
        </w:numPr>
        <w:suppressAutoHyphens w:val="true"/>
        <w:spacing w:before="240" w:after="240"/>
        <w:jc w:val="both"/>
        <w:rPr/>
      </w:pPr>
      <w:r>
        <w:rPr/>
        <w:t>Comunicar ao Fiscal do contrato, por escrito e tão logo constatado problema ou a impossibilidade de execução de qualquer obrigação contratual, para a adoção das providências cabíveis;</w:t>
      </w:r>
    </w:p>
    <w:p>
      <w:pPr>
        <w:pStyle w:val="ListParagraph"/>
        <w:numPr>
          <w:ilvl w:val="1"/>
          <w:numId w:val="2"/>
        </w:numPr>
        <w:suppressAutoHyphens w:val="true"/>
        <w:spacing w:before="12" w:after="12"/>
        <w:jc w:val="both"/>
        <w:rPr/>
      </w:pPr>
      <w:r>
        <w:rPr/>
        <w:t>Responsabilizar-se pelos vícios e danos decorrentes do produto, de acordo com os artigos 12, 13, 18 e 26, do Código de Defesa do Consumidor (Lei nº 8.078, de 1990);</w:t>
      </w:r>
    </w:p>
    <w:p>
      <w:pPr>
        <w:pStyle w:val="ListParagraph"/>
        <w:numPr>
          <w:ilvl w:val="1"/>
          <w:numId w:val="2"/>
        </w:numPr>
        <w:suppressAutoHyphens w:val="true"/>
        <w:spacing w:before="240" w:after="240"/>
        <w:jc w:val="both"/>
        <w:rPr/>
      </w:pPr>
      <w:r>
        <w:rPr/>
        <w:t>O dever previsto no subitem anterior implica na obrigação de, a critério da Administração, substituir, reparar, corrigir, remover, ou reconstruir, às suas expensas, no prazo máximo de 05 (cinco) dias corridos, o produto com avarias ou defeitos;</w:t>
      </w:r>
    </w:p>
    <w:p>
      <w:pPr>
        <w:pStyle w:val="ListParagraph"/>
        <w:numPr>
          <w:ilvl w:val="1"/>
          <w:numId w:val="2"/>
        </w:numPr>
        <w:suppressAutoHyphens w:val="true"/>
        <w:jc w:val="both"/>
        <w:rPr/>
      </w:pPr>
      <w:r>
        <w:rPr/>
        <w:t>Atender prontamente a quaisquer exigências da Administração, inerentes ao objeto da presente licitação;</w:t>
      </w:r>
    </w:p>
    <w:p>
      <w:pPr>
        <w:pStyle w:val="ListParagraph"/>
        <w:numPr>
          <w:ilvl w:val="1"/>
          <w:numId w:val="2"/>
        </w:numPr>
        <w:suppressAutoHyphens w:val="true"/>
        <w:spacing w:before="240" w:after="240"/>
        <w:jc w:val="both"/>
        <w:rPr/>
      </w:pPr>
      <w:r>
        <w:rPr/>
        <w:t>Comunicar à Administração, no prazo máximo de 24 (vinte e quatro) horas que antecede a data da entrega, os motivos que impossibilitem o cumprimento do prazo previsto, com a devida comprovação</w:t>
      </w:r>
    </w:p>
    <w:p>
      <w:pPr>
        <w:pStyle w:val="ListParagraph"/>
        <w:numPr>
          <w:ilvl w:val="1"/>
          <w:numId w:val="2"/>
        </w:numPr>
        <w:suppressAutoHyphens w:val="true"/>
        <w:spacing w:before="12" w:after="12"/>
        <w:jc w:val="both"/>
        <w:rPr/>
      </w:pPr>
      <w:r>
        <w:rPr/>
        <w:t>Manter as condições de habilitação e qualificação exigidas durante toda a vigência do Contrato, informando à CONTRATANTE a ocorrência de qualquer alteração nas referidas condições;</w:t>
      </w:r>
    </w:p>
    <w:p>
      <w:pPr>
        <w:pStyle w:val="ListParagraph"/>
        <w:numPr>
          <w:ilvl w:val="0"/>
          <w:numId w:val="0"/>
        </w:numPr>
        <w:suppressAutoHyphens w:val="true"/>
        <w:spacing w:before="12" w:after="12"/>
        <w:ind w:left="992" w:hanging="0"/>
        <w:jc w:val="both"/>
        <w:rPr/>
      </w:pPr>
      <w:r>
        <w:rPr/>
      </w:r>
    </w:p>
    <w:p>
      <w:pPr>
        <w:pStyle w:val="ListParagraph"/>
        <w:numPr>
          <w:ilvl w:val="1"/>
          <w:numId w:val="2"/>
        </w:numPr>
        <w:suppressAutoHyphens w:val="true"/>
        <w:jc w:val="both"/>
        <w:rPr/>
      </w:pPr>
      <w:r>
        <w:rPr/>
        <w:t>Não transferir a terceiros, por qualquer forma, nem mesmo parcialmente, as obrigações assumidas, nem subcontratar qualquer das prestações a que está obrigada, exceto nas condições autorizadas no Termo de Referência ou na minuta de contrato;</w:t>
      </w:r>
    </w:p>
    <w:p>
      <w:pPr>
        <w:pStyle w:val="ListParagraph"/>
        <w:numPr>
          <w:ilvl w:val="1"/>
          <w:numId w:val="2"/>
        </w:numPr>
        <w:suppressAutoHyphens w:val="true"/>
        <w:spacing w:before="240" w:after="240"/>
        <w:jc w:val="both"/>
        <w:rPr/>
      </w:pPr>
      <w:r>
        <w:rPr/>
        <w:t>Responsabilizar-se pelo fornecimento do produto, objeto do Termo de Referência, respondendo civil e criminalmente por todos os danos, perdas e prejuízos que, por dolo ou culpa sua, de seus empregados, prepostos, ou terceiros no exercício de suas atividades, vier a direta ou indiretamente, causar ou provocar à CONTRATANTE e a terceiros;</w:t>
      </w:r>
    </w:p>
    <w:p>
      <w:pPr>
        <w:pStyle w:val="ListParagraph"/>
        <w:numPr>
          <w:ilvl w:val="1"/>
          <w:numId w:val="2"/>
        </w:numPr>
        <w:suppressAutoHyphens w:val="true"/>
        <w:spacing w:before="69" w:after="69"/>
        <w:jc w:val="both"/>
        <w:rPr/>
      </w:pPr>
      <w: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ListParagraph"/>
        <w:numPr>
          <w:ilvl w:val="1"/>
          <w:numId w:val="2"/>
        </w:numPr>
        <w:suppressAutoHyphens w:val="true"/>
        <w:spacing w:before="240" w:after="240"/>
        <w:jc w:val="both"/>
        <w:rPr/>
      </w:pPr>
      <w:r>
        <w:rPr/>
        <w:t>Responsabilizar-se pelas despesas dos tributos, encargos trabalhistas, previdenciários, fiscais, comerciais, taxas, fretes, seguros, deslocamento de pessoal, prestação de garantia e quaisquer outras que incidam ou venham a incidir na execução do contrato.</w:t>
      </w:r>
    </w:p>
    <w:p>
      <w:pPr>
        <w:pStyle w:val="ListParagraph"/>
        <w:numPr>
          <w:ilvl w:val="0"/>
          <w:numId w:val="2"/>
        </w:numPr>
        <w:suppressAutoHyphens w:val="true"/>
        <w:jc w:val="both"/>
        <w:rPr/>
      </w:pPr>
      <w:r>
        <w:rPr>
          <w:rStyle w:val="Strong"/>
        </w:rPr>
        <w:t>OBRIGAÇÕES DA CONTRATANTE</w:t>
      </w:r>
    </w:p>
    <w:p>
      <w:pPr>
        <w:pStyle w:val="ListParagraph"/>
        <w:numPr>
          <w:ilvl w:val="1"/>
          <w:numId w:val="2"/>
        </w:numPr>
        <w:suppressAutoHyphens w:val="true"/>
        <w:spacing w:before="240" w:after="240"/>
        <w:jc w:val="both"/>
        <w:rPr/>
      </w:pPr>
      <w:r>
        <w:rPr/>
        <w:t>Efetuar o pagamento à CONTRATADA de acordo com as condições de preços e prazos deste Termo de Referência;</w:t>
      </w:r>
    </w:p>
    <w:p>
      <w:pPr>
        <w:pStyle w:val="ListParagraph"/>
        <w:numPr>
          <w:ilvl w:val="1"/>
          <w:numId w:val="2"/>
        </w:numPr>
        <w:suppressAutoHyphens w:val="true"/>
        <w:spacing w:before="12" w:after="12"/>
        <w:jc w:val="both"/>
        <w:rPr/>
      </w:pPr>
      <w:r>
        <w:rPr/>
        <w:t>Exercer a fiscalização do contrato;</w:t>
      </w:r>
    </w:p>
    <w:p>
      <w:pPr>
        <w:pStyle w:val="ListParagraph"/>
        <w:numPr>
          <w:ilvl w:val="1"/>
          <w:numId w:val="2"/>
        </w:numPr>
        <w:suppressAutoHyphens w:val="true"/>
        <w:spacing w:before="240" w:after="240"/>
        <w:jc w:val="both"/>
        <w:rPr/>
      </w:pPr>
      <w:r>
        <w:rPr/>
        <w:t>Designar o Gestor de Contrato e Fiscais para realizar a fiscalização e o acompanhamento da execução do objeto, determinando o que for necessário à regularização das falhas ou defeitos observados;</w:t>
      </w:r>
    </w:p>
    <w:p>
      <w:pPr>
        <w:pStyle w:val="ListParagraph"/>
        <w:numPr>
          <w:ilvl w:val="1"/>
          <w:numId w:val="2"/>
        </w:numPr>
        <w:suppressAutoHyphens w:val="true"/>
        <w:jc w:val="both"/>
        <w:rPr/>
      </w:pPr>
      <w:r>
        <w:rPr/>
        <w:t>Receber provisoriamente o material, disponibilizando local, data e horário, pelo prazo de 05 (cinco) dias;</w:t>
      </w:r>
    </w:p>
    <w:p>
      <w:pPr>
        <w:pStyle w:val="ListParagraph"/>
        <w:numPr>
          <w:ilvl w:val="1"/>
          <w:numId w:val="2"/>
        </w:numPr>
        <w:suppressAutoHyphens w:val="true"/>
        <w:spacing w:before="240" w:after="240"/>
        <w:jc w:val="both"/>
        <w:rPr/>
      </w:pPr>
      <w:r>
        <w:rPr/>
        <w:t xml:space="preserve">Verificar minuciosamente, no prazo fixado, a conformidade dos bens recebidos provisoriamente, por 15 (quinze) dias, com as especificações constantes do termo e da proposta, para fins de aceitação e recebimento definitivos, pelo mesmo período; </w:t>
      </w:r>
    </w:p>
    <w:p>
      <w:pPr>
        <w:pStyle w:val="ListParagraph"/>
        <w:numPr>
          <w:ilvl w:val="1"/>
          <w:numId w:val="2"/>
        </w:numPr>
        <w:suppressAutoHyphens w:val="true"/>
        <w:spacing w:before="69" w:after="69"/>
        <w:jc w:val="both"/>
        <w:rPr/>
      </w:pPr>
      <w:r>
        <w:rPr/>
        <w:t>Receber definitivamente o objeto do contrato, nas formas definidas no edital e no contrato;</w:t>
      </w:r>
    </w:p>
    <w:p>
      <w:pPr>
        <w:pStyle w:val="ListParagraph"/>
        <w:numPr>
          <w:ilvl w:val="1"/>
          <w:numId w:val="2"/>
        </w:numPr>
        <w:suppressAutoHyphens w:val="true"/>
        <w:spacing w:before="240" w:after="240"/>
        <w:jc w:val="both"/>
        <w:rPr/>
      </w:pPr>
      <w:r>
        <w:rPr/>
        <w:t>Relacionar-se com a empresa contratada exclusivamente por meio de pessoa por ela indicada (preposto).</w:t>
      </w:r>
    </w:p>
    <w:p>
      <w:pPr>
        <w:pStyle w:val="ListParagraph"/>
        <w:numPr>
          <w:ilvl w:val="0"/>
          <w:numId w:val="2"/>
        </w:numPr>
        <w:suppressAutoHyphens w:val="true"/>
        <w:spacing w:before="240" w:after="240"/>
        <w:jc w:val="both"/>
        <w:rPr/>
      </w:pPr>
      <w:r>
        <w:rPr>
          <w:b/>
        </w:rPr>
        <w:t>DO PAGAMENTO</w:t>
      </w:r>
    </w:p>
    <w:p>
      <w:pPr>
        <w:pStyle w:val="ListParagraph"/>
        <w:numPr>
          <w:ilvl w:val="1"/>
          <w:numId w:val="2"/>
        </w:numPr>
        <w:suppressAutoHyphens w:val="true"/>
        <w:spacing w:before="240" w:after="240"/>
        <w:jc w:val="both"/>
        <w:rPr/>
      </w:pPr>
      <w:r>
        <w:rPr/>
        <w:t xml:space="preserve"> </w:t>
      </w:r>
      <w:r>
        <w:rPr/>
        <w:t>O pagamento será efetuado conforme Ordens de Serviços expedidas pela Secretaria Municipal de Educação, de conformidade com as notas fiscais devidamente atestadas pelas Unidades Escolares, acompanhadas das Certidões de Regularidade do INSS e FGTS, Prova de Regularidade de situação perante as esferas Estadual e Municipal da sede da empresa, inclusive quanto a Dívida Ativa Estadual e Municipal da Contratada, todas atualizadas.</w:t>
      </w:r>
    </w:p>
    <w:p>
      <w:pPr>
        <w:pStyle w:val="ListParagraph"/>
        <w:numPr>
          <w:ilvl w:val="1"/>
          <w:numId w:val="2"/>
        </w:numPr>
        <w:suppressAutoHyphens w:val="true"/>
        <w:spacing w:before="240" w:after="240"/>
        <w:jc w:val="both"/>
        <w:rPr/>
      </w:pPr>
      <w:r>
        <w:rPr/>
        <w:t>As notas fiscais serão por Segmentos escolar (Creche, Pré escola, Fundamental e EJA), em 02 (duas) vias, sendo uma para o Setor de Alimentação Escolar e uma para a empresa e deverá conter os dados bancários da fornecedora.</w:t>
      </w:r>
    </w:p>
    <w:p>
      <w:pPr>
        <w:pStyle w:val="ListParagraph"/>
        <w:numPr>
          <w:ilvl w:val="1"/>
          <w:numId w:val="2"/>
        </w:numPr>
        <w:suppressAutoHyphens w:val="true"/>
        <w:spacing w:before="240" w:after="240"/>
        <w:jc w:val="both"/>
        <w:rPr/>
      </w:pPr>
      <w:r>
        <w:rPr/>
        <w:t>O pagamento será efetuado em até 30 (trinta) dias após o encaminhamento da documentação tratada neste subitem, através de crédito na Conta Bancária da fornecedora do bem.</w:t>
      </w:r>
    </w:p>
    <w:p>
      <w:pPr>
        <w:pStyle w:val="ListParagraph"/>
        <w:numPr>
          <w:ilvl w:val="0"/>
          <w:numId w:val="2"/>
        </w:numPr>
        <w:suppressAutoHyphens w:val="true"/>
        <w:spacing w:before="240" w:after="240"/>
        <w:jc w:val="both"/>
        <w:rPr/>
      </w:pPr>
      <w:r>
        <w:rPr>
          <w:b/>
          <w:lang w:eastAsia="ar-SA"/>
        </w:rPr>
        <w:t>GARANTIA CONTRATUAL</w:t>
      </w:r>
    </w:p>
    <w:p>
      <w:pPr>
        <w:pStyle w:val="ListParagraph"/>
        <w:numPr>
          <w:ilvl w:val="1"/>
          <w:numId w:val="2"/>
        </w:numPr>
        <w:suppressAutoHyphens w:val="true"/>
        <w:spacing w:before="69" w:after="69"/>
        <w:jc w:val="both"/>
        <w:rPr/>
      </w:pPr>
      <w:r>
        <w:rPr/>
        <w:t xml:space="preserve">Não haverá exigência de garantia contratual da execução, pelas razões abaixo justificadas: </w:t>
      </w:r>
    </w:p>
    <w:p>
      <w:pPr>
        <w:pStyle w:val="ListParagraph"/>
        <w:numPr>
          <w:ilvl w:val="2"/>
          <w:numId w:val="2"/>
        </w:numPr>
        <w:suppressAutoHyphens w:val="true"/>
        <w:spacing w:before="240" w:after="240"/>
        <w:jc w:val="both"/>
        <w:rPr/>
      </w:pPr>
      <w:r>
        <w:rPr/>
        <w:t>A entrega será em duas parcelas;</w:t>
      </w:r>
    </w:p>
    <w:p>
      <w:pPr>
        <w:pStyle w:val="ListParagraph"/>
        <w:numPr>
          <w:ilvl w:val="2"/>
          <w:numId w:val="2"/>
        </w:numPr>
        <w:suppressAutoHyphens w:val="true"/>
        <w:spacing w:before="69" w:after="69"/>
        <w:jc w:val="both"/>
        <w:rPr/>
      </w:pPr>
      <w:r>
        <w:rPr/>
        <w:t>À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w:t>
      </w:r>
    </w:p>
    <w:p>
      <w:pPr>
        <w:pStyle w:val="ListParagraph"/>
        <w:numPr>
          <w:ilvl w:val="0"/>
          <w:numId w:val="2"/>
        </w:numPr>
        <w:suppressAutoHyphens w:val="true"/>
        <w:spacing w:before="240" w:after="240"/>
        <w:jc w:val="both"/>
        <w:rPr>
          <w:rStyle w:val="Strong"/>
        </w:rPr>
      </w:pPr>
      <w:r>
        <w:rPr>
          <w:rStyle w:val="Strong"/>
        </w:rPr>
        <w:t>MEDIDAS ACAUTELADORAS</w:t>
      </w:r>
    </w:p>
    <w:p>
      <w:pPr>
        <w:pStyle w:val="ListParagraph"/>
        <w:numPr>
          <w:ilvl w:val="1"/>
          <w:numId w:val="2"/>
        </w:numPr>
        <w:suppressAutoHyphens w:val="true"/>
        <w:spacing w:before="240" w:after="240"/>
        <w:jc w:val="both"/>
        <w:rPr/>
      </w:pPr>
      <w:r>
        <w:rPr>
          <w:lang w:eastAsia="ar-SA"/>
        </w:rPr>
        <w:t>A inexecução dos serviços, total ou parcial, execução imperfeita, mora na execução ou qualquer inadimplemento ou infração contratual, sujeita a CONTRATADA, sem prejuízo da responsabilidade civil ou criminal que couber assegurado o contraditório e a prévia e ampla defesa, as penalidades previstas na Lei nº 14.133/2021 e demais normas pertinentes.</w:t>
      </w:r>
    </w:p>
    <w:p>
      <w:pPr>
        <w:pStyle w:val="ListParagraph"/>
        <w:numPr>
          <w:ilvl w:val="1"/>
          <w:numId w:val="2"/>
        </w:numPr>
        <w:suppressAutoHyphens w:val="true"/>
        <w:spacing w:before="240" w:after="240"/>
        <w:jc w:val="both"/>
        <w:rPr/>
      </w:pPr>
      <w:r>
        <w:rPr>
          <w:lang w:eastAsia="ar-SA"/>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pPr>
        <w:pStyle w:val="ListParagraph"/>
        <w:suppressAutoHyphens w:val="true"/>
        <w:spacing w:before="240" w:after="240"/>
        <w:jc w:val="both"/>
        <w:rPr>
          <w:lang w:eastAsia="ar-SA"/>
        </w:rPr>
      </w:pPr>
      <w:r>
        <w:rPr/>
      </w:r>
    </w:p>
    <w:p>
      <w:pPr>
        <w:pStyle w:val="ListParagraph"/>
        <w:suppressAutoHyphens w:val="true"/>
        <w:spacing w:before="240" w:after="240"/>
        <w:jc w:val="both"/>
        <w:rPr>
          <w:lang w:eastAsia="ar-SA"/>
        </w:rPr>
      </w:pPr>
      <w:r>
        <w:rPr/>
      </w:r>
    </w:p>
    <w:p>
      <w:pPr>
        <w:pStyle w:val="ListParagraph"/>
        <w:numPr>
          <w:ilvl w:val="0"/>
          <w:numId w:val="2"/>
        </w:numPr>
        <w:suppressAutoHyphens w:val="true"/>
        <w:spacing w:before="240" w:after="240"/>
        <w:jc w:val="both"/>
        <w:rPr/>
      </w:pPr>
      <w:r>
        <w:rPr>
          <w:b/>
          <w:lang w:eastAsia="ar-SA"/>
        </w:rPr>
        <w:t>SANÇÕES ADMINISTRATIVAS</w:t>
      </w:r>
    </w:p>
    <w:p>
      <w:pPr>
        <w:pStyle w:val="ListParagraph"/>
        <w:numPr>
          <w:ilvl w:val="1"/>
          <w:numId w:val="2"/>
        </w:numPr>
        <w:suppressAutoHyphens w:val="true"/>
        <w:spacing w:before="240" w:after="240"/>
        <w:jc w:val="both"/>
        <w:rPr/>
      </w:pPr>
      <w:r>
        <w:rPr>
          <w:lang w:eastAsia="ar-SA"/>
        </w:rPr>
        <w:t>A CONTRATADA cometerá infração administrativa caso incida no art. 155, Incisos I ao XII, nos termos da Lei nº 14.133/2021 a CONTRATADA que:</w:t>
      </w:r>
    </w:p>
    <w:p>
      <w:pPr>
        <w:pStyle w:val="ListParagraph"/>
        <w:numPr>
          <w:ilvl w:val="1"/>
          <w:numId w:val="2"/>
        </w:numPr>
        <w:suppressAutoHyphens w:val="true"/>
        <w:spacing w:before="240" w:after="240"/>
        <w:jc w:val="both"/>
        <w:rPr/>
      </w:pPr>
      <w:r>
        <w:rPr>
          <w:lang w:eastAsia="ar-SA"/>
        </w:rPr>
        <w:t>Caso haja o cometimento de qualquer das infrações discriminadas no subitem acima, a CONTRATADA ficará sujeita, sem prejuízo da responsabilidade civil e criminal, às seguintes sanções, conforme preceitua os termos do art. 156, da Lei 14.133/2021:</w:t>
      </w:r>
    </w:p>
    <w:p>
      <w:pPr>
        <w:pStyle w:val="ListParagraph"/>
        <w:numPr>
          <w:ilvl w:val="2"/>
          <w:numId w:val="2"/>
        </w:numPr>
        <w:suppressAutoHyphens w:val="true"/>
        <w:spacing w:before="240" w:after="240"/>
        <w:jc w:val="both"/>
        <w:rPr/>
      </w:pPr>
      <w:r>
        <w:rPr>
          <w:lang w:eastAsia="ar-SA"/>
        </w:rPr>
        <w:t>ADVERTÊNCIA por faltas leves, assim entendidas aquelas que não acarretem prejuízos significativos para a CONTRATANTE, como por exemplo:</w:t>
      </w:r>
    </w:p>
    <w:p>
      <w:pPr>
        <w:pStyle w:val="ListParagraph"/>
        <w:numPr>
          <w:ilvl w:val="0"/>
          <w:numId w:val="3"/>
        </w:numPr>
        <w:suppressAutoHyphens w:val="true"/>
        <w:spacing w:before="240" w:after="240"/>
        <w:jc w:val="both"/>
        <w:rPr/>
      </w:pPr>
      <w:r>
        <w:rPr>
          <w:lang w:eastAsia="ar-SA"/>
        </w:rPr>
        <w:t>Não responder às notificações no prazo determinada pela Administração Pública;</w:t>
      </w:r>
    </w:p>
    <w:p>
      <w:pPr>
        <w:pStyle w:val="ListParagraph"/>
        <w:numPr>
          <w:ilvl w:val="0"/>
          <w:numId w:val="3"/>
        </w:numPr>
        <w:suppressAutoHyphens w:val="true"/>
        <w:spacing w:before="240" w:after="240"/>
        <w:jc w:val="both"/>
        <w:rPr/>
      </w:pPr>
      <w:r>
        <w:rPr>
          <w:lang w:eastAsia="ar-SA"/>
        </w:rPr>
        <w:t>Não apresentar documentação exigida, no prazo requerido, da CONTRATADA, para cumprir os trâmites administrativos do contrato;</w:t>
      </w:r>
    </w:p>
    <w:p>
      <w:pPr>
        <w:pStyle w:val="ListParagraph"/>
        <w:numPr>
          <w:ilvl w:val="0"/>
          <w:numId w:val="3"/>
        </w:numPr>
        <w:suppressAutoHyphens w:val="true"/>
        <w:spacing w:before="240" w:after="240"/>
        <w:jc w:val="both"/>
        <w:rPr/>
      </w:pPr>
      <w:r>
        <w:rPr>
          <w:lang w:eastAsia="ar-SA"/>
        </w:rPr>
        <w:t>Transmitir a outrem, no todo ou em parte, o objeto da presente contratação; descumprimento de qualquer obrigação prevista neste Termo de Referência ou no Contrato;</w:t>
      </w:r>
    </w:p>
    <w:p>
      <w:pPr>
        <w:pStyle w:val="ListParagraph"/>
        <w:numPr>
          <w:ilvl w:val="0"/>
          <w:numId w:val="3"/>
        </w:numPr>
        <w:suppressAutoHyphens w:val="true"/>
        <w:spacing w:before="240" w:after="240"/>
        <w:jc w:val="both"/>
        <w:rPr/>
      </w:pPr>
      <w:r>
        <w:rPr>
          <w:lang w:eastAsia="ar-SA"/>
        </w:rPr>
        <w:t>Agir de maneira ou com recursos antiéticos dolosamente, buscando obter vantagens administrativas e/ou financeiras na execução do contrato.</w:t>
      </w:r>
    </w:p>
    <w:p>
      <w:pPr>
        <w:pStyle w:val="ListParagraph"/>
        <w:numPr>
          <w:ilvl w:val="1"/>
          <w:numId w:val="2"/>
        </w:numPr>
        <w:suppressAutoHyphens w:val="true"/>
        <w:spacing w:before="240" w:after="240"/>
        <w:jc w:val="both"/>
        <w:rPr/>
      </w:pPr>
      <w:r>
        <w:rPr>
          <w:lang w:eastAsia="ar-SA"/>
        </w:rPr>
        <w:t>MULTA, nos seguintes termos:</w:t>
      </w:r>
    </w:p>
    <w:p>
      <w:pPr>
        <w:pStyle w:val="ListParagraph"/>
        <w:numPr>
          <w:ilvl w:val="0"/>
          <w:numId w:val="4"/>
        </w:numPr>
        <w:suppressAutoHyphens w:val="true"/>
        <w:spacing w:before="240" w:after="240"/>
        <w:jc w:val="both"/>
        <w:rPr/>
      </w:pPr>
      <w:r>
        <w:rPr>
          <w:lang w:eastAsia="ar-SA"/>
        </w:rPr>
        <w:t>Multa de 2,5% (dois e meio por cento), calculada sobre o valor do contrato, no caso de a CONTRATADA acumular 04 (quatro) penalidade de Advertência durante a execução do contrato;</w:t>
      </w:r>
    </w:p>
    <w:p>
      <w:pPr>
        <w:pStyle w:val="ListParagraph"/>
        <w:numPr>
          <w:ilvl w:val="0"/>
          <w:numId w:val="4"/>
        </w:numPr>
        <w:suppressAutoHyphens w:val="true"/>
        <w:spacing w:before="240" w:after="240"/>
        <w:jc w:val="both"/>
        <w:rPr/>
      </w:pPr>
      <w:r>
        <w:rPr>
          <w:lang w:eastAsia="ar-SA"/>
        </w:rPr>
        <w:t>A contagem das advertências será zerada a cada acúmulo de 04 (quatro) advertências procedendo para aplicação de multa;</w:t>
      </w:r>
    </w:p>
    <w:p>
      <w:pPr>
        <w:pStyle w:val="ListParagraph"/>
        <w:numPr>
          <w:ilvl w:val="0"/>
          <w:numId w:val="4"/>
        </w:numPr>
        <w:suppressAutoHyphens w:val="true"/>
        <w:spacing w:before="240" w:after="240"/>
        <w:jc w:val="both"/>
        <w:rPr/>
      </w:pPr>
      <w:r>
        <w:rPr>
          <w:lang w:eastAsia="ar-SA"/>
        </w:rPr>
        <w:t>Multa de 10% (dez por cento), calculada sobre o valor do contrato, por INEXECUÇÃO TOTAL DO CONTRATO com rescisão unilateral do contrato;</w:t>
      </w:r>
    </w:p>
    <w:p>
      <w:pPr>
        <w:pStyle w:val="ListParagraph"/>
        <w:numPr>
          <w:ilvl w:val="0"/>
          <w:numId w:val="4"/>
        </w:numPr>
        <w:suppressAutoHyphens w:val="true"/>
        <w:spacing w:before="240" w:after="240"/>
        <w:jc w:val="both"/>
        <w:rPr/>
      </w:pPr>
      <w:r>
        <w:rPr>
          <w:lang w:eastAsia="ar-SA"/>
        </w:rPr>
        <w:t>Nos demais casos, multa de até 10% (dez por cento) sobre o valor da obrigação inadimplida;</w:t>
      </w:r>
    </w:p>
    <w:p>
      <w:pPr>
        <w:pStyle w:val="ListParagraph"/>
        <w:numPr>
          <w:ilvl w:val="0"/>
          <w:numId w:val="4"/>
        </w:numPr>
        <w:suppressAutoHyphens w:val="true"/>
        <w:spacing w:before="240" w:after="240"/>
        <w:jc w:val="both"/>
        <w:rPr/>
      </w:pPr>
      <w:r>
        <w:rPr>
          <w:lang w:eastAsia="ar-SA"/>
        </w:rPr>
        <w:t>As penalidades de multa decorrentes de fatos diversos serão consideradas independentes entre si;</w:t>
      </w:r>
    </w:p>
    <w:p>
      <w:pPr>
        <w:pStyle w:val="ListParagraph"/>
        <w:numPr>
          <w:ilvl w:val="1"/>
          <w:numId w:val="2"/>
        </w:numPr>
        <w:suppressAutoHyphens w:val="true"/>
        <w:spacing w:before="240" w:after="240"/>
        <w:jc w:val="both"/>
        <w:rPr/>
      </w:pPr>
      <w:r>
        <w:rPr>
          <w:lang w:eastAsia="ar-SA"/>
        </w:rPr>
        <w:t>SUSPENSÃO DE LICITAR e impedimento de contratar com órgão, entidade ou unidade administrativa pela qual a Administração Pública opera e atua concretamente, pelo prazo de até 03 (três) anos;</w:t>
      </w:r>
    </w:p>
    <w:p>
      <w:pPr>
        <w:pStyle w:val="ListParagraph"/>
        <w:numPr>
          <w:ilvl w:val="1"/>
          <w:numId w:val="2"/>
        </w:numPr>
        <w:suppressAutoHyphens w:val="true"/>
        <w:spacing w:before="240" w:after="240"/>
        <w:jc w:val="both"/>
        <w:rPr/>
      </w:pPr>
      <w:r>
        <w:rPr>
          <w:lang w:eastAsia="ar-SA"/>
        </w:rPr>
        <w:t>DECLARAÇÃO DE INIDONEIDADE para licitar ou contratar com a Administração Pública, pelo prazo estipulado no 5º do art. 156 da Lei 14.133/2021;</w:t>
      </w:r>
    </w:p>
    <w:p>
      <w:pPr>
        <w:pStyle w:val="ListParagraph"/>
        <w:numPr>
          <w:ilvl w:val="1"/>
          <w:numId w:val="2"/>
        </w:numPr>
        <w:suppressAutoHyphens w:val="true"/>
        <w:spacing w:before="240" w:after="240"/>
        <w:ind w:left="345" w:hanging="0"/>
        <w:jc w:val="both"/>
        <w:rPr/>
      </w:pPr>
      <w:r>
        <w:rPr>
          <w:lang w:eastAsia="ar-SA"/>
        </w:rPr>
        <w:t>A aplicação de qualquer das penalidades previstas realizar-se-á em processo administrativo que assegurará o contraditório e a ampla defesa à CONTRATADA, observando-se o procedimento previsto na Lei nº 14.133/2021;</w:t>
      </w:r>
    </w:p>
    <w:p>
      <w:pPr>
        <w:pStyle w:val="ListParagraph"/>
        <w:numPr>
          <w:ilvl w:val="1"/>
          <w:numId w:val="2"/>
        </w:numPr>
        <w:suppressAutoHyphens w:val="true"/>
        <w:spacing w:before="240" w:after="240"/>
        <w:ind w:left="345" w:hanging="0"/>
        <w:jc w:val="both"/>
        <w:rPr/>
      </w:pPr>
      <w:r>
        <w:rPr>
          <w:lang w:eastAsia="ar-SA"/>
        </w:rPr>
        <w:t>A autoridade competente, na aplicação das sanções, levará em consideração a gravidade da conduta do infrator, o caráter educativo da pena, bem como o dano causado à CONTRATANTE, observado o princípio da proporcionalidade.</w:t>
      </w:r>
    </w:p>
    <w:p>
      <w:pPr>
        <w:pStyle w:val="ListParagraph"/>
        <w:numPr>
          <w:ilvl w:val="1"/>
          <w:numId w:val="2"/>
        </w:numPr>
        <w:suppressAutoHyphens w:val="true"/>
        <w:spacing w:before="240" w:after="240"/>
        <w:ind w:left="345" w:hanging="0"/>
        <w:jc w:val="both"/>
        <w:rPr/>
      </w:pPr>
      <w:r>
        <w:rPr>
          <w:lang w:eastAsia="ar-SA"/>
        </w:rPr>
        <w:t>As multas deverão ser recolhidas no prazo máximo de 10 (dez) dias corridos, a contar da data do recebimento da comunicação enviada pela Secretaria Municipal de Educação.</w:t>
      </w:r>
    </w:p>
    <w:p>
      <w:pPr>
        <w:pStyle w:val="ListParagraph"/>
        <w:numPr>
          <w:ilvl w:val="1"/>
          <w:numId w:val="2"/>
        </w:numPr>
        <w:suppressAutoHyphens w:val="true"/>
        <w:spacing w:before="240" w:after="240"/>
        <w:ind w:left="345" w:hanging="0"/>
        <w:jc w:val="both"/>
        <w:rPr/>
      </w:pPr>
      <w:r>
        <w:rPr>
          <w:lang w:eastAsia="ar-SA"/>
        </w:rPr>
        <w:t>O contrato poderá ser rescindido unilateralmente pela CONTRATANTE por conta do não atendimento a termos contratuais, da recorrência de aplicação de multas, de repetidos eventos de inexecução parcial, ou da caracterização de inexecução total dos serviços.</w:t>
      </w:r>
    </w:p>
    <w:p>
      <w:pPr>
        <w:pStyle w:val="ListParagraph"/>
        <w:numPr>
          <w:ilvl w:val="1"/>
          <w:numId w:val="2"/>
        </w:numPr>
        <w:suppressAutoHyphens w:val="true"/>
        <w:spacing w:before="240" w:after="240"/>
        <w:ind w:left="345" w:hanging="0"/>
        <w:jc w:val="both"/>
        <w:rPr/>
      </w:pPr>
      <w:r>
        <w:rPr>
          <w:lang w:eastAsia="ar-SA"/>
        </w:rPr>
        <w:t>As sanções aqui previstas são independentes entre si, podendo ser aplicadas isoladamente ou, no caso das multas, cumulativamente com outras, sem prejuízo de outras medidas cabíveis na Lei nº 14.133/2021.</w:t>
      </w:r>
    </w:p>
    <w:p>
      <w:pPr>
        <w:pStyle w:val="ListParagraph"/>
        <w:numPr>
          <w:ilvl w:val="0"/>
          <w:numId w:val="2"/>
        </w:numPr>
        <w:suppressAutoHyphens w:val="true"/>
        <w:spacing w:before="240" w:after="240"/>
        <w:jc w:val="both"/>
        <w:rPr/>
      </w:pPr>
      <w:r>
        <w:rPr>
          <w:rStyle w:val="Strong"/>
        </w:rPr>
        <w:t>CONTROLE DA EXECUÇÃO</w:t>
      </w:r>
    </w:p>
    <w:p>
      <w:pPr>
        <w:pStyle w:val="ListParagraph"/>
        <w:numPr>
          <w:ilvl w:val="1"/>
          <w:numId w:val="2"/>
        </w:numPr>
        <w:suppressAutoHyphens w:val="true"/>
        <w:spacing w:before="240" w:after="240"/>
        <w:jc w:val="both"/>
        <w:rPr/>
      </w:pPr>
      <w:r>
        <w:rPr>
          <w:lang w:eastAsia="ar-SA"/>
        </w:rPr>
        <w:t>A gerência do contrato será exercida por um representante da Secretaria Municipal de Educação, ao qual competirá dirimir as dúvidas que surgirem no curso da execução do contrato, e de tudo dará ciência à Administração;</w:t>
      </w:r>
    </w:p>
    <w:p>
      <w:pPr>
        <w:pStyle w:val="Normal"/>
        <w:numPr>
          <w:ilvl w:val="1"/>
          <w:numId w:val="2"/>
        </w:numPr>
        <w:suppressAutoHyphens w:val="true"/>
        <w:spacing w:before="240" w:after="240"/>
        <w:jc w:val="both"/>
        <w:rPr/>
      </w:pPr>
      <w:r>
        <w:rPr>
          <w:lang w:eastAsia="ar-SA"/>
        </w:rPr>
        <w:t xml:space="preserve">A fiscalização do contrato será </w:t>
      </w:r>
      <w:r>
        <w:rPr/>
        <w:t>feita pelo Gestor do Contrato e Fiscais, respectivamente, formalmente designados, em conformidade com o disposto no art. 117 da Lei n.º 14.133/2021, nomeados nos subitens 6.1 e 6.2.</w:t>
      </w:r>
    </w:p>
    <w:p>
      <w:pPr>
        <w:pStyle w:val="ListParagraph"/>
        <w:numPr>
          <w:ilvl w:val="1"/>
          <w:numId w:val="2"/>
        </w:numPr>
        <w:suppressAutoHyphens w:val="true"/>
        <w:spacing w:before="240" w:after="240"/>
        <w:jc w:val="both"/>
        <w:rPr/>
      </w:pPr>
      <w:r>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14.133/2021;</w:t>
      </w:r>
    </w:p>
    <w:p>
      <w:pPr>
        <w:pStyle w:val="ListParagraph"/>
        <w:numPr>
          <w:ilvl w:val="1"/>
          <w:numId w:val="2"/>
        </w:numPr>
        <w:suppressAutoHyphens w:val="true"/>
        <w:jc w:val="both"/>
        <w:rPr/>
      </w:pPr>
      <w:r>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pPr>
        <w:pStyle w:val="Normal"/>
        <w:numPr>
          <w:ilvl w:val="1"/>
          <w:numId w:val="2"/>
        </w:numPr>
        <w:suppressAutoHyphens w:val="true"/>
        <w:spacing w:before="240" w:after="240"/>
        <w:jc w:val="both"/>
        <w:rPr/>
      </w:pPr>
      <w:r>
        <w:rPr>
          <w:lang w:eastAsia="ar-SA"/>
        </w:rPr>
        <w:t>Não será permitida a participação de consórcios, tendo em vista a baixa complexidade dos produtos, bem como o valor de pequeno vulto da contratação.</w:t>
      </w:r>
    </w:p>
    <w:p>
      <w:pPr>
        <w:pStyle w:val="ListParagraph"/>
        <w:numPr>
          <w:ilvl w:val="0"/>
          <w:numId w:val="2"/>
        </w:numPr>
        <w:suppressAutoHyphens w:val="true"/>
        <w:spacing w:before="240" w:after="240"/>
        <w:jc w:val="both"/>
        <w:rPr/>
      </w:pPr>
      <w:r>
        <w:rPr>
          <w:rStyle w:val="Strong"/>
        </w:rPr>
        <w:t>PRAZO CONTRATUAL, PROPOSTA E VALIDADE DA PROPOSTA</w:t>
      </w:r>
    </w:p>
    <w:p>
      <w:pPr>
        <w:pStyle w:val="Normal"/>
        <w:numPr>
          <w:ilvl w:val="1"/>
          <w:numId w:val="2"/>
        </w:numPr>
        <w:suppressAutoHyphens w:val="true"/>
        <w:spacing w:before="240" w:after="200"/>
        <w:contextualSpacing/>
        <w:jc w:val="both"/>
        <w:rPr/>
      </w:pPr>
      <w:r>
        <w:rPr/>
        <w:t>O prazo de validade da proposta será de 90 (noventa) dias;</w:t>
      </w:r>
    </w:p>
    <w:p>
      <w:pPr>
        <w:pStyle w:val="Normal"/>
        <w:suppressAutoHyphens w:val="true"/>
        <w:spacing w:lineRule="auto" w:line="276"/>
        <w:ind w:left="284" w:hanging="0"/>
        <w:jc w:val="both"/>
        <w:rPr/>
      </w:pPr>
      <w:r>
        <w:rPr/>
        <w:t>15.2. A proposta de preços deverá estar expressa em moeda corrente nacional (R$) configurada com duas casas decimais, em numeral e por extenso, composta pelo somatório dos valores dos itens unitários.</w:t>
      </w:r>
    </w:p>
    <w:p>
      <w:pPr>
        <w:pStyle w:val="Normal"/>
        <w:suppressAutoHyphens w:val="true"/>
        <w:spacing w:lineRule="auto" w:line="276"/>
        <w:ind w:left="284" w:hanging="0"/>
        <w:jc w:val="both"/>
        <w:rPr/>
      </w:pPr>
      <w:r>
        <w:rPr/>
        <w:t xml:space="preserve">15.3.  A proposta de preços deverá conter as informações da licitante relativa aos dados bancários (banco, agência e conta), </w:t>
      </w:r>
      <w:r>
        <w:rPr>
          <w:rFonts w:eastAsia="Arial"/>
        </w:rPr>
        <w:t>valor em numeral e por extenso, data de emissão da proposta, prazo de validade mínimo de 90 (noventa) dias, identificação da empresa através de carimbo de CNPJ, identificação e assinatura do representante legal da empresa ou procurador devidamente habilitado por instrumento de procuração.</w:t>
      </w:r>
    </w:p>
    <w:p>
      <w:pPr>
        <w:pStyle w:val="ListParagraph"/>
        <w:suppressAutoHyphens w:val="true"/>
        <w:spacing w:lineRule="auto" w:line="276"/>
        <w:ind w:left="284" w:hanging="0"/>
        <w:jc w:val="both"/>
        <w:rPr>
          <w:rFonts w:eastAsia="Arial Unicode MS"/>
          <w:sz w:val="22"/>
          <w:szCs w:val="22"/>
        </w:rPr>
      </w:pPr>
      <w:r>
        <w:rPr>
          <w:rFonts w:eastAsia="Arial Unicode MS"/>
          <w:sz w:val="22"/>
          <w:szCs w:val="22"/>
        </w:rPr>
      </w:r>
    </w:p>
    <w:p>
      <w:pPr>
        <w:pStyle w:val="ListParagraph"/>
        <w:suppressAutoHyphens w:val="true"/>
        <w:spacing w:lineRule="auto" w:line="276"/>
        <w:ind w:left="284" w:hanging="0"/>
        <w:jc w:val="both"/>
        <w:rPr/>
      </w:pPr>
      <w:r>
        <w:rPr>
          <w:rFonts w:eastAsia="Arial Unicode MS"/>
        </w:rPr>
        <w:t xml:space="preserve">15.4. </w:t>
      </w:r>
      <w:r>
        <w:rPr>
          <w:rFonts w:eastAsia="Arial"/>
        </w:rPr>
        <w:t xml:space="preserve">O critério de aceitação e julgamento para seleção e das propostas será a do </w:t>
      </w:r>
      <w:r>
        <w:rPr>
          <w:rFonts w:eastAsia="Arial"/>
          <w:b/>
          <w:u w:val="single"/>
        </w:rPr>
        <w:t>MENOR PREÇO GLOBAL.</w:t>
      </w:r>
    </w:p>
    <w:p>
      <w:pPr>
        <w:pStyle w:val="ListParagraph"/>
        <w:suppressAutoHyphens w:val="true"/>
        <w:spacing w:lineRule="auto" w:line="276"/>
        <w:ind w:left="284" w:hanging="0"/>
        <w:jc w:val="both"/>
        <w:rPr>
          <w:rFonts w:eastAsia="Arial"/>
          <w:b/>
          <w:b/>
          <w:sz w:val="22"/>
          <w:szCs w:val="22"/>
          <w:u w:val="single"/>
        </w:rPr>
      </w:pPr>
      <w:r>
        <w:rPr>
          <w:rFonts w:eastAsia="Arial"/>
          <w:b/>
          <w:sz w:val="22"/>
          <w:szCs w:val="22"/>
          <w:u w:val="single"/>
        </w:rPr>
      </w:r>
    </w:p>
    <w:p>
      <w:pPr>
        <w:pStyle w:val="Normal"/>
        <w:suppressAutoHyphens w:val="true"/>
        <w:spacing w:before="0" w:after="0"/>
        <w:ind w:left="284" w:hanging="0"/>
        <w:contextualSpacing/>
        <w:jc w:val="both"/>
        <w:rPr/>
      </w:pPr>
      <w:r>
        <w:rPr/>
        <w:t>15.5. Conforme é facultado nos termos do art. 95 da Lei 14.133/2021, a Administração opta pela não elaboração do contrato nesta contratação, que se substituirá pelo instrumento equivalente e pelo prazo que perdurar a obrigação do objeto pelo Município, observado os prazos de garantia legais previstos em lei e dos fabricantes dos produtos, a que for maior.</w:t>
      </w:r>
    </w:p>
    <w:p>
      <w:pPr>
        <w:pStyle w:val="Normal"/>
        <w:suppressAutoHyphens w:val="true"/>
        <w:spacing w:before="0" w:after="0"/>
        <w:ind w:left="284" w:hanging="0"/>
        <w:contextualSpacing/>
        <w:jc w:val="both"/>
        <w:rPr/>
      </w:pPr>
      <w:r>
        <w:rPr/>
      </w:r>
    </w:p>
    <w:p>
      <w:pPr>
        <w:pStyle w:val="Normal"/>
        <w:suppressAutoHyphens w:val="true"/>
        <w:spacing w:before="0" w:after="0"/>
        <w:ind w:left="284" w:hanging="0"/>
        <w:contextualSpacing/>
        <w:jc w:val="both"/>
        <w:rPr/>
      </w:pPr>
      <w:r>
        <w:rPr>
          <w:b/>
          <w:bCs/>
        </w:rPr>
        <w:t xml:space="preserve">16. </w:t>
      </w:r>
      <w:r>
        <w:rPr>
          <w:rFonts w:eastAsia="Arial Unicode MS" w:cs="Arial"/>
          <w:b/>
        </w:rPr>
        <w:t>DO TRATAMENTO DIFERENCIADO ÀS ME’S E EPP’S</w:t>
      </w:r>
    </w:p>
    <w:p>
      <w:pPr>
        <w:pStyle w:val="Normal"/>
        <w:suppressAutoHyphens w:val="true"/>
        <w:spacing w:before="0" w:after="0"/>
        <w:ind w:left="284" w:hanging="0"/>
        <w:contextualSpacing/>
        <w:jc w:val="both"/>
        <w:rPr/>
      </w:pPr>
      <w:r>
        <w:rPr>
          <w:rFonts w:eastAsia="Arial Unicode MS" w:cs="Arial"/>
          <w:b/>
          <w:lang w:eastAsia="ar-SA"/>
        </w:rPr>
        <w:br/>
      </w:r>
      <w:r>
        <w:rPr>
          <w:rFonts w:eastAsia="Arial Unicode MS" w:cs="Arial"/>
          <w:lang w:eastAsia="ar-SA"/>
        </w:rPr>
        <w:t>Aplicam-se na presente contratação o dispositivo previsto no art. 4º da Lei 14.133/21, que disciplina às licitações e contratos por esta Lei as disposições constantes dos arts. 42 a 49 da Lei Complementar nº 123, de 14 de dezembro de 2006.</w:t>
      </w:r>
    </w:p>
    <w:p>
      <w:pPr>
        <w:pStyle w:val="Normal"/>
        <w:suppressAutoHyphens w:val="true"/>
        <w:spacing w:before="0" w:after="0"/>
        <w:ind w:left="284" w:hanging="0"/>
        <w:contextualSpacing/>
        <w:jc w:val="both"/>
        <w:rPr>
          <w:rFonts w:eastAsia="Arial Unicode MS" w:cs="Arial"/>
          <w:lang w:eastAsia="ar-SA"/>
        </w:rPr>
      </w:pPr>
      <w:r>
        <w:rPr>
          <w:rFonts w:eastAsia="Arial Unicode MS" w:cs="Arial"/>
          <w:lang w:eastAsia="ar-SA"/>
        </w:rPr>
      </w:r>
    </w:p>
    <w:p>
      <w:pPr>
        <w:pStyle w:val="ListParagraph"/>
        <w:numPr>
          <w:ilvl w:val="0"/>
          <w:numId w:val="0"/>
        </w:numPr>
        <w:suppressAutoHyphens w:val="true"/>
        <w:spacing w:before="0" w:after="0"/>
        <w:ind w:left="708" w:hanging="0"/>
        <w:contextualSpacing/>
        <w:jc w:val="both"/>
        <w:rPr/>
      </w:pPr>
      <w:r>
        <w:rPr>
          <w:b/>
        </w:rPr>
        <w:t>17. DOTAÇÃO ORÇAMENTÁRIA</w:t>
      </w:r>
    </w:p>
    <w:tbl>
      <w:tblPr>
        <w:tblpPr w:vertAnchor="text" w:horzAnchor="page" w:leftFromText="141" w:rightFromText="141" w:tblpX="1861" w:tblpY="112"/>
        <w:tblW w:w="93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2778"/>
        <w:gridCol w:w="6522"/>
      </w:tblGrid>
      <w:tr>
        <w:trPr>
          <w:trHeight w:val="735" w:hRule="atLeast"/>
        </w:trPr>
        <w:tc>
          <w:tcPr>
            <w:tcW w:w="27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eastAsia="Calibri"/>
                <w:b/>
                <w:b/>
              </w:rPr>
            </w:pPr>
            <w:r>
              <w:rPr>
                <w:rFonts w:eastAsia="Calibri"/>
                <w:b/>
              </w:rPr>
              <w:t>Programa de Trabalho</w:t>
            </w:r>
          </w:p>
        </w:tc>
        <w:tc>
          <w:tcPr>
            <w:tcW w:w="65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20"/>
                <w:tab w:val="left" w:pos="2268" w:leader="none"/>
              </w:tabs>
              <w:rPr>
                <w:color w:val="auto"/>
              </w:rPr>
            </w:pPr>
            <w:r>
              <w:rPr>
                <w:color w:val="auto"/>
              </w:rPr>
              <w:t>Manutenção do Ensino Fundamental  - Escola em Tempo Integral</w:t>
            </w:r>
          </w:p>
          <w:p>
            <w:pPr>
              <w:pStyle w:val="Normal"/>
              <w:widowControl w:val="false"/>
              <w:tabs>
                <w:tab w:val="clear" w:pos="720"/>
                <w:tab w:val="left" w:pos="2268" w:leader="none"/>
              </w:tabs>
              <w:rPr>
                <w:color w:val="auto"/>
              </w:rPr>
            </w:pPr>
            <w:r>
              <w:rPr>
                <w:color w:val="auto"/>
              </w:rPr>
              <w:t>Manutenção do Ensino Infantil - Creche - Escola em Tempo Integral</w:t>
            </w:r>
          </w:p>
        </w:tc>
      </w:tr>
      <w:tr>
        <w:trPr>
          <w:trHeight w:val="664" w:hRule="atLeast"/>
        </w:trPr>
        <w:tc>
          <w:tcPr>
            <w:tcW w:w="27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eastAsia="Calibri"/>
                <w:b/>
                <w:b/>
              </w:rPr>
            </w:pPr>
            <w:r>
              <w:rPr>
                <w:rFonts w:eastAsia="Calibri"/>
                <w:b/>
              </w:rPr>
              <w:t>Natureza da Despesa</w:t>
            </w:r>
          </w:p>
        </w:tc>
        <w:tc>
          <w:tcPr>
            <w:tcW w:w="65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color w:val="auto"/>
              </w:rPr>
            </w:pPr>
            <w:r>
              <w:rPr>
                <w:color w:val="auto"/>
              </w:rPr>
              <w:t>33.90.30.00.00 – Material de Consumo</w:t>
            </w:r>
          </w:p>
        </w:tc>
      </w:tr>
      <w:tr>
        <w:trPr>
          <w:trHeight w:val="790" w:hRule="atLeast"/>
        </w:trPr>
        <w:tc>
          <w:tcPr>
            <w:tcW w:w="27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eastAsia="Calibri"/>
                <w:b/>
                <w:b/>
              </w:rPr>
            </w:pPr>
            <w:r>
              <w:rPr>
                <w:rFonts w:eastAsia="Calibri"/>
                <w:b/>
              </w:rPr>
              <w:t>Fonte de Recursos</w:t>
            </w:r>
          </w:p>
        </w:tc>
        <w:tc>
          <w:tcPr>
            <w:tcW w:w="65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eastAsia="Calibri"/>
                <w:color w:val="auto"/>
              </w:rPr>
            </w:pPr>
            <w:r>
              <w:rPr>
                <w:rFonts w:eastAsia="Calibri"/>
                <w:color w:val="auto"/>
              </w:rPr>
              <w:t>157000 - Transferência Governo Federal – Convênios e Instrumentos Congêneres Vinculados à Educação.</w:t>
            </w:r>
          </w:p>
        </w:tc>
      </w:tr>
    </w:tbl>
    <w:p>
      <w:pPr>
        <w:pStyle w:val="ListParagraph"/>
        <w:suppressAutoHyphens w:val="true"/>
        <w:spacing w:before="0" w:after="0"/>
        <w:ind w:left="284" w:hanging="0"/>
        <w:contextualSpacing/>
        <w:jc w:val="both"/>
        <w:rPr>
          <w:b/>
          <w:b/>
          <w:bCs/>
        </w:rPr>
      </w:pPr>
      <w:r>
        <w:rPr>
          <w:b/>
          <w:bCs/>
        </w:rPr>
      </w:r>
    </w:p>
    <w:p>
      <w:pPr>
        <w:pStyle w:val="ListParagraph"/>
        <w:suppressAutoHyphens w:val="true"/>
        <w:spacing w:before="0" w:after="0"/>
        <w:ind w:left="284" w:hanging="0"/>
        <w:contextualSpacing/>
        <w:jc w:val="both"/>
        <w:rPr>
          <w:b/>
          <w:b/>
          <w:bCs/>
        </w:rPr>
      </w:pPr>
      <w:r>
        <w:rPr>
          <w:b/>
          <w:bCs/>
        </w:rPr>
      </w:r>
    </w:p>
    <w:p>
      <w:pPr>
        <w:pStyle w:val="ListParagraph"/>
        <w:suppressAutoHyphens w:val="true"/>
        <w:spacing w:before="0" w:after="0"/>
        <w:ind w:left="284" w:hanging="0"/>
        <w:contextualSpacing/>
        <w:jc w:val="both"/>
        <w:rPr>
          <w:b/>
          <w:b/>
          <w:bCs/>
        </w:rPr>
      </w:pPr>
      <w:r>
        <w:rPr>
          <w:b/>
          <w:bCs/>
        </w:rPr>
      </w:r>
    </w:p>
    <w:p>
      <w:pPr>
        <w:pStyle w:val="ListParagraph"/>
        <w:suppressAutoHyphens w:val="true"/>
        <w:spacing w:before="0" w:after="0"/>
        <w:ind w:left="284" w:hanging="0"/>
        <w:contextualSpacing/>
        <w:jc w:val="both"/>
        <w:rPr>
          <w:b/>
          <w:b/>
          <w:bCs/>
        </w:rPr>
      </w:pPr>
      <w:r>
        <w:rPr>
          <w:b/>
          <w:bCs/>
        </w:rPr>
      </w:r>
    </w:p>
    <w:p>
      <w:pPr>
        <w:pStyle w:val="ListParagraph"/>
        <w:suppressAutoHyphens w:val="true"/>
        <w:spacing w:before="0" w:after="0"/>
        <w:ind w:left="284" w:hanging="0"/>
        <w:contextualSpacing/>
        <w:jc w:val="both"/>
        <w:rPr>
          <w:b/>
          <w:b/>
          <w:bCs/>
        </w:rPr>
      </w:pPr>
      <w:r>
        <w:rPr>
          <w:b/>
          <w:bCs/>
        </w:rPr>
      </w:r>
    </w:p>
    <w:p>
      <w:pPr>
        <w:pStyle w:val="ListParagraph"/>
        <w:suppressAutoHyphens w:val="true"/>
        <w:spacing w:before="0" w:after="0"/>
        <w:ind w:left="284" w:hanging="0"/>
        <w:contextualSpacing/>
        <w:jc w:val="both"/>
        <w:rPr>
          <w:b/>
          <w:b/>
          <w:bCs/>
        </w:rPr>
      </w:pPr>
      <w:r>
        <w:rPr>
          <w:b/>
          <w:bCs/>
        </w:rPr>
      </w:r>
    </w:p>
    <w:p>
      <w:pPr>
        <w:pStyle w:val="ListParagraph"/>
        <w:suppressAutoHyphens w:val="true"/>
        <w:spacing w:before="0" w:after="0"/>
        <w:ind w:left="284" w:hanging="0"/>
        <w:contextualSpacing/>
        <w:jc w:val="both"/>
        <w:rPr>
          <w:b/>
          <w:b/>
          <w:bCs/>
        </w:rPr>
      </w:pPr>
      <w:r>
        <w:rPr>
          <w:b/>
          <w:bCs/>
        </w:rPr>
      </w:r>
    </w:p>
    <w:p>
      <w:pPr>
        <w:pStyle w:val="ListParagraph"/>
        <w:suppressAutoHyphens w:val="true"/>
        <w:spacing w:before="0" w:after="0"/>
        <w:ind w:left="284" w:hanging="0"/>
        <w:contextualSpacing/>
        <w:jc w:val="both"/>
        <w:rPr>
          <w:b/>
          <w:b/>
          <w:bCs/>
        </w:rPr>
      </w:pPr>
      <w:r>
        <w:rPr>
          <w:b/>
          <w:bCs/>
        </w:rPr>
      </w:r>
    </w:p>
    <w:p>
      <w:pPr>
        <w:pStyle w:val="ListParagraph"/>
        <w:suppressAutoHyphens w:val="true"/>
        <w:spacing w:before="0" w:after="0"/>
        <w:ind w:left="284" w:hanging="0"/>
        <w:contextualSpacing/>
        <w:jc w:val="both"/>
        <w:rPr>
          <w:b/>
          <w:b/>
          <w:bCs/>
        </w:rPr>
      </w:pPr>
      <w:r>
        <w:rPr>
          <w:b/>
          <w:bCs/>
        </w:rPr>
      </w:r>
    </w:p>
    <w:p>
      <w:pPr>
        <w:pStyle w:val="ListParagraph"/>
        <w:suppressAutoHyphens w:val="true"/>
        <w:spacing w:before="0" w:after="0"/>
        <w:ind w:left="284" w:hanging="0"/>
        <w:contextualSpacing/>
        <w:jc w:val="both"/>
        <w:rPr>
          <w:b/>
          <w:b/>
          <w:bCs/>
        </w:rPr>
      </w:pPr>
      <w:r>
        <w:rPr>
          <w:b/>
          <w:bCs/>
        </w:rPr>
      </w:r>
    </w:p>
    <w:p>
      <w:pPr>
        <w:pStyle w:val="ListParagraph"/>
        <w:suppressAutoHyphens w:val="true"/>
        <w:spacing w:before="0" w:after="0"/>
        <w:ind w:left="708" w:hanging="0"/>
        <w:contextualSpacing/>
        <w:jc w:val="both"/>
        <w:rPr>
          <w:b/>
          <w:b/>
          <w:bCs/>
        </w:rPr>
      </w:pPr>
      <w:r>
        <w:rPr>
          <w:rFonts w:eastAsia="Times New Roman" w:cs="Times New Roman"/>
          <w:b/>
          <w:bCs/>
          <w:color w:val="auto"/>
          <w:kern w:val="0"/>
          <w:sz w:val="24"/>
          <w:szCs w:val="24"/>
          <w:lang w:val="pt-BR" w:eastAsia="pt-BR" w:bidi="ar-SA"/>
        </w:rPr>
        <w:t xml:space="preserve">  </w:t>
      </w:r>
      <w:r>
        <w:rPr>
          <w:rFonts w:eastAsia="Times New Roman" w:cs="Times New Roman"/>
          <w:b/>
          <w:bCs/>
          <w:color w:val="auto"/>
          <w:kern w:val="0"/>
          <w:sz w:val="24"/>
          <w:szCs w:val="24"/>
          <w:lang w:val="pt-BR" w:eastAsia="pt-BR" w:bidi="ar-SA"/>
        </w:rPr>
        <w:tab/>
        <w:t>18. TRANSPARÊNCIA</w:t>
      </w:r>
      <w:r>
        <w:rPr>
          <w:b/>
          <w:bCs/>
        </w:rPr>
        <w:t>:</w:t>
      </w:r>
    </w:p>
    <w:p>
      <w:pPr>
        <w:pStyle w:val="ListParagraph"/>
        <w:suppressAutoHyphens w:val="true"/>
        <w:spacing w:before="0" w:after="0"/>
        <w:ind w:left="284" w:hanging="0"/>
        <w:contextualSpacing/>
        <w:jc w:val="both"/>
        <w:rPr>
          <w:b/>
          <w:b/>
          <w:bCs/>
          <w:i/>
          <w:i/>
          <w:iCs/>
        </w:rPr>
      </w:pPr>
      <w:r>
        <w:rPr>
          <w:b/>
          <w:bCs/>
          <w:i/>
          <w:iCs/>
        </w:rPr>
        <w:tab/>
      </w:r>
      <w:r>
        <w:rPr>
          <w:b w:val="false"/>
          <w:bCs w:val="false"/>
          <w:i w:val="false"/>
          <w:iCs w:val="false"/>
        </w:rPr>
        <w:t>O presente certame não estará sob sigilo, e atenderá o art. 8º, §1º, IV, de acordo com a Lei 12.575/2011.</w:t>
      </w:r>
    </w:p>
    <w:p>
      <w:pPr>
        <w:pStyle w:val="ListParagraph"/>
        <w:numPr>
          <w:ilvl w:val="0"/>
          <w:numId w:val="0"/>
        </w:numPr>
        <w:suppressAutoHyphens w:val="true"/>
        <w:spacing w:before="0" w:after="0"/>
        <w:ind w:left="0" w:hanging="0"/>
        <w:contextualSpacing/>
        <w:jc w:val="both"/>
        <w:rPr>
          <w:b/>
          <w:b/>
        </w:rPr>
      </w:pPr>
      <w:r>
        <w:rPr>
          <w:b/>
        </w:rPr>
      </w:r>
    </w:p>
    <w:p>
      <w:pPr>
        <w:pStyle w:val="ListParagraph"/>
        <w:numPr>
          <w:ilvl w:val="0"/>
          <w:numId w:val="0"/>
        </w:numPr>
        <w:suppressAutoHyphens w:val="true"/>
        <w:spacing w:before="0" w:after="0"/>
        <w:ind w:left="0" w:hanging="0"/>
        <w:contextualSpacing/>
        <w:jc w:val="both"/>
        <w:rPr/>
      </w:pPr>
      <w:r>
        <w:rPr>
          <w:b/>
        </w:rPr>
        <w:tab/>
        <w:t>19. DISPOSIÇÕES FINAIS</w:t>
      </w:r>
    </w:p>
    <w:p>
      <w:pPr>
        <w:pStyle w:val="ListParagraph"/>
        <w:suppressAutoHyphens w:val="true"/>
        <w:spacing w:before="0" w:after="0"/>
        <w:ind w:left="0" w:hanging="0"/>
        <w:contextualSpacing/>
        <w:jc w:val="both"/>
        <w:rPr/>
      </w:pPr>
      <w:r>
        <w:rPr/>
      </w:r>
    </w:p>
    <w:p>
      <w:pPr>
        <w:pStyle w:val="ListParagraph"/>
        <w:widowControl/>
        <w:numPr>
          <w:ilvl w:val="0"/>
          <w:numId w:val="0"/>
        </w:numPr>
        <w:suppressAutoHyphens w:val="true"/>
        <w:bidi w:val="0"/>
        <w:spacing w:before="0" w:after="0"/>
        <w:ind w:left="624" w:right="0" w:hanging="0"/>
        <w:contextualSpacing/>
        <w:jc w:val="both"/>
        <w:rPr/>
      </w:pPr>
      <w:r>
        <w:rPr/>
        <w:t>19.1 Anexo I – Quantitativo e  Pesquisa estimativa de valor para justificativa para o art. 75, II, (pesquisa do Setor de Compras, p. 68/70)</w:t>
      </w:r>
    </w:p>
    <w:p>
      <w:pPr>
        <w:pStyle w:val="ListParagraph"/>
        <w:widowControl/>
        <w:numPr>
          <w:ilvl w:val="0"/>
          <w:numId w:val="0"/>
        </w:numPr>
        <w:suppressAutoHyphens w:val="true"/>
        <w:bidi w:val="0"/>
        <w:spacing w:before="0" w:after="0"/>
        <w:ind w:left="680" w:right="0" w:hanging="0"/>
        <w:contextualSpacing/>
        <w:jc w:val="both"/>
        <w:rPr/>
      </w:pPr>
      <w:r>
        <w:rPr/>
        <w:t>19.2 Anexo II –  Declaração de Bens de luxo</w:t>
      </w:r>
    </w:p>
    <w:p>
      <w:pPr>
        <w:pStyle w:val="ListParagraph"/>
        <w:widowControl/>
        <w:numPr>
          <w:ilvl w:val="0"/>
          <w:numId w:val="0"/>
        </w:numPr>
        <w:suppressAutoHyphens w:val="true"/>
        <w:bidi w:val="0"/>
        <w:spacing w:before="0" w:after="0"/>
        <w:ind w:left="680" w:right="0" w:hanging="0"/>
        <w:contextualSpacing/>
        <w:jc w:val="both"/>
        <w:rPr/>
      </w:pPr>
      <w:r>
        <w:rPr/>
        <w:t>19.3 Anexo III – Análise de Risco</w:t>
      </w:r>
    </w:p>
    <w:p>
      <w:pPr>
        <w:pStyle w:val="ListParagraph"/>
        <w:widowControl/>
        <w:numPr>
          <w:ilvl w:val="0"/>
          <w:numId w:val="0"/>
        </w:numPr>
        <w:suppressAutoHyphens w:val="true"/>
        <w:bidi w:val="0"/>
        <w:spacing w:before="0" w:after="0"/>
        <w:ind w:left="680" w:right="0" w:hanging="0"/>
        <w:contextualSpacing/>
        <w:jc w:val="both"/>
        <w:rPr/>
      </w:pPr>
      <w:r>
        <w:rPr/>
        <w:t>19.4 Anexo IV – Decreto Municipal nº 5527/2023</w:t>
      </w:r>
    </w:p>
    <w:p>
      <w:pPr>
        <w:pStyle w:val="ListParagraph"/>
        <w:widowControl/>
        <w:numPr>
          <w:ilvl w:val="0"/>
          <w:numId w:val="0"/>
        </w:numPr>
        <w:suppressAutoHyphens w:val="true"/>
        <w:bidi w:val="0"/>
        <w:spacing w:before="0" w:after="0"/>
        <w:ind w:left="680" w:right="0" w:hanging="0"/>
        <w:contextualSpacing/>
        <w:jc w:val="both"/>
        <w:rPr/>
      </w:pPr>
      <w:r>
        <w:rPr/>
        <w:t>19.5 Anexo V – Padronização PNCP</w:t>
      </w:r>
    </w:p>
    <w:p>
      <w:pPr>
        <w:pStyle w:val="ListParagraph"/>
        <w:suppressAutoHyphens w:val="true"/>
        <w:spacing w:before="0" w:after="0"/>
        <w:ind w:left="992" w:hanging="0"/>
        <w:contextualSpacing/>
        <w:jc w:val="both"/>
        <w:rPr/>
      </w:pPr>
      <w:r>
        <w:rPr/>
      </w:r>
    </w:p>
    <w:p>
      <w:pPr>
        <w:pStyle w:val="Normal"/>
        <w:tabs>
          <w:tab w:val="clear" w:pos="720"/>
          <w:tab w:val="left" w:pos="3285" w:leader="none"/>
        </w:tabs>
        <w:suppressAutoHyphens w:val="true"/>
        <w:spacing w:before="240" w:after="240"/>
        <w:contextualSpacing/>
        <w:jc w:val="right"/>
        <w:rPr/>
      </w:pPr>
      <w:r>
        <w:rPr>
          <w:b/>
        </w:rPr>
        <w:t>Vassouras, 0</w:t>
      </w:r>
      <w:r>
        <w:rPr>
          <w:b/>
        </w:rPr>
        <w:t>9</w:t>
      </w:r>
      <w:r>
        <w:rPr>
          <w:b/>
        </w:rPr>
        <w:t xml:space="preserve"> de junho de 2025.</w:t>
      </w:r>
    </w:p>
    <w:p>
      <w:pPr>
        <w:pStyle w:val="Normal"/>
        <w:tabs>
          <w:tab w:val="clear" w:pos="720"/>
          <w:tab w:val="left" w:pos="3285" w:leader="none"/>
        </w:tabs>
        <w:suppressAutoHyphens w:val="true"/>
        <w:spacing w:before="240" w:after="240"/>
        <w:contextualSpacing/>
        <w:rPr>
          <w:b/>
          <w:b/>
        </w:rPr>
      </w:pPr>
      <w:r>
        <w:rPr>
          <w:b/>
        </w:rPr>
      </w:r>
    </w:p>
    <w:p>
      <w:pPr>
        <w:pStyle w:val="Normal"/>
        <w:tabs>
          <w:tab w:val="clear" w:pos="720"/>
          <w:tab w:val="left" w:pos="3285" w:leader="none"/>
        </w:tabs>
        <w:suppressAutoHyphens w:val="true"/>
        <w:spacing w:before="240" w:after="240"/>
        <w:contextualSpacing/>
        <w:rPr>
          <w:b/>
          <w:b/>
        </w:rPr>
      </w:pPr>
      <w:r>
        <w:rPr>
          <w:b/>
        </w:rPr>
      </w:r>
    </w:p>
    <w:p>
      <w:pPr>
        <w:pStyle w:val="Normal"/>
        <w:tabs>
          <w:tab w:val="clear" w:pos="720"/>
          <w:tab w:val="left" w:pos="3285" w:leader="none"/>
        </w:tabs>
        <w:suppressAutoHyphens w:val="true"/>
        <w:spacing w:before="240" w:after="240"/>
        <w:contextualSpacing/>
        <w:rPr>
          <w:b/>
          <w:b/>
        </w:rPr>
      </w:pPr>
      <w:r>
        <w:rPr>
          <w:b/>
        </w:rPr>
      </w:r>
    </w:p>
    <w:tbl>
      <w:tblPr>
        <w:tblStyle w:val="Tabelacomgrade"/>
        <w:tblpPr w:vertAnchor="text" w:horzAnchor="page" w:tblpXSpec="center" w:leftFromText="141" w:rightFromText="141" w:tblpY="-59"/>
        <w:tblW w:w="794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080"/>
        <w:gridCol w:w="1468"/>
        <w:gridCol w:w="2395"/>
      </w:tblGrid>
      <w:tr>
        <w:trPr/>
        <w:tc>
          <w:tcPr>
            <w:tcW w:w="4080" w:type="dxa"/>
            <w:tcBorders/>
          </w:tcPr>
          <w:p>
            <w:pPr>
              <w:pStyle w:val="Normal"/>
              <w:widowControl w:val="false"/>
              <w:suppressAutoHyphens w:val="true"/>
              <w:spacing w:before="0" w:after="0"/>
              <w:jc w:val="center"/>
              <w:rPr>
                <w:b/>
                <w:b/>
              </w:rPr>
            </w:pPr>
            <w:r>
              <w:rPr>
                <w:rFonts w:eastAsia="Times New Roman" w:cs="Times New Roman"/>
                <w:b/>
                <w:kern w:val="0"/>
                <w:sz w:val="20"/>
                <w:lang w:val="pt-BR" w:eastAsia="pt-BR" w:bidi="ar-SA"/>
              </w:rPr>
              <w:t>Responsável pela elaboração</w:t>
            </w:r>
          </w:p>
        </w:tc>
        <w:tc>
          <w:tcPr>
            <w:tcW w:w="1468" w:type="dxa"/>
            <w:tcBorders/>
          </w:tcPr>
          <w:p>
            <w:pPr>
              <w:pStyle w:val="Normal"/>
              <w:widowControl w:val="false"/>
              <w:suppressAutoHyphens w:val="true"/>
              <w:spacing w:before="0" w:after="0"/>
              <w:jc w:val="center"/>
              <w:rPr>
                <w:b/>
                <w:b/>
              </w:rPr>
            </w:pPr>
            <w:r>
              <w:rPr>
                <w:rFonts w:eastAsia="Times New Roman" w:cs="Times New Roman"/>
                <w:b/>
                <w:kern w:val="0"/>
                <w:sz w:val="20"/>
                <w:lang w:val="pt-BR" w:eastAsia="pt-BR" w:bidi="ar-SA"/>
              </w:rPr>
              <w:t>Matrícula</w:t>
            </w:r>
          </w:p>
        </w:tc>
        <w:tc>
          <w:tcPr>
            <w:tcW w:w="2395" w:type="dxa"/>
            <w:tcBorders/>
          </w:tcPr>
          <w:p>
            <w:pPr>
              <w:pStyle w:val="Normal"/>
              <w:widowControl w:val="false"/>
              <w:suppressAutoHyphens w:val="true"/>
              <w:spacing w:before="0" w:after="0"/>
              <w:jc w:val="center"/>
              <w:rPr>
                <w:b/>
                <w:b/>
              </w:rPr>
            </w:pPr>
            <w:r>
              <w:rPr>
                <w:rFonts w:eastAsia="Times New Roman" w:cs="Times New Roman"/>
                <w:b/>
                <w:kern w:val="0"/>
                <w:sz w:val="20"/>
                <w:lang w:val="pt-BR" w:eastAsia="pt-BR" w:bidi="ar-SA"/>
              </w:rPr>
              <w:t>Assinatura</w:t>
            </w:r>
          </w:p>
        </w:tc>
      </w:tr>
      <w:tr>
        <w:trPr/>
        <w:tc>
          <w:tcPr>
            <w:tcW w:w="4080" w:type="dxa"/>
            <w:tcBorders/>
          </w:tcPr>
          <w:p>
            <w:pPr>
              <w:pStyle w:val="Normal"/>
              <w:widowControl w:val="false"/>
              <w:suppressAutoHyphens w:val="true"/>
              <w:spacing w:before="0" w:after="0"/>
              <w:jc w:val="both"/>
              <w:rPr>
                <w:rFonts w:ascii="Times New Roman" w:hAnsi="Times New Roman" w:eastAsia="Times New Roman" w:cs="Times New Roman"/>
                <w:b w:val="false"/>
                <w:b w:val="false"/>
                <w:bCs w:val="false"/>
                <w:color w:val="auto"/>
                <w:kern w:val="0"/>
                <w:sz w:val="24"/>
                <w:szCs w:val="24"/>
                <w:lang w:val="pt-BR" w:eastAsia="pt-BR" w:bidi="ar-SA"/>
              </w:rPr>
            </w:pPr>
            <w:r>
              <w:rPr>
                <w:rFonts w:eastAsia="Times New Roman" w:cs="Times New Roman"/>
                <w:b w:val="false"/>
                <w:bCs w:val="false"/>
                <w:color w:val="auto"/>
                <w:kern w:val="0"/>
                <w:sz w:val="24"/>
                <w:szCs w:val="24"/>
                <w:lang w:val="pt-BR" w:eastAsia="pt-BR" w:bidi="ar-SA"/>
              </w:rPr>
              <w:t>Michele Guedes Duarte</w:t>
            </w:r>
          </w:p>
        </w:tc>
        <w:tc>
          <w:tcPr>
            <w:tcW w:w="1468" w:type="dxa"/>
            <w:tcBorders/>
            <w:vAlign w:val="center"/>
          </w:tcPr>
          <w:p>
            <w:pPr>
              <w:pStyle w:val="Normal"/>
              <w:widowControl w:val="false"/>
              <w:suppressAutoHyphens w:val="true"/>
              <w:spacing w:before="0" w:after="0"/>
              <w:jc w:val="center"/>
              <w:rPr>
                <w:rFonts w:ascii="Times New Roman" w:hAnsi="Times New Roman" w:eastAsia="Times New Roman" w:cs="Times New Roman"/>
                <w:kern w:val="0"/>
                <w:lang w:val="pt-BR" w:eastAsia="pt-BR" w:bidi="ar-SA"/>
              </w:rPr>
            </w:pPr>
            <w:r>
              <w:rPr>
                <w:rFonts w:eastAsia="Times New Roman" w:cs="Times New Roman"/>
                <w:kern w:val="0"/>
                <w:sz w:val="20"/>
                <w:lang w:val="pt-BR" w:eastAsia="pt-BR" w:bidi="ar-SA"/>
              </w:rPr>
              <w:t>100.770-0</w:t>
            </w:r>
          </w:p>
        </w:tc>
        <w:tc>
          <w:tcPr>
            <w:tcW w:w="2395" w:type="dxa"/>
            <w:tcBorders/>
          </w:tcPr>
          <w:p>
            <w:pPr>
              <w:pStyle w:val="Normal"/>
              <w:widowControl w:val="false"/>
              <w:suppressAutoHyphens w:val="true"/>
              <w:spacing w:before="0" w:after="0"/>
              <w:jc w:val="both"/>
              <w:rPr>
                <w:rFonts w:ascii="Times New Roman" w:hAnsi="Times New Roman" w:eastAsia="Times New Roman" w:cs="Times New Roman"/>
                <w:kern w:val="0"/>
                <w:lang w:val="pt-BR" w:eastAsia="pt-BR" w:bidi="ar-SA"/>
              </w:rPr>
            </w:pPr>
            <w:r>
              <w:rPr>
                <w:rFonts w:eastAsia="Times New Roman" w:cs="Times New Roman"/>
                <w:kern w:val="0"/>
                <w:sz w:val="20"/>
                <w:lang w:val="pt-BR" w:eastAsia="pt-BR" w:bidi="ar-SA"/>
              </w:rPr>
            </w:r>
          </w:p>
        </w:tc>
      </w:tr>
      <w:tr>
        <w:trPr/>
        <w:tc>
          <w:tcPr>
            <w:tcW w:w="4080" w:type="dxa"/>
            <w:tcBorders/>
          </w:tcPr>
          <w:p>
            <w:pPr>
              <w:pStyle w:val="Normal"/>
              <w:widowControl w:val="false"/>
              <w:suppressAutoHyphens w:val="true"/>
              <w:spacing w:before="0" w:after="0"/>
              <w:jc w:val="center"/>
              <w:rPr>
                <w:b/>
                <w:b/>
              </w:rPr>
            </w:pPr>
            <w:r>
              <w:rPr>
                <w:rFonts w:eastAsia="Times New Roman" w:cs="Times New Roman"/>
                <w:b/>
                <w:kern w:val="0"/>
                <w:sz w:val="22"/>
                <w:lang w:val="pt-BR" w:eastAsia="pt-BR" w:bidi="ar-SA"/>
              </w:rPr>
              <w:t>Secretária Municipal de Educação</w:t>
            </w:r>
          </w:p>
        </w:tc>
        <w:tc>
          <w:tcPr>
            <w:tcW w:w="1468" w:type="dxa"/>
            <w:tcBorders/>
          </w:tcPr>
          <w:p>
            <w:pPr>
              <w:pStyle w:val="Normal"/>
              <w:widowControl w:val="false"/>
              <w:suppressAutoHyphens w:val="true"/>
              <w:spacing w:before="0" w:after="0"/>
              <w:jc w:val="center"/>
              <w:rPr>
                <w:b/>
                <w:b/>
              </w:rPr>
            </w:pPr>
            <w:r>
              <w:rPr>
                <w:rFonts w:eastAsia="Times New Roman" w:cs="Times New Roman"/>
                <w:b/>
                <w:kern w:val="0"/>
                <w:sz w:val="20"/>
                <w:lang w:val="pt-BR" w:eastAsia="pt-BR" w:bidi="ar-SA"/>
              </w:rPr>
              <w:t>Matrícula</w:t>
            </w:r>
          </w:p>
        </w:tc>
        <w:tc>
          <w:tcPr>
            <w:tcW w:w="2395" w:type="dxa"/>
            <w:tcBorders/>
          </w:tcPr>
          <w:p>
            <w:pPr>
              <w:pStyle w:val="Normal"/>
              <w:widowControl w:val="false"/>
              <w:suppressAutoHyphens w:val="true"/>
              <w:spacing w:before="0" w:after="0"/>
              <w:jc w:val="center"/>
              <w:rPr>
                <w:b/>
                <w:b/>
              </w:rPr>
            </w:pPr>
            <w:r>
              <w:rPr>
                <w:rFonts w:eastAsia="Times New Roman" w:cs="Times New Roman"/>
                <w:b/>
                <w:kern w:val="0"/>
                <w:sz w:val="20"/>
                <w:lang w:val="pt-BR" w:eastAsia="pt-BR" w:bidi="ar-SA"/>
              </w:rPr>
              <w:t>Assinatura</w:t>
            </w:r>
          </w:p>
        </w:tc>
      </w:tr>
      <w:tr>
        <w:trPr/>
        <w:tc>
          <w:tcPr>
            <w:tcW w:w="4080" w:type="dxa"/>
            <w:tcBorders/>
          </w:tcPr>
          <w:p>
            <w:pPr>
              <w:pStyle w:val="Normal"/>
              <w:widowControl w:val="false"/>
              <w:suppressAutoHyphens w:val="true"/>
              <w:spacing w:before="0" w:after="0"/>
              <w:jc w:val="both"/>
              <w:rPr>
                <w:rFonts w:eastAsia="Times New Roman" w:cs="Times New Roman"/>
                <w:color w:val="auto"/>
                <w:kern w:val="0"/>
                <w:sz w:val="20"/>
                <w:szCs w:val="20"/>
                <w:lang w:val="pt-BR" w:eastAsia="pt-BR" w:bidi="ar-SA"/>
              </w:rPr>
            </w:pPr>
            <w:r>
              <w:rPr>
                <w:rFonts w:eastAsia="Times New Roman" w:cs="Times New Roman"/>
                <w:color w:val="auto"/>
                <w:kern w:val="0"/>
                <w:sz w:val="20"/>
                <w:szCs w:val="20"/>
                <w:lang w:val="pt-BR" w:eastAsia="pt-BR" w:bidi="ar-SA"/>
              </w:rPr>
              <w:t>Rita de Cássia de Freitas Carneiro Chantal</w:t>
            </w:r>
          </w:p>
        </w:tc>
        <w:tc>
          <w:tcPr>
            <w:tcW w:w="1468" w:type="dxa"/>
            <w:tcBorders/>
            <w:vAlign w:val="center"/>
          </w:tcPr>
          <w:p>
            <w:pPr>
              <w:pStyle w:val="Normal"/>
              <w:widowControl w:val="false"/>
              <w:suppressAutoHyphens w:val="true"/>
              <w:spacing w:before="0" w:after="0"/>
              <w:jc w:val="center"/>
              <w:rPr>
                <w:rFonts w:ascii="Times New Roman" w:hAnsi="Times New Roman" w:eastAsia="Times New Roman" w:cs="Times New Roman"/>
                <w:kern w:val="0"/>
                <w:lang w:val="pt-BR" w:eastAsia="pt-BR" w:bidi="ar-SA"/>
              </w:rPr>
            </w:pPr>
            <w:r>
              <w:rPr>
                <w:rFonts w:eastAsia="Times New Roman" w:cs="Times New Roman"/>
                <w:kern w:val="0"/>
                <w:sz w:val="20"/>
                <w:lang w:val="pt-BR" w:eastAsia="pt-BR" w:bidi="ar-SA"/>
              </w:rPr>
              <w:t>300.995-0</w:t>
            </w:r>
          </w:p>
        </w:tc>
        <w:tc>
          <w:tcPr>
            <w:tcW w:w="2395" w:type="dxa"/>
            <w:tcBorders/>
          </w:tcPr>
          <w:p>
            <w:pPr>
              <w:pStyle w:val="Normal"/>
              <w:widowControl w:val="false"/>
              <w:suppressAutoHyphens w:val="true"/>
              <w:spacing w:before="0" w:after="0"/>
              <w:jc w:val="both"/>
              <w:rPr>
                <w:rFonts w:ascii="Times New Roman" w:hAnsi="Times New Roman" w:eastAsia="Times New Roman" w:cs="Times New Roman"/>
                <w:kern w:val="0"/>
                <w:lang w:val="pt-BR" w:eastAsia="pt-BR" w:bidi="ar-SA"/>
              </w:rPr>
            </w:pPr>
            <w:r>
              <w:rPr>
                <w:rFonts w:eastAsia="Times New Roman" w:cs="Times New Roman"/>
                <w:kern w:val="0"/>
                <w:sz w:val="20"/>
                <w:lang w:val="pt-BR" w:eastAsia="pt-BR" w:bidi="ar-SA"/>
              </w:rPr>
            </w:r>
          </w:p>
        </w:tc>
      </w:tr>
    </w:tbl>
    <w:p>
      <w:pPr>
        <w:pStyle w:val="Normal"/>
        <w:tabs>
          <w:tab w:val="clear" w:pos="720"/>
          <w:tab w:val="left" w:pos="3285" w:leader="none"/>
        </w:tabs>
        <w:suppressAutoHyphens w:val="true"/>
        <w:spacing w:before="240" w:after="240"/>
        <w:contextualSpacing/>
        <w:rPr>
          <w:b/>
          <w:b/>
        </w:rPr>
      </w:pPr>
      <w:r>
        <w:rPr>
          <w:b/>
        </w:rPr>
      </w:r>
    </w:p>
    <w:p>
      <w:pPr>
        <w:pStyle w:val="Normal"/>
        <w:tabs>
          <w:tab w:val="clear" w:pos="720"/>
          <w:tab w:val="left" w:pos="3285" w:leader="none"/>
        </w:tabs>
        <w:suppressAutoHyphens w:val="true"/>
        <w:spacing w:before="240" w:after="240"/>
        <w:contextualSpacing/>
        <w:rPr>
          <w:b/>
          <w:b/>
        </w:rPr>
      </w:pPr>
      <w:r>
        <w:rPr>
          <w:b/>
        </w:rPr>
      </w:r>
    </w:p>
    <w:p>
      <w:pPr>
        <w:sectPr>
          <w:headerReference w:type="default" r:id="rId2"/>
          <w:type w:val="nextPage"/>
          <w:pgSz w:w="11906" w:h="16838"/>
          <w:pgMar w:left="1134" w:right="1134" w:header="600" w:top="1583" w:footer="0" w:bottom="674" w:gutter="0"/>
          <w:pgNumType w:fmt="decimal"/>
          <w:formProt w:val="false"/>
          <w:textDirection w:val="lrTb"/>
          <w:docGrid w:type="default" w:linePitch="100" w:charSpace="0"/>
        </w:sectPr>
        <w:pStyle w:val="Normal"/>
        <w:tabs>
          <w:tab w:val="clear" w:pos="720"/>
          <w:tab w:val="left" w:pos="3285" w:leader="none"/>
        </w:tabs>
        <w:suppressAutoHyphens w:val="true"/>
        <w:spacing w:before="240" w:after="240"/>
        <w:contextualSpacing/>
        <w:rPr>
          <w:b/>
          <w:b/>
        </w:rPr>
      </w:pPr>
      <w:r>
        <w:rPr>
          <w:b/>
        </w:rPr>
      </w:r>
    </w:p>
    <w:tbl>
      <w:tblPr>
        <w:tblW w:w="14910" w:type="dxa"/>
        <w:jc w:val="left"/>
        <w:tblInd w:w="-32" w:type="dxa"/>
        <w:tblLayout w:type="fixed"/>
        <w:tblCellMar>
          <w:top w:w="0" w:type="dxa"/>
          <w:left w:w="28" w:type="dxa"/>
          <w:bottom w:w="0" w:type="dxa"/>
          <w:right w:w="28" w:type="dxa"/>
        </w:tblCellMar>
      </w:tblPr>
      <w:tblGrid>
        <w:gridCol w:w="568"/>
        <w:gridCol w:w="4428"/>
        <w:gridCol w:w="865"/>
        <w:gridCol w:w="1079"/>
        <w:gridCol w:w="710"/>
        <w:gridCol w:w="1143"/>
        <w:gridCol w:w="1278"/>
        <w:gridCol w:w="1005"/>
        <w:gridCol w:w="1276"/>
        <w:gridCol w:w="1283"/>
        <w:gridCol w:w="1273"/>
      </w:tblGrid>
      <w:tr>
        <w:trPr>
          <w:trHeight w:val="293" w:hRule="atLeast"/>
        </w:trPr>
        <w:tc>
          <w:tcPr>
            <w:tcW w:w="14908" w:type="dxa"/>
            <w:gridSpan w:val="11"/>
            <w:tcBorders>
              <w:top w:val="single" w:sz="2" w:space="0" w:color="000000"/>
              <w:left w:val="single" w:sz="2" w:space="0" w:color="000000"/>
              <w:bottom w:val="single" w:sz="2" w:space="0" w:color="000000"/>
              <w:right w:val="single" w:sz="2" w:space="0" w:color="000000"/>
            </w:tcBorders>
            <w:vAlign w:val="center"/>
          </w:tcPr>
          <w:p>
            <w:pPr>
              <w:pStyle w:val="Normal"/>
              <w:pageBreakBefore/>
              <w:widowControl w:val="false"/>
              <w:tabs>
                <w:tab w:val="clear" w:pos="720"/>
              </w:tabs>
              <w:jc w:val="center"/>
              <w:rPr>
                <w:b/>
                <w:b/>
              </w:rPr>
            </w:pPr>
            <w:r>
              <w:rPr/>
              <w:t>ANEXO I</w:t>
            </w:r>
          </w:p>
        </w:tc>
      </w:tr>
      <w:tr>
        <w:trPr>
          <w:trHeight w:val="731"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nº</w:t>
            </w:r>
          </w:p>
        </w:tc>
        <w:tc>
          <w:tcPr>
            <w:tcW w:w="442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Itens</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C. M. SANTA RITA</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E. M. JOAQUIM PINTO   E SOUZA</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Total</w:t>
            </w:r>
          </w:p>
        </w:tc>
        <w:tc>
          <w:tcPr>
            <w:tcW w:w="1143"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Média mídia</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Valor Total MÉDIA MÍDIA</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Painel de preços</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Valor Total PAINEL PREÇO</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Média valor unitário</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sz w:val="20"/>
                <w:szCs w:val="20"/>
              </w:rPr>
              <w:t>Valor total média</w:t>
            </w:r>
          </w:p>
        </w:tc>
      </w:tr>
      <w:tr>
        <w:trPr>
          <w:trHeight w:val="293"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1</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Bacia plástica redonda, capacidade 5 litros.</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3</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3</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6</w:t>
            </w:r>
          </w:p>
        </w:tc>
        <w:tc>
          <w:tcPr>
            <w:tcW w:w="1143"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R$ 7,57</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R$ 45,42</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R$ 9,69</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R$ 58,14</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R$ 8,63</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R$ 51,78</w:t>
            </w:r>
          </w:p>
        </w:tc>
      </w:tr>
      <w:tr>
        <w:trPr>
          <w:trHeight w:val="701"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2</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Bandeja plástica para acondicionar alimentos, cor branca, tipo escolar refeitório medindo  APROX. 42 cm x 28cM</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50</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70</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120</w:t>
            </w:r>
          </w:p>
        </w:tc>
        <w:tc>
          <w:tcPr>
            <w:tcW w:w="1143"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R$ 32,40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R$ 3.888,00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R$ 20,57</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R$ 2.468,40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R$ 26,49</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R$ 3.178,20</w:t>
            </w:r>
          </w:p>
        </w:tc>
      </w:tr>
      <w:tr>
        <w:trPr>
          <w:trHeight w:val="641"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3</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Borracha para panela de pressão: Confeccionada em silicone atóxico e de alta qualidade, compatível com diversas marcas e modelos com capacidade para 10L</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20</w:t>
            </w:r>
          </w:p>
        </w:tc>
        <w:tc>
          <w:tcPr>
            <w:tcW w:w="1143"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R$ 26,68</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R$ 533,60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R$ 36,48</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R$ 729,60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R$ 31,58</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R$ 631,60</w:t>
            </w:r>
          </w:p>
        </w:tc>
      </w:tr>
      <w:tr>
        <w:trPr>
          <w:trHeight w:val="835"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4</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Caixa plástica em polipropileno, com 55 cm de comprimento X 35,5 cm de largura X 31 cm de altura, vazada, monobloco, sem tampa, tipo: empilhável, capacidade 56 litros</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20</w:t>
            </w:r>
          </w:p>
        </w:tc>
        <w:tc>
          <w:tcPr>
            <w:tcW w:w="1143"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R$ 54,82</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R$ 1.096,40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R$ 53,09</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R$ 1.061,80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R$ 53,96</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R$ 1.079,10</w:t>
            </w:r>
          </w:p>
        </w:tc>
      </w:tr>
      <w:tr>
        <w:trPr>
          <w:trHeight w:val="671"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5</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Caixa plástica, resistente, tipo caixa organizadora, transmitância: transparente, com tampas e travas, medindo 42,5 x 30 x 30,5 cm , 30L.</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15</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25</w:t>
            </w:r>
          </w:p>
        </w:tc>
        <w:tc>
          <w:tcPr>
            <w:tcW w:w="1143"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R$ 64,32</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R$ 1.608,00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R$ 60,45</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R$ 1.511,25</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R$ 62,39</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R$ 1.559,63</w:t>
            </w:r>
          </w:p>
        </w:tc>
      </w:tr>
      <w:tr>
        <w:trPr>
          <w:trHeight w:val="1029"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6</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Caixa plástica, resistente, tipo caixa organizadora, transmitância: transparente, com tampas e travas, medindo aprox. 63 cm de comprimento X 45 cm de largura e 40 cm de altura – Capacidade 78 litros.</w:t>
              <w:br/>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143"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R$ 137,70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R$ 1.377,00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R$ 98,11</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R$ 981,10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R$ 117,91</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R$ 1.179,05</w:t>
            </w:r>
          </w:p>
        </w:tc>
      </w:tr>
      <w:tr>
        <w:trPr>
          <w:trHeight w:val="865"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7</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Caixa plástica, resistente, tipo caixa organizadora, transmitância: transparente, com tampas e travas, medindo aprox.41.2 x 29.2 x 18.2 centímetros  – Capacidade 15 litros.</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8</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8</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16</w:t>
            </w:r>
          </w:p>
        </w:tc>
        <w:tc>
          <w:tcPr>
            <w:tcW w:w="1143"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R$ 36,53</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R$ 584,48</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R$ 37,80</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R$ 604,80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R$ 37,17</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R$ 594,64</w:t>
            </w:r>
          </w:p>
        </w:tc>
      </w:tr>
      <w:tr>
        <w:trPr>
          <w:trHeight w:val="293"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8</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Caldeirão de alumínio, alto, 15L</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143"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R$ 94,28</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R$ 942,80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R$ 81,43</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R$ 814,30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R$ 87,86</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R$ 878,55</w:t>
            </w:r>
          </w:p>
        </w:tc>
      </w:tr>
      <w:tr>
        <w:trPr>
          <w:trHeight w:val="1417"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9</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CANECA PLÁSTICA, em polipropileno atóxico e resistente, com espessura/gramatura média, material de primeira com alça lateral, sem reentrâncias, de fácil higienização. Liso na parte interna e externa, formato arredondado, acabamento polido e brilhante com capacidade de no mínimo 200 ml e máximo de 300 ml, cor AZUL ESCURO</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100</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140</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240</w:t>
            </w:r>
          </w:p>
        </w:tc>
        <w:tc>
          <w:tcPr>
            <w:tcW w:w="1143"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R$ 7,12</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R$ 1.708,80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R$ 2,79</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R$ 669,60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R$ 4,96</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R$ 1.189,20</w:t>
            </w:r>
          </w:p>
        </w:tc>
      </w:tr>
      <w:tr>
        <w:trPr>
          <w:trHeight w:val="447"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10</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Canecão/fervedor de alumínio, 3,4L, cabo de madeira</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143"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R$ 35,30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R$ 353,00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R$ 33,49</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R$ 334,90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R$ 34,40</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R$ 343,95</w:t>
            </w:r>
          </w:p>
        </w:tc>
      </w:tr>
      <w:tr>
        <w:trPr>
          <w:trHeight w:val="641"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11</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Colher de sobremesa: medidas aproximadas, Peso: 10g, Diâmetro: 3,5cm, Comprimento: 16cm, Espessura: 1mm, Material: Aço Inox</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100</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140</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240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R$ 7,94</w:t>
            </w:r>
          </w:p>
        </w:tc>
        <w:tc>
          <w:tcPr>
            <w:tcW w:w="1278" w:type="dxa"/>
            <w:tcBorders>
              <w:top w:val="single" w:sz="2" w:space="0" w:color="000000"/>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R$ 1.905,60</w:t>
            </w:r>
          </w:p>
        </w:tc>
        <w:tc>
          <w:tcPr>
            <w:tcW w:w="1005" w:type="dxa"/>
            <w:tcBorders>
              <w:top w:val="single" w:sz="2" w:space="0" w:color="000000"/>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R$ 3,26</w:t>
            </w:r>
          </w:p>
        </w:tc>
        <w:tc>
          <w:tcPr>
            <w:tcW w:w="1276" w:type="dxa"/>
            <w:tcBorders>
              <w:top w:val="single" w:sz="2" w:space="0" w:color="000000"/>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R$ 782,40</w:t>
            </w:r>
          </w:p>
        </w:tc>
        <w:tc>
          <w:tcPr>
            <w:tcW w:w="1283" w:type="dxa"/>
            <w:tcBorders>
              <w:top w:val="single" w:sz="2" w:space="0" w:color="000000"/>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R$ 5,60</w:t>
            </w:r>
          </w:p>
        </w:tc>
        <w:tc>
          <w:tcPr>
            <w:tcW w:w="1273" w:type="dxa"/>
            <w:tcBorders>
              <w:top w:val="single" w:sz="2" w:space="0" w:color="000000"/>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R$ 1.344,00</w:t>
            </w:r>
          </w:p>
        </w:tc>
      </w:tr>
      <w:tr>
        <w:trPr>
          <w:trHeight w:val="447"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12</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Colher de sopa, corpo e cabo em aço inoxidável, lisa e polida com 1,5 mm de espessura</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50</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140</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190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R$ 17,71</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R$ 3.364,90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R$ 6,97</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R$ 1.324,30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R$ 12,34</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R$ 2.344,60</w:t>
            </w:r>
          </w:p>
        </w:tc>
      </w:tr>
      <w:tr>
        <w:trPr>
          <w:trHeight w:val="447"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13</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Colher, material do corpo e do cabo em polietileno, atóxico, com 45cm de comprimento.</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4</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4</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8</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R$ 26,43</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R$ 211,44</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R$ 18,50</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R$ 148,00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R$ 22,47</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R$ 179,72</w:t>
            </w:r>
          </w:p>
        </w:tc>
      </w:tr>
      <w:tr>
        <w:trPr>
          <w:trHeight w:val="447"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14</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Colher, material do corpo e do cabo em polietileno, atóxico, com 60cm de comprimento.</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4</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4</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8</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R$ 40,18</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R$ 321,44</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R$ 41,07</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R$ 328,56</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R$ 40,63</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R$ 325,00</w:t>
            </w:r>
          </w:p>
        </w:tc>
      </w:tr>
      <w:tr>
        <w:trPr>
          <w:trHeight w:val="641"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15</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Concha, material do corpo em aço inoxidável, cabo em policarbonato injetado, capacidade aprox. 177 ml, comprimento: 38 cm</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R$ 15,90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R$ 159,00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R$ 10,20</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R$ 102,00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R$ 13,05</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R$ 130,50</w:t>
            </w:r>
          </w:p>
        </w:tc>
      </w:tr>
      <w:tr>
        <w:trPr>
          <w:trHeight w:val="293"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16</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Escorredor de alumínio industrial, de arroz, 30cm</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4</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R$ 105,20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R$ 420,80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R$ 109,69</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R$ 438,76</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R$ 107,45</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R$ 429,78</w:t>
            </w:r>
          </w:p>
        </w:tc>
      </w:tr>
      <w:tr>
        <w:trPr>
          <w:trHeight w:val="641"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17</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Escorredor de louça em aço inoxidável, capacidade 16 pratos, características adicionais: compartimento para talheres, xícaras, copos e diversos.</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3</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3</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6</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R$ 112,90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R$ 677,40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R$ 133,03</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R$ 798,18</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R$ 122,97</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R$ 737,79</w:t>
            </w:r>
          </w:p>
        </w:tc>
      </w:tr>
      <w:tr>
        <w:trPr>
          <w:trHeight w:val="447"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18</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Espremedor/Amassador de batatas, em aço inox, com altura mínima de 35 cm.</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4</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R$ 59,74</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R$ 238,96</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R$ 40,00</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R$ 160,00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R$ 49,87</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R$ 199,48</w:t>
            </w:r>
          </w:p>
        </w:tc>
      </w:tr>
      <w:tr>
        <w:trPr>
          <w:trHeight w:val="492"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19</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Faca para Carne 8", ‎Inox/Polipropileno, branca</w:t>
              <w:br/>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R$ 40,50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R$ 405,00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R$ 49,81</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R$ 498,10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R$ 45,16</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R$ 451,55</w:t>
            </w:r>
          </w:p>
        </w:tc>
      </w:tr>
      <w:tr>
        <w:trPr>
          <w:trHeight w:val="293"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20</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Faca para legumes</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4</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4</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8</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R$ 11,23</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R$ 89,84</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R$ 12,99</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R$ 103,92</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R$ 12,11</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R$ 96,88</w:t>
            </w:r>
          </w:p>
        </w:tc>
      </w:tr>
      <w:tr>
        <w:trPr>
          <w:trHeight w:val="447"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21</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Forma Assadeira Forma De Bolo Tabuleiro Alto Grande 45cm Aluminio</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R$ 63,28</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R$ 632,80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R$ 66,76</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R$ 667,60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R$ 65,02</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R$ 650,20</w:t>
            </w:r>
          </w:p>
        </w:tc>
      </w:tr>
      <w:tr>
        <w:trPr>
          <w:trHeight w:val="447"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22</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Forma Assadeira Retangular Hotel Industrial Com Alça N3 6l</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R$ 145,80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R$ 1.458,00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R$ 99,38</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R$ 993,80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R$ 122,59</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R$ 1.225,90</w:t>
            </w:r>
          </w:p>
        </w:tc>
      </w:tr>
      <w:tr>
        <w:trPr>
          <w:trHeight w:val="641"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23</w:t>
            </w:r>
          </w:p>
        </w:tc>
        <w:tc>
          <w:tcPr>
            <w:tcW w:w="4428" w:type="dxa"/>
            <w:tcBorders>
              <w:left w:val="single" w:sz="2" w:space="0" w:color="000000"/>
              <w:bottom w:val="single" w:sz="2" w:space="0" w:color="000000"/>
            </w:tcBorders>
            <w:vAlign w:val="bottom"/>
          </w:tcPr>
          <w:p>
            <w:pPr>
              <w:pStyle w:val="Normal"/>
              <w:widowControl w:val="false"/>
              <w:tabs>
                <w:tab w:val="clear" w:pos="720"/>
              </w:tabs>
              <w:jc w:val="left"/>
              <w:rPr>
                <w:sz w:val="20"/>
                <w:szCs w:val="20"/>
              </w:rPr>
            </w:pPr>
            <w:r>
              <w:rPr>
                <w:sz w:val="20"/>
                <w:szCs w:val="20"/>
              </w:rPr>
              <w:t>Garfo de mesa, material do corpo e do cabo em aço inoxidável, liso e polido. Comprimento 19 cm.</w:t>
              <w:br/>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50</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70</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120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R$ 2,73</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R$ 327,60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R$ 3,57</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R$ 428,40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R$ 3,15</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R$ 378,00</w:t>
            </w:r>
          </w:p>
        </w:tc>
      </w:tr>
      <w:tr>
        <w:trPr>
          <w:trHeight w:val="293"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24</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Garrafa térmica 2,5</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4</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R$ 119,00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R$ 476,00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R$ 115,38</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R$ 461,52</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R$ 117,19</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R$ 468,76</w:t>
            </w:r>
          </w:p>
        </w:tc>
      </w:tr>
      <w:tr>
        <w:trPr>
          <w:trHeight w:val="293"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25</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Garrafão térmicos 5l</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4</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4</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8</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R$ 77,42</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R$ 619,36</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R$ 199,73</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R$ 1.597,84</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R$ 138,58</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R$ 1.108,60</w:t>
            </w:r>
          </w:p>
        </w:tc>
      </w:tr>
      <w:tr>
        <w:trPr>
          <w:trHeight w:val="641"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26</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Jarra plástica resistente e atóxica, com tampa e alça, capacidade 3 litros, altura aprox. 26 cm</w:t>
              <w:br/>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R$ 16,99</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R$ 339,80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R$ 17,00</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R$ 340,00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R$ 17,00</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R$ 339,90</w:t>
            </w:r>
          </w:p>
        </w:tc>
      </w:tr>
      <w:tr>
        <w:trPr>
          <w:trHeight w:val="293"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27</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Panela caçarola alumínio nº 30</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R$ 64,12</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R$ 641,20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R$ 77,33</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R$ 773,30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R$ 70,73</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R$ 707,25</w:t>
            </w:r>
          </w:p>
        </w:tc>
      </w:tr>
      <w:tr>
        <w:trPr>
          <w:trHeight w:val="1119"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28</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Panela de Pressão certificada pelo INMETRO, capacidade de 10 litros, equipada com válvula de segurança, pressão de trabalho de 80 KPA, FECHAMENTO EXTERNO, sistema de 8 travas, cabos e alças confeccionados em baquelite.</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R$ 227,00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R$ 2.270,00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R$ 391,63</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R$ 3.916,30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R$ 309,32</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R$ 3.093,15</w:t>
            </w:r>
          </w:p>
        </w:tc>
      </w:tr>
      <w:tr>
        <w:trPr>
          <w:trHeight w:val="641"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29</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Par de luvas térmicas para forno, Panela alumínio nº 30, Alta Resistência ao Calor: temperaturas de até 250°C , feitas de algodão e poliéster</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R$ 60,93</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R$ 1.218,60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R$ 41,36</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R$ 827,20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R$ 51,15</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R$ 1.022,90</w:t>
            </w:r>
          </w:p>
        </w:tc>
      </w:tr>
      <w:tr>
        <w:trPr>
          <w:trHeight w:val="447"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30</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Peneira para cozinha com 14 cm de diâmetro, com cabo e gancho lateral, tudo em aço inox.</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3</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3</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6</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R$ 15,90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R$ 95,40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R$ 6,15</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R$ 36,90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R$ 11,03</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R$ 66,15</w:t>
            </w:r>
          </w:p>
        </w:tc>
      </w:tr>
      <w:tr>
        <w:trPr>
          <w:trHeight w:val="835"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31</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Pote plástico para alimento, medindo 12 cm de altura, 15 cm de largura, capacidade 3,80 litros aprox., com tampa.</w:t>
              <w:br/>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R$ 22,90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R$ 458,00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R$ 12,60</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R$ 252,00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R$ 17,75</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R$ 355,00</w:t>
            </w:r>
          </w:p>
        </w:tc>
      </w:tr>
      <w:tr>
        <w:trPr>
          <w:trHeight w:val="293"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32</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Pote plástico redondo com tampa, 6L</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5</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R$ 20,90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R$ 209,00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R$ 16,80</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R$ 168,00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R$ 18,85</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R$ 188,50</w:t>
            </w:r>
          </w:p>
        </w:tc>
      </w:tr>
      <w:tr>
        <w:trPr>
          <w:trHeight w:val="293"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33</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Prato de vidro, incolor,liso,  fundo</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100</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140</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240</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R$ 7,90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R$ 1.896,00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R$ 4,60</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R$ 1.104,00</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R$ 6,25</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R$ 1.500,00</w:t>
            </w:r>
          </w:p>
        </w:tc>
      </w:tr>
      <w:tr>
        <w:trPr>
          <w:trHeight w:val="293"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34</w:t>
            </w:r>
          </w:p>
        </w:tc>
        <w:tc>
          <w:tcPr>
            <w:tcW w:w="4428" w:type="dxa"/>
            <w:tcBorders>
              <w:left w:val="single" w:sz="2" w:space="0" w:color="000000"/>
              <w:bottom w:val="single" w:sz="2" w:space="0" w:color="000000"/>
            </w:tcBorders>
            <w:vAlign w:val="bottom"/>
          </w:tcPr>
          <w:p>
            <w:pPr>
              <w:pStyle w:val="Normal"/>
              <w:widowControl w:val="false"/>
              <w:tabs>
                <w:tab w:val="clear" w:pos="720"/>
              </w:tabs>
              <w:jc w:val="both"/>
              <w:rPr>
                <w:sz w:val="20"/>
                <w:szCs w:val="20"/>
              </w:rPr>
            </w:pPr>
            <w:r>
              <w:rPr>
                <w:sz w:val="20"/>
                <w:szCs w:val="20"/>
              </w:rPr>
              <w:t>Ralador de inox, 4 faces, aprox. 24cm</w:t>
            </w:r>
          </w:p>
        </w:tc>
        <w:tc>
          <w:tcPr>
            <w:tcW w:w="86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w:t>
            </w:r>
          </w:p>
        </w:tc>
        <w:tc>
          <w:tcPr>
            <w:tcW w:w="1079"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2</w:t>
            </w:r>
          </w:p>
        </w:tc>
        <w:tc>
          <w:tcPr>
            <w:tcW w:w="710"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4</w:t>
            </w:r>
          </w:p>
        </w:tc>
        <w:tc>
          <w:tcPr>
            <w:tcW w:w="1143" w:type="dxa"/>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t>R$ 17,90</w:t>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R$ 71,60</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t>R$ 18,13</w:t>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R$ 72,52</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R$ 18,02</w:t>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R$ 72,06</w:t>
            </w:r>
          </w:p>
        </w:tc>
      </w:tr>
      <w:tr>
        <w:trPr>
          <w:trHeight w:val="293" w:hRule="atLeast"/>
        </w:trPr>
        <w:tc>
          <w:tcPr>
            <w:tcW w:w="56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r>
          </w:p>
        </w:tc>
        <w:tc>
          <w:tcPr>
            <w:tcW w:w="4428"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sz w:val="20"/>
                <w:szCs w:val="20"/>
              </w:rPr>
              <w:t>Total</w:t>
            </w:r>
          </w:p>
        </w:tc>
        <w:tc>
          <w:tcPr>
            <w:tcW w:w="3797" w:type="dxa"/>
            <w:gridSpan w:val="4"/>
            <w:tcBorders>
              <w:left w:val="single" w:sz="2" w:space="0" w:color="000000"/>
              <w:bottom w:val="single" w:sz="2" w:space="0" w:color="000000"/>
              <w:right w:val="single" w:sz="2" w:space="0" w:color="000000"/>
            </w:tcBorders>
            <w:vAlign w:val="center"/>
          </w:tcPr>
          <w:p>
            <w:pPr>
              <w:pStyle w:val="Normal"/>
              <w:widowControl w:val="false"/>
              <w:tabs>
                <w:tab w:val="clear" w:pos="720"/>
              </w:tabs>
              <w:jc w:val="center"/>
              <w:rPr>
                <w:sz w:val="20"/>
                <w:szCs w:val="20"/>
              </w:rPr>
            </w:pPr>
            <w:r>
              <w:rPr>
                <w:sz w:val="20"/>
                <w:szCs w:val="20"/>
              </w:rPr>
            </w:r>
          </w:p>
        </w:tc>
        <w:tc>
          <w:tcPr>
            <w:tcW w:w="1278"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b/>
                <w:sz w:val="20"/>
                <w:szCs w:val="20"/>
              </w:rPr>
              <w:t>R$ 30.645,24</w:t>
            </w:r>
          </w:p>
        </w:tc>
        <w:tc>
          <w:tcPr>
            <w:tcW w:w="1005" w:type="dxa"/>
            <w:tcBorders>
              <w:left w:val="single" w:sz="2" w:space="0" w:color="000000"/>
              <w:bottom w:val="single" w:sz="2" w:space="0" w:color="000000"/>
            </w:tcBorders>
            <w:vAlign w:val="center"/>
          </w:tcPr>
          <w:p>
            <w:pPr>
              <w:pStyle w:val="Normal"/>
              <w:widowControl w:val="false"/>
              <w:tabs>
                <w:tab w:val="clear" w:pos="720"/>
              </w:tabs>
              <w:jc w:val="center"/>
              <w:rPr>
                <w:sz w:val="20"/>
                <w:szCs w:val="20"/>
              </w:rPr>
            </w:pPr>
            <w:r>
              <w:rPr>
                <w:sz w:val="20"/>
                <w:szCs w:val="20"/>
              </w:rPr>
            </w:r>
          </w:p>
        </w:tc>
        <w:tc>
          <w:tcPr>
            <w:tcW w:w="1276" w:type="dxa"/>
            <w:tcBorders>
              <w:left w:val="single" w:sz="2" w:space="0" w:color="000000"/>
              <w:bottom w:val="single" w:sz="2" w:space="0" w:color="000000"/>
            </w:tcBorders>
            <w:vAlign w:val="bottom"/>
          </w:tcPr>
          <w:p>
            <w:pPr>
              <w:pStyle w:val="Normal"/>
              <w:widowControl w:val="false"/>
              <w:tabs>
                <w:tab w:val="clear" w:pos="720"/>
              </w:tabs>
              <w:jc w:val="center"/>
              <w:rPr>
                <w:sz w:val="20"/>
                <w:szCs w:val="20"/>
              </w:rPr>
            </w:pPr>
            <w:r>
              <w:rPr>
                <w:b/>
                <w:sz w:val="20"/>
                <w:szCs w:val="20"/>
              </w:rPr>
              <w:t>R$ 25.557,49</w:t>
            </w:r>
          </w:p>
        </w:tc>
        <w:tc>
          <w:tcPr>
            <w:tcW w:w="1283" w:type="dxa"/>
            <w:tcBorders>
              <w:left w:val="single" w:sz="2" w:space="0" w:color="000000"/>
              <w:bottom w:val="single" w:sz="2" w:space="0" w:color="000000"/>
            </w:tcBorders>
            <w:vAlign w:val="bottom"/>
          </w:tcPr>
          <w:p>
            <w:pPr>
              <w:pStyle w:val="Normal"/>
              <w:widowControl w:val="false"/>
              <w:tabs>
                <w:tab w:val="clear" w:pos="720"/>
              </w:tabs>
              <w:jc w:val="center"/>
              <w:rPr>
                <w:b/>
                <w:b/>
                <w:sz w:val="20"/>
                <w:szCs w:val="20"/>
              </w:rPr>
            </w:pPr>
            <w:r>
              <w:rPr>
                <w:b/>
                <w:sz w:val="20"/>
                <w:szCs w:val="20"/>
              </w:rPr>
            </w:r>
          </w:p>
        </w:tc>
        <w:tc>
          <w:tcPr>
            <w:tcW w:w="1273"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sz w:val="20"/>
                <w:szCs w:val="20"/>
              </w:rPr>
            </w:pPr>
            <w:r>
              <w:rPr>
                <w:b/>
                <w:sz w:val="20"/>
                <w:szCs w:val="20"/>
              </w:rPr>
              <w:t>R$ 28.101,37</w:t>
            </w:r>
          </w:p>
        </w:tc>
      </w:tr>
    </w:tbl>
    <w:p>
      <w:pPr>
        <w:pStyle w:val="Normal"/>
        <w:rPr>
          <w:b/>
          <w:b/>
        </w:rPr>
      </w:pPr>
      <w:r>
        <w:rPr/>
      </w:r>
    </w:p>
    <w:p>
      <w:pPr>
        <w:pStyle w:val="Normal"/>
        <w:suppressAutoHyphens w:val="true"/>
        <w:jc w:val="center"/>
        <w:rPr>
          <w:b/>
          <w:b/>
        </w:rPr>
      </w:pPr>
      <w:r>
        <w:rPr/>
      </w:r>
    </w:p>
    <w:p>
      <w:pPr>
        <w:pStyle w:val="Normal"/>
        <w:suppressAutoHyphens w:val="true"/>
        <w:jc w:val="center"/>
        <w:rPr>
          <w:b/>
          <w:b/>
        </w:rPr>
      </w:pPr>
      <w:r>
        <w:rPr/>
      </w:r>
    </w:p>
    <w:p>
      <w:pPr>
        <w:pStyle w:val="Normal"/>
        <w:suppressAutoHyphens w:val="true"/>
        <w:jc w:val="center"/>
        <w:rPr>
          <w:b/>
          <w:b/>
        </w:rPr>
      </w:pPr>
      <w:r>
        <w:rPr/>
      </w:r>
    </w:p>
    <w:p>
      <w:pPr>
        <w:pStyle w:val="Normal"/>
        <w:suppressAutoHyphens w:val="true"/>
        <w:jc w:val="center"/>
        <w:rPr>
          <w:b/>
          <w:b/>
        </w:rPr>
      </w:pPr>
      <w:r>
        <w:rPr/>
      </w:r>
    </w:p>
    <w:p>
      <w:pPr>
        <w:pStyle w:val="Normal"/>
        <w:suppressAutoHyphens w:val="true"/>
        <w:jc w:val="center"/>
        <w:rPr>
          <w:b/>
          <w:b/>
        </w:rPr>
      </w:pPr>
      <w:r>
        <w:rPr/>
      </w:r>
    </w:p>
    <w:p>
      <w:pPr>
        <w:pStyle w:val="Normal"/>
        <w:suppressAutoHyphens w:val="true"/>
        <w:jc w:val="center"/>
        <w:rPr>
          <w:b/>
          <w:b/>
        </w:rPr>
      </w:pPr>
      <w:r>
        <w:rPr/>
      </w:r>
    </w:p>
    <w:p>
      <w:pPr>
        <w:pStyle w:val="Normal"/>
        <w:suppressAutoHyphens w:val="true"/>
        <w:jc w:val="center"/>
        <w:rPr>
          <w:b/>
          <w:b/>
        </w:rPr>
      </w:pPr>
      <w:r>
        <w:rPr/>
      </w:r>
    </w:p>
    <w:p>
      <w:pPr>
        <w:pStyle w:val="Normal"/>
        <w:suppressAutoHyphens w:val="true"/>
        <w:jc w:val="center"/>
        <w:rPr>
          <w:b/>
          <w:b/>
        </w:rPr>
      </w:pPr>
      <w:r>
        <w:rPr/>
      </w:r>
    </w:p>
    <w:p>
      <w:pPr>
        <w:pStyle w:val="Normal"/>
        <w:suppressAutoHyphens w:val="true"/>
        <w:jc w:val="center"/>
        <w:rPr>
          <w:b/>
          <w:b/>
        </w:rPr>
      </w:pPr>
      <w:r>
        <w:rPr/>
      </w:r>
    </w:p>
    <w:p>
      <w:pPr>
        <w:pStyle w:val="Normal"/>
        <w:suppressAutoHyphens w:val="true"/>
        <w:jc w:val="center"/>
        <w:rPr>
          <w:b/>
          <w:b/>
        </w:rPr>
      </w:pPr>
      <w:r>
        <w:rPr/>
      </w:r>
    </w:p>
    <w:p>
      <w:pPr>
        <w:pStyle w:val="Normal"/>
        <w:suppressAutoHyphens w:val="true"/>
        <w:jc w:val="center"/>
        <w:rPr>
          <w:b/>
          <w:b/>
        </w:rPr>
      </w:pPr>
      <w:r>
        <w:rPr/>
      </w:r>
    </w:p>
    <w:p>
      <w:pPr>
        <w:pStyle w:val="Normal"/>
        <w:suppressAutoHyphens w:val="true"/>
        <w:jc w:val="center"/>
        <w:rPr>
          <w:b/>
          <w:b/>
        </w:rPr>
      </w:pPr>
      <w:r>
        <w:rPr/>
      </w:r>
    </w:p>
    <w:p>
      <w:pPr>
        <w:pStyle w:val="Normal"/>
        <w:suppressAutoHyphens w:val="true"/>
        <w:jc w:val="center"/>
        <w:rPr>
          <w:b/>
          <w:b/>
        </w:rPr>
      </w:pPr>
      <w:r>
        <w:rPr/>
      </w:r>
    </w:p>
    <w:p>
      <w:pPr>
        <w:pStyle w:val="Normal"/>
        <w:suppressAutoHyphens w:val="true"/>
        <w:jc w:val="center"/>
        <w:rPr>
          <w:b/>
          <w:b/>
        </w:rPr>
      </w:pPr>
      <w:r>
        <w:rPr/>
      </w:r>
    </w:p>
    <w:p>
      <w:pPr>
        <w:sectPr>
          <w:headerReference w:type="default" r:id="rId3"/>
          <w:type w:val="nextPage"/>
          <w:pgSz w:orient="landscape" w:w="16838" w:h="11906"/>
          <w:pgMar w:left="1134" w:right="1134" w:header="0" w:top="1134" w:footer="0" w:bottom="1134" w:gutter="0"/>
          <w:pgNumType w:fmt="decimal"/>
          <w:formProt w:val="false"/>
          <w:textDirection w:val="lrTb"/>
          <w:docGrid w:type="default" w:linePitch="100" w:charSpace="0"/>
        </w:sectPr>
        <w:pStyle w:val="Normal"/>
        <w:suppressAutoHyphens w:val="true"/>
        <w:jc w:val="center"/>
        <w:rPr>
          <w:b/>
          <w:b/>
        </w:rPr>
      </w:pPr>
      <w:r>
        <w:rPr/>
      </w:r>
    </w:p>
    <w:p>
      <w:pPr>
        <w:pStyle w:val="Normal"/>
        <w:spacing w:lineRule="auto" w:line="360"/>
        <w:jc w:val="center"/>
        <w:rPr>
          <w:rFonts w:ascii="Arial" w:hAnsi="Arial"/>
        </w:rPr>
      </w:pPr>
      <w:r>
        <w:rPr>
          <w:rFonts w:ascii="Arial" w:hAnsi="Arial"/>
        </w:rPr>
        <w:t>Anexo II</w:t>
      </w:r>
    </w:p>
    <w:p>
      <w:pPr>
        <w:pStyle w:val="Normal"/>
        <w:spacing w:lineRule="auto" w:line="360"/>
        <w:jc w:val="center"/>
        <w:rPr>
          <w:rFonts w:ascii="Arial" w:hAnsi="Arial"/>
        </w:rPr>
      </w:pPr>
      <w:r>
        <w:rPr>
          <w:rFonts w:ascii="Arial" w:hAnsi="Arial"/>
        </w:rPr>
      </w:r>
    </w:p>
    <w:p>
      <w:pPr>
        <w:pStyle w:val="Normal"/>
        <w:spacing w:lineRule="auto" w:line="360"/>
        <w:jc w:val="center"/>
        <w:rPr>
          <w:rFonts w:ascii="Arial" w:hAnsi="Arial"/>
        </w:rPr>
      </w:pPr>
      <w:r>
        <w:rPr>
          <w:rFonts w:ascii="Arial" w:hAnsi="Arial"/>
        </w:rPr>
      </w:r>
    </w:p>
    <w:p>
      <w:pPr>
        <w:pStyle w:val="Normal"/>
        <w:spacing w:lineRule="auto" w:line="360"/>
        <w:jc w:val="center"/>
        <w:rPr>
          <w:rFonts w:ascii="Arial" w:hAnsi="Arial"/>
        </w:rPr>
      </w:pPr>
      <w:r>
        <w:rPr>
          <w:rFonts w:ascii="Arial" w:hAnsi="Arial"/>
        </w:rPr>
        <w:t>DECLARAÇÃO</w:t>
      </w:r>
    </w:p>
    <w:p>
      <w:pPr>
        <w:pStyle w:val="Normal"/>
        <w:spacing w:lineRule="auto" w:line="360"/>
        <w:jc w:val="both"/>
        <w:rPr>
          <w:rFonts w:ascii="Arial" w:hAnsi="Arial"/>
        </w:rPr>
      </w:pPr>
      <w:r>
        <w:rPr>
          <w:rFonts w:ascii="Arial" w:hAnsi="Arial"/>
        </w:rPr>
      </w:r>
    </w:p>
    <w:p>
      <w:pPr>
        <w:pStyle w:val="Normal"/>
        <w:spacing w:lineRule="auto" w:line="360"/>
        <w:jc w:val="both"/>
        <w:rPr>
          <w:rFonts w:ascii="Arial" w:hAnsi="Arial"/>
        </w:rPr>
      </w:pPr>
      <w:r>
        <w:rPr>
          <w:rFonts w:ascii="Arial" w:hAnsi="Arial"/>
        </w:rPr>
      </w:r>
    </w:p>
    <w:p>
      <w:pPr>
        <w:pStyle w:val="Normal"/>
        <w:spacing w:lineRule="auto" w:line="360"/>
        <w:jc w:val="both"/>
        <w:rPr>
          <w:rFonts w:ascii="Arial" w:hAnsi="Arial"/>
        </w:rPr>
      </w:pPr>
      <w:r>
        <w:rPr>
          <w:rFonts w:ascii="Arial" w:hAnsi="Arial"/>
        </w:rPr>
        <w:tab/>
        <w:tab/>
        <w:t>DECLARO, que os itens constantes neste Termo de Referência não se enquadram  na categoria de Bens de Luxo de acordo com art. 3º do Decreto Municipal 5186/2022.</w:t>
      </w:r>
    </w:p>
    <w:p>
      <w:pPr>
        <w:pStyle w:val="Normal"/>
        <w:spacing w:lineRule="auto" w:line="360"/>
        <w:jc w:val="both"/>
        <w:rPr>
          <w:rFonts w:ascii="Arial" w:hAnsi="Arial"/>
        </w:rPr>
      </w:pPr>
      <w:r>
        <w:rPr>
          <w:rFonts w:ascii="Arial" w:hAnsi="Arial"/>
        </w:rPr>
      </w:r>
    </w:p>
    <w:p>
      <w:pPr>
        <w:pStyle w:val="Normal"/>
        <w:spacing w:lineRule="auto" w:line="360"/>
        <w:jc w:val="right"/>
        <w:rPr>
          <w:rFonts w:ascii="Arial" w:hAnsi="Arial"/>
        </w:rPr>
      </w:pPr>
      <w:r>
        <w:rPr>
          <w:rFonts w:ascii="Arial" w:hAnsi="Arial"/>
        </w:rPr>
        <w:t xml:space="preserve">Vassouras, </w:t>
      </w:r>
      <w:r>
        <w:rPr>
          <w:rFonts w:eastAsia="Times New Roman" w:cs="Times New Roman" w:ascii="Arial" w:hAnsi="Arial"/>
          <w:color w:val="auto"/>
          <w:kern w:val="0"/>
          <w:sz w:val="24"/>
          <w:szCs w:val="24"/>
          <w:lang w:val="pt-BR" w:eastAsia="pt-BR" w:bidi="ar-SA"/>
        </w:rPr>
        <w:t>01</w:t>
      </w:r>
      <w:r>
        <w:rPr>
          <w:rFonts w:ascii="Arial" w:hAnsi="Arial"/>
        </w:rPr>
        <w:t xml:space="preserve"> de abril de 2025.</w:t>
      </w:r>
    </w:p>
    <w:p>
      <w:pPr>
        <w:pStyle w:val="Normal"/>
        <w:spacing w:lineRule="auto" w:line="360"/>
        <w:jc w:val="right"/>
        <w:rPr>
          <w:rFonts w:ascii="Arial" w:hAnsi="Arial"/>
        </w:rPr>
      </w:pPr>
      <w:r>
        <w:rPr>
          <w:rFonts w:ascii="Arial" w:hAnsi="Arial"/>
        </w:rPr>
      </w:r>
    </w:p>
    <w:p>
      <w:pPr>
        <w:pStyle w:val="Normal"/>
        <w:spacing w:lineRule="auto" w:line="360"/>
        <w:jc w:val="right"/>
        <w:rPr>
          <w:rFonts w:ascii="Arial" w:hAnsi="Arial"/>
        </w:rPr>
      </w:pPr>
      <w:r>
        <w:rPr>
          <w:rFonts w:ascii="Arial" w:hAnsi="Arial"/>
        </w:rPr>
      </w:r>
    </w:p>
    <w:p>
      <w:pPr>
        <w:pStyle w:val="Normal"/>
        <w:spacing w:lineRule="auto" w:line="360"/>
        <w:jc w:val="right"/>
        <w:rPr>
          <w:rFonts w:ascii="Arial" w:hAnsi="Arial"/>
        </w:rPr>
      </w:pPr>
      <w:r>
        <w:rPr>
          <w:rFonts w:ascii="Arial" w:hAnsi="Arial"/>
        </w:rPr>
      </w:r>
    </w:p>
    <w:p>
      <w:pPr>
        <w:pStyle w:val="Normal"/>
        <w:spacing w:lineRule="auto" w:line="360"/>
        <w:jc w:val="center"/>
        <w:rPr>
          <w:rFonts w:ascii="Arial" w:hAnsi="Arial" w:eastAsia="Times New Roman" w:cs="Times New Roman"/>
          <w:color w:val="auto"/>
          <w:kern w:val="0"/>
          <w:sz w:val="24"/>
          <w:szCs w:val="24"/>
          <w:lang w:val="pt-BR" w:eastAsia="pt-BR" w:bidi="ar-SA"/>
        </w:rPr>
      </w:pPr>
      <w:r>
        <w:rPr>
          <w:rFonts w:eastAsia="Times New Roman" w:cs="Times New Roman" w:ascii="Arial" w:hAnsi="Arial"/>
          <w:color w:val="auto"/>
          <w:kern w:val="0"/>
          <w:sz w:val="24"/>
          <w:szCs w:val="24"/>
          <w:lang w:val="pt-BR" w:eastAsia="pt-BR" w:bidi="ar-SA"/>
        </w:rPr>
        <w:t>Rita de Cássia de Freitas Carneiro Chantal</w:t>
      </w:r>
    </w:p>
    <w:p>
      <w:pPr>
        <w:pStyle w:val="Normal"/>
        <w:spacing w:lineRule="auto" w:line="360"/>
        <w:jc w:val="center"/>
        <w:rPr>
          <w:rFonts w:ascii="Arial" w:hAnsi="Arial"/>
        </w:rPr>
      </w:pPr>
      <w:r>
        <w:rPr>
          <w:rFonts w:ascii="Arial" w:hAnsi="Arial"/>
        </w:rPr>
        <w:t>Secretária Municipal de Educação</w:t>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pStyle w:val="Normal"/>
        <w:suppressAutoHyphens w:val="true"/>
        <w:spacing w:lineRule="auto" w:line="360"/>
        <w:jc w:val="center"/>
        <w:rPr>
          <w:rFonts w:ascii="Arial" w:hAnsi="Arial"/>
        </w:rPr>
      </w:pPr>
      <w:r>
        <w:rPr>
          <w:rFonts w:ascii="Arial" w:hAnsi="Arial"/>
        </w:rPr>
      </w:r>
    </w:p>
    <w:p>
      <w:pPr>
        <w:sectPr>
          <w:headerReference w:type="default" r:id="rId4"/>
          <w:type w:val="nextPage"/>
          <w:pgSz w:w="11906" w:h="16838"/>
          <w:pgMar w:left="1134" w:right="1134" w:header="1134" w:top="2224" w:footer="0" w:bottom="1134" w:gutter="0"/>
          <w:pgNumType w:fmt="decimal"/>
          <w:formProt w:val="false"/>
          <w:textDirection w:val="lrTb"/>
          <w:docGrid w:type="default" w:linePitch="100" w:charSpace="0"/>
        </w:sectPr>
        <w:pStyle w:val="Normal"/>
        <w:suppressAutoHyphens w:val="true"/>
        <w:spacing w:lineRule="auto" w:line="360"/>
        <w:jc w:val="center"/>
        <w:rPr>
          <w:rFonts w:ascii="Arial" w:hAnsi="Arial"/>
        </w:rPr>
      </w:pPr>
      <w:r>
        <w:rPr>
          <w:rFonts w:ascii="Arial" w:hAnsi="Arial"/>
        </w:rPr>
      </w:r>
    </w:p>
    <w:p>
      <w:pPr>
        <w:pStyle w:val="Corpodotexto"/>
        <w:pBdr>
          <w:top w:val="single" w:sz="2" w:space="1" w:color="D9D9E3"/>
          <w:left w:val="single" w:sz="2" w:space="1" w:color="D9D9E3"/>
          <w:bottom w:val="single" w:sz="2" w:space="1" w:color="D9D9E3"/>
          <w:right w:val="single" w:sz="2" w:space="1" w:color="D9D9E3"/>
        </w:pBdr>
        <w:bidi w:val="0"/>
        <w:jc w:val="center"/>
        <w:rPr>
          <w:rFonts w:ascii="Arial" w:hAnsi="Arial"/>
        </w:rPr>
      </w:pPr>
      <w:r>
        <w:rPr>
          <w:sz w:val="18"/>
          <w:szCs w:val="18"/>
          <w:bdr w:val="single" w:sz="2" w:space="0" w:color="D9D9E3"/>
        </w:rPr>
        <w:t>ANEXO III</w:t>
      </w:r>
    </w:p>
    <w:p>
      <w:pPr>
        <w:pStyle w:val="Corpodotexto"/>
        <w:pBdr>
          <w:top w:val="single" w:sz="2" w:space="1" w:color="D9D9E3"/>
          <w:left w:val="single" w:sz="2" w:space="1" w:color="D9D9E3"/>
          <w:bottom w:val="single" w:sz="2" w:space="1" w:color="D9D9E3"/>
          <w:right w:val="single" w:sz="2" w:space="1" w:color="D9D9E3"/>
        </w:pBdr>
        <w:bidi w:val="0"/>
        <w:jc w:val="center"/>
        <w:rPr>
          <w:sz w:val="18"/>
          <w:szCs w:val="18"/>
          <w:bdr w:val="single" w:sz="2" w:space="0" w:color="D9D9E3"/>
        </w:rPr>
      </w:pPr>
      <w:r>
        <w:rPr>
          <w:sz w:val="18"/>
          <w:szCs w:val="18"/>
          <w:bdr w:val="single" w:sz="2" w:space="0" w:color="D9D9E3"/>
        </w:rPr>
      </w:r>
    </w:p>
    <w:p>
      <w:pPr>
        <w:pStyle w:val="Corpodotexto"/>
        <w:pBdr>
          <w:top w:val="single" w:sz="2" w:space="1" w:color="D9D9E3"/>
          <w:left w:val="single" w:sz="2" w:space="1" w:color="D9D9E3"/>
          <w:bottom w:val="single" w:sz="2" w:space="1" w:color="D9D9E3"/>
          <w:right w:val="single" w:sz="2" w:space="1" w:color="D9D9E3"/>
        </w:pBdr>
        <w:bidi w:val="0"/>
        <w:jc w:val="left"/>
        <w:rPr>
          <w:rFonts w:ascii="Arial" w:hAnsi="Arial"/>
        </w:rPr>
      </w:pPr>
      <w:r>
        <w:rPr>
          <w:sz w:val="18"/>
          <w:szCs w:val="18"/>
          <w:bdr w:val="single" w:sz="2" w:space="0" w:color="D9D9E3"/>
        </w:rPr>
        <w:t xml:space="preserve">Análise de Risco: </w:t>
      </w:r>
      <w:r>
        <w:rPr>
          <w:rFonts w:eastAsia="NSimSun" w:cs="Arial"/>
          <w:color w:val="auto"/>
          <w:kern w:val="2"/>
          <w:sz w:val="18"/>
          <w:szCs w:val="18"/>
          <w:bdr w:val="single" w:sz="2" w:space="0" w:color="D9D9E3"/>
          <w:lang w:val="pt-BR" w:eastAsia="zh-CN" w:bidi="hi-IN"/>
        </w:rPr>
        <w:t>Utensílios para cozinha</w:t>
      </w:r>
    </w:p>
    <w:p>
      <w:pPr>
        <w:pStyle w:val="Corpodotexto"/>
        <w:pBdr>
          <w:top w:val="single" w:sz="2" w:space="1" w:color="D9D9E3"/>
          <w:left w:val="single" w:sz="2" w:space="1" w:color="D9D9E3"/>
          <w:bottom w:val="single" w:sz="2" w:space="1" w:color="D9D9E3"/>
          <w:right w:val="single" w:sz="2" w:space="1" w:color="D9D9E3"/>
        </w:pBdr>
        <w:bidi w:val="0"/>
        <w:jc w:val="both"/>
        <w:rPr>
          <w:rFonts w:ascii="Arial" w:hAnsi="Arial"/>
        </w:rPr>
      </w:pPr>
      <w:r>
        <w:rPr>
          <w:sz w:val="18"/>
          <w:szCs w:val="18"/>
          <w:bdr w:val="single" w:sz="2" w:space="0" w:color="D9D9E3"/>
        </w:rPr>
        <w:t xml:space="preserve">Introdução: </w:t>
      </w:r>
      <w:r>
        <w:rPr>
          <w:rFonts w:eastAsia="NSimSun" w:cs="Arial"/>
          <w:color w:val="auto"/>
          <w:kern w:val="2"/>
          <w:sz w:val="20"/>
          <w:szCs w:val="20"/>
          <w:bdr w:val="single" w:sz="2" w:space="0" w:color="D9D9E3"/>
          <w:lang w:val="pt-BR" w:eastAsia="ar-SA" w:bidi="hi-IN"/>
        </w:rPr>
        <w:t xml:space="preserve">Aquisição de </w:t>
      </w:r>
      <w:r>
        <w:rPr>
          <w:rFonts w:eastAsia="Times New Roman" w:cs="Times New Roman"/>
          <w:color w:val="auto"/>
          <w:kern w:val="0"/>
          <w:sz w:val="20"/>
          <w:szCs w:val="20"/>
          <w:bdr w:val="single" w:sz="2" w:space="0" w:color="D9D9E3"/>
          <w:lang w:val="pt-BR" w:eastAsia="ar-SA" w:bidi="ar-SA"/>
        </w:rPr>
        <w:t>utensílios de cozinha para atender as Unidades Escolares que integram o programa escola em Tempo Integral para atendimento aos alunos matriculados, com intuito de colaborar com os serviços dos manipuladores de alimentos além de oferecer materiais de boa qualidade ao alunado.</w:t>
      </w:r>
    </w:p>
    <w:p>
      <w:pPr>
        <w:pStyle w:val="Corpodotexto"/>
        <w:numPr>
          <w:ilvl w:val="0"/>
          <w:numId w:val="1"/>
        </w:numPr>
        <w:pBdr>
          <w:top w:val="single" w:sz="2" w:space="1" w:color="D9D9E3"/>
          <w:left w:val="single" w:sz="2" w:space="1" w:color="D9D9E3"/>
          <w:bottom w:val="single" w:sz="2" w:space="1" w:color="D9D9E3"/>
          <w:right w:val="single" w:sz="2" w:space="1" w:color="D9D9E3"/>
        </w:pBdr>
        <w:bidi w:val="0"/>
        <w:jc w:val="both"/>
        <w:rPr>
          <w:rFonts w:ascii="Arial" w:hAnsi="Arial"/>
        </w:rPr>
      </w:pPr>
      <w:r>
        <w:rPr>
          <w:sz w:val="18"/>
          <w:szCs w:val="18"/>
          <w:bdr w:val="single" w:sz="2" w:space="0" w:color="D9D9E3"/>
        </w:rPr>
        <w:t xml:space="preserve">Risco de contaminação: Um dos riscos nos materiais é a possibilidade de contaminação por mau acondicionamento. Isso pode ocorrer durante o processo de </w:t>
      </w:r>
      <w:r>
        <w:rPr>
          <w:rFonts w:eastAsia="NSimSun" w:cs="Arial" w:ascii="Liberation Serif;Times New Roman" w:hAnsi="Liberation Serif;Times New Roman"/>
          <w:color w:val="auto"/>
          <w:kern w:val="2"/>
          <w:sz w:val="18"/>
          <w:szCs w:val="18"/>
          <w:bdr w:val="single" w:sz="2" w:space="0" w:color="D9D9E3"/>
          <w:lang w:val="pt-BR" w:eastAsia="zh-CN" w:bidi="hi-IN"/>
        </w:rPr>
        <w:t>transporte, armazenamento</w:t>
      </w:r>
      <w:r>
        <w:rPr>
          <w:sz w:val="18"/>
          <w:szCs w:val="18"/>
          <w:bdr w:val="single" w:sz="2" w:space="0" w:color="D9D9E3"/>
        </w:rPr>
        <w:t xml:space="preserve">, processamento ou manipulação dos </w:t>
      </w:r>
      <w:r>
        <w:rPr>
          <w:rFonts w:eastAsia="NSimSun" w:cs="Arial"/>
          <w:color w:val="auto"/>
          <w:kern w:val="2"/>
          <w:sz w:val="18"/>
          <w:szCs w:val="18"/>
          <w:bdr w:val="single" w:sz="2" w:space="0" w:color="D9D9E3"/>
          <w:lang w:val="pt-BR" w:eastAsia="zh-CN" w:bidi="hi-IN"/>
        </w:rPr>
        <w:t>utensílios</w:t>
      </w:r>
      <w:r>
        <w:rPr>
          <w:sz w:val="18"/>
          <w:szCs w:val="18"/>
          <w:bdr w:val="single" w:sz="2" w:space="0" w:color="D9D9E3"/>
        </w:rPr>
        <w:t>. A presença de bactérias, vírus, parasitas ou produtos químicos prejudiciais pode levar a doenças transmitidas por alimentos servidos nos utensílios, como intoxicação alimentar. É fundamental que</w:t>
      </w:r>
      <w:r>
        <w:rPr>
          <w:rFonts w:eastAsia="NSimSun" w:cs="Arial"/>
          <w:color w:val="auto"/>
          <w:kern w:val="2"/>
          <w:sz w:val="18"/>
          <w:szCs w:val="18"/>
          <w:bdr w:val="single" w:sz="2" w:space="0" w:color="D9D9E3"/>
          <w:lang w:val="pt-BR" w:eastAsia="zh-CN" w:bidi="hi-IN"/>
        </w:rPr>
        <w:t xml:space="preserve"> as Unidades Escolares que</w:t>
      </w:r>
      <w:r>
        <w:rPr>
          <w:sz w:val="18"/>
          <w:szCs w:val="18"/>
          <w:bdr w:val="single" w:sz="2" w:space="0" w:color="D9D9E3"/>
        </w:rPr>
        <w:t xml:space="preserve"> preparam os </w:t>
      </w:r>
      <w:r>
        <w:rPr>
          <w:rFonts w:eastAsia="NSimSun" w:cs="Arial"/>
          <w:color w:val="auto"/>
          <w:kern w:val="2"/>
          <w:sz w:val="18"/>
          <w:szCs w:val="18"/>
          <w:bdr w:val="single" w:sz="2" w:space="0" w:color="D9D9E3"/>
          <w:lang w:val="pt-BR" w:eastAsia="zh-CN" w:bidi="hi-IN"/>
        </w:rPr>
        <w:t>alimentos</w:t>
      </w:r>
      <w:r>
        <w:rPr>
          <w:sz w:val="18"/>
          <w:szCs w:val="18"/>
          <w:bdr w:val="single" w:sz="2" w:space="0" w:color="D9D9E3"/>
        </w:rPr>
        <w:t xml:space="preserve"> sigam as normas de higiene e segurança alimentar para mitigar esse risco, o que impede de oferecer o utensílio mal higienizado.</w:t>
      </w:r>
    </w:p>
    <w:p>
      <w:pPr>
        <w:pStyle w:val="Corpodotexto"/>
        <w:numPr>
          <w:ilvl w:val="0"/>
          <w:numId w:val="1"/>
        </w:numPr>
        <w:pBdr>
          <w:top w:val="single" w:sz="2" w:space="1" w:color="D9D9E3"/>
          <w:left w:val="single" w:sz="2" w:space="1" w:color="D9D9E3"/>
          <w:bottom w:val="single" w:sz="2" w:space="1" w:color="D9D9E3"/>
          <w:right w:val="single" w:sz="2" w:space="1" w:color="D9D9E3"/>
        </w:pBdr>
        <w:tabs>
          <w:tab w:val="clear" w:pos="720"/>
          <w:tab w:val="left" w:pos="707" w:leader="none"/>
        </w:tabs>
        <w:bidi w:val="0"/>
        <w:jc w:val="both"/>
        <w:rPr>
          <w:rFonts w:ascii="Arial" w:hAnsi="Arial"/>
        </w:rPr>
      </w:pPr>
      <w:r>
        <w:rPr>
          <w:sz w:val="18"/>
          <w:szCs w:val="18"/>
          <w:bdr w:val="single" w:sz="2" w:space="0" w:color="D9D9E3"/>
        </w:rPr>
        <w:t xml:space="preserve">Risco de qualidade dos </w:t>
      </w:r>
      <w:r>
        <w:rPr>
          <w:rFonts w:eastAsia="NSimSun" w:cs="Arial" w:ascii="Liberation Serif;Times New Roman" w:hAnsi="Liberation Serif;Times New Roman"/>
          <w:color w:val="auto"/>
          <w:kern w:val="2"/>
          <w:sz w:val="18"/>
          <w:szCs w:val="18"/>
          <w:bdr w:val="single" w:sz="2" w:space="0" w:color="D9D9E3"/>
          <w:lang w:val="pt-BR" w:eastAsia="zh-CN" w:bidi="hi-IN"/>
        </w:rPr>
        <w:t>materiais</w:t>
      </w:r>
      <w:r>
        <w:rPr>
          <w:sz w:val="18"/>
          <w:szCs w:val="18"/>
          <w:bdr w:val="single" w:sz="2" w:space="0" w:color="D9D9E3"/>
        </w:rPr>
        <w:t>: A qualidade dos materiais utilizados nos</w:t>
      </w:r>
      <w:r>
        <w:rPr>
          <w:rFonts w:eastAsia="NSimSun" w:cs="Arial"/>
          <w:color w:val="auto"/>
          <w:kern w:val="2"/>
          <w:sz w:val="18"/>
          <w:szCs w:val="18"/>
          <w:bdr w:val="single" w:sz="2" w:space="0" w:color="D9D9E3"/>
          <w:lang w:val="pt-BR" w:eastAsia="zh-CN" w:bidi="hi-IN"/>
        </w:rPr>
        <w:t xml:space="preserve"> utensílios pode se apresentar como</w:t>
      </w:r>
      <w:r>
        <w:rPr>
          <w:sz w:val="18"/>
          <w:szCs w:val="18"/>
          <w:bdr w:val="single" w:sz="2" w:space="0" w:color="D9D9E3"/>
        </w:rPr>
        <w:t xml:space="preserve"> um fator de risco a ser considerado. A matéria-prima de baixa qualidade podem comprometer a qualidade, a segurança e a </w:t>
      </w:r>
      <w:r>
        <w:rPr>
          <w:rFonts w:eastAsia="NSimSun" w:cs="Arial" w:ascii="Liberation Serif;Times New Roman" w:hAnsi="Liberation Serif;Times New Roman"/>
          <w:color w:val="auto"/>
          <w:kern w:val="2"/>
          <w:sz w:val="18"/>
          <w:szCs w:val="18"/>
          <w:bdr w:val="single" w:sz="2" w:space="0" w:color="D9D9E3"/>
          <w:lang w:val="pt-BR" w:eastAsia="zh-CN" w:bidi="hi-IN"/>
        </w:rPr>
        <w:t>manutenção</w:t>
      </w:r>
      <w:r>
        <w:rPr>
          <w:sz w:val="18"/>
          <w:szCs w:val="18"/>
          <w:bdr w:val="single" w:sz="2" w:space="0" w:color="D9D9E3"/>
        </w:rPr>
        <w:t xml:space="preserve"> dos </w:t>
      </w:r>
      <w:r>
        <w:rPr>
          <w:rFonts w:eastAsia="NSimSun" w:cs="Arial"/>
          <w:color w:val="auto"/>
          <w:kern w:val="2"/>
          <w:sz w:val="18"/>
          <w:szCs w:val="18"/>
          <w:bdr w:val="single" w:sz="2" w:space="0" w:color="D9D9E3"/>
          <w:lang w:val="pt-BR" w:eastAsia="zh-CN" w:bidi="hi-IN"/>
        </w:rPr>
        <w:t>utensílios</w:t>
      </w:r>
      <w:r>
        <w:rPr>
          <w:sz w:val="18"/>
          <w:szCs w:val="18"/>
          <w:bdr w:val="single" w:sz="2" w:space="0" w:color="D9D9E3"/>
        </w:rPr>
        <w:t xml:space="preserve">. Além disso, a procedência dos </w:t>
      </w:r>
      <w:r>
        <w:rPr>
          <w:rFonts w:eastAsia="NSimSun" w:cs="Arial" w:ascii="Liberation Serif;Times New Roman" w:hAnsi="Liberation Serif;Times New Roman"/>
          <w:color w:val="auto"/>
          <w:kern w:val="2"/>
          <w:sz w:val="18"/>
          <w:szCs w:val="18"/>
          <w:bdr w:val="single" w:sz="2" w:space="0" w:color="D9D9E3"/>
          <w:lang w:val="pt-BR" w:eastAsia="zh-CN" w:bidi="hi-IN"/>
        </w:rPr>
        <w:t>utensílios</w:t>
      </w:r>
      <w:r>
        <w:rPr>
          <w:sz w:val="18"/>
          <w:szCs w:val="18"/>
          <w:bdr w:val="single" w:sz="2" w:space="0" w:color="D9D9E3"/>
        </w:rPr>
        <w:t xml:space="preserve"> pode afetar a segurança e a qualidade do produto final. É importante escolher estabelecimentos que priorizem a qualidade dos produtos, para que a vida útil do produto se estenda suficientemente, atendendo as necessidades das Unidades Escolares.</w:t>
      </w:r>
    </w:p>
    <w:p>
      <w:pPr>
        <w:pStyle w:val="Corpodotexto"/>
        <w:numPr>
          <w:ilvl w:val="0"/>
          <w:numId w:val="1"/>
        </w:numPr>
        <w:pBdr>
          <w:top w:val="single" w:sz="2" w:space="1" w:color="D9D9E3"/>
          <w:left w:val="single" w:sz="2" w:space="1" w:color="D9D9E3"/>
          <w:bottom w:val="single" w:sz="2" w:space="1" w:color="D9D9E3"/>
          <w:right w:val="single" w:sz="2" w:space="1" w:color="D9D9E3"/>
        </w:pBdr>
        <w:tabs>
          <w:tab w:val="clear" w:pos="720"/>
          <w:tab w:val="left" w:pos="707" w:leader="none"/>
        </w:tabs>
        <w:bidi w:val="0"/>
        <w:jc w:val="both"/>
        <w:rPr>
          <w:rFonts w:ascii="Arial" w:hAnsi="Arial"/>
        </w:rPr>
      </w:pPr>
      <w:r>
        <w:rPr>
          <w:sz w:val="18"/>
          <w:szCs w:val="18"/>
          <w:bdr w:val="single" w:sz="2" w:space="0" w:color="D9D9E3"/>
        </w:rPr>
        <w:t xml:space="preserve">Risco de higiene e segurança dos </w:t>
      </w:r>
      <w:r>
        <w:rPr>
          <w:rFonts w:eastAsia="NSimSun" w:cs="Arial" w:ascii="Liberation Serif;Times New Roman" w:hAnsi="Liberation Serif;Times New Roman"/>
          <w:color w:val="auto"/>
          <w:kern w:val="2"/>
          <w:sz w:val="18"/>
          <w:szCs w:val="18"/>
          <w:bdr w:val="single" w:sz="2" w:space="0" w:color="D9D9E3"/>
          <w:lang w:val="pt-BR" w:eastAsia="zh-CN" w:bidi="hi-IN"/>
        </w:rPr>
        <w:t>produtos</w:t>
      </w:r>
      <w:r>
        <w:rPr>
          <w:sz w:val="18"/>
          <w:szCs w:val="18"/>
          <w:bdr w:val="single" w:sz="2" w:space="0" w:color="D9D9E3"/>
        </w:rPr>
        <w:t xml:space="preserve">: A higiene e a segurança dos produtos onde os </w:t>
      </w:r>
      <w:r>
        <w:rPr>
          <w:rFonts w:eastAsia="NSimSun" w:cs="Arial"/>
          <w:color w:val="auto"/>
          <w:kern w:val="2"/>
          <w:sz w:val="18"/>
          <w:szCs w:val="18"/>
          <w:bdr w:val="single" w:sz="2" w:space="0" w:color="D9D9E3"/>
          <w:lang w:val="pt-BR" w:eastAsia="zh-CN" w:bidi="hi-IN"/>
        </w:rPr>
        <w:t>Gêneros Alimentícios  para a merenda escolar</w:t>
      </w:r>
      <w:r>
        <w:rPr>
          <w:sz w:val="18"/>
          <w:szCs w:val="18"/>
          <w:bdr w:val="single" w:sz="2" w:space="0" w:color="D9D9E3"/>
        </w:rPr>
        <w:t xml:space="preserve"> são preparados e/ou servidos também são fatores de risco a serem considerados. A falta de boas práticas de higiene, a presença de pragas, a terapia química dos alimentos e a falta de manutenção adequada da armazenagem podem aumentar o risco de contaminação das instalações e colocar em perigo a saúde dos consumidores. É importante que os estabelecimentos cumpram as regulamentações sanitárias e mantenham altos padrões de higiene.</w:t>
      </w:r>
    </w:p>
    <w:p>
      <w:pPr>
        <w:pStyle w:val="Corpodotexto"/>
        <w:numPr>
          <w:ilvl w:val="0"/>
          <w:numId w:val="1"/>
        </w:numPr>
        <w:pBdr>
          <w:top w:val="single" w:sz="2" w:space="1" w:color="D9D9E3"/>
          <w:left w:val="single" w:sz="2" w:space="1" w:color="D9D9E3"/>
          <w:bottom w:val="single" w:sz="2" w:space="1" w:color="D9D9E3"/>
          <w:right w:val="single" w:sz="2" w:space="1" w:color="D9D9E3"/>
        </w:pBdr>
        <w:tabs>
          <w:tab w:val="clear" w:pos="720"/>
          <w:tab w:val="left" w:pos="707" w:leader="none"/>
        </w:tabs>
        <w:bidi w:val="0"/>
        <w:jc w:val="both"/>
        <w:rPr>
          <w:rFonts w:ascii="Arial" w:hAnsi="Arial"/>
        </w:rPr>
      </w:pPr>
      <w:r>
        <w:rPr>
          <w:sz w:val="18"/>
          <w:szCs w:val="18"/>
          <w:bdr w:val="single" w:sz="2" w:space="0" w:color="D9D9E3"/>
        </w:rPr>
        <w:t>Risco de custo-benefício: Além dos riscos para a saúde, qualidade nos utensílios</w:t>
      </w:r>
      <w:r>
        <w:rPr>
          <w:rFonts w:eastAsia="NSimSun" w:cs="Arial"/>
          <w:color w:val="auto"/>
          <w:kern w:val="2"/>
          <w:sz w:val="18"/>
          <w:szCs w:val="18"/>
          <w:bdr w:val="single" w:sz="2" w:space="0" w:color="D9D9E3"/>
          <w:lang w:val="pt-BR" w:eastAsia="zh-CN" w:bidi="hi-IN"/>
        </w:rPr>
        <w:t xml:space="preserve"> para os serviços </w:t>
      </w:r>
      <w:r>
        <w:rPr>
          <w:sz w:val="18"/>
          <w:szCs w:val="18"/>
          <w:bdr w:val="single" w:sz="2" w:space="0" w:color="D9D9E3"/>
        </w:rPr>
        <w:t xml:space="preserve">também pode apresentar riscos financeiros. Alguns estabelecimentos podem cobrar preços elevados por </w:t>
      </w:r>
      <w:r>
        <w:rPr>
          <w:rFonts w:eastAsia="NSimSun" w:cs="Arial"/>
          <w:color w:val="auto"/>
          <w:kern w:val="2"/>
          <w:sz w:val="18"/>
          <w:szCs w:val="18"/>
          <w:bdr w:val="single" w:sz="2" w:space="0" w:color="D9D9E3"/>
          <w:lang w:val="pt-BR" w:eastAsia="zh-CN" w:bidi="hi-IN"/>
        </w:rPr>
        <w:t>produtos</w:t>
      </w:r>
      <w:r>
        <w:rPr>
          <w:sz w:val="18"/>
          <w:szCs w:val="18"/>
          <w:bdr w:val="single" w:sz="2" w:space="0" w:color="D9D9E3"/>
        </w:rPr>
        <w:t xml:space="preserve"> de qualidade inferior, gerando em um mau custo-benefício para a Administração Pública, por necessitar de substituição do produto antes do prazo previsto de troca. Por este motivo, é necessário amostra para aferição da qualidade do produto podendo solicitar troca do mesmo ou do fornecedor.</w:t>
      </w:r>
    </w:p>
    <w:p>
      <w:pPr>
        <w:pStyle w:val="Corpodotexto"/>
        <w:numPr>
          <w:ilvl w:val="0"/>
          <w:numId w:val="1"/>
        </w:numPr>
        <w:pBdr>
          <w:top w:val="single" w:sz="2" w:space="1" w:color="D9D9E3"/>
          <w:left w:val="single" w:sz="2" w:space="1" w:color="D9D9E3"/>
          <w:bottom w:val="single" w:sz="2" w:space="1" w:color="D9D9E3"/>
          <w:right w:val="single" w:sz="2" w:space="1" w:color="D9D9E3"/>
        </w:pBdr>
        <w:tabs>
          <w:tab w:val="clear" w:pos="720"/>
          <w:tab w:val="left" w:pos="707" w:leader="none"/>
        </w:tabs>
        <w:bidi w:val="0"/>
        <w:jc w:val="both"/>
        <w:rPr>
          <w:sz w:val="18"/>
          <w:szCs w:val="18"/>
          <w:bdr w:val="single" w:sz="2" w:space="0" w:color="D9D9E3"/>
        </w:rPr>
      </w:pPr>
      <w:r>
        <w:rPr>
          <w:sz w:val="18"/>
          <w:szCs w:val="18"/>
          <w:bdr w:val="single" w:sz="2" w:space="0" w:color="D9D9E3"/>
        </w:rPr>
        <w:t xml:space="preserve">Risco de perder prazo: os trâmites do processo de compra são longos e passa por diversos setores, atualmente o fluxo de processos não foi elaborado o que faz com que o mesmo retorne ao setor solicitante diversas vezes, além de ser verificado por estes setores que divergem em relação ao teor do pedido. Com a demora, o tempo que se dispõe para preparação e finalização do novo processo torna-se curto, correndo-se o risco de ficar com o fornecimento prejudicado. </w:t>
      </w:r>
    </w:p>
    <w:p>
      <w:pPr>
        <w:pStyle w:val="Corpodotexto"/>
        <w:pBdr>
          <w:top w:val="single" w:sz="2" w:space="1" w:color="D9D9E3"/>
          <w:left w:val="single" w:sz="2" w:space="1" w:color="D9D9E3"/>
          <w:bottom w:val="single" w:sz="2" w:space="1" w:color="D9D9E3"/>
          <w:right w:val="single" w:sz="2" w:space="1" w:color="D9D9E3"/>
        </w:pBdr>
        <w:bidi w:val="0"/>
        <w:jc w:val="left"/>
        <w:rPr>
          <w:sz w:val="18"/>
          <w:szCs w:val="18"/>
          <w:bdr w:val="single" w:sz="2" w:space="0" w:color="D9D9E3"/>
        </w:rPr>
      </w:pPr>
      <w:r>
        <w:rPr>
          <w:sz w:val="18"/>
          <w:szCs w:val="18"/>
          <w:bdr w:val="single" w:sz="2" w:space="0" w:color="D9D9E3"/>
        </w:rPr>
        <w:t>Medidas de contenção:</w:t>
      </w:r>
    </w:p>
    <w:p>
      <w:pPr>
        <w:pStyle w:val="Corpodotexto"/>
        <w:numPr>
          <w:ilvl w:val="0"/>
          <w:numId w:val="5"/>
        </w:numPr>
        <w:pBdr>
          <w:top w:val="single" w:sz="2" w:space="1" w:color="D9D9E3"/>
          <w:left w:val="single" w:sz="2" w:space="1" w:color="D9D9E3"/>
          <w:bottom w:val="single" w:sz="2" w:space="1" w:color="D9D9E3"/>
          <w:right w:val="single" w:sz="2" w:space="1" w:color="D9D9E3"/>
        </w:pBdr>
        <w:tabs>
          <w:tab w:val="clear" w:pos="720"/>
          <w:tab w:val="left" w:pos="707" w:leader="none"/>
        </w:tabs>
        <w:bidi w:val="0"/>
        <w:spacing w:before="0" w:after="0"/>
        <w:ind w:left="707" w:right="0" w:hanging="283"/>
        <w:jc w:val="left"/>
        <w:rPr>
          <w:rFonts w:ascii="Arial" w:hAnsi="Arial"/>
        </w:rPr>
      </w:pPr>
      <w:r>
        <w:rPr>
          <w:sz w:val="18"/>
          <w:szCs w:val="18"/>
          <w:bdr w:val="single" w:sz="2" w:space="0" w:color="D9D9E3"/>
        </w:rPr>
        <w:t>Escolher produtos de qualidade por parte do fornecedor</w:t>
      </w:r>
    </w:p>
    <w:p>
      <w:pPr>
        <w:pStyle w:val="Corpodotexto"/>
        <w:numPr>
          <w:ilvl w:val="0"/>
          <w:numId w:val="5"/>
        </w:numPr>
        <w:pBdr>
          <w:top w:val="single" w:sz="2" w:space="1" w:color="D9D9E3"/>
          <w:left w:val="single" w:sz="2" w:space="1" w:color="D9D9E3"/>
          <w:bottom w:val="single" w:sz="2" w:space="1" w:color="D9D9E3"/>
          <w:right w:val="single" w:sz="2" w:space="1" w:color="D9D9E3"/>
        </w:pBdr>
        <w:tabs>
          <w:tab w:val="clear" w:pos="720"/>
          <w:tab w:val="left" w:pos="707" w:leader="none"/>
        </w:tabs>
        <w:bidi w:val="0"/>
        <w:spacing w:before="0" w:after="0"/>
        <w:ind w:left="707" w:right="0" w:hanging="283"/>
        <w:jc w:val="left"/>
        <w:rPr>
          <w:rFonts w:ascii="Arial" w:hAnsi="Arial"/>
        </w:rPr>
      </w:pPr>
      <w:r>
        <w:rPr>
          <w:sz w:val="18"/>
          <w:szCs w:val="18"/>
          <w:bdr w:val="single" w:sz="2" w:space="0" w:color="D9D9E3"/>
        </w:rPr>
        <w:t xml:space="preserve">Verificação da data de validade e acondicionamento dos </w:t>
      </w:r>
      <w:r>
        <w:rPr>
          <w:rFonts w:eastAsia="NSimSun" w:cs="Arial" w:ascii="Liberation Serif;Times New Roman" w:hAnsi="Liberation Serif;Times New Roman"/>
          <w:color w:val="auto"/>
          <w:kern w:val="2"/>
          <w:sz w:val="18"/>
          <w:szCs w:val="18"/>
          <w:bdr w:val="single" w:sz="2" w:space="0" w:color="D9D9E3"/>
          <w:lang w:val="pt-BR" w:eastAsia="zh-CN" w:bidi="hi-IN"/>
        </w:rPr>
        <w:t>produtos</w:t>
      </w:r>
      <w:r>
        <w:rPr>
          <w:sz w:val="18"/>
          <w:szCs w:val="18"/>
          <w:bdr w:val="single" w:sz="2" w:space="0" w:color="D9D9E3"/>
        </w:rPr>
        <w:t xml:space="preserve"> no ato do recebimento tomando o cuidado o estado do item;</w:t>
      </w:r>
    </w:p>
    <w:p>
      <w:pPr>
        <w:pStyle w:val="Corpodotexto"/>
        <w:numPr>
          <w:ilvl w:val="0"/>
          <w:numId w:val="5"/>
        </w:numPr>
        <w:pBdr>
          <w:top w:val="single" w:sz="2" w:space="1" w:color="D9D9E3"/>
          <w:left w:val="single" w:sz="2" w:space="1" w:color="D9D9E3"/>
          <w:bottom w:val="single" w:sz="2" w:space="1" w:color="D9D9E3"/>
          <w:right w:val="single" w:sz="2" w:space="1" w:color="D9D9E3"/>
        </w:pBdr>
        <w:tabs>
          <w:tab w:val="clear" w:pos="720"/>
          <w:tab w:val="left" w:pos="707" w:leader="none"/>
        </w:tabs>
        <w:bidi w:val="0"/>
        <w:spacing w:before="0" w:after="0"/>
        <w:ind w:left="707" w:right="0" w:hanging="283"/>
        <w:jc w:val="left"/>
        <w:rPr>
          <w:sz w:val="18"/>
          <w:szCs w:val="18"/>
          <w:bdr w:val="single" w:sz="2" w:space="0" w:color="D9D9E3"/>
        </w:rPr>
      </w:pPr>
      <w:r>
        <w:rPr>
          <w:sz w:val="18"/>
          <w:szCs w:val="18"/>
          <w:bdr w:val="single" w:sz="2" w:space="0" w:color="D9D9E3"/>
        </w:rPr>
        <w:t>Ler as especificações do produto, onde informam os materiais utilizados na confecção e os riscos às pessoas com distúrbio alimentares, tomando cuidado para não ofertá-los a elas;</w:t>
      </w:r>
    </w:p>
    <w:p>
      <w:pPr>
        <w:pStyle w:val="Corpodotexto"/>
        <w:numPr>
          <w:ilvl w:val="0"/>
          <w:numId w:val="5"/>
        </w:numPr>
        <w:pBdr>
          <w:top w:val="single" w:sz="2" w:space="1" w:color="D9D9E3"/>
          <w:left w:val="single" w:sz="2" w:space="1" w:color="D9D9E3"/>
          <w:bottom w:val="single" w:sz="2" w:space="1" w:color="D9D9E3"/>
          <w:right w:val="single" w:sz="2" w:space="1" w:color="D9D9E3"/>
        </w:pBdr>
        <w:tabs>
          <w:tab w:val="clear" w:pos="720"/>
          <w:tab w:val="left" w:pos="707" w:leader="none"/>
        </w:tabs>
        <w:bidi w:val="0"/>
        <w:spacing w:before="0" w:after="0"/>
        <w:ind w:left="707" w:right="0" w:hanging="283"/>
        <w:jc w:val="left"/>
        <w:rPr>
          <w:sz w:val="18"/>
          <w:szCs w:val="18"/>
          <w:bdr w:val="single" w:sz="2" w:space="0" w:color="D9D9E3"/>
        </w:rPr>
      </w:pPr>
      <w:r>
        <w:rPr>
          <w:sz w:val="18"/>
          <w:szCs w:val="18"/>
          <w:bdr w:val="single" w:sz="2" w:space="0" w:color="D9D9E3"/>
        </w:rPr>
        <w:t>Optar por produtos cuja matéria-prima seja menos prejudicial à saúde;</w:t>
      </w:r>
    </w:p>
    <w:p>
      <w:pPr>
        <w:pStyle w:val="Corpodotexto"/>
        <w:numPr>
          <w:ilvl w:val="0"/>
          <w:numId w:val="5"/>
        </w:numPr>
        <w:pBdr>
          <w:top w:val="single" w:sz="2" w:space="1" w:color="D9D9E3"/>
          <w:left w:val="single" w:sz="2" w:space="1" w:color="D9D9E3"/>
          <w:bottom w:val="single" w:sz="2" w:space="1" w:color="D9D9E3"/>
          <w:right w:val="single" w:sz="2" w:space="1" w:color="D9D9E3"/>
        </w:pBdr>
        <w:tabs>
          <w:tab w:val="clear" w:pos="720"/>
          <w:tab w:val="left" w:pos="707" w:leader="none"/>
        </w:tabs>
        <w:bidi w:val="0"/>
        <w:ind w:left="707" w:right="0" w:hanging="283"/>
        <w:jc w:val="left"/>
        <w:rPr>
          <w:sz w:val="18"/>
          <w:szCs w:val="18"/>
          <w:bdr w:val="single" w:sz="2" w:space="0" w:color="D9D9E3"/>
        </w:rPr>
      </w:pPr>
      <w:r>
        <w:rPr>
          <w:sz w:val="18"/>
          <w:szCs w:val="18"/>
          <w:bdr w:val="single" w:sz="2" w:space="0" w:color="D9D9E3"/>
        </w:rPr>
        <w:t>Utilização de máscara e luvas de procedimento alimentar para manipulação na montagem dos pratos e lanches evitando contaminação.</w:t>
      </w:r>
    </w:p>
    <w:p>
      <w:pPr>
        <w:pStyle w:val="Corpodotexto"/>
        <w:numPr>
          <w:ilvl w:val="0"/>
          <w:numId w:val="5"/>
        </w:numPr>
        <w:pBdr>
          <w:top w:val="single" w:sz="2" w:space="1" w:color="D9D9E3"/>
          <w:left w:val="single" w:sz="2" w:space="1" w:color="D9D9E3"/>
          <w:bottom w:val="single" w:sz="2" w:space="1" w:color="D9D9E3"/>
          <w:right w:val="single" w:sz="2" w:space="1" w:color="D9D9E3"/>
        </w:pBdr>
        <w:tabs>
          <w:tab w:val="clear" w:pos="720"/>
          <w:tab w:val="left" w:pos="707" w:leader="none"/>
        </w:tabs>
        <w:bidi w:val="0"/>
        <w:ind w:left="707" w:right="0" w:hanging="283"/>
        <w:jc w:val="left"/>
        <w:rPr>
          <w:sz w:val="18"/>
          <w:szCs w:val="18"/>
          <w:bdr w:val="single" w:sz="2" w:space="0" w:color="D9D9E3"/>
        </w:rPr>
      </w:pPr>
      <w:r>
        <w:rPr>
          <w:sz w:val="18"/>
          <w:szCs w:val="18"/>
          <w:bdr w:val="single" w:sz="2" w:space="0" w:color="D9D9E3"/>
        </w:rPr>
        <w:t xml:space="preserve">Utilização de local e produtos higienizados, para o preparo; </w:t>
      </w:r>
    </w:p>
    <w:p>
      <w:pPr>
        <w:pStyle w:val="Corpodotexto"/>
        <w:numPr>
          <w:ilvl w:val="0"/>
          <w:numId w:val="5"/>
        </w:numPr>
        <w:pBdr>
          <w:top w:val="single" w:sz="2" w:space="1" w:color="D9D9E3"/>
          <w:left w:val="single" w:sz="2" w:space="1" w:color="D9D9E3"/>
          <w:bottom w:val="single" w:sz="2" w:space="1" w:color="D9D9E3"/>
          <w:right w:val="single" w:sz="2" w:space="1" w:color="D9D9E3"/>
        </w:pBdr>
        <w:tabs>
          <w:tab w:val="clear" w:pos="720"/>
          <w:tab w:val="left" w:pos="707" w:leader="none"/>
        </w:tabs>
        <w:bidi w:val="0"/>
        <w:ind w:left="707" w:right="0" w:hanging="283"/>
        <w:jc w:val="both"/>
        <w:rPr>
          <w:sz w:val="18"/>
          <w:szCs w:val="18"/>
          <w:bdr w:val="single" w:sz="2" w:space="0" w:color="D9D9E3"/>
        </w:rPr>
      </w:pPr>
      <w:r>
        <w:rPr>
          <w:sz w:val="18"/>
          <w:szCs w:val="18"/>
          <w:bdr w:val="single" w:sz="2" w:space="0" w:color="D9D9E3"/>
        </w:rPr>
        <w:t>A Rede Municipal  de Vassouras, através do Setor de Alimentação Escolar realiza capacitações para manipuladores de alimentos e cuidados com utensílios e equipamentos no que concerne guarda, armazenamento e manipulação a fim de evitar qualquer tipo de contaminante e melhor conservação dos mesmos.</w:t>
      </w:r>
    </w:p>
    <w:p>
      <w:pPr>
        <w:pStyle w:val="Corpodotexto"/>
        <w:numPr>
          <w:ilvl w:val="0"/>
          <w:numId w:val="5"/>
        </w:numPr>
        <w:pBdr>
          <w:top w:val="single" w:sz="2" w:space="1" w:color="D9D9E3"/>
          <w:left w:val="single" w:sz="2" w:space="1" w:color="D9D9E3"/>
          <w:bottom w:val="single" w:sz="2" w:space="1" w:color="D9D9E3"/>
          <w:right w:val="single" w:sz="2" w:space="1" w:color="D9D9E3"/>
        </w:pBdr>
        <w:tabs>
          <w:tab w:val="clear" w:pos="720"/>
          <w:tab w:val="left" w:pos="707" w:leader="none"/>
        </w:tabs>
        <w:bidi w:val="0"/>
        <w:ind w:left="707" w:right="0" w:hanging="283"/>
        <w:jc w:val="both"/>
        <w:rPr>
          <w:sz w:val="18"/>
          <w:szCs w:val="18"/>
          <w:bdr w:val="single" w:sz="2" w:space="0" w:color="D9D9E3"/>
        </w:rPr>
      </w:pPr>
      <w:r>
        <w:rPr>
          <w:sz w:val="18"/>
          <w:szCs w:val="18"/>
          <w:bdr w:val="single" w:sz="2" w:space="0" w:color="D9D9E3"/>
        </w:rPr>
        <w:t>Fazer valer as sanções administrativas, através de advertências e notificações para que os termos da contratação sejam respeitadas e cumpridas, sob pena de rescisão, suspensão de licitar e/ou declarar o fornecedor inidôneo em caso de não cumprimento do contrato.</w:t>
      </w:r>
    </w:p>
    <w:p>
      <w:pPr>
        <w:pStyle w:val="Corpodotexto"/>
        <w:numPr>
          <w:ilvl w:val="0"/>
          <w:numId w:val="5"/>
        </w:numPr>
        <w:pBdr>
          <w:top w:val="single" w:sz="2" w:space="1" w:color="D9D9E3"/>
          <w:left w:val="single" w:sz="2" w:space="1" w:color="D9D9E3"/>
          <w:bottom w:val="single" w:sz="2" w:space="1" w:color="D9D9E3"/>
          <w:right w:val="single" w:sz="2" w:space="1" w:color="D9D9E3"/>
        </w:pBdr>
        <w:tabs>
          <w:tab w:val="clear" w:pos="720"/>
          <w:tab w:val="left" w:pos="707" w:leader="none"/>
        </w:tabs>
        <w:bidi w:val="0"/>
        <w:spacing w:before="0" w:after="140"/>
        <w:ind w:left="707" w:right="0" w:hanging="283"/>
        <w:jc w:val="both"/>
        <w:rPr>
          <w:sz w:val="18"/>
          <w:szCs w:val="18"/>
          <w:bdr w:val="single" w:sz="2" w:space="0" w:color="D9D9E3"/>
        </w:rPr>
      </w:pPr>
      <w:r>
        <w:rPr>
          <w:sz w:val="18"/>
          <w:szCs w:val="18"/>
          <w:bdr w:val="single" w:sz="2" w:space="0" w:color="D9D9E3"/>
        </w:rPr>
        <w:t>Acompanhar os processos setor a setor, procurando informação sobre os trâmites, evitando que o mesmo fique parado muito tempo.Vassouras, 04 de junho de 2025.</w:t>
      </w:r>
    </w:p>
    <w:sectPr>
      <w:headerReference w:type="default" r:id="rId5"/>
      <w:type w:val="nextPage"/>
      <w:pgSz w:w="11906" w:h="16838"/>
      <w:pgMar w:left="1134" w:right="1134" w:header="600" w:top="1583" w:footer="0" w:bottom="67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roman"/>
    <w:pitch w:val="variable"/>
  </w:font>
  <w:font w:name="Segoe UI">
    <w:charset w:val="00"/>
    <w:family w:val="roman"/>
    <w:pitch w:val="variable"/>
  </w:font>
  <w:font w:name="Arial">
    <w:charset w:val="00"/>
    <w:family w:val="roman"/>
    <w:pitch w:val="variable"/>
  </w:font>
  <w:font w:name="Symbol">
    <w:charset w:val="00"/>
    <w:family w:val="roman"/>
    <w:pitch w:val="variable"/>
  </w:font>
  <w:font w:name="Liberation Sans">
    <w:altName w:val="Arial"/>
    <w:charset w:val="00"/>
    <w:family w:val="roman"/>
    <w:pitch w:val="variable"/>
  </w:font>
  <w:font w:name="Calibri">
    <w:charset w:val="00"/>
    <w:family w:val="roman"/>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rFonts w:ascii="Calibri" w:hAnsi="Calibri"/>
      </w:rPr>
    </w:pPr>
    <w:r>
      <w:drawing>
        <wp:anchor behindDoc="1" distT="0" distB="0" distL="0" distR="0" simplePos="0" locked="0" layoutInCell="0" allowOverlap="1" relativeHeight="12">
          <wp:simplePos x="0" y="0"/>
          <wp:positionH relativeFrom="column">
            <wp:posOffset>964565</wp:posOffset>
          </wp:positionH>
          <wp:positionV relativeFrom="paragraph">
            <wp:posOffset>-262890</wp:posOffset>
          </wp:positionV>
          <wp:extent cx="633730" cy="685800"/>
          <wp:effectExtent l="0" t="0" r="0" b="0"/>
          <wp:wrapNone/>
          <wp:docPr id="1" name="Imagem 8" descr="Vassoura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Vassouras(1)"/>
                  <pic:cNvPicPr>
                    <a:picLocks noChangeAspect="1" noChangeArrowheads="1"/>
                  </pic:cNvPicPr>
                </pic:nvPicPr>
                <pic:blipFill>
                  <a:blip r:embed="rId1"/>
                  <a:stretch>
                    <a:fillRect/>
                  </a:stretch>
                </pic:blipFill>
                <pic:spPr bwMode="auto">
                  <a:xfrm>
                    <a:off x="0" y="0"/>
                    <a:ext cx="633730" cy="685800"/>
                  </a:xfrm>
                  <a:prstGeom prst="rect">
                    <a:avLst/>
                  </a:prstGeom>
                </pic:spPr>
              </pic:pic>
            </a:graphicData>
          </a:graphic>
        </wp:anchor>
      </w:drawing>
    </w:r>
    <w:r>
      <w:rPr>
        <w:rFonts w:ascii="Calibri" w:hAnsi="Calibri"/>
        <w:sz w:val="22"/>
        <w:szCs w:val="22"/>
      </w:rPr>
      <w:t>E</w:t>
    </w:r>
    <w:r>
      <w:rPr>
        <w:rFonts w:ascii="Calibri" w:hAnsi="Calibri"/>
        <w:sz w:val="22"/>
        <w:szCs w:val="22"/>
      </w:rPr>
      <w:t>stado do Rio de Janeiro</w:t>
    </w:r>
  </w:p>
  <w:p>
    <w:pPr>
      <w:pStyle w:val="Cabealho"/>
      <w:jc w:val="center"/>
      <w:rPr>
        <w:rFonts w:ascii="Calibri" w:hAnsi="Calibri"/>
      </w:rPr>
    </w:pPr>
    <w:r>
      <w:rPr>
        <w:rFonts w:ascii="Calibri" w:hAnsi="Calibri"/>
        <w:sz w:val="22"/>
        <w:szCs w:val="22"/>
      </w:rPr>
      <w:t>Prefeitura Municipal de Vassouras</w:t>
    </w:r>
  </w:p>
  <w:p>
    <w:pPr>
      <w:pStyle w:val="Cabealho"/>
      <w:jc w:val="center"/>
      <w:rPr>
        <w:rFonts w:ascii="Calibri" w:hAnsi="Calibri"/>
      </w:rPr>
    </w:pPr>
    <w:r>
      <w:rPr>
        <w:rFonts w:ascii="Calibri" w:hAnsi="Calibri"/>
        <w:sz w:val="22"/>
        <w:szCs w:val="22"/>
      </w:rPr>
      <w:t>Secretaria Municipal de Educação</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rFonts w:ascii="Calibri" w:hAnsi="Calibri"/>
      </w:rPr>
    </w:pPr>
    <w:r>
      <w:drawing>
        <wp:anchor behindDoc="1" distT="0" distB="0" distL="0" distR="0" simplePos="0" locked="0" layoutInCell="0" allowOverlap="1" relativeHeight="4">
          <wp:simplePos x="0" y="0"/>
          <wp:positionH relativeFrom="column">
            <wp:posOffset>964565</wp:posOffset>
          </wp:positionH>
          <wp:positionV relativeFrom="paragraph">
            <wp:posOffset>-262890</wp:posOffset>
          </wp:positionV>
          <wp:extent cx="871220" cy="932180"/>
          <wp:effectExtent l="0" t="0" r="0" b="0"/>
          <wp:wrapNone/>
          <wp:docPr id="2" name="Figura1" descr="Vassoura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Vassouras(1)"/>
                  <pic:cNvPicPr>
                    <a:picLocks noChangeAspect="1" noChangeArrowheads="1"/>
                  </pic:cNvPicPr>
                </pic:nvPicPr>
                <pic:blipFill>
                  <a:blip r:embed="rId1"/>
                  <a:stretch>
                    <a:fillRect/>
                  </a:stretch>
                </pic:blipFill>
                <pic:spPr bwMode="auto">
                  <a:xfrm>
                    <a:off x="0" y="0"/>
                    <a:ext cx="871220" cy="932180"/>
                  </a:xfrm>
                  <a:prstGeom prst="rect">
                    <a:avLst/>
                  </a:prstGeom>
                </pic:spPr>
              </pic:pic>
            </a:graphicData>
          </a:graphic>
        </wp:anchor>
      </w:drawing>
    </w:r>
    <w:r>
      <w:rPr>
        <w:rFonts w:ascii="Calibri" w:hAnsi="Calibri"/>
        <w:sz w:val="22"/>
        <w:szCs w:val="22"/>
      </w:rPr>
      <w:t>E</w:t>
    </w:r>
    <w:r>
      <w:rPr>
        <w:rFonts w:ascii="Calibri" w:hAnsi="Calibri"/>
        <w:sz w:val="22"/>
        <w:szCs w:val="22"/>
      </w:rPr>
      <w:t>stado do Rio de Janeiro</w:t>
    </w:r>
  </w:p>
  <w:p>
    <w:pPr>
      <w:pStyle w:val="Cabealho"/>
      <w:jc w:val="center"/>
      <w:rPr>
        <w:rFonts w:ascii="Calibri" w:hAnsi="Calibri"/>
      </w:rPr>
    </w:pPr>
    <w:r>
      <w:rPr>
        <w:rFonts w:ascii="Calibri" w:hAnsi="Calibri"/>
        <w:sz w:val="22"/>
        <w:szCs w:val="22"/>
      </w:rPr>
      <w:t>Prefeitura Municipal de Vassouras</w:t>
    </w:r>
  </w:p>
  <w:p>
    <w:pPr>
      <w:pStyle w:val="Cabealho"/>
      <w:jc w:val="center"/>
      <w:rPr>
        <w:rFonts w:ascii="Calibri" w:hAnsi="Calibri"/>
      </w:rPr>
    </w:pPr>
    <w:r>
      <w:rPr>
        <w:rFonts w:ascii="Calibri" w:hAnsi="Calibri"/>
        <w:sz w:val="22"/>
        <w:szCs w:val="22"/>
      </w:rPr>
      <w:t>Secretaria Municipal de Educação</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rFonts w:ascii="Calibri" w:hAnsi="Calibri"/>
      </w:rPr>
    </w:pPr>
    <w:r>
      <w:drawing>
        <wp:anchor behindDoc="1" distT="0" distB="0" distL="0" distR="0" simplePos="0" locked="0" layoutInCell="0" allowOverlap="1" relativeHeight="3">
          <wp:simplePos x="0" y="0"/>
          <wp:positionH relativeFrom="column">
            <wp:posOffset>964565</wp:posOffset>
          </wp:positionH>
          <wp:positionV relativeFrom="paragraph">
            <wp:posOffset>-262890</wp:posOffset>
          </wp:positionV>
          <wp:extent cx="633730" cy="685800"/>
          <wp:effectExtent l="0" t="0" r="0" b="0"/>
          <wp:wrapNone/>
          <wp:docPr id="3" name="Figura2" descr="Vassoura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Vassouras(1)"/>
                  <pic:cNvPicPr>
                    <a:picLocks noChangeAspect="1" noChangeArrowheads="1"/>
                  </pic:cNvPicPr>
                </pic:nvPicPr>
                <pic:blipFill>
                  <a:blip r:embed="rId1"/>
                  <a:stretch>
                    <a:fillRect/>
                  </a:stretch>
                </pic:blipFill>
                <pic:spPr bwMode="auto">
                  <a:xfrm>
                    <a:off x="0" y="0"/>
                    <a:ext cx="633730" cy="685800"/>
                  </a:xfrm>
                  <a:prstGeom prst="rect">
                    <a:avLst/>
                  </a:prstGeom>
                </pic:spPr>
              </pic:pic>
            </a:graphicData>
          </a:graphic>
        </wp:anchor>
      </w:drawing>
    </w:r>
    <w:r>
      <w:rPr>
        <w:rFonts w:ascii="Calibri" w:hAnsi="Calibri"/>
        <w:sz w:val="22"/>
        <w:szCs w:val="22"/>
      </w:rPr>
      <w:t>E</w:t>
    </w:r>
    <w:r>
      <w:rPr>
        <w:rFonts w:ascii="Calibri" w:hAnsi="Calibri"/>
        <w:sz w:val="22"/>
        <w:szCs w:val="22"/>
      </w:rPr>
      <w:t>stado do Rio de Janeiro</w:t>
    </w:r>
  </w:p>
  <w:p>
    <w:pPr>
      <w:pStyle w:val="Cabealho"/>
      <w:jc w:val="center"/>
      <w:rPr>
        <w:rFonts w:ascii="Calibri" w:hAnsi="Calibri"/>
      </w:rPr>
    </w:pPr>
    <w:r>
      <w:rPr>
        <w:rFonts w:ascii="Calibri" w:hAnsi="Calibri"/>
        <w:sz w:val="22"/>
        <w:szCs w:val="22"/>
      </w:rPr>
      <w:t>Prefeitura Municipal de Vassouras</w:t>
    </w:r>
  </w:p>
  <w:p>
    <w:pPr>
      <w:pStyle w:val="Cabealho"/>
      <w:jc w:val="center"/>
      <w:rPr>
        <w:rFonts w:ascii="Calibri" w:hAnsi="Calibri"/>
      </w:rPr>
    </w:pPr>
    <w:r>
      <w:rPr>
        <w:rFonts w:ascii="Calibri" w:hAnsi="Calibri"/>
        <w:sz w:val="22"/>
        <w:szCs w:val="22"/>
      </w:rPr>
      <w:t>Secretaria Municipal de Educação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720" w:hanging="360"/>
      </w:pPr>
    </w:lvl>
    <w:lvl w:ilvl="1">
      <w:start w:val="1"/>
      <w:numFmt w:val="none"/>
      <w:suff w:val="nothing"/>
      <w:lvlText w:val=""/>
      <w:lvlJc w:val="left"/>
      <w:pPr>
        <w:tabs>
          <w:tab w:val="num" w:pos="0"/>
        </w:tabs>
        <w:ind w:left="1080" w:hanging="360"/>
      </w:p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2">
    <w:lvl w:ilvl="0">
      <w:start w:val="1"/>
      <w:numFmt w:val="decimal"/>
      <w:suff w:val="space"/>
      <w:lvlText w:val="%1."/>
      <w:lvlJc w:val="left"/>
      <w:pPr>
        <w:tabs>
          <w:tab w:val="num" w:pos="0"/>
        </w:tabs>
        <w:ind w:left="0" w:hanging="0"/>
      </w:pPr>
      <w:rPr>
        <w:i w:val="false"/>
        <w:b/>
        <w:rFonts w:ascii="Arial" w:hAnsi="Arial" w:eastAsia="Times New Roman" w:cs="Arial"/>
      </w:rPr>
    </w:lvl>
    <w:lvl w:ilvl="1">
      <w:start w:val="1"/>
      <w:numFmt w:val="decimal"/>
      <w:suff w:val="space"/>
      <w:lvlText w:val="%1.%2."/>
      <w:lvlJc w:val="left"/>
      <w:pPr>
        <w:tabs>
          <w:tab w:val="num" w:pos="0"/>
        </w:tabs>
        <w:ind w:left="284" w:hanging="0"/>
      </w:pPr>
      <w:rPr>
        <w:i w:val="false"/>
        <w:b w:val="false"/>
      </w:rPr>
    </w:lvl>
    <w:lvl w:ilvl="2">
      <w:start w:val="1"/>
      <w:numFmt w:val="decimal"/>
      <w:suff w:val="space"/>
      <w:lvlText w:val="%1.%2.%3."/>
      <w:lvlJc w:val="left"/>
      <w:pPr>
        <w:tabs>
          <w:tab w:val="num" w:pos="0"/>
        </w:tabs>
        <w:ind w:left="567" w:hanging="0"/>
      </w:pPr>
      <w:rPr>
        <w:i w:val="false"/>
        <w:b w:val="false"/>
      </w:rPr>
    </w:lvl>
    <w:lvl w:ilvl="3">
      <w:start w:val="1"/>
      <w:numFmt w:val="decimal"/>
      <w:suff w:val="space"/>
      <w:lvlText w:val="%1.%2.%3.%4."/>
      <w:lvlJc w:val="left"/>
      <w:pPr>
        <w:tabs>
          <w:tab w:val="num" w:pos="0"/>
        </w:tabs>
        <w:ind w:left="851" w:hanging="0"/>
      </w:pPr>
      <w:rPr>
        <w:i w:val="false"/>
        <w:b w:val="false"/>
      </w:rPr>
    </w:lvl>
    <w:lvl w:ilvl="4">
      <w:start w:val="1"/>
      <w:numFmt w:val="decimal"/>
      <w:suff w:val="space"/>
      <w:lvlText w:val="%1.%2.%3.%4.%5."/>
      <w:lvlJc w:val="left"/>
      <w:pPr>
        <w:tabs>
          <w:tab w:val="num" w:pos="0"/>
        </w:tabs>
        <w:ind w:left="1134" w:hanging="0"/>
      </w:pPr>
      <w:rPr>
        <w:i w:val="false"/>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4">
    <w:lvl w:ilvl="0">
      <w:start w:val="1"/>
      <w:numFmt w:val="lowerLetter"/>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5">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0" w:defSemiHidden="1" w:defUnhideWhenUsed="1" w:defQFormat="0" w:count="267">
    <w:lsdException w:name="Normal" w:semiHidden="0" w:unhideWhenUsed="0" w:qFormat="1"/>
    <w:lsdException w:name="heading 1" w:uiPriority="9" w:semiHidden="0" w:unhideWhenUsed="0" w:qFormat="1"/>
    <w:lsdException w:name="heading 2" w:uiPriority="9"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uiPriority="20" w:semiHidden="0" w:unhideWhenUsed="0" w:qFormat="1"/>
    <w:lsdException w:name="No List" w:uiPriority="99"/>
    <w:lsdException w:name="Table Grid" w:uiPriority="59"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2752d"/>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Ttulo1">
    <w:name w:val="Heading 1"/>
    <w:basedOn w:val="Normal"/>
    <w:link w:val="Ttulo1Char"/>
    <w:uiPriority w:val="9"/>
    <w:qFormat/>
    <w:rsid w:val="00ea5d02"/>
    <w:pPr>
      <w:spacing w:beforeAutospacing="1" w:afterAutospacing="1"/>
      <w:outlineLvl w:val="0"/>
    </w:pPr>
    <w:rPr>
      <w:b/>
      <w:bCs/>
      <w:kern w:val="2"/>
      <w:sz w:val="48"/>
      <w:szCs w:val="48"/>
    </w:rPr>
  </w:style>
  <w:style w:type="paragraph" w:styleId="Ttulo2">
    <w:name w:val="Heading 2"/>
    <w:basedOn w:val="Normal"/>
    <w:next w:val="Normal"/>
    <w:link w:val="Ttulo2Char"/>
    <w:uiPriority w:val="9"/>
    <w:semiHidden/>
    <w:unhideWhenUsed/>
    <w:qFormat/>
    <w:rsid w:val="00ea5d02"/>
    <w:pPr>
      <w:keepNext w:val="true"/>
      <w:keepLines/>
      <w:spacing w:lineRule="auto" w:line="259" w:before="40" w:after="0"/>
      <w:outlineLvl w:val="1"/>
    </w:pPr>
    <w:rPr>
      <w:rFonts w:ascii="Calibri Light" w:hAnsi="Calibri Light" w:eastAsia="" w:cs="" w:asciiTheme="majorHAnsi" w:cstheme="majorBidi" w:eastAsiaTheme="majorEastAsia" w:hAnsiTheme="majorHAnsi"/>
      <w:color w:val="2E74B5" w:themeColor="accent1" w:themeShade="bf"/>
      <w:sz w:val="26"/>
      <w:szCs w:val="26"/>
      <w:lang w:eastAsia="en-US"/>
    </w:rPr>
  </w:style>
  <w:style w:type="paragraph" w:styleId="Ttulo5">
    <w:name w:val="Heading 5"/>
    <w:basedOn w:val="Normal"/>
    <w:next w:val="Normal"/>
    <w:link w:val="Ttulo5Char"/>
    <w:uiPriority w:val="9"/>
    <w:unhideWhenUsed/>
    <w:qFormat/>
    <w:rsid w:val="00ea5d02"/>
    <w:pPr>
      <w:keepNext w:val="true"/>
      <w:keepLines/>
      <w:spacing w:lineRule="auto" w:line="259" w:before="40" w:after="0"/>
      <w:outlineLvl w:val="4"/>
    </w:pPr>
    <w:rPr>
      <w:rFonts w:ascii="Calibri Light" w:hAnsi="Calibri Light" w:eastAsia="" w:cs="" w:asciiTheme="majorHAnsi" w:cstheme="majorBidi" w:eastAsiaTheme="majorEastAsia" w:hAnsiTheme="majorHAnsi"/>
      <w:color w:val="2E74B5" w:themeColor="accent1" w:themeShade="bf"/>
      <w:sz w:val="22"/>
      <w:szCs w:val="22"/>
      <w:lang w:eastAsia="en-US"/>
    </w:rPr>
  </w:style>
  <w:style w:type="character" w:styleId="DefaultParagraphFont" w:default="1">
    <w:name w:val="Default Paragraph Font"/>
    <w:uiPriority w:val="1"/>
    <w:semiHidden/>
    <w:unhideWhenUsed/>
    <w:qFormat/>
    <w:rPr/>
  </w:style>
  <w:style w:type="character" w:styleId="LinkdaInternet">
    <w:name w:val="Link da Internet"/>
    <w:basedOn w:val="DefaultParagraphFont"/>
    <w:unhideWhenUsed/>
    <w:rsid w:val="007f04d8"/>
    <w:rPr>
      <w:color w:val="0563C1" w:themeColor="hyperlink"/>
      <w:u w:val="single"/>
    </w:rPr>
  </w:style>
  <w:style w:type="character" w:styleId="CabealhoChar" w:customStyle="1">
    <w:name w:val="Cabeçalho Char"/>
    <w:link w:val="Cabealho"/>
    <w:qFormat/>
    <w:rsid w:val="00e13068"/>
    <w:rPr>
      <w:sz w:val="24"/>
      <w:szCs w:val="24"/>
    </w:rPr>
  </w:style>
  <w:style w:type="character" w:styleId="RodapChar" w:customStyle="1">
    <w:name w:val="Rodapé Char"/>
    <w:link w:val="Rodap"/>
    <w:uiPriority w:val="99"/>
    <w:qFormat/>
    <w:rsid w:val="00e13068"/>
    <w:rPr>
      <w:sz w:val="24"/>
      <w:szCs w:val="24"/>
    </w:rPr>
  </w:style>
  <w:style w:type="character" w:styleId="TextodebaloChar" w:customStyle="1">
    <w:name w:val="Texto de balão Char"/>
    <w:link w:val="Textodebalo"/>
    <w:qFormat/>
    <w:rsid w:val="000b1f7a"/>
    <w:rPr>
      <w:rFonts w:ascii="Segoe UI" w:hAnsi="Segoe UI" w:cs="Segoe UI"/>
      <w:sz w:val="18"/>
      <w:szCs w:val="18"/>
    </w:rPr>
  </w:style>
  <w:style w:type="character" w:styleId="UnresolvedMention" w:customStyle="1">
    <w:name w:val="Unresolved Mention"/>
    <w:basedOn w:val="DefaultParagraphFont"/>
    <w:uiPriority w:val="99"/>
    <w:semiHidden/>
    <w:unhideWhenUsed/>
    <w:qFormat/>
    <w:rsid w:val="00e54db6"/>
    <w:rPr>
      <w:color w:val="605E5C"/>
      <w:shd w:fill="E1DFDD" w:val="clear"/>
    </w:rPr>
  </w:style>
  <w:style w:type="character" w:styleId="BookTitle">
    <w:name w:val="Book Title"/>
    <w:basedOn w:val="DefaultParagraphFont"/>
    <w:uiPriority w:val="33"/>
    <w:qFormat/>
    <w:rsid w:val="006364e8"/>
    <w:rPr>
      <w:b/>
      <w:bCs/>
      <w:i/>
      <w:iCs/>
      <w:spacing w:val="5"/>
    </w:rPr>
  </w:style>
  <w:style w:type="character" w:styleId="Strong">
    <w:name w:val="Strong"/>
    <w:basedOn w:val="DefaultParagraphFont"/>
    <w:qFormat/>
    <w:rsid w:val="00dc2a4a"/>
    <w:rPr>
      <w:b/>
      <w:bCs/>
    </w:rPr>
  </w:style>
  <w:style w:type="character" w:styleId="Nfase">
    <w:name w:val="Ênfase"/>
    <w:basedOn w:val="DefaultParagraphFont"/>
    <w:uiPriority w:val="20"/>
    <w:qFormat/>
    <w:rsid w:val="00db0b02"/>
    <w:rPr>
      <w:i/>
      <w:iCs/>
    </w:rPr>
  </w:style>
  <w:style w:type="character" w:styleId="Ttulo1Char" w:customStyle="1">
    <w:name w:val="Título 1 Char"/>
    <w:basedOn w:val="DefaultParagraphFont"/>
    <w:link w:val="Ttulo1"/>
    <w:uiPriority w:val="9"/>
    <w:qFormat/>
    <w:rsid w:val="00ea5d02"/>
    <w:rPr>
      <w:b/>
      <w:bCs/>
      <w:kern w:val="2"/>
      <w:sz w:val="48"/>
      <w:szCs w:val="48"/>
    </w:rPr>
  </w:style>
  <w:style w:type="character" w:styleId="Ttulo2Char" w:customStyle="1">
    <w:name w:val="Título 2 Char"/>
    <w:basedOn w:val="DefaultParagraphFont"/>
    <w:link w:val="Ttulo2"/>
    <w:uiPriority w:val="9"/>
    <w:semiHidden/>
    <w:qFormat/>
    <w:rsid w:val="00ea5d02"/>
    <w:rPr>
      <w:rFonts w:ascii="Calibri Light" w:hAnsi="Calibri Light" w:eastAsia="" w:cs="" w:asciiTheme="majorHAnsi" w:cstheme="majorBidi" w:eastAsiaTheme="majorEastAsia" w:hAnsiTheme="majorHAnsi"/>
      <w:color w:val="2E74B5" w:themeColor="accent1" w:themeShade="bf"/>
      <w:sz w:val="26"/>
      <w:szCs w:val="26"/>
      <w:lang w:eastAsia="en-US"/>
    </w:rPr>
  </w:style>
  <w:style w:type="character" w:styleId="Ttulo5Char" w:customStyle="1">
    <w:name w:val="Título 5 Char"/>
    <w:basedOn w:val="DefaultParagraphFont"/>
    <w:link w:val="Ttulo5"/>
    <w:uiPriority w:val="9"/>
    <w:qFormat/>
    <w:rsid w:val="00ea5d02"/>
    <w:rPr>
      <w:rFonts w:ascii="Calibri Light" w:hAnsi="Calibri Light" w:eastAsia="" w:cs="" w:asciiTheme="majorHAnsi" w:cstheme="majorBidi" w:eastAsiaTheme="majorEastAsia" w:hAnsiTheme="majorHAnsi"/>
      <w:color w:val="2E74B5" w:themeColor="accent1" w:themeShade="bf"/>
      <w:sz w:val="22"/>
      <w:szCs w:val="22"/>
      <w:lang w:eastAsia="en-US"/>
    </w:rPr>
  </w:style>
  <w:style w:type="character" w:styleId="Recommendationscombositemtitle" w:customStyle="1">
    <w:name w:val="recommendations-combos__item-title"/>
    <w:basedOn w:val="DefaultParagraphFont"/>
    <w:qFormat/>
    <w:rsid w:val="00ea5d02"/>
    <w:rPr/>
  </w:style>
  <w:style w:type="character" w:styleId="Textodocorpo2" w:customStyle="1">
    <w:name w:val="Texto do corpo (2)_"/>
    <w:link w:val="Textodocorpo20"/>
    <w:qFormat/>
    <w:rsid w:val="007a1631"/>
    <w:rPr>
      <w:rFonts w:ascii="Arial" w:hAnsi="Arial" w:eastAsia="Arial" w:cs="Arial"/>
      <w:sz w:val="22"/>
      <w:szCs w:val="22"/>
      <w:shd w:fill="FFFFFF" w:val="clear"/>
    </w:rPr>
  </w:style>
  <w:style w:type="character" w:styleId="WW8Num2z0">
    <w:name w:val="WW8Num2z0"/>
    <w:qFormat/>
    <w:rPr>
      <w:rFonts w:ascii="Arial" w:hAnsi="Arial" w:cs="Arial"/>
      <w:b/>
      <w:sz w:val="24"/>
      <w:szCs w:val="24"/>
    </w:rPr>
  </w:style>
  <w:style w:type="character" w:styleId="WW8Num1z0">
    <w:name w:val="WW8Num1z0"/>
    <w:qFormat/>
    <w:rPr>
      <w:rFonts w:ascii="Symbol" w:hAnsi="Symbol" w:cs="OpenSymbol;Arial Unicode MS"/>
      <w:sz w:val="18"/>
      <w:szCs w:val="18"/>
      <w:bdr w:val="single" w:sz="2" w:space="0" w:color="D9D9E3"/>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rPr>
  </w:style>
  <w:style w:type="paragraph" w:styleId="Corpodotextorecuado">
    <w:name w:val="Body Text Indent"/>
    <w:basedOn w:val="Normal"/>
    <w:rsid w:val="00d2752d"/>
    <w:pPr>
      <w:spacing w:before="0" w:after="120"/>
      <w:ind w:left="283" w:hanging="0"/>
    </w:pPr>
    <w:rPr/>
  </w:style>
  <w:style w:type="paragraph" w:styleId="ListParagraph">
    <w:name w:val="List Paragraph"/>
    <w:basedOn w:val="Normal"/>
    <w:qFormat/>
    <w:pPr>
      <w:suppressAutoHyphens w:val="false"/>
      <w:ind w:left="708" w:hanging="0"/>
    </w:pPr>
    <w:rPr/>
  </w:style>
  <w:style w:type="paragraph" w:styleId="CabealhoeRodap" w:customStyle="1">
    <w:name w:val="Cabeçalho e Rodapé"/>
    <w:basedOn w:val="Normal"/>
    <w:qFormat/>
    <w:pPr/>
    <w:rPr/>
  </w:style>
  <w:style w:type="paragraph" w:styleId="Cabealho">
    <w:name w:val="Header"/>
    <w:basedOn w:val="Normal"/>
    <w:link w:val="CabealhoChar"/>
    <w:rsid w:val="00e13068"/>
    <w:pPr>
      <w:tabs>
        <w:tab w:val="clear" w:pos="720"/>
        <w:tab w:val="center" w:pos="4252" w:leader="none"/>
        <w:tab w:val="right" w:pos="8504" w:leader="none"/>
      </w:tabs>
    </w:pPr>
    <w:rPr/>
  </w:style>
  <w:style w:type="paragraph" w:styleId="Rodap">
    <w:name w:val="Footer"/>
    <w:basedOn w:val="Normal"/>
    <w:link w:val="RodapChar"/>
    <w:uiPriority w:val="99"/>
    <w:rsid w:val="00e13068"/>
    <w:pPr>
      <w:tabs>
        <w:tab w:val="clear" w:pos="720"/>
        <w:tab w:val="center" w:pos="4252" w:leader="none"/>
        <w:tab w:val="right" w:pos="8504" w:leader="none"/>
      </w:tabs>
    </w:pPr>
    <w:rPr/>
  </w:style>
  <w:style w:type="paragraph" w:styleId="BalloonText">
    <w:name w:val="Balloon Text"/>
    <w:basedOn w:val="Normal"/>
    <w:link w:val="TextodebaloChar"/>
    <w:qFormat/>
    <w:rsid w:val="000b1f7a"/>
    <w:pPr/>
    <w:rPr>
      <w:rFonts w:ascii="Segoe UI" w:hAnsi="Segoe UI" w:cs="Segoe UI"/>
      <w:sz w:val="18"/>
      <w:szCs w:val="18"/>
    </w:rPr>
  </w:style>
  <w:style w:type="paragraph" w:styleId="NoSpacing">
    <w:name w:val="No Spacing"/>
    <w:uiPriority w:val="1"/>
    <w:qFormat/>
    <w:rsid w:val="00b97908"/>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extodocorpo21" w:customStyle="1">
    <w:name w:val="Texto do corpo (2)"/>
    <w:basedOn w:val="Normal"/>
    <w:link w:val="Textodocorpo2"/>
    <w:qFormat/>
    <w:rsid w:val="007a1631"/>
    <w:pPr>
      <w:widowControl w:val="false"/>
      <w:shd w:val="clear" w:color="auto" w:fill="FFFFFF"/>
      <w:spacing w:lineRule="exact" w:line="382" w:before="0" w:after="720"/>
      <w:ind w:hanging="460"/>
      <w:jc w:val="both"/>
    </w:pPr>
    <w:rPr>
      <w:rFonts w:ascii="Arial" w:hAnsi="Arial" w:eastAsia="Arial" w:cs="Arial"/>
      <w:sz w:val="22"/>
      <w:szCs w:val="22"/>
    </w:rPr>
  </w:style>
  <w:style w:type="paragraph" w:styleId="PargrafodaLista1" w:customStyle="1">
    <w:name w:val="Parágrafo da Lista1"/>
    <w:basedOn w:val="Normal"/>
    <w:qFormat/>
    <w:rsid w:val="006b7d69"/>
    <w:pPr>
      <w:spacing w:lineRule="auto" w:line="276" w:before="0" w:after="200"/>
      <w:ind w:left="720" w:hanging="0"/>
    </w:pPr>
    <w:rPr>
      <w:rFonts w:ascii="Calibri" w:hAnsi="Calibri" w:eastAsia="SimSun" w:cs="Tahoma"/>
      <w:sz w:val="22"/>
      <w:szCs w:val="22"/>
      <w:lang w:eastAsia="ar-SA"/>
    </w:rPr>
  </w:style>
  <w:style w:type="paragraph" w:styleId="Contedodoquadro" w:customStyle="1">
    <w:name w:val="Conteúdo do quadro"/>
    <w:basedOn w:val="Normal"/>
    <w:qFormat/>
    <w:pPr/>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numbering" w:styleId="NoList" w:default="1">
    <w:name w:val="No List"/>
    <w:uiPriority w:val="99"/>
    <w:semiHidden/>
    <w:unhideWhenUsed/>
    <w:qFormat/>
  </w:style>
  <w:style w:type="numbering" w:styleId="Estilo1" w:customStyle="1">
    <w:name w:val="Estilo1"/>
    <w:uiPriority w:val="99"/>
    <w:qFormat/>
    <w:rsid w:val="00537463"/>
  </w:style>
  <w:style w:type="numbering" w:styleId="Estilo2" w:customStyle="1">
    <w:name w:val="Estilo2"/>
    <w:uiPriority w:val="99"/>
    <w:qFormat/>
    <w:rsid w:val="00537463"/>
  </w:style>
  <w:style w:type="numbering" w:styleId="WW8Num2">
    <w:name w:val="WW8Num2"/>
    <w:qFormat/>
  </w:style>
  <w:style w:type="numbering" w:styleId="WW8Num1">
    <w:name w:val="WW8Num1"/>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7706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2.jpeg"/>
</Relationships>
</file>

<file path=word/_rels/header4.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D647B-54F2-483B-B0EE-368BAA2D4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Application>LibreOffice/7.0.2.2$Windows_X86_64 LibreOffice_project/8349ace3c3162073abd90d81fd06dcfb6b36b994</Application>
  <Pages>14</Pages>
  <Words>5046</Words>
  <Characters>26965</Characters>
  <CharactersWithSpaces>31380</CharactersWithSpaces>
  <Paragraphs>565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2024-06-26T13:49:00Z</dcterms:created>
  <dc:creator>Microsoft</dc:creator>
  <dc:description/>
  <dc:language>pt-BR</dc:language>
  <cp:lastModifiedBy/>
  <cp:lastPrinted>2025-06-09T08:43:17Z</cp:lastPrinted>
  <dcterms:modified xsi:type="dcterms:W3CDTF">2025-06-09T08:44:53Z</dcterms:modified>
  <cp:revision>83</cp:revision>
  <dc:subject/>
  <dc:title>MODELO DE TERMO DE REFERÊNCIA PARA COMPRAS: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y fmtid="{D5CDD505-2E9C-101B-9397-08002B2CF9AE}" pid="8" name="_DocHome">
    <vt:i4>1313656640</vt:i4>
  </property>
</Properties>
</file>