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408"/>
          <w:tab w:val="left" w:pos="413" w:leader="none"/>
          <w:tab w:val="left" w:pos="9072" w:leader="none"/>
        </w:tabs>
        <w:spacing w:lineRule="auto" w:line="360"/>
        <w:jc w:val="center"/>
        <w:rPr>
          <w:rFonts w:ascii="Times New Roman" w:hAnsi="Times New Roman" w:eastAsia="Times New Roman" w:cs="Times New Roman"/>
          <w:b/>
          <w:b/>
          <w:color w:val="000000"/>
          <w:sz w:val="24"/>
          <w:szCs w:val="24"/>
          <w:u w:val="single"/>
        </w:rPr>
      </w:pPr>
      <w:r>
        <w:rPr>
          <w:rFonts w:eastAsia="Times New Roman" w:cs="Times New Roman" w:ascii="Times New Roman" w:hAnsi="Times New Roman"/>
          <w:b/>
          <w:color w:val="000000"/>
          <w:sz w:val="24"/>
          <w:szCs w:val="24"/>
          <w:u w:val="single"/>
        </w:rPr>
      </w:r>
    </w:p>
    <w:p>
      <w:pPr>
        <w:pStyle w:val="Normal"/>
        <w:tabs>
          <w:tab w:val="clear" w:pos="408"/>
          <w:tab w:val="left" w:pos="413" w:leader="none"/>
          <w:tab w:val="left" w:pos="9072" w:leader="none"/>
        </w:tabs>
        <w:spacing w:lineRule="auto" w:line="360"/>
        <w:jc w:val="center"/>
        <w:rPr>
          <w:rFonts w:ascii="Arial" w:hAnsi="Arial" w:eastAsia="Arial"/>
          <w:b/>
          <w:b/>
          <w:color w:val="000000"/>
          <w:u w:val="single"/>
        </w:rPr>
      </w:pPr>
      <w:r>
        <w:rPr>
          <w:rFonts w:eastAsia="Arial" w:ascii="Arial" w:hAnsi="Arial"/>
          <w:b/>
          <w:color w:val="000000"/>
          <w:u w:val="single"/>
        </w:rPr>
        <w:t>TERMO DE REFERÊNCIA</w:t>
      </w:r>
      <w:bookmarkStart w:id="0" w:name="_Hlk125536380"/>
      <w:bookmarkEnd w:id="0"/>
    </w:p>
    <w:p>
      <w:pPr>
        <w:pStyle w:val="Normal"/>
        <w:tabs>
          <w:tab w:val="clear" w:pos="408"/>
          <w:tab w:val="left" w:pos="413" w:leader="none"/>
          <w:tab w:val="left" w:pos="9072" w:leader="none"/>
        </w:tabs>
        <w:spacing w:lineRule="auto" w:line="360"/>
        <w:jc w:val="center"/>
        <w:rPr>
          <w:rFonts w:ascii="Times New Roman" w:hAnsi="Times New Roman" w:eastAsia="Times New Roman" w:cs="Times New Roman"/>
          <w:b/>
          <w:b/>
          <w:color w:val="000000"/>
          <w:u w:val="single"/>
        </w:rPr>
      </w:pPr>
      <w:r>
        <w:rPr>
          <w:rFonts w:eastAsia="Times New Roman" w:cs="Times New Roman" w:ascii="Times New Roman" w:hAnsi="Times New Roman"/>
          <w:b/>
          <w:color w:val="000000"/>
          <w:u w:val="single"/>
        </w:rPr>
      </w:r>
    </w:p>
    <w:p>
      <w:pPr>
        <w:pStyle w:val="Normal"/>
        <w:keepNext w:val="true"/>
        <w:keepLines/>
        <w:numPr>
          <w:ilvl w:val="0"/>
          <w:numId w:val="2"/>
        </w:numPr>
        <w:tabs>
          <w:tab w:val="clear" w:pos="408"/>
          <w:tab w:val="left" w:pos="567" w:leader="none"/>
        </w:tabs>
        <w:spacing w:lineRule="auto" w:line="312" w:before="120" w:after="288"/>
        <w:ind w:left="0" w:hanging="0"/>
        <w:jc w:val="both"/>
        <w:rPr>
          <w:rFonts w:ascii="Arial" w:hAnsi="Arial" w:eastAsia="Arial"/>
          <w:b/>
          <w:b/>
          <w:color w:val="000000"/>
        </w:rPr>
      </w:pPr>
      <w:r>
        <w:rPr>
          <w:rFonts w:eastAsia="Arial" w:ascii="Arial" w:hAnsi="Arial"/>
          <w:b/>
          <w:color w:val="000000"/>
        </w:rPr>
        <w:t>CONDIÇÕES GERAIS DA CONTRATAÇÃO</w:t>
      </w:r>
    </w:p>
    <w:p>
      <w:pPr>
        <w:pStyle w:val="Normal"/>
        <w:widowControl/>
        <w:numPr>
          <w:ilvl w:val="1"/>
          <w:numId w:val="2"/>
        </w:numPr>
        <w:suppressAutoHyphens w:val="true"/>
        <w:bidi w:val="0"/>
        <w:spacing w:lineRule="auto" w:line="312" w:before="120" w:after="288"/>
        <w:ind w:left="0" w:right="0" w:hanging="0"/>
        <w:jc w:val="both"/>
        <w:rPr>
          <w:rFonts w:ascii="Arial" w:hAnsi="Arial" w:eastAsia="Arial"/>
          <w:color w:val="000000"/>
        </w:rPr>
      </w:pPr>
      <w:r>
        <w:rPr>
          <w:rFonts w:eastAsia="Arial" w:ascii="Arial" w:hAnsi="Arial"/>
          <w:color w:val="000000"/>
        </w:rPr>
        <w:t>Contratação de empresa para serviços reprográficos (cópias), nos termos da tabela abaixo, conforme condições e exigências estabelecidas neste instrumento.</w:t>
      </w:r>
    </w:p>
    <w:tbl>
      <w:tblPr>
        <w:tblW w:w="9405" w:type="dxa"/>
        <w:jc w:val="left"/>
        <w:tblInd w:w="-392" w:type="dxa"/>
        <w:tblLayout w:type="fixed"/>
        <w:tblCellMar>
          <w:top w:w="0" w:type="dxa"/>
          <w:left w:w="108" w:type="dxa"/>
          <w:bottom w:w="0" w:type="dxa"/>
          <w:right w:w="108" w:type="dxa"/>
        </w:tblCellMar>
        <w:tblLook w:firstRow="0" w:noVBand="1" w:lastRow="0" w:firstColumn="0" w:lastColumn="0" w:noHBand="0" w:val="0400"/>
      </w:tblPr>
      <w:tblGrid>
        <w:gridCol w:w="948"/>
        <w:gridCol w:w="2188"/>
        <w:gridCol w:w="2405"/>
        <w:gridCol w:w="1592"/>
        <w:gridCol w:w="1124"/>
        <w:gridCol w:w="1147"/>
      </w:tblGrid>
      <w:tr>
        <w:trPr>
          <w:trHeight w:val="960"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b/>
                <w:b/>
                <w:bCs/>
                <w:color w:val="000000"/>
                <w:sz w:val="16"/>
                <w:szCs w:val="16"/>
              </w:rPr>
            </w:pPr>
            <w:r>
              <w:rPr>
                <w:rFonts w:eastAsia="Arial" w:ascii="Arial" w:hAnsi="Arial"/>
                <w:b/>
                <w:bCs/>
                <w:color w:val="000000"/>
                <w:sz w:val="16"/>
                <w:szCs w:val="16"/>
              </w:rPr>
              <w:t>Item</w:t>
            </w:r>
          </w:p>
          <w:p>
            <w:pPr>
              <w:pStyle w:val="Normal"/>
              <w:widowControl w:val="false"/>
              <w:spacing w:lineRule="auto" w:line="312" w:before="120" w:after="288"/>
              <w:ind w:firstLine="709"/>
              <w:jc w:val="center"/>
              <w:rPr>
                <w:rFonts w:ascii="Arial" w:hAnsi="Arial" w:eastAsia="Arial"/>
                <w:b/>
                <w:b/>
                <w:bCs/>
                <w:color w:val="000000"/>
                <w:sz w:val="16"/>
                <w:szCs w:val="16"/>
              </w:rPr>
            </w:pPr>
            <w:r>
              <w:rPr>
                <w:rFonts w:eastAsia="Arial" w:ascii="Arial" w:hAnsi="Arial"/>
                <w:b/>
                <w:bCs/>
                <w:color w:val="000000"/>
                <w:sz w:val="16"/>
                <w:szCs w:val="16"/>
              </w:rPr>
            </w:r>
          </w:p>
        </w:tc>
        <w:tc>
          <w:tcPr>
            <w:tcW w:w="2188" w:type="dxa"/>
            <w:tcBorders>
              <w:top w:val="single" w:sz="4" w:space="0" w:color="000000"/>
              <w:left w:val="single" w:sz="4" w:space="0" w:color="000000"/>
              <w:bottom w:val="single" w:sz="4" w:space="0" w:color="000000"/>
            </w:tcBorders>
          </w:tcPr>
          <w:p>
            <w:pPr>
              <w:pStyle w:val="Normal"/>
              <w:widowControl w:val="false"/>
              <w:spacing w:lineRule="auto" w:line="312" w:before="120" w:after="288"/>
              <w:jc w:val="center"/>
              <w:rPr>
                <w:rFonts w:ascii="Arial" w:hAnsi="Arial" w:eastAsia="Arial"/>
                <w:b/>
                <w:b/>
                <w:bCs/>
                <w:color w:val="000000"/>
                <w:sz w:val="16"/>
                <w:szCs w:val="16"/>
              </w:rPr>
            </w:pPr>
            <w:r>
              <w:rPr>
                <w:rFonts w:eastAsia="Arial" w:ascii="Arial" w:hAnsi="Arial"/>
                <w:b/>
                <w:bCs/>
                <w:color w:val="000000"/>
                <w:sz w:val="16"/>
                <w:szCs w:val="16"/>
              </w:rPr>
              <w:t>Descrição</w:t>
            </w:r>
          </w:p>
        </w:tc>
        <w:tc>
          <w:tcPr>
            <w:tcW w:w="2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b/>
                <w:b/>
                <w:bCs/>
                <w:color w:val="000000"/>
                <w:sz w:val="16"/>
                <w:szCs w:val="16"/>
              </w:rPr>
            </w:pPr>
            <w:r>
              <w:rPr>
                <w:rFonts w:eastAsia="Arial" w:ascii="Arial" w:hAnsi="Arial"/>
                <w:b/>
                <w:bCs/>
                <w:color w:val="000000"/>
                <w:sz w:val="16"/>
                <w:szCs w:val="16"/>
              </w:rPr>
              <w:t>Especificação</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b/>
                <w:b/>
                <w:bCs/>
                <w:sz w:val="16"/>
                <w:szCs w:val="16"/>
              </w:rPr>
            </w:pPr>
            <w:r>
              <w:rPr>
                <w:rFonts w:eastAsia="Arial" w:ascii="Arial" w:hAnsi="Arial"/>
                <w:b/>
                <w:bCs/>
                <w:sz w:val="16"/>
                <w:szCs w:val="16"/>
              </w:rPr>
              <w:t>Quantidade</w:t>
            </w:r>
          </w:p>
        </w:tc>
        <w:tc>
          <w:tcPr>
            <w:tcW w:w="112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b/>
                <w:b/>
                <w:bCs/>
                <w:color w:val="000000"/>
                <w:sz w:val="16"/>
                <w:szCs w:val="16"/>
              </w:rPr>
            </w:pPr>
            <w:r>
              <w:rPr>
                <w:rFonts w:eastAsia="Arial" w:ascii="Arial" w:hAnsi="Arial"/>
                <w:b/>
                <w:bCs/>
                <w:color w:val="000000"/>
                <w:sz w:val="16"/>
                <w:szCs w:val="16"/>
              </w:rPr>
              <w:t>CATSER</w:t>
            </w:r>
          </w:p>
        </w:tc>
        <w:tc>
          <w:tcPr>
            <w:tcW w:w="11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b/>
                <w:b/>
                <w:bCs/>
                <w:color w:val="000000"/>
                <w:sz w:val="16"/>
                <w:szCs w:val="16"/>
              </w:rPr>
            </w:pPr>
            <w:r>
              <w:rPr>
                <w:rFonts w:eastAsia="Arial" w:ascii="Arial" w:hAnsi="Arial"/>
                <w:b/>
                <w:bCs/>
                <w:color w:val="000000"/>
                <w:sz w:val="16"/>
                <w:szCs w:val="16"/>
              </w:rPr>
              <w:t>Unidade</w:t>
            </w:r>
          </w:p>
        </w:tc>
      </w:tr>
      <w:tr>
        <w:trPr/>
        <w:tc>
          <w:tcPr>
            <w:tcW w:w="94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225" w:leader="none"/>
              </w:tabs>
              <w:suppressAutoHyphens w:val="true"/>
              <w:bidi w:val="0"/>
              <w:spacing w:lineRule="auto" w:line="312" w:before="120" w:after="288"/>
              <w:ind w:left="0" w:right="0" w:firstLine="283"/>
              <w:jc w:val="left"/>
              <w:rPr>
                <w:rFonts w:ascii="Arial" w:hAnsi="Arial" w:eastAsia="Arial"/>
                <w:b/>
                <w:b/>
                <w:color w:val="000000"/>
              </w:rPr>
            </w:pPr>
            <w:r>
              <w:rPr>
                <w:rFonts w:eastAsia="Arial" w:ascii="Arial" w:hAnsi="Arial"/>
                <w:b/>
                <w:color w:val="000000"/>
              </w:rPr>
            </w:r>
          </w:p>
          <w:p>
            <w:pPr>
              <w:pStyle w:val="Normal"/>
              <w:widowControl w:val="false"/>
              <w:tabs>
                <w:tab w:val="clear" w:pos="408"/>
                <w:tab w:val="left" w:pos="225" w:leader="none"/>
              </w:tabs>
              <w:suppressAutoHyphens w:val="true"/>
              <w:bidi w:val="0"/>
              <w:spacing w:lineRule="auto" w:line="312" w:before="120" w:after="288"/>
              <w:ind w:left="0" w:right="0" w:firstLine="283"/>
              <w:jc w:val="left"/>
              <w:rPr>
                <w:rFonts w:ascii="Arial" w:hAnsi="Arial" w:eastAsia="Arial"/>
                <w:b/>
                <w:b/>
                <w:color w:val="000000"/>
              </w:rPr>
            </w:pPr>
            <w:r>
              <w:rPr>
                <w:rFonts w:eastAsia="Arial" w:ascii="Arial" w:hAnsi="Arial"/>
                <w:b/>
                <w:color w:val="000000"/>
              </w:rPr>
            </w:r>
          </w:p>
          <w:p>
            <w:pPr>
              <w:pStyle w:val="Normal"/>
              <w:widowControl w:val="false"/>
              <w:tabs>
                <w:tab w:val="clear" w:pos="408"/>
                <w:tab w:val="left" w:pos="225" w:leader="none"/>
              </w:tabs>
              <w:suppressAutoHyphens w:val="true"/>
              <w:bidi w:val="0"/>
              <w:spacing w:lineRule="auto" w:line="312" w:before="120" w:after="288"/>
              <w:ind w:left="0" w:right="0" w:firstLine="283"/>
              <w:jc w:val="left"/>
              <w:rPr>
                <w:rFonts w:ascii="Arial" w:hAnsi="Arial" w:eastAsia="Arial"/>
                <w:b/>
                <w:b/>
                <w:color w:val="000000"/>
              </w:rPr>
            </w:pPr>
            <w:r>
              <w:rPr>
                <w:rFonts w:eastAsia="Arial" w:ascii="Arial" w:hAnsi="Arial"/>
                <w:b/>
                <w:color w:val="000000"/>
              </w:rPr>
            </w:r>
          </w:p>
          <w:p>
            <w:pPr>
              <w:pStyle w:val="Normal"/>
              <w:widowControl w:val="false"/>
              <w:tabs>
                <w:tab w:val="clear" w:pos="408"/>
                <w:tab w:val="left" w:pos="225" w:leader="none"/>
              </w:tabs>
              <w:suppressAutoHyphens w:val="true"/>
              <w:bidi w:val="0"/>
              <w:spacing w:lineRule="auto" w:line="312" w:before="120" w:after="288"/>
              <w:ind w:left="0" w:right="0" w:firstLine="283"/>
              <w:jc w:val="left"/>
              <w:rPr>
                <w:rFonts w:ascii="Arial" w:hAnsi="Arial" w:eastAsia="Arial"/>
                <w:b/>
                <w:b/>
                <w:color w:val="000000"/>
              </w:rPr>
            </w:pPr>
            <w:r>
              <w:rPr>
                <w:rFonts w:eastAsia="Arial" w:ascii="Arial" w:hAnsi="Arial"/>
                <w:b/>
                <w:color w:val="000000"/>
              </w:rPr>
              <w:t>1</w:t>
            </w:r>
          </w:p>
        </w:tc>
        <w:tc>
          <w:tcPr>
            <w:tcW w:w="2188" w:type="dxa"/>
            <w:vMerge w:val="restart"/>
            <w:tcBorders>
              <w:top w:val="single" w:sz="4" w:space="0" w:color="000000"/>
              <w:left w:val="single" w:sz="4" w:space="0" w:color="000000"/>
              <w:bottom w:val="single" w:sz="4" w:space="0" w:color="000000"/>
            </w:tcBorders>
          </w:tcPr>
          <w:p>
            <w:pPr>
              <w:pStyle w:val="Normal"/>
              <w:widowControl w:val="false"/>
              <w:spacing w:lineRule="auto" w:line="312" w:before="120" w:after="288"/>
              <w:ind w:hanging="0"/>
              <w:jc w:val="left"/>
              <w:rPr>
                <w:rFonts w:ascii="Arial" w:hAnsi="Arial" w:eastAsia="Arial"/>
                <w:color w:val="000000"/>
                <w:sz w:val="22"/>
                <w:szCs w:val="22"/>
              </w:rPr>
            </w:pPr>
            <w:r>
              <w:rPr>
                <w:rFonts w:eastAsia="Arial" w:cs="Calibri" w:ascii="Arial" w:hAnsi="Arial"/>
                <w:bCs/>
                <w:color w:val="000000"/>
                <w:sz w:val="22"/>
                <w:szCs w:val="22"/>
              </w:rPr>
              <w:t>Contratação de empresa especializada na prestação de serviços de reprografia, consistentes na produção e fornecimento de cópias reprográficas no formato A4 (210 mm x 297 mm), monocromáticas.</w:t>
            </w:r>
          </w:p>
        </w:tc>
        <w:tc>
          <w:tcPr>
            <w:tcW w:w="2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b w:val="false"/>
                <w:b w:val="false"/>
                <w:bCs w:val="false"/>
                <w:color w:val="000000"/>
                <w:sz w:val="22"/>
                <w:szCs w:val="22"/>
              </w:rPr>
            </w:pPr>
            <w:r>
              <w:rPr>
                <w:rFonts w:eastAsia="Arial" w:ascii="Arial" w:hAnsi="Arial"/>
                <w:b w:val="false"/>
                <w:bCs w:val="false"/>
                <w:color w:val="000000"/>
                <w:sz w:val="22"/>
                <w:szCs w:val="22"/>
              </w:rPr>
              <w:t>Avaliações Diagnósticas CAEd (Língua Portuguesa e Matemática – Aplicações I e II)</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jc w:val="center"/>
              <w:rPr>
                <w:rFonts w:ascii="Arial" w:hAnsi="Arial" w:eastAsia="Arial"/>
                <w:color w:val="000000"/>
              </w:rPr>
            </w:pPr>
            <w:r>
              <w:rPr>
                <w:rFonts w:eastAsia="Arial" w:ascii="Arial" w:hAnsi="Arial"/>
                <w:color w:val="000000"/>
              </w:rPr>
              <w:t>154230</w:t>
            </w:r>
          </w:p>
          <w:p>
            <w:pPr>
              <w:pStyle w:val="Normal"/>
              <w:widowControl w:val="false"/>
              <w:spacing w:lineRule="auto" w:line="312" w:before="120" w:after="288"/>
              <w:ind w:firstLine="709"/>
              <w:jc w:val="center"/>
              <w:rPr>
                <w:rFonts w:ascii="Arial" w:hAnsi="Arial" w:eastAsia="Arial"/>
                <w:color w:val="000000"/>
              </w:rPr>
            </w:pPr>
            <w:r>
              <w:rPr>
                <w:rFonts w:eastAsia="Arial" w:ascii="Arial" w:hAnsi="Arial"/>
                <w:color w:val="000000"/>
              </w:rPr>
            </w:r>
          </w:p>
        </w:tc>
        <w:tc>
          <w:tcPr>
            <w:tcW w:w="112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color w:val="000000"/>
              </w:rPr>
            </w:pPr>
            <w:r>
              <w:rPr>
                <w:rFonts w:eastAsia="Arial" w:ascii="Arial" w:hAnsi="Arial"/>
                <w:color w:val="000000"/>
              </w:rPr>
            </w:r>
          </w:p>
          <w:p>
            <w:pPr>
              <w:pStyle w:val="Normal"/>
              <w:widowControl w:val="false"/>
              <w:spacing w:lineRule="auto" w:line="312" w:before="120" w:after="288"/>
              <w:ind w:hanging="0"/>
              <w:rPr>
                <w:rFonts w:ascii="Arial" w:hAnsi="Arial" w:eastAsia="Arial"/>
                <w:color w:val="000000"/>
              </w:rPr>
            </w:pPr>
            <w:r>
              <w:rPr>
                <w:rFonts w:eastAsia="Arial" w:ascii="Arial" w:hAnsi="Arial"/>
                <w:color w:val="000000"/>
              </w:rPr>
            </w:r>
          </w:p>
          <w:p>
            <w:pPr>
              <w:pStyle w:val="Normal"/>
              <w:widowControl w:val="false"/>
              <w:spacing w:lineRule="auto" w:line="312" w:before="120" w:after="288"/>
              <w:ind w:hanging="0"/>
              <w:rPr>
                <w:rFonts w:ascii="Arial" w:hAnsi="Arial" w:eastAsia="Arial"/>
                <w:color w:val="000000"/>
              </w:rPr>
            </w:pPr>
            <w:r>
              <w:rPr>
                <w:rFonts w:eastAsia="Arial" w:ascii="Arial" w:hAnsi="Arial"/>
                <w:color w:val="000000"/>
              </w:rPr>
            </w:r>
          </w:p>
          <w:p>
            <w:pPr>
              <w:pStyle w:val="Normal"/>
              <w:widowControl w:val="false"/>
              <w:spacing w:lineRule="auto" w:line="312" w:before="120" w:after="288"/>
              <w:ind w:hanging="0"/>
              <w:rPr>
                <w:rFonts w:ascii="Arial" w:hAnsi="Arial" w:eastAsia="Arial"/>
                <w:color w:val="000000"/>
              </w:rPr>
            </w:pPr>
            <w:r>
              <w:rPr>
                <w:rFonts w:eastAsia="Arial" w:ascii="Arial" w:hAnsi="Arial"/>
                <w:color w:val="000000"/>
              </w:rPr>
            </w:r>
          </w:p>
          <w:p>
            <w:pPr>
              <w:pStyle w:val="Normal"/>
              <w:widowControl w:val="false"/>
              <w:spacing w:lineRule="auto" w:line="312" w:before="120" w:after="288"/>
              <w:ind w:hanging="0"/>
              <w:rPr>
                <w:rFonts w:ascii="Arial" w:hAnsi="Arial" w:eastAsia="Arial"/>
                <w:color w:val="000000"/>
              </w:rPr>
            </w:pPr>
            <w:r>
              <w:rPr>
                <w:rFonts w:eastAsia="Arial" w:ascii="Arial" w:hAnsi="Arial"/>
                <w:color w:val="000000"/>
              </w:rPr>
              <w:t>23183</w:t>
            </w:r>
          </w:p>
        </w:tc>
        <w:tc>
          <w:tcPr>
            <w:tcW w:w="11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cs="Arial"/>
                <w:color w:val="000000"/>
                <w:kern w:val="0"/>
                <w:sz w:val="20"/>
                <w:szCs w:val="20"/>
                <w:lang w:val="pt-BR" w:eastAsia="pt-BR" w:bidi="ar-SA"/>
              </w:rPr>
            </w:pPr>
            <w:r>
              <w:rPr>
                <w:rFonts w:eastAsia="Arial" w:cs="Arial" w:ascii="Arial" w:hAnsi="Arial"/>
                <w:color w:val="000000"/>
                <w:kern w:val="0"/>
                <w:sz w:val="20"/>
                <w:szCs w:val="20"/>
                <w:lang w:val="pt-BR" w:eastAsia="pt-BR" w:bidi="ar-SA"/>
              </w:rPr>
              <w:t>Unidade</w:t>
            </w:r>
          </w:p>
        </w:tc>
      </w:tr>
      <w:tr>
        <w:trPr/>
        <w:tc>
          <w:tcPr>
            <w:tcW w:w="94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345" w:leader="none"/>
              </w:tabs>
              <w:suppressAutoHyphens w:val="true"/>
              <w:bidi w:val="0"/>
              <w:spacing w:lineRule="auto" w:line="312" w:before="120" w:after="288"/>
              <w:ind w:left="0" w:right="0" w:firstLine="340"/>
              <w:jc w:val="center"/>
              <w:rPr>
                <w:rFonts w:ascii="Arial" w:hAnsi="Arial" w:eastAsia="Arial"/>
                <w:b/>
                <w:b/>
                <w:color w:val="000000"/>
              </w:rPr>
            </w:pPr>
            <w:r>
              <w:rPr>
                <w:rFonts w:eastAsia="Arial" w:ascii="Arial" w:hAnsi="Arial"/>
                <w:b/>
                <w:color w:val="000000"/>
              </w:rPr>
            </w:r>
          </w:p>
        </w:tc>
        <w:tc>
          <w:tcPr>
            <w:tcW w:w="2188" w:type="dxa"/>
            <w:vMerge w:val="continue"/>
            <w:tcBorders>
              <w:top w:val="single" w:sz="4" w:space="0" w:color="000000"/>
              <w:left w:val="single" w:sz="4" w:space="0" w:color="000000"/>
              <w:bottom w:val="single" w:sz="4" w:space="0" w:color="000000"/>
            </w:tcBorders>
          </w:tcPr>
          <w:p>
            <w:pPr>
              <w:pStyle w:val="Normal"/>
              <w:widowControl w:val="false"/>
              <w:spacing w:lineRule="auto" w:line="312" w:before="120" w:after="288"/>
              <w:ind w:firstLine="709"/>
              <w:rPr>
                <w:rFonts w:ascii="Arial" w:hAnsi="Arial" w:eastAsia="Arial"/>
                <w:color w:val="000000"/>
              </w:rPr>
            </w:pPr>
            <w:r>
              <w:rPr>
                <w:rFonts w:eastAsia="Arial" w:ascii="Arial" w:hAnsi="Arial"/>
                <w:color w:val="000000"/>
              </w:rPr>
            </w:r>
          </w:p>
        </w:tc>
        <w:tc>
          <w:tcPr>
            <w:tcW w:w="2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b w:val="false"/>
                <w:b w:val="false"/>
                <w:bCs w:val="false"/>
                <w:color w:val="000000"/>
                <w:sz w:val="22"/>
                <w:szCs w:val="22"/>
              </w:rPr>
            </w:pPr>
            <w:r>
              <w:rPr>
                <w:rFonts w:eastAsia="Arial" w:ascii="Arial" w:hAnsi="Arial"/>
                <w:b w:val="false"/>
                <w:bCs w:val="false"/>
                <w:color w:val="000000"/>
                <w:sz w:val="22"/>
                <w:szCs w:val="22"/>
              </w:rPr>
              <w:t>Simulados da Rede – Língua Portuguesa</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jc w:val="center"/>
              <w:rPr>
                <w:rFonts w:ascii="Arial" w:hAnsi="Arial" w:eastAsia="Arial"/>
                <w:color w:val="000000"/>
              </w:rPr>
            </w:pPr>
            <w:r>
              <w:rPr>
                <w:rFonts w:eastAsia="Arial" w:ascii="Arial" w:hAnsi="Arial"/>
                <w:color w:val="000000"/>
              </w:rPr>
              <w:t>6939</w:t>
            </w:r>
          </w:p>
        </w:tc>
        <w:tc>
          <w:tcPr>
            <w:tcW w:w="112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color w:val="000000"/>
              </w:rPr>
            </w:pPr>
            <w:r>
              <w:rPr>
                <w:rFonts w:eastAsia="Arial" w:ascii="Arial" w:hAnsi="Arial"/>
                <w:color w:val="000000"/>
              </w:rPr>
            </w:r>
          </w:p>
        </w:tc>
        <w:tc>
          <w:tcPr>
            <w:tcW w:w="11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color w:val="000000"/>
              </w:rPr>
            </w:pPr>
            <w:r>
              <w:rPr>
                <w:rFonts w:eastAsia="Arial" w:cs="Arial" w:ascii="Arial" w:hAnsi="Arial"/>
                <w:color w:val="000000"/>
                <w:kern w:val="0"/>
                <w:sz w:val="20"/>
                <w:szCs w:val="20"/>
                <w:lang w:val="pt-BR" w:eastAsia="pt-BR" w:bidi="ar-SA"/>
              </w:rPr>
              <w:t>Unidade</w:t>
            </w:r>
          </w:p>
        </w:tc>
      </w:tr>
      <w:tr>
        <w:trPr/>
        <w:tc>
          <w:tcPr>
            <w:tcW w:w="94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345" w:leader="none"/>
              </w:tabs>
              <w:suppressAutoHyphens w:val="true"/>
              <w:bidi w:val="0"/>
              <w:spacing w:lineRule="auto" w:line="312" w:before="120" w:after="288"/>
              <w:ind w:left="0" w:right="0" w:firstLine="283"/>
              <w:jc w:val="center"/>
              <w:rPr>
                <w:rFonts w:ascii="Arial" w:hAnsi="Arial" w:eastAsia="Arial"/>
                <w:b/>
                <w:b/>
                <w:color w:val="000000"/>
              </w:rPr>
            </w:pPr>
            <w:r>
              <w:rPr>
                <w:rFonts w:eastAsia="Arial" w:ascii="Arial" w:hAnsi="Arial"/>
                <w:b/>
                <w:color w:val="000000"/>
              </w:rPr>
            </w:r>
          </w:p>
        </w:tc>
        <w:tc>
          <w:tcPr>
            <w:tcW w:w="2188" w:type="dxa"/>
            <w:vMerge w:val="continue"/>
            <w:tcBorders>
              <w:top w:val="single" w:sz="4" w:space="0" w:color="000000"/>
              <w:left w:val="single" w:sz="4" w:space="0" w:color="000000"/>
              <w:bottom w:val="single" w:sz="4" w:space="0" w:color="000000"/>
            </w:tcBorders>
          </w:tcPr>
          <w:p>
            <w:pPr>
              <w:pStyle w:val="Normal"/>
              <w:widowControl w:val="false"/>
              <w:spacing w:lineRule="auto" w:line="312" w:before="120" w:after="288"/>
              <w:ind w:firstLine="709"/>
              <w:rPr>
                <w:rFonts w:ascii="Arial" w:hAnsi="Arial" w:eastAsia="Arial"/>
                <w:color w:val="000000"/>
              </w:rPr>
            </w:pPr>
            <w:r>
              <w:rPr>
                <w:rFonts w:eastAsia="Arial" w:ascii="Arial" w:hAnsi="Arial"/>
                <w:color w:val="000000"/>
              </w:rPr>
            </w:r>
          </w:p>
        </w:tc>
        <w:tc>
          <w:tcPr>
            <w:tcW w:w="2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ind w:hanging="0"/>
              <w:jc w:val="left"/>
              <w:rPr>
                <w:rFonts w:ascii="Arial" w:hAnsi="Arial" w:eastAsia="Arial" w:cs="Arial"/>
                <w:b w:val="false"/>
                <w:b w:val="false"/>
                <w:bCs w:val="false"/>
                <w:color w:val="000000"/>
                <w:kern w:val="0"/>
                <w:sz w:val="22"/>
                <w:szCs w:val="22"/>
                <w:lang w:val="pt-BR" w:eastAsia="en-US" w:bidi="ar-SA"/>
              </w:rPr>
            </w:pPr>
            <w:r>
              <w:rPr>
                <w:rFonts w:eastAsia="Arial" w:cs="Arial" w:ascii="Arial" w:hAnsi="Arial"/>
                <w:b w:val="false"/>
                <w:bCs w:val="false"/>
                <w:color w:val="000000"/>
                <w:kern w:val="0"/>
                <w:sz w:val="22"/>
                <w:szCs w:val="22"/>
                <w:lang w:val="pt-BR" w:eastAsia="en-US" w:bidi="ar-SA"/>
              </w:rPr>
              <w:t>Simulados da Rede – Matemática</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jc w:val="center"/>
              <w:rPr>
                <w:rFonts w:ascii="Arial" w:hAnsi="Arial" w:eastAsia="Arial"/>
                <w:color w:val="000000"/>
              </w:rPr>
            </w:pPr>
            <w:r>
              <w:rPr>
                <w:rFonts w:eastAsia="Arial" w:ascii="Arial" w:hAnsi="Arial"/>
                <w:color w:val="000000"/>
              </w:rPr>
              <w:t>6939</w:t>
            </w:r>
          </w:p>
        </w:tc>
        <w:tc>
          <w:tcPr>
            <w:tcW w:w="112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color w:val="000000"/>
              </w:rPr>
            </w:pPr>
            <w:r>
              <w:rPr>
                <w:rFonts w:eastAsia="Arial" w:ascii="Arial" w:hAnsi="Arial"/>
                <w:color w:val="000000"/>
              </w:rPr>
            </w:r>
          </w:p>
        </w:tc>
        <w:tc>
          <w:tcPr>
            <w:tcW w:w="114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color w:val="000000"/>
              </w:rPr>
            </w:pPr>
            <w:r>
              <w:rPr>
                <w:rFonts w:eastAsia="Arial" w:cs="Arial" w:ascii="Arial" w:hAnsi="Arial"/>
                <w:color w:val="000000"/>
                <w:kern w:val="0"/>
                <w:sz w:val="20"/>
                <w:szCs w:val="20"/>
                <w:lang w:val="pt-BR" w:eastAsia="pt-BR" w:bidi="ar-SA"/>
              </w:rPr>
              <w:t>Unidade</w:t>
            </w:r>
          </w:p>
        </w:tc>
      </w:tr>
      <w:tr>
        <w:trPr/>
        <w:tc>
          <w:tcPr>
            <w:tcW w:w="94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408"/>
                <w:tab w:val="left" w:pos="345" w:leader="none"/>
              </w:tabs>
              <w:suppressAutoHyphens w:val="true"/>
              <w:bidi w:val="0"/>
              <w:spacing w:lineRule="auto" w:line="312" w:before="120" w:after="288"/>
              <w:ind w:left="0" w:right="0" w:firstLine="283"/>
              <w:jc w:val="center"/>
              <w:rPr>
                <w:rFonts w:ascii="Arial" w:hAnsi="Arial" w:eastAsia="Arial"/>
                <w:b/>
                <w:b/>
                <w:color w:val="000000"/>
              </w:rPr>
            </w:pPr>
            <w:r>
              <w:rPr>
                <w:rFonts w:eastAsia="Arial" w:ascii="Arial" w:hAnsi="Arial"/>
                <w:b/>
                <w:color w:val="000000"/>
              </w:rPr>
            </w:r>
          </w:p>
        </w:tc>
        <w:tc>
          <w:tcPr>
            <w:tcW w:w="2188" w:type="dxa"/>
            <w:vMerge w:val="continue"/>
            <w:tcBorders>
              <w:top w:val="single" w:sz="4" w:space="0" w:color="000000"/>
              <w:left w:val="single" w:sz="4" w:space="0" w:color="000000"/>
              <w:bottom w:val="single" w:sz="4" w:space="0" w:color="000000"/>
            </w:tcBorders>
          </w:tcPr>
          <w:p>
            <w:pPr>
              <w:pStyle w:val="Normal"/>
              <w:widowControl w:val="false"/>
              <w:spacing w:lineRule="auto" w:line="312" w:before="120" w:after="288"/>
              <w:ind w:firstLine="709"/>
              <w:rPr>
                <w:rFonts w:ascii="Arial" w:hAnsi="Arial" w:eastAsia="Arial"/>
                <w:color w:val="000000"/>
              </w:rPr>
            </w:pPr>
            <w:r>
              <w:rPr>
                <w:rFonts w:eastAsia="Arial" w:ascii="Arial" w:hAnsi="Arial"/>
                <w:color w:val="000000"/>
              </w:rPr>
            </w:r>
          </w:p>
        </w:tc>
        <w:tc>
          <w:tcPr>
            <w:tcW w:w="2405" w:type="dxa"/>
            <w:tcBorders>
              <w:left w:val="single" w:sz="4" w:space="0" w:color="000000"/>
              <w:bottom w:val="single" w:sz="4" w:space="0" w:color="000000"/>
              <w:right w:val="single" w:sz="4" w:space="0" w:color="000000"/>
            </w:tcBorders>
          </w:tcPr>
          <w:p>
            <w:pPr>
              <w:pStyle w:val="Normal"/>
              <w:widowControl w:val="false"/>
              <w:spacing w:lineRule="auto" w:line="276" w:before="0" w:after="200"/>
              <w:ind w:hanging="0"/>
              <w:jc w:val="left"/>
              <w:rPr>
                <w:rFonts w:ascii="Arial" w:hAnsi="Arial" w:eastAsia="Arial" w:cs="Arial"/>
                <w:b w:val="false"/>
                <w:b w:val="false"/>
                <w:bCs w:val="false"/>
                <w:color w:val="000000"/>
                <w:kern w:val="0"/>
                <w:sz w:val="22"/>
                <w:szCs w:val="22"/>
                <w:lang w:val="pt-BR" w:eastAsia="en-US" w:bidi="ar-SA"/>
              </w:rPr>
            </w:pPr>
            <w:r>
              <w:rPr>
                <w:rFonts w:eastAsia="Arial" w:cs="Arial" w:ascii="Arial" w:hAnsi="Arial"/>
                <w:b w:val="false"/>
                <w:bCs w:val="false"/>
                <w:color w:val="000000"/>
                <w:kern w:val="0"/>
                <w:sz w:val="22"/>
                <w:szCs w:val="22"/>
                <w:lang w:val="pt-BR" w:eastAsia="en-US" w:bidi="ar-SA"/>
              </w:rPr>
              <w:t>TOTAL</w:t>
            </w:r>
          </w:p>
        </w:tc>
        <w:tc>
          <w:tcPr>
            <w:tcW w:w="1592" w:type="dxa"/>
            <w:tcBorders>
              <w:left w:val="single" w:sz="4" w:space="0" w:color="000000"/>
              <w:bottom w:val="single" w:sz="4" w:space="0" w:color="000000"/>
              <w:right w:val="single" w:sz="4" w:space="0" w:color="000000"/>
            </w:tcBorders>
          </w:tcPr>
          <w:p>
            <w:pPr>
              <w:pStyle w:val="Normal"/>
              <w:widowControl w:val="false"/>
              <w:spacing w:lineRule="auto" w:line="312" w:before="120" w:after="288"/>
              <w:ind w:hanging="0"/>
              <w:jc w:val="center"/>
              <w:rPr>
                <w:rFonts w:ascii="Arial" w:hAnsi="Arial" w:eastAsia="Arial"/>
                <w:color w:val="000000"/>
              </w:rPr>
            </w:pPr>
            <w:r>
              <w:rPr>
                <w:rFonts w:eastAsia="Arial" w:ascii="Arial" w:hAnsi="Arial"/>
                <w:color w:val="000000"/>
              </w:rPr>
              <w:t>168108</w:t>
            </w:r>
          </w:p>
        </w:tc>
        <w:tc>
          <w:tcPr>
            <w:tcW w:w="112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color w:val="000000"/>
              </w:rPr>
            </w:pPr>
            <w:r>
              <w:rPr>
                <w:rFonts w:eastAsia="Arial" w:ascii="Arial" w:hAnsi="Arial"/>
                <w:color w:val="000000"/>
              </w:rPr>
            </w:r>
          </w:p>
        </w:tc>
        <w:tc>
          <w:tcPr>
            <w:tcW w:w="11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ind w:hanging="0"/>
              <w:rPr>
                <w:rFonts w:ascii="Arial" w:hAnsi="Arial" w:eastAsia="Arial"/>
                <w:color w:val="000000"/>
              </w:rPr>
            </w:pPr>
            <w:r>
              <w:rPr>
                <w:rFonts w:eastAsia="Arial" w:ascii="Arial" w:hAnsi="Arial"/>
                <w:color w:val="000000"/>
              </w:rPr>
            </w:r>
          </w:p>
        </w:tc>
      </w:tr>
    </w:tbl>
    <w:p>
      <w:pPr>
        <w:pStyle w:val="Normal"/>
        <w:widowControl/>
        <w:numPr>
          <w:ilvl w:val="1"/>
          <w:numId w:val="2"/>
        </w:numPr>
        <w:suppressAutoHyphens w:val="true"/>
        <w:bidi w:val="0"/>
        <w:spacing w:lineRule="auto" w:line="312" w:before="120" w:after="288"/>
        <w:ind w:left="0" w:right="0" w:hanging="0"/>
        <w:jc w:val="both"/>
        <w:rPr>
          <w:rFonts w:ascii="Arial" w:hAnsi="Arial" w:eastAsia="Arial"/>
          <w:color w:val="000000"/>
        </w:rPr>
      </w:pPr>
      <w:r>
        <w:rPr>
          <w:rFonts w:eastAsia="Arial" w:ascii="Arial" w:hAnsi="Arial"/>
          <w:color w:val="000000"/>
        </w:rPr>
        <w:t>O(s) serviço(s) objeto desta contratação não se enquadra como sendo de bem de luxo, conforme Decreto Municipal nº 5186/2022.</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 xml:space="preserve">O prazo de vigência da contratação é de </w:t>
      </w:r>
      <w:r>
        <w:rPr>
          <w:rFonts w:eastAsia="Arial" w:cs="Arial" w:ascii="Arial" w:hAnsi="Arial"/>
          <w:i w:val="false"/>
          <w:iCs w:val="false"/>
          <w:color w:val="auto"/>
          <w:kern w:val="0"/>
          <w:sz w:val="20"/>
          <w:szCs w:val="20"/>
          <w:lang w:val="pt-BR" w:eastAsia="pt-BR" w:bidi="ar-SA"/>
        </w:rPr>
        <w:t>18</w:t>
      </w:r>
      <w:r>
        <w:rPr>
          <w:rFonts w:eastAsia="Arial" w:cs="Arial" w:ascii="Arial" w:hAnsi="Arial"/>
          <w:i w:val="false"/>
          <w:iCs w:val="false"/>
          <w:color w:val="auto"/>
        </w:rPr>
        <w:t>0 (</w:t>
      </w:r>
      <w:r>
        <w:rPr>
          <w:rFonts w:eastAsia="Arial" w:cs="Arial" w:ascii="Arial" w:hAnsi="Arial"/>
          <w:i w:val="false"/>
          <w:iCs w:val="false"/>
          <w:color w:val="auto"/>
          <w:kern w:val="0"/>
          <w:sz w:val="20"/>
          <w:szCs w:val="20"/>
          <w:lang w:val="pt-BR" w:eastAsia="pt-BR" w:bidi="ar-SA"/>
        </w:rPr>
        <w:t>cento e oitenta</w:t>
      </w:r>
      <w:r>
        <w:rPr>
          <w:rFonts w:eastAsia="Arial" w:cs="Arial" w:ascii="Arial" w:hAnsi="Arial"/>
          <w:i w:val="false"/>
          <w:iCs w:val="false"/>
          <w:color w:val="auto"/>
        </w:rPr>
        <w:t>) dias,</w:t>
      </w:r>
      <w:r>
        <w:rPr>
          <w:rFonts w:eastAsia="Arial" w:ascii="Arial" w:hAnsi="Arial"/>
          <w:i w:val="false"/>
          <w:iCs w:val="false"/>
          <w:color w:val="auto"/>
        </w:rPr>
        <w:t xml:space="preserve"> contados da publicação, na forma do artigo 105 da Lei n° 14.133, de 2021.</w:t>
      </w:r>
    </w:p>
    <w:p>
      <w:pPr>
        <w:pStyle w:val="Normal"/>
        <w:keepNext w:val="true"/>
        <w:keepLines/>
        <w:numPr>
          <w:ilvl w:val="0"/>
          <w:numId w:val="2"/>
        </w:numPr>
        <w:tabs>
          <w:tab w:val="clear" w:pos="408"/>
          <w:tab w:val="left" w:pos="567" w:leader="none"/>
        </w:tabs>
        <w:spacing w:lineRule="auto" w:line="312" w:before="120" w:after="288"/>
        <w:ind w:left="0" w:hanging="0"/>
        <w:jc w:val="both"/>
        <w:rPr>
          <w:color w:val="auto"/>
        </w:rPr>
      </w:pPr>
      <w:r>
        <w:rPr>
          <w:rFonts w:eastAsia="Arial" w:ascii="Arial" w:hAnsi="Arial"/>
          <w:b/>
          <w:color w:val="auto"/>
        </w:rPr>
        <w:t>FUNDAMENTAÇÃO E DESCRIÇÃO DA NECESSIDADE DA CONTRATAÇÃO</w:t>
      </w:r>
    </w:p>
    <w:p>
      <w:pPr>
        <w:pStyle w:val="TableParagraph"/>
        <w:widowControl w:val="false"/>
        <w:numPr>
          <w:ilvl w:val="1"/>
          <w:numId w:val="2"/>
        </w:numPr>
        <w:suppressAutoHyphens w:val="true"/>
        <w:bidi w:val="0"/>
        <w:spacing w:lineRule="auto" w:line="312" w:before="41" w:after="0"/>
        <w:ind w:left="0"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O objeto desta contratação consiste na prestação de serviços de reprografia, compreendendo a produção, acabamento e fornecimento de cópias reprográficas no formato A4 (210 mm x 297 mm), monocromáticas, destinadas ao atendimento das demandas pedagógicas da aplicação das Avaliações Diagnósticas CAEd nas áreas de Língua Portuguesa e Matemática e dos Simulados da Rede Municipal de Ensino, necessários às ações de monitoramento, acompanhamento e avaliação da aprendizagem desenvolvidas pela Secretaria Municipal de Educação de Vassouras.</w:t>
      </w:r>
    </w:p>
    <w:p>
      <w:pPr>
        <w:pStyle w:val="TableParagraph"/>
        <w:widowControl w:val="false"/>
        <w:numPr>
          <w:ilvl w:val="1"/>
          <w:numId w:val="2"/>
        </w:numPr>
        <w:suppressAutoHyphens w:val="true"/>
        <w:bidi w:val="0"/>
        <w:spacing w:lineRule="auto" w:line="312" w:before="41" w:after="0"/>
        <w:ind w:left="0"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A presente contratação tem por finalidade a aquisição de serviços de reprodução gráfica (cópias/impressões) dos instrumentos das Avaliações Diagnósticas do CAEd (Centro de Políticas Públicas e Avaliação da Educação) nas áreas de Língua Portuguesa e Matemática, bem como dos Simulados da Rede Municipal de Ensino, destinados aos estudantes da Rede Municipal de Ensino de Vassouras.</w:t>
      </w:r>
    </w:p>
    <w:p>
      <w:pPr>
        <w:pStyle w:val="TableParagraph"/>
        <w:widowControl w:val="false"/>
        <w:numPr>
          <w:ilvl w:val="1"/>
          <w:numId w:val="2"/>
        </w:numPr>
        <w:suppressAutoHyphens w:val="true"/>
        <w:bidi w:val="0"/>
        <w:spacing w:lineRule="auto" w:line="312" w:before="41" w:after="0"/>
        <w:ind w:left="0" w:right="0" w:hanging="0"/>
        <w:jc w:val="both"/>
        <w:rPr>
          <w:rFonts w:ascii="Arial" w:hAnsi="Arial" w:cs="Arial"/>
          <w:b w:val="false"/>
          <w:b w:val="false"/>
          <w:bCs w:val="false"/>
          <w:color w:val="auto"/>
          <w:sz w:val="20"/>
          <w:lang w:val="pt-BR"/>
        </w:rPr>
      </w:pPr>
      <w:r>
        <w:rPr>
          <w:rFonts w:eastAsia="Arial" w:cs="Arial" w:ascii="Arial" w:hAnsi="Arial"/>
          <w:b/>
          <w:bCs/>
          <w:color w:val="auto"/>
          <w:sz w:val="20"/>
          <w:lang w:val="pt-BR"/>
        </w:rPr>
        <w:t xml:space="preserve">Avaliações Diagnósticas do CAEd </w:t>
      </w:r>
      <w:r>
        <w:rPr>
          <w:rFonts w:eastAsia="Arial" w:cs="Arial" w:ascii="Arial" w:hAnsi="Arial"/>
          <w:b w:val="false"/>
          <w:bCs w:val="false"/>
          <w:color w:val="auto"/>
          <w:sz w:val="20"/>
          <w:lang w:val="pt-BR"/>
        </w:rPr>
        <w:t>(Centro de Políticas Públicas e Avaliação da Educação) nas áreas de Língua Portuguesa e Matemática:</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A aplicação dessas avaliações integra as ações de monitoramento e acompanhamento das aprendizagens desenvolvidas pela Secretaria Municipal de Educação, constituindo importante instrumento de diagnóstico educacional e de apoio à tomada de decisões pedagógicas baseadas em evidências.</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A aplicação dessas avaliações, considera a sua relevância para o acompanhamento das metas educacionais do município, o fortalecimento das ações de alfabetização e a preparação dos estudantes para avaliações externas, como o SAEB e o Avalia RJ, garantindo o monitoramento contínuo da aprendizagem em toda a rede.</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Além de subsidiar o planejamento das unidades escolares e da Secretaria Municipal de Educação, as avaliações estão alinhadas às diretrizes do Compromisso Nacional Criança Alfabetizada (CNCA), política pública que prevê o acompanhamento sistemático das aprendizagens, especialmente nos anos iniciais do Ensino Fundamental, com foco na garantia do direito à alfabetização e à aprendizagem.</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As avaliações externas desempenham papel estratégico ao fornecerem dados padronizados e comparáveis sobre o desempenho dos estudantes, complementando os processos de avaliação realizados pelas escolas. Seus resultados permitem identificar habilidades consolidadas, detectar defasagens de aprendizagem, orientar ações de recomposição das aprendizagens, direcionar formações continuadas e monitorar a efetividade das intervenções pedagógicas implementadas pela rede.</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Para que os resultados produzidos cumpram efetivamente sua função de monitoramento e acompanhamento da evolução das aprendizagens, faz-se necessária a realização de, no mínimo, duas aplicações ao longo do ano letivo. A primeira aplicação possibilita o diagnóstico inicial dos estudantes, permitindo identificar o estágio de desenvolvimento das habilidades previstas para cada etapa de ensino. A segunda aplicação possibilita verificar avanços, avaliar os impactos das intervenções pedagógicas implementadas e produzir indicadores concretos de evolução da aprendizagem.</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Tal procedimento encontra respaldo nos processos de monitoramento vinculados ao Compromisso Nacional Criança Alfabetizada e nos diversos instrumentos de acompanhamento e prestação de informações respondidos pelos municípios, nos quais são frequentemente solicitadas evidências relacionadas aos mecanismos de avaliação, diagnóstico e acompanhamento da aprendizagem adotados pelas redes de ensino. A realização de aplicações periódicas fortalece a capacidade do município de demonstrar, de forma objetiva e documentada, as ações desenvolvidas para garantir a melhoria da aprendizagem e a efetividade das políticas educacionais implementadas.</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Importa esclarecer que a elaboração dos instrumentos avaliativos, a definição das matrizes de referência, a disponibilização da plataforma tecnológica, o processamento dos resultados e a emissão dos relatórios pedagógicos são realizados no âmbito do programa, sem custos para o município. Cabe à rede municipal garantir as condições operacionais necessárias à aplicação das avaliações, incluindo a reprodução dos cadernos de testes, folhas de resposta e demais materiais utilizados pelos estudantes.</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Dessa forma, a presente aquisição refere-se exclusivamente à reprodução dos instrumentos disponibilizados pelo programa, constituindo etapa indispensável para a realização das avaliações diagnósticas e para a participação dos estudantes da rede municipal nos processos de monitoramento educacional.</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A relevância da aplicação das Avaliações Diagnósticas do CAEd transcende a simples mensuração do desempenho dos estudantes. Trata-se de instrumento fundamental para a gestão pedagógica da rede municipal, permitindo a produção de informações qualificadas que subsidiam o planejamento educacional, a definição de prioridades e a implementação de ações voltadas à melhoria da aprendizagem.</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Por meio dos resultados obtidos, a Secretaria Municipal de Educação poderá identificar habilidades e competências já consolidadas pelos estudantes, detectar defasagens de aprendizagem de forma objetiva e sistematizada, planejar ações de recomposição das aprendizagens, direcionar processos de formação continuada para professores e equipes gestoras, além de fortalecer o acompanhamento pedagógico realizado pelas unidades escolares.</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Os dados produzidos pela avaliação também possibilitam monitorar o impacto das ações implementadas pela rede municipal, subsidiar estratégias voltadas à melhoria dos indicadores educacionais e promover maior equidade no atendimento aos estudantes, permitindo intervenções mais assertivas junto àqueles que apresentam maiores dificuldades de aprendizagem.</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Adicionalmente, os resultados constituem importante evidência técnica das ações desenvolvidas pelo município no campo do acompanhamento da aprendizagem, contribuindo para a prestação de informações aos órgãos de monitoramento das políticas educacionais federais e estaduais, bem como para a demonstração do cumprimento das metas e compromissos assumidos pela rede municipal de ensino.</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Considerando que os instrumentos avaliativos são disponibilizados sem custos ao município, cabendo à Secretaria Municipal de Educação apenas a responsabilidade pela reprodução dos materiais necessários à aplicação, a presente aquisição representa medida de elevado interesse público e relevante custo-benefício, uma vez que viabiliza o acesso a informações estratégicas para a melhoria da qualidade da educação ofertada aos estudantes da Rede Municipal de Ensino de Vassouras.</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A não realização das aplicações comprometeria a obtenção de informações essenciais para o planejamento pedagógico da rede, para o acompanhamento da evolução das aprendizagens, para a avaliação da efetividade das ações implementadas pela Secretaria Municipal de Educação e para a produção de evidências necessárias aos processos de monitoramento e acompanhamento educacional.</w:t>
      </w:r>
    </w:p>
    <w:p>
      <w:pPr>
        <w:pStyle w:val="TableParagraph"/>
        <w:widowControl w:val="false"/>
        <w:numPr>
          <w:ilvl w:val="2"/>
          <w:numId w:val="2"/>
        </w:numPr>
        <w:suppressAutoHyphens w:val="true"/>
        <w:bidi w:val="0"/>
        <w:spacing w:lineRule="auto" w:line="312" w:before="41" w:after="0"/>
        <w:ind w:left="624" w:right="0" w:hanging="0"/>
        <w:jc w:val="both"/>
        <w:rPr>
          <w:rFonts w:ascii="Arial" w:hAnsi="Arial" w:cs="Arial"/>
          <w:b w:val="false"/>
          <w:b w:val="false"/>
          <w:bCs w:val="false"/>
          <w:color w:val="auto"/>
          <w:sz w:val="20"/>
          <w:lang w:val="pt-BR"/>
        </w:rPr>
      </w:pPr>
      <w:r>
        <w:rPr>
          <w:rFonts w:eastAsia="Arial" w:cs="Arial" w:ascii="Arial" w:hAnsi="Arial"/>
          <w:b w:val="false"/>
          <w:bCs w:val="false"/>
          <w:color w:val="auto"/>
          <w:sz w:val="20"/>
          <w:lang w:val="pt-BR"/>
        </w:rPr>
        <w:t>Diante do exposto, justifica-se a aquisição das cópias necessárias à aplicação das Avaliações Diagnósticas do CAEd, por se tratar de medida indispensável ao monitoramento da aprendizagem, à produção de diagnósticos educacionais confiáveis, ao acompanhamento da evolução dos estudantes, ao fortalecimento da gestão educacional baseada em evidências e ao cumprimento das diretrizes estabelecidas pelo Compromisso Nacional Criança Alfabetizada. A aquisição pretendida viabilizará a execução de uma importante política de acompanhamento pedagógico da rede municipal, contribuindo diretamente para a melhoria da qualidade, da equidade e da efetividade das ações educacionais desenvolvidas pelo Município de Vassouras.</w:t>
      </w:r>
    </w:p>
    <w:p>
      <w:pPr>
        <w:pStyle w:val="Normal"/>
        <w:widowControl/>
        <w:numPr>
          <w:ilvl w:val="1"/>
          <w:numId w:val="2"/>
        </w:numPr>
        <w:suppressAutoHyphens w:val="true"/>
        <w:bidi w:val="0"/>
        <w:spacing w:lineRule="auto" w:line="312" w:before="120" w:after="288"/>
        <w:ind w:left="0" w:right="0" w:hanging="0"/>
        <w:jc w:val="both"/>
        <w:rPr>
          <w:rFonts w:ascii="Arial" w:hAnsi="Arial"/>
          <w:b/>
          <w:b/>
          <w:bCs/>
        </w:rPr>
      </w:pPr>
      <w:r>
        <w:rPr>
          <w:rFonts w:ascii="Arial" w:hAnsi="Arial"/>
          <w:b/>
          <w:bCs/>
        </w:rPr>
        <w:t xml:space="preserve">Simulados (Língua Portuguesa e Matemática): </w:t>
      </w:r>
    </w:p>
    <w:p>
      <w:pPr>
        <w:pStyle w:val="Normal"/>
        <w:widowControl/>
        <w:numPr>
          <w:ilvl w:val="2"/>
          <w:numId w:val="2"/>
        </w:numPr>
        <w:suppressAutoHyphens w:val="true"/>
        <w:bidi w:val="0"/>
        <w:spacing w:lineRule="auto" w:line="312" w:before="120" w:after="288"/>
        <w:ind w:left="624" w:right="0" w:hanging="0"/>
        <w:jc w:val="both"/>
        <w:rPr>
          <w:rFonts w:ascii="Arial" w:hAnsi="Arial"/>
          <w:b w:val="false"/>
          <w:b w:val="false"/>
          <w:bCs w:val="false"/>
        </w:rPr>
      </w:pPr>
      <w:r>
        <w:rPr>
          <w:rFonts w:ascii="Arial" w:hAnsi="Arial"/>
          <w:b w:val="false"/>
          <w:bCs w:val="false"/>
        </w:rPr>
        <w:t xml:space="preserve">Os Simulados da Rede Municipal de Ensino constituem importante instrumento de monitoramento e acompanhamento da aprendizagem, integrando a política de avaliação educacional desenvolvida pela Secretaria Municipal de Educação de Vassouras. A aplicação dos simulados agrega informações pedagógicas adicionais que fortalecem a análise dos resultados e ampliam as possibilidades de intervenção educativa. </w:t>
      </w:r>
    </w:p>
    <w:p>
      <w:pPr>
        <w:pStyle w:val="Normal"/>
        <w:widowControl/>
        <w:numPr>
          <w:ilvl w:val="2"/>
          <w:numId w:val="2"/>
        </w:numPr>
        <w:suppressAutoHyphens w:val="true"/>
        <w:bidi w:val="0"/>
        <w:spacing w:lineRule="auto" w:line="312" w:before="120" w:after="288"/>
        <w:ind w:left="624" w:right="0" w:hanging="0"/>
        <w:jc w:val="both"/>
        <w:rPr>
          <w:rFonts w:ascii="Arial" w:hAnsi="Arial"/>
          <w:b w:val="false"/>
          <w:b w:val="false"/>
          <w:bCs w:val="false"/>
        </w:rPr>
      </w:pPr>
      <w:r>
        <w:rPr>
          <w:rFonts w:ascii="Arial" w:hAnsi="Arial"/>
          <w:b w:val="false"/>
          <w:bCs w:val="false"/>
        </w:rPr>
        <w:t>Enquanto as avaliações CAEd oferecem um panorama diagnóstico abrangente da aprendizagem dos estudantes e subsidiam o acompanhamento dos indicadores educacionais da rede, os simulados permitem uma aproximação ainda maior entre os resultados das avaliações externas e o cotidiano das unidades escolares. Dessa forma, constituem uma oportunidade de verificar como as habilidades e competências avaliadas estão sendo consolidadas ao longo do processo de ensino, possibilitando que professores e equipes gestoras analisem evidências concretas da aprendizagem e ajustem suas práticas pedagógicas de maneira mais direcionada.</w:t>
      </w:r>
    </w:p>
    <w:p>
      <w:pPr>
        <w:pStyle w:val="Normal"/>
        <w:widowControl/>
        <w:numPr>
          <w:ilvl w:val="2"/>
          <w:numId w:val="2"/>
        </w:numPr>
        <w:suppressAutoHyphens w:val="true"/>
        <w:bidi w:val="0"/>
        <w:spacing w:lineRule="auto" w:line="312" w:before="120" w:after="288"/>
        <w:ind w:left="624" w:right="0" w:hanging="0"/>
        <w:jc w:val="both"/>
        <w:rPr>
          <w:rFonts w:ascii="Arial" w:hAnsi="Arial"/>
          <w:b w:val="false"/>
          <w:b w:val="false"/>
          <w:bCs w:val="false"/>
        </w:rPr>
      </w:pPr>
      <w:r>
        <w:rPr>
          <w:rFonts w:ascii="Arial" w:hAnsi="Arial"/>
          <w:b w:val="false"/>
          <w:bCs w:val="false"/>
        </w:rPr>
        <w:t>Além de fortalecer o trabalho docente e a gestão pedagógica baseada em evidências, os simulados desempenham papel relevante na promoção da equidade educacional, uma vez que possibilitam a identificação de desigualdades de aprendizagem entre turmas, escolas e grupos de estudantes, permitindo que os recursos e esforços pedagógicos sejam direcionados de forma mais eficiente para aqueles que mais necessitam. Dessa forma, contribuem para a construção de uma educação mais inclusiva, capaz de respeitar diferentes ritmos de aprendizagem e garantir melhores oportunidades de desenvolvimento para todos os estudantes da rede.</w:t>
      </w:r>
    </w:p>
    <w:p>
      <w:pPr>
        <w:pStyle w:val="Normal"/>
        <w:widowControl/>
        <w:numPr>
          <w:ilvl w:val="2"/>
          <w:numId w:val="2"/>
        </w:numPr>
        <w:suppressAutoHyphens w:val="true"/>
        <w:bidi w:val="0"/>
        <w:spacing w:lineRule="auto" w:line="312" w:before="120" w:after="288"/>
        <w:ind w:left="624" w:right="0" w:hanging="0"/>
        <w:jc w:val="both"/>
        <w:rPr>
          <w:rFonts w:ascii="Arial" w:hAnsi="Arial"/>
          <w:b w:val="false"/>
          <w:b w:val="false"/>
          <w:bCs w:val="false"/>
        </w:rPr>
      </w:pPr>
      <w:r>
        <w:rPr>
          <w:rFonts w:ascii="Arial" w:hAnsi="Arial"/>
          <w:b w:val="false"/>
          <w:bCs w:val="false"/>
        </w:rPr>
        <w:t>Os dados gerados pelos simulados também constituem importante ferramenta de acompanhamento das metas educacionais do município, permitindo avaliar a efetividade das ações desenvolvidas, orientar processos formativos, subsidiar a tomada de decisões e fortalecer a cultura de monitoramento da aprendizagem. Nesse contexto, a reprodução dos instrumentos mostra-se necessária e estratégica, representando investimento diretamente relacionado à melhoria da qualidade do ensino, à redução das desigualdades educacionais, ao fortalecimento das práticas pedagógicas e à garantia do direito de aprender de todos os estudantes da Rede Municipal de Ensino de Vassouras.</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Os quantitativos apresentados foram calculados com base no número de estudantes atendidos pela Rede Municipal de Ensino de Vassouras que farão as avaliações, na quantidade de páginas que compõem cada instrumento avaliativo e no número de aplicações previstas no planejamento pedagógico da Secretaria Municipal de Educação.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A definição dos instrumentos contemplados nesta solicitação observa critérios técnicos e pedagógicos voltados ao monitoramento da aprendizagem, à recomposição das aprendizagens, ao fortalecimento da gestão educacional baseada em evidências e ao acompanhamento dos indicadores de desempenho da rede municipal.</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Segue abaixo a memória de cálculo para o quantitativo de cada uma das avaliações:</w:t>
      </w:r>
    </w:p>
    <w:p>
      <w:pPr>
        <w:pStyle w:val="Normal"/>
        <w:widowControl/>
        <w:numPr>
          <w:ilvl w:val="2"/>
          <w:numId w:val="2"/>
        </w:numPr>
        <w:suppressAutoHyphens w:val="true"/>
        <w:bidi w:val="0"/>
        <w:spacing w:lineRule="auto" w:line="312" w:before="120" w:after="288"/>
        <w:ind w:left="510" w:right="0" w:hanging="0"/>
        <w:jc w:val="both"/>
        <w:rPr/>
      </w:pPr>
      <w:r>
        <w:rPr>
          <w:rFonts w:eastAsia="Arial" w:ascii="Arial" w:hAnsi="Arial"/>
          <w:b/>
          <w:bCs/>
        </w:rPr>
        <w:t>AVALIAÇÃO CAED LÍNGUA PORTUGUESA E MATEMÁTICA – APLICAÇÕES I E II</w:t>
      </w:r>
    </w:p>
    <w:tbl>
      <w:tblPr>
        <w:tblStyle w:val="898"/>
        <w:tblW w:w="9760" w:type="dxa"/>
        <w:jc w:val="left"/>
        <w:tblInd w:w="-122" w:type="dxa"/>
        <w:tblLayout w:type="fixed"/>
        <w:tblCellMar>
          <w:top w:w="0" w:type="dxa"/>
          <w:left w:w="108" w:type="dxa"/>
          <w:bottom w:w="0" w:type="dxa"/>
          <w:right w:w="108" w:type="dxa"/>
        </w:tblCellMar>
        <w:tblLook w:firstRow="1" w:noVBand="1" w:lastRow="0" w:firstColumn="1" w:lastColumn="0" w:noHBand="0" w:val="04a0"/>
      </w:tblPr>
      <w:tblGrid>
        <w:gridCol w:w="1138"/>
        <w:gridCol w:w="1302"/>
        <w:gridCol w:w="1594"/>
        <w:gridCol w:w="1425"/>
        <w:gridCol w:w="1413"/>
        <w:gridCol w:w="1424"/>
        <w:gridCol w:w="1463"/>
      </w:tblGrid>
      <w:tr>
        <w:trPr/>
        <w:tc>
          <w:tcPr>
            <w:tcW w:w="1138" w:type="dxa"/>
            <w:tcBorders/>
          </w:tcPr>
          <w:p>
            <w:pPr>
              <w:pStyle w:val="Normal"/>
              <w:widowControl w:val="false"/>
              <w:numPr>
                <w:ilvl w:val="0"/>
                <w:numId w:val="0"/>
              </w:numPr>
              <w:suppressAutoHyphens w:val="true"/>
              <w:bidi w:val="0"/>
              <w:spacing w:lineRule="auto" w:line="240" w:before="0" w:after="0"/>
              <w:ind w:left="227" w:right="0" w:hanging="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Ano/Série</w:t>
            </w:r>
          </w:p>
        </w:tc>
        <w:tc>
          <w:tcPr>
            <w:tcW w:w="1302" w:type="dxa"/>
            <w:tcBorders/>
          </w:tcPr>
          <w:p>
            <w:pPr>
              <w:pStyle w:val="Normal"/>
              <w:widowControl w:val="false"/>
              <w:numPr>
                <w:ilvl w:val="0"/>
                <w:numId w:val="0"/>
              </w:numPr>
              <w:spacing w:lineRule="auto" w:line="240" w:before="0" w:after="0"/>
              <w:ind w:left="360" w:hanging="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Nº de Alunos</w:t>
            </w:r>
          </w:p>
        </w:tc>
        <w:tc>
          <w:tcPr>
            <w:tcW w:w="1594" w:type="dxa"/>
            <w:tcBorders/>
          </w:tcPr>
          <w:p>
            <w:pPr>
              <w:pStyle w:val="Normal"/>
              <w:widowControl w:val="false"/>
              <w:numPr>
                <w:ilvl w:val="0"/>
                <w:numId w:val="0"/>
              </w:numPr>
              <w:spacing w:lineRule="auto" w:line="240" w:before="0" w:after="0"/>
              <w:ind w:left="360" w:hanging="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Aplicação</w:t>
            </w:r>
          </w:p>
        </w:tc>
        <w:tc>
          <w:tcPr>
            <w:tcW w:w="1425" w:type="dxa"/>
            <w:tcBorders/>
          </w:tcPr>
          <w:p>
            <w:pPr>
              <w:pStyle w:val="Normal"/>
              <w:widowControl w:val="false"/>
              <w:numPr>
                <w:ilvl w:val="0"/>
                <w:numId w:val="0"/>
              </w:numPr>
              <w:spacing w:lineRule="auto" w:line="240" w:before="0" w:after="0"/>
              <w:ind w:left="360" w:hanging="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LP (Pág.)</w:t>
            </w:r>
          </w:p>
        </w:tc>
        <w:tc>
          <w:tcPr>
            <w:tcW w:w="1413" w:type="dxa"/>
            <w:tcBorders/>
          </w:tcPr>
          <w:p>
            <w:pPr>
              <w:pStyle w:val="Normal"/>
              <w:widowControl w:val="false"/>
              <w:numPr>
                <w:ilvl w:val="0"/>
                <w:numId w:val="0"/>
              </w:numPr>
              <w:spacing w:lineRule="auto" w:line="240" w:before="0" w:after="0"/>
              <w:ind w:left="360" w:hanging="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Mat. (Pág.)</w:t>
            </w:r>
          </w:p>
        </w:tc>
        <w:tc>
          <w:tcPr>
            <w:tcW w:w="1424" w:type="dxa"/>
            <w:tcBorders/>
          </w:tcPr>
          <w:p>
            <w:pPr>
              <w:pStyle w:val="Normal"/>
              <w:widowControl w:val="false"/>
              <w:numPr>
                <w:ilvl w:val="0"/>
                <w:numId w:val="0"/>
              </w:numPr>
              <w:spacing w:lineRule="auto" w:line="240" w:before="0" w:after="0"/>
              <w:ind w:left="360" w:hanging="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Total por Aluno</w:t>
            </w:r>
          </w:p>
        </w:tc>
        <w:tc>
          <w:tcPr>
            <w:tcW w:w="1463" w:type="dxa"/>
            <w:tcBorders/>
          </w:tcPr>
          <w:p>
            <w:pPr>
              <w:pStyle w:val="Normal"/>
              <w:widowControl w:val="false"/>
              <w:numPr>
                <w:ilvl w:val="0"/>
                <w:numId w:val="0"/>
              </w:numPr>
              <w:spacing w:lineRule="auto" w:line="240" w:before="0" w:after="0"/>
              <w:ind w:left="360" w:hanging="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Total de Cópias</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1º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316</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20</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27</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47</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14852</w:t>
            </w:r>
          </w:p>
        </w:tc>
      </w:tr>
      <w:tr>
        <w:trPr/>
        <w:tc>
          <w:tcPr>
            <w:tcW w:w="1138" w:type="dxa"/>
            <w:tcBorders/>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1º 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316</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20</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27</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47</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14852</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2º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408</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20</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20</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40</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16.320</w:t>
            </w:r>
          </w:p>
        </w:tc>
      </w:tr>
      <w:tr>
        <w:trPr/>
        <w:tc>
          <w:tcPr>
            <w:tcW w:w="1138" w:type="dxa"/>
            <w:tcBorders/>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2º 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408</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20</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20</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40</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16.320</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3º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354</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18</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18</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36</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12744</w:t>
            </w:r>
          </w:p>
        </w:tc>
      </w:tr>
      <w:tr>
        <w:trPr/>
        <w:tc>
          <w:tcPr>
            <w:tcW w:w="1138" w:type="dxa"/>
            <w:tcBorders/>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3º 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354</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18</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18</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36</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12744</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4º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382</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24</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9.168</w:t>
            </w:r>
          </w:p>
        </w:tc>
      </w:tr>
      <w:tr>
        <w:trPr/>
        <w:tc>
          <w:tcPr>
            <w:tcW w:w="1138" w:type="dxa"/>
            <w:tcBorders/>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4º 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382</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24</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9.168</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5º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403</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11</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14</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25</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10.075</w:t>
            </w:r>
          </w:p>
        </w:tc>
      </w:tr>
      <w:tr>
        <w:trPr/>
        <w:tc>
          <w:tcPr>
            <w:tcW w:w="1138" w:type="dxa"/>
            <w:tcBorders/>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5º 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403</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11</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14</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25</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10.075</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6º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137</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13</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25</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3.425</w:t>
            </w:r>
          </w:p>
        </w:tc>
      </w:tr>
      <w:tr>
        <w:trPr/>
        <w:tc>
          <w:tcPr>
            <w:tcW w:w="1138" w:type="dxa"/>
            <w:tcBorders/>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6º 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137</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13</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25</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3.425</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7º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142</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16</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13</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29</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4118</w:t>
            </w:r>
          </w:p>
        </w:tc>
      </w:tr>
      <w:tr>
        <w:trPr/>
        <w:tc>
          <w:tcPr>
            <w:tcW w:w="1138" w:type="dxa"/>
            <w:tcBorders/>
          </w:tcPr>
          <w:p>
            <w:pPr>
              <w:pStyle w:val="Normal"/>
              <w:widowControl w:val="false"/>
              <w:spacing w:lineRule="auto" w:line="240" w:before="0" w:after="0"/>
              <w:jc w:val="left"/>
              <w:rPr>
                <w:sz w:val="22"/>
                <w:szCs w:val="22"/>
              </w:rPr>
            </w:pPr>
            <w:r>
              <w:rPr>
                <w:rFonts w:eastAsia="Arial" w:cs="Arial" w:ascii="Cambria" w:hAnsi="Cambria"/>
                <w:b/>
                <w:bCs/>
                <w:kern w:val="0"/>
                <w:sz w:val="22"/>
                <w:szCs w:val="22"/>
                <w:lang w:val="en-US" w:eastAsia="en-US" w:bidi="ar-SA"/>
              </w:rPr>
              <w:t>7ºAno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142</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16</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13</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29</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4118</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8º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111</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14</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13</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27</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2.997</w:t>
            </w:r>
          </w:p>
        </w:tc>
      </w:tr>
      <w:tr>
        <w:trPr/>
        <w:tc>
          <w:tcPr>
            <w:tcW w:w="1138" w:type="dxa"/>
            <w:tcBorders/>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8º 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111</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14</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13</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27</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2.997</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9º Ano</w:t>
            </w:r>
          </w:p>
        </w:tc>
        <w:tc>
          <w:tcPr>
            <w:tcW w:w="1302"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122</w:t>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1ª Aplicação</w:t>
            </w:r>
          </w:p>
        </w:tc>
        <w:tc>
          <w:tcPr>
            <w:tcW w:w="1425"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w:t>
            </w:r>
          </w:p>
        </w:tc>
        <w:tc>
          <w:tcPr>
            <w:tcW w:w="1413"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16</w:t>
            </w:r>
          </w:p>
        </w:tc>
        <w:tc>
          <w:tcPr>
            <w:tcW w:w="14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28</w:t>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3416</w:t>
            </w:r>
          </w:p>
        </w:tc>
      </w:tr>
      <w:tr>
        <w:trPr/>
        <w:tc>
          <w:tcPr>
            <w:tcW w:w="1138" w:type="dxa"/>
            <w:tcBorders/>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9º Ano</w:t>
            </w:r>
          </w:p>
        </w:tc>
        <w:tc>
          <w:tcPr>
            <w:tcW w:w="1302"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122</w:t>
            </w:r>
          </w:p>
        </w:tc>
        <w:tc>
          <w:tcPr>
            <w:tcW w:w="1594"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2ª Aplicação</w:t>
            </w:r>
          </w:p>
        </w:tc>
        <w:tc>
          <w:tcPr>
            <w:tcW w:w="1425"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12</w:t>
            </w:r>
          </w:p>
        </w:tc>
        <w:tc>
          <w:tcPr>
            <w:tcW w:w="1413"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16</w:t>
            </w:r>
          </w:p>
        </w:tc>
        <w:tc>
          <w:tcPr>
            <w:tcW w:w="1424" w:type="dxa"/>
            <w:tcBorders/>
          </w:tcPr>
          <w:p>
            <w:pPr>
              <w:pStyle w:val="Normal"/>
              <w:widowControl w:val="false"/>
              <w:spacing w:lineRule="auto" w:line="240" w:before="0" w:after="0"/>
              <w:jc w:val="center"/>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28</w:t>
            </w:r>
          </w:p>
        </w:tc>
        <w:tc>
          <w:tcPr>
            <w:tcW w:w="1463" w:type="dxa"/>
            <w:tcBorders/>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3416</w:t>
            </w:r>
          </w:p>
        </w:tc>
      </w:tr>
      <w:tr>
        <w:trPr/>
        <w:tc>
          <w:tcPr>
            <w:tcW w:w="113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b/>
                <w:bCs/>
                <w:kern w:val="0"/>
                <w:sz w:val="22"/>
                <w:szCs w:val="22"/>
                <w:lang w:val="en-US" w:eastAsia="en-US" w:bidi="ar-SA"/>
              </w:rPr>
            </w:pPr>
            <w:r>
              <w:rPr>
                <w:rFonts w:eastAsia="Arial" w:cs="Arial" w:ascii="Cambria" w:hAnsi="Cambria"/>
                <w:b/>
                <w:bCs/>
                <w:kern w:val="0"/>
                <w:sz w:val="22"/>
                <w:szCs w:val="22"/>
                <w:lang w:val="en-US" w:eastAsia="en-US" w:bidi="ar-SA"/>
              </w:rPr>
              <w:t>TOTAL GERAL</w:t>
            </w:r>
          </w:p>
        </w:tc>
        <w:tc>
          <w:tcPr>
            <w:tcW w:w="1302"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r>
          </w:p>
        </w:tc>
        <w:tc>
          <w:tcPr>
            <w:tcW w:w="159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r>
          </w:p>
        </w:tc>
        <w:tc>
          <w:tcPr>
            <w:tcW w:w="1425"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r>
          </w:p>
        </w:tc>
        <w:tc>
          <w:tcPr>
            <w:tcW w:w="141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r>
          </w:p>
        </w:tc>
        <w:tc>
          <w:tcPr>
            <w:tcW w:w="142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r>
          </w:p>
        </w:tc>
        <w:tc>
          <w:tcPr>
            <w:tcW w:w="14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kern w:val="0"/>
                <w:sz w:val="22"/>
                <w:szCs w:val="22"/>
                <w:lang w:val="en-US" w:eastAsia="en-US" w:bidi="ar-SA"/>
              </w:rPr>
            </w:pPr>
            <w:r>
              <w:rPr>
                <w:rFonts w:eastAsia="Arial" w:cs="Arial" w:ascii="Cambria" w:hAnsi="Cambria"/>
                <w:kern w:val="0"/>
                <w:sz w:val="22"/>
                <w:szCs w:val="22"/>
                <w:lang w:val="en-US" w:eastAsia="en-US" w:bidi="ar-SA"/>
              </w:rPr>
              <w:t>154.230</w:t>
            </w:r>
          </w:p>
        </w:tc>
      </w:tr>
    </w:tbl>
    <w:p>
      <w:pPr>
        <w:pStyle w:val="Normal"/>
        <w:widowControl/>
        <w:numPr>
          <w:ilvl w:val="0"/>
          <w:numId w:val="0"/>
        </w:numPr>
        <w:suppressAutoHyphens w:val="true"/>
        <w:bidi w:val="0"/>
        <w:spacing w:lineRule="auto" w:line="312" w:before="120" w:after="288"/>
        <w:ind w:left="0" w:right="0" w:hanging="0"/>
        <w:jc w:val="both"/>
        <w:rPr>
          <w:rFonts w:ascii="Arial" w:hAnsi="Arial" w:eastAsia="Arial"/>
          <w:b/>
          <w:b/>
          <w:bCs/>
        </w:rPr>
      </w:pPr>
      <w:r>
        <w:rPr>
          <w:rFonts w:eastAsia="Arial" w:ascii="Arial" w:hAnsi="Arial"/>
          <w:b/>
          <w:bCs/>
        </w:rPr>
      </w:r>
    </w:p>
    <w:p>
      <w:pPr>
        <w:pStyle w:val="Normal"/>
        <w:widowControl/>
        <w:numPr>
          <w:ilvl w:val="0"/>
          <w:numId w:val="0"/>
        </w:numPr>
        <w:suppressAutoHyphens w:val="true"/>
        <w:bidi w:val="0"/>
        <w:spacing w:lineRule="auto" w:line="312" w:before="120" w:after="288"/>
        <w:ind w:left="0" w:right="0" w:hanging="0"/>
        <w:jc w:val="both"/>
        <w:rPr/>
      </w:pPr>
      <w:r>
        <w:rPr>
          <w:rFonts w:eastAsia="Arial" w:ascii="Arial" w:hAnsi="Arial"/>
          <w:b/>
          <w:bCs/>
        </w:rPr>
        <w:t>2.7.2. SIMULADO LÍNGUA PORTUGUESA:</w:t>
      </w:r>
    </w:p>
    <w:tbl>
      <w:tblPr>
        <w:tblStyle w:val="898"/>
        <w:tblpPr w:bottomFromText="0" w:horzAnchor="page" w:leftFromText="141" w:rightFromText="141" w:tblpX="809" w:tblpY="3726" w:topFromText="0" w:vertAnchor="page"/>
        <w:tblW w:w="941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643"/>
        <w:gridCol w:w="1501"/>
        <w:gridCol w:w="1580"/>
        <w:gridCol w:w="1124"/>
        <w:gridCol w:w="1804"/>
        <w:gridCol w:w="1764"/>
      </w:tblGrid>
      <w:tr>
        <w:trPr/>
        <w:tc>
          <w:tcPr>
            <w:tcW w:w="164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Ano/Série</w:t>
            </w:r>
          </w:p>
        </w:tc>
        <w:tc>
          <w:tcPr>
            <w:tcW w:w="1501"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Nº de Alunos</w:t>
            </w:r>
          </w:p>
        </w:tc>
        <w:tc>
          <w:tcPr>
            <w:tcW w:w="1580"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Simulado</w:t>
            </w:r>
          </w:p>
        </w:tc>
        <w:tc>
          <w:tcPr>
            <w:tcW w:w="1124"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LP (Pág.)</w:t>
            </w:r>
          </w:p>
        </w:tc>
        <w:tc>
          <w:tcPr>
            <w:tcW w:w="1804"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Total por Aluno</w:t>
            </w:r>
          </w:p>
        </w:tc>
        <w:tc>
          <w:tcPr>
            <w:tcW w:w="1764"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Total de Cópias</w:t>
            </w:r>
          </w:p>
        </w:tc>
      </w:tr>
      <w:tr>
        <w:trPr>
          <w:trHeight w:val="339" w:hRule="atLeast"/>
        </w:trPr>
        <w:tc>
          <w:tcPr>
            <w:tcW w:w="1643" w:type="dxa"/>
            <w:tcBorders/>
            <w:shd w:color="auto" w:fill="F2F2F2" w:themeFill="background1" w:themeFillShade="f2" w:val="clear"/>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2º Ano</w:t>
            </w:r>
          </w:p>
        </w:tc>
        <w:tc>
          <w:tcPr>
            <w:tcW w:w="1501"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408</w:t>
            </w:r>
          </w:p>
        </w:tc>
        <w:tc>
          <w:tcPr>
            <w:tcW w:w="1580"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w:t>
            </w:r>
          </w:p>
        </w:tc>
        <w:tc>
          <w:tcPr>
            <w:tcW w:w="180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w:t>
            </w:r>
          </w:p>
        </w:tc>
        <w:tc>
          <w:tcPr>
            <w:tcW w:w="1764"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1.632</w:t>
            </w:r>
          </w:p>
        </w:tc>
      </w:tr>
      <w:tr>
        <w:trPr/>
        <w:tc>
          <w:tcPr>
            <w:tcW w:w="164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3º Ano</w:t>
            </w:r>
          </w:p>
        </w:tc>
        <w:tc>
          <w:tcPr>
            <w:tcW w:w="1501"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354</w:t>
            </w:r>
          </w:p>
        </w:tc>
        <w:tc>
          <w:tcPr>
            <w:tcW w:w="1580"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w:t>
            </w:r>
          </w:p>
        </w:tc>
        <w:tc>
          <w:tcPr>
            <w:tcW w:w="180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w:t>
            </w:r>
          </w:p>
        </w:tc>
        <w:tc>
          <w:tcPr>
            <w:tcW w:w="1764"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1.416</w:t>
            </w:r>
          </w:p>
        </w:tc>
      </w:tr>
      <w:tr>
        <w:trPr/>
        <w:tc>
          <w:tcPr>
            <w:tcW w:w="1643" w:type="dxa"/>
            <w:tcBorders/>
            <w:shd w:color="auto" w:fill="F2F2F2" w:themeFill="background1" w:themeFillShade="f2" w:val="clear"/>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4º Ano</w:t>
            </w:r>
          </w:p>
        </w:tc>
        <w:tc>
          <w:tcPr>
            <w:tcW w:w="1501"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382</w:t>
            </w:r>
          </w:p>
        </w:tc>
        <w:tc>
          <w:tcPr>
            <w:tcW w:w="1580"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4"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1.146</w:t>
            </w:r>
          </w:p>
        </w:tc>
      </w:tr>
      <w:tr>
        <w:trPr/>
        <w:tc>
          <w:tcPr>
            <w:tcW w:w="1643" w:type="dxa"/>
            <w:tcBorders/>
          </w:tcPr>
          <w:p>
            <w:pPr>
              <w:pStyle w:val="Normal"/>
              <w:widowControl w:val="false"/>
              <w:spacing w:lineRule="auto" w:line="240" w:before="0" w:after="0"/>
              <w:jc w:val="left"/>
              <w:rPr>
                <w:lang w:val="pt-BR"/>
              </w:rPr>
            </w:pPr>
            <w:r>
              <w:rPr>
                <w:rFonts w:eastAsia="Arial" w:cs="Arial" w:ascii="Cambria" w:hAnsi="Cambria"/>
                <w:b/>
                <w:bCs/>
                <w:kern w:val="0"/>
                <w:sz w:val="22"/>
                <w:szCs w:val="22"/>
                <w:lang w:val="pt-BR" w:eastAsia="en-US" w:bidi="ar-SA"/>
              </w:rPr>
              <w:t>5º Ano</w:t>
            </w:r>
          </w:p>
        </w:tc>
        <w:tc>
          <w:tcPr>
            <w:tcW w:w="1501" w:type="dxa"/>
            <w:tcBorders/>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403</w:t>
            </w:r>
          </w:p>
        </w:tc>
        <w:tc>
          <w:tcPr>
            <w:tcW w:w="1580" w:type="dxa"/>
            <w:tcBorders/>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4" w:type="dxa"/>
            <w:tcBorders/>
          </w:tcPr>
          <w:p>
            <w:pPr>
              <w:pStyle w:val="Normal"/>
              <w:widowControl w:val="false"/>
              <w:spacing w:lineRule="auto" w:line="240" w:before="0" w:after="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tcPr>
          <w:p>
            <w:pPr>
              <w:pStyle w:val="Normal"/>
              <w:widowControl w:val="false"/>
              <w:spacing w:lineRule="auto" w:line="240" w:before="0" w:after="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4" w:type="dxa"/>
            <w:tcBorders/>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1.209</w:t>
            </w:r>
          </w:p>
        </w:tc>
      </w:tr>
      <w:tr>
        <w:trPr/>
        <w:tc>
          <w:tcPr>
            <w:tcW w:w="1643" w:type="dxa"/>
            <w:tcBorders/>
            <w:shd w:color="auto" w:fill="F2F2F2" w:themeFill="background1" w:themeFillShade="f2" w:val="clear"/>
          </w:tcPr>
          <w:p>
            <w:pPr>
              <w:pStyle w:val="Normal"/>
              <w:widowControl w:val="false"/>
              <w:spacing w:lineRule="auto" w:line="240" w:before="0" w:after="0"/>
              <w:jc w:val="left"/>
              <w:rPr>
                <w:lang w:val="pt-BR"/>
              </w:rPr>
            </w:pPr>
            <w:r>
              <w:rPr>
                <w:rFonts w:eastAsia="Arial" w:cs="Arial" w:ascii="Cambria" w:hAnsi="Cambria"/>
                <w:b/>
                <w:bCs/>
                <w:kern w:val="0"/>
                <w:sz w:val="22"/>
                <w:szCs w:val="22"/>
                <w:lang w:val="pt-BR" w:eastAsia="en-US" w:bidi="ar-SA"/>
              </w:rPr>
              <w:t>6º Ano</w:t>
            </w:r>
          </w:p>
        </w:tc>
        <w:tc>
          <w:tcPr>
            <w:tcW w:w="1501"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137</w:t>
            </w:r>
          </w:p>
        </w:tc>
        <w:tc>
          <w:tcPr>
            <w:tcW w:w="1580"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4"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411</w:t>
            </w:r>
          </w:p>
        </w:tc>
      </w:tr>
      <w:tr>
        <w:trPr/>
        <w:tc>
          <w:tcPr>
            <w:tcW w:w="164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7º Ano</w:t>
            </w:r>
          </w:p>
        </w:tc>
        <w:tc>
          <w:tcPr>
            <w:tcW w:w="1501"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142</w:t>
            </w:r>
          </w:p>
        </w:tc>
        <w:tc>
          <w:tcPr>
            <w:tcW w:w="1580"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4"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426</w:t>
            </w:r>
          </w:p>
        </w:tc>
      </w:tr>
      <w:tr>
        <w:trPr/>
        <w:tc>
          <w:tcPr>
            <w:tcW w:w="1643" w:type="dxa"/>
            <w:tcBorders/>
            <w:shd w:color="auto" w:fill="F2F2F2" w:themeFill="background1" w:themeFillShade="f2" w:val="clear"/>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8º Ano</w:t>
            </w:r>
          </w:p>
        </w:tc>
        <w:tc>
          <w:tcPr>
            <w:tcW w:w="1501"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111</w:t>
            </w:r>
          </w:p>
        </w:tc>
        <w:tc>
          <w:tcPr>
            <w:tcW w:w="1580"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4"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333</w:t>
            </w:r>
          </w:p>
        </w:tc>
      </w:tr>
      <w:tr>
        <w:trPr/>
        <w:tc>
          <w:tcPr>
            <w:tcW w:w="164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9º Ano</w:t>
            </w:r>
          </w:p>
        </w:tc>
        <w:tc>
          <w:tcPr>
            <w:tcW w:w="1501"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122</w:t>
            </w:r>
          </w:p>
        </w:tc>
        <w:tc>
          <w:tcPr>
            <w:tcW w:w="1580"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4"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366</w:t>
            </w:r>
          </w:p>
        </w:tc>
      </w:tr>
      <w:tr>
        <w:trPr/>
        <w:tc>
          <w:tcPr>
            <w:tcW w:w="1643" w:type="dxa"/>
            <w:tcBorders/>
            <w:shd w:color="auto" w:fill="F2F2F2" w:themeFill="background1" w:themeFillShade="f2" w:val="clear"/>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TOTAL GERAL</w:t>
            </w:r>
          </w:p>
        </w:tc>
        <w:tc>
          <w:tcPr>
            <w:tcW w:w="1501"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r>
          </w:p>
        </w:tc>
        <w:tc>
          <w:tcPr>
            <w:tcW w:w="1580"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9 Simulados</w:t>
            </w:r>
          </w:p>
        </w:tc>
        <w:tc>
          <w:tcPr>
            <w:tcW w:w="1124"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r>
          </w:p>
        </w:tc>
        <w:tc>
          <w:tcPr>
            <w:tcW w:w="1804"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r>
          </w:p>
        </w:tc>
        <w:tc>
          <w:tcPr>
            <w:tcW w:w="1764"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6.939</w:t>
            </w:r>
          </w:p>
        </w:tc>
      </w:tr>
    </w:tbl>
    <w:p>
      <w:pPr>
        <w:pStyle w:val="Normal"/>
        <w:widowControl/>
        <w:numPr>
          <w:ilvl w:val="0"/>
          <w:numId w:val="0"/>
        </w:numPr>
        <w:suppressAutoHyphens w:val="true"/>
        <w:bidi w:val="0"/>
        <w:spacing w:lineRule="auto" w:line="312" w:before="120" w:after="288"/>
        <w:ind w:left="0" w:right="0" w:hanging="0"/>
        <w:jc w:val="both"/>
        <w:rPr>
          <w:rFonts w:ascii="Arial" w:hAnsi="Arial" w:eastAsia="Arial"/>
          <w:b/>
          <w:b/>
          <w:bCs/>
        </w:rPr>
      </w:pPr>
      <w:r>
        <w:rPr/>
      </w:r>
    </w:p>
    <w:p>
      <w:pPr>
        <w:pStyle w:val="Normal"/>
        <w:widowControl/>
        <w:numPr>
          <w:ilvl w:val="0"/>
          <w:numId w:val="0"/>
        </w:numPr>
        <w:suppressAutoHyphens w:val="true"/>
        <w:bidi w:val="0"/>
        <w:spacing w:lineRule="auto" w:line="312" w:before="120" w:after="288"/>
        <w:ind w:left="0" w:right="0" w:hanging="0"/>
        <w:jc w:val="both"/>
        <w:rPr/>
      </w:pPr>
      <w:r>
        <w:rPr>
          <w:rFonts w:eastAsia="Arial" w:ascii="Arial" w:hAnsi="Arial"/>
          <w:b/>
          <w:bCs/>
        </w:rPr>
        <w:t xml:space="preserve">2.7.3. SIMULADO DE MATEMÁTICA: </w:t>
      </w:r>
    </w:p>
    <w:tbl>
      <w:tblPr>
        <w:tblStyle w:val="898"/>
        <w:tblpPr w:bottomFromText="0" w:horzAnchor="page" w:leftFromText="141" w:rightFromText="141" w:tblpX="979" w:tblpY="9576" w:topFromText="0" w:vertAnchor="page"/>
        <w:tblW w:w="941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643"/>
        <w:gridCol w:w="1506"/>
        <w:gridCol w:w="1578"/>
        <w:gridCol w:w="1121"/>
        <w:gridCol w:w="1804"/>
        <w:gridCol w:w="1763"/>
      </w:tblGrid>
      <w:tr>
        <w:trPr/>
        <w:tc>
          <w:tcPr>
            <w:tcW w:w="164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Ano/Série</w:t>
            </w:r>
          </w:p>
        </w:tc>
        <w:tc>
          <w:tcPr>
            <w:tcW w:w="1506"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Nº de Alunos</w:t>
            </w:r>
          </w:p>
        </w:tc>
        <w:tc>
          <w:tcPr>
            <w:tcW w:w="1578"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Simulado</w:t>
            </w:r>
          </w:p>
        </w:tc>
        <w:tc>
          <w:tcPr>
            <w:tcW w:w="1121"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Mat (Pág.)</w:t>
            </w:r>
          </w:p>
        </w:tc>
        <w:tc>
          <w:tcPr>
            <w:tcW w:w="1804"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Total por Aluno</w:t>
            </w:r>
          </w:p>
        </w:tc>
        <w:tc>
          <w:tcPr>
            <w:tcW w:w="176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Total de Cópias</w:t>
            </w:r>
          </w:p>
        </w:tc>
      </w:tr>
      <w:tr>
        <w:trPr>
          <w:trHeight w:val="339" w:hRule="atLeast"/>
        </w:trPr>
        <w:tc>
          <w:tcPr>
            <w:tcW w:w="1643" w:type="dxa"/>
            <w:tcBorders/>
            <w:shd w:color="auto" w:fill="F2F2F2" w:themeFill="background1" w:themeFillShade="f2" w:val="clear"/>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2º Ano</w:t>
            </w:r>
          </w:p>
        </w:tc>
        <w:tc>
          <w:tcPr>
            <w:tcW w:w="1506"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408</w:t>
            </w:r>
          </w:p>
        </w:tc>
        <w:tc>
          <w:tcPr>
            <w:tcW w:w="1578"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1"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w:t>
            </w:r>
          </w:p>
        </w:tc>
        <w:tc>
          <w:tcPr>
            <w:tcW w:w="180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w:t>
            </w:r>
          </w:p>
        </w:tc>
        <w:tc>
          <w:tcPr>
            <w:tcW w:w="1763"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1.632</w:t>
            </w:r>
          </w:p>
        </w:tc>
      </w:tr>
      <w:tr>
        <w:trPr/>
        <w:tc>
          <w:tcPr>
            <w:tcW w:w="164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3º Ano</w:t>
            </w:r>
          </w:p>
        </w:tc>
        <w:tc>
          <w:tcPr>
            <w:tcW w:w="1506"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354</w:t>
            </w:r>
          </w:p>
        </w:tc>
        <w:tc>
          <w:tcPr>
            <w:tcW w:w="1578"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1"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w:t>
            </w:r>
          </w:p>
        </w:tc>
        <w:tc>
          <w:tcPr>
            <w:tcW w:w="180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w:t>
            </w:r>
          </w:p>
        </w:tc>
        <w:tc>
          <w:tcPr>
            <w:tcW w:w="1763"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1.416</w:t>
            </w:r>
          </w:p>
        </w:tc>
      </w:tr>
      <w:tr>
        <w:trPr/>
        <w:tc>
          <w:tcPr>
            <w:tcW w:w="1643" w:type="dxa"/>
            <w:tcBorders/>
            <w:shd w:color="auto" w:fill="F2F2F2" w:themeFill="background1" w:themeFillShade="f2" w:val="clear"/>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4º Ano</w:t>
            </w:r>
          </w:p>
        </w:tc>
        <w:tc>
          <w:tcPr>
            <w:tcW w:w="1506"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382</w:t>
            </w:r>
          </w:p>
        </w:tc>
        <w:tc>
          <w:tcPr>
            <w:tcW w:w="1578"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1"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3"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1.146</w:t>
            </w:r>
          </w:p>
        </w:tc>
      </w:tr>
      <w:tr>
        <w:trPr/>
        <w:tc>
          <w:tcPr>
            <w:tcW w:w="1643" w:type="dxa"/>
            <w:tcBorders/>
          </w:tcPr>
          <w:p>
            <w:pPr>
              <w:pStyle w:val="Normal"/>
              <w:widowControl w:val="false"/>
              <w:spacing w:lineRule="auto" w:line="240" w:before="0" w:after="0"/>
              <w:jc w:val="left"/>
              <w:rPr>
                <w:lang w:val="pt-BR"/>
              </w:rPr>
            </w:pPr>
            <w:r>
              <w:rPr>
                <w:rFonts w:eastAsia="Arial" w:cs="Arial" w:ascii="Cambria" w:hAnsi="Cambria"/>
                <w:b/>
                <w:bCs/>
                <w:kern w:val="0"/>
                <w:sz w:val="22"/>
                <w:szCs w:val="22"/>
                <w:lang w:val="pt-BR" w:eastAsia="en-US" w:bidi="ar-SA"/>
              </w:rPr>
              <w:t>5º Ano</w:t>
            </w:r>
          </w:p>
        </w:tc>
        <w:tc>
          <w:tcPr>
            <w:tcW w:w="1506" w:type="dxa"/>
            <w:tcBorders/>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403</w:t>
            </w:r>
          </w:p>
        </w:tc>
        <w:tc>
          <w:tcPr>
            <w:tcW w:w="1578" w:type="dxa"/>
            <w:tcBorders/>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1" w:type="dxa"/>
            <w:tcBorders/>
          </w:tcPr>
          <w:p>
            <w:pPr>
              <w:pStyle w:val="Normal"/>
              <w:widowControl w:val="false"/>
              <w:spacing w:lineRule="auto" w:line="240" w:before="0" w:after="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tcPr>
          <w:p>
            <w:pPr>
              <w:pStyle w:val="Normal"/>
              <w:widowControl w:val="false"/>
              <w:spacing w:lineRule="auto" w:line="240" w:before="0" w:after="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3" w:type="dxa"/>
            <w:tcBorders/>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1.209</w:t>
            </w:r>
          </w:p>
        </w:tc>
      </w:tr>
      <w:tr>
        <w:trPr/>
        <w:tc>
          <w:tcPr>
            <w:tcW w:w="1643" w:type="dxa"/>
            <w:tcBorders/>
            <w:shd w:color="auto" w:fill="F2F2F2" w:themeFill="background1" w:themeFillShade="f2" w:val="clear"/>
          </w:tcPr>
          <w:p>
            <w:pPr>
              <w:pStyle w:val="Normal"/>
              <w:widowControl w:val="false"/>
              <w:spacing w:lineRule="auto" w:line="240" w:before="0" w:after="0"/>
              <w:jc w:val="left"/>
              <w:rPr>
                <w:lang w:val="pt-BR"/>
              </w:rPr>
            </w:pPr>
            <w:r>
              <w:rPr>
                <w:rFonts w:eastAsia="Arial" w:cs="Arial" w:ascii="Cambria" w:hAnsi="Cambria"/>
                <w:b/>
                <w:bCs/>
                <w:kern w:val="0"/>
                <w:sz w:val="22"/>
                <w:szCs w:val="22"/>
                <w:lang w:val="pt-BR" w:eastAsia="en-US" w:bidi="ar-SA"/>
              </w:rPr>
              <w:t>6º Ano</w:t>
            </w:r>
          </w:p>
        </w:tc>
        <w:tc>
          <w:tcPr>
            <w:tcW w:w="1506"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137</w:t>
            </w:r>
          </w:p>
        </w:tc>
        <w:tc>
          <w:tcPr>
            <w:tcW w:w="1578"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1"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shd w:color="auto" w:fill="F2F2F2" w:themeFill="background1" w:themeFillShade="f2" w:val="clear"/>
          </w:tcPr>
          <w:p>
            <w:pPr>
              <w:pStyle w:val="Normal"/>
              <w:widowControl w:val="false"/>
              <w:spacing w:lineRule="auto" w:line="240" w:before="0" w:after="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3" w:type="dxa"/>
            <w:tcBorders/>
            <w:shd w:color="auto" w:fill="F2F2F2" w:themeFill="background1" w:themeFillShade="f2" w:val="clear"/>
          </w:tcPr>
          <w:p>
            <w:pPr>
              <w:pStyle w:val="Normal"/>
              <w:widowControl w:val="false"/>
              <w:spacing w:lineRule="auto" w:line="240" w:before="0" w:after="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411</w:t>
            </w:r>
          </w:p>
        </w:tc>
      </w:tr>
      <w:tr>
        <w:trPr/>
        <w:tc>
          <w:tcPr>
            <w:tcW w:w="164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7º Ano</w:t>
            </w:r>
          </w:p>
        </w:tc>
        <w:tc>
          <w:tcPr>
            <w:tcW w:w="1506"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142</w:t>
            </w:r>
          </w:p>
        </w:tc>
        <w:tc>
          <w:tcPr>
            <w:tcW w:w="1578"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1"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3"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426</w:t>
            </w:r>
          </w:p>
        </w:tc>
      </w:tr>
      <w:tr>
        <w:trPr/>
        <w:tc>
          <w:tcPr>
            <w:tcW w:w="1643" w:type="dxa"/>
            <w:tcBorders/>
            <w:shd w:color="auto" w:fill="F2F2F2" w:themeFill="background1" w:themeFillShade="f2" w:val="clear"/>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8º Ano</w:t>
            </w:r>
          </w:p>
        </w:tc>
        <w:tc>
          <w:tcPr>
            <w:tcW w:w="1506"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111</w:t>
            </w:r>
          </w:p>
        </w:tc>
        <w:tc>
          <w:tcPr>
            <w:tcW w:w="1578"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1"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3"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333</w:t>
            </w:r>
          </w:p>
        </w:tc>
      </w:tr>
      <w:tr>
        <w:trPr/>
        <w:tc>
          <w:tcPr>
            <w:tcW w:w="1643" w:type="dxa"/>
            <w:tcBorders/>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9º Ano</w:t>
            </w:r>
          </w:p>
        </w:tc>
        <w:tc>
          <w:tcPr>
            <w:tcW w:w="1506"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122</w:t>
            </w:r>
          </w:p>
        </w:tc>
        <w:tc>
          <w:tcPr>
            <w:tcW w:w="1578"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Simulado 1</w:t>
            </w:r>
          </w:p>
        </w:tc>
        <w:tc>
          <w:tcPr>
            <w:tcW w:w="1121"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804" w:type="dxa"/>
            <w:tcBorders/>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w:t>
            </w:r>
          </w:p>
        </w:tc>
        <w:tc>
          <w:tcPr>
            <w:tcW w:w="1763" w:type="dxa"/>
            <w:tcBorders/>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366</w:t>
            </w:r>
          </w:p>
        </w:tc>
      </w:tr>
      <w:tr>
        <w:trPr/>
        <w:tc>
          <w:tcPr>
            <w:tcW w:w="1643" w:type="dxa"/>
            <w:tcBorders/>
            <w:shd w:color="auto" w:fill="F2F2F2" w:themeFill="background1" w:themeFillShade="f2" w:val="clear"/>
          </w:tcPr>
          <w:p>
            <w:pPr>
              <w:pStyle w:val="Normal"/>
              <w:widowControl w:val="false"/>
              <w:spacing w:lineRule="auto" w:line="276" w:before="0" w:after="200"/>
              <w:jc w:val="left"/>
              <w:rPr>
                <w:lang w:val="pt-BR"/>
              </w:rPr>
            </w:pPr>
            <w:r>
              <w:rPr>
                <w:rFonts w:eastAsia="Arial" w:cs="Arial" w:ascii="Cambria" w:hAnsi="Cambria"/>
                <w:b/>
                <w:bCs/>
                <w:kern w:val="0"/>
                <w:sz w:val="22"/>
                <w:szCs w:val="22"/>
                <w:lang w:val="pt-BR" w:eastAsia="en-US" w:bidi="ar-SA"/>
              </w:rPr>
              <w:t>TOTAL GERAL</w:t>
            </w:r>
          </w:p>
        </w:tc>
        <w:tc>
          <w:tcPr>
            <w:tcW w:w="1506"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r>
          </w:p>
        </w:tc>
        <w:tc>
          <w:tcPr>
            <w:tcW w:w="1578"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9 Simulados</w:t>
            </w:r>
          </w:p>
        </w:tc>
        <w:tc>
          <w:tcPr>
            <w:tcW w:w="1121"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r>
          </w:p>
        </w:tc>
        <w:tc>
          <w:tcPr>
            <w:tcW w:w="1804" w:type="dxa"/>
            <w:tcBorders/>
            <w:shd w:color="auto" w:fill="F2F2F2" w:themeFill="background1" w:themeFillShade="f2" w:val="clear"/>
          </w:tcPr>
          <w:p>
            <w:pPr>
              <w:pStyle w:val="Normal"/>
              <w:widowControl w:val="false"/>
              <w:spacing w:lineRule="auto" w:line="276" w:before="0" w:after="200"/>
              <w:jc w:val="center"/>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r>
          </w:p>
        </w:tc>
        <w:tc>
          <w:tcPr>
            <w:tcW w:w="1763" w:type="dxa"/>
            <w:tcBorders/>
            <w:shd w:color="auto" w:fill="F2F2F2" w:themeFill="background1" w:themeFillShade="f2" w:val="clear"/>
          </w:tcPr>
          <w:p>
            <w:pPr>
              <w:pStyle w:val="Normal"/>
              <w:widowControl w:val="false"/>
              <w:spacing w:lineRule="auto" w:line="276" w:before="0" w:after="200"/>
              <w:jc w:val="left"/>
              <w:rPr>
                <w:rFonts w:ascii="Cambria" w:hAnsi="Cambria" w:eastAsia="Arial" w:cs="Arial"/>
                <w:b w:val="false"/>
                <w:b w:val="false"/>
                <w:bCs w:val="false"/>
                <w:kern w:val="0"/>
                <w:sz w:val="22"/>
                <w:szCs w:val="22"/>
                <w:lang w:val="pt-BR" w:eastAsia="en-US" w:bidi="ar-SA"/>
              </w:rPr>
            </w:pPr>
            <w:r>
              <w:rPr>
                <w:rFonts w:eastAsia="Arial" w:cs="Arial" w:ascii="Cambria" w:hAnsi="Cambria"/>
                <w:b w:val="false"/>
                <w:bCs w:val="false"/>
                <w:kern w:val="0"/>
                <w:sz w:val="22"/>
                <w:szCs w:val="22"/>
                <w:lang w:val="pt-BR" w:eastAsia="en-US" w:bidi="ar-SA"/>
              </w:rPr>
              <w:t>6.939</w:t>
            </w:r>
          </w:p>
        </w:tc>
      </w:tr>
    </w:tbl>
    <w:p>
      <w:pPr>
        <w:pStyle w:val="Normal"/>
        <w:widowControl/>
        <w:suppressAutoHyphens w:val="true"/>
        <w:bidi w:val="0"/>
        <w:spacing w:lineRule="auto" w:line="312" w:before="120" w:after="288"/>
        <w:ind w:left="510" w:right="0" w:hanging="0"/>
        <w:jc w:val="both"/>
        <w:rPr>
          <w:rFonts w:ascii="Arial" w:hAnsi="Arial"/>
        </w:rPr>
      </w:pPr>
      <w:r>
        <w:rPr>
          <w:rFonts w:eastAsia="Arial" w:ascii="Arial" w:hAnsi="Arial"/>
          <w:b/>
          <w:bCs/>
        </w:rPr>
        <w:t>Total de cópias = Nº de Alunos × nº de páginas</w:t>
      </w:r>
    </w:p>
    <w:p>
      <w:pPr>
        <w:pStyle w:val="Normal"/>
        <w:widowControl/>
        <w:numPr>
          <w:ilvl w:val="1"/>
          <w:numId w:val="2"/>
        </w:numPr>
        <w:suppressAutoHyphens w:val="true"/>
        <w:bidi w:val="0"/>
        <w:spacing w:lineRule="auto" w:line="312" w:before="120" w:after="288"/>
        <w:ind w:left="0" w:right="0" w:hanging="0"/>
        <w:jc w:val="both"/>
        <w:rPr>
          <w:rFonts w:ascii="Arial" w:hAnsi="Arial"/>
        </w:rPr>
      </w:pPr>
      <w:r>
        <w:rPr>
          <w:rFonts w:ascii="Arial" w:hAnsi="Arial"/>
        </w:rPr>
        <w:t>As avaliações que compõem o objeto desta contratação serão aplicadas em 10 (dez) Unidades Escolares da Rede Municipal de Ensino que ofertam Anos Iniciais e/ou Anos Finais do Ensino Fundamental, conforme relação abaixo:</w:t>
      </w:r>
    </w:p>
    <w:tbl>
      <w:tblPr>
        <w:tblW w:w="10195" w:type="dxa"/>
        <w:jc w:val="left"/>
        <w:tblInd w:w="-549" w:type="dxa"/>
        <w:tblLayout w:type="fixed"/>
        <w:tblCellMar>
          <w:top w:w="0" w:type="dxa"/>
          <w:left w:w="70" w:type="dxa"/>
          <w:bottom w:w="0" w:type="dxa"/>
          <w:right w:w="70" w:type="dxa"/>
        </w:tblCellMar>
      </w:tblPr>
      <w:tblGrid>
        <w:gridCol w:w="5788"/>
        <w:gridCol w:w="4406"/>
      </w:tblGrid>
      <w:tr>
        <w:trPr>
          <w:trHeight w:val="486" w:hRule="atLeast"/>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b/>
                <w:sz w:val="20"/>
                <w:szCs w:val="20"/>
              </w:rPr>
              <w:t>ESCOLAS MUNICIPAIS</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b/>
                <w:sz w:val="20"/>
                <w:szCs w:val="20"/>
              </w:rPr>
              <w:t>ENDEREÇOS</w:t>
            </w:r>
          </w:p>
        </w:tc>
      </w:tr>
      <w:tr>
        <w:trPr>
          <w:trHeight w:val="422" w:hRule="atLeast"/>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E.M. Abel José Machado</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Rua Abel Machado nº 77 - Massambará</w:t>
            </w:r>
          </w:p>
        </w:tc>
      </w:tr>
      <w:tr>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E.M. Dep. José Carlos Vaz de Miranda (Barão)</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Rua Exp. Cândido da Luz Paiva, 53 – Barão de Vassouras</w:t>
            </w:r>
          </w:p>
        </w:tc>
      </w:tr>
      <w:tr>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E.M. Giovanni Napoli</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BR 393 Km 237 nº 57.530 - Grecco</w:t>
            </w:r>
          </w:p>
        </w:tc>
      </w:tr>
      <w:tr>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E.M. Joaquim Pinto e Souza</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Estrada Barra do Piraí x Mendes nº 6464 – Ipiranga</w:t>
            </w:r>
          </w:p>
        </w:tc>
      </w:tr>
      <w:tr>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lang w:val="en-US"/>
              </w:rPr>
              <w:t>E.M. Magally Sayão</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Av. Marechal Paulo Torres nº 677 Centro</w:t>
            </w:r>
          </w:p>
        </w:tc>
      </w:tr>
      <w:tr>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E.M. Natalino de Mello</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Rua Antonio Francisco Barbosa nº 88 Itakamosi</w:t>
            </w:r>
          </w:p>
        </w:tc>
      </w:tr>
      <w:tr>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E.M. Prefeito Pedro Ivo da Costa</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Rua Antonio Pinheiro nº 239 – Andrade Pinto</w:t>
            </w:r>
          </w:p>
        </w:tc>
      </w:tr>
      <w:tr>
        <w:trPr>
          <w:trHeight w:val="328" w:hRule="atLeast"/>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jc w:val="center"/>
              <w:rPr>
                <w:rFonts w:ascii="Arial" w:hAnsi="Arial"/>
                <w:sz w:val="20"/>
                <w:szCs w:val="20"/>
              </w:rPr>
            </w:pPr>
            <w:r>
              <w:rPr>
                <w:rFonts w:ascii="Arial" w:hAnsi="Arial"/>
                <w:sz w:val="20"/>
                <w:szCs w:val="20"/>
              </w:rPr>
              <w:t>E.M. Prefeito Severino Ananias Dias</w:t>
            </w:r>
          </w:p>
          <w:p>
            <w:pPr>
              <w:pStyle w:val="Normal"/>
              <w:widowControl w:val="false"/>
              <w:tabs>
                <w:tab w:val="clear" w:pos="408"/>
              </w:tabs>
              <w:spacing w:before="0" w:after="160"/>
              <w:jc w:val="center"/>
              <w:rPr>
                <w:rFonts w:ascii="Arial" w:hAnsi="Arial"/>
                <w:sz w:val="20"/>
                <w:szCs w:val="20"/>
              </w:rPr>
            </w:pPr>
            <w:r>
              <w:rPr>
                <w:rFonts w:ascii="Arial" w:hAnsi="Arial"/>
                <w:sz w:val="20"/>
                <w:szCs w:val="20"/>
              </w:rPr>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Rua José Batista Neto nº 301 – Residência</w:t>
            </w:r>
          </w:p>
        </w:tc>
      </w:tr>
      <w:tr>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E.M. Sagrada Família de Nazareth</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Rua São José s/nº – Andrade Costa</w:t>
            </w:r>
          </w:p>
        </w:tc>
      </w:tr>
      <w:tr>
        <w:trPr/>
        <w:tc>
          <w:tcPr>
            <w:tcW w:w="57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E.M. São Sebastião dos Ferreiros</w:t>
            </w:r>
          </w:p>
        </w:tc>
        <w:tc>
          <w:tcPr>
            <w:tcW w:w="44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408"/>
              </w:tabs>
              <w:spacing w:before="0" w:after="160"/>
              <w:jc w:val="center"/>
              <w:rPr>
                <w:rFonts w:ascii="Arial" w:hAnsi="Arial"/>
                <w:sz w:val="20"/>
                <w:szCs w:val="20"/>
              </w:rPr>
            </w:pPr>
            <w:r>
              <w:rPr>
                <w:rFonts w:ascii="Arial" w:hAnsi="Arial"/>
                <w:sz w:val="20"/>
                <w:szCs w:val="20"/>
              </w:rPr>
              <w:t>Praça da Matriz nº 13 – Ferreiros</w:t>
            </w:r>
          </w:p>
        </w:tc>
      </w:tr>
    </w:tbl>
    <w:p>
      <w:pPr>
        <w:pStyle w:val="Normal"/>
        <w:numPr>
          <w:ilvl w:val="0"/>
          <w:numId w:val="0"/>
        </w:numPr>
        <w:ind w:left="999" w:hanging="0"/>
        <w:rPr>
          <w:rFonts w:ascii="Arial" w:hAnsi="Arial"/>
        </w:rPr>
      </w:pPr>
      <w:r>
        <w:rPr>
          <w:rFonts w:ascii="Arial" w:hAnsi="Arial"/>
        </w:rPr>
      </w:r>
    </w:p>
    <w:p>
      <w:pPr>
        <w:pStyle w:val="Normal"/>
        <w:widowControl/>
        <w:numPr>
          <w:ilvl w:val="1"/>
          <w:numId w:val="2"/>
        </w:numPr>
        <w:suppressAutoHyphens w:val="true"/>
        <w:bidi w:val="0"/>
        <w:spacing w:lineRule="auto" w:line="312" w:before="120" w:after="288"/>
        <w:ind w:left="0" w:right="0" w:hanging="0"/>
        <w:jc w:val="both"/>
        <w:rPr>
          <w:rFonts w:ascii="Arial" w:hAnsi="Arial"/>
        </w:rPr>
      </w:pPr>
      <w:r>
        <w:rPr>
          <w:rFonts w:ascii="Arial" w:hAnsi="Arial"/>
        </w:rPr>
        <w:t>O objeto desta contratação está descrito no item 1.1 deste Termo.</w:t>
      </w:r>
    </w:p>
    <w:p>
      <w:pPr>
        <w:pStyle w:val="Normal"/>
        <w:keepNext w:val="true"/>
        <w:keepLines/>
        <w:numPr>
          <w:ilvl w:val="0"/>
          <w:numId w:val="2"/>
        </w:numPr>
        <w:tabs>
          <w:tab w:val="clear" w:pos="408"/>
          <w:tab w:val="left" w:pos="567" w:leader="none"/>
        </w:tabs>
        <w:spacing w:lineRule="auto" w:line="312" w:before="120" w:after="288"/>
        <w:ind w:left="0" w:hanging="0"/>
        <w:jc w:val="both"/>
        <w:rPr>
          <w:color w:val="auto"/>
        </w:rPr>
      </w:pPr>
      <w:r>
        <w:rPr>
          <w:rFonts w:eastAsia="Arial" w:ascii="Arial" w:hAnsi="Arial"/>
          <w:b/>
          <w:color w:val="auto"/>
        </w:rPr>
        <w:t>DESCRIÇÃO DA SOLUÇÃO COMO UM TODO CONSIDERADO O CICLO DE VIDA DO OBJETO E ESPECIFICAÇÃO DO PRODUTO</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 solução a ser contratada consiste na prestação de serviços de reprografia, compreendendo a produção, acabamento e fornecimento de cópias reprográficas no formato A4 (210 mm x 297 mm), monocromáticas, destinadas ao atendimento das demandas pedagógicas do Programa Aprendizagem em Foco – CaED e à aplicação de simulados da rede de ensino. A execução do serviço deverá contemplar todas as etapas do ciclo de vida do objeto, desde o recebimento dos arquivos digitais ou matrizes físicas encaminhadas pela Administração, passando pelo processamento, impressão, conferência de qualidade, organização e entrega dos materiais nos locais e prazos estabelecidos. Caberá à contratada a integral responsabilidade pelo fornecimento de equipamentos, mão de obra qualificada, insumos (tais como papel, toner e demais materiais necessários), manutenção preventiva e corretiva dos equipamentos, bem como pela logística necessária à execução do objeto. Os materiais produzidos deverão atender a padrões mínimos de qualidade, garantindo legibilidade, nitidez e uniformidade das impressões, sem falhas, manchas, borrões ou desalinhamentos que comprometam a leitura e a utilização pedagógica. As cópias deverão ser realizadas em papel branco, gramatura mínima de 75 g/m², formato A4, com impressão em preto e branco (monocromática), podendo contemplar frente e verso, quando solicitado pela Administração. A solução deverá ainda assegurar capacidade operacional compatível com a demanda da rede de ensino, especialmente em períodos de maior volume, como aplicação de avaliações e simulados, garantindo a entrega tempestiva dos materiais. A contratada deverá adotar controles de qualidade e mecanismos de rastreabilidade dos serviços prestados, assegurando conformidade com as especificações técnicas e com os quantitativos solicitados. Ao longo de todo o ciclo de vida da contratação, deverão ser observados critérios de sustentabilidade, tais como o uso racional de recursos, destinação ambientalmente adequada de resíduos (cartuchos, toners e papéis), bem como a utilização de insumos que atendam a normas ambientais vigentes, sempre que possível. Dessa forma, a solução proposta visa atender de forma integrada, eficiente e contínua às necessidades da Administração, assegurando qualidade, economicidade e confiabilidade na produção dos materiais pedagógicos indispensáveis ao desenvolvimento das atividades educacionais.</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 contratação do objeto será por meio do processo de dispensa de licitação, respeitando o quantitativo e as especificações constantes neste Termo de Referência.</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 Aplicação das Avaliações seguirá o seguinte cronograma:</w:t>
      </w:r>
    </w:p>
    <w:p>
      <w:pPr>
        <w:pStyle w:val="Normal"/>
        <w:keepNext w:val="true"/>
        <w:keepLines/>
        <w:numPr>
          <w:ilvl w:val="0"/>
          <w:numId w:val="2"/>
        </w:numPr>
        <w:tabs>
          <w:tab w:val="clear" w:pos="408"/>
          <w:tab w:val="left" w:pos="567" w:leader="none"/>
        </w:tabs>
        <w:spacing w:lineRule="auto" w:line="312" w:before="120" w:after="288"/>
        <w:ind w:left="0" w:hanging="0"/>
        <w:jc w:val="both"/>
        <w:rPr>
          <w:color w:val="auto"/>
        </w:rPr>
      </w:pPr>
      <w:r>
        <w:drawing>
          <wp:anchor behindDoc="0" distT="0" distB="0" distL="0" distR="0" simplePos="0" locked="0" layoutInCell="0" allowOverlap="1" relativeHeight="2">
            <wp:simplePos x="0" y="0"/>
            <wp:positionH relativeFrom="column">
              <wp:posOffset>-1097915</wp:posOffset>
            </wp:positionH>
            <wp:positionV relativeFrom="paragraph">
              <wp:posOffset>635</wp:posOffset>
            </wp:positionV>
            <wp:extent cx="7277100" cy="82677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7277100" cy="826770"/>
                    </a:xfrm>
                    <a:prstGeom prst="rect">
                      <a:avLst/>
                    </a:prstGeom>
                  </pic:spPr>
                </pic:pic>
              </a:graphicData>
            </a:graphic>
          </wp:anchor>
        </w:drawing>
      </w:r>
      <w:r>
        <w:rPr>
          <w:rFonts w:eastAsia="Arial" w:ascii="Arial" w:hAnsi="Arial"/>
          <w:b/>
          <w:color w:val="auto"/>
        </w:rPr>
        <w:t>R</w:t>
      </w:r>
      <w:r>
        <w:rPr>
          <w:rFonts w:eastAsia="Arial" w:ascii="Arial" w:hAnsi="Arial"/>
          <w:b/>
          <w:color w:val="auto"/>
        </w:rPr>
        <w:t>EQUISITOS DA CONTRATAÇÃO</w:t>
      </w:r>
    </w:p>
    <w:p>
      <w:pPr>
        <w:pStyle w:val="Normal"/>
        <w:keepNext w:val="true"/>
        <w:keepLines/>
        <w:tabs>
          <w:tab w:val="clear" w:pos="408"/>
          <w:tab w:val="left" w:pos="567" w:leader="none"/>
        </w:tabs>
        <w:spacing w:lineRule="auto" w:line="312" w:before="120" w:after="288"/>
        <w:ind w:firstLine="426"/>
        <w:jc w:val="both"/>
        <w:rPr>
          <w:i w:val="false"/>
          <w:i w:val="false"/>
          <w:iCs w:val="false"/>
        </w:rPr>
      </w:pPr>
      <w:r>
        <w:rPr>
          <w:rFonts w:eastAsia="Arial" w:ascii="Arial" w:hAnsi="Arial"/>
          <w:b/>
          <w:i w:val="false"/>
          <w:iCs w:val="false"/>
          <w:color w:val="auto"/>
        </w:rPr>
        <w:t xml:space="preserve">Indicação de marcas ou modelos </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iCs/>
          <w:color w:val="auto"/>
        </w:rPr>
        <w:t>Na presente contratação não há indicação de marca ou produtos.</w:t>
      </w:r>
    </w:p>
    <w:p>
      <w:pPr>
        <w:pStyle w:val="ListParagraph"/>
        <w:keepNext w:val="true"/>
        <w:keepLines/>
        <w:tabs>
          <w:tab w:val="clear" w:pos="408"/>
          <w:tab w:val="left" w:pos="567" w:leader="none"/>
        </w:tabs>
        <w:spacing w:lineRule="auto" w:line="312" w:before="120" w:after="288"/>
        <w:ind w:left="360" w:hanging="0"/>
        <w:contextualSpacing/>
        <w:jc w:val="both"/>
        <w:rPr>
          <w:color w:val="auto"/>
        </w:rPr>
      </w:pPr>
      <w:r>
        <w:rPr>
          <w:rFonts w:eastAsia="Arial" w:ascii="Arial" w:hAnsi="Arial"/>
          <w:b/>
          <w:color w:val="auto"/>
        </w:rPr>
        <w:t>Da vedação de utilização de marca/produto na execução do serviço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iCs/>
          <w:color w:val="auto"/>
        </w:rPr>
        <w:t xml:space="preserve"> </w:t>
      </w:r>
      <w:r>
        <w:rPr>
          <w:rFonts w:eastAsia="Arial" w:ascii="Arial" w:hAnsi="Arial"/>
          <w:iCs/>
          <w:color w:val="auto"/>
        </w:rPr>
        <w:t>Não há vedação de marca ou produto nesta contratação.</w:t>
      </w:r>
    </w:p>
    <w:p>
      <w:pPr>
        <w:pStyle w:val="ListParagraph"/>
        <w:keepNext w:val="true"/>
        <w:keepLines/>
        <w:tabs>
          <w:tab w:val="clear" w:pos="408"/>
          <w:tab w:val="left" w:pos="567" w:leader="none"/>
        </w:tabs>
        <w:spacing w:lineRule="auto" w:line="312" w:before="120" w:after="288"/>
        <w:ind w:left="360" w:hanging="0"/>
        <w:contextualSpacing/>
        <w:jc w:val="both"/>
        <w:rPr>
          <w:color w:val="auto"/>
        </w:rPr>
      </w:pPr>
      <w:r>
        <w:rPr>
          <w:rFonts w:eastAsia="Arial" w:ascii="Arial" w:hAnsi="Arial"/>
          <w:b/>
          <w:color w:val="auto"/>
        </w:rPr>
        <w:t>Subcontratação</w:t>
      </w:r>
    </w:p>
    <w:p>
      <w:pPr>
        <w:pStyle w:val="Normal"/>
        <w:widowControl/>
        <w:numPr>
          <w:ilvl w:val="1"/>
          <w:numId w:val="2"/>
        </w:numPr>
        <w:suppressAutoHyphens w:val="true"/>
        <w:bidi w:val="0"/>
        <w:spacing w:lineRule="auto" w:line="312" w:before="120" w:after="288"/>
        <w:ind w:left="0" w:right="0" w:hanging="57"/>
        <w:jc w:val="both"/>
        <w:rPr>
          <w:i w:val="false"/>
          <w:i w:val="false"/>
          <w:iCs w:val="false"/>
          <w:color w:val="auto"/>
        </w:rPr>
      </w:pPr>
      <w:r>
        <w:rPr>
          <w:rFonts w:eastAsia="Arial" w:ascii="Arial" w:hAnsi="Arial"/>
          <w:i w:val="false"/>
          <w:iCs w:val="false"/>
          <w:color w:val="auto"/>
        </w:rPr>
        <w:t>Não é admitida a subcontratação do objeto contratual.</w:t>
      </w:r>
    </w:p>
    <w:p>
      <w:pPr>
        <w:pStyle w:val="Normal"/>
        <w:keepNext w:val="true"/>
        <w:keepLines/>
        <w:tabs>
          <w:tab w:val="clear" w:pos="408"/>
          <w:tab w:val="left" w:pos="567" w:leader="none"/>
        </w:tabs>
        <w:spacing w:lineRule="auto" w:line="312" w:before="0" w:after="288"/>
        <w:ind w:left="357" w:hanging="0"/>
        <w:jc w:val="both"/>
        <w:rPr>
          <w:color w:val="auto"/>
        </w:rPr>
      </w:pPr>
      <w:r>
        <w:rPr>
          <w:rFonts w:eastAsia="Arial" w:ascii="Arial" w:hAnsi="Arial"/>
          <w:b/>
          <w:color w:val="auto"/>
        </w:rPr>
        <w:t>Da exigência de carta de solidariedade</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Na presente contratação não será exigida carta de solidariedade emitida pelo fabricante.</w:t>
      </w:r>
    </w:p>
    <w:p>
      <w:pPr>
        <w:pStyle w:val="ListParagraph"/>
        <w:keepNext w:val="true"/>
        <w:keepLines/>
        <w:tabs>
          <w:tab w:val="clear" w:pos="408"/>
          <w:tab w:val="left" w:pos="567" w:leader="none"/>
        </w:tabs>
        <w:spacing w:lineRule="auto" w:line="312" w:before="120" w:after="288"/>
        <w:ind w:left="360" w:hanging="0"/>
        <w:contextualSpacing/>
        <w:jc w:val="both"/>
        <w:rPr>
          <w:i w:val="false"/>
          <w:i w:val="false"/>
          <w:iCs w:val="false"/>
        </w:rPr>
      </w:pPr>
      <w:r>
        <w:rPr>
          <w:rFonts w:eastAsia="Arial" w:ascii="Arial" w:hAnsi="Arial"/>
          <w:b/>
          <w:i w:val="false"/>
          <w:iCs w:val="false"/>
          <w:color w:val="auto"/>
        </w:rPr>
        <w:t>Sustentabilidade</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 contratada deverá observar, no âmbito da execução dos serviços, práticas sustentáveis que minimizem os impactos ambientais, promovam o uso eficiente de recursos naturais e atendam à legislação ambiental vigente, em conformidade com as diretrizes estabelecidas no Guia Nacional de Contratações Sustentáveis.</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Nesse sentido, deverão ser atendidos, no mínimo, os seguintes requisitos:</w:t>
      </w:r>
    </w:p>
    <w:p>
      <w:pPr>
        <w:pStyle w:val="Normal"/>
        <w:widowControl/>
        <w:numPr>
          <w:ilvl w:val="2"/>
          <w:numId w:val="2"/>
        </w:numPr>
        <w:suppressAutoHyphens w:val="true"/>
        <w:bidi w:val="0"/>
        <w:spacing w:lineRule="auto" w:line="312" w:before="120" w:after="288"/>
        <w:ind w:left="567" w:right="0" w:hanging="0"/>
        <w:jc w:val="both"/>
        <w:rPr>
          <w:rFonts w:ascii="Arial" w:hAnsi="Arial"/>
        </w:rPr>
      </w:pPr>
      <w:r>
        <w:rPr>
          <w:rFonts w:ascii="Arial" w:hAnsi="Arial"/>
        </w:rPr>
        <w:t>Utilização de papel com certificação de origem sustentável, preferencialmente proveniente de florestas plantadas e certificadas por sistemas reconhecidos, tais como FSC (Forest Stewardship Council) ou equivalente;</w:t>
      </w:r>
    </w:p>
    <w:p>
      <w:pPr>
        <w:pStyle w:val="Normal"/>
        <w:widowControl/>
        <w:numPr>
          <w:ilvl w:val="2"/>
          <w:numId w:val="2"/>
        </w:numPr>
        <w:suppressAutoHyphens w:val="true"/>
        <w:bidi w:val="0"/>
        <w:spacing w:lineRule="auto" w:line="312" w:before="120" w:after="288"/>
        <w:ind w:left="567" w:right="0" w:hanging="0"/>
        <w:jc w:val="both"/>
        <w:rPr>
          <w:rFonts w:ascii="Arial" w:hAnsi="Arial"/>
        </w:rPr>
      </w:pPr>
      <w:r>
        <w:rPr>
          <w:rFonts w:ascii="Arial" w:hAnsi="Arial"/>
        </w:rPr>
        <w:t>Adoção de equipamentos de impressão que apresentem eficiência energética, com mecanismos de economia de energia (modo standby automático) e, sempre que possível, certificados por programas de eficiência energética reconhecidos;</w:t>
      </w:r>
    </w:p>
    <w:p>
      <w:pPr>
        <w:pStyle w:val="Normal"/>
        <w:widowControl/>
        <w:numPr>
          <w:ilvl w:val="2"/>
          <w:numId w:val="2"/>
        </w:numPr>
        <w:suppressAutoHyphens w:val="true"/>
        <w:bidi w:val="0"/>
        <w:spacing w:lineRule="auto" w:line="312" w:before="120" w:after="288"/>
        <w:ind w:left="567" w:right="0" w:hanging="0"/>
        <w:jc w:val="both"/>
        <w:rPr>
          <w:rFonts w:ascii="Arial" w:hAnsi="Arial"/>
        </w:rPr>
      </w:pPr>
      <w:r>
        <w:rPr>
          <w:rFonts w:ascii="Arial" w:hAnsi="Arial"/>
        </w:rPr>
        <w:t>Utilização de insumos (toners, cartuchos e similares) que atendam a padrões ambientais, sendo vedado o uso de produtos que contenham substâncias nocivas em níveis superiores aos permitidos pela legislação;</w:t>
      </w:r>
    </w:p>
    <w:p>
      <w:pPr>
        <w:pStyle w:val="Normal"/>
        <w:widowControl/>
        <w:numPr>
          <w:ilvl w:val="2"/>
          <w:numId w:val="2"/>
        </w:numPr>
        <w:suppressAutoHyphens w:val="true"/>
        <w:bidi w:val="0"/>
        <w:spacing w:lineRule="auto" w:line="312" w:before="120" w:after="288"/>
        <w:ind w:left="567" w:right="0" w:hanging="0"/>
        <w:jc w:val="both"/>
        <w:rPr>
          <w:rFonts w:ascii="Arial" w:hAnsi="Arial"/>
        </w:rPr>
      </w:pPr>
      <w:r>
        <w:rPr>
          <w:rFonts w:ascii="Arial" w:hAnsi="Arial"/>
        </w:rPr>
        <w:t>Implementação de programa de logística reversa ou destinação ambientalmente adequada de resíduos gerados, especialmente cartuchos, toners e embalagens, em conformidade com a Política Nacional de Resíduos Sólidos (Lei nº 12.305/2010), Decreto nº 10.936, de 12 de janeiro de 2022, a IN/SLTI/MP nº 1, de 19 de janeiro de 2010, e o Decreto nº 7.746, de 5 de junho de 2012;</w:t>
      </w:r>
    </w:p>
    <w:p>
      <w:pPr>
        <w:pStyle w:val="Normal"/>
        <w:widowControl/>
        <w:numPr>
          <w:ilvl w:val="2"/>
          <w:numId w:val="2"/>
        </w:numPr>
        <w:suppressAutoHyphens w:val="true"/>
        <w:bidi w:val="0"/>
        <w:spacing w:lineRule="auto" w:line="312" w:before="120" w:after="288"/>
        <w:ind w:left="567" w:right="0" w:hanging="0"/>
        <w:jc w:val="both"/>
        <w:rPr>
          <w:rFonts w:ascii="Arial" w:hAnsi="Arial"/>
        </w:rPr>
      </w:pPr>
      <w:r>
        <w:rPr>
          <w:rFonts w:ascii="Arial" w:hAnsi="Arial"/>
        </w:rPr>
        <w:t xml:space="preserve"> </w:t>
      </w:r>
      <w:r>
        <w:rPr>
          <w:rFonts w:ascii="Arial" w:hAnsi="Arial"/>
        </w:rPr>
        <w:t>Adoção de práticas que promovam a redução do desperdício de papel, tais como configuração padrão para impressão frente e verso, sempre que aplicável, e controle de qualidade que minimize reimpressões;</w:t>
      </w:r>
    </w:p>
    <w:p>
      <w:pPr>
        <w:pStyle w:val="Normal"/>
        <w:widowControl/>
        <w:numPr>
          <w:ilvl w:val="2"/>
          <w:numId w:val="2"/>
        </w:numPr>
        <w:suppressAutoHyphens w:val="true"/>
        <w:bidi w:val="0"/>
        <w:spacing w:lineRule="auto" w:line="312" w:before="120" w:after="288"/>
        <w:ind w:left="567" w:right="0" w:hanging="0"/>
        <w:jc w:val="both"/>
        <w:rPr>
          <w:rFonts w:ascii="Arial" w:hAnsi="Arial"/>
        </w:rPr>
      </w:pPr>
      <w:r>
        <w:rPr>
          <w:rFonts w:ascii="Arial" w:hAnsi="Arial"/>
        </w:rPr>
        <w:t>Realização de manutenção preventiva dos equipamentos, de forma a garantir seu adequado funcionamento, evitando consumo excessivo de energia e insumos;</w:t>
      </w:r>
    </w:p>
    <w:p>
      <w:pPr>
        <w:pStyle w:val="Normal"/>
        <w:widowControl/>
        <w:numPr>
          <w:ilvl w:val="2"/>
          <w:numId w:val="2"/>
        </w:numPr>
        <w:suppressAutoHyphens w:val="true"/>
        <w:bidi w:val="0"/>
        <w:spacing w:lineRule="auto" w:line="312" w:before="120" w:after="288"/>
        <w:ind w:left="567" w:right="0" w:hanging="0"/>
        <w:jc w:val="both"/>
        <w:rPr>
          <w:rFonts w:ascii="Arial" w:hAnsi="Arial"/>
        </w:rPr>
      </w:pPr>
      <w:r>
        <w:rPr>
          <w:rFonts w:ascii="Arial" w:hAnsi="Arial"/>
        </w:rPr>
        <w:t>Capacitação dos profissionais envolvidos na execução contratual quanto às boas práticas ambientais e de uso racional de recursos;</w:t>
      </w:r>
    </w:p>
    <w:p>
      <w:pPr>
        <w:pStyle w:val="Normal"/>
        <w:widowControl/>
        <w:numPr>
          <w:ilvl w:val="2"/>
          <w:numId w:val="2"/>
        </w:numPr>
        <w:suppressAutoHyphens w:val="true"/>
        <w:bidi w:val="0"/>
        <w:spacing w:lineRule="auto" w:line="312" w:before="120" w:after="288"/>
        <w:ind w:left="567" w:right="0" w:hanging="0"/>
        <w:jc w:val="both"/>
        <w:rPr/>
      </w:pPr>
      <w:r>
        <w:rPr>
          <w:rFonts w:ascii="Arial" w:hAnsi="Arial"/>
        </w:rPr>
        <w:t>Observância das normas ambientais aplicáveis, bem como comprovação, quando solicitado pela Administração, do atendimento aos critérios de sustentabilidade estabelecidos neste Termo de Referência.</w:t>
      </w:r>
    </w:p>
    <w:p>
      <w:pPr>
        <w:pStyle w:val="Normal"/>
        <w:widowControl/>
        <w:numPr>
          <w:ilvl w:val="1"/>
          <w:numId w:val="2"/>
        </w:numPr>
        <w:suppressAutoHyphens w:val="true"/>
        <w:bidi w:val="0"/>
        <w:spacing w:lineRule="auto" w:line="312" w:before="120" w:after="288"/>
        <w:ind w:left="0" w:right="0" w:hanging="0"/>
        <w:jc w:val="both"/>
        <w:rPr/>
      </w:pPr>
      <w:r>
        <w:rPr>
          <w:rFonts w:ascii="Arial" w:hAnsi="Arial"/>
        </w:rPr>
        <w:t>O atendimento a tais requisitos visa garantir que a execução do objeto ocorra de forma ambientalmente responsável, alinhada às políticas públicas de sustentabilidade e ao desenvolvimento sustentável, sem prejuízo da qualidade e eficiência dos serviços prestados.</w:t>
      </w:r>
    </w:p>
    <w:p>
      <w:pPr>
        <w:pStyle w:val="Normal"/>
        <w:keepNext w:val="true"/>
        <w:keepLines/>
        <w:tabs>
          <w:tab w:val="clear" w:pos="408"/>
          <w:tab w:val="left" w:pos="567" w:leader="none"/>
        </w:tabs>
        <w:spacing w:lineRule="auto" w:line="312" w:before="120" w:after="288"/>
        <w:ind w:left="170" w:firstLine="256"/>
        <w:jc w:val="both"/>
        <w:rPr>
          <w:color w:val="auto"/>
        </w:rPr>
      </w:pPr>
      <w:r>
        <w:rPr>
          <w:rFonts w:eastAsia="Arial" w:ascii="Arial" w:hAnsi="Arial"/>
          <w:b/>
          <w:color w:val="auto"/>
        </w:rPr>
        <w:t>Garantia da contratação</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Não será exigida a prestação de garantia contratual por parte da futura contratada, tendo em vista a natureza do objeto, que se caracteriza como serviço comum, de execução contínua e baixa complexidade operacional, não envolvendo riscos relevantes que justifiquem a imposição de tal exigência. Ademais, a não exigência de garantia visa ampliar a competitividade do certame, possibilitando a participação de um maior número de licitantes, especialmente microempresas e empresas de pequeno porte, sem prejuízo da adequada execução contratual. Ressalta-se que a Administração adotará mecanismos de acompanhamento e fiscalização do contrato, com vistas a assegurar o fiel cumprimento das obrigações pactuadas, bem como a aplicação das sanções administrativas cabíveis em caso de inadimplemento, o que mitiga eventuais riscos decorrentes da ausência de garantia.</w:t>
      </w:r>
    </w:p>
    <w:p>
      <w:pPr>
        <w:pStyle w:val="Normal"/>
        <w:keepNext w:val="true"/>
        <w:keepLines/>
        <w:numPr>
          <w:ilvl w:val="0"/>
          <w:numId w:val="2"/>
        </w:numPr>
        <w:tabs>
          <w:tab w:val="clear" w:pos="408"/>
          <w:tab w:val="left" w:pos="567" w:leader="none"/>
        </w:tabs>
        <w:spacing w:lineRule="auto" w:line="312" w:before="120" w:after="288"/>
        <w:jc w:val="both"/>
        <w:rPr>
          <w:color w:val="auto"/>
        </w:rPr>
      </w:pPr>
      <w:r>
        <w:rPr>
          <w:rFonts w:eastAsia="Arial" w:ascii="Arial" w:hAnsi="Arial"/>
          <w:b/>
          <w:color w:val="auto"/>
        </w:rPr>
        <w:t>MODELO DE EXECUÇÃO DO OBJETO</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Condições de execução</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 execução do objeto seguirá a seguinte dinâmica:</w:t>
      </w:r>
    </w:p>
    <w:p>
      <w:pPr>
        <w:pStyle w:val="Normal"/>
        <w:widowControl/>
        <w:numPr>
          <w:ilvl w:val="2"/>
          <w:numId w:val="2"/>
        </w:numPr>
        <w:suppressAutoHyphens w:val="true"/>
        <w:bidi w:val="0"/>
        <w:spacing w:lineRule="auto" w:line="312" w:before="120" w:after="288"/>
        <w:ind w:left="567" w:right="0" w:hanging="0"/>
        <w:jc w:val="both"/>
        <w:rPr>
          <w:i w:val="false"/>
          <w:i w:val="false"/>
          <w:iCs w:val="false"/>
          <w:color w:val="auto"/>
        </w:rPr>
      </w:pPr>
      <w:r>
        <w:rPr>
          <w:rFonts w:eastAsia="Arial" w:ascii="Arial" w:hAnsi="Arial"/>
          <w:i w:val="false"/>
          <w:iCs w:val="false"/>
          <w:color w:val="auto"/>
        </w:rPr>
        <w:t>Início da execução do objeto: até 03 (três) dias após a assinatura do contrato OU da emissão da ordem de serviço;</w:t>
      </w:r>
    </w:p>
    <w:p>
      <w:pPr>
        <w:pStyle w:val="Normal"/>
        <w:widowControl/>
        <w:numPr>
          <w:ilvl w:val="2"/>
          <w:numId w:val="2"/>
        </w:numPr>
        <w:suppressAutoHyphens w:val="true"/>
        <w:bidi w:val="0"/>
        <w:spacing w:lineRule="auto" w:line="312" w:before="120" w:after="288"/>
        <w:ind w:left="567" w:right="0" w:hanging="0"/>
        <w:jc w:val="both"/>
        <w:rPr>
          <w:i w:val="false"/>
          <w:i w:val="false"/>
          <w:iCs w:val="false"/>
          <w:color w:val="auto"/>
        </w:rPr>
      </w:pPr>
      <w:r>
        <w:rPr>
          <w:rFonts w:eastAsia="Arial" w:ascii="Arial" w:hAnsi="Arial"/>
          <w:i w:val="false"/>
          <w:iCs w:val="false"/>
          <w:color w:val="auto"/>
        </w:rPr>
        <w:t>A execução do objeto ocorrerá de forma parcelada, mediante solicitações emitidas pela Diretoria Pedagógica da Secretaria Municipal de Educação (SME), conforme o cronograma de aplicação das avaliações.</w:t>
      </w:r>
    </w:p>
    <w:p>
      <w:pPr>
        <w:pStyle w:val="Normal"/>
        <w:widowControl/>
        <w:numPr>
          <w:ilvl w:val="2"/>
          <w:numId w:val="2"/>
        </w:numPr>
        <w:suppressAutoHyphens w:val="true"/>
        <w:bidi w:val="0"/>
        <w:spacing w:lineRule="auto" w:line="312" w:before="120" w:after="288"/>
        <w:ind w:left="567" w:right="0" w:hanging="0"/>
        <w:jc w:val="both"/>
        <w:rPr>
          <w:rFonts w:ascii="Arial" w:hAnsi="Arial"/>
          <w:i w:val="false"/>
          <w:i w:val="false"/>
          <w:iCs w:val="false"/>
          <w:color w:val="auto"/>
        </w:rPr>
      </w:pPr>
      <w:r>
        <w:drawing>
          <wp:anchor behindDoc="0" distT="0" distB="0" distL="0" distR="0" simplePos="0" locked="0" layoutInCell="0" allowOverlap="1" relativeHeight="3">
            <wp:simplePos x="0" y="0"/>
            <wp:positionH relativeFrom="column">
              <wp:posOffset>-1013460</wp:posOffset>
            </wp:positionH>
            <wp:positionV relativeFrom="paragraph">
              <wp:posOffset>635</wp:posOffset>
            </wp:positionV>
            <wp:extent cx="7103110" cy="795020"/>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3"/>
                    <a:stretch>
                      <a:fillRect/>
                    </a:stretch>
                  </pic:blipFill>
                  <pic:spPr bwMode="auto">
                    <a:xfrm>
                      <a:off x="0" y="0"/>
                      <a:ext cx="7103110" cy="795020"/>
                    </a:xfrm>
                    <a:prstGeom prst="rect">
                      <a:avLst/>
                    </a:prstGeom>
                  </pic:spPr>
                </pic:pic>
              </a:graphicData>
            </a:graphic>
          </wp:anchor>
        </w:drawing>
      </w:r>
      <w:r>
        <w:rPr>
          <w:rFonts w:ascii="Arial" w:hAnsi="Arial"/>
          <w:i w:val="false"/>
          <w:iCs w:val="false"/>
          <w:color w:val="auto"/>
        </w:rPr>
        <w:t>A</w:t>
      </w:r>
      <w:r>
        <w:rPr>
          <w:rFonts w:ascii="Arial" w:hAnsi="Arial"/>
          <w:i w:val="false"/>
          <w:iCs w:val="false"/>
          <w:color w:val="auto"/>
        </w:rPr>
        <w:t xml:space="preserve"> Secretaria Municipal de Educação encaminhará as ordens de serviço (ou requisições) à Contratada com antecedência para que as cópias sejam reproduzidas em tempo hábil para a aplicação das avaliações.</w:t>
      </w:r>
    </w:p>
    <w:p>
      <w:pPr>
        <w:pStyle w:val="Normal"/>
        <w:widowControl/>
        <w:numPr>
          <w:ilvl w:val="2"/>
          <w:numId w:val="2"/>
        </w:numPr>
        <w:suppressAutoHyphens w:val="true"/>
        <w:bidi w:val="0"/>
        <w:spacing w:lineRule="auto" w:line="312" w:before="120" w:after="288"/>
        <w:ind w:left="567" w:right="0" w:hanging="0"/>
        <w:jc w:val="both"/>
        <w:rPr>
          <w:rFonts w:ascii="Arial" w:hAnsi="Arial"/>
          <w:i w:val="false"/>
          <w:i w:val="false"/>
          <w:iCs w:val="false"/>
          <w:color w:val="auto"/>
        </w:rPr>
      </w:pPr>
      <w:r>
        <w:rPr>
          <w:rFonts w:ascii="Arial" w:hAnsi="Arial"/>
          <w:i w:val="false"/>
          <w:iCs w:val="false"/>
          <w:color w:val="auto"/>
        </w:rPr>
        <w:t xml:space="preserve"> </w:t>
      </w:r>
      <w:r>
        <w:rPr>
          <w:rFonts w:ascii="Arial" w:hAnsi="Arial"/>
          <w:i w:val="false"/>
          <w:iCs w:val="false"/>
          <w:color w:val="auto"/>
        </w:rPr>
        <w:t xml:space="preserve">Junto à requisição, a SMED disponibilizará a matriz da avaliação em formato digital seguro (PDF) ou físico, indicando: </w:t>
      </w:r>
    </w:p>
    <w:p>
      <w:pPr>
        <w:pStyle w:val="Normal"/>
        <w:widowControl/>
        <w:numPr>
          <w:ilvl w:val="0"/>
          <w:numId w:val="0"/>
        </w:numPr>
        <w:suppressAutoHyphens w:val="true"/>
        <w:bidi w:val="0"/>
        <w:spacing w:lineRule="auto" w:line="312" w:before="0" w:after="60"/>
        <w:ind w:left="1134" w:right="0" w:hanging="0"/>
        <w:jc w:val="both"/>
        <w:rPr/>
      </w:pPr>
      <w:r>
        <w:rPr>
          <w:rFonts w:ascii="Arial" w:hAnsi="Arial"/>
          <w:i w:val="false"/>
          <w:iCs w:val="false"/>
          <w:color w:val="auto"/>
        </w:rPr>
        <w:t xml:space="preserve">    • </w:t>
      </w:r>
      <w:r>
        <w:rPr>
          <w:rFonts w:ascii="Arial" w:hAnsi="Arial"/>
          <w:i w:val="false"/>
          <w:iCs w:val="false"/>
          <w:color w:val="auto"/>
        </w:rPr>
        <w:t>Quantidade exata de cópias por unidade escolar;</w:t>
      </w:r>
    </w:p>
    <w:p>
      <w:pPr>
        <w:pStyle w:val="Normal"/>
        <w:widowControl/>
        <w:numPr>
          <w:ilvl w:val="0"/>
          <w:numId w:val="0"/>
        </w:numPr>
        <w:suppressAutoHyphens w:val="true"/>
        <w:bidi w:val="0"/>
        <w:spacing w:lineRule="auto" w:line="312" w:before="0" w:after="60"/>
        <w:ind w:left="1134" w:right="0" w:hanging="0"/>
        <w:jc w:val="both"/>
        <w:rPr/>
      </w:pPr>
      <w:r>
        <w:rPr>
          <w:rFonts w:ascii="Arial" w:hAnsi="Arial"/>
          <w:i w:val="false"/>
          <w:iCs w:val="false"/>
          <w:color w:val="auto"/>
        </w:rPr>
        <w:t xml:space="preserve">    • </w:t>
      </w:r>
      <w:r>
        <w:rPr>
          <w:rFonts w:ascii="Arial" w:hAnsi="Arial"/>
          <w:i w:val="false"/>
          <w:iCs w:val="false"/>
          <w:color w:val="auto"/>
        </w:rPr>
        <w:t>Tipo de acabamento necessário (ex: grampeado, frente e verso, paginação);</w:t>
      </w:r>
    </w:p>
    <w:p>
      <w:pPr>
        <w:pStyle w:val="Normal"/>
        <w:widowControl/>
        <w:numPr>
          <w:ilvl w:val="0"/>
          <w:numId w:val="0"/>
        </w:numPr>
        <w:suppressAutoHyphens w:val="true"/>
        <w:bidi w:val="0"/>
        <w:spacing w:lineRule="auto" w:line="312" w:before="0" w:after="60"/>
        <w:ind w:left="1134" w:right="0" w:hanging="0"/>
        <w:jc w:val="both"/>
        <w:rPr/>
      </w:pPr>
      <w:r>
        <w:rPr>
          <w:rFonts w:ascii="Arial" w:hAnsi="Arial"/>
          <w:i w:val="false"/>
          <w:iCs w:val="false"/>
          <w:color w:val="auto"/>
        </w:rPr>
        <w:t xml:space="preserve">    •  </w:t>
      </w:r>
      <w:r>
        <w:rPr>
          <w:rFonts w:ascii="Arial" w:hAnsi="Arial"/>
          <w:i w:val="false"/>
          <w:iCs w:val="false"/>
          <w:color w:val="auto"/>
        </w:rPr>
        <w:t>Prazo limite e local de entrega.</w:t>
      </w:r>
    </w:p>
    <w:p>
      <w:pPr>
        <w:pStyle w:val="Normal"/>
        <w:widowControl/>
        <w:numPr>
          <w:ilvl w:val="2"/>
          <w:numId w:val="2"/>
        </w:numPr>
        <w:suppressAutoHyphens w:val="true"/>
        <w:bidi w:val="0"/>
        <w:spacing w:lineRule="auto" w:line="312" w:before="120" w:after="288"/>
        <w:ind w:left="567" w:right="0" w:hanging="0"/>
        <w:jc w:val="both"/>
        <w:rPr>
          <w:i w:val="false"/>
          <w:i w:val="false"/>
          <w:iCs w:val="false"/>
          <w:color w:val="auto"/>
        </w:rPr>
      </w:pPr>
      <w:r>
        <w:rPr>
          <w:rFonts w:eastAsia="Arial" w:ascii="Arial" w:hAnsi="Arial"/>
          <w:i w:val="false"/>
          <w:iCs w:val="false"/>
          <w:color w:val="auto"/>
        </w:rPr>
        <w:t>A Contratada deverá confirmar o recebimento da demanda e do arquivo em até 2 horas, reportando imediatamente qualquer inconformidade ou ilegibilidade na matriz enviada.</w:t>
      </w:r>
    </w:p>
    <w:p>
      <w:pPr>
        <w:pStyle w:val="Normal"/>
        <w:widowControl/>
        <w:numPr>
          <w:ilvl w:val="2"/>
          <w:numId w:val="2"/>
        </w:numPr>
        <w:suppressAutoHyphens w:val="true"/>
        <w:bidi w:val="0"/>
        <w:spacing w:lineRule="auto" w:line="312" w:before="120" w:after="288"/>
        <w:ind w:left="567" w:right="0" w:hanging="0"/>
        <w:jc w:val="both"/>
        <w:rPr>
          <w:i w:val="false"/>
          <w:i w:val="false"/>
          <w:iCs w:val="false"/>
          <w:color w:val="auto"/>
        </w:rPr>
      </w:pPr>
      <w:r>
        <w:rPr>
          <w:rFonts w:eastAsia="Arial" w:ascii="Arial" w:hAnsi="Arial"/>
          <w:i w:val="false"/>
          <w:iCs w:val="false"/>
          <w:color w:val="auto"/>
        </w:rPr>
        <w:t>As impressões/cópias deverão apresentar perfeita legibilidade, nitidez de caracteres, gráficos e imagens, sem borrões, manchas, falhas de entintamento ou páginas cortadas, podendo contemplar frente e verso, quando solicitado pela Administração.</w:t>
      </w:r>
    </w:p>
    <w:p>
      <w:pPr>
        <w:pStyle w:val="Normal"/>
        <w:widowControl/>
        <w:numPr>
          <w:ilvl w:val="2"/>
          <w:numId w:val="2"/>
        </w:numPr>
        <w:suppressAutoHyphens w:val="true"/>
        <w:bidi w:val="0"/>
        <w:spacing w:lineRule="auto" w:line="312" w:before="120" w:after="288"/>
        <w:ind w:left="567" w:right="0" w:hanging="0"/>
        <w:jc w:val="both"/>
        <w:rPr>
          <w:i w:val="false"/>
          <w:i w:val="false"/>
          <w:iCs w:val="false"/>
          <w:color w:val="auto"/>
        </w:rPr>
      </w:pPr>
      <w:r>
        <w:rPr>
          <w:rFonts w:eastAsia="Arial" w:ascii="Arial" w:hAnsi="Arial"/>
          <w:i w:val="false"/>
          <w:iCs w:val="false"/>
          <w:color w:val="auto"/>
        </w:rPr>
        <w:t>O papel utilizado deverá ter gramatura mínima de 75 g/m², formato A4, com impressão monocromática, de cor branca.</w:t>
      </w:r>
    </w:p>
    <w:p>
      <w:pPr>
        <w:pStyle w:val="Normal"/>
        <w:widowControl/>
        <w:numPr>
          <w:ilvl w:val="2"/>
          <w:numId w:val="2"/>
        </w:numPr>
        <w:suppressAutoHyphens w:val="true"/>
        <w:bidi w:val="0"/>
        <w:spacing w:lineRule="auto" w:line="312" w:before="120" w:after="288"/>
        <w:ind w:left="567" w:right="0" w:hanging="0"/>
        <w:jc w:val="both"/>
        <w:rPr>
          <w:i w:val="false"/>
          <w:i w:val="false"/>
          <w:iCs w:val="false"/>
          <w:color w:val="auto"/>
        </w:rPr>
      </w:pPr>
      <w:r>
        <w:rPr>
          <w:rFonts w:eastAsia="Arial" w:ascii="Arial" w:hAnsi="Arial"/>
          <w:i w:val="false"/>
          <w:iCs w:val="false"/>
          <w:color w:val="auto"/>
        </w:rPr>
        <w:t>A etapa de acabamento, que abrange o agrupamento por unidade escolar/turma e a respectiva grampeação, deverá ser realizada minuciosamente, assegurando a total integridade física de cada avaliação. Este processo está condicionado ao estrito cumprimento das diretrizes estabelecidas pela pela Diretoria Pedagógica da Secretaria Municipal de Educação.</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Local da prestação dos serviços</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 xml:space="preserve">Os serviços serão prestados na sede da Contratada e as cópias enviadas </w:t>
      </w:r>
      <w:r>
        <w:rPr>
          <w:rFonts w:eastAsia="Arial" w:cs="Arial" w:ascii="Arial" w:hAnsi="Arial"/>
          <w:i w:val="false"/>
          <w:iCs w:val="false"/>
          <w:color w:val="auto"/>
          <w:kern w:val="0"/>
          <w:sz w:val="20"/>
          <w:szCs w:val="20"/>
          <w:lang w:val="pt-BR" w:eastAsia="pt-BR" w:bidi="ar-SA"/>
        </w:rPr>
        <w:t>respeitando quantitativo, local de entrega e</w:t>
      </w:r>
      <w:r>
        <w:rPr>
          <w:rFonts w:eastAsia="Arial" w:ascii="Arial" w:hAnsi="Arial"/>
          <w:i w:val="false"/>
          <w:iCs w:val="false"/>
          <w:color w:val="auto"/>
        </w:rPr>
        <w:t xml:space="preserve"> prazo estabelecidos pela Secretaria Municipal de Educação.</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Materiais a serem disponibilizados</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 empresa Contratada será a única e exclusiva responsável pela gestão integral do serviço de reprodução de cópias, assumindo todos os custos operacionais, logísticos e administrativos correlatos, incluindo mão de obra e funcionários, maquinário e equipamentos, insumos, materiais, logística e distribuição.</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Condições de Entrega</w:t>
      </w:r>
    </w:p>
    <w:p>
      <w:pPr>
        <w:pStyle w:val="Normal"/>
        <w:widowControl/>
        <w:numPr>
          <w:ilvl w:val="1"/>
          <w:numId w:val="2"/>
        </w:numPr>
        <w:suppressAutoHyphens w:val="true"/>
        <w:bidi w:val="0"/>
        <w:spacing w:lineRule="auto" w:line="312" w:before="120" w:after="288"/>
        <w:ind w:left="0" w:right="0" w:hanging="0"/>
        <w:jc w:val="both"/>
        <w:rPr>
          <w:b w:val="false"/>
          <w:b w:val="false"/>
          <w:bCs w:val="false"/>
          <w:i w:val="false"/>
          <w:i w:val="false"/>
          <w:iCs w:val="false"/>
          <w:color w:val="auto"/>
        </w:rPr>
      </w:pPr>
      <w:r>
        <w:rPr>
          <w:rFonts w:eastAsia="Arial" w:ascii="Arial" w:hAnsi="Arial"/>
          <w:b w:val="false"/>
          <w:bCs w:val="false"/>
          <w:i w:val="false"/>
          <w:iCs w:val="false"/>
          <w:color w:val="auto"/>
        </w:rPr>
        <w:t xml:space="preserve">A entrega do material deverá ocorrer nos endereços indicados pela Secretaria Municipal de Educação, em prazo não superior 05 (cinco) dias úteis, contados do envio do pedido, sendo realizadas de segunda a sexta-feira, das 8h às 16h, após prévio agendamento que dar-se-á através do e-mail </w:t>
      </w:r>
      <w:hyperlink r:id="rId4">
        <w:r>
          <w:rPr>
            <w:rStyle w:val="LinkdaInternet"/>
            <w:rFonts w:eastAsia="Arial" w:ascii="Arial" w:hAnsi="Arial"/>
            <w:b w:val="false"/>
            <w:bCs w:val="false"/>
            <w:i w:val="false"/>
            <w:iCs w:val="false"/>
            <w:color w:val="auto"/>
            <w:u w:val="none"/>
          </w:rPr>
          <w:t>vassourassmed@gmail.com</w:t>
        </w:r>
      </w:hyperlink>
      <w:r>
        <w:rPr>
          <w:rFonts w:eastAsia="Arial" w:ascii="Arial" w:hAnsi="Arial"/>
          <w:b w:val="false"/>
          <w:bCs w:val="false"/>
          <w:i w:val="false"/>
          <w:iCs w:val="false"/>
          <w:color w:val="auto"/>
        </w:rPr>
        <w:t>.</w:t>
      </w:r>
    </w:p>
    <w:p>
      <w:pPr>
        <w:pStyle w:val="Normal"/>
        <w:widowControl/>
        <w:numPr>
          <w:ilvl w:val="1"/>
          <w:numId w:val="2"/>
        </w:numPr>
        <w:suppressAutoHyphens w:val="true"/>
        <w:bidi w:val="0"/>
        <w:spacing w:lineRule="auto" w:line="312" w:before="120" w:after="288"/>
        <w:ind w:left="0" w:right="0" w:hanging="0"/>
        <w:jc w:val="both"/>
        <w:rPr/>
      </w:pPr>
      <w:r>
        <w:rPr>
          <w:rFonts w:eastAsia="Arial" w:cs="Arial" w:ascii="Arial" w:hAnsi="Arial"/>
          <w:b w:val="false"/>
          <w:bCs w:val="false"/>
          <w:i w:val="false"/>
          <w:iCs w:val="false"/>
          <w:color w:val="auto"/>
          <w:kern w:val="0"/>
          <w:sz w:val="20"/>
          <w:szCs w:val="20"/>
          <w:lang w:val="pt-BR" w:eastAsia="pt-BR" w:bidi="ar-SA"/>
        </w:rPr>
        <w:t>A</w:t>
      </w:r>
      <w:r>
        <w:rPr>
          <w:rFonts w:eastAsia="Arial" w:ascii="Arial" w:hAnsi="Arial"/>
          <w:b w:val="false"/>
          <w:bCs w:val="false"/>
          <w:i w:val="false"/>
          <w:iCs w:val="false"/>
          <w:color w:val="auto"/>
        </w:rPr>
        <w:t xml:space="preserve"> entrega dos materiais requisitados deverá ser acompanhada das Notas Fiscais (uma para cada Unidade Escolar), constando os itens entregues na Unidade, contendo os dados bancários para pagamentos (banco, agência, conta, etc.). Nas Notas Fiscais deverá constar a referência de cada Nota de Empenho, bem como apresentar cópia do empenho, certidões negativas de débito Municipais, Estaduais (da Procuradoria e da Fazenda), Federais, da dívida ativa da União, de regularidade junto ao FGTS e CNDT.</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b w:val="false"/>
          <w:bCs w:val="false"/>
          <w:i w:val="false"/>
          <w:iCs w:val="false"/>
          <w:color w:val="auto"/>
        </w:rPr>
        <w:t xml:space="preserve">Na eventualidade de se verificarem desacordo na entrega dos produtos com o empenho a empresa deverá corrigir no prazo de 02 (dois) dias após a indicação. </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b w:val="false"/>
          <w:bCs w:val="false"/>
          <w:i w:val="false"/>
          <w:iCs w:val="false"/>
          <w:color w:val="auto"/>
        </w:rPr>
        <w:t>Todos os itens entregues deverão estar em perfeitas condições de uso.</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b w:val="false"/>
          <w:bCs w:val="false"/>
          <w:i w:val="false"/>
          <w:iCs w:val="false"/>
          <w:color w:val="auto"/>
        </w:rPr>
        <w:t>É reservado ao CONTRATANTE o direito de recusar o recebimento da mercadoria que não atenda às especificações exigidas, que se apresentar visivelmente violada, ou na hipótese de ser verificada qualquer outra irregularidade.</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b w:val="false"/>
          <w:bCs w:val="false"/>
          <w:i w:val="false"/>
          <w:iCs w:val="false"/>
          <w:color w:val="auto"/>
        </w:rPr>
        <w:t>O recebimento da mercadoria não desobriga a CONTRATADA de substituí-las, e se for constatada, posteriormente má qualidade, vícios ou defeito, ficando sujeita às penalidades previstas neste instrumento e na legislação aplicável.</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b w:val="false"/>
          <w:bCs w:val="false"/>
          <w:i w:val="false"/>
          <w:iCs w:val="false"/>
          <w:color w:val="auto"/>
        </w:rPr>
        <w:t>Caso se faça necessário o pedido de prorrogação de prazo para a entrega dos materiais, este somente será reconhecido pela Secretaria Municipal de Educação caso o mesmo seja devidamente fundamentado e encaminhado à SMED, antes de expirar o prazo contratual inicialmente estabelecido.</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b w:val="false"/>
          <w:bCs w:val="false"/>
          <w:i w:val="false"/>
          <w:iCs w:val="false"/>
          <w:color w:val="auto"/>
        </w:rPr>
        <w:t>A empresa licitante vencedora ficará obrigada a trocar, às suas expensas, o material que vier a ser recusado, sendo que o ato do recebimento não importará a sua aceitação.</w:t>
      </w:r>
    </w:p>
    <w:p>
      <w:pPr>
        <w:pStyle w:val="Normal"/>
        <w:widowControl/>
        <w:numPr>
          <w:ilvl w:val="0"/>
          <w:numId w:val="0"/>
        </w:numPr>
        <w:suppressAutoHyphens w:val="true"/>
        <w:bidi w:val="0"/>
        <w:spacing w:lineRule="auto" w:line="312" w:before="120" w:after="288"/>
        <w:ind w:left="999" w:right="0" w:hanging="0"/>
        <w:jc w:val="both"/>
        <w:rPr>
          <w:b/>
          <w:b/>
          <w:bCs/>
        </w:rPr>
      </w:pPr>
      <w:r>
        <w:rPr>
          <w:rFonts w:eastAsia="Arial" w:ascii="Arial" w:hAnsi="Arial"/>
          <w:b/>
          <w:bCs/>
          <w:i w:val="false"/>
          <w:iCs w:val="false"/>
          <w:color w:val="auto"/>
        </w:rPr>
        <w:t>Do Local de Entrega</w:t>
      </w:r>
    </w:p>
    <w:p>
      <w:pPr>
        <w:pStyle w:val="Normal"/>
        <w:widowControl/>
        <w:numPr>
          <w:ilvl w:val="1"/>
          <w:numId w:val="2"/>
        </w:numPr>
        <w:suppressAutoHyphens w:val="true"/>
        <w:bidi w:val="0"/>
        <w:spacing w:lineRule="auto" w:line="312" w:before="120" w:after="288"/>
        <w:ind w:left="0" w:right="0" w:hanging="0"/>
        <w:jc w:val="both"/>
        <w:rPr>
          <w:b w:val="false"/>
          <w:b w:val="false"/>
          <w:bCs w:val="false"/>
        </w:rPr>
      </w:pPr>
      <w:r>
        <w:rPr>
          <w:rFonts w:eastAsia="Arial" w:ascii="Arial" w:hAnsi="Arial"/>
          <w:b w:val="false"/>
          <w:bCs w:val="false"/>
          <w:i w:val="false"/>
          <w:iCs w:val="false"/>
          <w:color w:val="auto"/>
        </w:rPr>
        <w:t>Os endereços e locais de entrega encontram-se no ANEXO I deste Termo de Referência.</w:t>
      </w:r>
    </w:p>
    <w:p>
      <w:pPr>
        <w:pStyle w:val="Normal"/>
        <w:widowControl/>
        <w:numPr>
          <w:ilvl w:val="0"/>
          <w:numId w:val="0"/>
        </w:numPr>
        <w:suppressAutoHyphens w:val="true"/>
        <w:bidi w:val="0"/>
        <w:spacing w:lineRule="auto" w:line="312" w:before="120" w:after="288"/>
        <w:ind w:left="0" w:right="0" w:hanging="0"/>
        <w:jc w:val="both"/>
        <w:rPr>
          <w:b/>
          <w:b/>
          <w:bCs/>
        </w:rPr>
      </w:pPr>
      <w:r>
        <w:rPr>
          <w:rFonts w:eastAsia="Arial" w:ascii="Arial" w:hAnsi="Arial"/>
          <w:b/>
          <w:bCs/>
          <w:i w:val="false"/>
          <w:iCs w:val="false"/>
          <w:color w:val="auto"/>
        </w:rPr>
        <w:t>Sigilo e Confidencialidade</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b w:val="false"/>
          <w:bCs w:val="false"/>
          <w:i w:val="false"/>
          <w:iCs w:val="false"/>
          <w:color w:val="auto"/>
        </w:rPr>
        <w:t>A Contratada responderá civil e criminalmente pelo vazamento ou divulgação, total ou parcial, do conteúdo de qualquer avaliação/prova confiada à sua execução.</w:t>
      </w:r>
    </w:p>
    <w:p>
      <w:pPr>
        <w:pStyle w:val="Normal"/>
        <w:widowControl/>
        <w:numPr>
          <w:ilvl w:val="1"/>
          <w:numId w:val="2"/>
        </w:numPr>
        <w:suppressAutoHyphens w:val="true"/>
        <w:bidi w:val="0"/>
        <w:spacing w:lineRule="auto" w:line="312" w:before="120" w:after="288"/>
        <w:ind w:left="0" w:right="0" w:hanging="0"/>
        <w:jc w:val="both"/>
        <w:rPr>
          <w:rFonts w:ascii="Arial" w:hAnsi="Arial"/>
        </w:rPr>
      </w:pPr>
      <w:r>
        <w:rPr>
          <w:rFonts w:ascii="Arial" w:hAnsi="Arial"/>
        </w:rPr>
        <w:t>Considerando a natureza sigilosa das avaliações, a Contratada deverá:</w:t>
      </w:r>
    </w:p>
    <w:p>
      <w:pPr>
        <w:pStyle w:val="Corpodotexto"/>
        <w:widowControl/>
        <w:numPr>
          <w:ilvl w:val="2"/>
          <w:numId w:val="2"/>
        </w:numPr>
        <w:suppressAutoHyphens w:val="true"/>
        <w:bidi w:val="0"/>
        <w:spacing w:lineRule="auto" w:line="312" w:before="120" w:after="288"/>
        <w:ind w:left="567" w:right="0" w:hanging="0"/>
        <w:jc w:val="both"/>
        <w:rPr>
          <w:color w:val="C9211E"/>
        </w:rPr>
      </w:pPr>
      <w:r>
        <w:rPr>
          <w:rFonts w:eastAsia="Arial" w:ascii="Arial" w:hAnsi="Arial"/>
          <w:i w:val="false"/>
          <w:iCs w:val="false"/>
          <w:color w:val="auto"/>
          <w:sz w:val="20"/>
          <w:szCs w:val="20"/>
        </w:rPr>
        <w:t>Manter absoluto sigilo sobre todo o conteúdo dos documentos recebidos</w:t>
      </w:r>
      <w:r>
        <w:rPr>
          <w:rFonts w:eastAsia="Arial" w:ascii="Arial" w:hAnsi="Arial"/>
          <w:i/>
          <w:color w:val="C9211E"/>
        </w:rPr>
        <w:t xml:space="preserve">; </w:t>
      </w:r>
    </w:p>
    <w:p>
      <w:pPr>
        <w:pStyle w:val="Corpodotexto"/>
        <w:widowControl/>
        <w:numPr>
          <w:ilvl w:val="2"/>
          <w:numId w:val="2"/>
        </w:numPr>
        <w:suppressAutoHyphens w:val="true"/>
        <w:bidi w:val="0"/>
        <w:spacing w:lineRule="auto" w:line="312" w:before="120" w:after="288"/>
        <w:ind w:left="567" w:right="0" w:hanging="0"/>
        <w:jc w:val="both"/>
        <w:rPr>
          <w:rFonts w:ascii="Arial" w:hAnsi="Arial"/>
          <w:color w:val="auto"/>
          <w:sz w:val="20"/>
          <w:szCs w:val="20"/>
        </w:rPr>
      </w:pPr>
      <w:r>
        <w:rPr>
          <w:rFonts w:ascii="Arial" w:hAnsi="Arial"/>
          <w:color w:val="auto"/>
          <w:sz w:val="20"/>
          <w:szCs w:val="20"/>
        </w:rPr>
        <w:t xml:space="preserve">Restringir o acesso aos arquivos e materiais impressos apenas aos profissionais envolvidos na execução do serviço; </w:t>
      </w:r>
    </w:p>
    <w:p>
      <w:pPr>
        <w:pStyle w:val="Corpodotexto"/>
        <w:widowControl/>
        <w:numPr>
          <w:ilvl w:val="2"/>
          <w:numId w:val="2"/>
        </w:numPr>
        <w:suppressAutoHyphens w:val="true"/>
        <w:bidi w:val="0"/>
        <w:spacing w:lineRule="auto" w:line="312" w:before="120" w:after="288"/>
        <w:ind w:left="567" w:right="0" w:hanging="0"/>
        <w:jc w:val="both"/>
        <w:rPr>
          <w:rFonts w:ascii="Arial" w:hAnsi="Arial"/>
          <w:color w:val="auto"/>
          <w:sz w:val="20"/>
          <w:szCs w:val="20"/>
        </w:rPr>
      </w:pPr>
      <w:r>
        <w:rPr>
          <w:rFonts w:ascii="Arial" w:hAnsi="Arial"/>
          <w:color w:val="auto"/>
          <w:sz w:val="20"/>
          <w:szCs w:val="20"/>
        </w:rPr>
        <w:t xml:space="preserve">Não reproduzir, divulgar ou utilizar os documentos para finalidade diversa da contratação; </w:t>
      </w:r>
    </w:p>
    <w:p>
      <w:pPr>
        <w:pStyle w:val="Corpodotexto"/>
        <w:widowControl/>
        <w:numPr>
          <w:ilvl w:val="2"/>
          <w:numId w:val="2"/>
        </w:numPr>
        <w:suppressAutoHyphens w:val="true"/>
        <w:bidi w:val="0"/>
        <w:spacing w:lineRule="auto" w:line="312" w:before="120" w:after="288"/>
        <w:ind w:left="567" w:right="0" w:hanging="0"/>
        <w:jc w:val="both"/>
        <w:rPr>
          <w:rFonts w:ascii="Arial" w:hAnsi="Arial"/>
          <w:color w:val="auto"/>
          <w:sz w:val="20"/>
          <w:szCs w:val="20"/>
        </w:rPr>
      </w:pPr>
      <w:r>
        <w:rPr>
          <w:rFonts w:ascii="Arial" w:hAnsi="Arial"/>
          <w:color w:val="auto"/>
          <w:sz w:val="20"/>
          <w:szCs w:val="20"/>
        </w:rPr>
        <w:t xml:space="preserve">Adotar medidas de segurança física e digital para proteção das informações. </w:t>
      </w:r>
    </w:p>
    <w:p>
      <w:pPr>
        <w:pStyle w:val="Corpodotexto"/>
        <w:widowControl/>
        <w:numPr>
          <w:ilvl w:val="0"/>
          <w:numId w:val="0"/>
        </w:numPr>
        <w:suppressAutoHyphens w:val="true"/>
        <w:bidi w:val="0"/>
        <w:spacing w:lineRule="auto" w:line="312" w:before="120" w:after="288"/>
        <w:ind w:left="340" w:right="0" w:hanging="0"/>
        <w:jc w:val="both"/>
        <w:rPr>
          <w:rFonts w:ascii="Arial" w:hAnsi="Arial"/>
          <w:b/>
          <w:b/>
          <w:bCs/>
          <w:color w:val="auto"/>
          <w:sz w:val="20"/>
          <w:szCs w:val="20"/>
        </w:rPr>
      </w:pPr>
      <w:r>
        <w:rPr>
          <w:rFonts w:ascii="Arial" w:hAnsi="Arial"/>
          <w:b/>
          <w:bCs/>
          <w:color w:val="auto"/>
          <w:sz w:val="20"/>
          <w:szCs w:val="20"/>
        </w:rPr>
        <w:t>Especificação da garantia do serviço</w:t>
      </w:r>
    </w:p>
    <w:p>
      <w:pPr>
        <w:pStyle w:val="Corpodotexto"/>
        <w:widowControl/>
        <w:numPr>
          <w:ilvl w:val="1"/>
          <w:numId w:val="2"/>
        </w:numPr>
        <w:suppressAutoHyphens w:val="true"/>
        <w:bidi w:val="0"/>
        <w:spacing w:lineRule="auto" w:line="312" w:before="120" w:after="288"/>
        <w:ind w:left="0" w:right="0" w:hanging="0"/>
        <w:jc w:val="both"/>
        <w:rPr>
          <w:rFonts w:ascii="Arial" w:hAnsi="Arial"/>
          <w:color w:val="auto"/>
          <w:sz w:val="20"/>
          <w:szCs w:val="20"/>
        </w:rPr>
      </w:pPr>
      <w:r>
        <w:rPr>
          <w:rFonts w:ascii="Arial" w:hAnsi="Arial"/>
          <w:color w:val="auto"/>
          <w:sz w:val="20"/>
          <w:szCs w:val="20"/>
        </w:rPr>
        <w:t>O prazo de garantia contratual dos serviços é aquele estabelecido na Lei nº 8.078, de 11 de setembro de 1990 (Código de Defesa do Consumidor).</w:t>
      </w:r>
    </w:p>
    <w:p>
      <w:pPr>
        <w:pStyle w:val="Normal"/>
        <w:keepNext w:val="true"/>
        <w:keepLines/>
        <w:numPr>
          <w:ilvl w:val="0"/>
          <w:numId w:val="2"/>
        </w:numPr>
        <w:tabs>
          <w:tab w:val="clear" w:pos="408"/>
          <w:tab w:val="left" w:pos="567" w:leader="none"/>
        </w:tabs>
        <w:spacing w:lineRule="auto" w:line="312" w:before="120" w:after="288"/>
        <w:ind w:left="0" w:hanging="0"/>
        <w:jc w:val="both"/>
        <w:rPr>
          <w:rFonts w:ascii="Arial" w:hAnsi="Arial"/>
          <w:sz w:val="20"/>
          <w:szCs w:val="20"/>
        </w:rPr>
      </w:pPr>
      <w:r>
        <w:rPr>
          <w:rFonts w:eastAsia="Arial" w:ascii="Arial" w:hAnsi="Arial"/>
          <w:b/>
          <w:color w:val="auto"/>
          <w:sz w:val="20"/>
          <w:szCs w:val="20"/>
        </w:rPr>
        <w:t>MODELO DE GESTÃO DO CONTRATO</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O contrato deverá ser executado fielmente pelas partes, de acordo com as cláusulas avençadas e as normas da Lei nº 14.133, de 2021, e cada parte responderá pelas consequências de sua inexecução total ou parcial.</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Em caso de impedimento, ordem de paralisação ou suspensão do contrato, o cronograma de execução será prorrogado automaticamente pelo tempo correspondente, anotadas tais circunstâncias mediante simples apostila.</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As comunicações entre o órgão ou entidade e a contratada devem ser realizadas por escrito sempre que o ato exigir tal formalidade, admitindo-se o uso de mensagem eletrônica para esse fim.</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O órgão ou entidade poderá convocar representante da empresa para adoção de providências que devam ser cumpridas de imediato.</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color w:val="auto"/>
        </w:rPr>
        <w:t>A execução do contrato deverá ser acompanhada e fiscalizada pelo(s) fiscal(is) do contrato, ou pelos respectivos substitutos.</w:t>
      </w:r>
    </w:p>
    <w:p>
      <w:pPr>
        <w:pStyle w:val="Normal"/>
        <w:widowControl/>
        <w:numPr>
          <w:ilvl w:val="2"/>
          <w:numId w:val="2"/>
        </w:numPr>
        <w:suppressAutoHyphens w:val="true"/>
        <w:bidi w:val="0"/>
        <w:spacing w:lineRule="auto" w:line="312" w:before="120" w:after="288"/>
        <w:ind w:left="567" w:right="0" w:hanging="0"/>
        <w:jc w:val="both"/>
        <w:rPr/>
      </w:pPr>
      <w:r>
        <w:rPr>
          <w:rFonts w:eastAsia="Arial" w:ascii="Arial" w:hAnsi="Arial"/>
          <w:color w:val="auto"/>
        </w:rPr>
        <w:t>A gestão do contrato ficará a cargo d</w:t>
      </w:r>
      <w:r>
        <w:rPr>
          <w:rFonts w:eastAsia="Arial" w:cs="Arial" w:ascii="Arial" w:hAnsi="Arial"/>
          <w:color w:val="auto"/>
          <w:kern w:val="0"/>
          <w:sz w:val="20"/>
          <w:szCs w:val="20"/>
          <w:lang w:val="pt-BR" w:eastAsia="pt-BR" w:bidi="ar-SA"/>
        </w:rPr>
        <w:t>os servidores</w:t>
      </w:r>
      <w:r>
        <w:rPr>
          <w:rFonts w:eastAsia="Arial" w:ascii="Arial" w:hAnsi="Arial"/>
          <w:color w:val="auto"/>
        </w:rPr>
        <w:t xml:space="preserve"> que serão nomeados através de Portaria, nos termos do art. 7º da lei nº 14.133 e Decreto 5.529/2023.</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 xml:space="preserve">O fiscal técnico do contrato acompanhará a execução do contrato, para que sejam cumpridas todas as condições estabelecidas no contrato, de modo a assegurar os melhores resultados para a Administração. </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color w:val="auto"/>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color w:val="auto"/>
        </w:rPr>
        <w:t xml:space="preserve">Identificada qualquer inexatidão ou irregularidade, o fiscal técnico do contrato emitirá notificações para a correção da execução do contrato, determinando prazo para a correção. </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color w:val="auto"/>
        </w:rPr>
        <w:t xml:space="preserve">O fiscal técnico do contrato informará ao gestor do contrato, em tempo hábil, a situação que demandar decisão ou adoção de medidas que ultrapassem sua competência, para que adote as medidas necessárias e saneadoras, se for o caso. </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color w:val="auto"/>
        </w:rPr>
        <w:t xml:space="preserve">No caso de ocorrências que possam inviabilizar a execução do contrato nas datas aprazadas, o fiscal técnico do contrato comunicará o fato imediatamente ao gestor do contrato. </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color w:val="auto"/>
        </w:rPr>
        <w:t xml:space="preserve">O fiscal técnico do contrato comunicará ao gestor do contrato, em tempo hábil, o término do contrato sob sua responsabilidade, com vistas à tempestiva renovação ou à prorrogação contratual </w:t>
      </w:r>
    </w:p>
    <w:p>
      <w:pPr>
        <w:pStyle w:val="Normal"/>
        <w:widowControl/>
        <w:numPr>
          <w:ilvl w:val="2"/>
          <w:numId w:val="2"/>
        </w:numPr>
        <w:suppressAutoHyphens w:val="true"/>
        <w:bidi w:val="0"/>
        <w:spacing w:lineRule="auto" w:line="312" w:before="120" w:after="288"/>
        <w:ind w:left="510" w:right="0" w:hanging="0"/>
        <w:jc w:val="both"/>
        <w:rPr>
          <w:color w:val="auto"/>
        </w:rPr>
      </w:pPr>
      <w:r>
        <w:rPr>
          <w:rFonts w:eastAsia="Arial" w:ascii="Arial" w:hAnsi="Arial"/>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ormal"/>
        <w:widowControl/>
        <w:numPr>
          <w:ilvl w:val="2"/>
          <w:numId w:val="2"/>
        </w:numPr>
        <w:suppressAutoHyphens w:val="true"/>
        <w:bidi w:val="0"/>
        <w:spacing w:lineRule="auto" w:line="312" w:before="120" w:after="288"/>
        <w:ind w:left="510" w:right="0" w:hanging="0"/>
        <w:jc w:val="both"/>
        <w:rPr>
          <w:color w:val="auto"/>
        </w:rPr>
      </w:pPr>
      <w:r>
        <w:rPr>
          <w:rFonts w:eastAsia="Arial" w:ascii="Arial" w:hAnsi="Arial"/>
          <w:color w:val="auto"/>
        </w:rPr>
        <w:t>Caso ocorram descumprimento das obrigações contratuais, o fiscal administrativo do contrato atuará tempestivamente na solução do problema, reportando ao gestor do contrato para que tome as providências cabíveis, quando ultrapassar a sua competência.</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pStyle w:val="Normal"/>
        <w:widowControl/>
        <w:numPr>
          <w:ilvl w:val="2"/>
          <w:numId w:val="2"/>
        </w:numPr>
        <w:suppressAutoHyphens w:val="true"/>
        <w:bidi w:val="0"/>
        <w:spacing w:lineRule="auto" w:line="312" w:before="120" w:after="288"/>
        <w:ind w:left="624" w:right="0" w:hanging="0"/>
        <w:jc w:val="both"/>
        <w:rPr>
          <w:color w:val="auto"/>
        </w:rPr>
      </w:pPr>
      <w:r>
        <w:rPr>
          <w:rFonts w:eastAsia="Arial" w:ascii="Arial" w:hAnsi="Arial"/>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pPr>
        <w:pStyle w:val="Normal"/>
        <w:widowControl/>
        <w:numPr>
          <w:ilvl w:val="2"/>
          <w:numId w:val="2"/>
        </w:numPr>
        <w:suppressAutoHyphens w:val="true"/>
        <w:bidi w:val="0"/>
        <w:spacing w:lineRule="auto" w:line="312" w:before="120" w:after="288"/>
        <w:ind w:left="567" w:right="0" w:hanging="0"/>
        <w:jc w:val="both"/>
        <w:rPr/>
      </w:pPr>
      <w:r>
        <w:rPr>
          <w:rFonts w:eastAsia="Arial" w:ascii="Arial" w:hAnsi="Arial"/>
          <w:color w:val="auto"/>
        </w:rPr>
        <w:t xml:space="preserve">O gestor do contrato tomará providências para a formalização de processo administrativo de responsabilização para fins de aplicação de sanções, a ser conduzido pela comissão de que trata o </w:t>
      </w:r>
      <w:r>
        <w:fldChar w:fldCharType="begin"/>
      </w:r>
      <w:r>
        <w:rPr>
          <w:u w:val="none"/>
          <w:rFonts w:eastAsia="Arial" w:ascii="Arial" w:hAnsi="Arial"/>
          <w:color w:val="auto"/>
        </w:rPr>
        <w:instrText> HYPERLINK "http://www.planalto.gov.br/ccivil_03/_ato2019-2022/2021/lei/L14133.htm" \l "art158"</w:instrText>
      </w:r>
      <w:r>
        <w:rPr>
          <w:u w:val="none"/>
          <w:rFonts w:eastAsia="Arial" w:ascii="Arial" w:hAnsi="Arial"/>
          <w:color w:val="auto"/>
        </w:rPr>
        <w:fldChar w:fldCharType="separate"/>
      </w:r>
      <w:r>
        <w:rPr>
          <w:rFonts w:eastAsia="Arial" w:ascii="Arial" w:hAnsi="Arial"/>
          <w:color w:val="auto"/>
          <w:u w:val="none"/>
        </w:rPr>
        <w:t>art. 158 da Lei nº 14.133, de 2021</w:t>
      </w:r>
      <w:r>
        <w:rPr>
          <w:u w:val="none"/>
          <w:rFonts w:eastAsia="Arial" w:ascii="Arial" w:hAnsi="Arial"/>
          <w:color w:val="auto"/>
        </w:rPr>
        <w:fldChar w:fldCharType="end"/>
      </w:r>
      <w:r>
        <w:rPr>
          <w:rFonts w:eastAsia="Arial" w:ascii="Arial" w:hAnsi="Arial"/>
          <w:color w:val="auto"/>
        </w:rPr>
        <w:t xml:space="preserve">, ou pelo agente ou pelo setor com competência para tal, conforme o caso. </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O gestor do contrato deverá enviar a documentação pertinente ao setor de contratos para a formalização dos procedimentos de liquidação e pagamento, no valor dimensionado pela fiscalização e gestão nos termos do contrato.</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O contratado deverá manter preposto aceito pela Administração no local do serviço para representá-lo na execução do contrato.</w:t>
      </w:r>
    </w:p>
    <w:p>
      <w:pPr>
        <w:pStyle w:val="Normal"/>
        <w:widowControl/>
        <w:numPr>
          <w:ilvl w:val="2"/>
          <w:numId w:val="2"/>
        </w:numPr>
        <w:suppressAutoHyphens w:val="true"/>
        <w:bidi w:val="0"/>
        <w:spacing w:lineRule="auto" w:line="312" w:before="120" w:after="288"/>
        <w:ind w:left="567" w:right="0" w:hanging="0"/>
        <w:jc w:val="both"/>
        <w:rPr>
          <w:i w:val="false"/>
          <w:i w:val="false"/>
          <w:iCs w:val="false"/>
          <w:color w:val="auto"/>
        </w:rPr>
      </w:pPr>
      <w:r>
        <w:rPr>
          <w:rFonts w:eastAsia="Arial" w:ascii="Arial" w:hAnsi="Arial"/>
          <w:i w:val="false"/>
          <w:iCs w:val="false"/>
          <w:color w:val="auto"/>
        </w:rPr>
        <w:t>A indicação ou a manutenção do preposto da empresa poderá ser recusada pelo órgão ou entidade, desde que devidamente justificada, devendo a empresa designar outro para o exercício da atividade.</w:t>
      </w:r>
    </w:p>
    <w:p>
      <w:pPr>
        <w:pStyle w:val="Normal"/>
        <w:keepNext w:val="true"/>
        <w:keepLines/>
        <w:numPr>
          <w:ilvl w:val="0"/>
          <w:numId w:val="2"/>
        </w:numPr>
        <w:tabs>
          <w:tab w:val="clear" w:pos="408"/>
          <w:tab w:val="left" w:pos="567" w:leader="none"/>
        </w:tabs>
        <w:spacing w:lineRule="auto" w:line="312" w:before="120" w:after="288"/>
        <w:ind w:left="0" w:hanging="0"/>
        <w:jc w:val="both"/>
        <w:rPr>
          <w:rFonts w:ascii="Arial" w:hAnsi="Arial"/>
          <w:b/>
          <w:b/>
          <w:bCs/>
          <w:color w:val="auto"/>
        </w:rPr>
      </w:pPr>
      <w:r>
        <w:rPr>
          <w:rFonts w:ascii="Arial" w:hAnsi="Arial"/>
          <w:b/>
          <w:bCs/>
          <w:color w:val="auto"/>
        </w:rPr>
        <w:t xml:space="preserve">OBRIGAÇÕES DA CONTRATADA: </w:t>
      </w:r>
    </w:p>
    <w:p>
      <w:pPr>
        <w:pStyle w:val="Normal"/>
        <w:numPr>
          <w:ilvl w:val="1"/>
          <w:numId w:val="2"/>
        </w:numPr>
        <w:tabs>
          <w:tab w:val="clear" w:pos="408"/>
          <w:tab w:val="left" w:pos="567" w:leader="none"/>
        </w:tabs>
        <w:spacing w:lineRule="auto" w:line="312" w:before="120" w:after="288"/>
        <w:ind w:left="0" w:hanging="0"/>
        <w:jc w:val="both"/>
        <w:rPr>
          <w:rFonts w:ascii="Arial" w:hAnsi="Arial"/>
          <w:b/>
          <w:b/>
          <w:bCs/>
          <w:color w:val="auto"/>
        </w:rPr>
      </w:pPr>
      <w:r>
        <w:rPr>
          <w:rFonts w:ascii="Arial" w:hAnsi="Arial"/>
          <w:b w:val="false"/>
          <w:bCs w:val="false"/>
          <w:color w:val="auto"/>
        </w:rPr>
        <w:t>A CONTRATADA cumprirá todas as obrigações constantes no Termo de Referência, seus Anexos e sua proposta, assumindo como exclusivamente seus os riscos e as despesas decorrentes da boa e perfeita execução do objeto e, ainda:</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Proceder à entrega do objeto no prazo e local fixados, acompanhado da respectiva nota fiscal;</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pPr>
      <w:r>
        <w:rPr>
          <w:rFonts w:ascii="Arial" w:hAnsi="Arial"/>
          <w:b w:val="false"/>
          <w:bCs w:val="false"/>
          <w:color w:val="auto"/>
        </w:rPr>
        <w:t xml:space="preserve">Considerar os preços propostos completos e suficientes para </w:t>
      </w:r>
      <w:r>
        <w:rPr>
          <w:rFonts w:eastAsia="Calibri" w:cs="Arial" w:ascii="Arial" w:hAnsi="Arial"/>
          <w:b w:val="false"/>
          <w:bCs w:val="false"/>
          <w:color w:val="auto"/>
          <w:kern w:val="0"/>
          <w:sz w:val="20"/>
          <w:szCs w:val="20"/>
          <w:lang w:val="pt-BR" w:eastAsia="pt-BR" w:bidi="ar-SA"/>
        </w:rPr>
        <w:t xml:space="preserve">execução </w:t>
      </w:r>
      <w:r>
        <w:rPr>
          <w:rFonts w:ascii="Arial" w:hAnsi="Arial"/>
          <w:b w:val="false"/>
          <w:bCs w:val="false"/>
          <w:color w:val="auto"/>
        </w:rPr>
        <w:t>do objeto desta contratação, sendo desconsiderada qualquer reivindicação de pagamento adicional devido a erro ou à má interpretação de parte da CONTRATADA;</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 xml:space="preserve"> </w:t>
      </w:r>
      <w:r>
        <w:rPr>
          <w:rFonts w:ascii="Arial" w:hAnsi="Arial"/>
          <w:b w:val="false"/>
          <w:bCs w:val="false"/>
          <w:color w:val="auto"/>
        </w:rPr>
        <w:t>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pPr>
        <w:pStyle w:val="Normal"/>
        <w:widowControl/>
        <w:numPr>
          <w:ilvl w:val="3"/>
          <w:numId w:val="2"/>
        </w:numPr>
        <w:tabs>
          <w:tab w:val="clear" w:pos="408"/>
          <w:tab w:val="left" w:pos="567" w:leader="none"/>
        </w:tabs>
        <w:suppressAutoHyphens w:val="true"/>
        <w:bidi w:val="0"/>
        <w:spacing w:lineRule="auto" w:line="312" w:before="120" w:after="288"/>
        <w:ind w:left="1134" w:right="0" w:hanging="0"/>
        <w:jc w:val="both"/>
        <w:rPr>
          <w:rFonts w:ascii="Arial" w:hAnsi="Arial"/>
          <w:b/>
          <w:b/>
          <w:bCs/>
          <w:color w:val="auto"/>
        </w:rPr>
      </w:pPr>
      <w:r>
        <w:rPr>
          <w:rFonts w:ascii="Arial" w:hAnsi="Arial"/>
          <w:b w:val="false"/>
          <w:bCs w:val="false"/>
          <w:color w:val="auto"/>
        </w:rPr>
        <w:t>Entende-se por encargos os tributos (impostos, taxas), contribuições fiscais e parafiscais, os instituídos por leis sociais, emolumentos, fornecimento de mão de obra especializada, administração, lucros, equipamentos e ferramental, transporte de material e de pessoal, estadia, hospedagem, alimentação e qualquer despesa, acessória e/ou necessária, não especificada neste Termo de Referência;</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Indenizar terceiros e ao CONTRATANTE os possíveis prejuízos ou danos, decorrentes de dolo ou culpa, durante a contratação, em conformidade com o artigo 120 da Lei n.º 14.133/21;</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Arcar com todas as despesas necessárias à execução do objeto contratado;</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No momento da entrega dos materiais requisitados, emitir Notas Fiscais, constando os itens entregues na Unidade, contendo os dados bancários para pagamentos (banco, agência, conta, etc.), que deverá constar a referência de cada Nota de Empenho, bem como apresentar cópia do empenho, certidões negativas de débito Municipais, Estaduais (da Procuradoria e da Fazenda), Federais, da dívida ativa da União, de regularidade junto ao FGTS e CNDT.</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Cumprir fielmente o contrato, em compatibilidade com as obrigações assumidas;</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Substituir o objeto avariado no prazo estabelecido neste Termo de Referência, ou não sendo possível, indenizar o valor correspondente acrescido de perdas e danos, mediante toda e qualquer impugnação feita pelo CONTRATANTE;</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Prestar informações sobre a utilização do objeto;</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Manter todas as condições de habilitação e qualificação exigidas na licitação, durante toda a execução do contrato e em compatibilidade com as obrigações assumidas;</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Responder pela qualidade, quantidade, validade, segurança e demais características do objeto, bem como a observação às normas técnicas;</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Não subcontratar o objeto deste contrato, salvo esteja expressamente permitido neste Termo de Referência;</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Prestar a garantia contratual, manutenção e assistência técnica, caso exigida neste Termo de Referência;</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b/>
          <w:bCs/>
          <w:color w:val="auto"/>
        </w:rPr>
      </w:pPr>
      <w:r>
        <w:rPr>
          <w:rFonts w:ascii="Arial" w:hAnsi="Arial"/>
          <w:b w:val="false"/>
          <w:bCs w:val="false"/>
          <w:color w:val="auto"/>
        </w:rPr>
        <w:t>Informar ao setor financeiro da Secretaria requisitante, durante o período de vigência do contrato, qualquer alteração de endereço, telefone, correio eletrônico (e-mail) ou outros dados.</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val="false"/>
          <w:b w:val="false"/>
          <w:bCs w:val="false"/>
          <w:color w:val="auto"/>
        </w:rPr>
      </w:pPr>
      <w:r>
        <w:rPr>
          <w:rFonts w:ascii="Arial" w:hAnsi="Arial"/>
          <w:b w:val="false"/>
          <w:bCs w:val="false"/>
          <w:color w:val="auto"/>
        </w:rPr>
        <w:t xml:space="preserve">A logística reversa é de responsabilidade da contratada, devendo ela obedecer a todas as normas específicas vigentes para a destinação final, inclusive de restos de toner, cartuchos e embalagens dos produtos utilizados. </w:t>
      </w:r>
    </w:p>
    <w:p>
      <w:pPr>
        <w:pStyle w:val="Normal"/>
        <w:numPr>
          <w:ilvl w:val="0"/>
          <w:numId w:val="2"/>
        </w:numPr>
        <w:tabs>
          <w:tab w:val="clear" w:pos="408"/>
          <w:tab w:val="left" w:pos="567" w:leader="none"/>
        </w:tabs>
        <w:spacing w:lineRule="auto" w:line="312" w:before="120" w:after="288"/>
        <w:ind w:left="0" w:hanging="0"/>
        <w:jc w:val="both"/>
        <w:rPr>
          <w:rFonts w:ascii="Arial" w:hAnsi="Arial"/>
        </w:rPr>
      </w:pPr>
      <w:r>
        <w:rPr>
          <w:rFonts w:eastAsia="Arial" w:ascii="Arial" w:hAnsi="Arial"/>
          <w:b/>
          <w:color w:val="auto"/>
        </w:rPr>
        <w:t>OBRIGAÇÕES DA CONTRATANTE:</w:t>
      </w:r>
    </w:p>
    <w:p>
      <w:pPr>
        <w:pStyle w:val="Normal"/>
        <w:numPr>
          <w:ilvl w:val="1"/>
          <w:numId w:val="2"/>
        </w:numPr>
        <w:tabs>
          <w:tab w:val="clear" w:pos="408"/>
          <w:tab w:val="left" w:pos="567" w:leader="none"/>
        </w:tabs>
        <w:spacing w:lineRule="auto" w:line="312" w:before="120" w:after="288"/>
        <w:ind w:left="0" w:hanging="0"/>
        <w:jc w:val="both"/>
        <w:rPr>
          <w:b w:val="false"/>
          <w:b w:val="false"/>
          <w:bCs w:val="false"/>
        </w:rPr>
      </w:pPr>
      <w:r>
        <w:rPr>
          <w:rFonts w:eastAsia="Arial" w:ascii="Arial" w:hAnsi="Arial"/>
          <w:b w:val="false"/>
          <w:bCs w:val="false"/>
          <w:color w:val="auto"/>
        </w:rPr>
        <w:t xml:space="preserve">Compete ao CONTRATANTE: </w:t>
      </w:r>
    </w:p>
    <w:p>
      <w:pPr>
        <w:pStyle w:val="Normal"/>
        <w:widowControl/>
        <w:numPr>
          <w:ilvl w:val="2"/>
          <w:numId w:val="2"/>
        </w:numPr>
        <w:tabs>
          <w:tab w:val="clear" w:pos="408"/>
          <w:tab w:val="left" w:pos="567" w:leader="none"/>
        </w:tabs>
        <w:suppressAutoHyphens w:val="true"/>
        <w:bidi w:val="0"/>
        <w:spacing w:lineRule="auto" w:line="312" w:before="120" w:after="288"/>
        <w:ind w:left="510" w:right="0" w:hanging="0"/>
        <w:jc w:val="both"/>
        <w:rPr>
          <w:b w:val="false"/>
          <w:b w:val="false"/>
          <w:bCs w:val="false"/>
        </w:rPr>
      </w:pPr>
      <w:r>
        <w:rPr>
          <w:rFonts w:eastAsia="Arial" w:ascii="Arial" w:hAnsi="Arial"/>
          <w:b w:val="false"/>
          <w:bCs w:val="false"/>
          <w:color w:val="auto"/>
        </w:rPr>
        <w:t>Receber, fiscalizar, orientar, contestar, dirimir dúvidas emergentes da execução do objeto contratado;</w:t>
      </w:r>
    </w:p>
    <w:p>
      <w:pPr>
        <w:pStyle w:val="Normal"/>
        <w:widowControl/>
        <w:numPr>
          <w:ilvl w:val="2"/>
          <w:numId w:val="2"/>
        </w:numPr>
        <w:tabs>
          <w:tab w:val="clear" w:pos="408"/>
          <w:tab w:val="left" w:pos="567" w:leader="none"/>
        </w:tabs>
        <w:suppressAutoHyphens w:val="true"/>
        <w:bidi w:val="0"/>
        <w:spacing w:lineRule="auto" w:line="312" w:before="120" w:after="288"/>
        <w:ind w:left="510" w:right="0" w:hanging="0"/>
        <w:jc w:val="both"/>
        <w:rPr>
          <w:b w:val="false"/>
          <w:b w:val="false"/>
          <w:bCs w:val="false"/>
        </w:rPr>
      </w:pPr>
      <w:r>
        <w:rPr>
          <w:rFonts w:eastAsia="Arial" w:ascii="Arial" w:hAnsi="Arial"/>
          <w:b w:val="false"/>
          <w:bCs w:val="false"/>
          <w:color w:val="auto"/>
        </w:rPr>
        <w:t>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pPr>
        <w:pStyle w:val="Normal"/>
        <w:widowControl/>
        <w:numPr>
          <w:ilvl w:val="3"/>
          <w:numId w:val="2"/>
        </w:numPr>
        <w:tabs>
          <w:tab w:val="clear" w:pos="408"/>
          <w:tab w:val="left" w:pos="567" w:leader="none"/>
        </w:tabs>
        <w:suppressAutoHyphens w:val="true"/>
        <w:bidi w:val="0"/>
        <w:spacing w:lineRule="auto" w:line="312" w:before="120" w:after="288"/>
        <w:ind w:left="1134" w:right="0" w:hanging="0"/>
        <w:jc w:val="both"/>
        <w:rPr>
          <w:rFonts w:ascii="Arial" w:hAnsi="Arial" w:eastAsia="Arial"/>
          <w:b w:val="false"/>
          <w:b w:val="false"/>
          <w:bCs w:val="false"/>
          <w:color w:val="auto"/>
        </w:rPr>
      </w:pPr>
      <w:r>
        <w:rPr>
          <w:rFonts w:eastAsia="Arial" w:ascii="Arial" w:hAnsi="Arial"/>
          <w:b w:val="false"/>
          <w:bCs w:val="false"/>
          <w:color w:val="auto"/>
        </w:rPr>
        <w:t>Comunicar à CONTRATADA, por escrito, sobre imperfeições, falhas ou irregularidades verificadas no objeto fornecido, para que seja substituído, reparado ou corrigido;</w:t>
      </w:r>
    </w:p>
    <w:p>
      <w:pPr>
        <w:pStyle w:val="Normal"/>
        <w:widowControl/>
        <w:numPr>
          <w:ilvl w:val="2"/>
          <w:numId w:val="2"/>
        </w:numPr>
        <w:tabs>
          <w:tab w:val="clear" w:pos="408"/>
          <w:tab w:val="left" w:pos="567" w:leader="none"/>
        </w:tabs>
        <w:suppressAutoHyphens w:val="true"/>
        <w:bidi w:val="0"/>
        <w:spacing w:lineRule="auto" w:line="312" w:before="120" w:after="288"/>
        <w:ind w:left="567" w:right="0" w:hanging="0"/>
        <w:jc w:val="both"/>
        <w:rPr>
          <w:rFonts w:ascii="Arial" w:hAnsi="Arial"/>
          <w:b w:val="false"/>
          <w:b w:val="false"/>
          <w:bCs w:val="false"/>
        </w:rPr>
      </w:pPr>
      <w:r>
        <w:rPr>
          <w:rFonts w:ascii="Arial" w:hAnsi="Arial"/>
          <w:b w:val="false"/>
          <w:bCs w:val="false"/>
        </w:rPr>
        <w:t>Efetuar o pagamento à CONTRATADA no valor correspondente ao fornecimento do objeto, no prazo e forma estabelecidos neste Termo de Referência.</w:t>
      </w:r>
    </w:p>
    <w:p>
      <w:pPr>
        <w:pStyle w:val="Normal"/>
        <w:widowControl/>
        <w:numPr>
          <w:ilvl w:val="1"/>
          <w:numId w:val="2"/>
        </w:numPr>
        <w:tabs>
          <w:tab w:val="clear" w:pos="408"/>
          <w:tab w:val="left" w:pos="630" w:leader="none"/>
        </w:tabs>
        <w:suppressAutoHyphens w:val="true"/>
        <w:bidi w:val="0"/>
        <w:spacing w:lineRule="auto" w:line="312" w:before="120" w:after="288"/>
        <w:ind w:left="0" w:right="0" w:hanging="0"/>
        <w:jc w:val="both"/>
        <w:rPr>
          <w:rFonts w:ascii="Arial" w:hAnsi="Arial"/>
          <w:b w:val="false"/>
          <w:b w:val="false"/>
          <w:bCs w:val="false"/>
        </w:rPr>
      </w:pPr>
      <w:r>
        <w:rPr>
          <w:rFonts w:ascii="Arial" w:hAnsi="Arial"/>
          <w:b w:val="false"/>
          <w:bCs w:val="false"/>
        </w:rPr>
        <w:t>O CONTRATANTE não responderá por quaisquer compromissos assumidos pela CONTRATADA com terceiros, ainda que vinculados à execução do objeto do presente Termo de Referência, bem como por qualquer dano causado a terceiros em decorrência de ato da CONTRATADA, de seus empregados, prepostos ou subordinados.</w:t>
      </w:r>
    </w:p>
    <w:p>
      <w:pPr>
        <w:pStyle w:val="Normal"/>
        <w:numPr>
          <w:ilvl w:val="0"/>
          <w:numId w:val="2"/>
        </w:numPr>
        <w:tabs>
          <w:tab w:val="clear" w:pos="408"/>
          <w:tab w:val="left" w:pos="567" w:leader="none"/>
        </w:tabs>
        <w:spacing w:lineRule="auto" w:line="312" w:before="120" w:after="288"/>
        <w:ind w:left="0" w:hanging="0"/>
        <w:jc w:val="both"/>
        <w:rPr>
          <w:color w:val="auto"/>
        </w:rPr>
      </w:pPr>
      <w:r>
        <w:rPr>
          <w:rFonts w:eastAsia="Arial" w:ascii="Arial" w:hAnsi="Arial"/>
          <w:b/>
          <w:color w:val="auto"/>
        </w:rPr>
        <w:t>CRITÉRIOS DE MEDIÇÃO E DE PAGAMENTO</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O pagamento será efetuado conforme a quantidade efetivamente reproduzida e entregue, considerando-se o valor unitário por página/cópia, mediante apresentação de nota fiscal e atesto do fiscal do contrato.</w:t>
      </w:r>
    </w:p>
    <w:p>
      <w:pPr>
        <w:pStyle w:val="Normal"/>
        <w:widowControl/>
        <w:numPr>
          <w:ilvl w:val="2"/>
          <w:numId w:val="2"/>
        </w:numPr>
        <w:suppressAutoHyphens w:val="true"/>
        <w:bidi w:val="0"/>
        <w:spacing w:lineRule="auto" w:line="312" w:before="120" w:after="288"/>
        <w:ind w:left="567" w:right="0" w:hanging="0"/>
        <w:jc w:val="both"/>
        <w:rPr>
          <w:sz w:val="20"/>
          <w:szCs w:val="20"/>
        </w:rPr>
      </w:pPr>
      <w:r>
        <w:rPr>
          <w:rFonts w:eastAsia="Arial" w:ascii="Arial" w:hAnsi="Arial"/>
          <w:iCs/>
          <w:color w:val="auto"/>
        </w:rPr>
        <w:t>Será</w:t>
      </w:r>
      <w:r>
        <w:rPr>
          <w:rFonts w:eastAsia="Arial" w:ascii="Arial" w:hAnsi="Arial"/>
          <w:i/>
          <w:color w:val="auto"/>
        </w:rPr>
        <w:t xml:space="preserve"> </w:t>
      </w:r>
      <w:r>
        <w:rPr>
          <w:rFonts w:eastAsia="Arial" w:ascii="Arial" w:hAnsi="Arial"/>
          <w:iCs/>
          <w:color w:val="auto"/>
        </w:rPr>
        <w:t>indicada a retenção ou glosa no pagamento, proporcional à irregularidade verificada, sem prejuízo das sanções cabíveis, caso se constate que a Contratada:</w:t>
      </w:r>
    </w:p>
    <w:p>
      <w:pPr>
        <w:pStyle w:val="Normal"/>
        <w:widowControl/>
        <w:numPr>
          <w:ilvl w:val="3"/>
          <w:numId w:val="2"/>
        </w:numPr>
        <w:suppressAutoHyphens w:val="true"/>
        <w:bidi w:val="0"/>
        <w:spacing w:lineRule="auto" w:line="312" w:before="120" w:after="288"/>
        <w:ind w:left="1134" w:right="0" w:hanging="0"/>
        <w:jc w:val="both"/>
        <w:rPr>
          <w:sz w:val="20"/>
          <w:szCs w:val="20"/>
        </w:rPr>
      </w:pPr>
      <w:r>
        <w:rPr>
          <w:rFonts w:eastAsia="Arial" w:ascii="Arial" w:hAnsi="Arial"/>
          <w:iCs/>
          <w:color w:val="auto"/>
          <w:sz w:val="20"/>
          <w:szCs w:val="20"/>
        </w:rPr>
        <w:t>Não produz</w:t>
      </w:r>
      <w:r>
        <w:rPr>
          <w:rFonts w:eastAsia="Arial" w:cs="Arial" w:ascii="Arial" w:hAnsi="Arial"/>
          <w:iCs/>
          <w:color w:val="auto"/>
          <w:kern w:val="0"/>
          <w:sz w:val="20"/>
          <w:szCs w:val="20"/>
          <w:lang w:val="pt-BR" w:eastAsia="pt-BR" w:bidi="ar-SA"/>
        </w:rPr>
        <w:t>iu</w:t>
      </w:r>
      <w:r>
        <w:rPr>
          <w:rFonts w:eastAsia="Arial" w:ascii="Arial" w:hAnsi="Arial"/>
          <w:iCs/>
          <w:color w:val="auto"/>
          <w:sz w:val="20"/>
          <w:szCs w:val="20"/>
        </w:rPr>
        <w:t xml:space="preserve"> os resultados acordados; </w:t>
      </w:r>
    </w:p>
    <w:p>
      <w:pPr>
        <w:pStyle w:val="Normal"/>
        <w:widowControl/>
        <w:numPr>
          <w:ilvl w:val="3"/>
          <w:numId w:val="2"/>
        </w:numPr>
        <w:suppressAutoHyphens w:val="true"/>
        <w:bidi w:val="0"/>
        <w:spacing w:lineRule="auto" w:line="312" w:before="120" w:after="288"/>
        <w:ind w:left="1134" w:right="0" w:hanging="0"/>
        <w:jc w:val="both"/>
        <w:rPr>
          <w:sz w:val="20"/>
          <w:szCs w:val="20"/>
        </w:rPr>
      </w:pPr>
      <w:r>
        <w:rPr>
          <w:rFonts w:eastAsia="Arial" w:ascii="Arial" w:hAnsi="Arial"/>
          <w:iCs/>
          <w:color w:val="auto"/>
          <w:sz w:val="20"/>
          <w:szCs w:val="20"/>
        </w:rPr>
        <w:t xml:space="preserve">Deixou de executar, ou não executou com a qualidade mínima exigida as atividades contratadas; </w:t>
      </w:r>
    </w:p>
    <w:p>
      <w:pPr>
        <w:pStyle w:val="Normal"/>
        <w:widowControl/>
        <w:numPr>
          <w:ilvl w:val="3"/>
          <w:numId w:val="2"/>
        </w:numPr>
        <w:suppressAutoHyphens w:val="true"/>
        <w:bidi w:val="0"/>
        <w:spacing w:lineRule="auto" w:line="312" w:before="120" w:after="288"/>
        <w:ind w:left="1134" w:right="0" w:hanging="0"/>
        <w:jc w:val="both"/>
        <w:rPr>
          <w:sz w:val="20"/>
          <w:szCs w:val="20"/>
        </w:rPr>
      </w:pPr>
      <w:r>
        <w:rPr>
          <w:rFonts w:eastAsia="Arial" w:ascii="Arial" w:hAnsi="Arial"/>
          <w:iCs/>
          <w:color w:val="auto"/>
          <w:sz w:val="20"/>
          <w:szCs w:val="20"/>
        </w:rPr>
        <w:t>Deixou de utilizar materiais e recursos humanos exigidos para a execução do serviço, ou utilizá-los com qualidade ou quantidade inferior à demandada.</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 aferição da execução contratual para fins de pagamento considerará os seguintes critérios:</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Atender ao prazo de entrega;</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Atender ao quantitativo solicitado;</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Entregar material em condições de uso, legível e em conformidade ao layout enviado.</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Do recebimento</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color w:val="auto"/>
        </w:rPr>
        <w:t xml:space="preserve">Os serviços serão recebidos provisoriamente, no prazo de </w:t>
      </w:r>
      <w:r>
        <w:rPr>
          <w:rFonts w:eastAsia="Arial" w:cs="Arial" w:ascii="Arial" w:hAnsi="Arial"/>
          <w:color w:val="auto"/>
          <w:kern w:val="0"/>
          <w:sz w:val="20"/>
          <w:szCs w:val="20"/>
          <w:lang w:val="pt-BR" w:eastAsia="pt-BR" w:bidi="ar-SA"/>
        </w:rPr>
        <w:t>05 (cinco)</w:t>
      </w:r>
      <w:r>
        <w:rPr>
          <w:rFonts w:eastAsia="Arial" w:ascii="Arial" w:hAnsi="Arial"/>
          <w:color w:val="auto"/>
        </w:rPr>
        <w:t xml:space="preserve"> dias úteis, pelos fiscais técnico e administrativo, mediante termos detalhados, quando verificado o cumprimento das exigências de caráter técnico e administrativo. (</w:t>
      </w:r>
      <w:r>
        <w:fldChar w:fldCharType="begin"/>
      </w:r>
      <w:r>
        <w:rPr>
          <w:u w:val="single"/>
          <w:rFonts w:eastAsia="Arial" w:ascii="Arial" w:hAnsi="Arial"/>
          <w:color w:val="auto"/>
        </w:rPr>
        <w:instrText> HYPERLINK "http://www.planalto.gov.br/ccivil_03/_ato2019-2022/2021/lei/L14133.htm" \l "art140"</w:instrText>
      </w:r>
      <w:r>
        <w:rPr>
          <w:u w:val="single"/>
          <w:rFonts w:eastAsia="Arial" w:ascii="Arial" w:hAnsi="Arial"/>
          <w:color w:val="auto"/>
        </w:rPr>
        <w:fldChar w:fldCharType="separate"/>
      </w:r>
      <w:r>
        <w:rPr>
          <w:rFonts w:eastAsia="Arial" w:ascii="Arial" w:hAnsi="Arial"/>
          <w:color w:val="auto"/>
          <w:u w:val="single"/>
        </w:rPr>
        <w:t>Art. 140, I, a , da Lei nº 14.133</w:t>
      </w:r>
      <w:r>
        <w:rPr>
          <w:u w:val="single"/>
          <w:rFonts w:eastAsia="Arial" w:ascii="Arial" w:hAnsi="Arial"/>
          <w:color w:val="auto"/>
        </w:rPr>
        <w:fldChar w:fldCharType="end"/>
      </w:r>
      <w:r>
        <w:rPr>
          <w:rFonts w:eastAsia="Arial" w:ascii="Arial" w:hAnsi="Arial"/>
          <w:color w:val="auto"/>
        </w:rPr>
        <w:t>).</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O prazo da disposição acima será contado do recebimento de comunicação de cobrança oriunda do contratado com a comprovação da prestação dos serviços a que se referem a parcela a ser paga.</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 xml:space="preserve">O fiscal técnico do contrato realizará o recebimento provisório do objeto do contrato mediante termo detalhado que comprove o cumprimento das exigências de caráter técnico. </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 xml:space="preserve">O fiscal administrativo do contrato realizará o recebimento provisório do objeto do contrato mediante termo detalhado que comprove o cumprimento das exigências de caráter administrativo. </w:t>
      </w:r>
    </w:p>
    <w:p>
      <w:pPr>
        <w:pStyle w:val="Normal"/>
        <w:widowControl/>
        <w:numPr>
          <w:ilvl w:val="2"/>
          <w:numId w:val="2"/>
        </w:numPr>
        <w:suppressAutoHyphens w:val="true"/>
        <w:bidi w:val="0"/>
        <w:spacing w:lineRule="auto" w:line="312" w:before="120" w:after="288"/>
        <w:ind w:left="510" w:right="0" w:hanging="0"/>
        <w:jc w:val="both"/>
        <w:rPr>
          <w:color w:val="auto"/>
        </w:rPr>
      </w:pPr>
      <w:r>
        <w:rPr>
          <w:rFonts w:eastAsia="Arial" w:ascii="Arial" w:hAnsi="Arial"/>
          <w:iCs/>
          <w:color w:val="auto"/>
        </w:rPr>
        <w:t>O fiscal setorial do contrato, quando houver, realizará o recebimento provisório sob o ponto de vista técnico e administrativo.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Normal"/>
        <w:widowControl/>
        <w:numPr>
          <w:ilvl w:val="2"/>
          <w:numId w:val="2"/>
        </w:numPr>
        <w:suppressAutoHyphens w:val="true"/>
        <w:bidi w:val="0"/>
        <w:spacing w:lineRule="auto" w:line="312" w:before="120" w:after="288"/>
        <w:ind w:left="567" w:right="0" w:hanging="0"/>
        <w:jc w:val="both"/>
        <w:rPr/>
      </w:pPr>
      <w:r>
        <w:rPr>
          <w:rFonts w:eastAsia="Arial" w:ascii="Arial" w:hAnsi="Arial"/>
          <w:iCs/>
          <w:color w:val="auto"/>
        </w:rPr>
        <w:t>A fiscalização não efetuará o ateste da última e/ou única medição de serviços até que sejam sanadas todas as eventuais pendências que possam vir a ser apontadas no Recebimento Provisório. (</w:t>
      </w:r>
      <w:r>
        <w:fldChar w:fldCharType="begin"/>
      </w:r>
      <w:r>
        <w:rPr>
          <w:u w:val="single"/>
          <w:rFonts w:eastAsia="Arial" w:ascii="Arial" w:hAnsi="Arial"/>
          <w:color w:val="auto"/>
        </w:rPr>
        <w:instrText> HYPERLINK "http://www.planalto.gov.br/ccivil_03/_ato2019-2022/2021/lei/L14133.htm" \l "art119"</w:instrText>
      </w:r>
      <w:r>
        <w:rPr>
          <w:u w:val="single"/>
          <w:rFonts w:eastAsia="Arial" w:ascii="Arial" w:hAnsi="Arial"/>
          <w:color w:val="auto"/>
        </w:rPr>
        <w:fldChar w:fldCharType="separate"/>
      </w:r>
      <w:r>
        <w:rPr>
          <w:rFonts w:eastAsia="Arial" w:ascii="Arial" w:hAnsi="Arial"/>
          <w:color w:val="auto"/>
          <w:u w:val="single"/>
        </w:rPr>
        <w:t>Art. 119 c/c art. 140 da Lei nº 14133, de 2021</w:t>
      </w:r>
      <w:r>
        <w:rPr>
          <w:u w:val="single"/>
          <w:rFonts w:eastAsia="Arial" w:ascii="Arial" w:hAnsi="Arial"/>
          <w:color w:val="auto"/>
        </w:rPr>
        <w:fldChar w:fldCharType="end"/>
      </w:r>
      <w:r>
        <w:rPr>
          <w:rFonts w:eastAsia="Arial" w:ascii="Arial" w:hAnsi="Arial"/>
          <w:iCs/>
          <w:color w:val="auto"/>
        </w:rPr>
        <w:t>).</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O recebimento provisório também ficará sujeito, quando cabível, à conclusão de todos os testes de campo e à entrega dos Manuais e Instruções exigíveis.</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Os serviços poderão ser rejeitados, no todo ou em parte, quando em desacordo com as especificações constantes neste Termo de Referência e na proposta, sem prejuízo da aplicação das penalidades.</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 xml:space="preserve">Os serviços serão recebidos definitivamente no prazo de </w:t>
      </w:r>
      <w:r>
        <w:rPr>
          <w:rFonts w:eastAsia="Arial" w:cs="Arial" w:ascii="Arial" w:hAnsi="Arial"/>
          <w:color w:val="auto"/>
          <w:kern w:val="0"/>
          <w:sz w:val="20"/>
          <w:szCs w:val="20"/>
          <w:lang w:val="pt-BR" w:eastAsia="pt-BR" w:bidi="ar-SA"/>
        </w:rPr>
        <w:t>10</w:t>
      </w:r>
      <w:r>
        <w:rPr>
          <w:rFonts w:eastAsia="Arial" w:ascii="Arial" w:hAnsi="Arial"/>
          <w:color w:val="auto"/>
        </w:rPr>
        <w:t>(</w:t>
      </w:r>
      <w:r>
        <w:rPr>
          <w:rFonts w:eastAsia="Arial" w:cs="Arial" w:ascii="Arial" w:hAnsi="Arial"/>
          <w:color w:val="auto"/>
          <w:kern w:val="0"/>
          <w:sz w:val="20"/>
          <w:szCs w:val="20"/>
          <w:lang w:val="pt-BR" w:eastAsia="pt-BR" w:bidi="ar-SA"/>
        </w:rPr>
        <w:t>dez</w:t>
      </w:r>
      <w:r>
        <w:rPr>
          <w:rFonts w:eastAsia="Arial" w:ascii="Arial" w:hAnsi="Arial"/>
          <w:color w:val="auto"/>
        </w:rPr>
        <w:t>) dias úteis, contados do recebimento provisório, por servidor ou comissão designada pela autoridade competente, após a verificação da qualidade e quantidade do serviço e consequente aceitação mediante termo detalhado, obedecendo os seguintes procedimentos:</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pPr>
        <w:pStyle w:val="Normal"/>
        <w:widowControl/>
        <w:numPr>
          <w:ilvl w:val="2"/>
          <w:numId w:val="2"/>
        </w:numPr>
        <w:suppressAutoHyphens w:val="true"/>
        <w:bidi w:val="0"/>
        <w:spacing w:lineRule="auto" w:line="312" w:before="120" w:after="288"/>
        <w:ind w:left="567" w:right="0" w:hanging="0"/>
        <w:jc w:val="both"/>
        <w:rPr/>
      </w:pPr>
      <w:r>
        <w:rPr>
          <w:rFonts w:eastAsia="Arial" w:ascii="Arial" w:hAnsi="Arial"/>
          <w:iCs/>
          <w:color w:val="auto"/>
        </w:rPr>
        <w:t xml:space="preserve">Emitir Termo Circunstanciado para efeito de recebimento definitivo dos serviços prestados, com base nos relatórios e documentações apresentadas; </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Comunicar a empresa para que emita a Nota Fiscal ou Fatura, com o valor exato dimensionado pela fiscalização.</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Enviar a documentação pertinente ao setor responsável para a formalização dos procedimentos de liquidação e pagamento, no valor dimensionado pela fiscalização e gestão.</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color w:val="auto"/>
        </w:rPr>
        <w:t xml:space="preserve">No caso de controvérsia sobre a execução do objeto, quanto à dimensão, qualidade e quantidade, deverá ser observado o teor do </w:t>
      </w:r>
      <w:r>
        <w:fldChar w:fldCharType="begin"/>
      </w:r>
      <w:r>
        <w:rPr>
          <w:u w:val="single"/>
          <w:rFonts w:eastAsia="Arial" w:ascii="Arial" w:hAnsi="Arial"/>
          <w:color w:val="auto"/>
        </w:rPr>
        <w:instrText> HYPERLINK "http://www.planalto.gov.br/ccivil_03/_ato2019-2022/2021/lei/L14133.htm" \l "art143"</w:instrText>
      </w:r>
      <w:r>
        <w:rPr>
          <w:u w:val="single"/>
          <w:rFonts w:eastAsia="Arial" w:ascii="Arial" w:hAnsi="Arial"/>
          <w:color w:val="auto"/>
        </w:rPr>
        <w:fldChar w:fldCharType="separate"/>
      </w:r>
      <w:r>
        <w:rPr>
          <w:rFonts w:eastAsia="Arial" w:ascii="Arial" w:hAnsi="Arial"/>
          <w:color w:val="auto"/>
          <w:u w:val="single"/>
        </w:rPr>
        <w:t>art. 143 da Lei nº 14.133, de 2021</w:t>
      </w:r>
      <w:r>
        <w:rPr>
          <w:u w:val="single"/>
          <w:rFonts w:eastAsia="Arial" w:ascii="Arial" w:hAnsi="Arial"/>
          <w:color w:val="auto"/>
        </w:rPr>
        <w:fldChar w:fldCharType="end"/>
      </w:r>
      <w:r>
        <w:rPr>
          <w:rFonts w:eastAsia="Arial" w:ascii="Arial" w:hAnsi="Arial"/>
          <w:color w:val="auto"/>
        </w:rPr>
        <w:t>, comunicando-se à empresa para emissão de Nota Fiscal no que pertine à parcela incontroversa da execução do objeto, para efeito de liquidação e pagamento.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Nenhum prazo de recebimento ocorrerá enquanto pendente a solução, pelo contratado, de inconsistências verificadas na execução do objeto ou no instrumento de cobrança.</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O recebimento provisório ou definitivo não excluirá a responsabilidade civil pela solidez e pela segurança do serviço nem a responsabilidade ético-profissional pela perfeita execução do contrato.</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Liquidação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Recebida a Nota Fiscal ou documento de cobrança equivalente, ocorrerá a liquidação.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 xml:space="preserve">Para fins de liquidação, o setor competente deverá verificar se a nota fiscal ou instrumento de cobrança equivalente apresentado expressa os elementos necessários e essenciais do documento, tais como: </w:t>
      </w:r>
    </w:p>
    <w:p>
      <w:pPr>
        <w:pStyle w:val="Normal"/>
        <w:numPr>
          <w:ilvl w:val="0"/>
          <w:numId w:val="3"/>
        </w:numPr>
        <w:spacing w:lineRule="auto" w:line="312" w:before="120" w:after="0"/>
        <w:ind w:left="851" w:firstLine="709"/>
        <w:jc w:val="both"/>
        <w:rPr>
          <w:color w:val="auto"/>
        </w:rPr>
      </w:pPr>
      <w:r>
        <w:rPr>
          <w:rFonts w:eastAsia="Arial" w:ascii="Arial" w:hAnsi="Arial"/>
          <w:color w:val="auto"/>
        </w:rPr>
        <w:t>o prazo de validade;</w:t>
      </w:r>
    </w:p>
    <w:p>
      <w:pPr>
        <w:pStyle w:val="Normal"/>
        <w:numPr>
          <w:ilvl w:val="0"/>
          <w:numId w:val="3"/>
        </w:numPr>
        <w:spacing w:lineRule="auto" w:line="312"/>
        <w:ind w:left="851" w:firstLine="709"/>
        <w:jc w:val="both"/>
        <w:rPr>
          <w:color w:val="auto"/>
        </w:rPr>
      </w:pPr>
      <w:r>
        <w:rPr>
          <w:rFonts w:eastAsia="Arial" w:ascii="Arial" w:hAnsi="Arial"/>
          <w:color w:val="auto"/>
        </w:rPr>
        <w:t xml:space="preserve">a data da emissão; </w:t>
      </w:r>
    </w:p>
    <w:p>
      <w:pPr>
        <w:pStyle w:val="Normal"/>
        <w:numPr>
          <w:ilvl w:val="0"/>
          <w:numId w:val="3"/>
        </w:numPr>
        <w:spacing w:lineRule="auto" w:line="312"/>
        <w:ind w:left="851" w:firstLine="709"/>
        <w:jc w:val="both"/>
        <w:rPr>
          <w:color w:val="auto"/>
        </w:rPr>
      </w:pPr>
      <w:r>
        <w:rPr>
          <w:rFonts w:eastAsia="Arial" w:ascii="Arial" w:hAnsi="Arial"/>
          <w:color w:val="auto"/>
        </w:rPr>
        <w:t xml:space="preserve">os dados do contrato e do órgão contratante; </w:t>
      </w:r>
    </w:p>
    <w:p>
      <w:pPr>
        <w:pStyle w:val="Normal"/>
        <w:numPr>
          <w:ilvl w:val="0"/>
          <w:numId w:val="3"/>
        </w:numPr>
        <w:spacing w:lineRule="auto" w:line="312"/>
        <w:ind w:left="851" w:firstLine="709"/>
        <w:jc w:val="both"/>
        <w:rPr>
          <w:color w:val="auto"/>
        </w:rPr>
      </w:pPr>
      <w:r>
        <w:rPr>
          <w:rFonts w:eastAsia="Arial" w:ascii="Arial" w:hAnsi="Arial"/>
          <w:color w:val="auto"/>
        </w:rPr>
        <w:t xml:space="preserve">o período respectivo de execução do contrato; </w:t>
      </w:r>
    </w:p>
    <w:p>
      <w:pPr>
        <w:pStyle w:val="Normal"/>
        <w:numPr>
          <w:ilvl w:val="0"/>
          <w:numId w:val="3"/>
        </w:numPr>
        <w:spacing w:lineRule="auto" w:line="312"/>
        <w:ind w:left="851" w:firstLine="709"/>
        <w:jc w:val="both"/>
        <w:rPr>
          <w:color w:val="auto"/>
        </w:rPr>
      </w:pPr>
      <w:r>
        <w:rPr>
          <w:rFonts w:eastAsia="Arial" w:ascii="Arial" w:hAnsi="Arial"/>
          <w:color w:val="auto"/>
        </w:rPr>
        <w:t xml:space="preserve">o valor a pagar; e </w:t>
      </w:r>
    </w:p>
    <w:p>
      <w:pPr>
        <w:pStyle w:val="Normal"/>
        <w:numPr>
          <w:ilvl w:val="0"/>
          <w:numId w:val="3"/>
        </w:numPr>
        <w:spacing w:lineRule="auto" w:line="312" w:before="0" w:after="288"/>
        <w:ind w:left="851" w:firstLine="709"/>
        <w:jc w:val="both"/>
        <w:rPr>
          <w:color w:val="auto"/>
        </w:rPr>
      </w:pPr>
      <w:r>
        <w:rPr>
          <w:rFonts w:eastAsia="Arial" w:ascii="Arial" w:hAnsi="Arial"/>
          <w:color w:val="auto"/>
        </w:rPr>
        <w:t>eventual destaque do valor de retenções tributárias cabíveis.</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 xml:space="preserve"> </w:t>
      </w:r>
      <w:r>
        <w:rPr>
          <w:rFonts w:eastAsia="Arial" w:ascii="Arial" w:hAnsi="Arial"/>
          <w:color w:val="auto"/>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color w:val="C9211E"/>
        </w:rPr>
        <w:t xml:space="preserve"> </w:t>
      </w:r>
      <w:r>
        <w:rPr>
          <w:rFonts w:eastAsia="Arial" w:ascii="Arial" w:hAnsi="Arial"/>
          <w:color w:val="auto"/>
        </w:rPr>
        <w:t xml:space="preserve">A nota fiscal ou instrumento de cobrança equivalente deverá ser obrigatoriamente acompanhado da comprovação da regularidade fiscal, constatada mediante consulta aos sítios eletrônicos oficiais ou à documentação mencionada no </w:t>
      </w:r>
      <w:r>
        <w:fldChar w:fldCharType="begin"/>
      </w:r>
      <w:r>
        <w:rPr>
          <w:u w:val="single"/>
          <w:rFonts w:eastAsia="Arial" w:ascii="Arial" w:hAnsi="Arial"/>
          <w:color w:val="auto"/>
        </w:rPr>
        <w:instrText> HYPERLINK "http://www.planalto.gov.br/ccivil_03/_ato2019-2022/2021/lei/L14133.htm" \l "art68"</w:instrText>
      </w:r>
      <w:r>
        <w:rPr>
          <w:u w:val="single"/>
          <w:rFonts w:eastAsia="Arial" w:ascii="Arial" w:hAnsi="Arial"/>
          <w:color w:val="auto"/>
        </w:rPr>
        <w:fldChar w:fldCharType="separate"/>
      </w:r>
      <w:r>
        <w:rPr>
          <w:rFonts w:eastAsia="Arial" w:ascii="Arial" w:hAnsi="Arial"/>
          <w:color w:val="auto"/>
          <w:u w:val="single"/>
        </w:rPr>
        <w:t>art. 68 da Lei nº 14.133, de 2021.</w:t>
      </w:r>
      <w:r>
        <w:rPr>
          <w:u w:val="single"/>
          <w:rFonts w:eastAsia="Arial" w:ascii="Arial" w:hAnsi="Arial"/>
          <w:color w:val="auto"/>
        </w:rPr>
        <w:fldChar w:fldCharType="end"/>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 xml:space="preserve">Persistindo a irregularidade, o contratante deverá adotar as medidas necessárias à rescisão contratual nos autos do processo administrativo correspondente, assegurada ao contratado a ampla defesa. </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Havendo a efetiva execução do objeto, os pagamentos serão realizados normalmente, até que se decida pela rescisão do contrato, caso o contratado não regularize sua situação.</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Prazo de pagamento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O pagamento será efetuado no prazo de até 30 (trinta) dias corridos, contados do adimplemento da obrigação, e ateste da(s) Nota(s) Fiscal(is).</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Forma de pagamento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O pagamento será realizado por meio de ordem bancária, para crédito em banco, agência e conta corrente indicados pelo contratado.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Será considerada data do pagamento o dia em que constar como emitida a ordem bancária para pagamento.</w:t>
      </w:r>
    </w:p>
    <w:p>
      <w:pPr>
        <w:pStyle w:val="Normal"/>
        <w:widowControl/>
        <w:numPr>
          <w:ilvl w:val="1"/>
          <w:numId w:val="2"/>
        </w:numPr>
        <w:suppressAutoHyphens w:val="true"/>
        <w:bidi w:val="0"/>
        <w:spacing w:lineRule="auto" w:line="312" w:before="120" w:after="288"/>
        <w:ind w:left="0" w:right="0" w:hanging="0"/>
        <w:jc w:val="both"/>
        <w:rPr>
          <w:color w:val="auto"/>
        </w:rPr>
      </w:pPr>
      <w:r>
        <w:rPr>
          <w:rFonts w:eastAsia="Arial" w:ascii="Arial" w:hAnsi="Arial"/>
          <w:color w:val="auto"/>
        </w:rPr>
        <w:t>Quando do pagamento, será efetuada a retenção tributária prevista na legislação aplicável.</w:t>
      </w:r>
    </w:p>
    <w:p>
      <w:pPr>
        <w:pStyle w:val="Normal"/>
        <w:widowControl/>
        <w:numPr>
          <w:ilvl w:val="2"/>
          <w:numId w:val="2"/>
        </w:numPr>
        <w:suppressAutoHyphens w:val="true"/>
        <w:bidi w:val="0"/>
        <w:spacing w:lineRule="auto" w:line="312" w:before="120" w:after="288"/>
        <w:ind w:left="567" w:right="0" w:hanging="0"/>
        <w:jc w:val="both"/>
        <w:rPr>
          <w:color w:val="auto"/>
        </w:rPr>
      </w:pPr>
      <w:r>
        <w:rPr>
          <w:rFonts w:eastAsia="Arial" w:ascii="Arial" w:hAnsi="Arial"/>
          <w:iCs/>
          <w:color w:val="auto"/>
        </w:rPr>
        <w:t>Independentemente do percentual de tributo inserido na planilha, quando houver, serão retidos na fonte, quando da realização do pagamento, os percentuais estabelecidos na legislação vigente.</w:t>
      </w:r>
    </w:p>
    <w:p>
      <w:pPr>
        <w:pStyle w:val="Normal"/>
        <w:widowControl/>
        <w:numPr>
          <w:ilvl w:val="1"/>
          <w:numId w:val="2"/>
        </w:numPr>
        <w:suppressAutoHyphens w:val="true"/>
        <w:bidi w:val="0"/>
        <w:spacing w:lineRule="auto" w:line="312" w:before="120" w:after="288"/>
        <w:ind w:left="0" w:right="0" w:hanging="0"/>
        <w:jc w:val="both"/>
        <w:rPr/>
      </w:pPr>
      <w:r>
        <w:rPr>
          <w:rFonts w:eastAsia="Arial" w:ascii="Arial" w:hAnsi="Arial"/>
          <w:color w:val="auto"/>
        </w:rPr>
        <w:t xml:space="preserve">O contratado regularmente optante pelo Simples Nacional, nos termos da </w:t>
      </w:r>
      <w:hyperlink r:id="rId5">
        <w:r>
          <w:rPr>
            <w:rFonts w:eastAsia="Arial" w:ascii="Arial" w:hAnsi="Arial"/>
            <w:color w:val="auto"/>
            <w:u w:val="single"/>
          </w:rPr>
          <w:t>Lei Complementar nº 123, de 2006</w:t>
        </w:r>
      </w:hyperlink>
      <w:r>
        <w:rPr>
          <w:rFonts w:eastAsia="Arial" w:ascii="Arial" w:hAnsi="Arial"/>
          <w:color w:val="auto"/>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keepNext w:val="true"/>
        <w:keepLines/>
        <w:tabs>
          <w:tab w:val="clear" w:pos="408"/>
          <w:tab w:val="left" w:pos="567" w:leader="none"/>
        </w:tabs>
        <w:spacing w:lineRule="auto" w:line="312" w:before="120" w:after="288"/>
        <w:ind w:firstLine="284"/>
        <w:jc w:val="both"/>
        <w:rPr>
          <w:color w:val="auto"/>
        </w:rPr>
      </w:pPr>
      <w:r>
        <w:rPr>
          <w:rFonts w:eastAsia="Arial" w:ascii="Arial" w:hAnsi="Arial"/>
          <w:b/>
          <w:color w:val="auto"/>
        </w:rPr>
        <w:t>Antecipação de pagamento</w:t>
      </w:r>
    </w:p>
    <w:p>
      <w:pPr>
        <w:pStyle w:val="Normal"/>
        <w:widowControl/>
        <w:numPr>
          <w:ilvl w:val="1"/>
          <w:numId w:val="2"/>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A presente contratação não será permitida a antecipação de pagamento.</w:t>
      </w:r>
    </w:p>
    <w:p>
      <w:pPr>
        <w:pStyle w:val="Normal"/>
        <w:keepNext w:val="true"/>
        <w:keepLines/>
        <w:numPr>
          <w:ilvl w:val="0"/>
          <w:numId w:val="4"/>
        </w:numPr>
        <w:tabs>
          <w:tab w:val="clear" w:pos="408"/>
          <w:tab w:val="left" w:pos="567" w:leader="none"/>
        </w:tabs>
        <w:spacing w:lineRule="auto" w:line="312" w:before="120" w:after="288"/>
        <w:ind w:left="0" w:hanging="0"/>
        <w:jc w:val="both"/>
        <w:rPr/>
      </w:pPr>
      <w:r>
        <w:rPr>
          <w:rFonts w:eastAsia="Arial" w:ascii="Arial" w:hAnsi="Arial"/>
          <w:b/>
          <w:color w:val="auto"/>
        </w:rPr>
        <w:t>FORMA E CRITÉRIOS DE SELEÇÃO DO FORNECEDOR</w:t>
      </w:r>
    </w:p>
    <w:p>
      <w:pPr>
        <w:pStyle w:val="Normal"/>
        <w:keepNext w:val="true"/>
        <w:keepLines/>
        <w:tabs>
          <w:tab w:val="clear" w:pos="408"/>
          <w:tab w:val="left" w:pos="567" w:leader="none"/>
        </w:tabs>
        <w:spacing w:lineRule="auto" w:line="312" w:before="120" w:after="288"/>
        <w:ind w:left="357" w:hanging="73"/>
        <w:jc w:val="both"/>
        <w:rPr>
          <w:color w:val="auto"/>
        </w:rPr>
      </w:pPr>
      <w:r>
        <w:rPr>
          <w:rFonts w:eastAsia="Arial" w:ascii="Arial" w:hAnsi="Arial"/>
          <w:b/>
          <w:color w:val="auto"/>
        </w:rPr>
        <w:t>Forma de seleção e critério de julgamento da proposta</w:t>
      </w:r>
    </w:p>
    <w:p>
      <w:pPr>
        <w:pStyle w:val="ListParagraph"/>
        <w:widowControl/>
        <w:numPr>
          <w:ilvl w:val="1"/>
          <w:numId w:val="4"/>
        </w:numPr>
        <w:suppressAutoHyphens w:val="true"/>
        <w:bidi w:val="0"/>
        <w:spacing w:lineRule="auto" w:line="312" w:before="119" w:after="289"/>
        <w:ind w:left="0" w:right="0" w:hanging="0"/>
        <w:jc w:val="both"/>
        <w:rPr/>
      </w:pPr>
      <w:r>
        <w:rPr>
          <w:rFonts w:eastAsia="Arial" w:ascii="Arial" w:hAnsi="Arial"/>
          <w:iCs/>
          <w:color w:val="auto"/>
        </w:rPr>
        <w:t xml:space="preserve">O fornecedor será selecionado por meio da realização de procedimento de DISPENSA DE LICITAÇÃO, com adoção do critério de julgamento pelo MENOR PREÇO </w:t>
      </w:r>
      <w:r>
        <w:rPr>
          <w:rFonts w:eastAsia="Arial" w:cs="Arial" w:ascii="Arial" w:hAnsi="Arial"/>
          <w:iCs/>
          <w:color w:val="auto"/>
          <w:kern w:val="0"/>
          <w:sz w:val="20"/>
          <w:szCs w:val="20"/>
          <w:lang w:val="pt-BR" w:eastAsia="pt-BR" w:bidi="ar-SA"/>
        </w:rPr>
        <w:t>GLOBAL</w:t>
      </w:r>
      <w:r>
        <w:rPr>
          <w:rFonts w:eastAsia="Arial" w:ascii="Arial" w:hAnsi="Arial"/>
          <w:iCs/>
          <w:color w:val="auto"/>
        </w:rPr>
        <w:t>.</w:t>
      </w:r>
    </w:p>
    <w:p>
      <w:pPr>
        <w:pStyle w:val="ListParagraph"/>
        <w:widowControl/>
        <w:numPr>
          <w:ilvl w:val="1"/>
          <w:numId w:val="4"/>
        </w:numPr>
        <w:suppressAutoHyphens w:val="true"/>
        <w:bidi w:val="0"/>
        <w:spacing w:lineRule="auto" w:line="312" w:before="119" w:after="289"/>
        <w:ind w:left="0" w:right="0" w:hanging="0"/>
        <w:jc w:val="both"/>
        <w:rPr/>
      </w:pPr>
      <w:r>
        <w:rPr>
          <w:rFonts w:eastAsia="Arial" w:ascii="Arial" w:hAnsi="Arial"/>
          <w:iCs/>
          <w:color w:val="auto"/>
        </w:rPr>
        <w:t>A proposta de preços deverá ser apresentada em folha de papel tamanho A4, elaborado em língua portuguesa, com interpretação clara, sem emendas, rasuras ou entrelinhas, com o timbrado da proponente ou contendo seu carimbo de identificação do CNPJ, constando: valores expressos em numeral e por extenso, data de emissão, prazo de validade, dados bancários (Banco, Agência e Conta-Corrente), telefone, e-mail, endereço do proponente, assinado pelo representante legal da empresa, com identificação.</w:t>
      </w:r>
    </w:p>
    <w:p>
      <w:pPr>
        <w:pStyle w:val="ListParagraph"/>
        <w:widowControl/>
        <w:numPr>
          <w:ilvl w:val="1"/>
          <w:numId w:val="4"/>
        </w:numPr>
        <w:suppressAutoHyphens w:val="true"/>
        <w:bidi w:val="0"/>
        <w:spacing w:lineRule="auto" w:line="312" w:before="119" w:after="289"/>
        <w:ind w:left="0" w:right="0" w:hanging="0"/>
        <w:jc w:val="both"/>
        <w:rPr/>
      </w:pPr>
      <w:r>
        <w:rPr>
          <w:rFonts w:eastAsia="Arial" w:ascii="Arial" w:hAnsi="Arial"/>
          <w:iCs/>
          <w:color w:val="auto"/>
        </w:rPr>
        <w:t>O prazo de validade das propostas de preço será de 90 (noventa) dias.</w:t>
      </w:r>
    </w:p>
    <w:p>
      <w:pPr>
        <w:pStyle w:val="Normal"/>
        <w:keepNext w:val="true"/>
        <w:keepLines/>
        <w:tabs>
          <w:tab w:val="clear" w:pos="408"/>
          <w:tab w:val="left" w:pos="567" w:leader="none"/>
        </w:tabs>
        <w:spacing w:lineRule="auto" w:line="312" w:before="120" w:after="288"/>
        <w:ind w:left="284" w:hanging="0"/>
        <w:jc w:val="both"/>
        <w:rPr>
          <w:color w:val="auto"/>
        </w:rPr>
      </w:pPr>
      <w:r>
        <w:rPr>
          <w:rFonts w:eastAsia="Arial" w:ascii="Arial" w:hAnsi="Arial"/>
          <w:b/>
          <w:color w:val="auto"/>
        </w:rPr>
        <w:t>Exigências de habilitação</w:t>
      </w:r>
    </w:p>
    <w:p>
      <w:pPr>
        <w:pStyle w:val="ListParagraph"/>
        <w:widowControl/>
        <w:numPr>
          <w:ilvl w:val="1"/>
          <w:numId w:val="4"/>
        </w:numPr>
        <w:suppressAutoHyphens w:val="true"/>
        <w:bidi w:val="0"/>
        <w:spacing w:lineRule="auto" w:line="312" w:before="120" w:after="288"/>
        <w:ind w:left="0" w:right="0" w:hanging="0"/>
        <w:contextualSpacing/>
        <w:jc w:val="both"/>
        <w:rPr>
          <w:color w:val="auto"/>
        </w:rPr>
      </w:pPr>
      <w:r>
        <w:rPr>
          <w:rFonts w:eastAsia="Arial" w:ascii="Arial" w:hAnsi="Arial"/>
          <w:iCs/>
          <w:color w:val="auto"/>
        </w:rPr>
        <w:t>Para fins de habilitação, deverá o licitante comprovar os seguintes requisitos:</w:t>
      </w:r>
    </w:p>
    <w:p>
      <w:pPr>
        <w:pStyle w:val="Normal"/>
        <w:keepNext w:val="true"/>
        <w:keepLines/>
        <w:tabs>
          <w:tab w:val="clear" w:pos="408"/>
          <w:tab w:val="left" w:pos="567" w:leader="none"/>
        </w:tabs>
        <w:spacing w:lineRule="auto" w:line="312" w:before="120" w:after="288"/>
        <w:ind w:hanging="0"/>
        <w:jc w:val="both"/>
        <w:rPr>
          <w:color w:val="auto"/>
        </w:rPr>
      </w:pPr>
      <w:r>
        <w:rPr>
          <w:rFonts w:eastAsia="Arial" w:ascii="Arial" w:hAnsi="Arial"/>
          <w:b/>
          <w:color w:val="auto"/>
        </w:rPr>
        <w:t>Habilitação jurídica</w:t>
      </w:r>
    </w:p>
    <w:p>
      <w:pPr>
        <w:pStyle w:val="Normal"/>
        <w:widowControl/>
        <w:numPr>
          <w:ilvl w:val="1"/>
          <w:numId w:val="4"/>
        </w:numPr>
        <w:suppressAutoHyphens w:val="true"/>
        <w:bidi w:val="0"/>
        <w:spacing w:lineRule="auto" w:line="312" w:before="120" w:after="288"/>
        <w:ind w:left="0" w:right="0" w:hanging="0"/>
        <w:jc w:val="both"/>
        <w:rPr>
          <w:color w:val="auto"/>
        </w:rPr>
      </w:pPr>
      <w:bookmarkStart w:id="1" w:name="_3dy6vkm"/>
      <w:bookmarkEnd w:id="1"/>
      <w:r>
        <w:rPr>
          <w:rFonts w:eastAsia="Arial" w:ascii="Arial" w:hAnsi="Arial"/>
          <w:b/>
          <w:color w:val="auto"/>
        </w:rPr>
        <w:t>Pessoa física:</w:t>
      </w:r>
      <w:r>
        <w:rPr>
          <w:rFonts w:eastAsia="Arial" w:ascii="Arial" w:hAnsi="Arial"/>
          <w:color w:val="auto"/>
        </w:rPr>
        <w:t xml:space="preserve"> cédula de identidade (RG) ou documento equivalente que, por força de lei, tenha validade para fins de identificação em todo o território nacional;</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b/>
          <w:color w:val="auto"/>
        </w:rPr>
        <w:t>Empresário individual</w:t>
      </w:r>
      <w:r>
        <w:rPr>
          <w:rFonts w:eastAsia="Arial" w:ascii="Arial" w:hAnsi="Arial"/>
          <w:color w:val="auto"/>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6">
        <w:r>
          <w:rPr>
            <w:rFonts w:eastAsia="Arial" w:ascii="Arial" w:hAnsi="Arial"/>
            <w:color w:val="auto"/>
            <w:u w:val="single"/>
          </w:rPr>
          <w:t>https://www.gov.br/empresas-e-negocios/pt-br/empreendedor</w:t>
        </w:r>
      </w:hyperlink>
      <w:r>
        <w:rPr>
          <w:rFonts w:eastAsia="Arial" w:ascii="Arial" w:hAnsi="Arial"/>
          <w:color w:val="auto"/>
        </w:rPr>
        <w:t>;</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b/>
          <w:color w:val="auto"/>
        </w:rPr>
        <w:t>Sociedade empresária, sociedade limitada unipessoal – SLU ou sociedade identificada como empresa individual de responsabilidade limitada - EIRELI</w:t>
      </w:r>
      <w:r>
        <w:rPr>
          <w:rFonts w:eastAsia="Arial" w:ascii="Arial" w:hAnsi="Arial"/>
          <w:color w:val="auto"/>
        </w:rPr>
        <w:t>: inscrição do ato constitutivo, estatuto ou contrato social no Registro Público de Empresas Mercantis, a cargo da Junta Comercial da respectiva sede, acompanhada de documento comprobatório de seus administradores;</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b/>
          <w:color w:val="auto"/>
        </w:rPr>
        <w:t>Sociedade empresária estrangeira</w:t>
      </w:r>
      <w:r>
        <w:rPr>
          <w:rFonts w:eastAsia="Arial" w:ascii="Arial" w:hAnsi="Arial"/>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
        <w:r>
          <w:rPr>
            <w:rFonts w:eastAsia="Arial" w:ascii="Arial" w:hAnsi="Arial"/>
            <w:color w:val="auto"/>
            <w:u w:val="single"/>
          </w:rPr>
          <w:t>Instrução Normativa DREI/ME n.º 77, de 18 de março de 2020</w:t>
        </w:r>
      </w:hyperlink>
      <w:r>
        <w:rPr>
          <w:rFonts w:eastAsia="Arial" w:ascii="Arial" w:hAnsi="Arial"/>
          <w:color w:val="auto"/>
        </w:rPr>
        <w:t>.</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b/>
          <w:color w:val="auto"/>
        </w:rPr>
        <w:t>Sociedade simples</w:t>
      </w:r>
      <w:r>
        <w:rPr>
          <w:rFonts w:eastAsia="Arial" w:ascii="Arial" w:hAnsi="Arial"/>
          <w:color w:val="auto"/>
        </w:rPr>
        <w:t>: inscrição do ato constitutivo no Registro Civil de Pessoas Jurídicas do local de sua sede, acompanhada de documento comprobatório de seus administradores;</w:t>
      </w:r>
    </w:p>
    <w:p>
      <w:pPr>
        <w:pStyle w:val="Normal"/>
        <w:widowControl/>
        <w:numPr>
          <w:ilvl w:val="1"/>
          <w:numId w:val="4"/>
        </w:numPr>
        <w:suppressAutoHyphens w:val="true"/>
        <w:bidi w:val="0"/>
        <w:spacing w:lineRule="auto" w:line="312" w:before="120" w:after="288"/>
        <w:ind w:left="0" w:right="0" w:hanging="0"/>
        <w:jc w:val="both"/>
        <w:rPr>
          <w:color w:val="auto"/>
        </w:rPr>
      </w:pPr>
      <w:bookmarkStart w:id="2" w:name="_1t3h5sf"/>
      <w:bookmarkEnd w:id="2"/>
      <w:r>
        <w:rPr>
          <w:rFonts w:eastAsia="Arial" w:ascii="Arial" w:hAnsi="Arial"/>
          <w:b/>
          <w:color w:val="auto"/>
        </w:rPr>
        <w:t>Filial, sucursal ou agência de sociedade simples ou empresária</w:t>
      </w:r>
      <w:r>
        <w:rPr>
          <w:rFonts w:eastAsia="Arial" w:ascii="Arial" w:hAnsi="Arial"/>
          <w:color w:val="auto"/>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b/>
          <w:color w:val="auto"/>
        </w:rPr>
        <w:t>Sociedade cooperativa</w:t>
      </w:r>
      <w:r>
        <w:rPr>
          <w:rFonts w:eastAsia="Arial" w:ascii="Arial" w:hAnsi="Arial"/>
          <w:color w:val="auto"/>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b/>
          <w:color w:val="auto"/>
        </w:rPr>
        <w:t>Agricultor familiar</w:t>
      </w:r>
      <w:r>
        <w:rPr>
          <w:rFonts w:eastAsia="Arial" w:ascii="Arial" w:hAnsi="Arial"/>
          <w:color w:val="auto"/>
        </w:rPr>
        <w:t>: Declaração de Aptidão ao Pronaf – DAP ou DAP-P válida, ou, ainda, outros documentos definidos pela Secretaria Especial de Agricultura Familiar e do Desenvolvimento Agrário, nos termos do art. 4º, §2º do Decreto nº 10.880, de 2 de dezembro de 2021.</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b/>
          <w:color w:val="auto"/>
        </w:rPr>
        <w:t>Produtor Rural</w:t>
      </w:r>
      <w:r>
        <w:rPr>
          <w:rFonts w:eastAsia="Arial" w:ascii="Arial" w:hAnsi="Arial"/>
          <w:color w:val="auto"/>
        </w:rPr>
        <w:t xml:space="preserve">: matrícula no Cadastro Específico do INSS – CEI, que comprove a qualificação como produtor rural pessoa física, nos termos da </w:t>
      </w:r>
      <w:hyperlink r:id="rId8">
        <w:r>
          <w:rPr>
            <w:rFonts w:eastAsia="Arial" w:ascii="Arial" w:hAnsi="Arial"/>
            <w:color w:val="auto"/>
            <w:u w:val="single"/>
          </w:rPr>
          <w:t>Instrução Normativa RFB n. 971, de 13 de novembro de 2009</w:t>
        </w:r>
      </w:hyperlink>
      <w:r>
        <w:rPr>
          <w:rFonts w:eastAsia="Arial" w:ascii="Arial" w:hAnsi="Arial"/>
          <w:color w:val="auto"/>
        </w:rPr>
        <w:t xml:space="preserve"> (arts. 17 a 19 e 165).</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Os documentos apresentados deverão estar acompanhados de todas as alterações ou da consolidação respectiva.</w:t>
      </w:r>
    </w:p>
    <w:p>
      <w:pPr>
        <w:pStyle w:val="Normal"/>
        <w:keepNext w:val="true"/>
        <w:keepLines/>
        <w:tabs>
          <w:tab w:val="clear" w:pos="408"/>
          <w:tab w:val="left" w:pos="567" w:leader="none"/>
        </w:tabs>
        <w:spacing w:lineRule="auto" w:line="312" w:before="120" w:after="288"/>
        <w:ind w:hanging="0"/>
        <w:jc w:val="both"/>
        <w:rPr>
          <w:color w:val="auto"/>
        </w:rPr>
      </w:pPr>
      <w:r>
        <w:rPr>
          <w:rFonts w:eastAsia="Arial" w:ascii="Arial" w:hAnsi="Arial"/>
          <w:b/>
          <w:color w:val="auto"/>
        </w:rPr>
        <w:t>Habilitação fiscal, social e trabalhista</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Prova de inscrição no Cadastro Nacional de Pessoas Jurídicas ou no Cadastro de Pessoas Físicas, conforme o caso;</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color w:val="auto"/>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9">
        <w:r>
          <w:rPr>
            <w:rFonts w:eastAsia="Arial" w:ascii="Arial" w:hAnsi="Arial"/>
            <w:color w:val="auto"/>
            <w:u w:val="single"/>
          </w:rPr>
          <w:t>Portaria Conjunta nº 1.751, de 02 de outubro de 2014</w:t>
        </w:r>
      </w:hyperlink>
      <w:r>
        <w:rPr>
          <w:rFonts w:eastAsia="Arial" w:ascii="Arial" w:hAnsi="Arial"/>
          <w:color w:val="auto"/>
        </w:rPr>
        <w:t>, do Secretário da Receita Federal do Brasil e da Procuradora-Geral da Fazenda Nacional.</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Prova de regularidade com o Fundo de Garantia do Tempo de Serviço (FGTS);</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color w:val="auto"/>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0">
        <w:r>
          <w:rPr>
            <w:rFonts w:eastAsia="Arial" w:ascii="Arial" w:hAnsi="Arial"/>
            <w:color w:val="auto"/>
            <w:u w:val="single"/>
          </w:rPr>
          <w:t>Decreto-Lei nº 5.452, de 1º de maio de 1943;</w:t>
        </w:r>
      </w:hyperlink>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 xml:space="preserve">Prova de inscrição no cadastro de contribuintes </w:t>
      </w:r>
      <w:r>
        <w:rPr>
          <w:rFonts w:eastAsia="Arial" w:ascii="Arial" w:hAnsi="Arial"/>
          <w:i w:val="false"/>
          <w:iCs w:val="false"/>
          <w:color w:val="auto"/>
        </w:rPr>
        <w:t>Estadual ou Municipal r</w:t>
      </w:r>
      <w:r>
        <w:rPr>
          <w:rFonts w:eastAsia="Arial" w:ascii="Arial" w:hAnsi="Arial"/>
          <w:color w:val="auto"/>
        </w:rPr>
        <w:t xml:space="preserve">elativo ao domicílio ou sede do fornecedor, pertinente ao seu ramo de atividade e compatível com o objeto contratual; </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 xml:space="preserve">Prova de regularidade com a Fazenda </w:t>
      </w:r>
      <w:r>
        <w:rPr>
          <w:rFonts w:eastAsia="Arial" w:ascii="Arial" w:hAnsi="Arial"/>
          <w:i w:val="false"/>
          <w:iCs w:val="false"/>
          <w:color w:val="auto"/>
        </w:rPr>
        <w:t>[Estadual/Distrital] ou [Municipal/Distrital]</w:t>
      </w:r>
      <w:r>
        <w:rPr>
          <w:rFonts w:eastAsia="Arial" w:ascii="Arial" w:hAnsi="Arial"/>
          <w:color w:val="auto"/>
        </w:rPr>
        <w:t xml:space="preserve"> do domicílio ou sede do fornecedor, relativa à atividade em cujo exercício contrata ou concorre;</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 xml:space="preserve">Caso o fornecedor seja considerado isento dos tributos </w:t>
      </w:r>
      <w:r>
        <w:rPr>
          <w:rFonts w:eastAsia="Arial" w:ascii="Arial" w:hAnsi="Arial"/>
          <w:i w:val="false"/>
          <w:iCs w:val="false"/>
          <w:color w:val="auto"/>
        </w:rPr>
        <w:t>Estadual/Distrital</w:t>
      </w:r>
      <w:r>
        <w:rPr>
          <w:rFonts w:eastAsia="Arial" w:ascii="Arial" w:hAnsi="Arial"/>
          <w:color w:val="auto"/>
        </w:rPr>
        <w:t xml:space="preserve"> ou </w:t>
      </w:r>
      <w:r>
        <w:rPr>
          <w:rFonts w:eastAsia="Arial" w:ascii="Arial" w:hAnsi="Arial"/>
          <w:i w:val="false"/>
          <w:iCs w:val="false"/>
          <w:color w:val="auto"/>
        </w:rPr>
        <w:t>Municipal/Distrital</w:t>
      </w:r>
      <w:r>
        <w:rPr>
          <w:rFonts w:eastAsia="Arial" w:ascii="Arial" w:hAnsi="Arial"/>
          <w:color w:val="auto"/>
        </w:rPr>
        <w:t xml:space="preserve"> relacionados ao objeto contratual, deverá comprovar tal condição mediante a apresentação de declaração da Fazenda respectiva do seu domicílio ou sede, ou outra equivalente, na forma da lei.</w:t>
      </w:r>
    </w:p>
    <w:p>
      <w:pPr>
        <w:pStyle w:val="Normal"/>
        <w:widowControl/>
        <w:numPr>
          <w:ilvl w:val="1"/>
          <w:numId w:val="4"/>
        </w:numPr>
        <w:suppressAutoHyphens w:val="true"/>
        <w:bidi w:val="0"/>
        <w:spacing w:lineRule="auto" w:line="312" w:before="120" w:after="288"/>
        <w:ind w:left="0" w:right="0" w:hanging="0"/>
        <w:jc w:val="both"/>
        <w:rPr/>
      </w:pPr>
      <w:bookmarkStart w:id="3" w:name="_4d34og8"/>
      <w:bookmarkEnd w:id="3"/>
      <w:r>
        <w:rPr>
          <w:rFonts w:eastAsia="Arial" w:ascii="Arial" w:hAnsi="Arial"/>
          <w:color w:val="auto"/>
        </w:rPr>
        <w:t xml:space="preserve">O fornecedor enquadrado como microempreendedor individual que pretenda auferir os benefícios do tratamento diferenciado previstos na </w:t>
      </w:r>
      <w:hyperlink r:id="rId11">
        <w:r>
          <w:rPr>
            <w:rFonts w:eastAsia="Arial" w:ascii="Arial" w:hAnsi="Arial"/>
            <w:color w:val="auto"/>
            <w:u w:val="single"/>
          </w:rPr>
          <w:t>Lei Complementar n. 123, de 2006</w:t>
        </w:r>
      </w:hyperlink>
      <w:r>
        <w:rPr>
          <w:rFonts w:eastAsia="Arial" w:ascii="Arial" w:hAnsi="Arial"/>
          <w:color w:val="auto"/>
        </w:rPr>
        <w:t>, estará dispensado da prova de inscrição nos cadastros de contribuintes estadual e municipal.</w:t>
      </w:r>
    </w:p>
    <w:p>
      <w:pPr>
        <w:pStyle w:val="Normal"/>
        <w:keepNext w:val="true"/>
        <w:keepLines/>
        <w:tabs>
          <w:tab w:val="clear" w:pos="408"/>
          <w:tab w:val="left" w:pos="567" w:leader="none"/>
        </w:tabs>
        <w:spacing w:lineRule="auto" w:line="312" w:before="120" w:after="288"/>
        <w:ind w:hanging="0"/>
        <w:jc w:val="both"/>
        <w:rPr>
          <w:color w:val="auto"/>
        </w:rPr>
      </w:pPr>
      <w:r>
        <w:rPr>
          <w:rFonts w:eastAsia="Arial" w:ascii="Arial" w:hAnsi="Arial"/>
          <w:b/>
          <w:color w:val="auto"/>
        </w:rPr>
        <w:t>Qualificação Econômico-Financeira</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 xml:space="preserve">Certidão negativa de insolvência civil expedida pelo distribuidor do domicílio ou sede do licitante, caso se trate de pessoa física, desde que admitida a sua participação na licitação, ou de sociedade simples; </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color w:val="auto"/>
        </w:rPr>
        <w:t xml:space="preserve">certidão negativa de falência expedida pelo distribuidor da sede do fornecedor - </w:t>
      </w:r>
      <w:r>
        <w:fldChar w:fldCharType="begin"/>
      </w:r>
      <w:r>
        <w:rPr>
          <w:u w:val="single"/>
          <w:rFonts w:eastAsia="Arial" w:ascii="Arial" w:hAnsi="Arial"/>
          <w:color w:val="auto"/>
        </w:rPr>
        <w:instrText> HYPERLINK "http://www.planalto.gov.br/ccivil_03/_ato2019-2022/2021/lei/L14133.htm" \l "art69"</w:instrText>
      </w:r>
      <w:r>
        <w:rPr>
          <w:u w:val="single"/>
          <w:rFonts w:eastAsia="Arial" w:ascii="Arial" w:hAnsi="Arial"/>
          <w:color w:val="auto"/>
        </w:rPr>
        <w:fldChar w:fldCharType="separate"/>
      </w:r>
      <w:r>
        <w:rPr>
          <w:rFonts w:eastAsia="Arial" w:ascii="Arial" w:hAnsi="Arial"/>
          <w:color w:val="auto"/>
          <w:u w:val="single"/>
        </w:rPr>
        <w:t xml:space="preserve">Lei nº 14.133, de 2021, art. 69, </w:t>
      </w:r>
      <w:r>
        <w:rPr>
          <w:u w:val="single"/>
          <w:rFonts w:eastAsia="Arial" w:ascii="Arial" w:hAnsi="Arial"/>
          <w:color w:val="auto"/>
        </w:rPr>
        <w:fldChar w:fldCharType="end"/>
      </w:r>
      <w:r>
        <w:fldChar w:fldCharType="begin"/>
      </w:r>
      <w:r>
        <w:rPr>
          <w:i/>
          <w:u w:val="single"/>
          <w:rFonts w:eastAsia="Arial" w:ascii="Arial" w:hAnsi="Arial"/>
          <w:color w:val="auto"/>
        </w:rPr>
        <w:instrText> HYPERLINK "http://www.planalto.gov.br/ccivil_03/_ato2019-2022/2021/lei/L14133.htm" \l "art69"</w:instrText>
      </w:r>
      <w:r>
        <w:rPr>
          <w:i/>
          <w:u w:val="single"/>
          <w:rFonts w:eastAsia="Arial" w:ascii="Arial" w:hAnsi="Arial"/>
          <w:color w:val="auto"/>
        </w:rPr>
        <w:fldChar w:fldCharType="separate"/>
      </w:r>
      <w:r>
        <w:rPr>
          <w:rFonts w:eastAsia="Arial" w:ascii="Arial" w:hAnsi="Arial"/>
          <w:i/>
          <w:color w:val="auto"/>
          <w:u w:val="single"/>
        </w:rPr>
        <w:t>caput</w:t>
      </w:r>
      <w:r>
        <w:rPr>
          <w:i/>
          <w:u w:val="single"/>
          <w:rFonts w:eastAsia="Arial" w:ascii="Arial" w:hAnsi="Arial"/>
          <w:color w:val="auto"/>
        </w:rPr>
        <w:fldChar w:fldCharType="end"/>
      </w:r>
      <w:r>
        <w:fldChar w:fldCharType="begin"/>
      </w:r>
      <w:r>
        <w:rPr>
          <w:u w:val="single"/>
          <w:rFonts w:eastAsia="Arial" w:ascii="Arial" w:hAnsi="Arial"/>
          <w:color w:val="auto"/>
        </w:rPr>
        <w:instrText> HYPERLINK "http://www.planalto.gov.br/ccivil_03/_ato2019-2022/2021/lei/L14133.htm" \l "art69"</w:instrText>
      </w:r>
      <w:r>
        <w:rPr>
          <w:u w:val="single"/>
          <w:rFonts w:eastAsia="Arial" w:ascii="Arial" w:hAnsi="Arial"/>
          <w:color w:val="auto"/>
        </w:rPr>
        <w:fldChar w:fldCharType="separate"/>
      </w:r>
      <w:r>
        <w:rPr>
          <w:rFonts w:eastAsia="Arial" w:ascii="Arial" w:hAnsi="Arial"/>
          <w:color w:val="auto"/>
          <w:u w:val="single"/>
        </w:rPr>
        <w:t>, inciso II</w:t>
      </w:r>
      <w:r>
        <w:rPr>
          <w:u w:val="single"/>
          <w:rFonts w:eastAsia="Arial" w:ascii="Arial" w:hAnsi="Arial"/>
          <w:color w:val="auto"/>
        </w:rPr>
        <w:fldChar w:fldCharType="end"/>
      </w:r>
      <w:r>
        <w:rPr>
          <w:rFonts w:eastAsia="Arial" w:ascii="Arial" w:hAnsi="Arial"/>
          <w:color w:val="auto"/>
        </w:rPr>
        <w:t>);</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pPr>
        <w:pStyle w:val="Normal"/>
        <w:spacing w:lineRule="auto" w:line="312" w:before="120" w:after="288"/>
        <w:ind w:firstLine="1701"/>
        <w:jc w:val="both"/>
        <w:rPr>
          <w:color w:val="C9211E"/>
        </w:rPr>
      </w:pPr>
      <w:r>
        <w:rPr>
          <w:rFonts w:eastAsia="Arial" w:ascii="Arial" w:hAnsi="Arial"/>
          <w:color w:val="auto"/>
        </w:rPr>
        <w:t>I -</w:t>
      </w:r>
      <w:r>
        <w:rPr>
          <w:rFonts w:eastAsia="Arial" w:ascii="Arial" w:hAnsi="Arial"/>
          <w:color w:val="C9211E"/>
        </w:rPr>
        <w:t xml:space="preserve"> </w:t>
      </w:r>
      <w:r>
        <w:rPr>
          <w:rFonts w:eastAsia="Arial" w:ascii="Arial" w:hAnsi="Arial"/>
          <w:color w:val="auto"/>
        </w:rPr>
        <w:t>Liquidez Geral (LG) = (Ativo Circulante + Realizável a Longo Prazo) / (Passivo Circulante + Passivo Não Circulante);</w:t>
      </w:r>
    </w:p>
    <w:p>
      <w:pPr>
        <w:pStyle w:val="Normal"/>
        <w:spacing w:lineRule="auto" w:line="312" w:before="120" w:after="288"/>
        <w:ind w:firstLine="1701"/>
        <w:jc w:val="both"/>
        <w:rPr>
          <w:color w:val="auto"/>
        </w:rPr>
      </w:pPr>
      <w:r>
        <w:rPr>
          <w:rFonts w:eastAsia="Arial" w:ascii="Arial" w:hAnsi="Arial"/>
          <w:color w:val="auto"/>
        </w:rPr>
        <w:t>II - Solvência Geral (SG)= (Ativo Total) / (Passivo Circulante +Passivo não Circulante); e</w:t>
      </w:r>
    </w:p>
    <w:p>
      <w:pPr>
        <w:pStyle w:val="Normal"/>
        <w:spacing w:lineRule="auto" w:line="312" w:before="120" w:after="288"/>
        <w:ind w:left="567" w:firstLine="1134"/>
        <w:jc w:val="both"/>
        <w:rPr>
          <w:color w:val="auto"/>
        </w:rPr>
      </w:pPr>
      <w:r>
        <w:rPr>
          <w:rFonts w:eastAsia="Arial" w:ascii="Arial" w:hAnsi="Arial"/>
          <w:color w:val="auto"/>
        </w:rPr>
        <w:t>III - Liquidez Corrente (LC) = (Ativo Circulante) / (Passivo Circulante).</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color w:val="auto"/>
        </w:rPr>
        <w:t>As empresas criadas no exercício financeiro da licitação deverão atender a todas as exigências da habilitação e poderão substituir os demonstrativos contábeis pelo balanço de abertura. (</w:t>
      </w:r>
      <w:r>
        <w:fldChar w:fldCharType="begin"/>
      </w:r>
      <w:r>
        <w:rPr>
          <w:u w:val="single"/>
          <w:rFonts w:eastAsia="Arial" w:ascii="Arial" w:hAnsi="Arial"/>
          <w:color w:val="auto"/>
        </w:rPr>
        <w:instrText> HYPERLINK "http://www.planalto.gov.br/ccivil_03/_ato2019-2022/2021/lei/L14133.htm" \l "art65§1"</w:instrText>
      </w:r>
      <w:r>
        <w:rPr>
          <w:u w:val="single"/>
          <w:rFonts w:eastAsia="Arial" w:ascii="Arial" w:hAnsi="Arial"/>
          <w:color w:val="auto"/>
        </w:rPr>
        <w:fldChar w:fldCharType="separate"/>
      </w:r>
      <w:r>
        <w:rPr>
          <w:rFonts w:eastAsia="Arial" w:ascii="Arial" w:hAnsi="Arial"/>
          <w:color w:val="auto"/>
          <w:u w:val="single"/>
        </w:rPr>
        <w:t>Lei nº 14.133, de 2021, art. 65, §1º</w:t>
      </w:r>
      <w:r>
        <w:rPr>
          <w:u w:val="single"/>
          <w:rFonts w:eastAsia="Arial" w:ascii="Arial" w:hAnsi="Arial"/>
          <w:color w:val="auto"/>
        </w:rPr>
        <w:fldChar w:fldCharType="end"/>
      </w:r>
      <w:r>
        <w:rPr>
          <w:rFonts w:eastAsia="Arial" w:ascii="Arial" w:hAnsi="Arial"/>
          <w:color w:val="auto"/>
        </w:rPr>
        <w:t>).</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color w:val="auto"/>
        </w:rPr>
        <w:t>O balanço patrimonial, demonstração de resultado de exercício e demais demonstrações contábeis limitar-se-ão ao último exercício no caso de a pessoa jurídica ter sido constituída há menos de 2 (dois) anos. (</w:t>
      </w:r>
      <w:r>
        <w:fldChar w:fldCharType="begin"/>
      </w:r>
      <w:r>
        <w:rPr>
          <w:u w:val="single"/>
          <w:rFonts w:eastAsia="Arial" w:ascii="Arial" w:hAnsi="Arial"/>
          <w:color w:val="auto"/>
        </w:rPr>
        <w:instrText> HYPERLINK "http://www.planalto.gov.br/ccivil_03/_ato2019-2022/2021/lei/L14133.htm" \l "art69§6"</w:instrText>
      </w:r>
      <w:r>
        <w:rPr>
          <w:u w:val="single"/>
          <w:rFonts w:eastAsia="Arial" w:ascii="Arial" w:hAnsi="Arial"/>
          <w:color w:val="auto"/>
        </w:rPr>
        <w:fldChar w:fldCharType="separate"/>
      </w:r>
      <w:r>
        <w:rPr>
          <w:rFonts w:eastAsia="Arial" w:ascii="Arial" w:hAnsi="Arial"/>
          <w:color w:val="auto"/>
          <w:u w:val="single"/>
        </w:rPr>
        <w:t>Lei nº 14.133, de 2021, art. 69, §6º</w:t>
      </w:r>
      <w:r>
        <w:rPr>
          <w:u w:val="single"/>
          <w:rFonts w:eastAsia="Arial" w:ascii="Arial" w:hAnsi="Arial"/>
          <w:color w:val="auto"/>
        </w:rPr>
        <w:fldChar w:fldCharType="end"/>
      </w:r>
      <w:r>
        <w:rPr>
          <w:rFonts w:eastAsia="Arial" w:ascii="Arial" w:hAnsi="Arial"/>
          <w:color w:val="auto"/>
        </w:rPr>
        <w:t>)</w:t>
      </w:r>
    </w:p>
    <w:p>
      <w:pPr>
        <w:pStyle w:val="Normal"/>
        <w:widowControl/>
        <w:numPr>
          <w:ilvl w:val="1"/>
          <w:numId w:val="4"/>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O atendimento dos índices econômicos previstos neste item deverá ser atestado mediante declaração assinada por profissional habilitado da área contábil, apresentada pelo fornecedor.</w:t>
      </w:r>
    </w:p>
    <w:p>
      <w:pPr>
        <w:pStyle w:val="Normal"/>
        <w:widowControl/>
        <w:numPr>
          <w:ilvl w:val="1"/>
          <w:numId w:val="4"/>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Justifica-se a exigência de Qualificação Econômico-Financeira na necessidade de garantir que a empresa contratada tenha saúde financeira suficiente para suportar os custos da execução do contrato sem interrupções.</w:t>
      </w:r>
    </w:p>
    <w:p>
      <w:pPr>
        <w:pStyle w:val="Normal"/>
        <w:keepNext w:val="true"/>
        <w:keepLines/>
        <w:tabs>
          <w:tab w:val="clear" w:pos="408"/>
          <w:tab w:val="left" w:pos="567" w:leader="none"/>
        </w:tabs>
        <w:spacing w:lineRule="auto" w:line="312" w:before="120" w:after="288"/>
        <w:ind w:hanging="0"/>
        <w:jc w:val="both"/>
        <w:rPr>
          <w:color w:val="auto"/>
        </w:rPr>
      </w:pPr>
      <w:r>
        <w:rPr>
          <w:rFonts w:eastAsia="Arial" w:ascii="Arial" w:hAnsi="Arial"/>
          <w:b/>
          <w:color w:val="auto"/>
        </w:rPr>
        <w:t>Qualificação Técnica</w:t>
      </w:r>
    </w:p>
    <w:p>
      <w:pPr>
        <w:pStyle w:val="Normal"/>
        <w:widowControl/>
        <w:numPr>
          <w:ilvl w:val="1"/>
          <w:numId w:val="4"/>
        </w:numPr>
        <w:suppressAutoHyphens w:val="true"/>
        <w:bidi w:val="0"/>
        <w:spacing w:lineRule="auto" w:line="312" w:before="120" w:after="288"/>
        <w:ind w:left="0" w:right="0" w:hanging="0"/>
        <w:jc w:val="both"/>
        <w:rPr>
          <w:i w:val="false"/>
          <w:i w:val="false"/>
          <w:iCs w:val="false"/>
          <w:color w:val="auto"/>
        </w:rPr>
      </w:pPr>
      <w:r>
        <w:rPr>
          <w:rFonts w:eastAsia="Arial" w:ascii="Arial" w:hAnsi="Arial"/>
          <w:i w:val="false"/>
          <w:iCs w:val="false"/>
          <w:color w:val="auto"/>
        </w:rPr>
        <w:t xml:space="preserve">Não haverá a exigência de documentação de qualificação técnica nesta contratação. </w:t>
      </w:r>
    </w:p>
    <w:p>
      <w:pPr>
        <w:pStyle w:val="Normal"/>
        <w:keepNext w:val="true"/>
        <w:keepLines/>
        <w:numPr>
          <w:ilvl w:val="0"/>
          <w:numId w:val="4"/>
        </w:numPr>
        <w:tabs>
          <w:tab w:val="clear" w:pos="408"/>
          <w:tab w:val="left" w:pos="567" w:leader="none"/>
        </w:tabs>
        <w:spacing w:lineRule="auto" w:line="312" w:before="120" w:after="288"/>
        <w:ind w:left="0" w:hanging="0"/>
        <w:jc w:val="both"/>
        <w:rPr>
          <w:color w:val="auto"/>
        </w:rPr>
      </w:pPr>
      <w:r>
        <w:rPr>
          <w:rFonts w:eastAsia="Arial" w:ascii="Arial" w:hAnsi="Arial"/>
          <w:b/>
          <w:color w:val="auto"/>
        </w:rPr>
        <w:t>ESTIMATIVAS DO VALOR DA CONTRATAÇÃO</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i w:val="false"/>
          <w:iCs w:val="false"/>
          <w:color w:val="auto"/>
        </w:rPr>
        <w:t>O custo estimado total da contratação é de R$ 60.518,88 (</w:t>
      </w:r>
      <w:r>
        <w:rPr>
          <w:rFonts w:eastAsia="Arial" w:cs="Arial" w:ascii="Arial" w:hAnsi="Arial"/>
          <w:i w:val="false"/>
          <w:iCs w:val="false"/>
          <w:color w:val="auto"/>
          <w:kern w:val="0"/>
          <w:sz w:val="20"/>
          <w:szCs w:val="20"/>
          <w:lang w:val="pt-BR" w:eastAsia="pt-BR" w:bidi="ar-SA"/>
        </w:rPr>
        <w:t>sessenta mil quinhentos e dezoito reais e oitenta e oito centavos</w:t>
      </w:r>
      <w:r>
        <w:rPr>
          <w:rFonts w:eastAsia="Arial" w:ascii="Arial" w:hAnsi="Arial"/>
          <w:i w:val="false"/>
          <w:iCs w:val="false"/>
          <w:color w:val="auto"/>
        </w:rPr>
        <w:t>), conforme mapa de orçamento elaborado pelo Setor de Compras</w:t>
      </w:r>
      <w:r>
        <w:rPr>
          <w:rFonts w:eastAsia="Arial" w:ascii="Arial" w:hAnsi="Arial"/>
          <w:i w:val="false"/>
          <w:iCs w:val="false"/>
          <w:color w:val="auto"/>
          <w:sz w:val="20"/>
          <w:szCs w:val="20"/>
        </w:rPr>
        <w:t>.</w:t>
      </w:r>
    </w:p>
    <w:p>
      <w:pPr>
        <w:pStyle w:val="Normal"/>
        <w:keepNext w:val="true"/>
        <w:keepLines/>
        <w:numPr>
          <w:ilvl w:val="0"/>
          <w:numId w:val="4"/>
        </w:numPr>
        <w:tabs>
          <w:tab w:val="clear" w:pos="408"/>
          <w:tab w:val="left" w:pos="567" w:leader="none"/>
        </w:tabs>
        <w:spacing w:lineRule="auto" w:line="312" w:before="120" w:after="288"/>
        <w:ind w:left="0" w:hanging="0"/>
        <w:jc w:val="both"/>
        <w:rPr>
          <w:color w:val="auto"/>
        </w:rPr>
      </w:pPr>
      <w:r>
        <w:rPr>
          <w:rFonts w:eastAsia="Arial" w:ascii="Arial" w:hAnsi="Arial"/>
          <w:b/>
          <w:color w:val="auto"/>
          <w:sz w:val="20"/>
          <w:szCs w:val="20"/>
        </w:rPr>
        <w:t>ADEQUAÇÃO ORÇAMENTÁRIA</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As despesas decorrentes da contratação objeto do presente termo correrão à conta dos recursos consignados nas seguintes Dotações Orçamentárias:</w:t>
      </w:r>
    </w:p>
    <w:tbl>
      <w:tblPr>
        <w:tblW w:w="9674" w:type="dxa"/>
        <w:jc w:val="left"/>
        <w:tblInd w:w="206" w:type="dxa"/>
        <w:tblLayout w:type="fixed"/>
        <w:tblCellMar>
          <w:top w:w="0" w:type="dxa"/>
          <w:left w:w="108" w:type="dxa"/>
          <w:bottom w:w="0" w:type="dxa"/>
          <w:right w:w="108" w:type="dxa"/>
        </w:tblCellMar>
        <w:tblLook w:firstRow="0" w:noVBand="0" w:lastRow="0" w:firstColumn="0" w:lastColumn="0" w:noHBand="0" w:val="0000"/>
      </w:tblPr>
      <w:tblGrid>
        <w:gridCol w:w="2583"/>
        <w:gridCol w:w="7090"/>
      </w:tblGrid>
      <w:tr>
        <w:trPr>
          <w:trHeight w:val="412" w:hRule="atLeast"/>
        </w:trPr>
        <w:tc>
          <w:tcPr>
            <w:tcW w:w="25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numPr>
                <w:ilvl w:val="0"/>
                <w:numId w:val="0"/>
              </w:numPr>
              <w:spacing w:lineRule="auto" w:line="360"/>
              <w:ind w:left="660" w:hanging="0"/>
              <w:jc w:val="center"/>
              <w:rPr>
                <w:rFonts w:ascii="Arial" w:hAnsi="Arial"/>
                <w:b/>
                <w:b/>
                <w:color w:val="auto"/>
                <w:sz w:val="20"/>
                <w:szCs w:val="20"/>
              </w:rPr>
            </w:pPr>
            <w:r>
              <w:rPr>
                <w:rFonts w:ascii="Arial" w:hAnsi="Arial"/>
                <w:b/>
                <w:color w:val="auto"/>
                <w:sz w:val="20"/>
                <w:szCs w:val="20"/>
              </w:rPr>
              <w:t>Programa de Trabalho</w:t>
            </w:r>
          </w:p>
        </w:tc>
        <w:tc>
          <w:tcPr>
            <w:tcW w:w="70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360"/>
              <w:ind w:left="660" w:hanging="0"/>
              <w:rPr>
                <w:rFonts w:ascii="Arial" w:hAnsi="Arial"/>
                <w:color w:val="auto"/>
                <w:sz w:val="20"/>
                <w:szCs w:val="20"/>
              </w:rPr>
            </w:pPr>
            <w:r>
              <w:rPr>
                <w:rFonts w:ascii="Arial" w:hAnsi="Arial"/>
                <w:color w:val="auto"/>
                <w:sz w:val="20"/>
                <w:szCs w:val="20"/>
              </w:rPr>
              <w:t>Manutenção do Ensino Fundamental</w:t>
            </w:r>
          </w:p>
        </w:tc>
      </w:tr>
      <w:tr>
        <w:trPr/>
        <w:tc>
          <w:tcPr>
            <w:tcW w:w="25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numPr>
                <w:ilvl w:val="0"/>
                <w:numId w:val="0"/>
              </w:numPr>
              <w:spacing w:lineRule="auto" w:line="360"/>
              <w:ind w:left="660" w:hanging="0"/>
              <w:jc w:val="center"/>
              <w:rPr>
                <w:rFonts w:ascii="Arial" w:hAnsi="Arial"/>
                <w:b/>
                <w:b/>
                <w:color w:val="auto"/>
                <w:sz w:val="20"/>
                <w:szCs w:val="20"/>
              </w:rPr>
            </w:pPr>
            <w:r>
              <w:rPr>
                <w:rFonts w:ascii="Arial" w:hAnsi="Arial"/>
                <w:b/>
                <w:color w:val="auto"/>
                <w:sz w:val="20"/>
                <w:szCs w:val="20"/>
              </w:rPr>
              <w:t>Natureza da Despesa</w:t>
            </w:r>
          </w:p>
        </w:tc>
        <w:tc>
          <w:tcPr>
            <w:tcW w:w="70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360"/>
              <w:ind w:left="660" w:hanging="0"/>
              <w:rPr>
                <w:rFonts w:ascii="Arial" w:hAnsi="Arial"/>
                <w:color w:val="auto"/>
                <w:sz w:val="20"/>
                <w:szCs w:val="20"/>
              </w:rPr>
            </w:pPr>
            <w:r>
              <w:rPr>
                <w:rFonts w:ascii="Arial" w:hAnsi="Arial"/>
                <w:color w:val="auto"/>
                <w:sz w:val="20"/>
                <w:szCs w:val="20"/>
              </w:rPr>
              <w:t>3.3.90.39  – Outros Serviços Terceiros Pessoa Jurídica</w:t>
            </w:r>
          </w:p>
        </w:tc>
      </w:tr>
      <w:tr>
        <w:trPr/>
        <w:tc>
          <w:tcPr>
            <w:tcW w:w="25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numPr>
                <w:ilvl w:val="0"/>
                <w:numId w:val="0"/>
              </w:numPr>
              <w:spacing w:lineRule="auto" w:line="360"/>
              <w:ind w:left="660" w:hanging="0"/>
              <w:jc w:val="center"/>
              <w:rPr>
                <w:rFonts w:ascii="Arial" w:hAnsi="Arial"/>
                <w:b/>
                <w:b/>
                <w:color w:val="auto"/>
                <w:sz w:val="20"/>
                <w:szCs w:val="20"/>
              </w:rPr>
            </w:pPr>
            <w:r>
              <w:rPr>
                <w:rFonts w:ascii="Arial" w:hAnsi="Arial"/>
                <w:b/>
                <w:color w:val="auto"/>
                <w:sz w:val="20"/>
                <w:szCs w:val="20"/>
              </w:rPr>
              <w:t>Fonte de Recursos</w:t>
            </w:r>
          </w:p>
        </w:tc>
        <w:tc>
          <w:tcPr>
            <w:tcW w:w="70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360"/>
              <w:ind w:left="660" w:hanging="0"/>
              <w:rPr>
                <w:rFonts w:ascii="Arial" w:hAnsi="Arial"/>
                <w:color w:val="auto"/>
                <w:sz w:val="20"/>
                <w:szCs w:val="20"/>
              </w:rPr>
            </w:pPr>
            <w:r>
              <w:rPr>
                <w:rFonts w:ascii="Arial" w:hAnsi="Arial"/>
                <w:color w:val="auto"/>
                <w:sz w:val="20"/>
                <w:szCs w:val="20"/>
              </w:rPr>
              <w:t>Salário Educação (1550) e Royalties vinculado à Educação (1573)</w:t>
            </w:r>
          </w:p>
        </w:tc>
      </w:tr>
    </w:tbl>
    <w:p>
      <w:pPr>
        <w:pStyle w:val="Normal"/>
        <w:keepNext w:val="true"/>
        <w:keepLines/>
        <w:numPr>
          <w:ilvl w:val="0"/>
          <w:numId w:val="4"/>
        </w:numPr>
        <w:tabs>
          <w:tab w:val="clear" w:pos="408"/>
          <w:tab w:val="left" w:pos="567" w:leader="none"/>
        </w:tabs>
        <w:spacing w:lineRule="auto" w:line="312" w:before="120" w:after="288"/>
        <w:ind w:left="0" w:hanging="0"/>
        <w:jc w:val="both"/>
        <w:rPr>
          <w:color w:val="auto"/>
        </w:rPr>
      </w:pPr>
      <w:bookmarkStart w:id="4" w:name="_Toc115335372"/>
      <w:bookmarkStart w:id="5" w:name="_Hlk803514101"/>
      <w:bookmarkEnd w:id="5"/>
      <w:r>
        <w:rPr>
          <w:rFonts w:eastAsia="Arial" w:ascii="Arial" w:hAnsi="Arial"/>
          <w:b/>
          <w:color w:val="auto"/>
        </w:rPr>
        <w:t>DA PUBLICIDADE</w:t>
      </w:r>
      <w:bookmarkEnd w:id="4"/>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O extrato do contrato oriundo deste instrumento será publicado no PNCP, bem como no site oficial www.vassouras.rj.gov.br.</w:t>
      </w:r>
    </w:p>
    <w:p>
      <w:pPr>
        <w:pStyle w:val="Normal"/>
        <w:widowControl/>
        <w:numPr>
          <w:ilvl w:val="1"/>
          <w:numId w:val="4"/>
        </w:numPr>
        <w:suppressAutoHyphens w:val="true"/>
        <w:bidi w:val="0"/>
        <w:spacing w:lineRule="auto" w:line="312" w:before="120" w:after="288"/>
        <w:ind w:left="0" w:right="0" w:hanging="0"/>
        <w:jc w:val="both"/>
        <w:rPr>
          <w:color w:val="auto"/>
        </w:rPr>
      </w:pPr>
      <w:bookmarkStart w:id="6" w:name="_Hlk111536178"/>
      <w:r>
        <w:rPr>
          <w:rFonts w:eastAsia="Arial" w:ascii="Arial" w:hAnsi="Arial"/>
          <w:color w:val="auto"/>
        </w:rPr>
        <w:t>A CONTRATADA deverá declarar para os devidos fins que está ciente que a íntegra do contrato, bem como de eventual Termo Aditivo, será publicada no Portal da Transparência da Prefeitura Municipal de Vassouras e que tal publicação não fere nenhum dispositivo da Lei Federal nº 13.709/2018, Lei Geral de Proteção de Dados Pessoais (LGPD).</w:t>
      </w:r>
      <w:bookmarkEnd w:id="6"/>
    </w:p>
    <w:p>
      <w:pPr>
        <w:pStyle w:val="Normal"/>
        <w:widowControl/>
        <w:numPr>
          <w:ilvl w:val="1"/>
          <w:numId w:val="4"/>
        </w:numPr>
        <w:suppressAutoHyphens w:val="true"/>
        <w:bidi w:val="0"/>
        <w:spacing w:lineRule="auto" w:line="312" w:before="120" w:after="288"/>
        <w:ind w:left="0" w:right="0" w:hanging="0"/>
        <w:jc w:val="both"/>
        <w:rPr>
          <w:rFonts w:ascii="Arial" w:hAnsi="Arial"/>
        </w:rPr>
      </w:pPr>
      <w:r>
        <w:rPr>
          <w:rFonts w:ascii="Arial" w:hAnsi="Arial"/>
        </w:rPr>
        <w:t>Em atendimento ao disposto na Lei Geral de Proteção de Dados – LEI N. 13.709/2018 (LGPD), a CONTRATADA fica obrigada a:</w:t>
      </w:r>
    </w:p>
    <w:p>
      <w:pPr>
        <w:pStyle w:val="Normal"/>
        <w:widowControl/>
        <w:numPr>
          <w:ilvl w:val="2"/>
          <w:numId w:val="4"/>
        </w:numPr>
        <w:suppressAutoHyphens w:val="true"/>
        <w:bidi w:val="0"/>
        <w:spacing w:lineRule="auto" w:line="312" w:before="120" w:after="288"/>
        <w:ind w:left="567" w:right="0" w:hanging="0"/>
        <w:jc w:val="both"/>
        <w:rPr>
          <w:rFonts w:ascii="Arial" w:hAnsi="Arial"/>
        </w:rPr>
      </w:pPr>
      <w:r>
        <w:rPr>
          <w:rFonts w:ascii="Arial" w:hAnsi="Arial"/>
        </w:rPr>
        <w:t>Cumprir as solicitações da Autoridade Nacional de Proteção de Dados (ANPD);</w:t>
      </w:r>
    </w:p>
    <w:p>
      <w:pPr>
        <w:pStyle w:val="Normal"/>
        <w:widowControl/>
        <w:numPr>
          <w:ilvl w:val="2"/>
          <w:numId w:val="4"/>
        </w:numPr>
        <w:suppressAutoHyphens w:val="true"/>
        <w:bidi w:val="0"/>
        <w:spacing w:lineRule="auto" w:line="312" w:before="120" w:after="288"/>
        <w:ind w:left="567" w:right="0" w:hanging="0"/>
        <w:jc w:val="both"/>
        <w:rPr>
          <w:rFonts w:ascii="Arial" w:hAnsi="Arial"/>
        </w:rPr>
      </w:pPr>
      <w:r>
        <w:rPr>
          <w:rFonts w:ascii="Arial" w:hAnsi="Arial"/>
        </w:rPr>
        <w:t>Cumprir com o estabelecido pelo CONTRATANTE para o tratamento de dados e dentro das finalidades necessárias ao cumprimento do objeto contratado;</w:t>
      </w:r>
    </w:p>
    <w:p>
      <w:pPr>
        <w:pStyle w:val="Normal"/>
        <w:widowControl/>
        <w:numPr>
          <w:ilvl w:val="2"/>
          <w:numId w:val="4"/>
        </w:numPr>
        <w:suppressAutoHyphens w:val="true"/>
        <w:bidi w:val="0"/>
        <w:spacing w:lineRule="auto" w:line="312" w:before="120" w:after="288"/>
        <w:ind w:left="567" w:right="0" w:hanging="0"/>
        <w:jc w:val="both"/>
        <w:rPr>
          <w:rFonts w:ascii="Arial" w:hAnsi="Arial"/>
        </w:rPr>
      </w:pPr>
      <w:r>
        <w:rPr>
          <w:rFonts w:ascii="Arial" w:hAnsi="Arial"/>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pPr>
        <w:pStyle w:val="Normal"/>
        <w:widowControl/>
        <w:numPr>
          <w:ilvl w:val="2"/>
          <w:numId w:val="4"/>
        </w:numPr>
        <w:suppressAutoHyphens w:val="true"/>
        <w:bidi w:val="0"/>
        <w:spacing w:lineRule="auto" w:line="312" w:before="120" w:after="288"/>
        <w:ind w:left="567" w:right="0" w:hanging="0"/>
        <w:jc w:val="both"/>
        <w:rPr>
          <w:rFonts w:ascii="Arial" w:hAnsi="Arial"/>
        </w:rPr>
      </w:pPr>
      <w:r>
        <w:rPr>
          <w:rFonts w:ascii="Arial" w:hAnsi="Arial"/>
        </w:rPr>
        <w:t>Não utilizar os dados obtidos por meio desse ajuste para finalidade diversa;</w:t>
      </w:r>
    </w:p>
    <w:p>
      <w:pPr>
        <w:pStyle w:val="Normal"/>
        <w:widowControl/>
        <w:numPr>
          <w:ilvl w:val="2"/>
          <w:numId w:val="4"/>
        </w:numPr>
        <w:suppressAutoHyphens w:val="true"/>
        <w:bidi w:val="0"/>
        <w:spacing w:lineRule="auto" w:line="312" w:before="120" w:after="288"/>
        <w:ind w:left="567" w:right="0" w:hanging="0"/>
        <w:jc w:val="both"/>
        <w:rPr>
          <w:rFonts w:ascii="Arial" w:hAnsi="Arial"/>
        </w:rPr>
      </w:pPr>
      <w:r>
        <w:rPr>
          <w:rFonts w:ascii="Arial" w:hAnsi="Arial"/>
        </w:rPr>
        <w:t>Notificar o CONTRATANTE em caso de vazamento de dados que conduza à destruição, perda, alteração ou divulgação não autorizada de dados, por escrito, no prazo máximo de 24 (vinte e quatro) horas contadas da descoberta da referida violação;</w:t>
      </w:r>
    </w:p>
    <w:p>
      <w:pPr>
        <w:pStyle w:val="Normal"/>
        <w:widowControl/>
        <w:numPr>
          <w:ilvl w:val="2"/>
          <w:numId w:val="4"/>
        </w:numPr>
        <w:suppressAutoHyphens w:val="true"/>
        <w:bidi w:val="0"/>
        <w:spacing w:lineRule="auto" w:line="312" w:before="120" w:after="288"/>
        <w:ind w:left="567" w:right="0" w:hanging="0"/>
        <w:jc w:val="both"/>
        <w:rPr>
          <w:rFonts w:ascii="Arial" w:hAnsi="Arial"/>
        </w:rPr>
      </w:pPr>
      <w:r>
        <w:rPr>
          <w:rFonts w:ascii="Arial" w:hAnsi="Arial"/>
        </w:rPr>
        <w:t>Fornecer informações úteis ao CONTRATANTE sobre a natureza e âmbito dos Dados Pessoais possivelmente afetados e as medidas corretivas tomadas ou planejadas;</w:t>
      </w:r>
    </w:p>
    <w:p>
      <w:pPr>
        <w:pStyle w:val="Normal"/>
        <w:widowControl/>
        <w:numPr>
          <w:ilvl w:val="2"/>
          <w:numId w:val="4"/>
        </w:numPr>
        <w:suppressAutoHyphens w:val="true"/>
        <w:bidi w:val="0"/>
        <w:spacing w:lineRule="auto" w:line="312" w:before="120" w:after="288"/>
        <w:ind w:left="567" w:right="0" w:hanging="0"/>
        <w:jc w:val="both"/>
        <w:rPr>
          <w:rFonts w:ascii="Arial" w:hAnsi="Arial"/>
        </w:rPr>
      </w:pPr>
      <w:r>
        <w:rPr>
          <w:rFonts w:ascii="Arial" w:hAnsi="Arial"/>
        </w:rPr>
        <w:t>Implementar medidas corretivas a fim de impedir violações e a fim de limitar o seu impacto sobre os titulares de dados, na medida do possível.</w:t>
      </w:r>
    </w:p>
    <w:p>
      <w:pPr>
        <w:pStyle w:val="Normal"/>
        <w:widowControl/>
        <w:numPr>
          <w:ilvl w:val="1"/>
          <w:numId w:val="4"/>
        </w:numPr>
        <w:suppressAutoHyphens w:val="true"/>
        <w:bidi w:val="0"/>
        <w:spacing w:lineRule="auto" w:line="312" w:before="120" w:after="288"/>
        <w:ind w:left="0" w:right="0" w:hanging="0"/>
        <w:jc w:val="both"/>
        <w:rPr>
          <w:rFonts w:ascii="Arial" w:hAnsi="Arial"/>
        </w:rPr>
      </w:pPr>
      <w:r>
        <w:rPr>
          <w:rFonts w:ascii="Arial" w:hAnsi="Arial"/>
        </w:rPr>
        <w:t>O presente certame não estará sob sigilo, e atenderá o art. 8º, §1º, IV, de acordo com a Lei 12.527/2011</w:t>
      </w:r>
    </w:p>
    <w:p>
      <w:pPr>
        <w:pStyle w:val="Normal"/>
        <w:widowControl/>
        <w:numPr>
          <w:ilvl w:val="0"/>
          <w:numId w:val="4"/>
        </w:numPr>
        <w:suppressAutoHyphens w:val="true"/>
        <w:bidi w:val="0"/>
        <w:spacing w:lineRule="auto" w:line="312" w:before="120" w:after="288"/>
        <w:ind w:left="0" w:right="0" w:hanging="0"/>
        <w:jc w:val="both"/>
        <w:rPr/>
      </w:pPr>
      <w:r>
        <w:rPr>
          <w:rFonts w:eastAsia="Arial" w:ascii="Arial" w:hAnsi="Arial"/>
          <w:b/>
          <w:color w:val="auto"/>
        </w:rPr>
        <w:t>DOS CRITÉRIOS DE SUSTENTABILIDADE</w:t>
      </w:r>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bCs/>
          <w:color w:val="auto"/>
        </w:rPr>
        <w:t xml:space="preserve">A logística reversa é de responsabilidade da contratada, devendo ela obedecer a todas as normas específicas vigentes para a destinação final, inclusive de restos de toner, cartuchos e embalagens dos produtos utilizados. Dentre as normas da legislação obrigatória a ser seguida, destacam-se: o Decreto nº 10.936, de 12 de janeiro de 2022, a IN/SLTI/MP nº 1, de 19 de janeiro de 2010, e o Decreto nº 7.746, de 5 de junho de 2012. </w:t>
      </w:r>
    </w:p>
    <w:p>
      <w:pPr>
        <w:pStyle w:val="Normal"/>
        <w:keepNext w:val="true"/>
        <w:keepLines/>
        <w:numPr>
          <w:ilvl w:val="0"/>
          <w:numId w:val="4"/>
        </w:numPr>
        <w:tabs>
          <w:tab w:val="clear" w:pos="408"/>
          <w:tab w:val="left" w:pos="567" w:leader="none"/>
        </w:tabs>
        <w:spacing w:lineRule="auto" w:line="312" w:before="120" w:after="288"/>
        <w:ind w:left="0" w:hanging="0"/>
        <w:jc w:val="both"/>
        <w:rPr>
          <w:color w:val="auto"/>
        </w:rPr>
      </w:pPr>
      <w:bookmarkStart w:id="7" w:name="_Toc115335373"/>
      <w:r>
        <w:rPr>
          <w:rFonts w:eastAsia="Arial" w:ascii="Arial" w:hAnsi="Arial"/>
          <w:b/>
          <w:color w:val="auto"/>
        </w:rPr>
        <w:t>DA LEI ANTICORRUPÇÃO</w:t>
      </w:r>
      <w:bookmarkEnd w:id="7"/>
    </w:p>
    <w:p>
      <w:pPr>
        <w:pStyle w:val="Normal"/>
        <w:widowControl/>
        <w:numPr>
          <w:ilvl w:val="1"/>
          <w:numId w:val="4"/>
        </w:numPr>
        <w:suppressAutoHyphens w:val="true"/>
        <w:bidi w:val="0"/>
        <w:spacing w:lineRule="auto" w:line="312" w:before="120" w:after="288"/>
        <w:ind w:left="0" w:right="0" w:hanging="0"/>
        <w:jc w:val="both"/>
        <w:rPr>
          <w:color w:val="auto"/>
        </w:rPr>
      </w:pPr>
      <w:r>
        <w:rPr>
          <w:rFonts w:eastAsia="Arial" w:ascii="Arial" w:hAnsi="Arial"/>
          <w:color w:val="auto"/>
        </w:rPr>
        <w:t>As partes deverão observar todas as disposições das regras anticorrupção em vigor no Brasil, em especial, as previsões da Lei Federal nº 12.846/2013 (Lei Anticorrupção), do Decreto Federal nº 8.420/2015.</w:t>
      </w:r>
    </w:p>
    <w:p>
      <w:pPr>
        <w:pStyle w:val="Normal"/>
        <w:widowControl/>
        <w:numPr>
          <w:ilvl w:val="2"/>
          <w:numId w:val="4"/>
        </w:numPr>
        <w:suppressAutoHyphens w:val="true"/>
        <w:bidi w:val="0"/>
        <w:spacing w:lineRule="auto" w:line="312" w:before="120" w:after="288"/>
        <w:ind w:left="567" w:right="0" w:hanging="0"/>
        <w:jc w:val="both"/>
        <w:rPr>
          <w:color w:val="auto"/>
        </w:rPr>
      </w:pPr>
      <w:r>
        <w:rPr>
          <w:rFonts w:eastAsia="Arial" w:ascii="Arial" w:hAnsi="Arial"/>
          <w:color w:val="auto"/>
        </w:rPr>
        <w:t>As partes deverão se comprometer também a se absterem de praticar quaisquer atividades que constituam violação às disposições das normas anticorrupção e das demais disposições referentes à matéria.</w:t>
      </w:r>
    </w:p>
    <w:p>
      <w:pPr>
        <w:pStyle w:val="Normal"/>
        <w:widowControl/>
        <w:numPr>
          <w:ilvl w:val="2"/>
          <w:numId w:val="4"/>
        </w:numPr>
        <w:suppressAutoHyphens w:val="true"/>
        <w:bidi w:val="0"/>
        <w:spacing w:lineRule="auto" w:line="312" w:before="120" w:after="288"/>
        <w:ind w:left="567" w:right="0" w:hanging="0"/>
        <w:jc w:val="both"/>
        <w:rPr>
          <w:color w:val="auto"/>
        </w:rPr>
      </w:pPr>
      <w:r>
        <w:rPr>
          <w:rFonts w:eastAsia="Arial" w:ascii="Arial" w:hAnsi="Arial"/>
          <w:color w:val="auto"/>
        </w:rPr>
        <w:t>As partes, por si e por seus administradores, diretores, funcionários e agentes, bem como por seus sócios, deverão conduzir suas práticas, durante a execução do contrato, de forma ética e em conformidade com os preceitos legais aplicáveis.</w:t>
      </w:r>
    </w:p>
    <w:p>
      <w:pPr>
        <w:pStyle w:val="Normal"/>
        <w:widowControl/>
        <w:numPr>
          <w:ilvl w:val="2"/>
          <w:numId w:val="4"/>
        </w:numPr>
        <w:suppressAutoHyphens w:val="true"/>
        <w:bidi w:val="0"/>
        <w:spacing w:lineRule="auto" w:line="312" w:before="120" w:after="288"/>
        <w:ind w:left="567" w:right="0" w:hanging="0"/>
        <w:jc w:val="both"/>
        <w:rPr>
          <w:color w:val="auto"/>
        </w:rPr>
      </w:pPr>
      <w:r>
        <w:rPr>
          <w:rFonts w:eastAsia="Arial" w:ascii="Arial" w:hAnsi="Arial"/>
          <w:color w:val="auto"/>
        </w:rPr>
        <w:t>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pPr>
        <w:pStyle w:val="Normal"/>
        <w:widowControl/>
        <w:numPr>
          <w:ilvl w:val="2"/>
          <w:numId w:val="4"/>
        </w:numPr>
        <w:suppressAutoHyphens w:val="true"/>
        <w:bidi w:val="0"/>
        <w:spacing w:lineRule="auto" w:line="312" w:before="120" w:after="288"/>
        <w:ind w:left="567" w:right="0" w:hanging="0"/>
        <w:jc w:val="both"/>
        <w:rPr>
          <w:color w:val="auto"/>
        </w:rPr>
      </w:pPr>
      <w:r>
        <w:rPr>
          <w:rFonts w:eastAsia="Arial" w:ascii="Arial" w:hAnsi="Arial"/>
          <w:color w:val="auto"/>
        </w:rPr>
        <w:t xml:space="preserve">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pPr>
        <w:pStyle w:val="Normal"/>
        <w:widowControl/>
        <w:numPr>
          <w:ilvl w:val="2"/>
          <w:numId w:val="4"/>
        </w:numPr>
        <w:suppressAutoHyphens w:val="true"/>
        <w:bidi w:val="0"/>
        <w:spacing w:lineRule="auto" w:line="312" w:before="120" w:after="288"/>
        <w:ind w:left="567" w:right="0" w:hanging="0"/>
        <w:jc w:val="both"/>
        <w:rPr>
          <w:color w:val="auto"/>
        </w:rPr>
      </w:pPr>
      <w:r>
        <w:rPr>
          <w:rFonts w:eastAsia="Arial" w:ascii="Arial" w:hAnsi="Arial"/>
          <w:color w:val="auto"/>
        </w:rPr>
        <w:t>Qualquer descumprimento das regras de integridade mencionadas acima ensejará a resolução imediata do contrato, apenas por meio de notificação extrajudicial, sem prejuízo de eventual pagamento de indenização por perdas e danos.</w:t>
      </w:r>
    </w:p>
    <w:p>
      <w:pPr>
        <w:pStyle w:val="Normal"/>
        <w:widowControl/>
        <w:numPr>
          <w:ilvl w:val="0"/>
          <w:numId w:val="4"/>
        </w:numPr>
        <w:suppressAutoHyphens w:val="true"/>
        <w:bidi w:val="0"/>
        <w:spacing w:lineRule="auto" w:line="312" w:before="120" w:after="288"/>
        <w:ind w:left="0" w:right="0" w:hanging="0"/>
        <w:jc w:val="both"/>
        <w:rPr>
          <w:rFonts w:ascii="Arial" w:hAnsi="Arial" w:eastAsia="Arial"/>
        </w:rPr>
      </w:pPr>
      <w:r>
        <w:rPr>
          <w:rFonts w:eastAsia="Arial" w:ascii="Arial" w:hAnsi="Arial"/>
          <w:b/>
          <w:bCs/>
          <w:color w:val="auto"/>
        </w:rPr>
        <w:t>DAS SANÇÕES ADMINISTRATIVAS</w:t>
      </w:r>
    </w:p>
    <w:p>
      <w:pPr>
        <w:pStyle w:val="Normal"/>
        <w:widowControl/>
        <w:numPr>
          <w:ilvl w:val="1"/>
          <w:numId w:val="4"/>
        </w:numPr>
        <w:suppressAutoHyphens w:val="true"/>
        <w:bidi w:val="0"/>
        <w:spacing w:lineRule="auto" w:line="312" w:before="120" w:after="288"/>
        <w:ind w:left="0" w:right="0" w:hanging="0"/>
        <w:jc w:val="both"/>
        <w:rPr>
          <w:b w:val="false"/>
          <w:b w:val="false"/>
          <w:bCs w:val="false"/>
          <w:color w:val="auto"/>
        </w:rPr>
      </w:pPr>
      <w:r>
        <w:rPr>
          <w:rFonts w:eastAsia="Arial" w:ascii="Arial" w:hAnsi="Arial"/>
          <w:b w:val="false"/>
          <w:bCs w:val="false"/>
          <w:color w:val="auto"/>
        </w:rPr>
        <w:t>A CONTRATADA que cometer qualquer conduta que infrinja as condições e prazos estabelecidos no instrumento, em contrato ou na legislação atinente à execução do objeto ficará sujeita, sem prejuízo da responsabilidade civil e criminal, conforme disposto na Lei n.º 14.133/21, às sanções a seguir estabelecidas, aplicáveis após regular Processo Administrativo de Penalização de fornecedor em conformidade com o Decreto Municipal n.º 5569/2024 e alterações:</w:t>
      </w:r>
    </w:p>
    <w:p>
      <w:pPr>
        <w:pStyle w:val="Normal"/>
        <w:widowControl/>
        <w:numPr>
          <w:ilvl w:val="2"/>
          <w:numId w:val="4"/>
        </w:numPr>
        <w:suppressAutoHyphens w:val="true"/>
        <w:bidi w:val="0"/>
        <w:spacing w:lineRule="auto" w:line="312" w:before="120" w:after="288"/>
        <w:ind w:left="567" w:right="0" w:hanging="0"/>
        <w:jc w:val="both"/>
        <w:rPr>
          <w:b w:val="false"/>
          <w:b w:val="false"/>
          <w:bCs w:val="false"/>
          <w:color w:val="auto"/>
        </w:rPr>
      </w:pPr>
      <w:r>
        <w:rPr>
          <w:rFonts w:eastAsia="Arial" w:ascii="Arial" w:hAnsi="Arial"/>
          <w:b w:val="false"/>
          <w:bCs w:val="false"/>
          <w:color w:val="auto"/>
        </w:rPr>
        <w:t>ADVERTÊNCIA ESCRITA em razão de falhas que não caibam a aplicação de sanção mais grave em virtude de serem corrigidas no prazo estipulado pela fiscalização.</w:t>
      </w:r>
    </w:p>
    <w:p>
      <w:pPr>
        <w:pStyle w:val="Normal"/>
        <w:widowControl/>
        <w:numPr>
          <w:ilvl w:val="2"/>
          <w:numId w:val="4"/>
        </w:numPr>
        <w:suppressAutoHyphens w:val="true"/>
        <w:bidi w:val="0"/>
        <w:spacing w:lineRule="auto" w:line="312" w:before="120" w:after="288"/>
        <w:ind w:left="567" w:right="0" w:hanging="0"/>
        <w:jc w:val="both"/>
        <w:rPr>
          <w:rFonts w:ascii="Arial" w:hAnsi="Arial"/>
        </w:rPr>
      </w:pPr>
      <w:r>
        <w:rPr>
          <w:rFonts w:eastAsia="Arial" w:ascii="Arial" w:hAnsi="Arial"/>
          <w:b w:val="false"/>
          <w:bCs w:val="false"/>
          <w:color w:val="auto"/>
        </w:rPr>
        <w:t>MULTA por descumprimento de prazos e condições ajustados, conforme classificação de gravidade da inconformidade diagnosticada pelo CONTRATANTE, seguindo, ainda a tabela de classificação de inconformidades integrante deste item, nos seguintes termos:</w:t>
      </w:r>
    </w:p>
    <w:p>
      <w:pPr>
        <w:pStyle w:val="Normal"/>
        <w:widowControl/>
        <w:numPr>
          <w:ilvl w:val="3"/>
          <w:numId w:val="4"/>
        </w:numPr>
        <w:suppressAutoHyphens w:val="true"/>
        <w:bidi w:val="0"/>
        <w:spacing w:lineRule="auto" w:line="312" w:before="120" w:after="288"/>
        <w:ind w:left="1134" w:right="0" w:hanging="0"/>
        <w:jc w:val="both"/>
        <w:rPr>
          <w:rFonts w:ascii="Arial" w:hAnsi="Arial"/>
        </w:rPr>
      </w:pPr>
      <w:r>
        <w:rPr>
          <w:rFonts w:eastAsia="Arial" w:ascii="Arial" w:hAnsi="Arial"/>
          <w:b w:val="false"/>
          <w:bCs w:val="false"/>
          <w:color w:val="auto"/>
        </w:rPr>
        <w:t>Para inconformidade LEVE, será aplicada multa na razão de 0,5% (cinco décimos por cento) ao dia, sobre o valor global do item/grupo, até 30 (trinta) dias de atraso, podendo, justificadamente, ser cancelada a nota de empenho, a autorização de compra ou outro instrumento hábil, cancelado o registro de preços do fornecedor ou do item/grupo, e/ou rescindido o contrato, nas seguintes situações:</w:t>
      </w:r>
    </w:p>
    <w:p>
      <w:pPr>
        <w:pStyle w:val="Normal"/>
        <w:widowControl/>
        <w:numPr>
          <w:ilvl w:val="0"/>
          <w:numId w:val="0"/>
        </w:numPr>
        <w:suppressAutoHyphens w:val="true"/>
        <w:bidi w:val="0"/>
        <w:spacing w:lineRule="auto" w:line="312" w:before="120" w:after="288"/>
        <w:ind w:left="1191" w:right="0" w:hanging="0"/>
        <w:jc w:val="both"/>
        <w:rPr>
          <w:b w:val="false"/>
          <w:b w:val="false"/>
          <w:bCs w:val="false"/>
          <w:color w:val="auto"/>
        </w:rPr>
      </w:pPr>
      <w:r>
        <w:rPr>
          <w:rFonts w:eastAsia="Arial" w:ascii="Arial" w:hAnsi="Arial"/>
          <w:b w:val="false"/>
          <w:bCs w:val="false"/>
          <w:color w:val="auto"/>
        </w:rPr>
        <w:t xml:space="preserve">a) </w:t>
      </w:r>
      <w:r>
        <w:rPr>
          <w:rFonts w:eastAsia="Arial" w:cs="Arial" w:ascii="Arial" w:hAnsi="Arial"/>
          <w:b w:val="false"/>
          <w:bCs w:val="false"/>
          <w:color w:val="auto"/>
          <w:sz w:val="20"/>
          <w:szCs w:val="20"/>
        </w:rPr>
        <w:t>Pelo retardamento da entrega do objeto da contratação sem motivo justificado.</w:t>
      </w:r>
    </w:p>
    <w:p>
      <w:pPr>
        <w:pStyle w:val="Normal"/>
        <w:widowControl/>
        <w:numPr>
          <w:ilvl w:val="3"/>
          <w:numId w:val="4"/>
        </w:numPr>
        <w:suppressAutoHyphens w:val="true"/>
        <w:bidi w:val="0"/>
        <w:spacing w:lineRule="auto" w:line="312" w:before="120" w:after="288"/>
        <w:ind w:left="1134" w:right="0" w:hanging="0"/>
        <w:jc w:val="both"/>
        <w:rPr>
          <w:rFonts w:ascii="Arial" w:hAnsi="Arial"/>
          <w:sz w:val="20"/>
          <w:szCs w:val="20"/>
        </w:rPr>
      </w:pPr>
      <w:r>
        <w:rPr>
          <w:rFonts w:eastAsia="Arial" w:ascii="Arial" w:hAnsi="Arial"/>
          <w:b w:val="false"/>
          <w:bCs w:val="false"/>
          <w:color w:val="auto"/>
          <w:sz w:val="20"/>
          <w:szCs w:val="20"/>
        </w:rPr>
        <w:t>Para inconformidade MODERADA, será aplicada multa de 10% (dez por cento), sobre o valor da parcela inadimplida, podendo, justificadamente, ser cancelada a nota de empenho, a autorização de compra ou outro instrumento hábil, cancelado o registro de preços do fornecedor ou do item/grupo, e/ou rescindido o contrato, nas seguintes situações:</w:t>
      </w:r>
    </w:p>
    <w:p>
      <w:pPr>
        <w:pStyle w:val="Normal"/>
        <w:widowControl/>
        <w:numPr>
          <w:ilvl w:val="0"/>
          <w:numId w:val="0"/>
        </w:numPr>
        <w:suppressAutoHyphens w:val="true"/>
        <w:bidi w:val="0"/>
        <w:spacing w:lineRule="auto" w:line="312" w:before="120" w:after="288"/>
        <w:ind w:left="1134" w:right="0" w:hanging="0"/>
        <w:jc w:val="both"/>
        <w:rPr>
          <w:rFonts w:ascii="Arial" w:hAnsi="Arial"/>
          <w:sz w:val="20"/>
          <w:szCs w:val="20"/>
        </w:rPr>
      </w:pPr>
      <w:r>
        <w:rPr>
          <w:rFonts w:eastAsia="Arial" w:ascii="Arial" w:hAnsi="Arial"/>
          <w:b w:val="false"/>
          <w:bCs w:val="false"/>
          <w:color w:val="auto"/>
          <w:sz w:val="20"/>
          <w:szCs w:val="20"/>
        </w:rPr>
        <w:t>a) Pela entrega do objeto em desacordo com o solicitado, quando não houver a pronta adequação no prazo fixado;</w:t>
      </w:r>
    </w:p>
    <w:p>
      <w:pPr>
        <w:pStyle w:val="Normal"/>
        <w:widowControl/>
        <w:numPr>
          <w:ilvl w:val="0"/>
          <w:numId w:val="0"/>
        </w:numPr>
        <w:suppressAutoHyphens w:val="true"/>
        <w:bidi w:val="0"/>
        <w:spacing w:lineRule="auto" w:line="312" w:before="120" w:after="288"/>
        <w:ind w:left="1134" w:right="0" w:hanging="0"/>
        <w:jc w:val="both"/>
        <w:rPr>
          <w:rFonts w:ascii="Arial" w:hAnsi="Arial"/>
          <w:sz w:val="20"/>
          <w:szCs w:val="20"/>
        </w:rPr>
      </w:pPr>
      <w:r>
        <w:rPr>
          <w:rFonts w:eastAsia="Arial" w:ascii="Arial" w:hAnsi="Arial"/>
          <w:b w:val="false"/>
          <w:bCs w:val="false"/>
          <w:color w:val="auto"/>
          <w:sz w:val="20"/>
          <w:szCs w:val="20"/>
        </w:rPr>
        <w:t>b) Pela subcontratação de serviços quando não permitidos</w:t>
      </w:r>
    </w:p>
    <w:p>
      <w:pPr>
        <w:pStyle w:val="Normal"/>
        <w:widowControl/>
        <w:numPr>
          <w:ilvl w:val="3"/>
          <w:numId w:val="4"/>
        </w:numPr>
        <w:suppressAutoHyphens w:val="true"/>
        <w:bidi w:val="0"/>
        <w:spacing w:lineRule="auto" w:line="312" w:before="120" w:after="288"/>
        <w:ind w:left="1134" w:right="0" w:hanging="0"/>
        <w:jc w:val="both"/>
        <w:rPr>
          <w:rFonts w:ascii="Arial" w:hAnsi="Arial"/>
        </w:rPr>
      </w:pPr>
      <w:r>
        <w:rPr>
          <w:rFonts w:eastAsia="Arial" w:ascii="Arial" w:hAnsi="Arial"/>
          <w:b w:val="false"/>
          <w:bCs w:val="false"/>
          <w:color w:val="auto"/>
          <w:sz w:val="20"/>
          <w:szCs w:val="20"/>
        </w:rPr>
        <w:t xml:space="preserve"> </w:t>
      </w:r>
      <w:r>
        <w:rPr>
          <w:rFonts w:eastAsia="Arial" w:ascii="Arial" w:hAnsi="Arial"/>
          <w:b w:val="false"/>
          <w:bCs w:val="false"/>
          <w:color w:val="auto"/>
          <w:sz w:val="20"/>
          <w:szCs w:val="20"/>
        </w:rPr>
        <w:t>Para inconformidade GRAVE:</w:t>
      </w:r>
    </w:p>
    <w:p>
      <w:pPr>
        <w:pStyle w:val="Normal"/>
        <w:widowControl/>
        <w:numPr>
          <w:ilvl w:val="4"/>
          <w:numId w:val="4"/>
        </w:numPr>
        <w:suppressAutoHyphens w:val="true"/>
        <w:bidi w:val="0"/>
        <w:spacing w:lineRule="auto" w:line="312" w:before="120" w:after="288"/>
        <w:ind w:left="1644" w:right="0" w:hanging="0"/>
        <w:jc w:val="both"/>
        <w:rPr>
          <w:rFonts w:ascii="Arial" w:hAnsi="Arial"/>
        </w:rPr>
      </w:pPr>
      <w:r>
        <w:rPr>
          <w:rFonts w:eastAsia="Arial" w:ascii="Arial" w:hAnsi="Arial"/>
          <w:b w:val="false"/>
          <w:bCs w:val="false"/>
          <w:color w:val="auto"/>
        </w:rPr>
        <w:t>Será aplicada multa de 15% (quinze por cento) da parcela inadimplida, podendo, também, ser cancelada a nota de empenho, a autorização de compra ou outro instrumento hábil, cancelado o registro de preços do fornecedor ou do item/grupo, e/ou rescindido o contrato, pela inexecução parcial do objeto, salvo quando causar grave dano à Administração, ao funcionamento dos serviços públicos ou ao interesse coletivo, será aplicada a penalidade correspondente</w:t>
      </w:r>
    </w:p>
    <w:p>
      <w:pPr>
        <w:pStyle w:val="Normal"/>
        <w:widowControl/>
        <w:numPr>
          <w:ilvl w:val="3"/>
          <w:numId w:val="4"/>
        </w:numPr>
        <w:suppressAutoHyphens w:val="true"/>
        <w:bidi w:val="0"/>
        <w:spacing w:lineRule="auto" w:line="312" w:before="120" w:after="288"/>
        <w:ind w:left="1134" w:right="0" w:hanging="0"/>
        <w:jc w:val="both"/>
        <w:rPr>
          <w:rFonts w:ascii="Arial" w:hAnsi="Arial"/>
        </w:rPr>
      </w:pPr>
      <w:r>
        <w:rPr>
          <w:rFonts w:eastAsia="Arial" w:ascii="Arial" w:hAnsi="Arial"/>
          <w:b w:val="false"/>
          <w:bCs w:val="false"/>
          <w:color w:val="auto"/>
        </w:rPr>
        <w:t xml:space="preserve"> </w:t>
      </w:r>
      <w:r>
        <w:rPr>
          <w:rFonts w:eastAsia="Arial" w:ascii="Arial" w:hAnsi="Arial"/>
          <w:b w:val="false"/>
          <w:bCs w:val="false"/>
          <w:color w:val="auto"/>
        </w:rPr>
        <w:t>Para inconformidade GRAVÍSSIMA:</w:t>
      </w:r>
    </w:p>
    <w:p>
      <w:pPr>
        <w:pStyle w:val="Normal"/>
        <w:widowControl/>
        <w:numPr>
          <w:ilvl w:val="4"/>
          <w:numId w:val="4"/>
        </w:numPr>
        <w:suppressAutoHyphens w:val="true"/>
        <w:bidi w:val="0"/>
        <w:spacing w:lineRule="auto" w:line="312" w:before="120" w:after="288"/>
        <w:ind w:left="1701" w:right="0" w:hanging="0"/>
        <w:jc w:val="both"/>
        <w:rPr>
          <w:rFonts w:ascii="Arial" w:hAnsi="Arial"/>
        </w:rPr>
      </w:pPr>
      <w:r>
        <w:rPr>
          <w:rFonts w:eastAsia="Arial" w:ascii="Arial" w:hAnsi="Arial"/>
          <w:b w:val="false"/>
          <w:bCs w:val="false"/>
          <w:color w:val="auto"/>
        </w:rPr>
        <w:t>Será aplicada multa de 20% (vinte por cento) da parcela inadimplida, podendo, também, ser cancelada a nota de empenho, a autorização de compra ou outro instrumento hábil, cancelado o registro de preços do fornecedor ou do item/grupo, e/ou rescindido o contrato, pela inexecução total do objeto.</w:t>
      </w:r>
    </w:p>
    <w:p>
      <w:pPr>
        <w:pStyle w:val="Normal"/>
        <w:widowControl/>
        <w:numPr>
          <w:ilvl w:val="4"/>
          <w:numId w:val="4"/>
        </w:numPr>
        <w:suppressAutoHyphens w:val="true"/>
        <w:bidi w:val="0"/>
        <w:spacing w:lineRule="auto" w:line="312" w:before="120" w:after="288"/>
        <w:ind w:left="1701" w:right="0" w:hanging="0"/>
        <w:jc w:val="both"/>
        <w:rPr>
          <w:rFonts w:ascii="Arial" w:hAnsi="Arial"/>
        </w:rPr>
      </w:pPr>
      <w:r>
        <w:rPr>
          <w:rFonts w:eastAsia="Arial" w:ascii="Arial" w:hAnsi="Arial"/>
          <w:b w:val="false"/>
          <w:bCs w:val="false"/>
          <w:color w:val="auto"/>
        </w:rPr>
        <w:t>Será aplicada multa de 30% (trinta por cento) da parcela inadimplida, podendo, também, ser cancelada a nota de empenho, a autorização de compra ou outro instrumento hábil, cancelado o registro de preços do fornecedor ou do item/grupo, e/ou rescindido o contrato, pela inexecução parcial do objeto que cause grave dano à Administração, ao funcionamento dos serviços públicos ou ao interesse coletivo.</w:t>
      </w:r>
    </w:p>
    <w:p>
      <w:pPr>
        <w:pStyle w:val="Normal"/>
        <w:widowControl/>
        <w:numPr>
          <w:ilvl w:val="2"/>
          <w:numId w:val="4"/>
        </w:numPr>
        <w:suppressAutoHyphens w:val="true"/>
        <w:bidi w:val="0"/>
        <w:spacing w:lineRule="auto" w:line="312" w:before="120" w:after="288"/>
        <w:ind w:left="567" w:right="0" w:hanging="0"/>
        <w:jc w:val="both"/>
        <w:rPr>
          <w:b w:val="false"/>
          <w:b w:val="false"/>
          <w:bCs w:val="false"/>
          <w:color w:val="auto"/>
        </w:rPr>
      </w:pPr>
      <w:r>
        <w:rPr>
          <w:rFonts w:eastAsia="Arial" w:ascii="Arial" w:hAnsi="Arial"/>
          <w:b w:val="false"/>
          <w:bCs w:val="false"/>
          <w:color w:val="auto"/>
        </w:rPr>
        <w:t>Quando da reincidência em irregularidades será dobrada a multa correspondente à infração cometida conforme subitens anteriores, até o limite de 30% (trinta por cento).</w:t>
      </w:r>
    </w:p>
    <w:p>
      <w:pPr>
        <w:pStyle w:val="Normal"/>
        <w:widowControl/>
        <w:numPr>
          <w:ilvl w:val="2"/>
          <w:numId w:val="4"/>
        </w:numPr>
        <w:suppressAutoHyphens w:val="true"/>
        <w:bidi w:val="0"/>
        <w:spacing w:lineRule="auto" w:line="312" w:before="120" w:after="288"/>
        <w:ind w:left="567" w:right="0" w:hanging="0"/>
        <w:jc w:val="both"/>
        <w:rPr>
          <w:b w:val="false"/>
          <w:b w:val="false"/>
          <w:bCs w:val="false"/>
          <w:color w:val="auto"/>
        </w:rPr>
      </w:pPr>
      <w:r>
        <w:rPr>
          <w:rFonts w:eastAsia="Arial" w:ascii="Arial" w:hAnsi="Arial"/>
          <w:b w:val="false"/>
          <w:bCs w:val="false"/>
          <w:color w:val="auto"/>
        </w:rPr>
        <w:t>IMPEDIMENTO DE LICITAR E CONTRATAR com a Administração Municipal pelo prazo de até 3 (três) anos, bem como demais cominações legais, quando a licitante:</w:t>
      </w:r>
    </w:p>
    <w:p>
      <w:pPr>
        <w:pStyle w:val="Normal"/>
        <w:widowControl/>
        <w:numPr>
          <w:ilvl w:val="0"/>
          <w:numId w:val="0"/>
        </w:numPr>
        <w:suppressAutoHyphens w:val="true"/>
        <w:bidi w:val="0"/>
        <w:spacing w:lineRule="auto" w:line="312" w:before="120" w:after="288"/>
        <w:ind w:left="1134" w:right="0" w:hanging="0"/>
        <w:jc w:val="both"/>
        <w:rPr>
          <w:b w:val="false"/>
          <w:b w:val="false"/>
          <w:bCs w:val="false"/>
          <w:color w:val="auto"/>
        </w:rPr>
      </w:pPr>
      <w:r>
        <w:rPr>
          <w:rFonts w:eastAsia="Arial" w:ascii="Arial" w:hAnsi="Arial"/>
          <w:b w:val="false"/>
          <w:bCs w:val="false"/>
          <w:color w:val="auto"/>
        </w:rPr>
        <w:t>a) Dar causa à inexecução total ou parcial do objeto;</w:t>
      </w:r>
    </w:p>
    <w:p>
      <w:pPr>
        <w:pStyle w:val="Normal"/>
        <w:widowControl/>
        <w:numPr>
          <w:ilvl w:val="0"/>
          <w:numId w:val="0"/>
        </w:numPr>
        <w:suppressAutoHyphens w:val="true"/>
        <w:bidi w:val="0"/>
        <w:spacing w:lineRule="auto" w:line="312" w:before="120" w:after="288"/>
        <w:ind w:left="1134" w:right="0" w:hanging="0"/>
        <w:jc w:val="both"/>
        <w:rPr/>
      </w:pPr>
      <w:r>
        <w:rPr>
          <w:rFonts w:eastAsia="Arial" w:ascii="Arial" w:hAnsi="Arial"/>
          <w:b w:val="false"/>
          <w:bCs w:val="false"/>
          <w:color w:val="auto"/>
        </w:rPr>
        <w:t>b) Dar causa à inexecução parcial do contrato que cause grave dano à Administração, ao funcionamento dos serviços públicos ou ao interesse coletivo;</w:t>
      </w:r>
    </w:p>
    <w:p>
      <w:pPr>
        <w:pStyle w:val="Normal"/>
        <w:widowControl/>
        <w:numPr>
          <w:ilvl w:val="2"/>
          <w:numId w:val="4"/>
        </w:numPr>
        <w:suppressAutoHyphens w:val="true"/>
        <w:bidi w:val="0"/>
        <w:spacing w:lineRule="auto" w:line="312" w:before="120" w:after="288"/>
        <w:ind w:left="567" w:right="0" w:hanging="0"/>
        <w:jc w:val="both"/>
        <w:rPr>
          <w:b w:val="false"/>
          <w:b w:val="false"/>
          <w:bCs w:val="false"/>
          <w:color w:val="auto"/>
        </w:rPr>
      </w:pPr>
      <w:r>
        <w:rPr>
          <w:rFonts w:eastAsia="Arial" w:ascii="Arial" w:hAnsi="Arial"/>
          <w:b w:val="false"/>
          <w:bCs w:val="false"/>
          <w:color w:val="auto"/>
        </w:rPr>
        <w:t>IMPEDIMENTO DE LICITAR E CONTRATAR com a Administração Municipal pelo prazo de até 6 (seis) anos, bem como demais cominações legais, quando a licitante:</w:t>
      </w:r>
    </w:p>
    <w:p>
      <w:pPr>
        <w:pStyle w:val="Normal"/>
        <w:widowControl/>
        <w:numPr>
          <w:ilvl w:val="0"/>
          <w:numId w:val="0"/>
        </w:numPr>
        <w:suppressAutoHyphens w:val="true"/>
        <w:bidi w:val="0"/>
        <w:spacing w:lineRule="auto" w:line="312" w:before="120" w:after="288"/>
        <w:ind w:left="1134" w:right="0" w:hanging="0"/>
        <w:jc w:val="both"/>
        <w:rPr/>
      </w:pPr>
      <w:r>
        <w:rPr>
          <w:rFonts w:eastAsia="Arial" w:ascii="Arial" w:hAnsi="Arial"/>
          <w:b w:val="false"/>
          <w:bCs w:val="false"/>
          <w:color w:val="auto"/>
        </w:rPr>
        <w:t>a) Prestar declaração falsa durante a execução do contrato;</w:t>
      </w:r>
    </w:p>
    <w:p>
      <w:pPr>
        <w:pStyle w:val="Normal"/>
        <w:widowControl/>
        <w:numPr>
          <w:ilvl w:val="0"/>
          <w:numId w:val="0"/>
        </w:numPr>
        <w:suppressAutoHyphens w:val="true"/>
        <w:bidi w:val="0"/>
        <w:spacing w:lineRule="auto" w:line="312" w:before="120" w:after="288"/>
        <w:ind w:left="1134" w:right="0" w:hanging="0"/>
        <w:jc w:val="both"/>
        <w:rPr/>
      </w:pPr>
      <w:r>
        <w:rPr>
          <w:rFonts w:eastAsia="Arial" w:ascii="Arial" w:hAnsi="Arial"/>
          <w:b w:val="false"/>
          <w:bCs w:val="false"/>
          <w:color w:val="auto"/>
        </w:rPr>
        <w:t>b) Fraudar a contratação ou praticar ato fraudulento na execução do contrato;</w:t>
      </w:r>
    </w:p>
    <w:p>
      <w:pPr>
        <w:pStyle w:val="Normal"/>
        <w:widowControl/>
        <w:numPr>
          <w:ilvl w:val="0"/>
          <w:numId w:val="0"/>
        </w:numPr>
        <w:suppressAutoHyphens w:val="true"/>
        <w:bidi w:val="0"/>
        <w:spacing w:lineRule="auto" w:line="312" w:before="120" w:after="288"/>
        <w:ind w:left="1134" w:right="0" w:hanging="0"/>
        <w:jc w:val="both"/>
        <w:rPr/>
      </w:pPr>
      <w:r>
        <w:rPr>
          <w:rFonts w:eastAsia="Arial" w:ascii="Arial" w:hAnsi="Arial"/>
          <w:b w:val="false"/>
          <w:bCs w:val="false"/>
          <w:color w:val="auto"/>
        </w:rPr>
        <w:t>c) Comportar-se de modo inidôneo ou cometer fraude de qualquer natureza;</w:t>
      </w:r>
    </w:p>
    <w:p>
      <w:pPr>
        <w:pStyle w:val="Normal"/>
        <w:widowControl/>
        <w:numPr>
          <w:ilvl w:val="0"/>
          <w:numId w:val="0"/>
        </w:numPr>
        <w:suppressAutoHyphens w:val="true"/>
        <w:bidi w:val="0"/>
        <w:spacing w:lineRule="auto" w:line="312" w:before="120" w:after="288"/>
        <w:ind w:left="1134" w:right="0" w:hanging="0"/>
        <w:jc w:val="both"/>
        <w:rPr/>
      </w:pPr>
      <w:r>
        <w:rPr>
          <w:rFonts w:eastAsia="Arial" w:ascii="Arial" w:hAnsi="Arial"/>
          <w:b w:val="false"/>
          <w:bCs w:val="false"/>
          <w:color w:val="auto"/>
        </w:rPr>
        <w:t>d) Ocorrer em 1 (uma) infração enquadrada como gravíssima ou 2 (duas) infrações enquadradas como grave ou 3 (três) infrações enquadradas como moderada, aplicáveis após regular Processo Administrativo de Penalização de fornecedor em conformidade com o Decreto Municipal nº 5569/2024 e alterações ou 4 (quatro) infrações enquadradas como leve, ou, independente do grau, no caso da ocorrência de 5 (cinco) infrações.</w:t>
      </w:r>
    </w:p>
    <w:p>
      <w:pPr>
        <w:pStyle w:val="Normal"/>
        <w:widowControl/>
        <w:numPr>
          <w:ilvl w:val="2"/>
          <w:numId w:val="4"/>
        </w:numPr>
        <w:suppressAutoHyphens w:val="true"/>
        <w:bidi w:val="0"/>
        <w:spacing w:lineRule="auto" w:line="312" w:before="120" w:after="288"/>
        <w:ind w:left="624" w:right="0" w:hanging="0"/>
        <w:jc w:val="both"/>
        <w:rPr>
          <w:b w:val="false"/>
          <w:b w:val="false"/>
          <w:bCs w:val="false"/>
          <w:color w:val="auto"/>
        </w:rPr>
      </w:pPr>
      <w:r>
        <w:rPr>
          <w:rFonts w:eastAsia="Arial" w:ascii="Arial" w:hAnsi="Arial"/>
          <w:b w:val="false"/>
          <w:bCs w:val="false"/>
          <w:color w:val="auto"/>
        </w:rPr>
        <w:t>DECLARAÇÃO DE INIDONEIDADE enquanto perdurarem os motivos determinantes da punição ou até que seja promovida a reabilitação perante a própria autoridade que aplicou a penalidade, que será concedida sempre que a empresa executora ressarcir o CONTRATANTE pelos prejuízos causados e após decorrido o prazo da penalidade de suspensão do subitem anterior.</w:t>
      </w:r>
    </w:p>
    <w:p>
      <w:pPr>
        <w:pStyle w:val="Normal"/>
        <w:widowControl/>
        <w:numPr>
          <w:ilvl w:val="1"/>
          <w:numId w:val="4"/>
        </w:numPr>
        <w:suppressAutoHyphens w:val="true"/>
        <w:bidi w:val="0"/>
        <w:spacing w:lineRule="auto" w:line="312" w:before="120" w:after="288"/>
        <w:ind w:left="0" w:right="0" w:hanging="0"/>
        <w:jc w:val="both"/>
        <w:rPr>
          <w:b w:val="false"/>
          <w:b w:val="false"/>
          <w:bCs w:val="false"/>
          <w:color w:val="auto"/>
        </w:rPr>
      </w:pPr>
      <w:r>
        <w:rPr>
          <w:rFonts w:eastAsia="Arial" w:ascii="Arial" w:hAnsi="Arial"/>
          <w:b w:val="false"/>
          <w:bCs w:val="false"/>
          <w:color w:val="auto"/>
        </w:rPr>
        <w:t>Será facultada à CONTRATADA, nos termos da lei, apresentação de defesa prévia, na ocorrência de quaisquer das situações previstas neste Termo de Referência.</w:t>
      </w:r>
    </w:p>
    <w:p>
      <w:pPr>
        <w:pStyle w:val="Normal"/>
        <w:widowControl/>
        <w:numPr>
          <w:ilvl w:val="1"/>
          <w:numId w:val="4"/>
        </w:numPr>
        <w:suppressAutoHyphens w:val="true"/>
        <w:bidi w:val="0"/>
        <w:spacing w:lineRule="auto" w:line="312" w:before="120" w:after="288"/>
        <w:ind w:left="0" w:right="0" w:hanging="0"/>
        <w:jc w:val="both"/>
        <w:rPr>
          <w:b w:val="false"/>
          <w:b w:val="false"/>
          <w:bCs w:val="false"/>
          <w:color w:val="auto"/>
        </w:rPr>
      </w:pPr>
      <w:r>
        <w:rPr>
          <w:rFonts w:eastAsia="Arial" w:ascii="Arial" w:hAnsi="Arial"/>
          <w:b w:val="false"/>
          <w:bCs w:val="false"/>
          <w:color w:val="auto"/>
        </w:rPr>
        <w:t>As multas e seu pagamento não eximirão a CONTRATADA de ser acionada judicialmente pela responsabilidade civil derivada de perdas e danos, decorrentes das infrações cometidas.</w:t>
      </w:r>
    </w:p>
    <w:p>
      <w:pPr>
        <w:pStyle w:val="Normal"/>
        <w:widowControl/>
        <w:numPr>
          <w:ilvl w:val="1"/>
          <w:numId w:val="4"/>
        </w:numPr>
        <w:suppressAutoHyphens w:val="true"/>
        <w:bidi w:val="0"/>
        <w:spacing w:lineRule="auto" w:line="312" w:before="120" w:after="288"/>
        <w:ind w:left="0" w:right="0" w:hanging="0"/>
        <w:jc w:val="both"/>
        <w:rPr>
          <w:b w:val="false"/>
          <w:b w:val="false"/>
          <w:bCs w:val="false"/>
          <w:color w:val="auto"/>
        </w:rPr>
      </w:pPr>
      <w:r>
        <w:rPr>
          <w:rFonts w:eastAsia="Arial" w:ascii="Arial" w:hAnsi="Arial"/>
          <w:b w:val="false"/>
          <w:bCs w:val="false"/>
          <w:color w:val="auto"/>
        </w:rPr>
        <w:t>Caso a multa não seja quitada em até 15 (quinze) dias contados da emissão da DARM, estará sujeita à atualização monetária com base no mesmo índice previsto no subitem de reajuste (ou de pagamento).</w:t>
      </w:r>
    </w:p>
    <w:p>
      <w:pPr>
        <w:pStyle w:val="Normal"/>
        <w:widowControl/>
        <w:numPr>
          <w:ilvl w:val="1"/>
          <w:numId w:val="4"/>
        </w:numPr>
        <w:suppressAutoHyphens w:val="true"/>
        <w:bidi w:val="0"/>
        <w:spacing w:lineRule="auto" w:line="312" w:before="120" w:after="288"/>
        <w:ind w:left="0" w:right="0" w:hanging="0"/>
        <w:jc w:val="both"/>
        <w:rPr>
          <w:b w:val="false"/>
          <w:b w:val="false"/>
          <w:bCs w:val="false"/>
          <w:color w:val="auto"/>
        </w:rPr>
      </w:pPr>
      <w:r>
        <w:rPr>
          <w:rFonts w:eastAsia="Arial" w:ascii="Arial" w:hAnsi="Arial"/>
          <w:b w:val="false"/>
          <w:bCs w:val="false"/>
          <w:color w:val="auto"/>
        </w:rPr>
        <w:t>As penalidades serão obrigatoriamente registradas no SICAF.</w:t>
      </w:r>
    </w:p>
    <w:p>
      <w:pPr>
        <w:pStyle w:val="Normal"/>
        <w:widowControl/>
        <w:numPr>
          <w:ilvl w:val="0"/>
          <w:numId w:val="4"/>
        </w:numPr>
        <w:suppressAutoHyphens w:val="true"/>
        <w:bidi w:val="0"/>
        <w:spacing w:lineRule="auto" w:line="312" w:before="120" w:after="288"/>
        <w:ind w:left="0" w:right="0" w:hanging="0"/>
        <w:jc w:val="both"/>
        <w:rPr>
          <w:rFonts w:ascii="Arial" w:hAnsi="Arial"/>
          <w:b/>
          <w:b/>
          <w:bCs/>
          <w:sz w:val="20"/>
          <w:szCs w:val="20"/>
        </w:rPr>
      </w:pPr>
      <w:r>
        <w:rPr>
          <w:rFonts w:eastAsia="Arial" w:ascii="Arial" w:hAnsi="Arial"/>
          <w:b/>
          <w:bCs/>
          <w:color w:val="auto"/>
          <w:sz w:val="20"/>
          <w:szCs w:val="20"/>
        </w:rPr>
        <w:t xml:space="preserve">JUSTIFICATIVA PARA O NÃO FRACIONAMENTO/LOTE </w:t>
      </w:r>
    </w:p>
    <w:p>
      <w:pPr>
        <w:pStyle w:val="Normal"/>
        <w:widowControl/>
        <w:numPr>
          <w:ilvl w:val="1"/>
          <w:numId w:val="4"/>
        </w:numPr>
        <w:suppressAutoHyphens w:val="true"/>
        <w:bidi w:val="0"/>
        <w:spacing w:lineRule="auto" w:line="312" w:before="120" w:after="288"/>
        <w:ind w:left="0" w:right="0" w:hanging="0"/>
        <w:jc w:val="both"/>
        <w:rPr>
          <w:rFonts w:ascii="Arial" w:hAnsi="Arial"/>
          <w:b w:val="false"/>
          <w:b w:val="false"/>
          <w:bCs w:val="false"/>
          <w:sz w:val="20"/>
          <w:szCs w:val="20"/>
        </w:rPr>
      </w:pPr>
      <w:r>
        <w:rPr>
          <w:rFonts w:eastAsia="Arial" w:ascii="Arial" w:hAnsi="Arial"/>
          <w:b w:val="false"/>
          <w:bCs w:val="false"/>
          <w:color w:val="auto"/>
          <w:sz w:val="20"/>
          <w:szCs w:val="20"/>
        </w:rPr>
        <w:t xml:space="preserve"> </w:t>
      </w:r>
      <w:r>
        <w:rPr>
          <w:rFonts w:eastAsia="Arial" w:ascii="Arial" w:hAnsi="Arial"/>
          <w:b w:val="false"/>
          <w:bCs w:val="false"/>
          <w:color w:val="auto"/>
          <w:sz w:val="20"/>
          <w:szCs w:val="20"/>
        </w:rPr>
        <w:t>O parcelamento é a regra para a contratação de itens divisíveis, desde que seja viável e vantajoso para a Administração Pública.</w:t>
      </w:r>
    </w:p>
    <w:p>
      <w:pPr>
        <w:pStyle w:val="Normal"/>
        <w:widowControl/>
        <w:numPr>
          <w:ilvl w:val="1"/>
          <w:numId w:val="4"/>
        </w:numPr>
        <w:suppressAutoHyphens w:val="true"/>
        <w:bidi w:val="0"/>
        <w:spacing w:lineRule="auto" w:line="312" w:before="120" w:after="288"/>
        <w:ind w:left="0" w:right="0" w:hanging="0"/>
        <w:jc w:val="both"/>
        <w:rPr>
          <w:rFonts w:ascii="Arial" w:hAnsi="Arial"/>
          <w:b w:val="false"/>
          <w:b w:val="false"/>
          <w:bCs w:val="false"/>
          <w:sz w:val="20"/>
          <w:szCs w:val="20"/>
        </w:rPr>
      </w:pPr>
      <w:r>
        <w:rPr>
          <w:rFonts w:eastAsia="Arial" w:ascii="Arial" w:hAnsi="Arial"/>
          <w:b w:val="false"/>
          <w:bCs w:val="false"/>
          <w:color w:val="auto"/>
          <w:sz w:val="20"/>
          <w:szCs w:val="20"/>
        </w:rPr>
        <w:t>Na licitação por itens, o objeto é dividido em partes específicas, cada qual representando um bem de forma autônoma, o que aumenta a competitividade do certame, pois possibilita a participação de vários fornecedores.</w:t>
      </w:r>
    </w:p>
    <w:p>
      <w:pPr>
        <w:pStyle w:val="Normal"/>
        <w:widowControl/>
        <w:numPr>
          <w:ilvl w:val="1"/>
          <w:numId w:val="4"/>
        </w:numPr>
        <w:suppressAutoHyphens w:val="true"/>
        <w:bidi w:val="0"/>
        <w:spacing w:lineRule="auto" w:line="312" w:before="120" w:after="288"/>
        <w:ind w:left="0" w:right="0" w:hanging="0"/>
        <w:jc w:val="both"/>
        <w:rPr>
          <w:rFonts w:ascii="Arial" w:hAnsi="Arial"/>
          <w:sz w:val="20"/>
          <w:szCs w:val="20"/>
        </w:rPr>
      </w:pPr>
      <w:r>
        <w:rPr>
          <w:rFonts w:eastAsia="Arial" w:ascii="Arial" w:hAnsi="Arial"/>
          <w:b w:val="false"/>
          <w:bCs w:val="false"/>
          <w:color w:val="auto"/>
          <w:sz w:val="20"/>
          <w:szCs w:val="20"/>
        </w:rPr>
        <w:t xml:space="preserve">Por se tratar de contratação de </w:t>
      </w:r>
      <w:r>
        <w:rPr>
          <w:rFonts w:eastAsia="Arial" w:cs="Arial" w:ascii="Arial" w:hAnsi="Arial"/>
          <w:b w:val="false"/>
          <w:bCs w:val="false"/>
          <w:color w:val="auto"/>
          <w:kern w:val="0"/>
          <w:sz w:val="20"/>
          <w:szCs w:val="20"/>
          <w:lang w:val="pt-BR" w:eastAsia="pt-BR" w:bidi="ar-SA"/>
        </w:rPr>
        <w:t>um único item</w:t>
      </w:r>
      <w:r>
        <w:rPr>
          <w:rFonts w:eastAsia="Arial" w:ascii="Arial" w:hAnsi="Arial"/>
          <w:b w:val="false"/>
          <w:bCs w:val="false"/>
          <w:color w:val="auto"/>
          <w:sz w:val="20"/>
          <w:szCs w:val="20"/>
        </w:rPr>
        <w:t>, a licitação será realizada por item.</w:t>
      </w:r>
    </w:p>
    <w:p>
      <w:pPr>
        <w:pStyle w:val="Normal"/>
        <w:widowControl/>
        <w:numPr>
          <w:ilvl w:val="0"/>
          <w:numId w:val="4"/>
        </w:numPr>
        <w:suppressAutoHyphens w:val="true"/>
        <w:bidi w:val="0"/>
        <w:spacing w:lineRule="auto" w:line="312" w:before="120" w:after="288"/>
        <w:ind w:left="0" w:right="0" w:hanging="0"/>
        <w:jc w:val="both"/>
        <w:rPr>
          <w:rFonts w:ascii="Arial" w:hAnsi="Arial"/>
          <w:b/>
          <w:b/>
          <w:bCs/>
          <w:sz w:val="20"/>
          <w:szCs w:val="20"/>
        </w:rPr>
      </w:pPr>
      <w:r>
        <w:rPr>
          <w:rFonts w:eastAsia="Arial" w:ascii="Arial" w:hAnsi="Arial"/>
          <w:b/>
          <w:bCs/>
          <w:color w:val="auto"/>
          <w:sz w:val="20"/>
          <w:szCs w:val="20"/>
        </w:rPr>
        <w:t xml:space="preserve"> </w:t>
      </w:r>
      <w:r>
        <w:rPr>
          <w:rFonts w:eastAsia="Arial" w:ascii="Arial" w:hAnsi="Arial"/>
          <w:b/>
          <w:bCs/>
          <w:color w:val="auto"/>
          <w:sz w:val="20"/>
          <w:szCs w:val="20"/>
        </w:rPr>
        <w:t>DO TRATAMENTO DIFERENCIADO ÀS ME’S E EPP’S</w:t>
      </w:r>
    </w:p>
    <w:p>
      <w:pPr>
        <w:pStyle w:val="Normal"/>
        <w:widowControl/>
        <w:numPr>
          <w:ilvl w:val="1"/>
          <w:numId w:val="4"/>
        </w:numPr>
        <w:suppressAutoHyphens w:val="true"/>
        <w:bidi w:val="0"/>
        <w:spacing w:lineRule="auto" w:line="312" w:before="120" w:after="288"/>
        <w:ind w:left="0" w:right="0" w:hanging="0"/>
        <w:jc w:val="both"/>
        <w:rPr/>
      </w:pPr>
      <w:r>
        <w:rPr>
          <w:rFonts w:eastAsia="Arial" w:ascii="Arial" w:hAnsi="Arial"/>
          <w:b w:val="false"/>
          <w:bCs w:val="false"/>
          <w:color w:val="auto"/>
          <w:sz w:val="20"/>
          <w:szCs w:val="20"/>
        </w:rPr>
        <w:t>Aplicam-se na presente contratação o dispositivo previsto no art 4º da Lei 14.133/2021, que disciplina às licitações e contratos por esta Lei as disposições constantes dos artigos 42 a 49 da Lei Complementar nº 123, de 14 de dezembro de 2006.</w:t>
      </w:r>
    </w:p>
    <w:p>
      <w:pPr>
        <w:pStyle w:val="Normal"/>
        <w:keepNext w:val="true"/>
        <w:keepLines/>
        <w:widowControl/>
        <w:numPr>
          <w:ilvl w:val="0"/>
          <w:numId w:val="4"/>
        </w:numPr>
        <w:tabs>
          <w:tab w:val="clear" w:pos="408"/>
          <w:tab w:val="left" w:pos="567" w:leader="none"/>
        </w:tabs>
        <w:suppressAutoHyphens w:val="true"/>
        <w:bidi w:val="0"/>
        <w:spacing w:lineRule="auto" w:line="312" w:before="120" w:after="288"/>
        <w:ind w:left="0" w:right="0" w:hanging="0"/>
        <w:jc w:val="both"/>
        <w:rPr>
          <w:rFonts w:ascii="Arial" w:hAnsi="Arial" w:eastAsia="Arial"/>
          <w:b/>
          <w:b/>
          <w:color w:val="auto"/>
        </w:rPr>
      </w:pPr>
      <w:r>
        <w:rPr>
          <w:rFonts w:eastAsia="Arial" w:ascii="Arial" w:hAnsi="Arial"/>
          <w:b/>
          <w:bCs/>
          <w:color w:val="auto"/>
          <w:sz w:val="20"/>
          <w:szCs w:val="20"/>
        </w:rPr>
        <w:t>DA PADRONIZAÇÃO</w:t>
      </w:r>
    </w:p>
    <w:p>
      <w:pPr>
        <w:pStyle w:val="Normal"/>
        <w:widowControl/>
        <w:numPr>
          <w:ilvl w:val="1"/>
          <w:numId w:val="4"/>
        </w:numPr>
        <w:tabs>
          <w:tab w:val="clear" w:pos="408"/>
          <w:tab w:val="left" w:pos="567" w:leader="none"/>
        </w:tabs>
        <w:suppressAutoHyphens w:val="true"/>
        <w:bidi w:val="0"/>
        <w:spacing w:lineRule="auto" w:line="312" w:before="120" w:after="288"/>
        <w:ind w:left="0" w:right="0" w:hanging="0"/>
        <w:jc w:val="both"/>
        <w:rPr>
          <w:rFonts w:ascii="Arial" w:hAnsi="Arial"/>
        </w:rPr>
      </w:pPr>
      <w:r>
        <w:rPr>
          <w:rFonts w:eastAsia="Arial" w:cs="Arial" w:ascii="Arial" w:hAnsi="Arial"/>
          <w:b w:val="false"/>
          <w:bCs w:val="false"/>
          <w:color w:val="auto"/>
          <w:kern w:val="0"/>
          <w:sz w:val="20"/>
          <w:szCs w:val="20"/>
          <w:lang w:val="pt-BR" w:eastAsia="pt-BR" w:bidi="ar-SA"/>
        </w:rPr>
        <w:t>A</w:t>
      </w:r>
      <w:r>
        <w:rPr>
          <w:rFonts w:eastAsia="Arial" w:ascii="Arial" w:hAnsi="Arial"/>
          <w:b w:val="false"/>
          <w:bCs w:val="false"/>
          <w:color w:val="auto"/>
          <w:sz w:val="20"/>
          <w:szCs w:val="20"/>
        </w:rPr>
        <w:t xml:space="preserve"> descrição do objeto foi definida em estrita conformidade com os parâmetros de padronização estabelecidos no Catálogo de Serviços (CATSER), garantindo a adequada especificação técnica e a ampla competitividade no certame.</w:t>
      </w:r>
    </w:p>
    <w:p>
      <w:pPr>
        <w:pStyle w:val="Normal"/>
        <w:widowControl/>
        <w:numPr>
          <w:ilvl w:val="0"/>
          <w:numId w:val="4"/>
        </w:numPr>
        <w:tabs>
          <w:tab w:val="clear" w:pos="408"/>
          <w:tab w:val="left" w:pos="567" w:leader="none"/>
        </w:tabs>
        <w:suppressAutoHyphens w:val="true"/>
        <w:bidi w:val="0"/>
        <w:spacing w:lineRule="auto" w:line="312" w:before="120" w:after="288"/>
        <w:ind w:left="0" w:right="0" w:hanging="0"/>
        <w:jc w:val="both"/>
        <w:rPr>
          <w:rFonts w:ascii="Arial" w:hAnsi="Arial"/>
          <w:b/>
          <w:b/>
          <w:bCs/>
        </w:rPr>
      </w:pPr>
      <w:r>
        <w:rPr>
          <w:rFonts w:eastAsia="Arial" w:ascii="Arial" w:hAnsi="Arial"/>
          <w:b/>
          <w:bCs/>
          <w:color w:val="auto"/>
          <w:sz w:val="20"/>
          <w:szCs w:val="20"/>
        </w:rPr>
        <w:t>DA LEI ANTICORRUPÇÃO</w:t>
      </w:r>
    </w:p>
    <w:p>
      <w:pPr>
        <w:pStyle w:val="Normal"/>
        <w:widowControl/>
        <w:numPr>
          <w:ilvl w:val="1"/>
          <w:numId w:val="4"/>
        </w:numPr>
        <w:tabs>
          <w:tab w:val="clear" w:pos="408"/>
          <w:tab w:val="left" w:pos="567" w:leader="none"/>
        </w:tabs>
        <w:suppressAutoHyphens w:val="true"/>
        <w:bidi w:val="0"/>
        <w:spacing w:lineRule="auto" w:line="312" w:before="120" w:after="288"/>
        <w:ind w:left="0" w:right="0" w:hanging="0"/>
        <w:jc w:val="both"/>
        <w:rPr>
          <w:rFonts w:ascii="Arial" w:hAnsi="Arial"/>
          <w:b w:val="false"/>
          <w:b w:val="false"/>
          <w:bCs w:val="false"/>
        </w:rPr>
      </w:pPr>
      <w:r>
        <w:rPr>
          <w:rFonts w:eastAsia="Arial" w:ascii="Arial" w:hAnsi="Arial"/>
          <w:b w:val="false"/>
          <w:bCs w:val="false"/>
          <w:color w:val="auto"/>
          <w:sz w:val="20"/>
          <w:szCs w:val="20"/>
        </w:rPr>
        <w:t>As partes deverão observar todas as disposições das regras anticorrupção em vigor no Brasil, em especial, as previsões da Lei Federal nº 12.846/2013 (Lei Anticorrupção), do Decreto Federal nº 8.420/2015.</w:t>
      </w:r>
    </w:p>
    <w:p>
      <w:pPr>
        <w:pStyle w:val="Normal"/>
        <w:widowControl/>
        <w:numPr>
          <w:ilvl w:val="2"/>
          <w:numId w:val="4"/>
        </w:numPr>
        <w:tabs>
          <w:tab w:val="clear" w:pos="408"/>
          <w:tab w:val="left" w:pos="567" w:leader="none"/>
        </w:tabs>
        <w:suppressAutoHyphens w:val="true"/>
        <w:bidi w:val="0"/>
        <w:spacing w:lineRule="auto" w:line="312" w:before="120" w:after="288"/>
        <w:ind w:left="567" w:right="0" w:hanging="0"/>
        <w:jc w:val="both"/>
        <w:rPr>
          <w:rFonts w:ascii="Arial" w:hAnsi="Arial"/>
          <w:b w:val="false"/>
          <w:b w:val="false"/>
          <w:bCs w:val="false"/>
        </w:rPr>
      </w:pPr>
      <w:r>
        <w:rPr>
          <w:rFonts w:eastAsia="Arial" w:ascii="Arial" w:hAnsi="Arial"/>
          <w:b w:val="false"/>
          <w:bCs w:val="false"/>
          <w:color w:val="auto"/>
          <w:sz w:val="20"/>
          <w:szCs w:val="20"/>
        </w:rPr>
        <w:t>As partes deverão se comprometer também a se absterem de praticar quaisquer atividades que constituam violação às disposições das normas anticorrupção e das demais disposições referentes à matéria.</w:t>
      </w:r>
    </w:p>
    <w:p>
      <w:pPr>
        <w:pStyle w:val="Normal"/>
        <w:widowControl/>
        <w:numPr>
          <w:ilvl w:val="2"/>
          <w:numId w:val="4"/>
        </w:numPr>
        <w:tabs>
          <w:tab w:val="clear" w:pos="408"/>
          <w:tab w:val="left" w:pos="567" w:leader="none"/>
        </w:tabs>
        <w:suppressAutoHyphens w:val="true"/>
        <w:bidi w:val="0"/>
        <w:spacing w:lineRule="auto" w:line="312" w:before="120" w:after="288"/>
        <w:ind w:left="567" w:right="0" w:hanging="0"/>
        <w:jc w:val="both"/>
        <w:rPr>
          <w:rFonts w:ascii="Arial" w:hAnsi="Arial"/>
          <w:b w:val="false"/>
          <w:b w:val="false"/>
          <w:bCs w:val="false"/>
        </w:rPr>
      </w:pPr>
      <w:r>
        <w:rPr>
          <w:rFonts w:eastAsia="Arial" w:ascii="Arial" w:hAnsi="Arial"/>
          <w:b w:val="false"/>
          <w:bCs w:val="false"/>
          <w:color w:val="auto"/>
          <w:sz w:val="20"/>
          <w:szCs w:val="20"/>
        </w:rPr>
        <w:t>As partes, por si e por seus administradores, diretores, funcionários e agentes, bem como por seus sócios, deverão conduzir suas práticas, durante a execução do contrato, de forma ética e em conformidade com os preceitos legais aplicáveis.</w:t>
      </w:r>
    </w:p>
    <w:p>
      <w:pPr>
        <w:pStyle w:val="Normal"/>
        <w:widowControl/>
        <w:numPr>
          <w:ilvl w:val="2"/>
          <w:numId w:val="4"/>
        </w:numPr>
        <w:tabs>
          <w:tab w:val="clear" w:pos="408"/>
          <w:tab w:val="left" w:pos="567" w:leader="none"/>
        </w:tabs>
        <w:suppressAutoHyphens w:val="true"/>
        <w:bidi w:val="0"/>
        <w:spacing w:lineRule="auto" w:line="312" w:before="120" w:after="288"/>
        <w:ind w:left="567" w:right="0" w:hanging="0"/>
        <w:jc w:val="both"/>
        <w:rPr>
          <w:rFonts w:ascii="Arial" w:hAnsi="Arial"/>
          <w:b w:val="false"/>
          <w:b w:val="false"/>
          <w:bCs w:val="false"/>
        </w:rPr>
      </w:pPr>
      <w:r>
        <w:rPr>
          <w:rFonts w:eastAsia="Arial" w:ascii="Arial" w:hAnsi="Arial"/>
          <w:b w:val="false"/>
          <w:bCs w:val="false"/>
          <w:color w:val="auto"/>
          <w:sz w:val="20"/>
          <w:szCs w:val="20"/>
        </w:rPr>
        <w:t>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pPr>
        <w:pStyle w:val="Normal"/>
        <w:widowControl/>
        <w:numPr>
          <w:ilvl w:val="2"/>
          <w:numId w:val="4"/>
        </w:numPr>
        <w:tabs>
          <w:tab w:val="clear" w:pos="408"/>
          <w:tab w:val="left" w:pos="567" w:leader="none"/>
        </w:tabs>
        <w:suppressAutoHyphens w:val="true"/>
        <w:bidi w:val="0"/>
        <w:spacing w:lineRule="auto" w:line="312" w:before="120" w:after="288"/>
        <w:ind w:left="567" w:right="0" w:hanging="0"/>
        <w:jc w:val="both"/>
        <w:rPr>
          <w:rFonts w:ascii="Arial" w:hAnsi="Arial"/>
          <w:b w:val="false"/>
          <w:b w:val="false"/>
          <w:bCs w:val="false"/>
        </w:rPr>
      </w:pPr>
      <w:r>
        <w:rPr>
          <w:rFonts w:eastAsia="Arial" w:ascii="Arial" w:hAnsi="Arial"/>
          <w:b w:val="false"/>
          <w:bCs w:val="false"/>
          <w:color w:val="auto"/>
          <w:sz w:val="20"/>
          <w:szCs w:val="20"/>
        </w:rPr>
        <w:t>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w:t>
      </w:r>
    </w:p>
    <w:p>
      <w:pPr>
        <w:pStyle w:val="Normal"/>
        <w:widowControl/>
        <w:numPr>
          <w:ilvl w:val="2"/>
          <w:numId w:val="4"/>
        </w:numPr>
        <w:tabs>
          <w:tab w:val="clear" w:pos="408"/>
          <w:tab w:val="left" w:pos="567" w:leader="none"/>
        </w:tabs>
        <w:suppressAutoHyphens w:val="true"/>
        <w:bidi w:val="0"/>
        <w:spacing w:lineRule="auto" w:line="312" w:before="120" w:after="288"/>
        <w:ind w:left="567" w:right="0" w:hanging="0"/>
        <w:jc w:val="both"/>
        <w:rPr>
          <w:rFonts w:ascii="Arial" w:hAnsi="Arial"/>
          <w:b w:val="false"/>
          <w:b w:val="false"/>
          <w:bCs w:val="false"/>
        </w:rPr>
      </w:pPr>
      <w:r>
        <w:rPr>
          <w:rFonts w:eastAsia="Arial" w:ascii="Arial" w:hAnsi="Arial"/>
          <w:b w:val="false"/>
          <w:bCs w:val="false"/>
          <w:color w:val="auto"/>
          <w:sz w:val="20"/>
          <w:szCs w:val="20"/>
        </w:rPr>
        <w:t>Qualquer descumprimento das regras de integridade mencionadas acima ensejará a resolução imediata do contrato, apenas por meio de notificação extrajudicial, sem prejuízo de eventual pagamento de indenização por perdas e danos.</w:t>
      </w:r>
    </w:p>
    <w:p>
      <w:pPr>
        <w:pStyle w:val="Normal"/>
        <w:spacing w:lineRule="auto" w:line="360" w:before="120" w:after="0"/>
        <w:ind w:firstLine="1418"/>
        <w:jc w:val="right"/>
        <w:rPr>
          <w:color w:val="auto"/>
          <w:shd w:fill="auto" w:val="clear"/>
        </w:rPr>
      </w:pPr>
      <w:r>
        <w:rPr>
          <w:rFonts w:cs="Times New Roman" w:ascii="Times New Roman" w:hAnsi="Times New Roman"/>
          <w:color w:val="000000"/>
          <w:sz w:val="24"/>
          <w:szCs w:val="24"/>
          <w:shd w:fill="auto" w:val="clear"/>
          <w:lang w:eastAsia="en-US"/>
        </w:rPr>
        <w:t xml:space="preserve">Vassouras, </w:t>
      </w:r>
      <w:r>
        <w:rPr>
          <w:rFonts w:eastAsia="Calibri" w:cs="Times New Roman" w:ascii="Times New Roman" w:hAnsi="Times New Roman"/>
          <w:color w:val="000000"/>
          <w:kern w:val="0"/>
          <w:sz w:val="24"/>
          <w:szCs w:val="24"/>
          <w:shd w:fill="auto" w:val="clear"/>
          <w:lang w:val="pt-BR" w:eastAsia="en-US" w:bidi="ar-SA"/>
        </w:rPr>
        <w:t>25</w:t>
      </w:r>
      <w:r>
        <w:rPr>
          <w:rFonts w:cs="Times New Roman" w:ascii="Times New Roman" w:hAnsi="Times New Roman"/>
          <w:color w:val="000000"/>
          <w:sz w:val="24"/>
          <w:szCs w:val="24"/>
          <w:shd w:fill="auto" w:val="clear"/>
          <w:lang w:eastAsia="en-US"/>
        </w:rPr>
        <w:t xml:space="preserve"> de </w:t>
      </w:r>
      <w:r>
        <w:rPr>
          <w:rFonts w:eastAsia="Calibri" w:cs="Times New Roman" w:ascii="Times New Roman" w:hAnsi="Times New Roman"/>
          <w:color w:val="000000"/>
          <w:kern w:val="0"/>
          <w:sz w:val="24"/>
          <w:szCs w:val="24"/>
          <w:shd w:fill="auto" w:val="clear"/>
          <w:lang w:val="pt-BR" w:eastAsia="en-US" w:bidi="ar-SA"/>
        </w:rPr>
        <w:t>junho</w:t>
      </w:r>
      <w:r>
        <w:rPr>
          <w:rFonts w:cs="Times New Roman" w:ascii="Times New Roman" w:hAnsi="Times New Roman"/>
          <w:color w:val="000000"/>
          <w:sz w:val="24"/>
          <w:szCs w:val="24"/>
          <w:shd w:fill="auto" w:val="clear"/>
          <w:lang w:eastAsia="en-US"/>
        </w:rPr>
        <w:t xml:space="preserve"> de 2026.</w:t>
      </w:r>
    </w:p>
    <w:p>
      <w:pPr>
        <w:pStyle w:val="Normal"/>
        <w:spacing w:lineRule="auto" w:line="360" w:before="120" w:after="0"/>
        <w:ind w:firstLine="1418"/>
        <w:jc w:val="both"/>
        <w:rPr>
          <w:rFonts w:ascii="Times New Roman" w:hAnsi="Times New Roman" w:cs="Times New Roman"/>
          <w:color w:val="C9211E"/>
          <w:sz w:val="24"/>
          <w:szCs w:val="24"/>
          <w:lang w:eastAsia="en-US"/>
        </w:rPr>
      </w:pPr>
      <w:r>
        <w:rPr>
          <w:rFonts w:cs="Times New Roman" w:ascii="Times New Roman" w:hAnsi="Times New Roman"/>
          <w:color w:val="C9211E"/>
          <w:sz w:val="24"/>
          <w:szCs w:val="24"/>
          <w:lang w:eastAsia="en-US"/>
        </w:rPr>
      </w:r>
    </w:p>
    <w:p>
      <w:pPr>
        <w:pStyle w:val="Normal"/>
        <w:jc w:val="center"/>
        <w:rPr>
          <w:color w:val="auto"/>
          <w:shd w:fill="auto" w:val="clear"/>
        </w:rPr>
      </w:pPr>
      <w:r>
        <w:rPr>
          <w:rFonts w:eastAsia="Times New Roman" w:cs="Times New Roman" w:ascii="Times New Roman" w:hAnsi="Times New Roman"/>
          <w:b/>
          <w:color w:val="000000"/>
          <w:sz w:val="24"/>
          <w:szCs w:val="24"/>
          <w:shd w:fill="auto" w:val="clear"/>
        </w:rPr>
        <w:t>PATRÍCIA PAIVA MONTEIRO</w:t>
      </w:r>
    </w:p>
    <w:p>
      <w:pPr>
        <w:pStyle w:val="Normal"/>
        <w:jc w:val="center"/>
        <w:rPr>
          <w:rFonts w:ascii="Times New Roman" w:hAnsi="Times New Roman" w:eastAsia="Times New Roman" w:cs="Times New Roman"/>
          <w:bCs/>
          <w:color w:val="auto"/>
          <w:kern w:val="0"/>
          <w:sz w:val="24"/>
          <w:szCs w:val="24"/>
          <w:shd w:fill="auto" w:val="clear"/>
          <w:lang w:val="pt-BR" w:eastAsia="pt-BR" w:bidi="ar-SA"/>
        </w:rPr>
      </w:pPr>
      <w:r>
        <w:rPr>
          <w:rFonts w:eastAsia="Times New Roman" w:cs="Times New Roman" w:ascii="Times New Roman" w:hAnsi="Times New Roman"/>
          <w:bCs/>
          <w:color w:val="000000"/>
          <w:kern w:val="0"/>
          <w:sz w:val="24"/>
          <w:szCs w:val="24"/>
          <w:shd w:fill="auto" w:val="clear"/>
          <w:lang w:val="pt-BR" w:eastAsia="pt-BR" w:bidi="ar-SA"/>
        </w:rPr>
        <w:t>Diretora Pedagógica</w:t>
      </w:r>
    </w:p>
    <w:p>
      <w:pPr>
        <w:pStyle w:val="Normal"/>
        <w:rPr>
          <w:rFonts w:ascii="Times New Roman" w:hAnsi="Times New Roman" w:cs="Times New Roman"/>
          <w:color w:val="auto"/>
          <w:sz w:val="24"/>
          <w:szCs w:val="24"/>
          <w:shd w:fill="auto" w:val="clear"/>
          <w:lang w:eastAsia="en-US"/>
        </w:rPr>
      </w:pPr>
      <w:r>
        <w:rPr>
          <w:rFonts w:cs="Times New Roman" w:ascii="Times New Roman" w:hAnsi="Times New Roman"/>
          <w:color w:val="000000"/>
          <w:sz w:val="24"/>
          <w:szCs w:val="24"/>
          <w:shd w:fill="auto" w:val="clear"/>
          <w:lang w:eastAsia="en-US"/>
        </w:rPr>
      </w:r>
    </w:p>
    <w:p>
      <w:pPr>
        <w:pStyle w:val="Normal"/>
        <w:jc w:val="center"/>
        <w:rPr>
          <w:rFonts w:ascii="Times New Roman" w:hAnsi="Times New Roman" w:cs="Times New Roman"/>
          <w:color w:val="auto"/>
          <w:sz w:val="24"/>
          <w:szCs w:val="24"/>
          <w:shd w:fill="auto" w:val="clear"/>
          <w:lang w:eastAsia="en-US"/>
        </w:rPr>
      </w:pPr>
      <w:r>
        <w:rPr>
          <w:rFonts w:cs="Times New Roman" w:ascii="Times New Roman" w:hAnsi="Times New Roman"/>
          <w:color w:val="000000"/>
          <w:sz w:val="24"/>
          <w:szCs w:val="24"/>
          <w:shd w:fill="auto" w:val="clear"/>
          <w:lang w:eastAsia="en-US"/>
        </w:rPr>
      </w:r>
    </w:p>
    <w:p>
      <w:pPr>
        <w:pStyle w:val="Normal"/>
        <w:jc w:val="center"/>
        <w:rPr>
          <w:rFonts w:ascii="Times New Roman" w:hAnsi="Times New Roman" w:eastAsia="Calibri" w:cs="Times New Roman"/>
          <w:b/>
          <w:b/>
          <w:bCs/>
          <w:color w:val="auto"/>
          <w:kern w:val="0"/>
          <w:sz w:val="24"/>
          <w:szCs w:val="24"/>
          <w:shd w:fill="auto" w:val="clear"/>
          <w:lang w:val="pt-BR" w:eastAsia="en-US" w:bidi="ar-SA"/>
        </w:rPr>
      </w:pPr>
      <w:r>
        <w:rPr>
          <w:rFonts w:eastAsia="Calibri" w:cs="Times New Roman" w:ascii="Times New Roman" w:hAnsi="Times New Roman"/>
          <w:b/>
          <w:bCs/>
          <w:color w:val="000000"/>
          <w:kern w:val="0"/>
          <w:sz w:val="24"/>
          <w:szCs w:val="24"/>
          <w:shd w:fill="auto" w:val="clear"/>
          <w:lang w:val="pt-BR" w:eastAsia="en-US" w:bidi="ar-SA"/>
        </w:rPr>
        <w:t>RITA DE CÁSSIA DE FREITAS CARNEIRO CHANTAL</w:t>
      </w:r>
      <w:bookmarkStart w:id="8" w:name="_Hlk124804739"/>
    </w:p>
    <w:p>
      <w:pPr>
        <w:pStyle w:val="Normal"/>
        <w:jc w:val="center"/>
        <w:rPr>
          <w:color w:val="auto"/>
          <w:shd w:fill="auto" w:val="clear"/>
        </w:rPr>
      </w:pPr>
      <w:r>
        <w:rPr>
          <w:rFonts w:cs="Times New Roman" w:ascii="Times New Roman" w:hAnsi="Times New Roman"/>
          <w:color w:val="000000"/>
          <w:sz w:val="24"/>
          <w:szCs w:val="24"/>
          <w:shd w:fill="auto" w:val="clear"/>
          <w:lang w:eastAsia="en-US"/>
        </w:rPr>
        <w:t>Secretaria Municipal de</w:t>
      </w:r>
      <w:bookmarkEnd w:id="8"/>
      <w:r>
        <w:rPr>
          <w:rFonts w:eastAsia="Calibri" w:cs="Times New Roman" w:ascii="Times New Roman" w:hAnsi="Times New Roman"/>
          <w:color w:val="000000"/>
          <w:kern w:val="0"/>
          <w:sz w:val="24"/>
          <w:szCs w:val="24"/>
          <w:shd w:fill="auto" w:val="clear"/>
          <w:lang w:val="pt-BR" w:eastAsia="en-US" w:bidi="ar-SA"/>
        </w:rPr>
        <w:t xml:space="preserve"> Educação</w:t>
      </w:r>
    </w:p>
    <w:p>
      <w:pPr>
        <w:pStyle w:val="Normal"/>
        <w:jc w:val="center"/>
        <w:rPr>
          <w:rFonts w:ascii="Times New Roman" w:hAnsi="Times New Roman" w:eastAsia="Calibri" w:cs="Times New Roman"/>
          <w:kern w:val="0"/>
          <w:sz w:val="24"/>
          <w:szCs w:val="24"/>
          <w:lang w:val="pt-BR" w:eastAsia="en-US" w:bidi="ar-SA"/>
        </w:rPr>
      </w:pPr>
      <w:r>
        <w:rPr>
          <w:rFonts w:eastAsia="Calibri" w:cs="Times New Roman" w:ascii="Times New Roman" w:hAnsi="Times New Roman"/>
          <w:kern w:val="0"/>
          <w:sz w:val="24"/>
          <w:szCs w:val="24"/>
          <w:lang w:val="pt-BR" w:eastAsia="en-US" w:bidi="ar-SA"/>
        </w:rPr>
      </w:r>
      <w:r>
        <w:br w:type="page"/>
      </w:r>
    </w:p>
    <w:p>
      <w:pPr>
        <w:pStyle w:val="Corpodotexto"/>
        <w:jc w:val="center"/>
        <w:rPr>
          <w:rFonts w:ascii="Arial" w:hAnsi="Arial" w:cs="Arial"/>
          <w:b/>
          <w:b/>
          <w:sz w:val="20"/>
        </w:rPr>
      </w:pPr>
      <w:r>
        <w:rPr>
          <w:rFonts w:cs="Arial" w:ascii="Arial" w:hAnsi="Arial"/>
          <w:b/>
          <w:sz w:val="20"/>
        </w:rPr>
        <w:t xml:space="preserve">ANEXO I </w:t>
      </w:r>
    </w:p>
    <w:p>
      <w:pPr>
        <w:pStyle w:val="Corpodotexto"/>
        <w:jc w:val="center"/>
        <w:rPr>
          <w:rFonts w:ascii="Arial" w:hAnsi="Arial" w:cs="Arial"/>
          <w:b/>
          <w:b/>
          <w:sz w:val="20"/>
        </w:rPr>
      </w:pPr>
      <w:r>
        <w:rPr>
          <w:rFonts w:cs="Arial" w:ascii="Arial" w:hAnsi="Arial"/>
          <w:b/>
          <w:sz w:val="20"/>
        </w:rPr>
        <w:t>ENDEREÇOS DE ENTREGA</w:t>
      </w:r>
    </w:p>
    <w:p>
      <w:pPr>
        <w:pStyle w:val="Corpodotexto"/>
        <w:jc w:val="center"/>
        <w:rPr>
          <w:rFonts w:ascii="Arial" w:hAnsi="Arial" w:cs="Arial"/>
          <w:b/>
          <w:b/>
          <w:sz w:val="20"/>
        </w:rPr>
      </w:pPr>
      <w:r>
        <w:rPr>
          <w:rFonts w:cs="Arial" w:ascii="Arial" w:hAnsi="Arial"/>
          <w:b/>
          <w:sz w:val="20"/>
        </w:rPr>
      </w:r>
    </w:p>
    <w:tbl>
      <w:tblPr>
        <w:tblW w:w="9405" w:type="dxa"/>
        <w:jc w:val="left"/>
        <w:tblInd w:w="-544" w:type="dxa"/>
        <w:tblLayout w:type="fixed"/>
        <w:tblCellMar>
          <w:top w:w="0" w:type="dxa"/>
          <w:left w:w="70" w:type="dxa"/>
          <w:bottom w:w="0" w:type="dxa"/>
          <w:right w:w="70" w:type="dxa"/>
        </w:tblCellMar>
      </w:tblPr>
      <w:tblGrid>
        <w:gridCol w:w="790"/>
        <w:gridCol w:w="4535"/>
        <w:gridCol w:w="4080"/>
      </w:tblGrid>
      <w:tr>
        <w:trPr>
          <w:trHeight w:val="486" w:hRule="atLeast"/>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b/>
                <w:b/>
                <w:sz w:val="20"/>
                <w:szCs w:val="20"/>
              </w:rPr>
            </w:pPr>
            <w:r>
              <w:rPr>
                <w:rFonts w:ascii="Arial" w:hAnsi="Arial"/>
                <w:b/>
                <w:sz w:val="20"/>
                <w:szCs w:val="20"/>
              </w:rPr>
              <w:t>N°</w:t>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b/>
                <w:b/>
                <w:sz w:val="20"/>
                <w:szCs w:val="20"/>
              </w:rPr>
            </w:pPr>
            <w:r>
              <w:rPr>
                <w:rFonts w:ascii="Arial" w:hAnsi="Arial"/>
                <w:b/>
                <w:sz w:val="20"/>
                <w:szCs w:val="20"/>
              </w:rPr>
              <w:t>ESCOLAS MUNICIPAIS</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b/>
                <w:b/>
                <w:sz w:val="20"/>
                <w:szCs w:val="20"/>
              </w:rPr>
            </w:pPr>
            <w:r>
              <w:rPr>
                <w:rFonts w:ascii="Arial" w:hAnsi="Arial"/>
                <w:b/>
                <w:sz w:val="20"/>
                <w:szCs w:val="20"/>
              </w:rPr>
              <w:t>ENDEREÇOS</w:t>
            </w:r>
          </w:p>
        </w:tc>
      </w:tr>
      <w:tr>
        <w:trPr>
          <w:trHeight w:val="422" w:hRule="atLeast"/>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E.M. Abel José Machado</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Rua Abel Machado nº 77 - Massambará</w:t>
            </w:r>
          </w:p>
        </w:tc>
      </w:tr>
      <w:tr>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E.M. Dep. José Carlos Vaz de Miranda (Barão)</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Rua Exp. Cândido da Luz Paiva, 53 – Barão de Vassouras</w:t>
            </w:r>
          </w:p>
        </w:tc>
      </w:tr>
      <w:tr>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E.M. Giovanni Napoli</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BR 393 Km 237 nº 57.530 - Grecco</w:t>
            </w:r>
          </w:p>
        </w:tc>
      </w:tr>
      <w:tr>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E.M. Joaquim Pinto e Souza</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Estrada Barra do Piraí x Mendes nº 6464 – Ipiranga</w:t>
            </w:r>
          </w:p>
        </w:tc>
      </w:tr>
      <w:tr>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lang w:val="en-US"/>
              </w:rPr>
            </w:pPr>
            <w:r>
              <w:rPr>
                <w:rFonts w:ascii="Arial" w:hAnsi="Arial"/>
                <w:sz w:val="20"/>
                <w:szCs w:val="20"/>
                <w:lang w:val="en-US"/>
              </w:rPr>
              <w:t>E.M. Magally Sayão</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Av. Marechal Paulo Torres nº 677 Centro</w:t>
            </w:r>
          </w:p>
        </w:tc>
      </w:tr>
      <w:tr>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E.M. Natalino de Mello</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Rua Antonio Francisco Barbosa nº 88 Itakamosi</w:t>
            </w:r>
          </w:p>
        </w:tc>
      </w:tr>
      <w:tr>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E.M. Prefeito Pedro Ivo da Costa</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Rua Antonio Pinheiro nº 239 – Andrade Pinto</w:t>
            </w:r>
          </w:p>
        </w:tc>
      </w:tr>
      <w:tr>
        <w:trPr>
          <w:trHeight w:val="328" w:hRule="atLeast"/>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20"/>
                <w:szCs w:val="20"/>
              </w:rPr>
            </w:pPr>
            <w:r>
              <w:rPr>
                <w:rFonts w:ascii="Arial" w:hAnsi="Arial"/>
                <w:sz w:val="20"/>
                <w:szCs w:val="20"/>
              </w:rPr>
              <w:t>E.M. Prefeito Severino Ananias Dias</w:t>
            </w:r>
          </w:p>
          <w:p>
            <w:pPr>
              <w:pStyle w:val="Normal"/>
              <w:widowControl w:val="false"/>
              <w:spacing w:before="0" w:after="160"/>
              <w:jc w:val="center"/>
              <w:rPr>
                <w:rFonts w:ascii="Arial" w:hAnsi="Arial"/>
                <w:sz w:val="20"/>
                <w:szCs w:val="20"/>
              </w:rPr>
            </w:pPr>
            <w:r>
              <w:rPr>
                <w:rFonts w:ascii="Arial" w:hAnsi="Arial"/>
                <w:sz w:val="20"/>
                <w:szCs w:val="20"/>
              </w:rPr>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Rua José Batista Neto nº 301 – Residência</w:t>
            </w:r>
          </w:p>
        </w:tc>
      </w:tr>
      <w:tr>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E.M. Sagrada Família de Nazareth</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Rua São José s/nº – Andrade Costa</w:t>
            </w:r>
          </w:p>
        </w:tc>
      </w:tr>
      <w:tr>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E.M. São Sebastião dos Ferreiros</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sz w:val="20"/>
                <w:szCs w:val="20"/>
              </w:rPr>
            </w:pPr>
            <w:r>
              <w:rPr>
                <w:rFonts w:ascii="Arial" w:hAnsi="Arial"/>
                <w:sz w:val="20"/>
                <w:szCs w:val="20"/>
              </w:rPr>
              <w:t>Praça da Matriz nº 13 – Ferreiros</w:t>
            </w:r>
          </w:p>
        </w:tc>
      </w:tr>
      <w:tr>
        <w:trPr>
          <w:trHeight w:val="486" w:hRule="atLeast"/>
        </w:trPr>
        <w:tc>
          <w:tcPr>
            <w:tcW w:w="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
              </w:numPr>
              <w:suppressAutoHyphens w:val="true"/>
              <w:bidi w:val="0"/>
              <w:snapToGrid w:val="false"/>
              <w:spacing w:before="0" w:after="160"/>
              <w:ind w:left="794" w:right="0" w:hanging="567"/>
              <w:jc w:val="center"/>
              <w:rPr>
                <w:rFonts w:ascii="Arial" w:hAnsi="Arial"/>
                <w:sz w:val="20"/>
                <w:szCs w:val="20"/>
              </w:rPr>
            </w:pPr>
            <w:r>
              <w:rPr>
                <w:rFonts w:ascii="Arial" w:hAnsi="Arial"/>
                <w:sz w:val="20"/>
                <w:szCs w:val="20"/>
              </w:rPr>
            </w:r>
          </w:p>
        </w:tc>
        <w:tc>
          <w:tcPr>
            <w:tcW w:w="4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eastAsia="Times New Roman" w:cs="Times New Roman"/>
                <w:color w:val="auto"/>
                <w:sz w:val="20"/>
                <w:szCs w:val="20"/>
                <w:lang w:val="pt-BR" w:eastAsia="zh-CN" w:bidi="ar-SA"/>
              </w:rPr>
            </w:pPr>
            <w:r>
              <w:rPr>
                <w:rFonts w:eastAsia="Times New Roman" w:cs="Times New Roman" w:ascii="Arial" w:hAnsi="Arial"/>
                <w:color w:val="auto"/>
                <w:sz w:val="20"/>
                <w:szCs w:val="20"/>
                <w:lang w:val="pt-BR" w:eastAsia="zh-CN" w:bidi="ar-SA"/>
              </w:rPr>
              <w:t>Secretaria Municipal de Educação</w:t>
            </w:r>
          </w:p>
        </w:tc>
        <w:tc>
          <w:tcPr>
            <w:tcW w:w="40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Arial" w:hAnsi="Arial" w:eastAsia="Times New Roman" w:cs="Times New Roman"/>
                <w:color w:val="auto"/>
                <w:sz w:val="20"/>
                <w:szCs w:val="20"/>
                <w:lang w:val="pt-BR" w:eastAsia="zh-CN" w:bidi="ar-SA"/>
              </w:rPr>
            </w:pPr>
            <w:r>
              <w:rPr>
                <w:rFonts w:eastAsia="Times New Roman" w:cs="Times New Roman" w:ascii="Arial" w:hAnsi="Arial"/>
                <w:color w:val="auto"/>
                <w:sz w:val="20"/>
                <w:szCs w:val="20"/>
                <w:lang w:val="pt-BR" w:eastAsia="zh-CN" w:bidi="ar-SA"/>
              </w:rPr>
              <w:t>Av. Otávio Gomes nº 395- Centro</w:t>
            </w:r>
          </w:p>
        </w:tc>
      </w:tr>
    </w:tbl>
    <w:p>
      <w:pPr>
        <w:pStyle w:val="Normal"/>
        <w:jc w:val="center"/>
        <w:rPr>
          <w:rFonts w:ascii="Times New Roman" w:hAnsi="Times New Roman" w:eastAsia="Calibri" w:cs="Times New Roman"/>
          <w:kern w:val="0"/>
          <w:sz w:val="24"/>
          <w:szCs w:val="24"/>
          <w:lang w:val="pt-BR" w:eastAsia="en-US" w:bidi="ar-SA"/>
        </w:rPr>
      </w:pPr>
      <w:r>
        <w:rPr/>
      </w:r>
    </w:p>
    <w:sectPr>
      <w:headerReference w:type="default" r:id="rId12"/>
      <w:headerReference w:type="first" r:id="rId13"/>
      <w:footerReference w:type="default" r:id="rId14"/>
      <w:footerReference w:type="first" r:id="rId15"/>
      <w:type w:val="nextPage"/>
      <w:pgSz w:w="11906" w:h="16838"/>
      <w:pgMar w:left="1985" w:right="1134" w:header="720" w:top="1134" w:footer="578" w:bottom="1134" w:gutter="0"/>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Verdana">
    <w:charset w:val="00"/>
    <w:family w:val="roman"/>
    <w:pitch w:val="variable"/>
  </w:font>
  <w:font w:name="OpenSymbol">
    <w:altName w:val="Arial Unicode MS"/>
    <w:charset w:val="00"/>
    <w:family w:val="roman"/>
    <w:pitch w:val="variable"/>
  </w:font>
  <w:font w:name="Courier New">
    <w:charset w:val="00"/>
    <w:family w:val="roman"/>
    <w:pitch w:val="variable"/>
  </w:font>
  <w:font w:name="Liberation Sans">
    <w:altName w:val="Arial"/>
    <w:charset w:val="00"/>
    <w:family w:val="roman"/>
    <w:pitch w:val="variable"/>
  </w:font>
  <w:font w:name="TimesNewRoman">
    <w:charset w:val="00"/>
    <w:family w:val="roman"/>
    <w:pitch w:val="variable"/>
  </w:font>
  <w:font w:name="Arial">
    <w:charset w:val="00"/>
    <w:family w:val="roman"/>
    <w:pitch w:val="variable"/>
  </w:font>
  <w:font w:name="Calibri Light">
    <w:charset w:val="00"/>
    <w:family w:val="roman"/>
    <w:pitch w:val="variable"/>
  </w:font>
  <w:font w:name="Segoe U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931485415"/>
    </w:sdtPr>
    <w:sdtContent>
      <w:p>
        <w:pPr>
          <w:pStyle w:val="Rodap"/>
          <w:jc w:val="right"/>
          <w:rPr/>
        </w:pPr>
        <w:r>
          <w:rPr/>
          <w:t xml:space="preserve">Página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20</w:t>
        </w:r>
        <w:r>
          <w:rPr>
            <w:sz w:val="24"/>
            <w:b/>
            <w:szCs w:val="24"/>
            <w:bCs/>
          </w:rPr>
          <w:fldChar w:fldCharType="end"/>
        </w:r>
        <w:r>
          <w:rPr/>
          <w:t xml:space="preserve"> de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28</w:t>
        </w:r>
        <w:r>
          <w:rPr>
            <w:sz w:val="24"/>
            <w:b/>
            <w:szCs w:val="24"/>
            <w:bCs/>
          </w:rPr>
          <w:fldChar w:fldCharType="end"/>
        </w:r>
      </w:p>
    </w:sdtContent>
  </w:sdt>
  <w:p>
    <w:pPr>
      <w:pStyle w:val="Rodap"/>
      <w:jc w:val="both"/>
      <w:rPr>
        <w:rFonts w:ascii="Times New Roman" w:hAnsi="Times New Roman" w:cs="Times New Roman"/>
      </w:rPr>
    </w:pPr>
    <w:r>
      <w:rPr>
        <w:rFonts w:cs="Times New Roman" w:ascii="Times New Roman" w:hAnsi="Times New Roman"/>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720" w:hanging="36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rFonts w:ascii="Arial" w:hAnsi="Arial" w:cs="Arial"/>
        <w:color w:val="000000"/>
      </w:rPr>
    </w:lvl>
    <w:lvl w:ilvl="2">
      <w:start w:val="1"/>
      <w:numFmt w:val="decimal"/>
      <w:lvlText w:val="%1.%2.%3."/>
      <w:lvlJc w:val="left"/>
      <w:pPr>
        <w:tabs>
          <w:tab w:val="num" w:pos="0"/>
        </w:tabs>
        <w:ind w:left="3198" w:hanging="503"/>
      </w:pPr>
      <w:rPr>
        <w:dstrike w:val="false"/>
        <w:strike w:val="false"/>
        <w:sz w:val="20"/>
        <w:i w:val="false"/>
        <w:b w:val="false"/>
        <w:szCs w:val="20"/>
        <w:rFonts w:ascii="Arial" w:hAnsi="Arial" w:eastAsia="Arial" w:cs="Arial"/>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
    <w:lvl w:ilvl="0">
      <w:start w:val="10"/>
      <w:numFmt w:val="decimal"/>
      <w:lvlText w:val="%1."/>
      <w:lvlJc w:val="left"/>
      <w:pPr>
        <w:tabs>
          <w:tab w:val="num" w:pos="0"/>
        </w:tabs>
        <w:ind w:left="660" w:hanging="660"/>
      </w:pPr>
    </w:lvl>
    <w:lvl w:ilvl="1">
      <w:start w:val="1"/>
      <w:numFmt w:val="decimal"/>
      <w:lvlText w:val="%1.%2."/>
      <w:lvlJc w:val="left"/>
      <w:pPr>
        <w:tabs>
          <w:tab w:val="num" w:pos="0"/>
        </w:tabs>
        <w:ind w:left="1726" w:hanging="660"/>
      </w:pPr>
      <w:rPr>
        <w:sz w:val="20"/>
        <w:szCs w:val="20"/>
        <w:rFonts w:ascii="Arial" w:hAnsi="Arial" w:cs="Arial"/>
      </w:rPr>
    </w:lvl>
    <w:lvl w:ilvl="2">
      <w:start w:val="1"/>
      <w:numFmt w:val="decimal"/>
      <w:lvlText w:val="%1.%2.%3."/>
      <w:lvlJc w:val="left"/>
      <w:pPr>
        <w:tabs>
          <w:tab w:val="num" w:pos="0"/>
        </w:tabs>
        <w:ind w:left="2852" w:hanging="720"/>
      </w:pPr>
      <w:rPr>
        <w:rFonts w:ascii="Arial" w:hAnsi="Arial" w:cs="Arial"/>
      </w:rPr>
    </w:lvl>
    <w:lvl w:ilvl="3">
      <w:start w:val="1"/>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5">
    <w:lvl w:ilvl="0">
      <w:start w:val="1"/>
      <w:numFmt w:val="decimal"/>
      <w:lvlText w:val="%1."/>
      <w:lvlJc w:val="left"/>
      <w:pPr>
        <w:tabs>
          <w:tab w:val="num" w:pos="0"/>
        </w:tabs>
        <w:ind w:left="786" w:hanging="36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4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744b"/>
    <w:pPr>
      <w:widowControl/>
      <w:suppressAutoHyphens w:val="true"/>
      <w:bidi w:val="0"/>
      <w:spacing w:before="0" w:after="0"/>
      <w:jc w:val="left"/>
    </w:pPr>
    <w:rPr>
      <w:rFonts w:ascii="Calibri" w:hAnsi="Calibri" w:eastAsia="Calibri" w:cs="Arial"/>
      <w:color w:val="auto"/>
      <w:kern w:val="0"/>
      <w:sz w:val="20"/>
      <w:szCs w:val="20"/>
      <w:lang w:val="pt-BR" w:eastAsia="pt-BR" w:bidi="ar-SA"/>
    </w:rPr>
  </w:style>
  <w:style w:type="paragraph" w:styleId="Ttulo1">
    <w:name w:val="Heading 1"/>
    <w:basedOn w:val="Normal"/>
    <w:next w:val="Normal"/>
    <w:link w:val="Ttulo1Char"/>
    <w:autoRedefine/>
    <w:uiPriority w:val="9"/>
    <w:qFormat/>
    <w:rsid w:val="00cc15d7"/>
    <w:pPr>
      <w:keepNext w:val="true"/>
      <w:numPr>
        <w:ilvl w:val="0"/>
        <w:numId w:val="1"/>
      </w:numPr>
      <w:spacing w:before="240" w:after="240"/>
      <w:outlineLvl w:val="0"/>
    </w:pPr>
    <w:rPr>
      <w:rFonts w:ascii="Times New Roman" w:hAnsi="Times New Roman" w:eastAsia="Times New Roman" w:cs="Times New Roman"/>
      <w:b/>
      <w:bCs/>
      <w:kern w:val="2"/>
      <w:sz w:val="24"/>
      <w:szCs w:val="32"/>
      <w:lang w:val="x-none" w:eastAsia="x-none"/>
    </w:rPr>
  </w:style>
  <w:style w:type="paragraph" w:styleId="Ttulo2">
    <w:name w:val="Heading 2"/>
    <w:basedOn w:val="Normal"/>
    <w:next w:val="Normal"/>
    <w:link w:val="Ttulo2Char"/>
    <w:autoRedefine/>
    <w:uiPriority w:val="9"/>
    <w:unhideWhenUsed/>
    <w:qFormat/>
    <w:rsid w:val="0090347a"/>
    <w:pPr>
      <w:keepNext w:val="true"/>
      <w:keepLines/>
      <w:spacing w:lineRule="auto" w:line="360" w:before="280" w:after="240"/>
      <w:outlineLvl w:val="1"/>
    </w:pPr>
    <w:rPr>
      <w:rFonts w:ascii="Times New Roman" w:hAnsi="Times New Roman" w:eastAsia="" w:cs="" w:cstheme="majorBidi" w:eastAsiaTheme="majorEastAsia"/>
      <w:b/>
      <w:sz w:val="24"/>
      <w:szCs w:val="26"/>
    </w:rPr>
  </w:style>
  <w:style w:type="paragraph" w:styleId="Ttulo3">
    <w:name w:val="Heading 3"/>
    <w:basedOn w:val="Normal"/>
    <w:next w:val="Normal"/>
    <w:link w:val="Ttulo3Char"/>
    <w:uiPriority w:val="9"/>
    <w:semiHidden/>
    <w:unhideWhenUsed/>
    <w:qFormat/>
    <w:rsid w:val="00101956"/>
    <w:pPr>
      <w:keepNext w:val="true"/>
      <w:spacing w:before="240" w:after="60"/>
      <w:outlineLvl w:val="2"/>
    </w:pPr>
    <w:rPr>
      <w:rFonts w:ascii="Cambria" w:hAnsi="Cambria" w:eastAsia="Times New Roman" w:cs="Times New Roman"/>
      <w:b/>
      <w:bCs/>
      <w:sz w:val="26"/>
      <w:szCs w:val="26"/>
      <w:lang w:val="x-none" w:eastAsia="x-none"/>
    </w:rPr>
  </w:style>
  <w:style w:type="paragraph" w:styleId="Ttulo4">
    <w:name w:val="Heading 4"/>
    <w:basedOn w:val="Normal"/>
    <w:next w:val="Normal"/>
    <w:link w:val="Ttulo4Char"/>
    <w:qFormat/>
    <w:rsid w:val="000d4d35"/>
    <w:pPr>
      <w:keepNext w:val="true"/>
      <w:widowControl w:val="false"/>
      <w:suppressAutoHyphens w:val="true"/>
      <w:ind w:left="240" w:hanging="0"/>
      <w:outlineLvl w:val="3"/>
    </w:pPr>
    <w:rPr>
      <w:rFonts w:ascii="Times New Roman" w:hAnsi="Times New Roman" w:eastAsia="Arial Unicode MS" w:cs="Times New Roman"/>
      <w:b/>
      <w:bCs/>
      <w:color w:val="000000"/>
      <w:sz w:val="24"/>
      <w:szCs w:val="24"/>
      <w:lang w:val="x-none" w:eastAsia="x-none"/>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63744b"/>
    <w:rPr/>
  </w:style>
  <w:style w:type="character" w:styleId="RodapChar" w:customStyle="1">
    <w:name w:val="Rodapé Char"/>
    <w:basedOn w:val="DefaultParagraphFont"/>
    <w:link w:val="Rodap"/>
    <w:uiPriority w:val="99"/>
    <w:qFormat/>
    <w:rsid w:val="0063744b"/>
    <w:rPr/>
  </w:style>
  <w:style w:type="character" w:styleId="TextodebaloChar" w:customStyle="1">
    <w:name w:val="Texto de balão Char"/>
    <w:link w:val="Textodebalo"/>
    <w:uiPriority w:val="99"/>
    <w:semiHidden/>
    <w:qFormat/>
    <w:rsid w:val="0063744b"/>
    <w:rPr>
      <w:rFonts w:ascii="Tahoma" w:hAnsi="Tahoma" w:cs="Tahoma"/>
      <w:sz w:val="16"/>
      <w:szCs w:val="16"/>
    </w:rPr>
  </w:style>
  <w:style w:type="character" w:styleId="Strong">
    <w:name w:val="Strong"/>
    <w:uiPriority w:val="22"/>
    <w:qFormat/>
    <w:rsid w:val="0026601f"/>
    <w:rPr>
      <w:b/>
      <w:bCs/>
    </w:rPr>
  </w:style>
  <w:style w:type="character" w:styleId="Highlight" w:customStyle="1">
    <w:name w:val="highlight"/>
    <w:qFormat/>
    <w:rsid w:val="00386557"/>
    <w:rPr/>
  </w:style>
  <w:style w:type="character" w:styleId="Ttulo4Char" w:customStyle="1">
    <w:name w:val="Título 4 Char"/>
    <w:link w:val="Ttulo4"/>
    <w:qFormat/>
    <w:rsid w:val="000d4d35"/>
    <w:rPr>
      <w:rFonts w:ascii="Times New Roman" w:hAnsi="Times New Roman" w:eastAsia="Arial Unicode MS"/>
      <w:b/>
      <w:bCs/>
      <w:color w:val="000000"/>
      <w:sz w:val="24"/>
      <w:szCs w:val="24"/>
    </w:rPr>
  </w:style>
  <w:style w:type="character" w:styleId="CorpodetextoChar" w:customStyle="1">
    <w:name w:val="Corpo de texto Char"/>
    <w:link w:val="Corpodetexto"/>
    <w:semiHidden/>
    <w:qFormat/>
    <w:rsid w:val="000d4d35"/>
    <w:rPr>
      <w:rFonts w:ascii="Verdana" w:hAnsi="Verdana" w:eastAsia="Arial Unicode MS"/>
      <w:color w:val="000000"/>
      <w:sz w:val="24"/>
    </w:rPr>
  </w:style>
  <w:style w:type="character" w:styleId="Ttulo1Char" w:customStyle="1">
    <w:name w:val="Título 1 Char"/>
    <w:link w:val="Ttulo1"/>
    <w:uiPriority w:val="9"/>
    <w:qFormat/>
    <w:rsid w:val="00cc15d7"/>
    <w:rPr>
      <w:rFonts w:ascii="Times New Roman" w:hAnsi="Times New Roman" w:eastAsia="Times New Roman"/>
      <w:b/>
      <w:bCs/>
      <w:kern w:val="2"/>
      <w:sz w:val="24"/>
      <w:szCs w:val="32"/>
      <w:lang w:val="x-none" w:eastAsia="x-none"/>
    </w:rPr>
  </w:style>
  <w:style w:type="character" w:styleId="Ttulo3Char" w:customStyle="1">
    <w:name w:val="Título 3 Char"/>
    <w:link w:val="Ttulo3"/>
    <w:uiPriority w:val="9"/>
    <w:semiHidden/>
    <w:qFormat/>
    <w:rsid w:val="00101956"/>
    <w:rPr>
      <w:rFonts w:ascii="Cambria" w:hAnsi="Cambria" w:eastAsia="Times New Roman" w:cs="Times New Roman"/>
      <w:b/>
      <w:bCs/>
      <w:sz w:val="26"/>
      <w:szCs w:val="26"/>
    </w:rPr>
  </w:style>
  <w:style w:type="character" w:styleId="Recuodecorpodetexto3Char" w:customStyle="1">
    <w:name w:val="Recuo de corpo de texto 3 Char"/>
    <w:link w:val="Recuodecorpodetexto3"/>
    <w:uiPriority w:val="99"/>
    <w:semiHidden/>
    <w:qFormat/>
    <w:rsid w:val="00101956"/>
    <w:rPr>
      <w:rFonts w:cs="Arial"/>
      <w:sz w:val="16"/>
      <w:szCs w:val="16"/>
    </w:rPr>
  </w:style>
  <w:style w:type="character" w:styleId="Nfase">
    <w:name w:val="Ênfase"/>
    <w:uiPriority w:val="20"/>
    <w:qFormat/>
    <w:rsid w:val="00101956"/>
    <w:rPr>
      <w:i/>
      <w:iCs/>
    </w:rPr>
  </w:style>
  <w:style w:type="character" w:styleId="TextodenotaderodapChar" w:customStyle="1">
    <w:name w:val="Texto de nota de rodapé Char"/>
    <w:link w:val="Textodenotaderodap"/>
    <w:uiPriority w:val="99"/>
    <w:semiHidden/>
    <w:qFormat/>
    <w:rsid w:val="00ad5b74"/>
    <w:rPr>
      <w:rFonts w:cs="Arial"/>
    </w:rPr>
  </w:style>
  <w:style w:type="character" w:styleId="Ncoradanotaderodap">
    <w:name w:val="Âncora da nota de rodapé"/>
    <w:rPr>
      <w:vertAlign w:val="superscript"/>
    </w:rPr>
  </w:style>
  <w:style w:type="character" w:styleId="FootnoteCharacters">
    <w:name w:val="Footnote Characters"/>
    <w:uiPriority w:val="99"/>
    <w:semiHidden/>
    <w:unhideWhenUsed/>
    <w:qFormat/>
    <w:rsid w:val="00ad5b74"/>
    <w:rPr>
      <w:vertAlign w:val="superscript"/>
    </w:rPr>
  </w:style>
  <w:style w:type="character" w:styleId="LinkdaInternet">
    <w:name w:val="Link da Internet"/>
    <w:uiPriority w:val="99"/>
    <w:unhideWhenUsed/>
    <w:rsid w:val="00466ef6"/>
    <w:rPr>
      <w:color w:val="0000FF"/>
      <w:u w:val="single"/>
    </w:rPr>
  </w:style>
  <w:style w:type="character" w:styleId="Annotationreference">
    <w:name w:val="annotation reference"/>
    <w:uiPriority w:val="99"/>
    <w:semiHidden/>
    <w:unhideWhenUsed/>
    <w:qFormat/>
    <w:rsid w:val="008d0836"/>
    <w:rPr>
      <w:sz w:val="16"/>
      <w:szCs w:val="16"/>
    </w:rPr>
  </w:style>
  <w:style w:type="character" w:styleId="TextodecomentrioChar" w:customStyle="1">
    <w:name w:val="Texto de comentário Char"/>
    <w:link w:val="Textodecomentrio"/>
    <w:uiPriority w:val="99"/>
    <w:semiHidden/>
    <w:qFormat/>
    <w:rsid w:val="008d0836"/>
    <w:rPr>
      <w:rFonts w:cs="Arial"/>
    </w:rPr>
  </w:style>
  <w:style w:type="character" w:styleId="AssuntodocomentrioChar" w:customStyle="1">
    <w:name w:val="Assunto do comentário Char"/>
    <w:link w:val="Assuntodocomentrio"/>
    <w:uiPriority w:val="99"/>
    <w:semiHidden/>
    <w:qFormat/>
    <w:rsid w:val="008d0836"/>
    <w:rPr>
      <w:rFonts w:cs="Arial"/>
      <w:b/>
      <w:bCs/>
    </w:rPr>
  </w:style>
  <w:style w:type="character" w:styleId="MenoPendente1" w:customStyle="1">
    <w:name w:val="Menção Pendente1"/>
    <w:uiPriority w:val="99"/>
    <w:semiHidden/>
    <w:unhideWhenUsed/>
    <w:qFormat/>
    <w:rsid w:val="000265fb"/>
    <w:rPr>
      <w:color w:val="605E5C"/>
      <w:shd w:fill="E1DFDD" w:val="clear"/>
    </w:rPr>
  </w:style>
  <w:style w:type="character" w:styleId="TextodenotadefimChar" w:customStyle="1">
    <w:name w:val="Texto de nota de fim Char"/>
    <w:basedOn w:val="DefaultParagraphFont"/>
    <w:link w:val="Textodenotadefim"/>
    <w:uiPriority w:val="99"/>
    <w:semiHidden/>
    <w:qFormat/>
    <w:rsid w:val="00857000"/>
    <w:rPr>
      <w:rFonts w:cs="Arial"/>
    </w:rPr>
  </w:style>
  <w:style w:type="character" w:styleId="Ncoradanotadefim">
    <w:name w:val="Âncora da nota de fim"/>
    <w:rPr>
      <w:vertAlign w:val="superscript"/>
    </w:rPr>
  </w:style>
  <w:style w:type="character" w:styleId="EndnoteCharacters">
    <w:name w:val="Endnote Characters"/>
    <w:basedOn w:val="DefaultParagraphFont"/>
    <w:uiPriority w:val="99"/>
    <w:semiHidden/>
    <w:unhideWhenUsed/>
    <w:qFormat/>
    <w:rsid w:val="00857000"/>
    <w:rPr>
      <w:vertAlign w:val="superscript"/>
    </w:rPr>
  </w:style>
  <w:style w:type="character" w:styleId="Ttulo2Char" w:customStyle="1">
    <w:name w:val="Título 2 Char"/>
    <w:basedOn w:val="DefaultParagraphFont"/>
    <w:link w:val="Ttulo2"/>
    <w:uiPriority w:val="9"/>
    <w:qFormat/>
    <w:rsid w:val="0090347a"/>
    <w:rPr>
      <w:rFonts w:ascii="Times New Roman" w:hAnsi="Times New Roman" w:eastAsia="" w:cs="" w:cstheme="majorBidi" w:eastAsiaTheme="majorEastAsia"/>
      <w:b/>
      <w:sz w:val="24"/>
      <w:szCs w:val="26"/>
    </w:rPr>
  </w:style>
  <w:style w:type="character" w:styleId="Marcas">
    <w:name w:val="Marcas"/>
    <w:qFormat/>
    <w:rPr>
      <w:rFonts w:ascii="OpenSymbol" w:hAnsi="OpenSymbol" w:eastAsia="OpenSymbol" w:cs="OpenSymbol"/>
    </w:rPr>
  </w:style>
  <w:style w:type="character" w:styleId="Smbolosdenumerao">
    <w:name w:val="Símbolos de numeração"/>
    <w:qFormat/>
    <w:rPr/>
  </w:style>
  <w:style w:type="character" w:styleId="TtuloChar">
    <w:name w:val="Título Char"/>
    <w:qFormat/>
    <w:rPr>
      <w:rFonts w:ascii="Times New Roman" w:hAnsi="Times New Roman" w:eastAsia="Times New Roman"/>
      <w:b/>
      <w:bCs/>
      <w:sz w:val="24"/>
      <w:szCs w:val="24"/>
    </w:rPr>
  </w:style>
  <w:style w:type="character" w:styleId="Fontepargpadro">
    <w:name w:val="Fonte parág. padrão"/>
    <w:qFormat/>
    <w:rPr/>
  </w:style>
  <w:style w:type="character" w:styleId="WW8Num5z1">
    <w:name w:val="WW8Num5z1"/>
    <w:qFormat/>
    <w:rPr>
      <w:rFonts w:ascii="Courier New" w:hAnsi="Courier New" w:eastAsia="Courier New"/>
    </w:rPr>
  </w:style>
  <w:style w:type="character" w:styleId="WW8Num4z1">
    <w:name w:val="WW8Num4z1"/>
    <w:qFormat/>
    <w:rPr>
      <w:rFonts w:ascii="Courier New" w:hAnsi="Courier New" w:eastAsia="Courier New"/>
    </w:rPr>
  </w:style>
  <w:style w:type="character" w:styleId="WW8Num3z1">
    <w:name w:val="WW8Num3z1"/>
    <w:qFormat/>
    <w:rPr>
      <w:rFonts w:ascii="Courier New" w:hAnsi="Courier New" w:eastAsia="Courier New"/>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b/>
      <w:sz w:val="24"/>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semiHidden/>
    <w:rsid w:val="000d4d35"/>
    <w:pPr>
      <w:widowControl w:val="false"/>
      <w:suppressAutoHyphens w:val="true"/>
      <w:spacing w:lineRule="auto" w:line="360"/>
      <w:jc w:val="both"/>
    </w:pPr>
    <w:rPr>
      <w:rFonts w:ascii="Verdana" w:hAnsi="Verdana" w:eastAsia="Arial Unicode MS" w:cs="Times New Roman"/>
      <w:color w:val="000000"/>
      <w:sz w:val="24"/>
      <w:lang w:val="x-none" w:eastAsia="x-none"/>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63744b"/>
    <w:pPr>
      <w:tabs>
        <w:tab w:val="clear" w:pos="408"/>
        <w:tab w:val="center" w:pos="4252" w:leader="none"/>
        <w:tab w:val="right" w:pos="8504" w:leader="none"/>
      </w:tabs>
    </w:pPr>
    <w:rPr/>
  </w:style>
  <w:style w:type="paragraph" w:styleId="Rodap">
    <w:name w:val="Footer"/>
    <w:basedOn w:val="Normal"/>
    <w:link w:val="RodapChar"/>
    <w:uiPriority w:val="99"/>
    <w:unhideWhenUsed/>
    <w:rsid w:val="0063744b"/>
    <w:pPr>
      <w:tabs>
        <w:tab w:val="clear" w:pos="408"/>
        <w:tab w:val="center" w:pos="4252" w:leader="none"/>
        <w:tab w:val="right" w:pos="8504" w:leader="none"/>
      </w:tabs>
    </w:pPr>
    <w:rPr/>
  </w:style>
  <w:style w:type="paragraph" w:styleId="BalloonText">
    <w:name w:val="Balloon Text"/>
    <w:basedOn w:val="Normal"/>
    <w:link w:val="TextodebaloChar"/>
    <w:uiPriority w:val="99"/>
    <w:semiHidden/>
    <w:unhideWhenUsed/>
    <w:qFormat/>
    <w:rsid w:val="0063744b"/>
    <w:pPr/>
    <w:rPr>
      <w:rFonts w:ascii="Tahoma" w:hAnsi="Tahoma" w:cs="Times New Roman"/>
      <w:sz w:val="16"/>
      <w:szCs w:val="16"/>
      <w:lang w:val="x-none" w:eastAsia="x-none"/>
    </w:rPr>
  </w:style>
  <w:style w:type="paragraph" w:styleId="Default" w:customStyle="1">
    <w:name w:val="Default"/>
    <w:qFormat/>
    <w:rsid w:val="009b2c5e"/>
    <w:pPr>
      <w:widowControl/>
      <w:suppressAutoHyphens w:val="true"/>
      <w:bidi w:val="0"/>
      <w:spacing w:before="0" w:after="0"/>
      <w:jc w:val="left"/>
    </w:pPr>
    <w:rPr>
      <w:rFonts w:ascii="TimesNewRoman" w:hAnsi="TimesNewRoman" w:eastAsia="Arial" w:cs="Times New Roman"/>
      <w:color w:val="auto"/>
      <w:kern w:val="2"/>
      <w:sz w:val="20"/>
      <w:szCs w:val="20"/>
      <w:lang w:val="pt-BR" w:eastAsia="ar-SA" w:bidi="ar-SA"/>
    </w:rPr>
  </w:style>
  <w:style w:type="paragraph" w:styleId="ListParagraph">
    <w:name w:val="List Paragraph"/>
    <w:basedOn w:val="Normal"/>
    <w:uiPriority w:val="34"/>
    <w:qFormat/>
    <w:rsid w:val="000636b0"/>
    <w:pPr>
      <w:spacing w:before="0" w:after="0"/>
      <w:ind w:left="720" w:hanging="0"/>
      <w:contextualSpacing/>
    </w:pPr>
    <w:rPr/>
  </w:style>
  <w:style w:type="paragraph" w:styleId="Contedodatabela" w:customStyle="1">
    <w:name w:val="Conteúdo da tabela"/>
    <w:basedOn w:val="Normal"/>
    <w:qFormat/>
    <w:rsid w:val="00907e27"/>
    <w:pPr>
      <w:widowControl w:val="false"/>
      <w:suppressLineNumbers/>
      <w:suppressAutoHyphens w:val="true"/>
    </w:pPr>
    <w:rPr>
      <w:rFonts w:ascii="Arial" w:hAnsi="Arial" w:eastAsia="Lucida Sans Unicode" w:cs="Tahoma"/>
      <w:kern w:val="2"/>
      <w:sz w:val="22"/>
      <w:szCs w:val="24"/>
      <w:lang w:bidi="pt-BR"/>
    </w:rPr>
  </w:style>
  <w:style w:type="paragraph" w:styleId="NormalWeb">
    <w:name w:val="Normal (Web)"/>
    <w:basedOn w:val="Normal"/>
    <w:uiPriority w:val="99"/>
    <w:unhideWhenUsed/>
    <w:qFormat/>
    <w:rsid w:val="0026601f"/>
    <w:pPr>
      <w:spacing w:beforeAutospacing="1" w:afterAutospacing="1"/>
    </w:pPr>
    <w:rPr>
      <w:rFonts w:ascii="Times New Roman" w:hAnsi="Times New Roman" w:eastAsia="Times New Roman" w:cs="Times New Roman"/>
      <w:sz w:val="24"/>
      <w:szCs w:val="24"/>
    </w:rPr>
  </w:style>
  <w:style w:type="paragraph" w:styleId="Western" w:customStyle="1">
    <w:name w:val="western"/>
    <w:basedOn w:val="Normal"/>
    <w:qFormat/>
    <w:rsid w:val="000d4d35"/>
    <w:pPr>
      <w:widowControl w:val="false"/>
      <w:suppressAutoHyphens w:val="true"/>
      <w:spacing w:before="280" w:after="0"/>
    </w:pPr>
    <w:rPr>
      <w:rFonts w:ascii="Arial" w:hAnsi="Arial" w:eastAsia="Arial Unicode MS" w:cs="Tahoma"/>
      <w:b/>
      <w:bCs/>
      <w:kern w:val="2"/>
      <w:sz w:val="32"/>
      <w:szCs w:val="32"/>
      <w:lang w:bidi="pt-BR"/>
    </w:rPr>
  </w:style>
  <w:style w:type="paragraph" w:styleId="BodyTextIndent3">
    <w:name w:val="Body Text Indent 3"/>
    <w:basedOn w:val="Normal"/>
    <w:link w:val="Recuodecorpodetexto3Char"/>
    <w:uiPriority w:val="99"/>
    <w:semiHidden/>
    <w:unhideWhenUsed/>
    <w:qFormat/>
    <w:rsid w:val="00101956"/>
    <w:pPr>
      <w:spacing w:before="0" w:after="120"/>
      <w:ind w:left="283" w:hanging="0"/>
    </w:pPr>
    <w:rPr>
      <w:rFonts w:cs="Times New Roman"/>
      <w:sz w:val="16"/>
      <w:szCs w:val="16"/>
      <w:lang w:val="x-none" w:eastAsia="x-none"/>
    </w:rPr>
  </w:style>
  <w:style w:type="paragraph" w:styleId="Corpodetexto31" w:customStyle="1">
    <w:name w:val="Corpo de texto 31"/>
    <w:basedOn w:val="Normal"/>
    <w:qFormat/>
    <w:rsid w:val="00101956"/>
    <w:pPr>
      <w:widowControl w:val="false"/>
      <w:suppressAutoHyphens w:val="true"/>
      <w:jc w:val="both"/>
    </w:pPr>
    <w:rPr>
      <w:rFonts w:ascii="Arial" w:hAnsi="Arial" w:eastAsia="Lucida Sans Unicode" w:cs="Times New Roman"/>
      <w:sz w:val="24"/>
      <w:szCs w:val="24"/>
    </w:rPr>
  </w:style>
  <w:style w:type="paragraph" w:styleId="Recuodecorpodetexto21" w:customStyle="1">
    <w:name w:val="Recuo de corpo de texto 21"/>
    <w:basedOn w:val="Normal"/>
    <w:qFormat/>
    <w:rsid w:val="00101956"/>
    <w:pPr>
      <w:widowControl w:val="false"/>
      <w:suppressAutoHyphens w:val="true"/>
      <w:ind w:left="-3969" w:hanging="0"/>
    </w:pPr>
    <w:rPr>
      <w:rFonts w:ascii="Arial" w:hAnsi="Arial" w:eastAsia="Lucida Sans Unicode" w:cs="Times New Roman"/>
      <w:sz w:val="24"/>
      <w:szCs w:val="24"/>
    </w:rPr>
  </w:style>
  <w:style w:type="paragraph" w:styleId="Notaderodap">
    <w:name w:val="Footnote Text"/>
    <w:basedOn w:val="Normal"/>
    <w:link w:val="TextodenotaderodapChar"/>
    <w:uiPriority w:val="99"/>
    <w:semiHidden/>
    <w:unhideWhenUsed/>
    <w:rsid w:val="00ad5b74"/>
    <w:pPr/>
    <w:rPr>
      <w:rFonts w:cs="Times New Roman"/>
      <w:lang w:val="x-none" w:eastAsia="x-none"/>
    </w:rPr>
  </w:style>
  <w:style w:type="paragraph" w:styleId="NoSpacing">
    <w:name w:val="No Spacing"/>
    <w:uiPriority w:val="1"/>
    <w:qFormat/>
    <w:rsid w:val="00335a9d"/>
    <w:pPr>
      <w:widowControl/>
      <w:suppressAutoHyphens w:val="true"/>
      <w:bidi w:val="0"/>
      <w:spacing w:before="0" w:after="0"/>
      <w:jc w:val="left"/>
    </w:pPr>
    <w:rPr>
      <w:rFonts w:ascii="Calibri" w:hAnsi="Calibri" w:eastAsia="Calibri" w:cs="Arial"/>
      <w:color w:val="auto"/>
      <w:kern w:val="0"/>
      <w:sz w:val="20"/>
      <w:szCs w:val="20"/>
      <w:lang w:val="pt-BR" w:eastAsia="pt-BR" w:bidi="ar-SA"/>
    </w:rPr>
  </w:style>
  <w:style w:type="paragraph" w:styleId="Annotationtext">
    <w:name w:val="annotation text"/>
    <w:basedOn w:val="Normal"/>
    <w:link w:val="TextodecomentrioChar"/>
    <w:uiPriority w:val="99"/>
    <w:semiHidden/>
    <w:unhideWhenUsed/>
    <w:qFormat/>
    <w:rsid w:val="008d0836"/>
    <w:pPr/>
    <w:rPr>
      <w:rFonts w:cs="Times New Roman"/>
      <w:lang w:val="x-none" w:eastAsia="x-none"/>
    </w:rPr>
  </w:style>
  <w:style w:type="paragraph" w:styleId="Annotationsubject">
    <w:name w:val="annotation subject"/>
    <w:basedOn w:val="Annotationtext"/>
    <w:next w:val="Annotationtext"/>
    <w:link w:val="AssuntodocomentrioChar"/>
    <w:uiPriority w:val="99"/>
    <w:semiHidden/>
    <w:unhideWhenUsed/>
    <w:qFormat/>
    <w:rsid w:val="008d0836"/>
    <w:pPr/>
    <w:rPr>
      <w:b/>
      <w:bCs/>
    </w:rPr>
  </w:style>
  <w:style w:type="paragraph" w:styleId="Notadefim">
    <w:name w:val="Endnote Text"/>
    <w:basedOn w:val="Normal"/>
    <w:link w:val="TextodenotadefimChar"/>
    <w:uiPriority w:val="99"/>
    <w:semiHidden/>
    <w:unhideWhenUsed/>
    <w:rsid w:val="00857000"/>
    <w:pPr/>
    <w:rPr/>
  </w:style>
  <w:style w:type="paragraph" w:styleId="TOCHeading">
    <w:name w:val="TOC Heading"/>
    <w:basedOn w:val="Ttulo1"/>
    <w:next w:val="Normal"/>
    <w:uiPriority w:val="39"/>
    <w:unhideWhenUsed/>
    <w:qFormat/>
    <w:rsid w:val="00eb7a4e"/>
    <w:pPr>
      <w:keepLines/>
      <w:numPr>
        <w:ilvl w:val="0"/>
        <w:numId w:val="0"/>
      </w:numPr>
      <w:spacing w:lineRule="auto" w:line="259" w:before="240" w:after="0"/>
    </w:pPr>
    <w:rPr>
      <w:rFonts w:ascii="Calibri Light" w:hAnsi="Calibri Light" w:eastAsia="" w:cs="" w:asciiTheme="majorHAnsi" w:cstheme="majorBidi" w:eastAsiaTheme="majorEastAsia" w:hAnsiTheme="majorHAnsi"/>
      <w:b w:val="false"/>
      <w:bCs w:val="false"/>
      <w:color w:val="2F5496" w:themeColor="accent1" w:themeShade="bf"/>
      <w:kern w:val="0"/>
      <w:lang w:val="pt-BR" w:eastAsia="pt-BR"/>
    </w:rPr>
  </w:style>
  <w:style w:type="paragraph" w:styleId="Sumrio2">
    <w:name w:val="TOC 2"/>
    <w:basedOn w:val="Normal"/>
    <w:next w:val="Normal"/>
    <w:autoRedefine/>
    <w:uiPriority w:val="39"/>
    <w:unhideWhenUsed/>
    <w:rsid w:val="00eb7a4e"/>
    <w:pPr>
      <w:spacing w:lineRule="auto" w:line="259" w:before="0" w:after="100"/>
      <w:ind w:left="220" w:hanging="0"/>
    </w:pPr>
    <w:rPr>
      <w:rFonts w:ascii="Calibri" w:hAnsi="Calibri" w:eastAsia="" w:cs="Times New Roman" w:asciiTheme="minorHAnsi" w:eastAsiaTheme="minorEastAsia" w:hAnsiTheme="minorHAnsi"/>
      <w:sz w:val="22"/>
      <w:szCs w:val="22"/>
    </w:rPr>
  </w:style>
  <w:style w:type="paragraph" w:styleId="Sumrio1">
    <w:name w:val="TOC 1"/>
    <w:basedOn w:val="Normal"/>
    <w:next w:val="Normal"/>
    <w:autoRedefine/>
    <w:uiPriority w:val="39"/>
    <w:unhideWhenUsed/>
    <w:rsid w:val="00eb7a4e"/>
    <w:pPr>
      <w:spacing w:lineRule="auto" w:line="259" w:before="0" w:after="100"/>
    </w:pPr>
    <w:rPr>
      <w:rFonts w:ascii="Calibri" w:hAnsi="Calibri" w:eastAsia="" w:cs="Times New Roman" w:asciiTheme="minorHAnsi" w:eastAsiaTheme="minorEastAsia" w:hAnsiTheme="minorHAnsi"/>
      <w:sz w:val="22"/>
      <w:szCs w:val="22"/>
    </w:rPr>
  </w:style>
  <w:style w:type="paragraph" w:styleId="Sumrio3">
    <w:name w:val="TOC 3"/>
    <w:basedOn w:val="Normal"/>
    <w:next w:val="Normal"/>
    <w:autoRedefine/>
    <w:uiPriority w:val="39"/>
    <w:unhideWhenUsed/>
    <w:rsid w:val="00eb7a4e"/>
    <w:pPr>
      <w:spacing w:lineRule="auto" w:line="259" w:before="0" w:after="100"/>
      <w:ind w:left="440" w:hanging="0"/>
    </w:pPr>
    <w:rPr>
      <w:rFonts w:ascii="Calibri" w:hAnsi="Calibri" w:eastAsia="" w:cs="Times New Roman" w:asciiTheme="minorHAnsi" w:eastAsiaTheme="minorEastAsia" w:hAnsiTheme="minorHAnsi"/>
      <w:sz w:val="22"/>
      <w:szCs w:val="22"/>
    </w:rPr>
  </w:style>
  <w:style w:type="paragraph" w:styleId="Active" w:customStyle="1">
    <w:name w:val="active"/>
    <w:basedOn w:val="Normal"/>
    <w:qFormat/>
    <w:rsid w:val="00554b57"/>
    <w:pPr>
      <w:spacing w:beforeAutospacing="1" w:afterAutospacing="1"/>
    </w:pPr>
    <w:rPr>
      <w:rFonts w:ascii="Times New Roman" w:hAnsi="Times New Roman" w:eastAsia="Times New Roman" w:cs="Times New Roman"/>
      <w:sz w:val="24"/>
      <w:szCs w:val="24"/>
    </w:rPr>
  </w:style>
  <w:style w:type="paragraph" w:styleId="Textbody" w:customStyle="1">
    <w:name w:val="Text body"/>
    <w:basedOn w:val="Normal"/>
    <w:qFormat/>
    <w:rsid w:val="004259f3"/>
    <w:pPr>
      <w:widowControl w:val="false"/>
      <w:suppressAutoHyphens w:val="true"/>
      <w:spacing w:before="0" w:after="120"/>
    </w:pPr>
    <w:rPr>
      <w:rFonts w:ascii="Times New Roman" w:hAnsi="Times New Roman" w:eastAsia="Arial Unicode MS" w:cs="Mangal"/>
      <w:kern w:val="2"/>
      <w:sz w:val="24"/>
      <w:szCs w:val="24"/>
      <w:lang w:eastAsia="zh-CN" w:bidi="hi-IN"/>
    </w:rPr>
  </w:style>
  <w:style w:type="paragraph" w:styleId="TableParagraph">
    <w:name w:val="Table Paragraph"/>
    <w:basedOn w:val="Normal"/>
    <w:qFormat/>
    <w:pPr>
      <w:widowControl w:val="false"/>
      <w:ind w:left="103" w:right="0" w:hanging="0"/>
    </w:pPr>
    <w:rPr>
      <w:sz w:val="22"/>
      <w:szCs w:val="22"/>
      <w:lang w:val="en-US"/>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Standard">
    <w:name w:val="Standard"/>
    <w:qFormat/>
    <w:pPr>
      <w:widowControl/>
      <w:suppressAutoHyphens w:val="true"/>
      <w:bidi w:val="0"/>
      <w:spacing w:lineRule="atLeast" w:line="240" w:before="0" w:after="120"/>
      <w:jc w:val="left"/>
      <w:textAlignment w:val="baseline"/>
    </w:pPr>
    <w:rPr>
      <w:rFonts w:ascii="Calibri" w:hAnsi="Calibri" w:eastAsia="Tahoma" w:cs="Liberation Serif"/>
      <w:color w:val="auto"/>
      <w:kern w:val="0"/>
      <w:sz w:val="22"/>
      <w:szCs w:val="22"/>
      <w:lang w:val="pt-BR" w:eastAsia="ar-SA" w:bidi="ar-SA"/>
    </w:rPr>
  </w:style>
  <w:style w:type="paragraph" w:styleId="PargrafodaLista">
    <w:name w:val="Parágrafo da Lista"/>
    <w:basedOn w:val="Normal"/>
    <w:qFormat/>
    <w:pPr>
      <w:spacing w:before="0" w:after="0"/>
      <w:ind w:left="720" w:hanging="0"/>
      <w:contextualSpacing/>
    </w:pPr>
    <w:rPr>
      <w:rFonts w:ascii="Arial" w:hAnsi="Arial" w:eastAsia="Tahoma"/>
      <w:szCs w:val="24"/>
    </w:rPr>
  </w:style>
  <w:style w:type="paragraph" w:styleId="Textodebalo">
    <w:name w:val="Texto de balão"/>
    <w:basedOn w:val="Normal"/>
    <w:qFormat/>
    <w:pPr/>
    <w:rPr>
      <w:rFonts w:ascii="Segoe UI" w:hAnsi="Segoe UI" w:eastAsia="Segoe UI"/>
      <w:sz w:val="18"/>
      <w:szCs w:val="18"/>
    </w:rPr>
  </w:style>
  <w:style w:type="numbering" w:styleId="NoList" w:default="1">
    <w:name w:val="No List"/>
    <w:uiPriority w:val="99"/>
    <w:semiHidden/>
    <w:unhideWhenUsed/>
    <w:qFormat/>
  </w:style>
  <w:style w:type="numbering" w:styleId="WW8Num2">
    <w:name w:val="WW8Num2"/>
    <w:qFormat/>
  </w:style>
  <w:style w:type="numbering" w:styleId="27284557541">
    <w:name w:val="27284557541"/>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0d036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mailto:vassourassmed@gmail.com" TargetMode="External"/><Relationship Id="rId5" Type="http://schemas.openxmlformats.org/officeDocument/2006/relationships/hyperlink" Target="https://www.planalto.gov.br/ccivil_03/leis/lcp/lcp123.htm" TargetMode="External"/><Relationship Id="rId6" Type="http://schemas.openxmlformats.org/officeDocument/2006/relationships/hyperlink" Target="https://www.gov.br/empresas-e-negocios/pt-br/empreendedor" TargetMode="External"/><Relationship Id="rId7" Type="http://schemas.openxmlformats.org/officeDocument/2006/relationships/hyperlink" Target="https://www.gov.br/economia/pt-br/assuntos/drei/legislacao/arquivos/legislacoes-federais/indrei772020.pdf" TargetMode="External"/><Relationship Id="rId8" Type="http://schemas.openxmlformats.org/officeDocument/2006/relationships/hyperlink" Target="http://normas.receita.fazenda.gov.br/sijut2consulta/link.action?idAto=15937" TargetMode="External"/><Relationship Id="rId9" Type="http://schemas.openxmlformats.org/officeDocument/2006/relationships/hyperlink" Target="http://normas.receita.fazenda.gov.br/sijut2consulta/link.action?visao=anotado&amp;idAto=56753" TargetMode="External"/><Relationship Id="rId10" Type="http://schemas.openxmlformats.org/officeDocument/2006/relationships/hyperlink" Target="https://www.planalto.gov.br/ccivil_03/decreto-lei/del5452.htm" TargetMode="External"/><Relationship Id="rId11" Type="http://schemas.openxmlformats.org/officeDocument/2006/relationships/hyperlink" Target="http://www.planalto.gov.br/ccivil_03/Leis/LCP/Lcp123.ht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9BF7B-EBCE-47E0-971A-EF29C2336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Application>LibreOffice/7.0.2.2$Windows_X86_64 LibreOffice_project/8349ace3c3162073abd90d81fd06dcfb6b36b994</Application>
  <Pages>28</Pages>
  <Words>10133</Words>
  <Characters>58740</Characters>
  <CharactersWithSpaces>68021</CharactersWithSpaces>
  <Paragraphs>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2023-01-16T22:53:00Z</dcterms:created>
  <dc:creator>Geovane</dc:creator>
  <dc:description/>
  <dc:language>pt-BR</dc:language>
  <cp:lastModifiedBy/>
  <cp:lastPrinted>2026-06-25T18:18:28Z</cp:lastPrinted>
  <dcterms:modified xsi:type="dcterms:W3CDTF">2026-06-30T10:48:55Z</dcterms:modified>
  <cp:revision>60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